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EC9D3" w14:textId="4BA539DC" w:rsidR="007F200C" w:rsidRPr="002D1DD7" w:rsidRDefault="0080662D" w:rsidP="007F200C">
      <w:pPr>
        <w:pStyle w:val="Title"/>
      </w:pPr>
      <w:bookmarkStart w:id="0" w:name="_GoBack"/>
      <w:bookmarkEnd w:id="0"/>
      <w:r w:rsidRPr="002D1DD7">
        <w:t xml:space="preserve">Modelling approaches for </w:t>
      </w:r>
      <w:r w:rsidR="00555827">
        <w:t>histology-independent</w:t>
      </w:r>
      <w:r w:rsidRPr="002D1DD7">
        <w:t xml:space="preserve"> cancer drugs to inform NICE appraisal</w:t>
      </w:r>
      <w:r w:rsidR="00E22A97" w:rsidRPr="002D1DD7">
        <w:t>s</w:t>
      </w:r>
    </w:p>
    <w:p w14:paraId="3411A295" w14:textId="5DA60176" w:rsidR="0072317E" w:rsidRPr="002D1DD7" w:rsidRDefault="0072317E" w:rsidP="0072317E">
      <w:pPr>
        <w:jc w:val="center"/>
      </w:pPr>
    </w:p>
    <w:tbl>
      <w:tblPr>
        <w:tblW w:w="9286" w:type="dxa"/>
        <w:tblLayout w:type="fixed"/>
        <w:tblLook w:val="0000" w:firstRow="0" w:lastRow="0" w:firstColumn="0" w:lastColumn="0" w:noHBand="0" w:noVBand="0"/>
      </w:tblPr>
      <w:tblGrid>
        <w:gridCol w:w="2268"/>
        <w:gridCol w:w="7018"/>
      </w:tblGrid>
      <w:tr w:rsidR="009000ED" w:rsidRPr="002D1DD7" w14:paraId="427284B3" w14:textId="77777777" w:rsidTr="00DB76B5">
        <w:tc>
          <w:tcPr>
            <w:tcW w:w="2268" w:type="dxa"/>
            <w:shd w:val="clear" w:color="auto" w:fill="auto"/>
          </w:tcPr>
          <w:p w14:paraId="2396FC95" w14:textId="77777777" w:rsidR="009000ED" w:rsidRPr="002D1DD7" w:rsidRDefault="009000ED" w:rsidP="00AA7552">
            <w:pPr>
              <w:rPr>
                <w:rStyle w:val="Strong"/>
              </w:rPr>
            </w:pPr>
            <w:r w:rsidRPr="002D1DD7">
              <w:rPr>
                <w:rStyle w:val="Strong"/>
              </w:rPr>
              <w:t>Produced by</w:t>
            </w:r>
          </w:p>
        </w:tc>
        <w:tc>
          <w:tcPr>
            <w:tcW w:w="7018" w:type="dxa"/>
            <w:shd w:val="clear" w:color="auto" w:fill="auto"/>
          </w:tcPr>
          <w:p w14:paraId="72649A6C" w14:textId="77777777" w:rsidR="009000ED" w:rsidRPr="002D1DD7" w:rsidRDefault="00B801C6" w:rsidP="00AA7552">
            <w:r w:rsidRPr="002D1DD7">
              <w:t>CRD and CHE Technology Assessment Group, University of York, Heslington, York YO10 5DD</w:t>
            </w:r>
          </w:p>
          <w:p w14:paraId="18850737" w14:textId="77777777" w:rsidR="0080662D" w:rsidRPr="002D1DD7" w:rsidRDefault="0080662D" w:rsidP="00AA7552">
            <w:r w:rsidRPr="002D1DD7">
              <w:t>ScHARR Technology Assessment Group, University of Sheffield, Sheffield, S1 4DA</w:t>
            </w:r>
          </w:p>
        </w:tc>
      </w:tr>
      <w:tr w:rsidR="00C34F2B" w:rsidRPr="00A16E63" w14:paraId="54967213" w14:textId="77777777" w:rsidTr="00DB76B5">
        <w:tc>
          <w:tcPr>
            <w:tcW w:w="2268" w:type="dxa"/>
            <w:shd w:val="clear" w:color="auto" w:fill="auto"/>
          </w:tcPr>
          <w:p w14:paraId="64167502" w14:textId="3B8BEE91" w:rsidR="00C34F2B" w:rsidRPr="002D1DD7" w:rsidRDefault="00C34F2B" w:rsidP="00C34F2B">
            <w:pPr>
              <w:rPr>
                <w:b/>
                <w:bCs/>
              </w:rPr>
            </w:pPr>
            <w:bookmarkStart w:id="1" w:name="_Hlk33765131"/>
            <w:r w:rsidRPr="002D1DD7">
              <w:rPr>
                <w:b/>
                <w:bCs/>
              </w:rPr>
              <w:t xml:space="preserve">Authors </w:t>
            </w:r>
          </w:p>
          <w:p w14:paraId="5AD4515F" w14:textId="77777777" w:rsidR="00C34F2B" w:rsidRDefault="00C34F2B" w:rsidP="00AA7552">
            <w:pPr>
              <w:rPr>
                <w:rStyle w:val="Strong"/>
              </w:rPr>
            </w:pPr>
          </w:p>
          <w:p w14:paraId="7BC6A20F" w14:textId="77777777" w:rsidR="004A67F9" w:rsidRDefault="004A67F9" w:rsidP="00AA7552">
            <w:pPr>
              <w:rPr>
                <w:rStyle w:val="Strong"/>
              </w:rPr>
            </w:pPr>
          </w:p>
          <w:p w14:paraId="63A7A3DC" w14:textId="77777777" w:rsidR="004A67F9" w:rsidRDefault="004A67F9" w:rsidP="00AA7552">
            <w:pPr>
              <w:rPr>
                <w:rStyle w:val="Strong"/>
              </w:rPr>
            </w:pPr>
          </w:p>
          <w:p w14:paraId="6C2BD490" w14:textId="77777777" w:rsidR="004A67F9" w:rsidRDefault="004A67F9" w:rsidP="00AA7552">
            <w:pPr>
              <w:rPr>
                <w:rStyle w:val="Strong"/>
              </w:rPr>
            </w:pPr>
          </w:p>
          <w:p w14:paraId="0BE6D08A" w14:textId="77777777" w:rsidR="004A67F9" w:rsidRDefault="004A67F9" w:rsidP="00AA7552">
            <w:pPr>
              <w:rPr>
                <w:rStyle w:val="Strong"/>
              </w:rPr>
            </w:pPr>
          </w:p>
          <w:p w14:paraId="588275B7" w14:textId="77777777" w:rsidR="004A67F9" w:rsidRDefault="004A67F9" w:rsidP="00AA7552">
            <w:pPr>
              <w:rPr>
                <w:rStyle w:val="Strong"/>
              </w:rPr>
            </w:pPr>
          </w:p>
          <w:p w14:paraId="1037A092" w14:textId="77777777" w:rsidR="004A67F9" w:rsidRDefault="004A67F9" w:rsidP="00AA7552">
            <w:pPr>
              <w:rPr>
                <w:rStyle w:val="Strong"/>
              </w:rPr>
            </w:pPr>
          </w:p>
          <w:p w14:paraId="4868FB9D" w14:textId="77777777" w:rsidR="004A67F9" w:rsidRDefault="004A67F9" w:rsidP="00AA7552">
            <w:pPr>
              <w:rPr>
                <w:rStyle w:val="Strong"/>
              </w:rPr>
            </w:pPr>
          </w:p>
          <w:p w14:paraId="7CDD4781" w14:textId="77777777" w:rsidR="004A67F9" w:rsidRDefault="004A67F9" w:rsidP="00AA7552">
            <w:pPr>
              <w:rPr>
                <w:rStyle w:val="Strong"/>
              </w:rPr>
            </w:pPr>
          </w:p>
          <w:p w14:paraId="1FA89F8D" w14:textId="77777777" w:rsidR="004A67F9" w:rsidRDefault="004A67F9" w:rsidP="00AA7552">
            <w:pPr>
              <w:rPr>
                <w:rStyle w:val="Strong"/>
              </w:rPr>
            </w:pPr>
          </w:p>
          <w:p w14:paraId="7644191A" w14:textId="77777777" w:rsidR="004A67F9" w:rsidRDefault="004A67F9" w:rsidP="00AA7552">
            <w:pPr>
              <w:rPr>
                <w:rStyle w:val="Strong"/>
              </w:rPr>
            </w:pPr>
          </w:p>
          <w:p w14:paraId="38620470" w14:textId="77777777" w:rsidR="004A67F9" w:rsidRDefault="004A67F9" w:rsidP="00AA7552">
            <w:pPr>
              <w:rPr>
                <w:rStyle w:val="Strong"/>
              </w:rPr>
            </w:pPr>
          </w:p>
          <w:p w14:paraId="78922DF2" w14:textId="77777777" w:rsidR="004A67F9" w:rsidRDefault="004A67F9" w:rsidP="00AA7552">
            <w:pPr>
              <w:rPr>
                <w:rStyle w:val="Strong"/>
              </w:rPr>
            </w:pPr>
          </w:p>
          <w:p w14:paraId="7EC9940E" w14:textId="77777777" w:rsidR="00A16E63" w:rsidRDefault="00A16E63" w:rsidP="00AA7552">
            <w:pPr>
              <w:rPr>
                <w:rStyle w:val="Strong"/>
              </w:rPr>
            </w:pPr>
          </w:p>
          <w:p w14:paraId="07E79DAF" w14:textId="77777777" w:rsidR="004A67F9" w:rsidRDefault="004A67F9" w:rsidP="00AA7552">
            <w:pPr>
              <w:rPr>
                <w:rStyle w:val="Strong"/>
              </w:rPr>
            </w:pPr>
            <w:r>
              <w:rPr>
                <w:rStyle w:val="Strong"/>
              </w:rPr>
              <w:t>Correspondence to</w:t>
            </w:r>
          </w:p>
          <w:p w14:paraId="344AC3E4" w14:textId="77777777" w:rsidR="00217214" w:rsidRDefault="00217214" w:rsidP="00AA7552">
            <w:pPr>
              <w:rPr>
                <w:rStyle w:val="Strong"/>
              </w:rPr>
            </w:pPr>
          </w:p>
          <w:p w14:paraId="625D6FC6" w14:textId="7B5984DB" w:rsidR="00A16E63" w:rsidRPr="002D1DD7" w:rsidRDefault="00A16E63" w:rsidP="00AA7552">
            <w:pPr>
              <w:rPr>
                <w:rStyle w:val="Strong"/>
              </w:rPr>
            </w:pPr>
            <w:r>
              <w:rPr>
                <w:rStyle w:val="Strong"/>
              </w:rPr>
              <w:t>Date completed</w:t>
            </w:r>
          </w:p>
        </w:tc>
        <w:tc>
          <w:tcPr>
            <w:tcW w:w="7018" w:type="dxa"/>
            <w:shd w:val="clear" w:color="auto" w:fill="auto"/>
          </w:tcPr>
          <w:p w14:paraId="4B62D038" w14:textId="7449F91D" w:rsidR="001C7215" w:rsidRDefault="001C7215" w:rsidP="006630A0">
            <w:r w:rsidRPr="001C7215">
              <w:lastRenderedPageBreak/>
              <w:t>Peter Murphy, Research Fellow, CRD, University of York</w:t>
            </w:r>
          </w:p>
          <w:p w14:paraId="75745FB3" w14:textId="363F933C" w:rsidR="001C7215" w:rsidRDefault="001C7215" w:rsidP="006630A0">
            <w:r w:rsidRPr="001C7215">
              <w:t>David Glynn, Research Fellow, CHE, University of York</w:t>
            </w:r>
          </w:p>
          <w:p w14:paraId="6A744871" w14:textId="77777777" w:rsidR="001C7215" w:rsidRDefault="001C7215" w:rsidP="001C7215">
            <w:r>
              <w:t>Sofia Dias, Professor, CRD, University of York</w:t>
            </w:r>
          </w:p>
          <w:p w14:paraId="64DA201A" w14:textId="0A0C13BC" w:rsidR="001C7215" w:rsidRDefault="001C7215" w:rsidP="001C7215">
            <w:r>
              <w:t>Rob Hodgson, Research Fellow, CRD, University of York</w:t>
            </w:r>
          </w:p>
          <w:p w14:paraId="7A0C524E" w14:textId="77777777" w:rsidR="001C7215" w:rsidRDefault="001C7215" w:rsidP="001C7215">
            <w:r>
              <w:t>Lindsay Claxton, Research Fellow, CRD, University of York</w:t>
            </w:r>
          </w:p>
          <w:p w14:paraId="1E15F84D" w14:textId="342877A5" w:rsidR="001C7215" w:rsidRDefault="001C7215" w:rsidP="006630A0">
            <w:r>
              <w:t>Lucy Beresford, NIHR Research Training Fellow, CRD, University of York</w:t>
            </w:r>
          </w:p>
          <w:p w14:paraId="70217E12" w14:textId="08C58F45" w:rsidR="001C7215" w:rsidRDefault="001C7215" w:rsidP="006630A0">
            <w:r w:rsidRPr="001C7215">
              <w:t>Katy Cooper, Senior Research Fellow, ScHARR, University of Sheffield</w:t>
            </w:r>
          </w:p>
          <w:p w14:paraId="16F60F61" w14:textId="78B8B734" w:rsidR="001C7215" w:rsidRDefault="001C7215" w:rsidP="006630A0">
            <w:r w:rsidRPr="001C7215">
              <w:t>Paul Tappenden, Professor, ScHARR, University of Sheffield</w:t>
            </w:r>
          </w:p>
          <w:p w14:paraId="389AFBC6" w14:textId="58EAF24E" w:rsidR="001C7215" w:rsidRDefault="001C7215" w:rsidP="006630A0">
            <w:r w:rsidRPr="001C7215">
              <w:t>Kate Ennis, Research Associate, ScHARR, University of Sheffield</w:t>
            </w:r>
          </w:p>
          <w:p w14:paraId="63887B7D" w14:textId="05F64F7E" w:rsidR="001C7215" w:rsidRDefault="001C7215" w:rsidP="00C34F2B">
            <w:r w:rsidRPr="001C7215">
              <w:t>Alessandro Grosso, Research Fellow, CHE, University of York</w:t>
            </w:r>
          </w:p>
          <w:p w14:paraId="28DD771D" w14:textId="1132C3A6" w:rsidR="00C22D56" w:rsidRPr="002D1DD7" w:rsidRDefault="00C22D56" w:rsidP="00C34F2B">
            <w:r>
              <w:t>Kath Wright, Information Service Manager, CRD, University of York</w:t>
            </w:r>
          </w:p>
          <w:p w14:paraId="3E4260AD" w14:textId="5FAFAD69" w:rsidR="006630A0" w:rsidRPr="002D1DD7" w:rsidRDefault="006630A0" w:rsidP="00C34F2B">
            <w:r w:rsidRPr="002D1DD7">
              <w:t>Anna Cantrell, Information Specialist, ScHARR, University of Sheffield</w:t>
            </w:r>
          </w:p>
          <w:p w14:paraId="09B300B7" w14:textId="0741C9EA" w:rsidR="00C34F2B" w:rsidRDefault="00C34F2B" w:rsidP="00C34F2B">
            <w:r w:rsidRPr="002D1DD7">
              <w:t>Matt Stevenson, Professor, ScHARR, University of Sheffield</w:t>
            </w:r>
          </w:p>
          <w:p w14:paraId="01EBB8DB" w14:textId="0A0A4287" w:rsidR="001C7215" w:rsidRDefault="001C7215" w:rsidP="00C34F2B">
            <w:r w:rsidRPr="001C7215">
              <w:t>Stephen Palmer, Professor, CHE, University of York</w:t>
            </w:r>
          </w:p>
          <w:p w14:paraId="46A6FA80" w14:textId="77777777" w:rsidR="00A16E63" w:rsidRDefault="00A16E63" w:rsidP="00C34F2B"/>
          <w:p w14:paraId="773584C4" w14:textId="4E550167" w:rsidR="004A67F9" w:rsidRDefault="00A16E63" w:rsidP="00C34F2B">
            <w:r w:rsidRPr="00A16E63">
              <w:t>Stephen Palmer, CHE, University of Y</w:t>
            </w:r>
            <w:r>
              <w:t>ork</w:t>
            </w:r>
          </w:p>
          <w:p w14:paraId="2E239E64" w14:textId="44F68FBA" w:rsidR="00A16E63" w:rsidRDefault="00A16E63" w:rsidP="00C34F2B">
            <w:r>
              <w:lastRenderedPageBreak/>
              <w:t xml:space="preserve">Email: </w:t>
            </w:r>
            <w:hyperlink r:id="rId8" w:history="1">
              <w:r w:rsidRPr="006772DF">
                <w:rPr>
                  <w:rStyle w:val="Hyperlink"/>
                </w:rPr>
                <w:t>stephen.palmer@york.ac.uk</w:t>
              </w:r>
            </w:hyperlink>
          </w:p>
          <w:p w14:paraId="4636C2DA" w14:textId="316ED82C" w:rsidR="00A16E63" w:rsidRDefault="00A16E63" w:rsidP="00C34F2B">
            <w:r>
              <w:t>2</w:t>
            </w:r>
            <w:r w:rsidR="00065E5F">
              <w:t>8</w:t>
            </w:r>
            <w:r>
              <w:t>/02/2020</w:t>
            </w:r>
          </w:p>
          <w:p w14:paraId="3595F2F5" w14:textId="392C62D6" w:rsidR="00C34F2B" w:rsidRPr="00A16E63" w:rsidRDefault="00C34F2B" w:rsidP="00A16E63"/>
        </w:tc>
      </w:tr>
    </w:tbl>
    <w:p w14:paraId="41E15CAF" w14:textId="3349BEE5" w:rsidR="00A16E63" w:rsidRDefault="00A16E63" w:rsidP="00A16E63">
      <w:pPr>
        <w:rPr>
          <w:rStyle w:val="Strong"/>
        </w:rPr>
      </w:pPr>
      <w:bookmarkStart w:id="2" w:name="_Toc401069373"/>
      <w:bookmarkEnd w:id="1"/>
      <w:r w:rsidRPr="00A16E63">
        <w:rPr>
          <w:rStyle w:val="Strong"/>
        </w:rPr>
        <w:lastRenderedPageBreak/>
        <w:t>Source of funding</w:t>
      </w:r>
    </w:p>
    <w:p w14:paraId="57276B66" w14:textId="6EAEFEBD" w:rsidR="00A16E63" w:rsidRPr="00217214" w:rsidRDefault="00217214" w:rsidP="00217214">
      <w:pPr>
        <w:rPr>
          <w:rStyle w:val="Strong"/>
          <w:b w:val="0"/>
          <w:bCs w:val="0"/>
        </w:rPr>
      </w:pPr>
      <w:r w:rsidRPr="00217214">
        <w:rPr>
          <w:rStyle w:val="Strong"/>
          <w:b w:val="0"/>
          <w:bCs w:val="0"/>
        </w:rPr>
        <w:t xml:space="preserve">This report was commissioned by the </w:t>
      </w:r>
      <w:r w:rsidR="00BE1F41" w:rsidRPr="00BE1F41">
        <w:rPr>
          <w:rStyle w:val="Strong"/>
          <w:b w:val="0"/>
          <w:bCs w:val="0"/>
        </w:rPr>
        <w:t xml:space="preserve">National Institute for Health Research </w:t>
      </w:r>
      <w:r w:rsidR="00BE1F41">
        <w:rPr>
          <w:rStyle w:val="Strong"/>
          <w:b w:val="0"/>
          <w:bCs w:val="0"/>
        </w:rPr>
        <w:t>(</w:t>
      </w:r>
      <w:r w:rsidRPr="00217214">
        <w:rPr>
          <w:rStyle w:val="Strong"/>
          <w:b w:val="0"/>
          <w:bCs w:val="0"/>
        </w:rPr>
        <w:t>NIHR</w:t>
      </w:r>
      <w:r w:rsidR="00BE1F41">
        <w:rPr>
          <w:rStyle w:val="Strong"/>
          <w:b w:val="0"/>
          <w:bCs w:val="0"/>
        </w:rPr>
        <w:t>)</w:t>
      </w:r>
      <w:r w:rsidRPr="00217214">
        <w:rPr>
          <w:rStyle w:val="Strong"/>
          <w:b w:val="0"/>
          <w:bCs w:val="0"/>
        </w:rPr>
        <w:t xml:space="preserve"> HTA Programme as project number </w:t>
      </w:r>
      <w:r w:rsidR="00FE58FF">
        <w:rPr>
          <w:rStyle w:val="Strong"/>
          <w:b w:val="0"/>
          <w:bCs w:val="0"/>
        </w:rPr>
        <w:t>127582.</w:t>
      </w:r>
    </w:p>
    <w:p w14:paraId="002FDC51" w14:textId="77777777" w:rsidR="00A16E63" w:rsidRDefault="00A16E63" w:rsidP="00A16E63">
      <w:pPr>
        <w:pStyle w:val="Titlepageboldsmallheadings"/>
      </w:pPr>
      <w:r w:rsidRPr="00AF1B3D">
        <w:t>Declared competing interests of the authors</w:t>
      </w:r>
    </w:p>
    <w:p w14:paraId="4723B531" w14:textId="77777777" w:rsidR="00A16E63" w:rsidRPr="00AF1B3D" w:rsidRDefault="00A16E63" w:rsidP="00A16E63">
      <w:r w:rsidRPr="00E24A51">
        <w:t xml:space="preserve">All authors have no personal or </w:t>
      </w:r>
      <w:r>
        <w:t>pecuniary conflict of interests.</w:t>
      </w:r>
    </w:p>
    <w:p w14:paraId="3FEAE142" w14:textId="77777777" w:rsidR="00A16E63" w:rsidRDefault="00A16E63" w:rsidP="00A16E63">
      <w:pPr>
        <w:pStyle w:val="Titlepageboldsmallheadings"/>
      </w:pPr>
      <w:r w:rsidRPr="005C0964">
        <w:t>Acknowledgements</w:t>
      </w:r>
    </w:p>
    <w:p w14:paraId="30D07BA4" w14:textId="17D5741E" w:rsidR="00A16E63" w:rsidRPr="005C0964" w:rsidRDefault="00A16E63" w:rsidP="00A16E63">
      <w:r w:rsidRPr="00E24A51">
        <w:t>We acknowledge</w:t>
      </w:r>
      <w:r>
        <w:t xml:space="preserve"> and thank Jacoline Bouvy (Senior Scientific Adviser, NICE) and Sophie Cooper (Scientific Adviser, NICE) for their advice throughout the project and comments on the rep</w:t>
      </w:r>
      <w:r w:rsidR="009E2BB0">
        <w:t>ort.</w:t>
      </w:r>
      <w:r w:rsidR="007B0EAD" w:rsidRPr="007B0EAD">
        <w:t xml:space="preserve"> The report is based on an assessment of a hypothetical case-study and therefore the data generated is not suitable for sharing beyond that contained within the report. Further information can be obtained from the corresponding author.</w:t>
      </w:r>
    </w:p>
    <w:p w14:paraId="4924142D" w14:textId="0E09EF27" w:rsidR="00A16E63" w:rsidRPr="005C0964" w:rsidRDefault="00C51703" w:rsidP="00A16E63">
      <w:pPr>
        <w:pStyle w:val="Titlepageboldsmallheadings"/>
        <w:keepNext/>
      </w:pPr>
      <w:r>
        <w:t>Disclaimer</w:t>
      </w:r>
    </w:p>
    <w:p w14:paraId="057C0157" w14:textId="23E17575" w:rsidR="00BE1F41" w:rsidRDefault="00BE1F41" w:rsidP="00A16E63">
      <w:pPr>
        <w:keepNext/>
      </w:pPr>
      <w:r w:rsidRPr="00BE1F41">
        <w:t xml:space="preserve">This </w:t>
      </w:r>
      <w:r>
        <w:t>report</w:t>
      </w:r>
      <w:r w:rsidRPr="00BE1F41">
        <w:t xml:space="preserve"> presents independent research funded by the</w:t>
      </w:r>
      <w:r>
        <w:t xml:space="preserve"> </w:t>
      </w:r>
      <w:r w:rsidRPr="00BE1F41">
        <w:t xml:space="preserve">NIHR. The views expressed are those of the author(s) and not necessarily those of the NHS, the NIHR or the Department of Health and Social Care. </w:t>
      </w:r>
      <w:r>
        <w:t xml:space="preserve"> </w:t>
      </w:r>
    </w:p>
    <w:p w14:paraId="124EF913" w14:textId="696E5CA3" w:rsidR="00C51703" w:rsidRPr="005C0964" w:rsidRDefault="00C51703" w:rsidP="00A16E63">
      <w:pPr>
        <w:keepNext/>
      </w:pPr>
      <w:r>
        <w:t>T</w:t>
      </w:r>
      <w:r w:rsidRPr="00C51703">
        <w:t>h</w:t>
      </w:r>
      <w:r w:rsidR="00BE1F41">
        <w:t xml:space="preserve">is version of the report has been submitted to the NIHR and is awaiting peer review. The </w:t>
      </w:r>
      <w:r w:rsidRPr="00C51703">
        <w:t xml:space="preserve">final version </w:t>
      </w:r>
      <w:r w:rsidR="00BE1F41">
        <w:t xml:space="preserve">of this report </w:t>
      </w:r>
      <w:r w:rsidRPr="00C51703">
        <w:t xml:space="preserve">will be available from </w:t>
      </w:r>
      <w:r>
        <w:t xml:space="preserve">the NIHR </w:t>
      </w:r>
      <w:r w:rsidRPr="00C51703">
        <w:t>website upon publication</w:t>
      </w:r>
      <w:r>
        <w:t xml:space="preserve">: </w:t>
      </w:r>
      <w:r w:rsidRPr="00C51703">
        <w:t>https://www.journalslibrary.nihr.ac.uk/hta/#/</w:t>
      </w:r>
    </w:p>
    <w:p w14:paraId="4FA7B7FF" w14:textId="0A718FD9" w:rsidR="00A16E63" w:rsidRDefault="00E5525B" w:rsidP="00A16E63">
      <w:pPr>
        <w:rPr>
          <w:b/>
          <w:bCs/>
        </w:rPr>
      </w:pPr>
      <w:r w:rsidRPr="00E5525B">
        <w:rPr>
          <w:b/>
          <w:bCs/>
        </w:rPr>
        <w:t>Contribtion of authors</w:t>
      </w:r>
    </w:p>
    <w:p w14:paraId="521C3406" w14:textId="7097E790" w:rsidR="00E5525B" w:rsidRPr="00E5525B" w:rsidRDefault="00E5525B" w:rsidP="00E5525B">
      <w:r w:rsidRPr="00E5525B">
        <w:t>Peter Murphy</w:t>
      </w:r>
      <w:r>
        <w:t xml:space="preserve"> </w:t>
      </w:r>
      <w:r w:rsidR="007B0EAD">
        <w:t xml:space="preserve">contributed to </w:t>
      </w:r>
      <w:r w:rsidR="007B0EAD" w:rsidRPr="007B0EAD">
        <w:t xml:space="preserve">the review of issues for cost-effectiveness, </w:t>
      </w:r>
      <w:r w:rsidR="007B0EAD">
        <w:t xml:space="preserve">the </w:t>
      </w:r>
      <w:r w:rsidR="00D5473F">
        <w:t xml:space="preserve">application </w:t>
      </w:r>
      <w:r w:rsidR="007B0EAD">
        <w:t>of the Bayeian hierarchical approach</w:t>
      </w:r>
      <w:r w:rsidR="00D5473F">
        <w:t xml:space="preserve">, </w:t>
      </w:r>
      <w:r w:rsidR="007B0EAD">
        <w:t xml:space="preserve">the exemplar case study </w:t>
      </w:r>
      <w:r w:rsidR="007B0EAD" w:rsidRPr="007B0EAD">
        <w:t>and wrote sections of the report.</w:t>
      </w:r>
    </w:p>
    <w:p w14:paraId="1F049DA7" w14:textId="4EC1E82F" w:rsidR="00E5525B" w:rsidRPr="007B0EAD" w:rsidRDefault="00E5525B" w:rsidP="00E5525B">
      <w:r w:rsidRPr="007B0EAD">
        <w:t>David Glynn</w:t>
      </w:r>
      <w:r w:rsidR="007B0EAD" w:rsidRPr="007B0EAD">
        <w:t xml:space="preserve"> developed the decision-framework</w:t>
      </w:r>
      <w:r w:rsidR="00354FCE">
        <w:t>, undertook the analyses using the case study</w:t>
      </w:r>
      <w:r w:rsidR="007B0EAD" w:rsidRPr="007B0EAD">
        <w:t xml:space="preserve"> and wrote sections of the report. </w:t>
      </w:r>
    </w:p>
    <w:p w14:paraId="2042B116" w14:textId="7CFB4DEF" w:rsidR="00D5473F" w:rsidRDefault="00E5525B" w:rsidP="00E5525B">
      <w:r w:rsidRPr="007B0EAD">
        <w:t>Sofia Dias</w:t>
      </w:r>
      <w:r w:rsidR="00D5473F">
        <w:t xml:space="preserve"> </w:t>
      </w:r>
      <w:r w:rsidR="007B0EAD" w:rsidRPr="007B0EAD">
        <w:t xml:space="preserve">had overall responsibility for the clinical </w:t>
      </w:r>
      <w:r w:rsidR="007B0EAD">
        <w:t xml:space="preserve">effectiveness </w:t>
      </w:r>
      <w:r w:rsidR="007B0EAD" w:rsidRPr="007B0EAD">
        <w:t xml:space="preserve">sections of the report. She contributed to the protocol, the </w:t>
      </w:r>
      <w:r w:rsidR="007B0EAD">
        <w:t xml:space="preserve">review of </w:t>
      </w:r>
      <w:r w:rsidR="00D5473F" w:rsidRPr="00D5473F">
        <w:t>statistical literature addressing the design and analysis of histology-independent trials</w:t>
      </w:r>
      <w:r w:rsidR="00D5473F">
        <w:t xml:space="preserve"> </w:t>
      </w:r>
      <w:r w:rsidR="007B0EAD" w:rsidRPr="007B0EAD">
        <w:t>and the writing of the report.</w:t>
      </w:r>
    </w:p>
    <w:p w14:paraId="78EADD17" w14:textId="26CB9667" w:rsidR="00E5525B" w:rsidRPr="007B0EAD" w:rsidRDefault="00E5525B" w:rsidP="00E5525B">
      <w:r w:rsidRPr="007B0EAD">
        <w:lastRenderedPageBreak/>
        <w:t>Rob Hodgson</w:t>
      </w:r>
      <w:r w:rsidR="00D5473F">
        <w:t xml:space="preserve"> contributed to the protocol, the review of issues for cost-effectiveness, </w:t>
      </w:r>
      <w:r w:rsidR="002277E0">
        <w:t xml:space="preserve">diagnostic testing issues, </w:t>
      </w:r>
      <w:r w:rsidR="00D5473F">
        <w:t>the development of the exemplar case study and the writing of the report.</w:t>
      </w:r>
    </w:p>
    <w:p w14:paraId="6530B676" w14:textId="4F3F8A9B" w:rsidR="00E5525B" w:rsidRPr="007B0EAD" w:rsidRDefault="00E5525B" w:rsidP="00E5525B">
      <w:r w:rsidRPr="007B0EAD">
        <w:t>Lindsay Claxton</w:t>
      </w:r>
      <w:r w:rsidR="00D5473F">
        <w:t xml:space="preserve"> contributed to the review of issues for cost-effectiveness and the writing of the report.</w:t>
      </w:r>
    </w:p>
    <w:p w14:paraId="18D4B77E" w14:textId="5E745411" w:rsidR="00E5525B" w:rsidRPr="007B0EAD" w:rsidRDefault="00E5525B" w:rsidP="00E5525B">
      <w:r w:rsidRPr="007B0EAD">
        <w:t>Lucy Beresford</w:t>
      </w:r>
      <w:r w:rsidR="00D5473F">
        <w:t xml:space="preserve"> contributed to the review of diagnostic testing issues and the writing of the rep</w:t>
      </w:r>
      <w:r w:rsidR="00354FCE">
        <w:t>o</w:t>
      </w:r>
      <w:r w:rsidR="00D5473F">
        <w:t>rt.</w:t>
      </w:r>
    </w:p>
    <w:p w14:paraId="33902275" w14:textId="2949B1A4" w:rsidR="00E5525B" w:rsidRPr="007B0EAD" w:rsidRDefault="00E5525B" w:rsidP="00E5525B">
      <w:r w:rsidRPr="007B0EAD">
        <w:t>Katy Cooper</w:t>
      </w:r>
      <w:r w:rsidR="00D5473F" w:rsidRPr="00D5473F">
        <w:t xml:space="preserve"> contributed to the systematic review of surrogate endpoints</w:t>
      </w:r>
      <w:r w:rsidR="00D5473F">
        <w:t xml:space="preserve"> and the writing of the report.</w:t>
      </w:r>
    </w:p>
    <w:p w14:paraId="3B86B97F" w14:textId="7CA094D2" w:rsidR="00E5525B" w:rsidRPr="007B0EAD" w:rsidRDefault="00E5525B" w:rsidP="00E5525B">
      <w:r w:rsidRPr="007B0EAD">
        <w:t>Paul Tappenden</w:t>
      </w:r>
      <w:r w:rsidR="00D5473F">
        <w:t xml:space="preserve"> contributed to the protocol, the systematic review of surrogate endpoints and the writing of the report.</w:t>
      </w:r>
    </w:p>
    <w:p w14:paraId="3A87128E" w14:textId="742DFFE8" w:rsidR="00E5525B" w:rsidRPr="007B0EAD" w:rsidRDefault="00E5525B" w:rsidP="00E5525B">
      <w:r w:rsidRPr="007B0EAD">
        <w:t>Kate Ennis</w:t>
      </w:r>
      <w:r w:rsidR="00D5473F">
        <w:t xml:space="preserve"> contributed to the systematic review of surrogate endpoints</w:t>
      </w:r>
      <w:r w:rsidR="00354FCE">
        <w:t xml:space="preserve"> and the writing of the report</w:t>
      </w:r>
      <w:r w:rsidR="00D5473F">
        <w:t>.</w:t>
      </w:r>
    </w:p>
    <w:p w14:paraId="6ADFAE1F" w14:textId="519A0A0F" w:rsidR="00E5525B" w:rsidRPr="007B0EAD" w:rsidRDefault="00E5525B" w:rsidP="00E5525B">
      <w:r w:rsidRPr="007B0EAD">
        <w:t>Alessandro Grosso</w:t>
      </w:r>
      <w:r w:rsidR="00D5473F">
        <w:t xml:space="preserve"> contributed to the review of regulatory guidance and the review of previous NICE appraisals.</w:t>
      </w:r>
    </w:p>
    <w:p w14:paraId="2227C19E" w14:textId="3E6FFAD0" w:rsidR="00E5525B" w:rsidRPr="007B0EAD" w:rsidRDefault="00E5525B" w:rsidP="00E5525B">
      <w:r w:rsidRPr="007B0EAD">
        <w:t>Kath Wrigh</w:t>
      </w:r>
      <w:r w:rsidR="00D5473F">
        <w:t xml:space="preserve">t undertook the </w:t>
      </w:r>
      <w:r w:rsidR="00D5473F" w:rsidRPr="00D5473F">
        <w:t>searching for studies and managing references</w:t>
      </w:r>
      <w:r w:rsidR="002277E0">
        <w:t xml:space="preserve"> </w:t>
      </w:r>
      <w:r w:rsidR="00354FCE">
        <w:t xml:space="preserve">and wrote sections of the report. </w:t>
      </w:r>
    </w:p>
    <w:p w14:paraId="6A3B82AB" w14:textId="1D14C369" w:rsidR="00E5525B" w:rsidRPr="007B0EAD" w:rsidRDefault="00E5525B" w:rsidP="00E5525B">
      <w:r w:rsidRPr="007B0EAD">
        <w:t>Anna Cantrell</w:t>
      </w:r>
      <w:r w:rsidR="00D5473F">
        <w:t xml:space="preserve"> undertook the seaching for studies and managing references</w:t>
      </w:r>
      <w:r w:rsidR="002277E0">
        <w:t xml:space="preserve"> for the review of surrogates</w:t>
      </w:r>
      <w:r w:rsidR="00354FCE">
        <w:t xml:space="preserve"> and wrote sections of the report.</w:t>
      </w:r>
    </w:p>
    <w:p w14:paraId="0810C3C6" w14:textId="602D3732" w:rsidR="00E5525B" w:rsidRPr="007B0EAD" w:rsidRDefault="00E5525B" w:rsidP="00E5525B">
      <w:r w:rsidRPr="007B0EAD">
        <w:t>Matt Stevenson</w:t>
      </w:r>
      <w:r w:rsidR="00D5473F">
        <w:t xml:space="preserve"> contributed to the protocol and commented on all sections of the report.</w:t>
      </w:r>
    </w:p>
    <w:p w14:paraId="06333AC1" w14:textId="7BAD86BC" w:rsidR="00E5525B" w:rsidRPr="007B0EAD" w:rsidRDefault="00E5525B" w:rsidP="00E5525B">
      <w:r w:rsidRPr="007B0EAD">
        <w:t>Stephen Palmer</w:t>
      </w:r>
      <w:r w:rsidR="00D5473F">
        <w:t xml:space="preserve"> </w:t>
      </w:r>
      <w:r w:rsidR="00D5473F" w:rsidRPr="00D5473F">
        <w:t xml:space="preserve">had overall responsibility for the </w:t>
      </w:r>
      <w:r w:rsidR="001D1DF4">
        <w:t>project</w:t>
      </w:r>
      <w:r w:rsidR="00D5473F" w:rsidRPr="00D5473F">
        <w:t>. He contributed to the protocol and to all aspects of the work including the writing of the report.</w:t>
      </w:r>
    </w:p>
    <w:p w14:paraId="7661BDF3" w14:textId="77777777" w:rsidR="00E5525B" w:rsidRPr="00E5525B" w:rsidRDefault="00E5525B" w:rsidP="00E5525B">
      <w:pPr>
        <w:rPr>
          <w:b/>
          <w:bCs/>
        </w:rPr>
      </w:pPr>
    </w:p>
    <w:p w14:paraId="41A8246A" w14:textId="77777777" w:rsidR="00E5525B" w:rsidRPr="00E5525B" w:rsidRDefault="00E5525B" w:rsidP="00A16E63">
      <w:pPr>
        <w:rPr>
          <w:b/>
          <w:bCs/>
        </w:rPr>
      </w:pPr>
    </w:p>
    <w:p w14:paraId="4506E51D" w14:textId="3490531E" w:rsidR="009E2BB0" w:rsidRDefault="009E2BB0">
      <w:r>
        <w:br w:type="page"/>
      </w:r>
    </w:p>
    <w:p w14:paraId="3458E039" w14:textId="6F17667A" w:rsidR="000B2A8F" w:rsidRPr="000B2A8F" w:rsidRDefault="00A812B0" w:rsidP="008E70BE">
      <w:pPr>
        <w:pStyle w:val="Nonnumberedheading1"/>
      </w:pPr>
      <w:bookmarkStart w:id="3" w:name="_Toc33776138"/>
      <w:r>
        <w:lastRenderedPageBreak/>
        <w:t>Abbreviations</w:t>
      </w:r>
      <w:bookmarkEnd w:id="3"/>
    </w:p>
    <w:tbl>
      <w:tblPr>
        <w:tblStyle w:val="TableGrid"/>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5898"/>
      </w:tblGrid>
      <w:tr w:rsidR="002F0112" w:rsidRPr="00370367" w14:paraId="6DC4D825" w14:textId="77777777" w:rsidTr="009021AF">
        <w:trPr>
          <w:trHeight w:val="300"/>
        </w:trPr>
        <w:tc>
          <w:tcPr>
            <w:tcW w:w="1048" w:type="dxa"/>
            <w:shd w:val="clear" w:color="auto" w:fill="auto"/>
            <w:noWrap/>
          </w:tcPr>
          <w:p w14:paraId="0E4D8A08" w14:textId="12705C34" w:rsidR="002F0112" w:rsidRPr="009021AF" w:rsidRDefault="002F0112" w:rsidP="0081205B">
            <w:r w:rsidRPr="009021AF">
              <w:t>AD</w:t>
            </w:r>
          </w:p>
        </w:tc>
        <w:tc>
          <w:tcPr>
            <w:tcW w:w="5898" w:type="dxa"/>
            <w:shd w:val="clear" w:color="auto" w:fill="auto"/>
            <w:noWrap/>
          </w:tcPr>
          <w:p w14:paraId="4FB4FFC4" w14:textId="2078A453" w:rsidR="002F0112" w:rsidRPr="009021AF" w:rsidRDefault="002F0112" w:rsidP="0081205B">
            <w:r w:rsidRPr="009021AF">
              <w:t>Aggregate data</w:t>
            </w:r>
          </w:p>
        </w:tc>
      </w:tr>
      <w:tr w:rsidR="007E0C61" w:rsidRPr="00370367" w14:paraId="671CFC88" w14:textId="77777777" w:rsidTr="009021AF">
        <w:trPr>
          <w:trHeight w:val="300"/>
        </w:trPr>
        <w:tc>
          <w:tcPr>
            <w:tcW w:w="1048" w:type="dxa"/>
            <w:shd w:val="clear" w:color="auto" w:fill="auto"/>
            <w:noWrap/>
          </w:tcPr>
          <w:p w14:paraId="7A0FC8C1" w14:textId="0F9EF22E" w:rsidR="007E0C61" w:rsidRPr="009021AF" w:rsidRDefault="007E0C61" w:rsidP="0081205B">
            <w:r w:rsidRPr="009021AF">
              <w:t>ALK</w:t>
            </w:r>
          </w:p>
        </w:tc>
        <w:tc>
          <w:tcPr>
            <w:tcW w:w="5898" w:type="dxa"/>
            <w:shd w:val="clear" w:color="auto" w:fill="auto"/>
            <w:noWrap/>
          </w:tcPr>
          <w:p w14:paraId="4A95925E" w14:textId="4CF895F3" w:rsidR="007E0C61" w:rsidRPr="009021AF" w:rsidRDefault="007E0C61" w:rsidP="0081205B">
            <w:r w:rsidRPr="009021AF">
              <w:t>Anaplastic lymphoma kinase</w:t>
            </w:r>
          </w:p>
        </w:tc>
      </w:tr>
      <w:tr w:rsidR="002F0112" w:rsidRPr="00370367" w14:paraId="03E65D84" w14:textId="77777777" w:rsidTr="009021AF">
        <w:trPr>
          <w:trHeight w:val="300"/>
        </w:trPr>
        <w:tc>
          <w:tcPr>
            <w:tcW w:w="1048" w:type="dxa"/>
            <w:shd w:val="clear" w:color="auto" w:fill="auto"/>
            <w:noWrap/>
          </w:tcPr>
          <w:p w14:paraId="1440E4BE" w14:textId="11667000" w:rsidR="002F0112" w:rsidRPr="009021AF" w:rsidRDefault="002F0112" w:rsidP="0081205B">
            <w:r w:rsidRPr="009021AF">
              <w:t>AML</w:t>
            </w:r>
          </w:p>
        </w:tc>
        <w:tc>
          <w:tcPr>
            <w:tcW w:w="5898" w:type="dxa"/>
            <w:shd w:val="clear" w:color="auto" w:fill="auto"/>
            <w:noWrap/>
          </w:tcPr>
          <w:p w14:paraId="18941495" w14:textId="5C678566" w:rsidR="002F0112" w:rsidRPr="009021AF" w:rsidRDefault="002F0112" w:rsidP="0081205B">
            <w:r w:rsidRPr="009021AF">
              <w:t>Acute myeloid leukameia</w:t>
            </w:r>
          </w:p>
        </w:tc>
      </w:tr>
      <w:tr w:rsidR="00B16F81" w:rsidRPr="00370367" w14:paraId="5769468F" w14:textId="77777777" w:rsidTr="009021AF">
        <w:trPr>
          <w:trHeight w:val="300"/>
        </w:trPr>
        <w:tc>
          <w:tcPr>
            <w:tcW w:w="1048" w:type="dxa"/>
            <w:shd w:val="clear" w:color="auto" w:fill="auto"/>
            <w:noWrap/>
          </w:tcPr>
          <w:p w14:paraId="39DB45D2" w14:textId="3658FE5A" w:rsidR="00B16F81" w:rsidRPr="009021AF" w:rsidRDefault="00B16F81" w:rsidP="0081205B">
            <w:r w:rsidRPr="009021AF">
              <w:t>BHM</w:t>
            </w:r>
          </w:p>
        </w:tc>
        <w:tc>
          <w:tcPr>
            <w:tcW w:w="5898" w:type="dxa"/>
            <w:shd w:val="clear" w:color="auto" w:fill="auto"/>
            <w:noWrap/>
          </w:tcPr>
          <w:p w14:paraId="2C125C3C" w14:textId="38216B5F" w:rsidR="00B16F81" w:rsidRPr="009021AF" w:rsidRDefault="00B16F81" w:rsidP="0081205B">
            <w:r w:rsidRPr="009021AF">
              <w:t>Bayesian hierarchical model</w:t>
            </w:r>
          </w:p>
        </w:tc>
      </w:tr>
      <w:tr w:rsidR="003B1037" w:rsidRPr="00370367" w14:paraId="37E1E125" w14:textId="77777777" w:rsidTr="009021AF">
        <w:trPr>
          <w:trHeight w:val="300"/>
        </w:trPr>
        <w:tc>
          <w:tcPr>
            <w:tcW w:w="1048" w:type="dxa"/>
            <w:shd w:val="clear" w:color="auto" w:fill="auto"/>
            <w:noWrap/>
          </w:tcPr>
          <w:p w14:paraId="1E28B932" w14:textId="2D9DA86C" w:rsidR="003B1037" w:rsidRPr="009021AF" w:rsidRDefault="003B1037" w:rsidP="0081205B">
            <w:r w:rsidRPr="009021AF">
              <w:t>BICR</w:t>
            </w:r>
          </w:p>
        </w:tc>
        <w:tc>
          <w:tcPr>
            <w:tcW w:w="5898" w:type="dxa"/>
            <w:shd w:val="clear" w:color="auto" w:fill="auto"/>
            <w:noWrap/>
          </w:tcPr>
          <w:p w14:paraId="1B557122" w14:textId="2E8367E7" w:rsidR="003B1037" w:rsidRPr="009021AF" w:rsidRDefault="003B1037" w:rsidP="0081205B">
            <w:r w:rsidRPr="009021AF">
              <w:t>Blinded independent central radiologist</w:t>
            </w:r>
          </w:p>
        </w:tc>
      </w:tr>
      <w:tr w:rsidR="00452D26" w:rsidRPr="00370367" w14:paraId="1F125A22" w14:textId="77777777" w:rsidTr="009021AF">
        <w:trPr>
          <w:trHeight w:val="300"/>
        </w:trPr>
        <w:tc>
          <w:tcPr>
            <w:tcW w:w="1048" w:type="dxa"/>
            <w:shd w:val="clear" w:color="auto" w:fill="auto"/>
            <w:noWrap/>
          </w:tcPr>
          <w:p w14:paraId="67B17F88" w14:textId="00614CBF" w:rsidR="00452D26" w:rsidRPr="00452D26" w:rsidRDefault="00452D26" w:rsidP="0081205B">
            <w:r w:rsidRPr="00452D26">
              <w:t>BRMA</w:t>
            </w:r>
          </w:p>
        </w:tc>
        <w:tc>
          <w:tcPr>
            <w:tcW w:w="5898" w:type="dxa"/>
            <w:shd w:val="clear" w:color="auto" w:fill="auto"/>
            <w:noWrap/>
          </w:tcPr>
          <w:p w14:paraId="1F767926" w14:textId="3281D61E" w:rsidR="00452D26" w:rsidRPr="00452D26" w:rsidRDefault="00452D26" w:rsidP="0081205B">
            <w:r w:rsidRPr="00452D26">
              <w:t>Bivariate random effects meta-analysis</w:t>
            </w:r>
          </w:p>
        </w:tc>
      </w:tr>
      <w:tr w:rsidR="00B16F81" w:rsidRPr="00370367" w14:paraId="6A0AD305" w14:textId="77777777" w:rsidTr="009021AF">
        <w:trPr>
          <w:trHeight w:val="300"/>
        </w:trPr>
        <w:tc>
          <w:tcPr>
            <w:tcW w:w="1048" w:type="dxa"/>
            <w:shd w:val="clear" w:color="auto" w:fill="auto"/>
            <w:noWrap/>
          </w:tcPr>
          <w:p w14:paraId="291F7818" w14:textId="684D03E0" w:rsidR="00B16F81" w:rsidRPr="009021AF" w:rsidRDefault="00B16F81" w:rsidP="0081205B">
            <w:r w:rsidRPr="009021AF">
              <w:t>BSES</w:t>
            </w:r>
          </w:p>
        </w:tc>
        <w:tc>
          <w:tcPr>
            <w:tcW w:w="5898" w:type="dxa"/>
            <w:shd w:val="clear" w:color="auto" w:fill="auto"/>
            <w:noWrap/>
          </w:tcPr>
          <w:p w14:paraId="374EEDF0" w14:textId="2B5433B3" w:rsidR="00B16F81" w:rsidRPr="009021AF" w:rsidRDefault="00B16F81" w:rsidP="0081205B">
            <w:r w:rsidRPr="009021AF">
              <w:t>Biomarker-Surrogate Evaluation Schema criteria</w:t>
            </w:r>
          </w:p>
        </w:tc>
      </w:tr>
      <w:tr w:rsidR="003B1037" w:rsidRPr="00370367" w14:paraId="4FB6C4B6" w14:textId="77777777" w:rsidTr="009021AF">
        <w:trPr>
          <w:trHeight w:val="300"/>
        </w:trPr>
        <w:tc>
          <w:tcPr>
            <w:tcW w:w="1048" w:type="dxa"/>
            <w:shd w:val="clear" w:color="auto" w:fill="auto"/>
            <w:noWrap/>
          </w:tcPr>
          <w:p w14:paraId="0612194C" w14:textId="664ABCFA" w:rsidR="003B1037" w:rsidRPr="009021AF" w:rsidRDefault="003B1037" w:rsidP="0081205B">
            <w:r w:rsidRPr="009021AF">
              <w:t>BSWP</w:t>
            </w:r>
          </w:p>
        </w:tc>
        <w:tc>
          <w:tcPr>
            <w:tcW w:w="5898" w:type="dxa"/>
            <w:shd w:val="clear" w:color="auto" w:fill="auto"/>
            <w:noWrap/>
          </w:tcPr>
          <w:p w14:paraId="7F613838" w14:textId="7F4BB486" w:rsidR="003B1037" w:rsidRPr="009021AF" w:rsidRDefault="003B1037" w:rsidP="0081205B">
            <w:r w:rsidRPr="009021AF">
              <w:t>Biostatistics working party</w:t>
            </w:r>
          </w:p>
        </w:tc>
      </w:tr>
      <w:tr w:rsidR="002F0112" w:rsidRPr="00370367" w14:paraId="5C49D79C" w14:textId="77777777" w:rsidTr="009021AF">
        <w:trPr>
          <w:trHeight w:val="300"/>
        </w:trPr>
        <w:tc>
          <w:tcPr>
            <w:tcW w:w="1048" w:type="dxa"/>
            <w:shd w:val="clear" w:color="auto" w:fill="auto"/>
            <w:noWrap/>
          </w:tcPr>
          <w:p w14:paraId="5A6C6811" w14:textId="25B8D712" w:rsidR="002F0112" w:rsidRPr="009021AF" w:rsidRDefault="002F0112" w:rsidP="0081205B">
            <w:r w:rsidRPr="009021AF">
              <w:t>BTC</w:t>
            </w:r>
          </w:p>
        </w:tc>
        <w:tc>
          <w:tcPr>
            <w:tcW w:w="5898" w:type="dxa"/>
            <w:shd w:val="clear" w:color="auto" w:fill="auto"/>
            <w:noWrap/>
          </w:tcPr>
          <w:p w14:paraId="0BE14612" w14:textId="28D8AA43" w:rsidR="002F0112" w:rsidRPr="009021AF" w:rsidRDefault="002F0112" w:rsidP="0081205B">
            <w:r w:rsidRPr="009021AF">
              <w:t>Biliary tract cancer</w:t>
            </w:r>
          </w:p>
        </w:tc>
      </w:tr>
      <w:tr w:rsidR="001E1399" w:rsidRPr="00370367" w14:paraId="08320A56" w14:textId="77777777" w:rsidTr="009021AF">
        <w:trPr>
          <w:trHeight w:val="300"/>
        </w:trPr>
        <w:tc>
          <w:tcPr>
            <w:tcW w:w="1048" w:type="dxa"/>
            <w:shd w:val="clear" w:color="auto" w:fill="auto"/>
            <w:noWrap/>
          </w:tcPr>
          <w:p w14:paraId="22731439" w14:textId="3B2725DE" w:rsidR="001E1399" w:rsidRPr="009021AF" w:rsidRDefault="001E1399" w:rsidP="0081205B">
            <w:r w:rsidRPr="009021AF">
              <w:t>CADTH</w:t>
            </w:r>
          </w:p>
        </w:tc>
        <w:tc>
          <w:tcPr>
            <w:tcW w:w="5898" w:type="dxa"/>
            <w:shd w:val="clear" w:color="auto" w:fill="auto"/>
            <w:noWrap/>
          </w:tcPr>
          <w:p w14:paraId="33DB8961" w14:textId="2F67905D" w:rsidR="001E1399" w:rsidRPr="009021AF" w:rsidRDefault="001E1399" w:rsidP="0081205B">
            <w:r w:rsidRPr="009021AF">
              <w:t>Canadian Agency for Drugs and Technologies in Health</w:t>
            </w:r>
          </w:p>
        </w:tc>
      </w:tr>
      <w:tr w:rsidR="003B1037" w:rsidRPr="00370367" w14:paraId="3E536AAC" w14:textId="77777777" w:rsidTr="009021AF">
        <w:trPr>
          <w:trHeight w:val="300"/>
        </w:trPr>
        <w:tc>
          <w:tcPr>
            <w:tcW w:w="1048" w:type="dxa"/>
            <w:shd w:val="clear" w:color="auto" w:fill="auto"/>
            <w:noWrap/>
          </w:tcPr>
          <w:p w14:paraId="75D3113D" w14:textId="0672BC55" w:rsidR="003B1037" w:rsidRPr="009021AF" w:rsidRDefault="003B1037" w:rsidP="0081205B">
            <w:r w:rsidRPr="009021AF">
              <w:t>CDF</w:t>
            </w:r>
          </w:p>
        </w:tc>
        <w:tc>
          <w:tcPr>
            <w:tcW w:w="5898" w:type="dxa"/>
            <w:shd w:val="clear" w:color="auto" w:fill="auto"/>
            <w:noWrap/>
          </w:tcPr>
          <w:p w14:paraId="3D49411B" w14:textId="10EB4D89" w:rsidR="003B1037" w:rsidRPr="009021AF" w:rsidRDefault="003B1037" w:rsidP="0081205B">
            <w:r w:rsidRPr="009021AF">
              <w:t>Cancer Drugs Fund</w:t>
            </w:r>
          </w:p>
        </w:tc>
      </w:tr>
      <w:tr w:rsidR="0081205B" w:rsidRPr="00370367" w14:paraId="03396B6B" w14:textId="77777777" w:rsidTr="009021AF">
        <w:trPr>
          <w:trHeight w:val="300"/>
        </w:trPr>
        <w:tc>
          <w:tcPr>
            <w:tcW w:w="1048" w:type="dxa"/>
            <w:shd w:val="clear" w:color="auto" w:fill="auto"/>
            <w:noWrap/>
          </w:tcPr>
          <w:p w14:paraId="09D7F9BD" w14:textId="3A27E034" w:rsidR="0081205B" w:rsidRPr="009021AF" w:rsidRDefault="0081205B" w:rsidP="0081205B">
            <w:r w:rsidRPr="009021AF">
              <w:t>CHE</w:t>
            </w:r>
          </w:p>
        </w:tc>
        <w:tc>
          <w:tcPr>
            <w:tcW w:w="5898" w:type="dxa"/>
            <w:shd w:val="clear" w:color="auto" w:fill="auto"/>
            <w:noWrap/>
          </w:tcPr>
          <w:p w14:paraId="3D94742B" w14:textId="389E8EEA" w:rsidR="0081205B" w:rsidRPr="009021AF" w:rsidRDefault="0081205B" w:rsidP="0081205B">
            <w:r w:rsidRPr="009021AF">
              <w:t>Centre for Health Economics</w:t>
            </w:r>
          </w:p>
        </w:tc>
      </w:tr>
      <w:tr w:rsidR="003B1037" w:rsidRPr="00370367" w14:paraId="57359411" w14:textId="77777777" w:rsidTr="009021AF">
        <w:trPr>
          <w:trHeight w:val="300"/>
        </w:trPr>
        <w:tc>
          <w:tcPr>
            <w:tcW w:w="1048" w:type="dxa"/>
            <w:shd w:val="clear" w:color="auto" w:fill="auto"/>
            <w:noWrap/>
          </w:tcPr>
          <w:p w14:paraId="6FCB4855" w14:textId="5694A653" w:rsidR="003B1037" w:rsidRPr="009021AF" w:rsidRDefault="003B1037" w:rsidP="0081205B">
            <w:r w:rsidRPr="009021AF">
              <w:t>CHF</w:t>
            </w:r>
          </w:p>
        </w:tc>
        <w:tc>
          <w:tcPr>
            <w:tcW w:w="5898" w:type="dxa"/>
            <w:shd w:val="clear" w:color="auto" w:fill="auto"/>
            <w:noWrap/>
          </w:tcPr>
          <w:p w14:paraId="64A2DE43" w14:textId="122FAABB" w:rsidR="003B1037" w:rsidRPr="009021AF" w:rsidRDefault="003B1037" w:rsidP="0081205B">
            <w:r w:rsidRPr="009021AF">
              <w:t>Congestive heart failure</w:t>
            </w:r>
          </w:p>
        </w:tc>
      </w:tr>
      <w:tr w:rsidR="003B1037" w:rsidRPr="00370367" w14:paraId="2C421291" w14:textId="77777777" w:rsidTr="009021AF">
        <w:trPr>
          <w:trHeight w:val="300"/>
        </w:trPr>
        <w:tc>
          <w:tcPr>
            <w:tcW w:w="1048" w:type="dxa"/>
            <w:shd w:val="clear" w:color="auto" w:fill="auto"/>
            <w:noWrap/>
          </w:tcPr>
          <w:p w14:paraId="5CE127B6" w14:textId="2E338653" w:rsidR="003B1037" w:rsidRPr="009021AF" w:rsidRDefault="003B1037" w:rsidP="0081205B">
            <w:r w:rsidRPr="009021AF">
              <w:t>CHMP</w:t>
            </w:r>
          </w:p>
        </w:tc>
        <w:tc>
          <w:tcPr>
            <w:tcW w:w="5898" w:type="dxa"/>
            <w:shd w:val="clear" w:color="auto" w:fill="auto"/>
            <w:noWrap/>
          </w:tcPr>
          <w:p w14:paraId="44BD4663" w14:textId="4304C157" w:rsidR="003B1037" w:rsidRPr="009021AF" w:rsidRDefault="003B1037" w:rsidP="0081205B">
            <w:r w:rsidRPr="009021AF">
              <w:t>Committee for Medicinal Products for Human Use</w:t>
            </w:r>
          </w:p>
        </w:tc>
      </w:tr>
      <w:tr w:rsidR="003B1037" w:rsidRPr="00370367" w14:paraId="04CC0D12" w14:textId="77777777" w:rsidTr="009021AF">
        <w:trPr>
          <w:trHeight w:val="300"/>
        </w:trPr>
        <w:tc>
          <w:tcPr>
            <w:tcW w:w="1048" w:type="dxa"/>
            <w:shd w:val="clear" w:color="auto" w:fill="auto"/>
            <w:noWrap/>
          </w:tcPr>
          <w:p w14:paraId="47DBD823" w14:textId="437F2171" w:rsidR="003B1037" w:rsidRPr="009021AF" w:rsidRDefault="003B1037" w:rsidP="0081205B">
            <w:r w:rsidRPr="009021AF">
              <w:t>CI</w:t>
            </w:r>
          </w:p>
        </w:tc>
        <w:tc>
          <w:tcPr>
            <w:tcW w:w="5898" w:type="dxa"/>
            <w:shd w:val="clear" w:color="auto" w:fill="auto"/>
            <w:noWrap/>
          </w:tcPr>
          <w:p w14:paraId="57FFA0E3" w14:textId="5E27CA2B" w:rsidR="003B1037" w:rsidRPr="009021AF" w:rsidRDefault="003B1037" w:rsidP="0081205B">
            <w:r w:rsidRPr="009021AF">
              <w:t>Confidence interval</w:t>
            </w:r>
          </w:p>
        </w:tc>
      </w:tr>
      <w:tr w:rsidR="007E0C61" w:rsidRPr="00370367" w14:paraId="4A6C4FF3" w14:textId="77777777" w:rsidTr="009021AF">
        <w:trPr>
          <w:trHeight w:val="300"/>
        </w:trPr>
        <w:tc>
          <w:tcPr>
            <w:tcW w:w="1048" w:type="dxa"/>
            <w:shd w:val="clear" w:color="auto" w:fill="auto"/>
            <w:noWrap/>
          </w:tcPr>
          <w:p w14:paraId="4CC48395" w14:textId="46101126" w:rsidR="007E0C61" w:rsidRPr="009021AF" w:rsidRDefault="007E0C61" w:rsidP="0081205B">
            <w:r w:rsidRPr="009021AF">
              <w:t>CMN</w:t>
            </w:r>
          </w:p>
        </w:tc>
        <w:tc>
          <w:tcPr>
            <w:tcW w:w="5898" w:type="dxa"/>
            <w:shd w:val="clear" w:color="auto" w:fill="auto"/>
            <w:noWrap/>
          </w:tcPr>
          <w:p w14:paraId="29F8D767" w14:textId="14566ED5" w:rsidR="007E0C61" w:rsidRPr="009021AF" w:rsidRDefault="007E0C61" w:rsidP="0081205B">
            <w:r w:rsidRPr="009021AF">
              <w:t>Congenital mesoblastic nephroma</w:t>
            </w:r>
          </w:p>
        </w:tc>
      </w:tr>
      <w:tr w:rsidR="003B1037" w:rsidRPr="00370367" w14:paraId="41173992" w14:textId="77777777" w:rsidTr="009021AF">
        <w:trPr>
          <w:trHeight w:val="300"/>
        </w:trPr>
        <w:tc>
          <w:tcPr>
            <w:tcW w:w="1048" w:type="dxa"/>
            <w:shd w:val="clear" w:color="auto" w:fill="auto"/>
            <w:noWrap/>
          </w:tcPr>
          <w:p w14:paraId="5C75D0CF" w14:textId="3EEC0D99" w:rsidR="003B1037" w:rsidRPr="009021AF" w:rsidRDefault="003B1037" w:rsidP="0081205B">
            <w:r w:rsidRPr="009021AF">
              <w:t>CNS</w:t>
            </w:r>
          </w:p>
        </w:tc>
        <w:tc>
          <w:tcPr>
            <w:tcW w:w="5898" w:type="dxa"/>
            <w:shd w:val="clear" w:color="auto" w:fill="auto"/>
            <w:noWrap/>
          </w:tcPr>
          <w:p w14:paraId="2ED87542" w14:textId="1BEFBE4A" w:rsidR="003B1037" w:rsidRPr="009021AF" w:rsidRDefault="003B1037" w:rsidP="0081205B">
            <w:r w:rsidRPr="009021AF">
              <w:t>Central nervous system</w:t>
            </w:r>
          </w:p>
        </w:tc>
      </w:tr>
      <w:tr w:rsidR="00B16F81" w:rsidRPr="00370367" w14:paraId="60842CA0" w14:textId="77777777" w:rsidTr="009021AF">
        <w:trPr>
          <w:trHeight w:val="300"/>
        </w:trPr>
        <w:tc>
          <w:tcPr>
            <w:tcW w:w="1048" w:type="dxa"/>
            <w:shd w:val="clear" w:color="auto" w:fill="auto"/>
            <w:noWrap/>
          </w:tcPr>
          <w:p w14:paraId="1D294B8F" w14:textId="4A9467F3" w:rsidR="00B16F81" w:rsidRPr="009021AF" w:rsidRDefault="00B16F81" w:rsidP="0081205B">
            <w:r w:rsidRPr="009021AF">
              <w:t>CR</w:t>
            </w:r>
          </w:p>
        </w:tc>
        <w:tc>
          <w:tcPr>
            <w:tcW w:w="5898" w:type="dxa"/>
            <w:shd w:val="clear" w:color="auto" w:fill="auto"/>
            <w:noWrap/>
          </w:tcPr>
          <w:p w14:paraId="54446FDC" w14:textId="31E5DA16" w:rsidR="00B16F81" w:rsidRPr="009021AF" w:rsidRDefault="00B16F81" w:rsidP="0081205B">
            <w:r w:rsidRPr="009021AF">
              <w:t>Complete response</w:t>
            </w:r>
          </w:p>
        </w:tc>
      </w:tr>
      <w:tr w:rsidR="003B1037" w:rsidRPr="00370367" w14:paraId="760C3E5C" w14:textId="77777777" w:rsidTr="009021AF">
        <w:trPr>
          <w:trHeight w:val="300"/>
        </w:trPr>
        <w:tc>
          <w:tcPr>
            <w:tcW w:w="1048" w:type="dxa"/>
            <w:shd w:val="clear" w:color="auto" w:fill="auto"/>
            <w:noWrap/>
          </w:tcPr>
          <w:p w14:paraId="135CD542" w14:textId="10AAF4BE" w:rsidR="003B1037" w:rsidRPr="009021AF" w:rsidRDefault="003B1037" w:rsidP="0081205B">
            <w:r w:rsidRPr="009021AF">
              <w:t>CRC</w:t>
            </w:r>
          </w:p>
        </w:tc>
        <w:tc>
          <w:tcPr>
            <w:tcW w:w="5898" w:type="dxa"/>
            <w:shd w:val="clear" w:color="auto" w:fill="auto"/>
            <w:noWrap/>
          </w:tcPr>
          <w:p w14:paraId="6B6E003E" w14:textId="4E1181FE" w:rsidR="003B1037" w:rsidRPr="009021AF" w:rsidRDefault="003B1037" w:rsidP="0081205B">
            <w:r w:rsidRPr="009021AF">
              <w:t>Colorectal cancer</w:t>
            </w:r>
          </w:p>
        </w:tc>
      </w:tr>
      <w:tr w:rsidR="003B1037" w:rsidRPr="00370367" w14:paraId="0E2870E4" w14:textId="77777777" w:rsidTr="009021AF">
        <w:trPr>
          <w:trHeight w:val="300"/>
        </w:trPr>
        <w:tc>
          <w:tcPr>
            <w:tcW w:w="1048" w:type="dxa"/>
            <w:shd w:val="clear" w:color="auto" w:fill="auto"/>
            <w:noWrap/>
          </w:tcPr>
          <w:p w14:paraId="08268561" w14:textId="44106DC0" w:rsidR="003B1037" w:rsidRPr="009021AF" w:rsidRDefault="003B1037" w:rsidP="0081205B">
            <w:r w:rsidRPr="009021AF">
              <w:t>CRD</w:t>
            </w:r>
          </w:p>
        </w:tc>
        <w:tc>
          <w:tcPr>
            <w:tcW w:w="5898" w:type="dxa"/>
            <w:shd w:val="clear" w:color="auto" w:fill="auto"/>
            <w:noWrap/>
          </w:tcPr>
          <w:p w14:paraId="48D77ECE" w14:textId="7697D822" w:rsidR="003B1037" w:rsidRPr="009021AF" w:rsidRDefault="003B1037" w:rsidP="0081205B">
            <w:r w:rsidRPr="009021AF">
              <w:t>Centre for Reviews and Dissemination</w:t>
            </w:r>
          </w:p>
        </w:tc>
      </w:tr>
      <w:tr w:rsidR="001706F8" w:rsidRPr="00370367" w14:paraId="69F84304" w14:textId="77777777" w:rsidTr="009021AF">
        <w:trPr>
          <w:trHeight w:val="300"/>
        </w:trPr>
        <w:tc>
          <w:tcPr>
            <w:tcW w:w="1048" w:type="dxa"/>
            <w:shd w:val="clear" w:color="auto" w:fill="auto"/>
            <w:noWrap/>
          </w:tcPr>
          <w:p w14:paraId="7D8F6200" w14:textId="153174AA" w:rsidR="001706F8" w:rsidRPr="001706F8" w:rsidRDefault="001706F8" w:rsidP="0081205B">
            <w:r w:rsidRPr="001706F8">
              <w:t>CrI</w:t>
            </w:r>
          </w:p>
        </w:tc>
        <w:tc>
          <w:tcPr>
            <w:tcW w:w="5898" w:type="dxa"/>
            <w:shd w:val="clear" w:color="auto" w:fill="auto"/>
            <w:noWrap/>
          </w:tcPr>
          <w:p w14:paraId="00AF8E71" w14:textId="3D56F071" w:rsidR="001706F8" w:rsidRPr="001706F8" w:rsidRDefault="001706F8" w:rsidP="0081205B">
            <w:r w:rsidRPr="001706F8">
              <w:t>Credible interval</w:t>
            </w:r>
          </w:p>
        </w:tc>
      </w:tr>
      <w:tr w:rsidR="00293545" w:rsidRPr="00370367" w14:paraId="465FC1EB" w14:textId="77777777" w:rsidTr="009021AF">
        <w:trPr>
          <w:trHeight w:val="300"/>
        </w:trPr>
        <w:tc>
          <w:tcPr>
            <w:tcW w:w="1048" w:type="dxa"/>
            <w:shd w:val="clear" w:color="auto" w:fill="auto"/>
            <w:noWrap/>
          </w:tcPr>
          <w:p w14:paraId="52CFFF74" w14:textId="607EAABF" w:rsidR="00293545" w:rsidRPr="009021AF" w:rsidRDefault="00293545" w:rsidP="0081205B">
            <w:r w:rsidRPr="009021AF">
              <w:t>ctDNA</w:t>
            </w:r>
          </w:p>
        </w:tc>
        <w:tc>
          <w:tcPr>
            <w:tcW w:w="5898" w:type="dxa"/>
            <w:shd w:val="clear" w:color="auto" w:fill="auto"/>
            <w:noWrap/>
          </w:tcPr>
          <w:p w14:paraId="1087D76A" w14:textId="27120C9F" w:rsidR="00293545" w:rsidRPr="009021AF" w:rsidRDefault="00293545" w:rsidP="0081205B">
            <w:r w:rsidRPr="009021AF">
              <w:t>Circulating tumour DNA</w:t>
            </w:r>
          </w:p>
        </w:tc>
      </w:tr>
      <w:tr w:rsidR="0081205B" w:rsidRPr="00370367" w14:paraId="4C8ACA23" w14:textId="77777777" w:rsidTr="009021AF">
        <w:trPr>
          <w:trHeight w:val="300"/>
        </w:trPr>
        <w:tc>
          <w:tcPr>
            <w:tcW w:w="1048" w:type="dxa"/>
            <w:shd w:val="clear" w:color="auto" w:fill="auto"/>
            <w:noWrap/>
          </w:tcPr>
          <w:p w14:paraId="1CB143E3" w14:textId="202107E1" w:rsidR="0081205B" w:rsidRPr="009021AF" w:rsidRDefault="0081205B" w:rsidP="0081205B">
            <w:r w:rsidRPr="009021AF">
              <w:t>dMMR</w:t>
            </w:r>
          </w:p>
        </w:tc>
        <w:tc>
          <w:tcPr>
            <w:tcW w:w="5898" w:type="dxa"/>
            <w:shd w:val="clear" w:color="auto" w:fill="auto"/>
            <w:noWrap/>
          </w:tcPr>
          <w:p w14:paraId="57860C18" w14:textId="457312EE" w:rsidR="0081205B" w:rsidRPr="009021AF" w:rsidRDefault="0086402E" w:rsidP="0081205B">
            <w:r>
              <w:t xml:space="preserve">deficient </w:t>
            </w:r>
            <w:r w:rsidR="0081205B" w:rsidRPr="009021AF">
              <w:t xml:space="preserve">Mismatch repair </w:t>
            </w:r>
          </w:p>
        </w:tc>
      </w:tr>
      <w:tr w:rsidR="003B1037" w:rsidRPr="00370367" w14:paraId="3661956C" w14:textId="77777777" w:rsidTr="009021AF">
        <w:trPr>
          <w:trHeight w:val="300"/>
        </w:trPr>
        <w:tc>
          <w:tcPr>
            <w:tcW w:w="1048" w:type="dxa"/>
            <w:shd w:val="clear" w:color="auto" w:fill="auto"/>
            <w:noWrap/>
          </w:tcPr>
          <w:p w14:paraId="770A89F0" w14:textId="38CE422A" w:rsidR="003B1037" w:rsidRPr="009021AF" w:rsidRDefault="002F0112" w:rsidP="0081205B">
            <w:r w:rsidRPr="009021AF">
              <w:t>Do</w:t>
            </w:r>
            <w:r w:rsidR="003B1037" w:rsidRPr="009021AF">
              <w:t>R</w:t>
            </w:r>
          </w:p>
        </w:tc>
        <w:tc>
          <w:tcPr>
            <w:tcW w:w="5898" w:type="dxa"/>
            <w:shd w:val="clear" w:color="auto" w:fill="auto"/>
            <w:noWrap/>
          </w:tcPr>
          <w:p w14:paraId="6A5ABF16" w14:textId="6EEB7067" w:rsidR="003B1037" w:rsidRPr="009021AF" w:rsidRDefault="003B1037" w:rsidP="0081205B">
            <w:r w:rsidRPr="009021AF">
              <w:t>Duration of response</w:t>
            </w:r>
          </w:p>
        </w:tc>
      </w:tr>
      <w:tr w:rsidR="00293545" w:rsidRPr="00370367" w14:paraId="765C6A58" w14:textId="77777777" w:rsidTr="009021AF">
        <w:trPr>
          <w:trHeight w:val="300"/>
        </w:trPr>
        <w:tc>
          <w:tcPr>
            <w:tcW w:w="1048" w:type="dxa"/>
            <w:shd w:val="clear" w:color="auto" w:fill="auto"/>
            <w:noWrap/>
          </w:tcPr>
          <w:p w14:paraId="279EFD80" w14:textId="7E13281E" w:rsidR="00293545" w:rsidRPr="009021AF" w:rsidRDefault="00293545" w:rsidP="0081205B">
            <w:r w:rsidRPr="009021AF">
              <w:t xml:space="preserve">DSU </w:t>
            </w:r>
          </w:p>
        </w:tc>
        <w:tc>
          <w:tcPr>
            <w:tcW w:w="5898" w:type="dxa"/>
            <w:shd w:val="clear" w:color="auto" w:fill="auto"/>
            <w:noWrap/>
          </w:tcPr>
          <w:p w14:paraId="196FF025" w14:textId="190F655B" w:rsidR="00293545" w:rsidRPr="009021AF" w:rsidRDefault="00293545" w:rsidP="00EE6136">
            <w:r w:rsidRPr="009021AF">
              <w:t xml:space="preserve">Decision </w:t>
            </w:r>
            <w:r w:rsidR="00EE6136">
              <w:t>S</w:t>
            </w:r>
            <w:r w:rsidRPr="009021AF">
              <w:t xml:space="preserve">upport </w:t>
            </w:r>
            <w:r w:rsidR="00EE6136">
              <w:t>U</w:t>
            </w:r>
            <w:r w:rsidRPr="009021AF">
              <w:t>nit</w:t>
            </w:r>
          </w:p>
        </w:tc>
      </w:tr>
      <w:tr w:rsidR="009A5000" w:rsidRPr="00370367" w14:paraId="61A902E5" w14:textId="77777777" w:rsidTr="009021AF">
        <w:trPr>
          <w:trHeight w:val="300"/>
        </w:trPr>
        <w:tc>
          <w:tcPr>
            <w:tcW w:w="1048" w:type="dxa"/>
            <w:shd w:val="clear" w:color="auto" w:fill="auto"/>
            <w:noWrap/>
          </w:tcPr>
          <w:p w14:paraId="36F2A534" w14:textId="7A568EAA" w:rsidR="009A5000" w:rsidRPr="009A5000" w:rsidRDefault="009A5000" w:rsidP="0081205B">
            <w:r w:rsidRPr="009A5000">
              <w:t>EAP</w:t>
            </w:r>
          </w:p>
        </w:tc>
        <w:tc>
          <w:tcPr>
            <w:tcW w:w="5898" w:type="dxa"/>
            <w:shd w:val="clear" w:color="auto" w:fill="auto"/>
            <w:noWrap/>
          </w:tcPr>
          <w:p w14:paraId="15B87D3B" w14:textId="001502A1" w:rsidR="009A5000" w:rsidRPr="009A5000" w:rsidRDefault="009A5000" w:rsidP="0081205B">
            <w:r w:rsidRPr="009A5000">
              <w:t>Early Access Programme</w:t>
            </w:r>
          </w:p>
        </w:tc>
      </w:tr>
      <w:tr w:rsidR="00BC006F" w:rsidRPr="00370367" w14:paraId="5C966D37" w14:textId="77777777" w:rsidTr="009021AF">
        <w:trPr>
          <w:trHeight w:val="300"/>
        </w:trPr>
        <w:tc>
          <w:tcPr>
            <w:tcW w:w="1048" w:type="dxa"/>
            <w:shd w:val="clear" w:color="auto" w:fill="auto"/>
            <w:noWrap/>
          </w:tcPr>
          <w:p w14:paraId="59481DB4" w14:textId="495DEDC3" w:rsidR="00BC006F" w:rsidRPr="00BC006F" w:rsidRDefault="00BC006F" w:rsidP="0081205B">
            <w:r>
              <w:t>ECOG</w:t>
            </w:r>
          </w:p>
        </w:tc>
        <w:tc>
          <w:tcPr>
            <w:tcW w:w="5898" w:type="dxa"/>
            <w:shd w:val="clear" w:color="auto" w:fill="auto"/>
            <w:noWrap/>
          </w:tcPr>
          <w:p w14:paraId="3EA860CD" w14:textId="6ACBF243" w:rsidR="00BC006F" w:rsidRPr="00BC006F" w:rsidRDefault="00BC006F" w:rsidP="0081205B">
            <w:r w:rsidRPr="00BC006F">
              <w:t>Eastern Cooperative Oncology Group</w:t>
            </w:r>
          </w:p>
        </w:tc>
      </w:tr>
      <w:tr w:rsidR="007E0C61" w:rsidRPr="00370367" w14:paraId="5F3990A1" w14:textId="77777777" w:rsidTr="009021AF">
        <w:trPr>
          <w:trHeight w:val="300"/>
        </w:trPr>
        <w:tc>
          <w:tcPr>
            <w:tcW w:w="1048" w:type="dxa"/>
            <w:shd w:val="clear" w:color="auto" w:fill="auto"/>
            <w:noWrap/>
          </w:tcPr>
          <w:p w14:paraId="0086F9E8" w14:textId="27A609A2" w:rsidR="007E0C61" w:rsidRPr="009021AF" w:rsidRDefault="007E0C61" w:rsidP="0081205B">
            <w:r w:rsidRPr="009021AF">
              <w:t>EGFR</w:t>
            </w:r>
          </w:p>
        </w:tc>
        <w:tc>
          <w:tcPr>
            <w:tcW w:w="5898" w:type="dxa"/>
            <w:shd w:val="clear" w:color="auto" w:fill="auto"/>
            <w:noWrap/>
          </w:tcPr>
          <w:p w14:paraId="552DF5BF" w14:textId="23D7F38A" w:rsidR="007E0C61" w:rsidRPr="009021AF" w:rsidRDefault="00A56954" w:rsidP="0081205B">
            <w:r>
              <w:t>Epidermal Growth Factor Receptor</w:t>
            </w:r>
          </w:p>
        </w:tc>
      </w:tr>
      <w:tr w:rsidR="003B1037" w:rsidRPr="00370367" w14:paraId="12628EDF" w14:textId="77777777" w:rsidTr="009021AF">
        <w:trPr>
          <w:trHeight w:val="300"/>
        </w:trPr>
        <w:tc>
          <w:tcPr>
            <w:tcW w:w="1048" w:type="dxa"/>
            <w:shd w:val="clear" w:color="auto" w:fill="auto"/>
            <w:noWrap/>
          </w:tcPr>
          <w:p w14:paraId="6231DF29" w14:textId="11F79753" w:rsidR="003B1037" w:rsidRPr="009021AF" w:rsidRDefault="003B1037" w:rsidP="0081205B">
            <w:r w:rsidRPr="009021AF">
              <w:t>EMA</w:t>
            </w:r>
          </w:p>
        </w:tc>
        <w:tc>
          <w:tcPr>
            <w:tcW w:w="5898" w:type="dxa"/>
            <w:shd w:val="clear" w:color="auto" w:fill="auto"/>
            <w:noWrap/>
          </w:tcPr>
          <w:p w14:paraId="2E4B1B49" w14:textId="10276404" w:rsidR="003B1037" w:rsidRPr="009021AF" w:rsidRDefault="003B1037" w:rsidP="0081205B">
            <w:r w:rsidRPr="009021AF">
              <w:t>European Medicines Agency</w:t>
            </w:r>
          </w:p>
        </w:tc>
      </w:tr>
      <w:tr w:rsidR="003B1037" w:rsidRPr="00370367" w14:paraId="216D8063" w14:textId="77777777" w:rsidTr="009021AF">
        <w:trPr>
          <w:trHeight w:val="300"/>
        </w:trPr>
        <w:tc>
          <w:tcPr>
            <w:tcW w:w="1048" w:type="dxa"/>
            <w:shd w:val="clear" w:color="auto" w:fill="auto"/>
            <w:noWrap/>
          </w:tcPr>
          <w:p w14:paraId="4308BFA5" w14:textId="733BA72C" w:rsidR="003B1037" w:rsidRPr="009021AF" w:rsidRDefault="003B1037" w:rsidP="0081205B">
            <w:r w:rsidRPr="009021AF">
              <w:t>ePAS</w:t>
            </w:r>
          </w:p>
        </w:tc>
        <w:tc>
          <w:tcPr>
            <w:tcW w:w="5898" w:type="dxa"/>
            <w:shd w:val="clear" w:color="auto" w:fill="auto"/>
            <w:noWrap/>
          </w:tcPr>
          <w:p w14:paraId="41ACE8D8" w14:textId="1DD56009" w:rsidR="003B1037" w:rsidRPr="009021AF" w:rsidRDefault="003B1037" w:rsidP="0081205B">
            <w:r w:rsidRPr="009021AF">
              <w:t>Extended patient analaysis set</w:t>
            </w:r>
          </w:p>
        </w:tc>
      </w:tr>
      <w:tr w:rsidR="002F0112" w:rsidRPr="00370367" w14:paraId="4965E4CA" w14:textId="77777777" w:rsidTr="009021AF">
        <w:trPr>
          <w:trHeight w:val="300"/>
        </w:trPr>
        <w:tc>
          <w:tcPr>
            <w:tcW w:w="1048" w:type="dxa"/>
            <w:shd w:val="clear" w:color="auto" w:fill="auto"/>
            <w:noWrap/>
          </w:tcPr>
          <w:p w14:paraId="7049B002" w14:textId="059A03E9" w:rsidR="002F0112" w:rsidRPr="009021AF" w:rsidRDefault="002F0112" w:rsidP="0081205B">
            <w:r w:rsidRPr="009021AF">
              <w:t>ERG</w:t>
            </w:r>
          </w:p>
        </w:tc>
        <w:tc>
          <w:tcPr>
            <w:tcW w:w="5898" w:type="dxa"/>
            <w:shd w:val="clear" w:color="auto" w:fill="auto"/>
            <w:noWrap/>
          </w:tcPr>
          <w:p w14:paraId="55F23EF3" w14:textId="415377AA" w:rsidR="002F0112" w:rsidRPr="009021AF" w:rsidRDefault="002F0112">
            <w:r w:rsidRPr="009021AF">
              <w:t xml:space="preserve">Evidence </w:t>
            </w:r>
            <w:r w:rsidR="00EE6136">
              <w:t>R</w:t>
            </w:r>
            <w:r w:rsidRPr="009021AF">
              <w:t xml:space="preserve">eview </w:t>
            </w:r>
            <w:r w:rsidR="00EE6136">
              <w:t>G</w:t>
            </w:r>
            <w:r w:rsidRPr="009021AF">
              <w:t>roup</w:t>
            </w:r>
          </w:p>
        </w:tc>
      </w:tr>
      <w:tr w:rsidR="001E1399" w:rsidRPr="00370367" w14:paraId="7B078180" w14:textId="77777777" w:rsidTr="009021AF">
        <w:trPr>
          <w:trHeight w:val="300"/>
        </w:trPr>
        <w:tc>
          <w:tcPr>
            <w:tcW w:w="1048" w:type="dxa"/>
            <w:shd w:val="clear" w:color="auto" w:fill="auto"/>
            <w:noWrap/>
          </w:tcPr>
          <w:p w14:paraId="3D90EC21" w14:textId="2DCADA81" w:rsidR="001E1399" w:rsidRPr="009021AF" w:rsidRDefault="001E1399" w:rsidP="0081205B">
            <w:r w:rsidRPr="009021AF">
              <w:t>ESMO</w:t>
            </w:r>
          </w:p>
        </w:tc>
        <w:tc>
          <w:tcPr>
            <w:tcW w:w="5898" w:type="dxa"/>
            <w:shd w:val="clear" w:color="auto" w:fill="auto"/>
            <w:noWrap/>
          </w:tcPr>
          <w:p w14:paraId="7BBF7564" w14:textId="3197EB4E" w:rsidR="001E1399" w:rsidRPr="009021AF" w:rsidRDefault="001E1399" w:rsidP="0081205B">
            <w:r w:rsidRPr="009021AF">
              <w:t>European Society for Medical Oncology</w:t>
            </w:r>
          </w:p>
        </w:tc>
      </w:tr>
      <w:tr w:rsidR="005C7BBB" w:rsidRPr="00370367" w14:paraId="6629D464" w14:textId="77777777" w:rsidTr="009021AF">
        <w:trPr>
          <w:trHeight w:val="300"/>
        </w:trPr>
        <w:tc>
          <w:tcPr>
            <w:tcW w:w="1048" w:type="dxa"/>
            <w:shd w:val="clear" w:color="auto" w:fill="auto"/>
            <w:noWrap/>
          </w:tcPr>
          <w:p w14:paraId="52865BBA" w14:textId="5FD63E7B" w:rsidR="005C7BBB" w:rsidRPr="009021AF" w:rsidRDefault="005C7BBB" w:rsidP="0081205B">
            <w:r w:rsidRPr="009021AF">
              <w:t>EVPI</w:t>
            </w:r>
          </w:p>
        </w:tc>
        <w:tc>
          <w:tcPr>
            <w:tcW w:w="5898" w:type="dxa"/>
            <w:shd w:val="clear" w:color="auto" w:fill="auto"/>
            <w:noWrap/>
          </w:tcPr>
          <w:p w14:paraId="0779C93D" w14:textId="7B0F2FCB" w:rsidR="005C7BBB" w:rsidRPr="009021AF" w:rsidRDefault="005C7BBB" w:rsidP="0081205B">
            <w:r w:rsidRPr="009021AF">
              <w:t>Expected value of perfect information</w:t>
            </w:r>
          </w:p>
        </w:tc>
      </w:tr>
      <w:tr w:rsidR="005C7BBB" w:rsidRPr="00370367" w14:paraId="75493A19" w14:textId="77777777" w:rsidTr="009021AF">
        <w:trPr>
          <w:trHeight w:val="300"/>
        </w:trPr>
        <w:tc>
          <w:tcPr>
            <w:tcW w:w="1048" w:type="dxa"/>
            <w:shd w:val="clear" w:color="auto" w:fill="auto"/>
            <w:noWrap/>
          </w:tcPr>
          <w:p w14:paraId="359E562B" w14:textId="7884BF77" w:rsidR="005C7BBB" w:rsidRPr="009021AF" w:rsidRDefault="005C7BBB" w:rsidP="0081205B">
            <w:r w:rsidRPr="009021AF">
              <w:t>EVPPI</w:t>
            </w:r>
          </w:p>
        </w:tc>
        <w:tc>
          <w:tcPr>
            <w:tcW w:w="5898" w:type="dxa"/>
            <w:shd w:val="clear" w:color="auto" w:fill="auto"/>
            <w:noWrap/>
          </w:tcPr>
          <w:p w14:paraId="165C7D8D" w14:textId="6D99B2FB" w:rsidR="005C7BBB" w:rsidRPr="009021AF" w:rsidRDefault="005C7BBB" w:rsidP="0081205B">
            <w:r w:rsidRPr="009021AF">
              <w:t>Expected value of partial perfect information</w:t>
            </w:r>
          </w:p>
        </w:tc>
      </w:tr>
      <w:tr w:rsidR="001706F8" w:rsidRPr="00370367" w14:paraId="694CACB7" w14:textId="77777777" w:rsidTr="009021AF">
        <w:trPr>
          <w:trHeight w:val="300"/>
        </w:trPr>
        <w:tc>
          <w:tcPr>
            <w:tcW w:w="1048" w:type="dxa"/>
            <w:shd w:val="clear" w:color="auto" w:fill="auto"/>
            <w:noWrap/>
          </w:tcPr>
          <w:p w14:paraId="57045DE5" w14:textId="1D7EC387" w:rsidR="001706F8" w:rsidRPr="001706F8" w:rsidRDefault="001706F8" w:rsidP="0081205B">
            <w:r w:rsidRPr="001706F8">
              <w:t>EVSI</w:t>
            </w:r>
          </w:p>
        </w:tc>
        <w:tc>
          <w:tcPr>
            <w:tcW w:w="5898" w:type="dxa"/>
            <w:shd w:val="clear" w:color="auto" w:fill="auto"/>
            <w:noWrap/>
          </w:tcPr>
          <w:p w14:paraId="5D92F1A2" w14:textId="37E0A51A" w:rsidR="001706F8" w:rsidRPr="001706F8" w:rsidRDefault="001706F8" w:rsidP="0081205B">
            <w:r w:rsidRPr="001706F8">
              <w:t>Expected value of sample information</w:t>
            </w:r>
          </w:p>
        </w:tc>
      </w:tr>
      <w:tr w:rsidR="0081205B" w:rsidRPr="00370367" w14:paraId="744BF3C6" w14:textId="77777777" w:rsidTr="009021AF">
        <w:trPr>
          <w:trHeight w:val="300"/>
        </w:trPr>
        <w:tc>
          <w:tcPr>
            <w:tcW w:w="1048" w:type="dxa"/>
            <w:shd w:val="clear" w:color="auto" w:fill="auto"/>
            <w:noWrap/>
          </w:tcPr>
          <w:p w14:paraId="0989DB2B" w14:textId="14E9A0CA" w:rsidR="0081205B" w:rsidRPr="009021AF" w:rsidRDefault="0081205B" w:rsidP="0081205B">
            <w:r w:rsidRPr="009021AF">
              <w:t>FDA</w:t>
            </w:r>
          </w:p>
        </w:tc>
        <w:tc>
          <w:tcPr>
            <w:tcW w:w="5898" w:type="dxa"/>
            <w:shd w:val="clear" w:color="auto" w:fill="auto"/>
            <w:noWrap/>
          </w:tcPr>
          <w:p w14:paraId="08A9C735" w14:textId="24C3B221" w:rsidR="0081205B" w:rsidRPr="009021AF" w:rsidRDefault="0081205B" w:rsidP="0081205B">
            <w:r w:rsidRPr="009021AF">
              <w:t>Food and Drug Administration</w:t>
            </w:r>
          </w:p>
        </w:tc>
      </w:tr>
      <w:tr w:rsidR="003B1037" w:rsidRPr="00370367" w14:paraId="6AB2ECE2" w14:textId="77777777" w:rsidTr="009021AF">
        <w:trPr>
          <w:trHeight w:val="300"/>
        </w:trPr>
        <w:tc>
          <w:tcPr>
            <w:tcW w:w="1048" w:type="dxa"/>
            <w:shd w:val="clear" w:color="auto" w:fill="auto"/>
            <w:noWrap/>
          </w:tcPr>
          <w:p w14:paraId="105E4F61" w14:textId="463D106C" w:rsidR="003B1037" w:rsidRPr="009021AF" w:rsidRDefault="003B1037" w:rsidP="0081205B">
            <w:r w:rsidRPr="009021AF">
              <w:t>FISH</w:t>
            </w:r>
          </w:p>
        </w:tc>
        <w:tc>
          <w:tcPr>
            <w:tcW w:w="5898" w:type="dxa"/>
            <w:shd w:val="clear" w:color="auto" w:fill="auto"/>
            <w:noWrap/>
          </w:tcPr>
          <w:p w14:paraId="0D17F231" w14:textId="1C5840DB" w:rsidR="003B1037" w:rsidRPr="009021AF" w:rsidRDefault="003B1037" w:rsidP="0081205B">
            <w:r w:rsidRPr="009021AF">
              <w:t xml:space="preserve">Fluorescence </w:t>
            </w:r>
            <w:r w:rsidRPr="0003702B">
              <w:rPr>
                <w:i/>
                <w:iCs/>
              </w:rPr>
              <w:t>in situ</w:t>
            </w:r>
            <w:r w:rsidRPr="009021AF">
              <w:t xml:space="preserve"> hybridization</w:t>
            </w:r>
          </w:p>
        </w:tc>
      </w:tr>
      <w:tr w:rsidR="001E1399" w:rsidRPr="00370367" w14:paraId="7C0D7A04" w14:textId="77777777" w:rsidTr="009021AF">
        <w:trPr>
          <w:trHeight w:val="300"/>
        </w:trPr>
        <w:tc>
          <w:tcPr>
            <w:tcW w:w="1048" w:type="dxa"/>
            <w:shd w:val="clear" w:color="auto" w:fill="auto"/>
            <w:noWrap/>
          </w:tcPr>
          <w:p w14:paraId="1B1D8A1B" w14:textId="4EDA4D3E" w:rsidR="001E1399" w:rsidRPr="009021AF" w:rsidRDefault="001E1399" w:rsidP="0081205B">
            <w:r w:rsidRPr="009021AF">
              <w:lastRenderedPageBreak/>
              <w:t>FL</w:t>
            </w:r>
          </w:p>
        </w:tc>
        <w:tc>
          <w:tcPr>
            <w:tcW w:w="5898" w:type="dxa"/>
            <w:shd w:val="clear" w:color="auto" w:fill="auto"/>
            <w:noWrap/>
          </w:tcPr>
          <w:p w14:paraId="5747E448" w14:textId="6E50B98F" w:rsidR="001E1399" w:rsidRPr="009021AF" w:rsidRDefault="001E1399" w:rsidP="0081205B">
            <w:r w:rsidRPr="009021AF">
              <w:t>First line</w:t>
            </w:r>
          </w:p>
        </w:tc>
      </w:tr>
      <w:tr w:rsidR="003B1037" w:rsidRPr="00370367" w14:paraId="47CC1825" w14:textId="77777777" w:rsidTr="009021AF">
        <w:trPr>
          <w:trHeight w:val="300"/>
        </w:trPr>
        <w:tc>
          <w:tcPr>
            <w:tcW w:w="1048" w:type="dxa"/>
            <w:shd w:val="clear" w:color="auto" w:fill="auto"/>
            <w:noWrap/>
          </w:tcPr>
          <w:p w14:paraId="552D386B" w14:textId="27663A30" w:rsidR="003B1037" w:rsidRPr="009021AF" w:rsidRDefault="003B1037" w:rsidP="0081205B">
            <w:r w:rsidRPr="009021AF">
              <w:t>GI</w:t>
            </w:r>
          </w:p>
        </w:tc>
        <w:tc>
          <w:tcPr>
            <w:tcW w:w="5898" w:type="dxa"/>
            <w:shd w:val="clear" w:color="auto" w:fill="auto"/>
            <w:noWrap/>
          </w:tcPr>
          <w:p w14:paraId="42DA3265" w14:textId="2616705D" w:rsidR="003B1037" w:rsidRPr="009021AF" w:rsidRDefault="003B1037" w:rsidP="0081205B">
            <w:r w:rsidRPr="009021AF">
              <w:t>Gastrointestinal</w:t>
            </w:r>
          </w:p>
        </w:tc>
      </w:tr>
      <w:tr w:rsidR="007E0C61" w:rsidRPr="00370367" w14:paraId="49E60084" w14:textId="77777777" w:rsidTr="009021AF">
        <w:trPr>
          <w:trHeight w:val="300"/>
        </w:trPr>
        <w:tc>
          <w:tcPr>
            <w:tcW w:w="1048" w:type="dxa"/>
            <w:shd w:val="clear" w:color="auto" w:fill="auto"/>
            <w:noWrap/>
          </w:tcPr>
          <w:p w14:paraId="01F4F4CA" w14:textId="32770B8B" w:rsidR="007E0C61" w:rsidRPr="009021AF" w:rsidRDefault="007E0C61" w:rsidP="00DC7CC6">
            <w:r w:rsidRPr="009021AF">
              <w:t>GIST</w:t>
            </w:r>
          </w:p>
        </w:tc>
        <w:tc>
          <w:tcPr>
            <w:tcW w:w="5898" w:type="dxa"/>
            <w:shd w:val="clear" w:color="auto" w:fill="auto"/>
            <w:noWrap/>
          </w:tcPr>
          <w:p w14:paraId="2D5FA913" w14:textId="5DCD96B5" w:rsidR="007E0C61" w:rsidRPr="009021AF" w:rsidRDefault="007E0C61" w:rsidP="00DC7CC6">
            <w:r w:rsidRPr="009021AF">
              <w:t>Gastrointestinal stromal tumour</w:t>
            </w:r>
          </w:p>
        </w:tc>
      </w:tr>
      <w:tr w:rsidR="001E1399" w:rsidRPr="00370367" w14:paraId="718EC8D9" w14:textId="77777777" w:rsidTr="009021AF">
        <w:trPr>
          <w:trHeight w:val="300"/>
        </w:trPr>
        <w:tc>
          <w:tcPr>
            <w:tcW w:w="1048" w:type="dxa"/>
            <w:shd w:val="clear" w:color="auto" w:fill="auto"/>
            <w:noWrap/>
          </w:tcPr>
          <w:p w14:paraId="2D17C813" w14:textId="58100C8B" w:rsidR="001E1399" w:rsidRPr="009021AF" w:rsidRDefault="001E1399" w:rsidP="00DC7CC6">
            <w:r w:rsidRPr="009021AF">
              <w:t>GMI</w:t>
            </w:r>
          </w:p>
        </w:tc>
        <w:tc>
          <w:tcPr>
            <w:tcW w:w="5898" w:type="dxa"/>
            <w:shd w:val="clear" w:color="auto" w:fill="auto"/>
            <w:noWrap/>
          </w:tcPr>
          <w:p w14:paraId="046353B4" w14:textId="21116947" w:rsidR="001E1399" w:rsidRPr="009021AF" w:rsidRDefault="001E1399" w:rsidP="00DC7CC6">
            <w:r w:rsidRPr="009021AF">
              <w:t>Growth modulation index</w:t>
            </w:r>
          </w:p>
        </w:tc>
      </w:tr>
      <w:tr w:rsidR="00DC7CC6" w:rsidRPr="00370367" w14:paraId="57C65A39" w14:textId="77777777" w:rsidTr="009021AF">
        <w:trPr>
          <w:trHeight w:val="300"/>
        </w:trPr>
        <w:tc>
          <w:tcPr>
            <w:tcW w:w="1048" w:type="dxa"/>
            <w:shd w:val="clear" w:color="auto" w:fill="auto"/>
            <w:noWrap/>
          </w:tcPr>
          <w:p w14:paraId="75F80D71" w14:textId="7E964ECD" w:rsidR="00DC7CC6" w:rsidRPr="009021AF" w:rsidRDefault="00DC7CC6" w:rsidP="00DC7CC6">
            <w:r w:rsidRPr="009021AF">
              <w:t>HR</w:t>
            </w:r>
          </w:p>
        </w:tc>
        <w:tc>
          <w:tcPr>
            <w:tcW w:w="5898" w:type="dxa"/>
            <w:shd w:val="clear" w:color="auto" w:fill="auto"/>
            <w:noWrap/>
          </w:tcPr>
          <w:p w14:paraId="48289419" w14:textId="675A071B" w:rsidR="00DC7CC6" w:rsidRPr="009021AF" w:rsidRDefault="00DC7CC6" w:rsidP="00DC7CC6">
            <w:r w:rsidRPr="009021AF">
              <w:t>Hazard ratio</w:t>
            </w:r>
          </w:p>
        </w:tc>
      </w:tr>
      <w:tr w:rsidR="001E1399" w:rsidRPr="00370367" w14:paraId="5472734D" w14:textId="77777777" w:rsidTr="009021AF">
        <w:trPr>
          <w:trHeight w:val="300"/>
        </w:trPr>
        <w:tc>
          <w:tcPr>
            <w:tcW w:w="1048" w:type="dxa"/>
            <w:shd w:val="clear" w:color="auto" w:fill="auto"/>
            <w:noWrap/>
          </w:tcPr>
          <w:p w14:paraId="5AD91AB1" w14:textId="316B62B4" w:rsidR="001E1399" w:rsidRPr="009021AF" w:rsidRDefault="001E1399" w:rsidP="0081205B">
            <w:r w:rsidRPr="009021AF">
              <w:t>HRQoL</w:t>
            </w:r>
          </w:p>
        </w:tc>
        <w:tc>
          <w:tcPr>
            <w:tcW w:w="5898" w:type="dxa"/>
            <w:shd w:val="clear" w:color="auto" w:fill="auto"/>
            <w:noWrap/>
          </w:tcPr>
          <w:p w14:paraId="55E1D9EE" w14:textId="157D4EB5" w:rsidR="001E1399" w:rsidRPr="009021AF" w:rsidRDefault="001E1399" w:rsidP="0081205B">
            <w:r w:rsidRPr="009021AF">
              <w:t>Health-related quality of life</w:t>
            </w:r>
          </w:p>
        </w:tc>
      </w:tr>
      <w:tr w:rsidR="003B1037" w:rsidRPr="00370367" w14:paraId="6B05CF87" w14:textId="77777777" w:rsidTr="009021AF">
        <w:trPr>
          <w:trHeight w:val="300"/>
        </w:trPr>
        <w:tc>
          <w:tcPr>
            <w:tcW w:w="1048" w:type="dxa"/>
            <w:shd w:val="clear" w:color="auto" w:fill="auto"/>
            <w:noWrap/>
          </w:tcPr>
          <w:p w14:paraId="20925346" w14:textId="4F71656C" w:rsidR="003B1037" w:rsidRPr="009021AF" w:rsidRDefault="003B1037" w:rsidP="0081205B">
            <w:r w:rsidRPr="009021AF">
              <w:t>HTA</w:t>
            </w:r>
          </w:p>
        </w:tc>
        <w:tc>
          <w:tcPr>
            <w:tcW w:w="5898" w:type="dxa"/>
            <w:shd w:val="clear" w:color="auto" w:fill="auto"/>
            <w:noWrap/>
          </w:tcPr>
          <w:p w14:paraId="289158BB" w14:textId="3EB06235" w:rsidR="003B1037" w:rsidRPr="009021AF" w:rsidRDefault="003B1037" w:rsidP="0081205B">
            <w:r w:rsidRPr="009021AF">
              <w:t>Health technology assessment</w:t>
            </w:r>
          </w:p>
        </w:tc>
      </w:tr>
      <w:tr w:rsidR="00293545" w:rsidRPr="00370367" w14:paraId="285A8068" w14:textId="77777777" w:rsidTr="009021AF">
        <w:trPr>
          <w:trHeight w:val="300"/>
        </w:trPr>
        <w:tc>
          <w:tcPr>
            <w:tcW w:w="1048" w:type="dxa"/>
            <w:shd w:val="clear" w:color="auto" w:fill="auto"/>
            <w:noWrap/>
          </w:tcPr>
          <w:p w14:paraId="5868E852" w14:textId="7099A2CB" w:rsidR="00293545" w:rsidRPr="009021AF" w:rsidRDefault="00293545" w:rsidP="0081205B">
            <w:r w:rsidRPr="009021AF">
              <w:t>ICER</w:t>
            </w:r>
          </w:p>
        </w:tc>
        <w:tc>
          <w:tcPr>
            <w:tcW w:w="5898" w:type="dxa"/>
            <w:shd w:val="clear" w:color="auto" w:fill="auto"/>
            <w:noWrap/>
          </w:tcPr>
          <w:p w14:paraId="4BA587E0" w14:textId="4D773CE7" w:rsidR="00293545" w:rsidRPr="009021AF" w:rsidRDefault="00293545" w:rsidP="0081205B">
            <w:r w:rsidRPr="009021AF">
              <w:t>Incremental cost-effectiveness ratio</w:t>
            </w:r>
          </w:p>
        </w:tc>
      </w:tr>
      <w:tr w:rsidR="00DB76B5" w:rsidRPr="00370367" w14:paraId="05D66C04" w14:textId="77777777" w:rsidTr="009021AF">
        <w:trPr>
          <w:trHeight w:val="300"/>
        </w:trPr>
        <w:tc>
          <w:tcPr>
            <w:tcW w:w="1048" w:type="dxa"/>
            <w:shd w:val="clear" w:color="auto" w:fill="auto"/>
            <w:noWrap/>
          </w:tcPr>
          <w:p w14:paraId="014EE8C1" w14:textId="5A3824A5" w:rsidR="00DB76B5" w:rsidRPr="009021AF" w:rsidRDefault="00DB76B5" w:rsidP="00DB76B5">
            <w:r w:rsidRPr="009021AF">
              <w:t>IFS</w:t>
            </w:r>
          </w:p>
        </w:tc>
        <w:tc>
          <w:tcPr>
            <w:tcW w:w="5898" w:type="dxa"/>
            <w:shd w:val="clear" w:color="auto" w:fill="auto"/>
            <w:noWrap/>
          </w:tcPr>
          <w:p w14:paraId="4B43DF32" w14:textId="36E2B44B" w:rsidR="00DB76B5" w:rsidRPr="009021AF" w:rsidRDefault="00DB76B5" w:rsidP="00DB76B5">
            <w:r w:rsidRPr="009021AF">
              <w:t>Infantile fibrosarcoma</w:t>
            </w:r>
          </w:p>
        </w:tc>
      </w:tr>
      <w:tr w:rsidR="00DB76B5" w:rsidRPr="00370367" w14:paraId="14D50AFF" w14:textId="77777777" w:rsidTr="009021AF">
        <w:trPr>
          <w:trHeight w:val="300"/>
        </w:trPr>
        <w:tc>
          <w:tcPr>
            <w:tcW w:w="1048" w:type="dxa"/>
            <w:shd w:val="clear" w:color="auto" w:fill="auto"/>
            <w:noWrap/>
          </w:tcPr>
          <w:p w14:paraId="347C1122" w14:textId="0773D60A" w:rsidR="00DB76B5" w:rsidRPr="009021AF" w:rsidRDefault="00DB76B5" w:rsidP="00DB76B5">
            <w:r w:rsidRPr="009021AF">
              <w:t>IHC</w:t>
            </w:r>
          </w:p>
        </w:tc>
        <w:tc>
          <w:tcPr>
            <w:tcW w:w="5898" w:type="dxa"/>
            <w:shd w:val="clear" w:color="auto" w:fill="auto"/>
            <w:noWrap/>
          </w:tcPr>
          <w:p w14:paraId="16AA0D83" w14:textId="18503701" w:rsidR="00DB76B5" w:rsidRPr="009021AF" w:rsidRDefault="00DB76B5" w:rsidP="00DB76B5">
            <w:r w:rsidRPr="009021AF">
              <w:t>Immunohistochemistry</w:t>
            </w:r>
          </w:p>
        </w:tc>
      </w:tr>
      <w:tr w:rsidR="00DB76B5" w:rsidRPr="00370367" w14:paraId="41B480C1" w14:textId="77777777" w:rsidTr="009021AF">
        <w:trPr>
          <w:trHeight w:val="300"/>
        </w:trPr>
        <w:tc>
          <w:tcPr>
            <w:tcW w:w="1048" w:type="dxa"/>
            <w:shd w:val="clear" w:color="auto" w:fill="auto"/>
            <w:noWrap/>
          </w:tcPr>
          <w:p w14:paraId="5A95E05A" w14:textId="4228A519" w:rsidR="00DB76B5" w:rsidRPr="009021AF" w:rsidRDefault="00DB76B5" w:rsidP="00DB76B5">
            <w:r w:rsidRPr="009A5000">
              <w:t>IMF</w:t>
            </w:r>
          </w:p>
        </w:tc>
        <w:tc>
          <w:tcPr>
            <w:tcW w:w="5898" w:type="dxa"/>
            <w:shd w:val="clear" w:color="auto" w:fill="auto"/>
            <w:noWrap/>
          </w:tcPr>
          <w:p w14:paraId="42CCB124" w14:textId="2C52856D" w:rsidR="00DB76B5" w:rsidRPr="009021AF" w:rsidRDefault="00DB76B5" w:rsidP="00DB76B5">
            <w:r w:rsidRPr="009A5000">
              <w:t>International Myeloma Foundation</w:t>
            </w:r>
          </w:p>
        </w:tc>
      </w:tr>
      <w:tr w:rsidR="00DB76B5" w:rsidRPr="00370367" w14:paraId="03B2F24F" w14:textId="77777777" w:rsidTr="009021AF">
        <w:trPr>
          <w:trHeight w:val="300"/>
        </w:trPr>
        <w:tc>
          <w:tcPr>
            <w:tcW w:w="1048" w:type="dxa"/>
            <w:shd w:val="clear" w:color="auto" w:fill="auto"/>
            <w:noWrap/>
          </w:tcPr>
          <w:p w14:paraId="573D7543" w14:textId="74D57C2A" w:rsidR="00DB76B5" w:rsidRPr="009A5000" w:rsidRDefault="00DB76B5" w:rsidP="00DB76B5">
            <w:r w:rsidRPr="009021AF">
              <w:t>IPD</w:t>
            </w:r>
          </w:p>
        </w:tc>
        <w:tc>
          <w:tcPr>
            <w:tcW w:w="5898" w:type="dxa"/>
            <w:shd w:val="clear" w:color="auto" w:fill="auto"/>
            <w:noWrap/>
          </w:tcPr>
          <w:p w14:paraId="6BC87164" w14:textId="3D0941BB" w:rsidR="00DB76B5" w:rsidRPr="009A5000" w:rsidRDefault="00DB76B5" w:rsidP="00DB76B5">
            <w:r w:rsidRPr="009021AF">
              <w:t>Individual patient data</w:t>
            </w:r>
          </w:p>
        </w:tc>
      </w:tr>
      <w:tr w:rsidR="00DB76B5" w:rsidRPr="00370367" w14:paraId="559FAFDE" w14:textId="77777777" w:rsidTr="009021AF">
        <w:trPr>
          <w:trHeight w:val="300"/>
        </w:trPr>
        <w:tc>
          <w:tcPr>
            <w:tcW w:w="1048" w:type="dxa"/>
            <w:shd w:val="clear" w:color="auto" w:fill="auto"/>
            <w:noWrap/>
          </w:tcPr>
          <w:p w14:paraId="5FD74DC1" w14:textId="272B811F" w:rsidR="00DB76B5" w:rsidRPr="009021AF" w:rsidRDefault="00DB76B5" w:rsidP="00DB76B5">
            <w:r w:rsidRPr="009021AF">
              <w:t>IQWiG</w:t>
            </w:r>
          </w:p>
        </w:tc>
        <w:tc>
          <w:tcPr>
            <w:tcW w:w="5898" w:type="dxa"/>
            <w:shd w:val="clear" w:color="auto" w:fill="auto"/>
            <w:noWrap/>
          </w:tcPr>
          <w:p w14:paraId="61CECD1D" w14:textId="4B05421A" w:rsidR="00DB76B5" w:rsidRPr="009021AF" w:rsidRDefault="00DB76B5" w:rsidP="00DB76B5">
            <w:r w:rsidRPr="009021AF">
              <w:t>Institute for Quality and Efficiency in Health Care</w:t>
            </w:r>
          </w:p>
        </w:tc>
      </w:tr>
      <w:tr w:rsidR="00DB76B5" w:rsidRPr="00370367" w14:paraId="0E754746" w14:textId="77777777" w:rsidTr="009021AF">
        <w:trPr>
          <w:trHeight w:val="300"/>
        </w:trPr>
        <w:tc>
          <w:tcPr>
            <w:tcW w:w="1048" w:type="dxa"/>
            <w:shd w:val="clear" w:color="auto" w:fill="auto"/>
            <w:noWrap/>
          </w:tcPr>
          <w:p w14:paraId="451C7C12" w14:textId="23C5AFFF" w:rsidR="00DB76B5" w:rsidRPr="009021AF" w:rsidRDefault="00DB76B5" w:rsidP="00DB76B5">
            <w:r w:rsidRPr="009021AF">
              <w:t>IRC</w:t>
            </w:r>
          </w:p>
        </w:tc>
        <w:tc>
          <w:tcPr>
            <w:tcW w:w="5898" w:type="dxa"/>
            <w:shd w:val="clear" w:color="auto" w:fill="auto"/>
            <w:noWrap/>
          </w:tcPr>
          <w:p w14:paraId="70D09F1E" w14:textId="71FD873A" w:rsidR="00DB76B5" w:rsidRPr="009021AF" w:rsidRDefault="00DB76B5" w:rsidP="00DB76B5">
            <w:r w:rsidRPr="009021AF">
              <w:t xml:space="preserve">Independent </w:t>
            </w:r>
            <w:r>
              <w:t>R</w:t>
            </w:r>
            <w:r w:rsidRPr="009021AF">
              <w:t xml:space="preserve">eview </w:t>
            </w:r>
            <w:r>
              <w:t>C</w:t>
            </w:r>
            <w:r w:rsidRPr="009021AF">
              <w:t>ommittee</w:t>
            </w:r>
          </w:p>
        </w:tc>
      </w:tr>
      <w:tr w:rsidR="00DB76B5" w:rsidRPr="00370367" w14:paraId="562ADFD7" w14:textId="77777777" w:rsidTr="009021AF">
        <w:trPr>
          <w:trHeight w:val="300"/>
        </w:trPr>
        <w:tc>
          <w:tcPr>
            <w:tcW w:w="1048" w:type="dxa"/>
            <w:shd w:val="clear" w:color="auto" w:fill="auto"/>
            <w:noWrap/>
          </w:tcPr>
          <w:p w14:paraId="75B3CE05" w14:textId="2639A1C0" w:rsidR="00DB76B5" w:rsidRPr="009021AF" w:rsidRDefault="00DB76B5" w:rsidP="00DB76B5">
            <w:r w:rsidRPr="009021AF">
              <w:t>ITT</w:t>
            </w:r>
          </w:p>
        </w:tc>
        <w:tc>
          <w:tcPr>
            <w:tcW w:w="5898" w:type="dxa"/>
            <w:shd w:val="clear" w:color="auto" w:fill="auto"/>
            <w:noWrap/>
          </w:tcPr>
          <w:p w14:paraId="0DF39F17" w14:textId="0BFF08F6" w:rsidR="00DB76B5" w:rsidRPr="009021AF" w:rsidRDefault="00DB76B5" w:rsidP="00DB76B5">
            <w:r w:rsidRPr="009021AF">
              <w:t>Intention</w:t>
            </w:r>
            <w:r>
              <w:t>-</w:t>
            </w:r>
            <w:r w:rsidRPr="009021AF">
              <w:t>to</w:t>
            </w:r>
            <w:r>
              <w:t>-</w:t>
            </w:r>
            <w:r w:rsidRPr="009021AF">
              <w:t>treat</w:t>
            </w:r>
          </w:p>
        </w:tc>
      </w:tr>
      <w:tr w:rsidR="00DB76B5" w:rsidRPr="00370367" w14:paraId="17CB5770" w14:textId="77777777" w:rsidTr="009021AF">
        <w:trPr>
          <w:trHeight w:val="300"/>
        </w:trPr>
        <w:tc>
          <w:tcPr>
            <w:tcW w:w="1048" w:type="dxa"/>
            <w:shd w:val="clear" w:color="auto" w:fill="auto"/>
            <w:noWrap/>
          </w:tcPr>
          <w:p w14:paraId="3BF57C29" w14:textId="7E81D74E" w:rsidR="00DB76B5" w:rsidRPr="009021AF" w:rsidRDefault="00DB76B5" w:rsidP="00DB76B5">
            <w:r>
              <w:t>KRAS</w:t>
            </w:r>
          </w:p>
        </w:tc>
        <w:tc>
          <w:tcPr>
            <w:tcW w:w="5898" w:type="dxa"/>
            <w:shd w:val="clear" w:color="auto" w:fill="auto"/>
            <w:noWrap/>
          </w:tcPr>
          <w:p w14:paraId="53A90FAE" w14:textId="11316AC8" w:rsidR="00DB76B5" w:rsidRPr="009021AF" w:rsidRDefault="00DB76B5" w:rsidP="00DB76B5">
            <w:r w:rsidRPr="00DB76B5">
              <w:t>Kirsten rat sarcoma</w:t>
            </w:r>
          </w:p>
        </w:tc>
      </w:tr>
      <w:tr w:rsidR="00EC222B" w:rsidRPr="00EC222B" w14:paraId="4F4E5505" w14:textId="77777777" w:rsidTr="009021AF">
        <w:trPr>
          <w:trHeight w:val="300"/>
        </w:trPr>
        <w:tc>
          <w:tcPr>
            <w:tcW w:w="1048" w:type="dxa"/>
            <w:shd w:val="clear" w:color="auto" w:fill="auto"/>
            <w:noWrap/>
          </w:tcPr>
          <w:p w14:paraId="2836F0D5" w14:textId="497A1426" w:rsidR="00EC222B" w:rsidRPr="00EC222B" w:rsidRDefault="00EC222B" w:rsidP="00DB76B5">
            <w:r>
              <w:t>LYG</w:t>
            </w:r>
          </w:p>
        </w:tc>
        <w:tc>
          <w:tcPr>
            <w:tcW w:w="5898" w:type="dxa"/>
            <w:shd w:val="clear" w:color="auto" w:fill="auto"/>
            <w:noWrap/>
          </w:tcPr>
          <w:p w14:paraId="5EC1E3D5" w14:textId="40BB5DE4" w:rsidR="00EC222B" w:rsidRPr="00EC222B" w:rsidRDefault="00EC222B" w:rsidP="00DB76B5">
            <w:r>
              <w:t>L</w:t>
            </w:r>
            <w:r w:rsidRPr="00EC222B">
              <w:t>ife years gained</w:t>
            </w:r>
          </w:p>
        </w:tc>
      </w:tr>
      <w:tr w:rsidR="00DB76B5" w:rsidRPr="00370367" w14:paraId="2C899FCB" w14:textId="77777777" w:rsidTr="009021AF">
        <w:trPr>
          <w:trHeight w:val="300"/>
        </w:trPr>
        <w:tc>
          <w:tcPr>
            <w:tcW w:w="1048" w:type="dxa"/>
            <w:shd w:val="clear" w:color="auto" w:fill="auto"/>
            <w:noWrap/>
          </w:tcPr>
          <w:p w14:paraId="37BA4C7F" w14:textId="6B8CCC19" w:rsidR="00DB76B5" w:rsidRPr="009021AF" w:rsidRDefault="00DB76B5" w:rsidP="00DB76B5">
            <w:r w:rsidRPr="009021AF">
              <w:t>MAA</w:t>
            </w:r>
          </w:p>
        </w:tc>
        <w:tc>
          <w:tcPr>
            <w:tcW w:w="5898" w:type="dxa"/>
            <w:shd w:val="clear" w:color="auto" w:fill="auto"/>
            <w:noWrap/>
          </w:tcPr>
          <w:p w14:paraId="01156328" w14:textId="53FEE9D2" w:rsidR="00DB76B5" w:rsidRPr="009021AF" w:rsidRDefault="00DB76B5" w:rsidP="00DB76B5">
            <w:r w:rsidRPr="009021AF">
              <w:t>Managed access agreement</w:t>
            </w:r>
          </w:p>
        </w:tc>
      </w:tr>
      <w:tr w:rsidR="00DB76B5" w:rsidRPr="00370367" w14:paraId="370FBE9E" w14:textId="77777777" w:rsidTr="009021AF">
        <w:trPr>
          <w:trHeight w:val="300"/>
        </w:trPr>
        <w:tc>
          <w:tcPr>
            <w:tcW w:w="1048" w:type="dxa"/>
            <w:shd w:val="clear" w:color="auto" w:fill="auto"/>
            <w:noWrap/>
          </w:tcPr>
          <w:p w14:paraId="0813DB9C" w14:textId="768343AE" w:rsidR="00DB76B5" w:rsidRPr="009021AF" w:rsidRDefault="00DB76B5" w:rsidP="00DB76B5">
            <w:r w:rsidRPr="009021AF">
              <w:t>MAIC</w:t>
            </w:r>
          </w:p>
        </w:tc>
        <w:tc>
          <w:tcPr>
            <w:tcW w:w="5898" w:type="dxa"/>
            <w:shd w:val="clear" w:color="auto" w:fill="auto"/>
            <w:noWrap/>
          </w:tcPr>
          <w:p w14:paraId="7CDCA0BF" w14:textId="13305B7A" w:rsidR="00DB76B5" w:rsidRPr="009021AF" w:rsidRDefault="00DB76B5" w:rsidP="00DB76B5">
            <w:r w:rsidRPr="009021AF">
              <w:t>Matching-adjusted indirect comparison</w:t>
            </w:r>
          </w:p>
        </w:tc>
      </w:tr>
      <w:tr w:rsidR="00DB76B5" w:rsidRPr="00370367" w14:paraId="61DB8B9C" w14:textId="77777777" w:rsidTr="009021AF">
        <w:trPr>
          <w:trHeight w:val="300"/>
        </w:trPr>
        <w:tc>
          <w:tcPr>
            <w:tcW w:w="1048" w:type="dxa"/>
            <w:shd w:val="clear" w:color="auto" w:fill="auto"/>
            <w:noWrap/>
          </w:tcPr>
          <w:p w14:paraId="5A8122A8" w14:textId="6AE5CBD5" w:rsidR="00DB76B5" w:rsidRPr="009021AF" w:rsidRDefault="00DB76B5" w:rsidP="00DB76B5">
            <w:r w:rsidRPr="009021AF">
              <w:t>MASC</w:t>
            </w:r>
          </w:p>
        </w:tc>
        <w:tc>
          <w:tcPr>
            <w:tcW w:w="5898" w:type="dxa"/>
            <w:shd w:val="clear" w:color="auto" w:fill="auto"/>
            <w:noWrap/>
          </w:tcPr>
          <w:p w14:paraId="271B6AC3" w14:textId="4CC2B2B4" w:rsidR="00DB76B5" w:rsidRPr="009021AF" w:rsidRDefault="00DB76B5" w:rsidP="00DB76B5">
            <w:r w:rsidRPr="009021AF">
              <w:t>Mammary analogue secretory carcinoma</w:t>
            </w:r>
          </w:p>
        </w:tc>
      </w:tr>
      <w:tr w:rsidR="00DB76B5" w:rsidRPr="00370367" w14:paraId="688A17E2" w14:textId="77777777" w:rsidTr="009021AF">
        <w:trPr>
          <w:trHeight w:val="300"/>
        </w:trPr>
        <w:tc>
          <w:tcPr>
            <w:tcW w:w="1048" w:type="dxa"/>
            <w:shd w:val="clear" w:color="auto" w:fill="auto"/>
            <w:noWrap/>
          </w:tcPr>
          <w:p w14:paraId="5E6E056E" w14:textId="63B2373C" w:rsidR="00DB76B5" w:rsidRPr="009021AF" w:rsidRDefault="00DB76B5" w:rsidP="00DB76B5">
            <w:r w:rsidRPr="009021AF">
              <w:t>MSI-H</w:t>
            </w:r>
          </w:p>
        </w:tc>
        <w:tc>
          <w:tcPr>
            <w:tcW w:w="5898" w:type="dxa"/>
            <w:shd w:val="clear" w:color="auto" w:fill="auto"/>
            <w:noWrap/>
          </w:tcPr>
          <w:p w14:paraId="3DD326F3" w14:textId="00BD888D" w:rsidR="00DB76B5" w:rsidRPr="009021AF" w:rsidRDefault="00DB76B5" w:rsidP="00DB76B5">
            <w:r w:rsidRPr="009021AF">
              <w:t>Microsatellite instability high</w:t>
            </w:r>
          </w:p>
        </w:tc>
      </w:tr>
      <w:tr w:rsidR="00DB76B5" w:rsidRPr="00370367" w14:paraId="79C104DB" w14:textId="77777777" w:rsidTr="009021AF">
        <w:trPr>
          <w:trHeight w:val="300"/>
        </w:trPr>
        <w:tc>
          <w:tcPr>
            <w:tcW w:w="1048" w:type="dxa"/>
            <w:shd w:val="clear" w:color="auto" w:fill="auto"/>
            <w:noWrap/>
          </w:tcPr>
          <w:p w14:paraId="62EA92AC" w14:textId="6FFB6BDC" w:rsidR="00DB76B5" w:rsidRPr="009021AF" w:rsidRDefault="00DB76B5" w:rsidP="00DB76B5">
            <w:r w:rsidRPr="009021AF">
              <w:t>NE</w:t>
            </w:r>
          </w:p>
        </w:tc>
        <w:tc>
          <w:tcPr>
            <w:tcW w:w="5898" w:type="dxa"/>
            <w:shd w:val="clear" w:color="auto" w:fill="auto"/>
            <w:noWrap/>
          </w:tcPr>
          <w:p w14:paraId="5C09A9B9" w14:textId="42B3B2CC" w:rsidR="00DB76B5" w:rsidRPr="009021AF" w:rsidRDefault="00DB76B5" w:rsidP="00DB76B5">
            <w:r w:rsidRPr="009021AF">
              <w:t>Not estimable</w:t>
            </w:r>
          </w:p>
        </w:tc>
      </w:tr>
      <w:tr w:rsidR="00DB76B5" w:rsidRPr="00370367" w14:paraId="7E4339C0" w14:textId="77777777" w:rsidTr="009021AF">
        <w:trPr>
          <w:trHeight w:val="300"/>
        </w:trPr>
        <w:tc>
          <w:tcPr>
            <w:tcW w:w="1048" w:type="dxa"/>
            <w:shd w:val="clear" w:color="auto" w:fill="auto"/>
            <w:noWrap/>
          </w:tcPr>
          <w:p w14:paraId="5E24FE55" w14:textId="12559AA0" w:rsidR="00DB76B5" w:rsidRPr="009021AF" w:rsidRDefault="00DB76B5" w:rsidP="00DB76B5">
            <w:r w:rsidRPr="009021AF">
              <w:t>NET</w:t>
            </w:r>
          </w:p>
        </w:tc>
        <w:tc>
          <w:tcPr>
            <w:tcW w:w="5898" w:type="dxa"/>
            <w:shd w:val="clear" w:color="auto" w:fill="auto"/>
            <w:noWrap/>
          </w:tcPr>
          <w:p w14:paraId="4C3DE9E8" w14:textId="07A12CBD" w:rsidR="00DB76B5" w:rsidRPr="009021AF" w:rsidRDefault="00DB76B5" w:rsidP="00DB76B5">
            <w:r w:rsidRPr="009021AF">
              <w:t>Neuroendocrine tumour</w:t>
            </w:r>
          </w:p>
        </w:tc>
      </w:tr>
      <w:tr w:rsidR="00DB76B5" w:rsidRPr="00370367" w14:paraId="23DCDD0C" w14:textId="77777777" w:rsidTr="009021AF">
        <w:trPr>
          <w:trHeight w:val="300"/>
        </w:trPr>
        <w:tc>
          <w:tcPr>
            <w:tcW w:w="1048" w:type="dxa"/>
            <w:shd w:val="clear" w:color="auto" w:fill="auto"/>
            <w:noWrap/>
          </w:tcPr>
          <w:p w14:paraId="1B7901D0" w14:textId="69E66052" w:rsidR="00DB76B5" w:rsidRPr="009021AF" w:rsidRDefault="00DB76B5" w:rsidP="00DB76B5">
            <w:r w:rsidRPr="009021AF">
              <w:t>NGS</w:t>
            </w:r>
          </w:p>
        </w:tc>
        <w:tc>
          <w:tcPr>
            <w:tcW w:w="5898" w:type="dxa"/>
            <w:shd w:val="clear" w:color="auto" w:fill="auto"/>
            <w:noWrap/>
          </w:tcPr>
          <w:p w14:paraId="0C473C31" w14:textId="7F91CF54" w:rsidR="00DB76B5" w:rsidRPr="009021AF" w:rsidRDefault="00DB76B5" w:rsidP="00DB76B5">
            <w:r w:rsidRPr="009021AF">
              <w:t>Next generation sequencing</w:t>
            </w:r>
          </w:p>
        </w:tc>
      </w:tr>
      <w:tr w:rsidR="00DB76B5" w:rsidRPr="00370367" w14:paraId="03AB9FC5" w14:textId="77777777" w:rsidTr="009021AF">
        <w:trPr>
          <w:trHeight w:val="300"/>
        </w:trPr>
        <w:tc>
          <w:tcPr>
            <w:tcW w:w="1048" w:type="dxa"/>
            <w:shd w:val="clear" w:color="auto" w:fill="auto"/>
            <w:noWrap/>
          </w:tcPr>
          <w:p w14:paraId="620ED124" w14:textId="46E54290" w:rsidR="00DB76B5" w:rsidRPr="009021AF" w:rsidRDefault="00DB76B5" w:rsidP="00DB76B5">
            <w:r w:rsidRPr="009021AF">
              <w:t>NHB</w:t>
            </w:r>
          </w:p>
        </w:tc>
        <w:tc>
          <w:tcPr>
            <w:tcW w:w="5898" w:type="dxa"/>
            <w:shd w:val="clear" w:color="auto" w:fill="auto"/>
            <w:noWrap/>
          </w:tcPr>
          <w:p w14:paraId="6D7A30B6" w14:textId="49D5B315" w:rsidR="00DB76B5" w:rsidRPr="009021AF" w:rsidRDefault="00DB76B5" w:rsidP="00DB76B5">
            <w:r w:rsidRPr="009021AF">
              <w:t>Net health benefit</w:t>
            </w:r>
          </w:p>
        </w:tc>
      </w:tr>
      <w:tr w:rsidR="00DB76B5" w:rsidRPr="00370367" w14:paraId="036D7959" w14:textId="77777777" w:rsidTr="009021AF">
        <w:trPr>
          <w:trHeight w:val="300"/>
        </w:trPr>
        <w:tc>
          <w:tcPr>
            <w:tcW w:w="1048" w:type="dxa"/>
            <w:shd w:val="clear" w:color="auto" w:fill="auto"/>
            <w:noWrap/>
          </w:tcPr>
          <w:p w14:paraId="1712A083" w14:textId="64EE7E8F" w:rsidR="00DB76B5" w:rsidRPr="009021AF" w:rsidRDefault="00DB76B5" w:rsidP="00DB76B5">
            <w:r w:rsidRPr="009021AF">
              <w:t>NHL</w:t>
            </w:r>
          </w:p>
        </w:tc>
        <w:tc>
          <w:tcPr>
            <w:tcW w:w="5898" w:type="dxa"/>
            <w:shd w:val="clear" w:color="auto" w:fill="auto"/>
            <w:noWrap/>
          </w:tcPr>
          <w:p w14:paraId="40A48ACC" w14:textId="38ED39E2" w:rsidR="00DB76B5" w:rsidRPr="009021AF" w:rsidRDefault="00DB76B5" w:rsidP="00DB76B5">
            <w:r w:rsidRPr="009021AF">
              <w:t>Non-Hodgkin’s lymphoma</w:t>
            </w:r>
          </w:p>
        </w:tc>
      </w:tr>
      <w:tr w:rsidR="00DB76B5" w:rsidRPr="00370367" w14:paraId="20D6D1F2" w14:textId="77777777" w:rsidTr="009021AF">
        <w:trPr>
          <w:trHeight w:val="300"/>
        </w:trPr>
        <w:tc>
          <w:tcPr>
            <w:tcW w:w="1048" w:type="dxa"/>
            <w:shd w:val="clear" w:color="auto" w:fill="auto"/>
            <w:noWrap/>
          </w:tcPr>
          <w:p w14:paraId="3E2FBDBB" w14:textId="36F5C7BF" w:rsidR="00DB76B5" w:rsidRPr="009021AF" w:rsidRDefault="00DB76B5" w:rsidP="00DB76B5">
            <w:r w:rsidRPr="009021AF">
              <w:t>NHS</w:t>
            </w:r>
          </w:p>
        </w:tc>
        <w:tc>
          <w:tcPr>
            <w:tcW w:w="5898" w:type="dxa"/>
            <w:shd w:val="clear" w:color="auto" w:fill="auto"/>
            <w:noWrap/>
          </w:tcPr>
          <w:p w14:paraId="488E9429" w14:textId="6CAEB3CD" w:rsidR="00DB76B5" w:rsidRPr="009021AF" w:rsidRDefault="00DB76B5" w:rsidP="00DB76B5">
            <w:r w:rsidRPr="009021AF">
              <w:t xml:space="preserve">National </w:t>
            </w:r>
            <w:r>
              <w:t>H</w:t>
            </w:r>
            <w:r w:rsidRPr="009021AF">
              <w:t xml:space="preserve">ealth </w:t>
            </w:r>
            <w:r>
              <w:t>S</w:t>
            </w:r>
            <w:r w:rsidRPr="009021AF">
              <w:t>ervice</w:t>
            </w:r>
          </w:p>
        </w:tc>
      </w:tr>
      <w:tr w:rsidR="00DB76B5" w:rsidRPr="00370367" w14:paraId="4F5CB0AC" w14:textId="77777777" w:rsidTr="009021AF">
        <w:trPr>
          <w:trHeight w:val="300"/>
        </w:trPr>
        <w:tc>
          <w:tcPr>
            <w:tcW w:w="1048" w:type="dxa"/>
            <w:shd w:val="clear" w:color="auto" w:fill="auto"/>
            <w:noWrap/>
          </w:tcPr>
          <w:p w14:paraId="16E6455A" w14:textId="44D15421" w:rsidR="00DB76B5" w:rsidRPr="009021AF" w:rsidRDefault="00DB76B5" w:rsidP="00DB76B5">
            <w:r w:rsidRPr="009021AF">
              <w:t>NICE</w:t>
            </w:r>
          </w:p>
        </w:tc>
        <w:tc>
          <w:tcPr>
            <w:tcW w:w="5898" w:type="dxa"/>
            <w:shd w:val="clear" w:color="auto" w:fill="auto"/>
            <w:noWrap/>
          </w:tcPr>
          <w:p w14:paraId="1AFF4DE9" w14:textId="43EC2280" w:rsidR="00DB76B5" w:rsidRPr="009021AF" w:rsidRDefault="00DB76B5" w:rsidP="00DB76B5">
            <w:r w:rsidRPr="009021AF">
              <w:t>National Institute for Health a</w:t>
            </w:r>
            <w:r>
              <w:t>n</w:t>
            </w:r>
            <w:r w:rsidRPr="009021AF">
              <w:t>d Care Excellence</w:t>
            </w:r>
          </w:p>
        </w:tc>
      </w:tr>
      <w:tr w:rsidR="007E1112" w:rsidRPr="00370367" w14:paraId="364201A9" w14:textId="77777777" w:rsidTr="009021AF">
        <w:trPr>
          <w:trHeight w:val="300"/>
        </w:trPr>
        <w:tc>
          <w:tcPr>
            <w:tcW w:w="1048" w:type="dxa"/>
            <w:shd w:val="clear" w:color="auto" w:fill="auto"/>
            <w:noWrap/>
          </w:tcPr>
          <w:p w14:paraId="2F8841DD" w14:textId="7B4F2284" w:rsidR="007E1112" w:rsidRPr="003D4532" w:rsidRDefault="003D4532" w:rsidP="00DB76B5">
            <w:r>
              <w:t>NIH</w:t>
            </w:r>
          </w:p>
        </w:tc>
        <w:tc>
          <w:tcPr>
            <w:tcW w:w="5898" w:type="dxa"/>
            <w:shd w:val="clear" w:color="auto" w:fill="auto"/>
            <w:noWrap/>
          </w:tcPr>
          <w:p w14:paraId="1953932E" w14:textId="5EB10D58" w:rsidR="007E1112" w:rsidRPr="003D4532" w:rsidRDefault="007E1112" w:rsidP="00DB76B5">
            <w:r w:rsidRPr="003D4532">
              <w:t>National Institutes of Health</w:t>
            </w:r>
          </w:p>
        </w:tc>
      </w:tr>
      <w:tr w:rsidR="00DB76B5" w:rsidRPr="00370367" w14:paraId="38D3BB47" w14:textId="77777777" w:rsidTr="009021AF">
        <w:trPr>
          <w:trHeight w:val="300"/>
        </w:trPr>
        <w:tc>
          <w:tcPr>
            <w:tcW w:w="1048" w:type="dxa"/>
            <w:shd w:val="clear" w:color="auto" w:fill="auto"/>
            <w:noWrap/>
          </w:tcPr>
          <w:p w14:paraId="5D4B9176" w14:textId="797A7FE8" w:rsidR="00DB76B5" w:rsidRPr="009021AF" w:rsidRDefault="00DB76B5" w:rsidP="00DB76B5">
            <w:r w:rsidRPr="009021AF">
              <w:t>NMB</w:t>
            </w:r>
          </w:p>
        </w:tc>
        <w:tc>
          <w:tcPr>
            <w:tcW w:w="5898" w:type="dxa"/>
            <w:shd w:val="clear" w:color="auto" w:fill="auto"/>
            <w:noWrap/>
          </w:tcPr>
          <w:p w14:paraId="3718431F" w14:textId="68FE43A7" w:rsidR="00DB76B5" w:rsidRPr="009021AF" w:rsidRDefault="00DB76B5" w:rsidP="00DB76B5">
            <w:r w:rsidRPr="009021AF">
              <w:t>Net monetary benefit</w:t>
            </w:r>
          </w:p>
        </w:tc>
      </w:tr>
      <w:tr w:rsidR="00DB76B5" w:rsidRPr="00370367" w14:paraId="4E7CAE55" w14:textId="77777777" w:rsidTr="009021AF">
        <w:trPr>
          <w:trHeight w:val="300"/>
        </w:trPr>
        <w:tc>
          <w:tcPr>
            <w:tcW w:w="1048" w:type="dxa"/>
            <w:shd w:val="clear" w:color="auto" w:fill="auto"/>
            <w:noWrap/>
          </w:tcPr>
          <w:p w14:paraId="3E05BB70" w14:textId="591DEF6E" w:rsidR="00DB76B5" w:rsidRPr="009021AF" w:rsidRDefault="00DB76B5" w:rsidP="00DB76B5">
            <w:r w:rsidRPr="009021AF">
              <w:t>NNS</w:t>
            </w:r>
          </w:p>
        </w:tc>
        <w:tc>
          <w:tcPr>
            <w:tcW w:w="5898" w:type="dxa"/>
            <w:shd w:val="clear" w:color="auto" w:fill="auto"/>
            <w:noWrap/>
          </w:tcPr>
          <w:p w14:paraId="7CF4981E" w14:textId="656BB975" w:rsidR="00DB76B5" w:rsidRPr="009021AF" w:rsidRDefault="00DB76B5" w:rsidP="00DB76B5">
            <w:r w:rsidRPr="009021AF">
              <w:t>Number needed to screen</w:t>
            </w:r>
          </w:p>
        </w:tc>
      </w:tr>
      <w:tr w:rsidR="00DB76B5" w:rsidRPr="00370367" w14:paraId="758A2D12" w14:textId="77777777" w:rsidTr="009021AF">
        <w:trPr>
          <w:trHeight w:val="300"/>
        </w:trPr>
        <w:tc>
          <w:tcPr>
            <w:tcW w:w="1048" w:type="dxa"/>
            <w:shd w:val="clear" w:color="auto" w:fill="auto"/>
            <w:noWrap/>
          </w:tcPr>
          <w:p w14:paraId="39C3623F" w14:textId="2EBDB3E1" w:rsidR="00DB76B5" w:rsidRPr="009021AF" w:rsidRDefault="00DB76B5" w:rsidP="00DB76B5">
            <w:r w:rsidRPr="009021AF">
              <w:t>NR</w:t>
            </w:r>
          </w:p>
        </w:tc>
        <w:tc>
          <w:tcPr>
            <w:tcW w:w="5898" w:type="dxa"/>
            <w:shd w:val="clear" w:color="auto" w:fill="auto"/>
            <w:noWrap/>
          </w:tcPr>
          <w:p w14:paraId="179CCDA7" w14:textId="73D6BD29" w:rsidR="00DB76B5" w:rsidRPr="009021AF" w:rsidRDefault="00DB76B5" w:rsidP="00DB76B5">
            <w:r w:rsidRPr="009021AF">
              <w:t>Not reported</w:t>
            </w:r>
          </w:p>
        </w:tc>
      </w:tr>
      <w:tr w:rsidR="00DB76B5" w:rsidRPr="00370367" w14:paraId="5B11138D" w14:textId="77777777" w:rsidTr="009021AF">
        <w:trPr>
          <w:trHeight w:val="300"/>
        </w:trPr>
        <w:tc>
          <w:tcPr>
            <w:tcW w:w="1048" w:type="dxa"/>
            <w:shd w:val="clear" w:color="auto" w:fill="auto"/>
            <w:noWrap/>
          </w:tcPr>
          <w:p w14:paraId="727F7F8F" w14:textId="0061F9EE" w:rsidR="00DB76B5" w:rsidRPr="009021AF" w:rsidRDefault="00DB76B5" w:rsidP="00DB76B5">
            <w:r w:rsidRPr="009021AF">
              <w:t>NSCLC</w:t>
            </w:r>
          </w:p>
        </w:tc>
        <w:tc>
          <w:tcPr>
            <w:tcW w:w="5898" w:type="dxa"/>
            <w:shd w:val="clear" w:color="auto" w:fill="auto"/>
            <w:noWrap/>
          </w:tcPr>
          <w:p w14:paraId="204D931A" w14:textId="1024F771" w:rsidR="00DB76B5" w:rsidRPr="009021AF" w:rsidRDefault="00DB76B5" w:rsidP="00DB76B5">
            <w:r w:rsidRPr="009021AF">
              <w:t>Non-small cell lung cancer</w:t>
            </w:r>
          </w:p>
        </w:tc>
      </w:tr>
      <w:tr w:rsidR="00DB76B5" w:rsidRPr="00370367" w14:paraId="3DC08BEE" w14:textId="77777777" w:rsidTr="009021AF">
        <w:trPr>
          <w:trHeight w:val="300"/>
        </w:trPr>
        <w:tc>
          <w:tcPr>
            <w:tcW w:w="1048" w:type="dxa"/>
            <w:shd w:val="clear" w:color="auto" w:fill="auto"/>
            <w:noWrap/>
          </w:tcPr>
          <w:p w14:paraId="54ECE48F" w14:textId="73A66F71" w:rsidR="00DB76B5" w:rsidRPr="009021AF" w:rsidRDefault="00DB76B5" w:rsidP="00DB76B5">
            <w:r w:rsidRPr="009021AF">
              <w:t>NTRK</w:t>
            </w:r>
          </w:p>
        </w:tc>
        <w:tc>
          <w:tcPr>
            <w:tcW w:w="5898" w:type="dxa"/>
            <w:shd w:val="clear" w:color="auto" w:fill="auto"/>
            <w:noWrap/>
          </w:tcPr>
          <w:p w14:paraId="1F092AED" w14:textId="696EEF6A" w:rsidR="00DB76B5" w:rsidRPr="009021AF" w:rsidRDefault="00DB76B5" w:rsidP="00DB76B5">
            <w:r>
              <w:t>N</w:t>
            </w:r>
            <w:r w:rsidRPr="009021AF">
              <w:t>eurotrophic tyrosine receptor kinase</w:t>
            </w:r>
          </w:p>
        </w:tc>
      </w:tr>
      <w:tr w:rsidR="00DB76B5" w:rsidRPr="00370367" w14:paraId="07B26996" w14:textId="77777777" w:rsidTr="009021AF">
        <w:trPr>
          <w:trHeight w:val="300"/>
        </w:trPr>
        <w:tc>
          <w:tcPr>
            <w:tcW w:w="1048" w:type="dxa"/>
            <w:shd w:val="clear" w:color="auto" w:fill="auto"/>
            <w:noWrap/>
          </w:tcPr>
          <w:p w14:paraId="0F26CA9A" w14:textId="078BAB96" w:rsidR="00DB76B5" w:rsidRPr="009021AF" w:rsidRDefault="00DB76B5" w:rsidP="00DB76B5">
            <w:r w:rsidRPr="009021AF">
              <w:t>ODAC</w:t>
            </w:r>
          </w:p>
        </w:tc>
        <w:tc>
          <w:tcPr>
            <w:tcW w:w="5898" w:type="dxa"/>
            <w:shd w:val="clear" w:color="auto" w:fill="auto"/>
            <w:noWrap/>
          </w:tcPr>
          <w:p w14:paraId="5E3739D4" w14:textId="196197DD" w:rsidR="00DB76B5" w:rsidRPr="009021AF" w:rsidRDefault="00DB76B5" w:rsidP="00DB76B5">
            <w:r w:rsidRPr="009021AF">
              <w:t>Oncologic Drugs Advisory Committee (ODAC)</w:t>
            </w:r>
          </w:p>
        </w:tc>
      </w:tr>
      <w:tr w:rsidR="00DB76B5" w:rsidRPr="00370367" w14:paraId="19BDE4EB" w14:textId="77777777" w:rsidTr="009021AF">
        <w:trPr>
          <w:trHeight w:val="300"/>
        </w:trPr>
        <w:tc>
          <w:tcPr>
            <w:tcW w:w="1048" w:type="dxa"/>
            <w:shd w:val="clear" w:color="auto" w:fill="auto"/>
            <w:noWrap/>
          </w:tcPr>
          <w:p w14:paraId="1F692A8C" w14:textId="131C15F0" w:rsidR="00DB76B5" w:rsidRPr="009021AF" w:rsidRDefault="00DB76B5" w:rsidP="00DB76B5">
            <w:r w:rsidRPr="009021AF">
              <w:t>OR</w:t>
            </w:r>
          </w:p>
        </w:tc>
        <w:tc>
          <w:tcPr>
            <w:tcW w:w="5898" w:type="dxa"/>
            <w:shd w:val="clear" w:color="auto" w:fill="auto"/>
            <w:noWrap/>
          </w:tcPr>
          <w:p w14:paraId="2091F056" w14:textId="46E2E9E2" w:rsidR="00DB76B5" w:rsidRPr="009021AF" w:rsidRDefault="00DB76B5" w:rsidP="00DB76B5">
            <w:r w:rsidRPr="009021AF">
              <w:t>Odds ratio</w:t>
            </w:r>
          </w:p>
        </w:tc>
      </w:tr>
      <w:tr w:rsidR="00DB76B5" w:rsidRPr="00370367" w14:paraId="2A1C3527" w14:textId="77777777" w:rsidTr="009021AF">
        <w:trPr>
          <w:trHeight w:val="300"/>
        </w:trPr>
        <w:tc>
          <w:tcPr>
            <w:tcW w:w="1048" w:type="dxa"/>
            <w:shd w:val="clear" w:color="auto" w:fill="auto"/>
            <w:noWrap/>
          </w:tcPr>
          <w:p w14:paraId="1EC50E64" w14:textId="06D53DF3" w:rsidR="00DB76B5" w:rsidRPr="009021AF" w:rsidRDefault="00DB76B5" w:rsidP="00DB76B5">
            <w:r w:rsidRPr="009021AF">
              <w:t>ORR</w:t>
            </w:r>
          </w:p>
        </w:tc>
        <w:tc>
          <w:tcPr>
            <w:tcW w:w="5898" w:type="dxa"/>
            <w:shd w:val="clear" w:color="auto" w:fill="auto"/>
            <w:noWrap/>
          </w:tcPr>
          <w:p w14:paraId="08C5DF82" w14:textId="5CA87145" w:rsidR="00DB76B5" w:rsidRPr="009021AF" w:rsidRDefault="00DB76B5" w:rsidP="00DB76B5">
            <w:r w:rsidRPr="009021AF">
              <w:t>Overall response rate</w:t>
            </w:r>
          </w:p>
        </w:tc>
      </w:tr>
      <w:tr w:rsidR="00DB76B5" w:rsidRPr="00370367" w14:paraId="2EA13D72" w14:textId="77777777" w:rsidTr="009021AF">
        <w:trPr>
          <w:trHeight w:val="300"/>
        </w:trPr>
        <w:tc>
          <w:tcPr>
            <w:tcW w:w="1048" w:type="dxa"/>
            <w:shd w:val="clear" w:color="auto" w:fill="auto"/>
            <w:noWrap/>
          </w:tcPr>
          <w:p w14:paraId="172FD21E" w14:textId="7B8DB4B9" w:rsidR="00DB76B5" w:rsidRPr="009021AF" w:rsidRDefault="00DB76B5" w:rsidP="00DB76B5">
            <w:r w:rsidRPr="009021AF">
              <w:t>OS</w:t>
            </w:r>
          </w:p>
        </w:tc>
        <w:tc>
          <w:tcPr>
            <w:tcW w:w="5898" w:type="dxa"/>
            <w:shd w:val="clear" w:color="auto" w:fill="auto"/>
            <w:noWrap/>
          </w:tcPr>
          <w:p w14:paraId="209C7E2D" w14:textId="244A57AB" w:rsidR="00DB76B5" w:rsidRPr="009021AF" w:rsidRDefault="00DB76B5" w:rsidP="00DB76B5">
            <w:r w:rsidRPr="009021AF">
              <w:t xml:space="preserve">Overall survival </w:t>
            </w:r>
          </w:p>
        </w:tc>
      </w:tr>
      <w:tr w:rsidR="00DB76B5" w:rsidRPr="00370367" w14:paraId="023E8397" w14:textId="77777777" w:rsidTr="009021AF">
        <w:trPr>
          <w:trHeight w:val="300"/>
        </w:trPr>
        <w:tc>
          <w:tcPr>
            <w:tcW w:w="1048" w:type="dxa"/>
            <w:shd w:val="clear" w:color="auto" w:fill="auto"/>
            <w:noWrap/>
          </w:tcPr>
          <w:p w14:paraId="74BADE55" w14:textId="04063A2A" w:rsidR="00DB76B5" w:rsidRPr="009021AF" w:rsidRDefault="00DB76B5" w:rsidP="00DB76B5">
            <w:r w:rsidRPr="009021AF">
              <w:t>PAS</w:t>
            </w:r>
          </w:p>
        </w:tc>
        <w:tc>
          <w:tcPr>
            <w:tcW w:w="5898" w:type="dxa"/>
            <w:shd w:val="clear" w:color="auto" w:fill="auto"/>
            <w:noWrap/>
          </w:tcPr>
          <w:p w14:paraId="3FF056CB" w14:textId="42BEC6F5" w:rsidR="00DB76B5" w:rsidRPr="009021AF" w:rsidRDefault="00DB76B5" w:rsidP="00DB76B5">
            <w:r w:rsidRPr="009021AF">
              <w:t>Primary analysis set</w:t>
            </w:r>
          </w:p>
        </w:tc>
      </w:tr>
      <w:tr w:rsidR="00DB76B5" w:rsidRPr="00370367" w14:paraId="1FA650B2" w14:textId="77777777" w:rsidTr="009021AF">
        <w:trPr>
          <w:trHeight w:val="300"/>
        </w:trPr>
        <w:tc>
          <w:tcPr>
            <w:tcW w:w="1048" w:type="dxa"/>
            <w:shd w:val="clear" w:color="auto" w:fill="auto"/>
            <w:noWrap/>
          </w:tcPr>
          <w:p w14:paraId="53D4702F" w14:textId="00FB1731" w:rsidR="00DB76B5" w:rsidRPr="009021AF" w:rsidRDefault="00DB76B5" w:rsidP="00DB76B5">
            <w:r w:rsidRPr="009021AF">
              <w:lastRenderedPageBreak/>
              <w:t>PCR</w:t>
            </w:r>
          </w:p>
        </w:tc>
        <w:tc>
          <w:tcPr>
            <w:tcW w:w="5898" w:type="dxa"/>
            <w:shd w:val="clear" w:color="auto" w:fill="auto"/>
            <w:noWrap/>
          </w:tcPr>
          <w:p w14:paraId="17E0A1A7" w14:textId="37AE37C2" w:rsidR="00DB76B5" w:rsidRPr="009021AF" w:rsidRDefault="00DB76B5" w:rsidP="00DB76B5">
            <w:r w:rsidRPr="009021AF">
              <w:t>Polymerase chain reaction</w:t>
            </w:r>
          </w:p>
        </w:tc>
      </w:tr>
      <w:tr w:rsidR="00DB76B5" w:rsidRPr="00370367" w14:paraId="7FFE020A" w14:textId="77777777" w:rsidTr="009021AF">
        <w:trPr>
          <w:trHeight w:val="300"/>
        </w:trPr>
        <w:tc>
          <w:tcPr>
            <w:tcW w:w="1048" w:type="dxa"/>
            <w:shd w:val="clear" w:color="auto" w:fill="auto"/>
            <w:noWrap/>
          </w:tcPr>
          <w:p w14:paraId="726BF888" w14:textId="12D4D3C4" w:rsidR="00DB76B5" w:rsidRPr="009021AF" w:rsidRDefault="00DB76B5" w:rsidP="00DB76B5">
            <w:r w:rsidRPr="009021AF">
              <w:t>PD</w:t>
            </w:r>
          </w:p>
        </w:tc>
        <w:tc>
          <w:tcPr>
            <w:tcW w:w="5898" w:type="dxa"/>
            <w:shd w:val="clear" w:color="auto" w:fill="auto"/>
            <w:noWrap/>
          </w:tcPr>
          <w:p w14:paraId="332A7CAF" w14:textId="23195B46" w:rsidR="00DB76B5" w:rsidRPr="009021AF" w:rsidRDefault="00DB76B5" w:rsidP="00DB76B5">
            <w:r w:rsidRPr="009021AF">
              <w:t>Progressive disease</w:t>
            </w:r>
          </w:p>
        </w:tc>
      </w:tr>
      <w:tr w:rsidR="00DB76B5" w:rsidRPr="00370367" w14:paraId="396821A3" w14:textId="77777777" w:rsidTr="009021AF">
        <w:trPr>
          <w:trHeight w:val="300"/>
        </w:trPr>
        <w:tc>
          <w:tcPr>
            <w:tcW w:w="1048" w:type="dxa"/>
            <w:shd w:val="clear" w:color="auto" w:fill="auto"/>
            <w:noWrap/>
          </w:tcPr>
          <w:p w14:paraId="173351C2" w14:textId="49AFA45A" w:rsidR="00DB76B5" w:rsidRPr="009021AF" w:rsidRDefault="00DB76B5" w:rsidP="00DB76B5">
            <w:r w:rsidRPr="009021AF">
              <w:t>PFS</w:t>
            </w:r>
          </w:p>
        </w:tc>
        <w:tc>
          <w:tcPr>
            <w:tcW w:w="5898" w:type="dxa"/>
            <w:shd w:val="clear" w:color="auto" w:fill="auto"/>
            <w:noWrap/>
          </w:tcPr>
          <w:p w14:paraId="26D44BAE" w14:textId="642B28F9" w:rsidR="00DB76B5" w:rsidRPr="009021AF" w:rsidRDefault="00DB76B5" w:rsidP="00DB76B5">
            <w:r w:rsidRPr="009021AF">
              <w:t>Progression-free survival</w:t>
            </w:r>
          </w:p>
        </w:tc>
      </w:tr>
      <w:tr w:rsidR="00DB76B5" w:rsidRPr="00370367" w14:paraId="4B564DBD" w14:textId="77777777" w:rsidTr="009021AF">
        <w:trPr>
          <w:trHeight w:val="300"/>
        </w:trPr>
        <w:tc>
          <w:tcPr>
            <w:tcW w:w="1048" w:type="dxa"/>
            <w:shd w:val="clear" w:color="auto" w:fill="auto"/>
            <w:noWrap/>
          </w:tcPr>
          <w:p w14:paraId="313B6695" w14:textId="2D777376" w:rsidR="00DB76B5" w:rsidRPr="009021AF" w:rsidRDefault="00DB76B5" w:rsidP="00DB76B5">
            <w:r w:rsidRPr="009021AF">
              <w:t>PR</w:t>
            </w:r>
          </w:p>
        </w:tc>
        <w:tc>
          <w:tcPr>
            <w:tcW w:w="5898" w:type="dxa"/>
            <w:shd w:val="clear" w:color="auto" w:fill="auto"/>
            <w:noWrap/>
          </w:tcPr>
          <w:p w14:paraId="4EDB3A3E" w14:textId="764C86AF" w:rsidR="00DB76B5" w:rsidRPr="009021AF" w:rsidRDefault="00DB76B5" w:rsidP="00DB76B5">
            <w:r w:rsidRPr="009021AF">
              <w:t>Partial response</w:t>
            </w:r>
          </w:p>
        </w:tc>
      </w:tr>
      <w:tr w:rsidR="00DB76B5" w:rsidRPr="00370367" w14:paraId="7C7357EC" w14:textId="77777777" w:rsidTr="009021AF">
        <w:trPr>
          <w:trHeight w:val="300"/>
        </w:trPr>
        <w:tc>
          <w:tcPr>
            <w:tcW w:w="1048" w:type="dxa"/>
            <w:shd w:val="clear" w:color="auto" w:fill="auto"/>
            <w:noWrap/>
          </w:tcPr>
          <w:p w14:paraId="23D63BEE" w14:textId="0AE066D0" w:rsidR="00DB76B5" w:rsidRPr="009021AF" w:rsidRDefault="00DB76B5" w:rsidP="00DB76B5">
            <w:r w:rsidRPr="009021AF">
              <w:t>PSA</w:t>
            </w:r>
          </w:p>
        </w:tc>
        <w:tc>
          <w:tcPr>
            <w:tcW w:w="5898" w:type="dxa"/>
            <w:shd w:val="clear" w:color="auto" w:fill="auto"/>
            <w:noWrap/>
          </w:tcPr>
          <w:p w14:paraId="6CC5D46D" w14:textId="38451E0D" w:rsidR="00DB76B5" w:rsidRPr="009021AF" w:rsidRDefault="00DB76B5" w:rsidP="00DB76B5">
            <w:r w:rsidRPr="009021AF">
              <w:t>Probabilistic sensitivity analysis</w:t>
            </w:r>
          </w:p>
        </w:tc>
      </w:tr>
      <w:tr w:rsidR="00DB76B5" w:rsidRPr="00370367" w14:paraId="3C517DB0" w14:textId="77777777" w:rsidTr="009021AF">
        <w:trPr>
          <w:trHeight w:val="300"/>
        </w:trPr>
        <w:tc>
          <w:tcPr>
            <w:tcW w:w="1048" w:type="dxa"/>
            <w:shd w:val="clear" w:color="auto" w:fill="auto"/>
            <w:noWrap/>
          </w:tcPr>
          <w:p w14:paraId="43454C8F" w14:textId="1AF0EFA4" w:rsidR="00DB76B5" w:rsidRPr="009021AF" w:rsidRDefault="00DB76B5" w:rsidP="00DB76B5">
            <w:r w:rsidRPr="009021AF">
              <w:t>PSM</w:t>
            </w:r>
          </w:p>
        </w:tc>
        <w:tc>
          <w:tcPr>
            <w:tcW w:w="5898" w:type="dxa"/>
            <w:shd w:val="clear" w:color="auto" w:fill="auto"/>
            <w:noWrap/>
          </w:tcPr>
          <w:p w14:paraId="5496E810" w14:textId="4392C832" w:rsidR="00DB76B5" w:rsidRPr="009021AF" w:rsidRDefault="00DB76B5" w:rsidP="00DB76B5">
            <w:r w:rsidRPr="009021AF">
              <w:t>Partioned survival model</w:t>
            </w:r>
          </w:p>
        </w:tc>
      </w:tr>
      <w:tr w:rsidR="00DB76B5" w:rsidRPr="00370367" w14:paraId="08A7E882" w14:textId="77777777" w:rsidTr="009021AF">
        <w:trPr>
          <w:trHeight w:val="300"/>
        </w:trPr>
        <w:tc>
          <w:tcPr>
            <w:tcW w:w="1048" w:type="dxa"/>
            <w:shd w:val="clear" w:color="auto" w:fill="auto"/>
            <w:noWrap/>
          </w:tcPr>
          <w:p w14:paraId="111C1F81" w14:textId="5265FADA" w:rsidR="00DB76B5" w:rsidRPr="009021AF" w:rsidRDefault="00DB76B5" w:rsidP="00DB76B5">
            <w:r w:rsidRPr="009021AF">
              <w:t>QALY</w:t>
            </w:r>
          </w:p>
        </w:tc>
        <w:tc>
          <w:tcPr>
            <w:tcW w:w="5898" w:type="dxa"/>
            <w:shd w:val="clear" w:color="auto" w:fill="auto"/>
            <w:noWrap/>
          </w:tcPr>
          <w:p w14:paraId="7EF14318" w14:textId="0755E3CD" w:rsidR="00DB76B5" w:rsidRPr="009021AF" w:rsidRDefault="00DB76B5" w:rsidP="00DB76B5">
            <w:r w:rsidRPr="009021AF">
              <w:t>Quality-adjusted life year</w:t>
            </w:r>
          </w:p>
        </w:tc>
      </w:tr>
      <w:tr w:rsidR="00DB76B5" w:rsidRPr="00370367" w14:paraId="3997E044" w14:textId="77777777" w:rsidTr="009021AF">
        <w:trPr>
          <w:trHeight w:val="300"/>
        </w:trPr>
        <w:tc>
          <w:tcPr>
            <w:tcW w:w="1048" w:type="dxa"/>
            <w:shd w:val="clear" w:color="auto" w:fill="auto"/>
            <w:noWrap/>
          </w:tcPr>
          <w:p w14:paraId="4FE81080" w14:textId="59FDDA12" w:rsidR="00DB76B5" w:rsidRPr="009021AF" w:rsidRDefault="00DB76B5" w:rsidP="00DB76B5">
            <w:r w:rsidRPr="009021AF">
              <w:t>RCC</w:t>
            </w:r>
          </w:p>
        </w:tc>
        <w:tc>
          <w:tcPr>
            <w:tcW w:w="5898" w:type="dxa"/>
            <w:shd w:val="clear" w:color="auto" w:fill="auto"/>
            <w:noWrap/>
          </w:tcPr>
          <w:p w14:paraId="14CDE35B" w14:textId="6C2BB08F" w:rsidR="00DB76B5" w:rsidRPr="009021AF" w:rsidRDefault="00DB76B5" w:rsidP="00DB76B5">
            <w:r w:rsidRPr="009021AF">
              <w:t>Renal cell carcinoma</w:t>
            </w:r>
          </w:p>
        </w:tc>
      </w:tr>
      <w:tr w:rsidR="00DB76B5" w:rsidRPr="00370367" w14:paraId="2233A314" w14:textId="77777777" w:rsidTr="009021AF">
        <w:trPr>
          <w:trHeight w:val="300"/>
        </w:trPr>
        <w:tc>
          <w:tcPr>
            <w:tcW w:w="1048" w:type="dxa"/>
            <w:shd w:val="clear" w:color="auto" w:fill="auto"/>
            <w:noWrap/>
          </w:tcPr>
          <w:p w14:paraId="4A06CD09" w14:textId="4885E90A" w:rsidR="00DB76B5" w:rsidRPr="009021AF" w:rsidRDefault="00DB76B5" w:rsidP="00DB76B5">
            <w:r w:rsidRPr="009021AF">
              <w:t>RCP</w:t>
            </w:r>
          </w:p>
        </w:tc>
        <w:tc>
          <w:tcPr>
            <w:tcW w:w="5898" w:type="dxa"/>
            <w:shd w:val="clear" w:color="auto" w:fill="auto"/>
            <w:noWrap/>
          </w:tcPr>
          <w:p w14:paraId="01F4AA3D" w14:textId="74A4A3D4" w:rsidR="00DB76B5" w:rsidRPr="009021AF" w:rsidRDefault="00DB76B5" w:rsidP="00DB76B5">
            <w:r w:rsidRPr="009021AF">
              <w:t>Royal College of Pathologi</w:t>
            </w:r>
            <w:r>
              <w:t>sts</w:t>
            </w:r>
          </w:p>
        </w:tc>
      </w:tr>
      <w:tr w:rsidR="00DB76B5" w:rsidRPr="00370367" w14:paraId="6355216E" w14:textId="77777777" w:rsidTr="009021AF">
        <w:trPr>
          <w:trHeight w:val="300"/>
        </w:trPr>
        <w:tc>
          <w:tcPr>
            <w:tcW w:w="1048" w:type="dxa"/>
            <w:shd w:val="clear" w:color="auto" w:fill="auto"/>
            <w:noWrap/>
          </w:tcPr>
          <w:p w14:paraId="105FCB87" w14:textId="31C84BF5" w:rsidR="00DB76B5" w:rsidRPr="009021AF" w:rsidRDefault="00DB76B5" w:rsidP="00DB76B5">
            <w:r w:rsidRPr="009021AF">
              <w:t>RCT</w:t>
            </w:r>
          </w:p>
        </w:tc>
        <w:tc>
          <w:tcPr>
            <w:tcW w:w="5898" w:type="dxa"/>
            <w:shd w:val="clear" w:color="auto" w:fill="auto"/>
            <w:noWrap/>
          </w:tcPr>
          <w:p w14:paraId="460FB30F" w14:textId="5DAB3E16" w:rsidR="00DB76B5" w:rsidRPr="009021AF" w:rsidRDefault="00DB76B5" w:rsidP="00DB76B5">
            <w:r w:rsidRPr="009021AF">
              <w:t>Randomised controlled trial</w:t>
            </w:r>
          </w:p>
        </w:tc>
      </w:tr>
      <w:tr w:rsidR="00DB76B5" w:rsidRPr="00370367" w14:paraId="7110843E" w14:textId="77777777" w:rsidTr="009021AF">
        <w:trPr>
          <w:trHeight w:val="300"/>
        </w:trPr>
        <w:tc>
          <w:tcPr>
            <w:tcW w:w="1048" w:type="dxa"/>
            <w:shd w:val="clear" w:color="auto" w:fill="auto"/>
            <w:noWrap/>
          </w:tcPr>
          <w:p w14:paraId="3DFB79F5" w14:textId="10DB2EF9" w:rsidR="00DB76B5" w:rsidRPr="0003702B" w:rsidRDefault="00DB76B5" w:rsidP="00DB76B5">
            <w:r w:rsidRPr="0003702B">
              <w:t>RECIST</w:t>
            </w:r>
          </w:p>
        </w:tc>
        <w:tc>
          <w:tcPr>
            <w:tcW w:w="5898" w:type="dxa"/>
            <w:shd w:val="clear" w:color="auto" w:fill="auto"/>
            <w:noWrap/>
          </w:tcPr>
          <w:p w14:paraId="7382840B" w14:textId="26E4FA85" w:rsidR="00DB76B5" w:rsidRPr="0003702B" w:rsidRDefault="00DB76B5" w:rsidP="00DB76B5">
            <w:r w:rsidRPr="0003702B">
              <w:t>Response Evaluation Criteria in Solid Tumours </w:t>
            </w:r>
          </w:p>
        </w:tc>
      </w:tr>
      <w:tr w:rsidR="00DB76B5" w:rsidRPr="00370367" w14:paraId="3B7CB3EC" w14:textId="77777777" w:rsidTr="009021AF">
        <w:trPr>
          <w:trHeight w:val="300"/>
        </w:trPr>
        <w:tc>
          <w:tcPr>
            <w:tcW w:w="1048" w:type="dxa"/>
            <w:shd w:val="clear" w:color="auto" w:fill="auto"/>
            <w:noWrap/>
          </w:tcPr>
          <w:p w14:paraId="6A4D0E89" w14:textId="55B0358D" w:rsidR="00DB76B5" w:rsidRPr="009021AF" w:rsidRDefault="00DB76B5" w:rsidP="00DB76B5">
            <w:r w:rsidRPr="009021AF">
              <w:t>RR</w:t>
            </w:r>
          </w:p>
        </w:tc>
        <w:tc>
          <w:tcPr>
            <w:tcW w:w="5898" w:type="dxa"/>
            <w:shd w:val="clear" w:color="auto" w:fill="auto"/>
            <w:noWrap/>
          </w:tcPr>
          <w:p w14:paraId="293398E1" w14:textId="1B1D1C95" w:rsidR="00DB76B5" w:rsidRPr="009021AF" w:rsidRDefault="00DB76B5" w:rsidP="00DB76B5">
            <w:r w:rsidRPr="009021AF">
              <w:t>Relative risk</w:t>
            </w:r>
          </w:p>
        </w:tc>
      </w:tr>
      <w:tr w:rsidR="00DB76B5" w:rsidRPr="00370367" w14:paraId="6A450D44" w14:textId="77777777" w:rsidTr="009021AF">
        <w:trPr>
          <w:trHeight w:val="300"/>
        </w:trPr>
        <w:tc>
          <w:tcPr>
            <w:tcW w:w="1048" w:type="dxa"/>
            <w:shd w:val="clear" w:color="auto" w:fill="auto"/>
            <w:noWrap/>
          </w:tcPr>
          <w:p w14:paraId="7E76B1B5" w14:textId="7EFF2FED" w:rsidR="00DB76B5" w:rsidRPr="009021AF" w:rsidRDefault="00DB76B5" w:rsidP="00DB76B5">
            <w:r w:rsidRPr="009021AF">
              <w:t>RRcHL</w:t>
            </w:r>
          </w:p>
        </w:tc>
        <w:tc>
          <w:tcPr>
            <w:tcW w:w="5898" w:type="dxa"/>
            <w:shd w:val="clear" w:color="auto" w:fill="auto"/>
            <w:noWrap/>
          </w:tcPr>
          <w:p w14:paraId="2A8C7A85" w14:textId="34690A86" w:rsidR="00DB76B5" w:rsidRPr="009021AF" w:rsidRDefault="00DB76B5" w:rsidP="00DB76B5">
            <w:r w:rsidRPr="009021AF">
              <w:t>Relapsed or refractory classical Hodgkin lymphoma</w:t>
            </w:r>
          </w:p>
        </w:tc>
      </w:tr>
      <w:tr w:rsidR="00DB76B5" w:rsidRPr="00370367" w14:paraId="3B2FDC24" w14:textId="77777777" w:rsidTr="009021AF">
        <w:trPr>
          <w:trHeight w:val="300"/>
        </w:trPr>
        <w:tc>
          <w:tcPr>
            <w:tcW w:w="1048" w:type="dxa"/>
            <w:shd w:val="clear" w:color="auto" w:fill="auto"/>
            <w:noWrap/>
          </w:tcPr>
          <w:p w14:paraId="0AEA0B52" w14:textId="7B4977D0" w:rsidR="00DB76B5" w:rsidRPr="009021AF" w:rsidRDefault="00DB76B5" w:rsidP="00DB76B5">
            <w:r w:rsidRPr="009021AF">
              <w:t>RTK</w:t>
            </w:r>
          </w:p>
        </w:tc>
        <w:tc>
          <w:tcPr>
            <w:tcW w:w="5898" w:type="dxa"/>
            <w:shd w:val="clear" w:color="auto" w:fill="auto"/>
            <w:noWrap/>
          </w:tcPr>
          <w:p w14:paraId="4FC106D4" w14:textId="1DF29A0B" w:rsidR="00DB76B5" w:rsidRPr="009021AF" w:rsidRDefault="00DB76B5" w:rsidP="00DB76B5">
            <w:r w:rsidRPr="009021AF">
              <w:t>Receptor tyrosine kinase</w:t>
            </w:r>
          </w:p>
        </w:tc>
      </w:tr>
      <w:tr w:rsidR="00DB76B5" w:rsidRPr="00370367" w14:paraId="08F319D7" w14:textId="77777777" w:rsidTr="009021AF">
        <w:trPr>
          <w:trHeight w:val="300"/>
        </w:trPr>
        <w:tc>
          <w:tcPr>
            <w:tcW w:w="1048" w:type="dxa"/>
            <w:shd w:val="clear" w:color="auto" w:fill="auto"/>
            <w:noWrap/>
          </w:tcPr>
          <w:p w14:paraId="46267583" w14:textId="2F7EA3DB" w:rsidR="00DB76B5" w:rsidRPr="009021AF" w:rsidRDefault="00DB76B5" w:rsidP="00DB76B5">
            <w:r w:rsidRPr="009021AF">
              <w:t>RT-PCR</w:t>
            </w:r>
          </w:p>
        </w:tc>
        <w:tc>
          <w:tcPr>
            <w:tcW w:w="5898" w:type="dxa"/>
            <w:shd w:val="clear" w:color="auto" w:fill="auto"/>
            <w:noWrap/>
          </w:tcPr>
          <w:p w14:paraId="4C76E9C5" w14:textId="42140EB5" w:rsidR="00DB76B5" w:rsidRPr="009021AF" w:rsidRDefault="00DB76B5" w:rsidP="00DB76B5">
            <w:r w:rsidRPr="009021AF">
              <w:t>Reverse transcription polymerase chain reaction</w:t>
            </w:r>
          </w:p>
        </w:tc>
      </w:tr>
      <w:tr w:rsidR="00DB76B5" w:rsidRPr="00370367" w14:paraId="31815C01" w14:textId="77777777" w:rsidTr="009021AF">
        <w:trPr>
          <w:trHeight w:val="300"/>
        </w:trPr>
        <w:tc>
          <w:tcPr>
            <w:tcW w:w="1048" w:type="dxa"/>
            <w:shd w:val="clear" w:color="auto" w:fill="auto"/>
            <w:noWrap/>
          </w:tcPr>
          <w:p w14:paraId="55248D7D" w14:textId="46B0A0A3" w:rsidR="00DB76B5" w:rsidRPr="009021AF" w:rsidRDefault="00DB76B5" w:rsidP="00DB76B5">
            <w:r w:rsidRPr="009021AF">
              <w:t>RWD</w:t>
            </w:r>
          </w:p>
        </w:tc>
        <w:tc>
          <w:tcPr>
            <w:tcW w:w="5898" w:type="dxa"/>
            <w:shd w:val="clear" w:color="auto" w:fill="auto"/>
            <w:noWrap/>
          </w:tcPr>
          <w:p w14:paraId="7654E27A" w14:textId="10555BAA" w:rsidR="00DB76B5" w:rsidRPr="009021AF" w:rsidRDefault="00DB76B5" w:rsidP="00DB76B5">
            <w:r w:rsidRPr="009021AF">
              <w:t>Real world data</w:t>
            </w:r>
          </w:p>
        </w:tc>
      </w:tr>
      <w:tr w:rsidR="00DB76B5" w:rsidRPr="00370367" w14:paraId="0B2F8361" w14:textId="77777777" w:rsidTr="009021AF">
        <w:trPr>
          <w:trHeight w:val="300"/>
        </w:trPr>
        <w:tc>
          <w:tcPr>
            <w:tcW w:w="1048" w:type="dxa"/>
            <w:shd w:val="clear" w:color="auto" w:fill="auto"/>
            <w:noWrap/>
          </w:tcPr>
          <w:p w14:paraId="50824E1A" w14:textId="2A5C3197" w:rsidR="00DB76B5" w:rsidRPr="009021AF" w:rsidRDefault="00DB76B5" w:rsidP="00DB76B5">
            <w:r w:rsidRPr="009021AF">
              <w:t>SA</w:t>
            </w:r>
          </w:p>
        </w:tc>
        <w:tc>
          <w:tcPr>
            <w:tcW w:w="5898" w:type="dxa"/>
            <w:shd w:val="clear" w:color="auto" w:fill="auto"/>
            <w:noWrap/>
          </w:tcPr>
          <w:p w14:paraId="31FB27B8" w14:textId="1C8CD744" w:rsidR="00DB76B5" w:rsidRPr="009021AF" w:rsidRDefault="00DB76B5" w:rsidP="00DB76B5">
            <w:r w:rsidRPr="009021AF">
              <w:t>Single arm</w:t>
            </w:r>
          </w:p>
        </w:tc>
      </w:tr>
      <w:tr w:rsidR="00DB76B5" w:rsidRPr="00370367" w14:paraId="17365B92" w14:textId="77777777" w:rsidTr="009021AF">
        <w:trPr>
          <w:trHeight w:val="300"/>
        </w:trPr>
        <w:tc>
          <w:tcPr>
            <w:tcW w:w="1048" w:type="dxa"/>
            <w:shd w:val="clear" w:color="auto" w:fill="auto"/>
            <w:noWrap/>
          </w:tcPr>
          <w:p w14:paraId="0BA2297E" w14:textId="7AE7CA48" w:rsidR="00DB76B5" w:rsidRPr="009021AF" w:rsidRDefault="00DB76B5" w:rsidP="00DB76B5">
            <w:r w:rsidRPr="009021AF">
              <w:t>SAG</w:t>
            </w:r>
          </w:p>
        </w:tc>
        <w:tc>
          <w:tcPr>
            <w:tcW w:w="5898" w:type="dxa"/>
            <w:shd w:val="clear" w:color="auto" w:fill="auto"/>
            <w:noWrap/>
          </w:tcPr>
          <w:p w14:paraId="671E79DF" w14:textId="39CC0F50" w:rsidR="00DB76B5" w:rsidRPr="009021AF" w:rsidRDefault="00DB76B5" w:rsidP="00DB76B5">
            <w:r w:rsidRPr="009021AF">
              <w:t>Scientific advisory group</w:t>
            </w:r>
          </w:p>
        </w:tc>
      </w:tr>
      <w:tr w:rsidR="00DB76B5" w:rsidRPr="00370367" w14:paraId="77E7B3D1" w14:textId="77777777" w:rsidTr="009021AF">
        <w:trPr>
          <w:trHeight w:val="300"/>
        </w:trPr>
        <w:tc>
          <w:tcPr>
            <w:tcW w:w="1048" w:type="dxa"/>
            <w:shd w:val="clear" w:color="auto" w:fill="auto"/>
            <w:noWrap/>
          </w:tcPr>
          <w:p w14:paraId="6ADF325E" w14:textId="4B9D887C" w:rsidR="00DB76B5" w:rsidRPr="009021AF" w:rsidRDefault="00DB76B5" w:rsidP="00DB76B5">
            <w:r w:rsidRPr="009021AF">
              <w:t>SAP</w:t>
            </w:r>
          </w:p>
        </w:tc>
        <w:tc>
          <w:tcPr>
            <w:tcW w:w="5898" w:type="dxa"/>
            <w:shd w:val="clear" w:color="auto" w:fill="auto"/>
            <w:noWrap/>
          </w:tcPr>
          <w:p w14:paraId="0F9C3D48" w14:textId="425EE1C5" w:rsidR="00DB76B5" w:rsidRPr="009021AF" w:rsidRDefault="00DB76B5" w:rsidP="00DB76B5">
            <w:r w:rsidRPr="009021AF">
              <w:t>Statistical analysis plan</w:t>
            </w:r>
          </w:p>
        </w:tc>
      </w:tr>
      <w:tr w:rsidR="00DB76B5" w:rsidRPr="00370367" w14:paraId="319E3D83" w14:textId="77777777" w:rsidTr="009021AF">
        <w:trPr>
          <w:trHeight w:val="300"/>
        </w:trPr>
        <w:tc>
          <w:tcPr>
            <w:tcW w:w="1048" w:type="dxa"/>
            <w:shd w:val="clear" w:color="auto" w:fill="auto"/>
            <w:noWrap/>
          </w:tcPr>
          <w:p w14:paraId="03D4DA9F" w14:textId="49387DA7" w:rsidR="00DB76B5" w:rsidRPr="009021AF" w:rsidRDefault="00DB76B5" w:rsidP="00DB76B5">
            <w:r w:rsidRPr="009021AF">
              <w:t>ScHARR</w:t>
            </w:r>
          </w:p>
        </w:tc>
        <w:tc>
          <w:tcPr>
            <w:tcW w:w="5898" w:type="dxa"/>
            <w:shd w:val="clear" w:color="auto" w:fill="auto"/>
            <w:noWrap/>
          </w:tcPr>
          <w:p w14:paraId="17D3C0F5" w14:textId="2ED39186" w:rsidR="00DB76B5" w:rsidRPr="009021AF" w:rsidRDefault="00DB76B5" w:rsidP="00DB76B5">
            <w:r w:rsidRPr="009021AF">
              <w:t>School of Health and Related Research</w:t>
            </w:r>
          </w:p>
        </w:tc>
      </w:tr>
      <w:tr w:rsidR="00DB76B5" w:rsidRPr="00370367" w14:paraId="6F959B72" w14:textId="77777777" w:rsidTr="009021AF">
        <w:trPr>
          <w:trHeight w:val="300"/>
        </w:trPr>
        <w:tc>
          <w:tcPr>
            <w:tcW w:w="1048" w:type="dxa"/>
            <w:shd w:val="clear" w:color="auto" w:fill="auto"/>
            <w:noWrap/>
          </w:tcPr>
          <w:p w14:paraId="0439CC56" w14:textId="0C6A4569" w:rsidR="00DB76B5" w:rsidRPr="009021AF" w:rsidRDefault="00DB76B5" w:rsidP="00DB76B5">
            <w:r w:rsidRPr="009021AF">
              <w:t>SCLC</w:t>
            </w:r>
          </w:p>
        </w:tc>
        <w:tc>
          <w:tcPr>
            <w:tcW w:w="5898" w:type="dxa"/>
            <w:shd w:val="clear" w:color="auto" w:fill="auto"/>
            <w:noWrap/>
          </w:tcPr>
          <w:p w14:paraId="3860AB3A" w14:textId="7C658B00" w:rsidR="00DB76B5" w:rsidRPr="009021AF" w:rsidRDefault="00DB76B5" w:rsidP="00DB76B5">
            <w:r w:rsidRPr="009021AF">
              <w:t>Small cell lung cancer</w:t>
            </w:r>
          </w:p>
        </w:tc>
      </w:tr>
      <w:tr w:rsidR="00DB76B5" w:rsidRPr="00370367" w14:paraId="18B816BC" w14:textId="77777777" w:rsidTr="009021AF">
        <w:trPr>
          <w:trHeight w:val="300"/>
        </w:trPr>
        <w:tc>
          <w:tcPr>
            <w:tcW w:w="1048" w:type="dxa"/>
            <w:shd w:val="clear" w:color="auto" w:fill="auto"/>
            <w:noWrap/>
          </w:tcPr>
          <w:p w14:paraId="68B4BFE3" w14:textId="05C23F78" w:rsidR="00DB76B5" w:rsidRPr="000474A3" w:rsidRDefault="00DB76B5" w:rsidP="00DB76B5">
            <w:r w:rsidRPr="000474A3">
              <w:t>SmPC</w:t>
            </w:r>
          </w:p>
        </w:tc>
        <w:tc>
          <w:tcPr>
            <w:tcW w:w="5898" w:type="dxa"/>
            <w:shd w:val="clear" w:color="auto" w:fill="auto"/>
            <w:noWrap/>
          </w:tcPr>
          <w:p w14:paraId="79324619" w14:textId="1F0F120B" w:rsidR="00DB76B5" w:rsidRPr="000474A3" w:rsidRDefault="00DB76B5" w:rsidP="00DB76B5">
            <w:r w:rsidRPr="000474A3">
              <w:t>Summary of product characteristics</w:t>
            </w:r>
          </w:p>
        </w:tc>
      </w:tr>
      <w:tr w:rsidR="00DB76B5" w:rsidRPr="00370367" w14:paraId="0F6DE290" w14:textId="77777777" w:rsidTr="009021AF">
        <w:trPr>
          <w:trHeight w:val="300"/>
        </w:trPr>
        <w:tc>
          <w:tcPr>
            <w:tcW w:w="1048" w:type="dxa"/>
            <w:shd w:val="clear" w:color="auto" w:fill="auto"/>
            <w:noWrap/>
          </w:tcPr>
          <w:p w14:paraId="5A1F564A" w14:textId="758E3C81" w:rsidR="00DB76B5" w:rsidRPr="009021AF" w:rsidRDefault="00DB76B5" w:rsidP="00DB76B5">
            <w:r w:rsidRPr="009021AF">
              <w:t>SOC</w:t>
            </w:r>
          </w:p>
        </w:tc>
        <w:tc>
          <w:tcPr>
            <w:tcW w:w="5898" w:type="dxa"/>
            <w:shd w:val="clear" w:color="auto" w:fill="auto"/>
            <w:noWrap/>
          </w:tcPr>
          <w:p w14:paraId="7F3E2DBF" w14:textId="37CD80E0" w:rsidR="00DB76B5" w:rsidRPr="009021AF" w:rsidRDefault="00DB76B5" w:rsidP="00DB76B5">
            <w:r w:rsidRPr="009021AF">
              <w:t>Standard of care</w:t>
            </w:r>
          </w:p>
        </w:tc>
      </w:tr>
      <w:tr w:rsidR="00DB76B5" w:rsidRPr="00370367" w14:paraId="3E4C8FD1" w14:textId="77777777" w:rsidTr="009021AF">
        <w:trPr>
          <w:trHeight w:val="300"/>
        </w:trPr>
        <w:tc>
          <w:tcPr>
            <w:tcW w:w="1048" w:type="dxa"/>
            <w:shd w:val="clear" w:color="auto" w:fill="auto"/>
            <w:noWrap/>
          </w:tcPr>
          <w:p w14:paraId="59301B20" w14:textId="63B549D8" w:rsidR="00DB76B5" w:rsidRPr="009021AF" w:rsidRDefault="00DB76B5" w:rsidP="00DB76B5">
            <w:r w:rsidRPr="009021AF">
              <w:t>STC</w:t>
            </w:r>
          </w:p>
        </w:tc>
        <w:tc>
          <w:tcPr>
            <w:tcW w:w="5898" w:type="dxa"/>
            <w:shd w:val="clear" w:color="auto" w:fill="auto"/>
            <w:noWrap/>
          </w:tcPr>
          <w:p w14:paraId="258D719E" w14:textId="6FEB55B7" w:rsidR="00DB76B5" w:rsidRPr="009021AF" w:rsidRDefault="00DB76B5" w:rsidP="00DB76B5">
            <w:r w:rsidRPr="009021AF">
              <w:t>Soft tissue sarcoma/Simulated Treatment Comparison</w:t>
            </w:r>
          </w:p>
        </w:tc>
      </w:tr>
      <w:tr w:rsidR="00DB76B5" w:rsidRPr="00370367" w14:paraId="71D905FC" w14:textId="77777777" w:rsidTr="009021AF">
        <w:trPr>
          <w:trHeight w:val="300"/>
        </w:trPr>
        <w:tc>
          <w:tcPr>
            <w:tcW w:w="1048" w:type="dxa"/>
            <w:shd w:val="clear" w:color="auto" w:fill="auto"/>
            <w:noWrap/>
          </w:tcPr>
          <w:p w14:paraId="0B27B72D" w14:textId="43DC5C8A" w:rsidR="00DB76B5" w:rsidRPr="009021AF" w:rsidRDefault="00DB76B5" w:rsidP="00DB76B5">
            <w:r w:rsidRPr="009021AF">
              <w:t>STE</w:t>
            </w:r>
          </w:p>
        </w:tc>
        <w:tc>
          <w:tcPr>
            <w:tcW w:w="5898" w:type="dxa"/>
            <w:shd w:val="clear" w:color="auto" w:fill="auto"/>
            <w:noWrap/>
          </w:tcPr>
          <w:p w14:paraId="0DAAF080" w14:textId="624093B9" w:rsidR="00DB76B5" w:rsidRPr="009021AF" w:rsidRDefault="00DB76B5" w:rsidP="00DB76B5">
            <w:r w:rsidRPr="009021AF">
              <w:t>Surrogate threshold effect</w:t>
            </w:r>
          </w:p>
        </w:tc>
      </w:tr>
      <w:tr w:rsidR="00DB76B5" w:rsidRPr="00370367" w14:paraId="07C01C61" w14:textId="77777777" w:rsidTr="009021AF">
        <w:trPr>
          <w:trHeight w:val="300"/>
        </w:trPr>
        <w:tc>
          <w:tcPr>
            <w:tcW w:w="1048" w:type="dxa"/>
            <w:shd w:val="clear" w:color="auto" w:fill="auto"/>
            <w:noWrap/>
          </w:tcPr>
          <w:p w14:paraId="47D98F84" w14:textId="34D206C4" w:rsidR="00DB76B5" w:rsidRPr="009021AF" w:rsidRDefault="00DB76B5" w:rsidP="00DB76B5">
            <w:r w:rsidRPr="009021AF">
              <w:t>TA</w:t>
            </w:r>
          </w:p>
        </w:tc>
        <w:tc>
          <w:tcPr>
            <w:tcW w:w="5898" w:type="dxa"/>
            <w:shd w:val="clear" w:color="auto" w:fill="auto"/>
            <w:noWrap/>
          </w:tcPr>
          <w:p w14:paraId="006397B8" w14:textId="4474276C" w:rsidR="00DB76B5" w:rsidRPr="009021AF" w:rsidRDefault="00DB76B5" w:rsidP="00DB76B5">
            <w:r w:rsidRPr="009021AF">
              <w:t>Technology Appraisal</w:t>
            </w:r>
          </w:p>
        </w:tc>
      </w:tr>
      <w:tr w:rsidR="00DB76B5" w:rsidRPr="00370367" w14:paraId="65CEA44C" w14:textId="77777777" w:rsidTr="009021AF">
        <w:trPr>
          <w:trHeight w:val="300"/>
        </w:trPr>
        <w:tc>
          <w:tcPr>
            <w:tcW w:w="1048" w:type="dxa"/>
            <w:shd w:val="clear" w:color="auto" w:fill="auto"/>
            <w:noWrap/>
          </w:tcPr>
          <w:p w14:paraId="7FDF9C34" w14:textId="140E7FB7" w:rsidR="00DB76B5" w:rsidRPr="009021AF" w:rsidRDefault="00DB76B5" w:rsidP="00DB76B5">
            <w:r w:rsidRPr="009021AF">
              <w:t>TKI</w:t>
            </w:r>
          </w:p>
        </w:tc>
        <w:tc>
          <w:tcPr>
            <w:tcW w:w="5898" w:type="dxa"/>
            <w:shd w:val="clear" w:color="auto" w:fill="auto"/>
            <w:noWrap/>
          </w:tcPr>
          <w:p w14:paraId="4078652F" w14:textId="6AAA1019" w:rsidR="00DB76B5" w:rsidRPr="009021AF" w:rsidRDefault="00DB76B5" w:rsidP="00DB76B5">
            <w:r w:rsidRPr="009021AF">
              <w:t>Ty</w:t>
            </w:r>
            <w:r>
              <w:t>ro</w:t>
            </w:r>
            <w:r w:rsidRPr="009021AF">
              <w:t>sine kinase inhibitor</w:t>
            </w:r>
          </w:p>
        </w:tc>
      </w:tr>
      <w:tr w:rsidR="00DB76B5" w:rsidRPr="00370367" w14:paraId="30B542F9" w14:textId="77777777" w:rsidTr="009021AF">
        <w:trPr>
          <w:trHeight w:val="300"/>
        </w:trPr>
        <w:tc>
          <w:tcPr>
            <w:tcW w:w="1048" w:type="dxa"/>
            <w:shd w:val="clear" w:color="auto" w:fill="auto"/>
            <w:noWrap/>
          </w:tcPr>
          <w:p w14:paraId="0B4928CF" w14:textId="766489C1" w:rsidR="00DB76B5" w:rsidRPr="009021AF" w:rsidRDefault="00DB76B5" w:rsidP="00DB76B5">
            <w:r w:rsidRPr="009021AF">
              <w:t>TSD</w:t>
            </w:r>
          </w:p>
        </w:tc>
        <w:tc>
          <w:tcPr>
            <w:tcW w:w="5898" w:type="dxa"/>
            <w:shd w:val="clear" w:color="auto" w:fill="auto"/>
            <w:noWrap/>
          </w:tcPr>
          <w:p w14:paraId="10AF50A3" w14:textId="4D546D5B" w:rsidR="00DB76B5" w:rsidRPr="009021AF" w:rsidRDefault="00DB76B5" w:rsidP="00DB76B5">
            <w:r w:rsidRPr="009021AF">
              <w:t>Technical support document</w:t>
            </w:r>
          </w:p>
        </w:tc>
      </w:tr>
      <w:tr w:rsidR="00DB76B5" w:rsidRPr="00370367" w14:paraId="36A0B042" w14:textId="77777777" w:rsidTr="009021AF">
        <w:trPr>
          <w:trHeight w:val="300"/>
        </w:trPr>
        <w:tc>
          <w:tcPr>
            <w:tcW w:w="1048" w:type="dxa"/>
            <w:shd w:val="clear" w:color="auto" w:fill="auto"/>
            <w:noWrap/>
          </w:tcPr>
          <w:p w14:paraId="751E20D5" w14:textId="2E2E3929" w:rsidR="00DB76B5" w:rsidRPr="009021AF" w:rsidRDefault="00DB76B5" w:rsidP="00DB76B5">
            <w:r w:rsidRPr="009021AF">
              <w:t>TTE</w:t>
            </w:r>
          </w:p>
        </w:tc>
        <w:tc>
          <w:tcPr>
            <w:tcW w:w="5898" w:type="dxa"/>
            <w:shd w:val="clear" w:color="auto" w:fill="auto"/>
            <w:noWrap/>
          </w:tcPr>
          <w:p w14:paraId="1FDE84FD" w14:textId="0181F63D" w:rsidR="00DB76B5" w:rsidRPr="009021AF" w:rsidRDefault="00DB76B5" w:rsidP="00DB76B5">
            <w:r w:rsidRPr="009021AF">
              <w:t>Time to event</w:t>
            </w:r>
          </w:p>
        </w:tc>
      </w:tr>
      <w:tr w:rsidR="00DB76B5" w:rsidRPr="00370367" w14:paraId="58F6E97F" w14:textId="77777777" w:rsidTr="009021AF">
        <w:trPr>
          <w:trHeight w:val="300"/>
        </w:trPr>
        <w:tc>
          <w:tcPr>
            <w:tcW w:w="1048" w:type="dxa"/>
            <w:shd w:val="clear" w:color="auto" w:fill="auto"/>
            <w:noWrap/>
          </w:tcPr>
          <w:p w14:paraId="79EBA029" w14:textId="4F7F112A" w:rsidR="00DB76B5" w:rsidRPr="009021AF" w:rsidRDefault="00DB76B5" w:rsidP="00DB76B5">
            <w:r w:rsidRPr="009021AF">
              <w:t>TTP</w:t>
            </w:r>
          </w:p>
        </w:tc>
        <w:tc>
          <w:tcPr>
            <w:tcW w:w="5898" w:type="dxa"/>
            <w:shd w:val="clear" w:color="auto" w:fill="auto"/>
            <w:noWrap/>
          </w:tcPr>
          <w:p w14:paraId="5F6C4DF0" w14:textId="39C8F2F7" w:rsidR="00DB76B5" w:rsidRPr="009021AF" w:rsidRDefault="00DB76B5" w:rsidP="00DB76B5">
            <w:r w:rsidRPr="009021AF">
              <w:t>Time to progression</w:t>
            </w:r>
          </w:p>
        </w:tc>
      </w:tr>
      <w:tr w:rsidR="00DB76B5" w:rsidRPr="00370367" w14:paraId="5BE4F031" w14:textId="77777777" w:rsidTr="009021AF">
        <w:trPr>
          <w:trHeight w:val="300"/>
        </w:trPr>
        <w:tc>
          <w:tcPr>
            <w:tcW w:w="1048" w:type="dxa"/>
            <w:shd w:val="clear" w:color="auto" w:fill="auto"/>
            <w:noWrap/>
          </w:tcPr>
          <w:p w14:paraId="0EEA4FC4" w14:textId="5B42A732" w:rsidR="00DB76B5" w:rsidRPr="009021AF" w:rsidRDefault="00DB76B5" w:rsidP="00DB76B5">
            <w:r w:rsidRPr="009021AF">
              <w:t>TTR</w:t>
            </w:r>
          </w:p>
        </w:tc>
        <w:tc>
          <w:tcPr>
            <w:tcW w:w="5898" w:type="dxa"/>
            <w:shd w:val="clear" w:color="auto" w:fill="auto"/>
            <w:noWrap/>
          </w:tcPr>
          <w:p w14:paraId="4E02C8FA" w14:textId="6FB297C9" w:rsidR="00DB76B5" w:rsidRPr="009021AF" w:rsidRDefault="00DB76B5" w:rsidP="00DB76B5">
            <w:r w:rsidRPr="009021AF">
              <w:t>Time to response</w:t>
            </w:r>
          </w:p>
        </w:tc>
      </w:tr>
      <w:tr w:rsidR="00DB76B5" w:rsidRPr="00370367" w14:paraId="615F1BB8" w14:textId="77777777" w:rsidTr="009021AF">
        <w:trPr>
          <w:trHeight w:val="300"/>
        </w:trPr>
        <w:tc>
          <w:tcPr>
            <w:tcW w:w="1048" w:type="dxa"/>
            <w:shd w:val="clear" w:color="auto" w:fill="auto"/>
            <w:noWrap/>
          </w:tcPr>
          <w:p w14:paraId="4CB864B5" w14:textId="23F2AE30" w:rsidR="00DB76B5" w:rsidRPr="009021AF" w:rsidRDefault="00DB76B5" w:rsidP="00DB76B5">
            <w:r w:rsidRPr="009021AF">
              <w:t>VGPR</w:t>
            </w:r>
          </w:p>
        </w:tc>
        <w:tc>
          <w:tcPr>
            <w:tcW w:w="5898" w:type="dxa"/>
            <w:shd w:val="clear" w:color="auto" w:fill="auto"/>
            <w:noWrap/>
          </w:tcPr>
          <w:p w14:paraId="58FC47E6" w14:textId="7441D654" w:rsidR="00DB76B5" w:rsidRPr="009021AF" w:rsidRDefault="00DB76B5" w:rsidP="00DB76B5">
            <w:r w:rsidRPr="009021AF">
              <w:t>Very good partial response</w:t>
            </w:r>
          </w:p>
        </w:tc>
      </w:tr>
      <w:tr w:rsidR="00DB76B5" w:rsidRPr="00370367" w14:paraId="4EC80716" w14:textId="77777777" w:rsidTr="009021AF">
        <w:trPr>
          <w:trHeight w:val="300"/>
        </w:trPr>
        <w:tc>
          <w:tcPr>
            <w:tcW w:w="1048" w:type="dxa"/>
            <w:shd w:val="clear" w:color="auto" w:fill="auto"/>
            <w:noWrap/>
          </w:tcPr>
          <w:p w14:paraId="4900A267" w14:textId="2A82F638" w:rsidR="00DB76B5" w:rsidRPr="009021AF" w:rsidRDefault="00DB76B5" w:rsidP="00DB76B5">
            <w:r w:rsidRPr="009021AF">
              <w:t>VoH</w:t>
            </w:r>
          </w:p>
        </w:tc>
        <w:tc>
          <w:tcPr>
            <w:tcW w:w="5898" w:type="dxa"/>
            <w:shd w:val="clear" w:color="auto" w:fill="auto"/>
            <w:noWrap/>
          </w:tcPr>
          <w:p w14:paraId="3863267B" w14:textId="31F376B3" w:rsidR="00DB76B5" w:rsidRPr="009021AF" w:rsidRDefault="00DB76B5" w:rsidP="00DB76B5">
            <w:r w:rsidRPr="009021AF">
              <w:t>Value of heterogeneity</w:t>
            </w:r>
          </w:p>
        </w:tc>
      </w:tr>
      <w:tr w:rsidR="00DB76B5" w:rsidRPr="00370367" w14:paraId="178FA547" w14:textId="77777777" w:rsidTr="009021AF">
        <w:trPr>
          <w:trHeight w:val="300"/>
        </w:trPr>
        <w:tc>
          <w:tcPr>
            <w:tcW w:w="1048" w:type="dxa"/>
            <w:shd w:val="clear" w:color="auto" w:fill="auto"/>
            <w:noWrap/>
          </w:tcPr>
          <w:p w14:paraId="781DED59" w14:textId="5CBDCF98" w:rsidR="00DB76B5" w:rsidRPr="009021AF" w:rsidRDefault="00DB76B5" w:rsidP="00DB76B5">
            <w:r w:rsidRPr="009021AF">
              <w:t>VOI</w:t>
            </w:r>
          </w:p>
        </w:tc>
        <w:tc>
          <w:tcPr>
            <w:tcW w:w="5898" w:type="dxa"/>
            <w:shd w:val="clear" w:color="auto" w:fill="auto"/>
            <w:noWrap/>
          </w:tcPr>
          <w:p w14:paraId="2F2773BB" w14:textId="1289CD35" w:rsidR="00DB76B5" w:rsidRPr="009021AF" w:rsidRDefault="00DB76B5" w:rsidP="00DB76B5">
            <w:r w:rsidRPr="009021AF">
              <w:t>Value of information</w:t>
            </w:r>
          </w:p>
        </w:tc>
      </w:tr>
      <w:tr w:rsidR="00DB76B5" w:rsidRPr="00370367" w14:paraId="10C7DFC0" w14:textId="77777777" w:rsidTr="009021AF">
        <w:trPr>
          <w:trHeight w:val="300"/>
        </w:trPr>
        <w:tc>
          <w:tcPr>
            <w:tcW w:w="1048" w:type="dxa"/>
            <w:shd w:val="clear" w:color="auto" w:fill="auto"/>
            <w:noWrap/>
          </w:tcPr>
          <w:p w14:paraId="18B74188" w14:textId="6BC926BD" w:rsidR="00DB76B5" w:rsidRPr="009021AF" w:rsidRDefault="00DB76B5" w:rsidP="00DB76B5">
            <w:r w:rsidRPr="009021AF">
              <w:t>WGS</w:t>
            </w:r>
          </w:p>
        </w:tc>
        <w:tc>
          <w:tcPr>
            <w:tcW w:w="5898" w:type="dxa"/>
            <w:shd w:val="clear" w:color="auto" w:fill="auto"/>
            <w:noWrap/>
          </w:tcPr>
          <w:p w14:paraId="4959B029" w14:textId="0FD013DA" w:rsidR="00DB76B5" w:rsidRPr="009021AF" w:rsidRDefault="00DB76B5" w:rsidP="00DB76B5">
            <w:r>
              <w:t>Whole genome sequen</w:t>
            </w:r>
            <w:r w:rsidRPr="009021AF">
              <w:t>cing</w:t>
            </w:r>
          </w:p>
        </w:tc>
      </w:tr>
    </w:tbl>
    <w:p w14:paraId="5BC711B3" w14:textId="28785DAB" w:rsidR="0003530F" w:rsidRDefault="0003530F" w:rsidP="00021442"/>
    <w:p w14:paraId="2CAE2105" w14:textId="77777777" w:rsidR="0003530F" w:rsidRDefault="0003530F">
      <w:pPr>
        <w:rPr>
          <w:rFonts w:eastAsiaTheme="majorEastAsia" w:cstheme="majorBidi"/>
          <w:b/>
          <w:bCs/>
          <w:sz w:val="28"/>
          <w:szCs w:val="28"/>
        </w:rPr>
      </w:pPr>
      <w:r>
        <w:rPr>
          <w:rFonts w:eastAsiaTheme="majorEastAsia" w:cstheme="majorBidi"/>
          <w:b/>
          <w:bCs/>
          <w:sz w:val="28"/>
          <w:szCs w:val="28"/>
        </w:rPr>
        <w:br w:type="page"/>
      </w:r>
    </w:p>
    <w:p w14:paraId="6B023951" w14:textId="60812960" w:rsidR="000B2A8F" w:rsidRPr="00741FC6" w:rsidRDefault="000B2A8F" w:rsidP="000B2A8F">
      <w:pPr>
        <w:pStyle w:val="Nonnumberedheading1"/>
        <w:rPr>
          <w:i/>
          <w:iCs/>
        </w:rPr>
      </w:pPr>
      <w:bookmarkStart w:id="4" w:name="_Toc33776139"/>
      <w:r w:rsidRPr="00741FC6">
        <w:lastRenderedPageBreak/>
        <w:t>Abstract</w:t>
      </w:r>
      <w:bookmarkEnd w:id="4"/>
    </w:p>
    <w:p w14:paraId="5B276C64" w14:textId="2B262C6D" w:rsidR="009E2BB0" w:rsidRDefault="009E2BB0" w:rsidP="000B2A8F">
      <w:pPr>
        <w:rPr>
          <w:iCs/>
        </w:rPr>
      </w:pPr>
      <w:r w:rsidRPr="009E2BB0">
        <w:rPr>
          <w:iCs/>
        </w:rPr>
        <w:t xml:space="preserve">The first histology-independent marketing authorisation was granted by the European Medicines Agency in 2019. </w:t>
      </w:r>
      <w:r w:rsidR="009F1897" w:rsidRPr="009F1897">
        <w:rPr>
          <w:iCs/>
        </w:rPr>
        <w:t>This is the first time a cancer treatment has been approved based on a common biomarker rather than the location in the body where the tumour originated</w:t>
      </w:r>
      <w:r w:rsidR="009F1897">
        <w:rPr>
          <w:iCs/>
        </w:rPr>
        <w:t xml:space="preserve">. </w:t>
      </w:r>
      <w:r w:rsidR="009F1897" w:rsidRPr="009F1897">
        <w:rPr>
          <w:iCs/>
        </w:rPr>
        <w:t>This represents an important paradigm shift, meaning that oncological diseases can now be classified by either tumour biomarker status or tumour histogenesis.</w:t>
      </w:r>
      <w:r w:rsidR="009F1897" w:rsidRPr="009F1897">
        <w:t xml:space="preserve"> </w:t>
      </w:r>
      <w:r w:rsidR="009F1897" w:rsidRPr="009F1897">
        <w:rPr>
          <w:iCs/>
        </w:rPr>
        <w:t xml:space="preserve">This research aims to </w:t>
      </w:r>
      <w:r w:rsidR="009F1897">
        <w:rPr>
          <w:iCs/>
        </w:rPr>
        <w:t xml:space="preserve">expore the implications for the National Institute for Health and Care Excellence (NICE) </w:t>
      </w:r>
      <w:r w:rsidR="001A319C">
        <w:rPr>
          <w:iCs/>
        </w:rPr>
        <w:t>appraisal</w:t>
      </w:r>
      <w:r w:rsidR="009F1897">
        <w:rPr>
          <w:iCs/>
        </w:rPr>
        <w:t xml:space="preserve"> process</w:t>
      </w:r>
      <w:r w:rsidR="001A319C">
        <w:rPr>
          <w:iCs/>
        </w:rPr>
        <w:t>.</w:t>
      </w:r>
    </w:p>
    <w:p w14:paraId="4712307A" w14:textId="6900A915" w:rsidR="009E2BB0" w:rsidRDefault="009F1897" w:rsidP="000B2A8F">
      <w:pPr>
        <w:rPr>
          <w:iCs/>
        </w:rPr>
      </w:pPr>
      <w:r w:rsidRPr="009F1897">
        <w:rPr>
          <w:iCs/>
        </w:rPr>
        <w:t>A series of targeted reviews were undertaken to determine the type of evidence that is likely to be available at the point of marketing authorisation and to consider the analyses likely to be required to support NICE appraisal</w:t>
      </w:r>
      <w:r w:rsidR="001F48AB">
        <w:rPr>
          <w:iCs/>
        </w:rPr>
        <w:t>s</w:t>
      </w:r>
      <w:r w:rsidRPr="009F1897">
        <w:rPr>
          <w:iCs/>
        </w:rPr>
        <w:t>.</w:t>
      </w:r>
      <w:r w:rsidR="00E622BB" w:rsidRPr="00E622BB">
        <w:t xml:space="preserve"> </w:t>
      </w:r>
      <w:r w:rsidR="001A319C">
        <w:t>S</w:t>
      </w:r>
      <w:r w:rsidR="00E74DA5">
        <w:t>everal</w:t>
      </w:r>
      <w:r w:rsidR="00E622BB">
        <w:t xml:space="preserve"> challenges </w:t>
      </w:r>
      <w:r w:rsidR="001A319C">
        <w:t xml:space="preserve">were identified </w:t>
      </w:r>
      <w:r w:rsidR="00E622BB">
        <w:t xml:space="preserve">concerning </w:t>
      </w:r>
      <w:r w:rsidR="00E622BB" w:rsidRPr="00E622BB">
        <w:rPr>
          <w:iCs/>
        </w:rPr>
        <w:t xml:space="preserve">the design and conduct of trials </w:t>
      </w:r>
      <w:r w:rsidR="00DF19E3">
        <w:rPr>
          <w:iCs/>
        </w:rPr>
        <w:t xml:space="preserve">used </w:t>
      </w:r>
      <w:r w:rsidR="00E622BB" w:rsidRPr="00E622BB">
        <w:rPr>
          <w:iCs/>
        </w:rPr>
        <w:t>to support histology-independent products</w:t>
      </w:r>
      <w:r w:rsidR="00E74DA5">
        <w:rPr>
          <w:iCs/>
        </w:rPr>
        <w:t xml:space="preserve">, the greater </w:t>
      </w:r>
      <w:r w:rsidR="00E34F64">
        <w:rPr>
          <w:iCs/>
        </w:rPr>
        <w:t xml:space="preserve">levels of </w:t>
      </w:r>
      <w:r w:rsidR="00E74DA5">
        <w:rPr>
          <w:iCs/>
        </w:rPr>
        <w:t>heterogeneity</w:t>
      </w:r>
      <w:r w:rsidR="00E34F64">
        <w:rPr>
          <w:iCs/>
        </w:rPr>
        <w:t xml:space="preserve"> within the licensed population</w:t>
      </w:r>
      <w:r w:rsidR="00E74DA5">
        <w:rPr>
          <w:iCs/>
        </w:rPr>
        <w:t xml:space="preserve"> </w:t>
      </w:r>
      <w:r w:rsidR="00E622BB">
        <w:rPr>
          <w:iCs/>
        </w:rPr>
        <w:t xml:space="preserve">and </w:t>
      </w:r>
      <w:r w:rsidR="00D52E6B">
        <w:rPr>
          <w:iCs/>
        </w:rPr>
        <w:t xml:space="preserve">the use </w:t>
      </w:r>
      <w:r w:rsidR="00E622BB">
        <w:rPr>
          <w:iCs/>
        </w:rPr>
        <w:t xml:space="preserve">of surrogate endpoints. </w:t>
      </w:r>
      <w:r w:rsidR="00D52E6B">
        <w:rPr>
          <w:iCs/>
        </w:rPr>
        <w:t xml:space="preserve">We identified possible approaches to address these challenges by reviewing key statistical literature addressing the design and analysis of histology-independent trials and </w:t>
      </w:r>
      <w:r w:rsidR="00D77FD6">
        <w:rPr>
          <w:iCs/>
        </w:rPr>
        <w:t>undertaking</w:t>
      </w:r>
      <w:r w:rsidR="00D52E6B">
        <w:rPr>
          <w:iCs/>
        </w:rPr>
        <w:t xml:space="preserve"> a systematic review </w:t>
      </w:r>
      <w:r w:rsidR="001A319C">
        <w:rPr>
          <w:iCs/>
        </w:rPr>
        <w:t>to evalue</w:t>
      </w:r>
      <w:r w:rsidR="00D52E6B">
        <w:rPr>
          <w:iCs/>
        </w:rPr>
        <w:t xml:space="preserve"> the use of respons</w:t>
      </w:r>
      <w:r w:rsidR="001A319C">
        <w:rPr>
          <w:iCs/>
        </w:rPr>
        <w:t xml:space="preserve">e endpoints as </w:t>
      </w:r>
      <w:r w:rsidR="00D52E6B">
        <w:rPr>
          <w:iCs/>
        </w:rPr>
        <w:t xml:space="preserve">surrogate </w:t>
      </w:r>
      <w:r w:rsidR="001A319C">
        <w:rPr>
          <w:iCs/>
        </w:rPr>
        <w:t>outcomes</w:t>
      </w:r>
      <w:r w:rsidR="00D52E6B">
        <w:rPr>
          <w:iCs/>
        </w:rPr>
        <w:t xml:space="preserve"> for progression-free </w:t>
      </w:r>
      <w:r w:rsidR="00E74DA5">
        <w:rPr>
          <w:iCs/>
        </w:rPr>
        <w:t xml:space="preserve">(PFS) </w:t>
      </w:r>
      <w:r w:rsidR="00D52E6B">
        <w:rPr>
          <w:iCs/>
        </w:rPr>
        <w:t>and overall survival</w:t>
      </w:r>
      <w:r w:rsidR="00E74DA5">
        <w:rPr>
          <w:iCs/>
        </w:rPr>
        <w:t xml:space="preserve"> (OS)</w:t>
      </w:r>
      <w:r w:rsidR="00D52E6B">
        <w:rPr>
          <w:iCs/>
        </w:rPr>
        <w:t>.</w:t>
      </w:r>
    </w:p>
    <w:p w14:paraId="6F476605" w14:textId="2EC79FDD" w:rsidR="00D52E6B" w:rsidRDefault="00D52E6B" w:rsidP="000B2A8F">
      <w:r>
        <w:rPr>
          <w:iCs/>
        </w:rPr>
        <w:t>We found that t</w:t>
      </w:r>
      <w:r w:rsidRPr="00D52E6B">
        <w:rPr>
          <w:iCs/>
        </w:rPr>
        <w:t>he potential for heterogeneity in treatment effects, either across tumour types or across other characteristic</w:t>
      </w:r>
      <w:r w:rsidR="00FB3A32">
        <w:rPr>
          <w:iCs/>
        </w:rPr>
        <w:t>s</w:t>
      </w:r>
      <w:r w:rsidRPr="00D52E6B">
        <w:rPr>
          <w:iCs/>
        </w:rPr>
        <w:t>, is likely to be a</w:t>
      </w:r>
      <w:r w:rsidR="00FB3A32">
        <w:rPr>
          <w:iCs/>
        </w:rPr>
        <w:t xml:space="preserve"> central </w:t>
      </w:r>
      <w:r w:rsidRPr="00D52E6B">
        <w:rPr>
          <w:iCs/>
        </w:rPr>
        <w:t>issu</w:t>
      </w:r>
      <w:r w:rsidR="00FB3A32">
        <w:rPr>
          <w:iCs/>
        </w:rPr>
        <w:t>e for NICE appraisal</w:t>
      </w:r>
      <w:r w:rsidR="00D77FD6">
        <w:rPr>
          <w:iCs/>
        </w:rPr>
        <w:t>s</w:t>
      </w:r>
      <w:r w:rsidRPr="00D52E6B">
        <w:rPr>
          <w:iCs/>
        </w:rPr>
        <w:t>.</w:t>
      </w:r>
      <w:r w:rsidRPr="00D52E6B">
        <w:t xml:space="preserve"> </w:t>
      </w:r>
      <w:r w:rsidRPr="00D52E6B">
        <w:rPr>
          <w:iCs/>
        </w:rPr>
        <w:t>Bayesian hierarchical methods</w:t>
      </w:r>
      <w:r w:rsidR="00FB3A32">
        <w:rPr>
          <w:iCs/>
        </w:rPr>
        <w:t xml:space="preserve"> </w:t>
      </w:r>
      <w:r w:rsidRPr="00D52E6B">
        <w:rPr>
          <w:iCs/>
        </w:rPr>
        <w:t>may provide a useful vehicle with which to explore any heterogeneity</w:t>
      </w:r>
      <w:r>
        <w:rPr>
          <w:iCs/>
        </w:rPr>
        <w:t>.</w:t>
      </w:r>
      <w:r w:rsidR="00E74DA5" w:rsidRPr="00E74DA5">
        <w:t xml:space="preserve"> </w:t>
      </w:r>
      <w:r w:rsidR="00E74DA5">
        <w:t xml:space="preserve">Our </w:t>
      </w:r>
      <w:r w:rsidR="00E74DA5" w:rsidRPr="00E74DA5">
        <w:t xml:space="preserve">review suggests that response endpoints may not be reliable surrogates for PFS or OS. </w:t>
      </w:r>
      <w:r w:rsidR="00E74DA5">
        <w:t xml:space="preserve">However, </w:t>
      </w:r>
      <w:r w:rsidR="00FB3A32">
        <w:t xml:space="preserve">we concluded that </w:t>
      </w:r>
      <w:r w:rsidR="00E74DA5" w:rsidRPr="00E74DA5">
        <w:t>a surrogate-based modelling approach</w:t>
      </w:r>
      <w:r w:rsidR="00FB3A32">
        <w:t>,</w:t>
      </w:r>
      <w:r w:rsidR="00E74DA5" w:rsidRPr="00E74DA5">
        <w:t xml:space="preserve"> which capture</w:t>
      </w:r>
      <w:r w:rsidR="00E74DA5">
        <w:t>s</w:t>
      </w:r>
      <w:r w:rsidR="00E74DA5" w:rsidRPr="00E74DA5">
        <w:t xml:space="preserve"> all relevant uncertainty, </w:t>
      </w:r>
      <w:r w:rsidR="00E74DA5">
        <w:t>may be preferable to the use of immature survival data.</w:t>
      </w:r>
    </w:p>
    <w:p w14:paraId="1DAE0851" w14:textId="771DE346" w:rsidR="00E40337" w:rsidRDefault="001A319C" w:rsidP="000B2A8F">
      <w:r>
        <w:t xml:space="preserve">Several </w:t>
      </w:r>
      <w:r w:rsidR="00E34F64">
        <w:t xml:space="preserve">additional </w:t>
      </w:r>
      <w:r w:rsidR="00E34F64" w:rsidRPr="00E34F64">
        <w:t>sources of heterogeneity w</w:t>
      </w:r>
      <w:r w:rsidR="00E34F64">
        <w:t xml:space="preserve">ere </w:t>
      </w:r>
      <w:r>
        <w:t xml:space="preserve">also </w:t>
      </w:r>
      <w:r w:rsidR="00E34F64">
        <w:t xml:space="preserve">identified as presenting potential challenges to NICE appraisal, including: the cost of </w:t>
      </w:r>
      <w:r>
        <w:t>testing</w:t>
      </w:r>
      <w:r w:rsidR="00E34F64">
        <w:t xml:space="preserve">; baseline risk; quality of life and routine management costs. </w:t>
      </w:r>
      <w:r w:rsidR="00E40337">
        <w:t xml:space="preserve">We concluded that </w:t>
      </w:r>
      <w:r w:rsidR="00E40337" w:rsidRPr="00E40337">
        <w:t>a range of alternative approaches will be required to address different sources of heterogeneity</w:t>
      </w:r>
      <w:r w:rsidR="00E40337">
        <w:t xml:space="preserve"> to support NICE appraisals.</w:t>
      </w:r>
      <w:r w:rsidR="00FB3A32">
        <w:t xml:space="preserve"> </w:t>
      </w:r>
      <w:r w:rsidR="00E40337">
        <w:t xml:space="preserve">An exemplar case study was developed to illustrate the nature of the assessments </w:t>
      </w:r>
      <w:r w:rsidR="00FB3A32">
        <w:t>that may be required</w:t>
      </w:r>
      <w:r w:rsidR="00E40337">
        <w:t xml:space="preserve">. </w:t>
      </w:r>
    </w:p>
    <w:p w14:paraId="310A6642" w14:textId="060A7A13" w:rsidR="00E74DA5" w:rsidRDefault="00E40337" w:rsidP="000B2A8F">
      <w:r>
        <w:t xml:space="preserve">We developed a </w:t>
      </w:r>
      <w:r w:rsidR="00FB3A32">
        <w:t>decision-</w:t>
      </w:r>
      <w:r>
        <w:t xml:space="preserve">framework that could be used to inform approval and research policies for histology-independent products. </w:t>
      </w:r>
      <w:r w:rsidR="00DF19E3" w:rsidRPr="00DF19E3">
        <w:t>The framework explored the</w:t>
      </w:r>
      <w:r w:rsidR="00DF19E3">
        <w:t xml:space="preserve"> uncertainties and</w:t>
      </w:r>
      <w:r w:rsidR="00DF19E3" w:rsidRPr="00DF19E3">
        <w:t xml:space="preserve"> </w:t>
      </w:r>
      <w:r w:rsidR="00DF19E3">
        <w:t>risks</w:t>
      </w:r>
      <w:r w:rsidR="00FB3A32">
        <w:t xml:space="preserve"> </w:t>
      </w:r>
      <w:r w:rsidR="00DF19E3" w:rsidRPr="00DF19E3">
        <w:t>associated with different approval policie</w:t>
      </w:r>
      <w:r w:rsidR="00DF19E3">
        <w:t>s</w:t>
      </w:r>
      <w:r w:rsidR="00DF19E3" w:rsidRPr="00DF19E3">
        <w:t xml:space="preserve">. </w:t>
      </w:r>
      <w:r w:rsidR="00DF19E3">
        <w:t>Alternative approaches to managing risk were ide</w:t>
      </w:r>
      <w:r w:rsidR="00FB3A32">
        <w:t>ntifi</w:t>
      </w:r>
      <w:r w:rsidR="00DF19E3">
        <w:t>e</w:t>
      </w:r>
      <w:r w:rsidR="00FB3A32">
        <w:t xml:space="preserve">d, </w:t>
      </w:r>
      <w:r w:rsidR="00DF19E3">
        <w:t xml:space="preserve">including the role of further data collection, the use of pricing schemes and stratified decision making. We concluded that </w:t>
      </w:r>
      <w:r w:rsidR="00FB3A32">
        <w:t xml:space="preserve">routine </w:t>
      </w:r>
      <w:r w:rsidRPr="00E40337">
        <w:t xml:space="preserve">presentation of the scale of the consequences of heterogeneity and decision uncertainty may provide an important additional approach to the assessments specified </w:t>
      </w:r>
      <w:r w:rsidR="00FB3A32">
        <w:t>in</w:t>
      </w:r>
      <w:r w:rsidRPr="00E40337">
        <w:t xml:space="preserve"> the </w:t>
      </w:r>
      <w:r w:rsidR="00FB3A32">
        <w:t>current NICE</w:t>
      </w:r>
      <w:r w:rsidRPr="00E40337">
        <w:t xml:space="preserve"> methods guide.</w:t>
      </w:r>
    </w:p>
    <w:p w14:paraId="10FF80A4" w14:textId="1083A4AC" w:rsidR="00DF19E3" w:rsidRPr="00DF19E3" w:rsidRDefault="00FB3A32" w:rsidP="00DF19E3">
      <w:pPr>
        <w:rPr>
          <w:iCs/>
        </w:rPr>
      </w:pPr>
      <w:r>
        <w:rPr>
          <w:iCs/>
        </w:rPr>
        <w:lastRenderedPageBreak/>
        <w:t>We identified several key</w:t>
      </w:r>
      <w:r w:rsidR="00DF19E3">
        <w:rPr>
          <w:iCs/>
        </w:rPr>
        <w:t xml:space="preserve"> areas requiring further</w:t>
      </w:r>
      <w:r w:rsidR="001A319C">
        <w:rPr>
          <w:iCs/>
        </w:rPr>
        <w:t xml:space="preserve"> research</w:t>
      </w:r>
      <w:r w:rsidR="00DF19E3">
        <w:rPr>
          <w:iCs/>
        </w:rPr>
        <w:t xml:space="preserve">. Firstly, </w:t>
      </w:r>
      <w:r w:rsidR="00837F22">
        <w:rPr>
          <w:iCs/>
        </w:rPr>
        <w:t xml:space="preserve">further exploration of Bayesian hierarchical methods could help inform decision makers determine whether these is </w:t>
      </w:r>
      <w:r w:rsidR="00837F22" w:rsidRPr="00837F22">
        <w:rPr>
          <w:iCs/>
        </w:rPr>
        <w:t>sufficient evidence of homogeneity</w:t>
      </w:r>
      <w:r w:rsidR="00837F22">
        <w:rPr>
          <w:iCs/>
        </w:rPr>
        <w:t xml:space="preserve"> to support pooled analyses. Secondly, </w:t>
      </w:r>
      <w:r w:rsidR="001A319C">
        <w:rPr>
          <w:iCs/>
        </w:rPr>
        <w:t>f</w:t>
      </w:r>
      <w:r w:rsidRPr="00FB3A32">
        <w:rPr>
          <w:iCs/>
        </w:rPr>
        <w:t xml:space="preserve">urther research </w:t>
      </w:r>
      <w:r>
        <w:rPr>
          <w:iCs/>
        </w:rPr>
        <w:t xml:space="preserve">is required to determine the appropriate </w:t>
      </w:r>
      <w:r w:rsidR="001A319C">
        <w:rPr>
          <w:iCs/>
        </w:rPr>
        <w:t xml:space="preserve">basis for </w:t>
      </w:r>
      <w:r>
        <w:rPr>
          <w:iCs/>
        </w:rPr>
        <w:t>apportion</w:t>
      </w:r>
      <w:r w:rsidR="001A319C">
        <w:rPr>
          <w:iCs/>
        </w:rPr>
        <w:t xml:space="preserve">ing genomic testing </w:t>
      </w:r>
      <w:r>
        <w:rPr>
          <w:iCs/>
        </w:rPr>
        <w:t xml:space="preserve">costs where there are multiple targets. Finally, further research is required concerning </w:t>
      </w:r>
      <w:r w:rsidRPr="00FB3A32">
        <w:rPr>
          <w:iCs/>
        </w:rPr>
        <w:t>the challenges of uncontrolled Phase II studies</w:t>
      </w:r>
      <w:r>
        <w:rPr>
          <w:iCs/>
        </w:rPr>
        <w:t xml:space="preserve"> and specifically </w:t>
      </w:r>
      <w:r w:rsidRPr="00FB3A32">
        <w:rPr>
          <w:iCs/>
        </w:rPr>
        <w:t>the role and use of surrogate endpoints.</w:t>
      </w:r>
    </w:p>
    <w:p w14:paraId="28295FF8" w14:textId="24987D8A" w:rsidR="001A319C" w:rsidRDefault="001A319C">
      <w:pPr>
        <w:rPr>
          <w:i/>
        </w:rPr>
      </w:pPr>
      <w:r>
        <w:rPr>
          <w:i/>
        </w:rPr>
        <w:br w:type="page"/>
      </w:r>
    </w:p>
    <w:p w14:paraId="2502C832" w14:textId="42110EA6" w:rsidR="000B2A8F" w:rsidRPr="00741FC6" w:rsidRDefault="000B2A8F" w:rsidP="000B2A8F">
      <w:pPr>
        <w:pStyle w:val="Nonnumberedheading1"/>
      </w:pPr>
      <w:bookmarkStart w:id="5" w:name="_Toc33776140"/>
      <w:r w:rsidRPr="00741FC6">
        <w:lastRenderedPageBreak/>
        <w:t>Scientific Summary</w:t>
      </w:r>
      <w:bookmarkEnd w:id="5"/>
    </w:p>
    <w:p w14:paraId="48E5543A" w14:textId="6FAFBC5D" w:rsidR="000B2A8F" w:rsidRDefault="000B2A8F" w:rsidP="000B2A8F">
      <w:pPr>
        <w:rPr>
          <w:bCs/>
        </w:rPr>
      </w:pPr>
      <w:r w:rsidRPr="00741FC6">
        <w:rPr>
          <w:b/>
        </w:rPr>
        <w:t xml:space="preserve">Background </w:t>
      </w:r>
    </w:p>
    <w:p w14:paraId="43DA310C" w14:textId="6A6F4F1F" w:rsidR="001A319C" w:rsidRDefault="00D46853" w:rsidP="000B2A8F">
      <w:pPr>
        <w:rPr>
          <w:bCs/>
        </w:rPr>
      </w:pPr>
      <w:r w:rsidRPr="00D46853">
        <w:rPr>
          <w:bCs/>
        </w:rPr>
        <w:t>In May 2017, the U.S. Food and Drug Administration (FDA) granted accelerated approval to pembrolizumab for treating solid tumours with the microsatellite instability high (MSI-H) or mismatch repair deficient (dMMR) biomarker.</w:t>
      </w:r>
      <w:r>
        <w:rPr>
          <w:bCs/>
        </w:rPr>
        <w:t xml:space="preserve"> </w:t>
      </w:r>
      <w:r w:rsidRPr="00D46853">
        <w:rPr>
          <w:bCs/>
        </w:rPr>
        <w:t>This is the first time a cancer treatment has been approved based on a common biomarker rather than the location in the body where the tumour originated. This represents an important paradigm shift, meaning that oncological diseases can now be classified by either tumour biomarker status or tumour histogenesis.</w:t>
      </w:r>
      <w:r w:rsidRPr="00D46853">
        <w:t xml:space="preserve"> </w:t>
      </w:r>
      <w:r w:rsidRPr="00D46853">
        <w:rPr>
          <w:bCs/>
        </w:rPr>
        <w:t>The first histology-independent marketing authorisation was granted by the European Medicines Agency (EMA) in 2019.</w:t>
      </w:r>
    </w:p>
    <w:p w14:paraId="02F354D8" w14:textId="027E3F5D" w:rsidR="00D46853" w:rsidRDefault="00D46853" w:rsidP="000B2A8F">
      <w:pPr>
        <w:rPr>
          <w:bCs/>
        </w:rPr>
      </w:pPr>
      <w:r w:rsidRPr="00D46853">
        <w:rPr>
          <w:bCs/>
        </w:rPr>
        <w:t xml:space="preserve">A histology-independent marketing authorisation </w:t>
      </w:r>
      <w:r w:rsidR="005E2923">
        <w:rPr>
          <w:bCs/>
        </w:rPr>
        <w:t>will</w:t>
      </w:r>
      <w:r w:rsidRPr="00D46853">
        <w:rPr>
          <w:bCs/>
        </w:rPr>
        <w:t xml:space="preserve"> include a large number of</w:t>
      </w:r>
      <w:r>
        <w:rPr>
          <w:bCs/>
        </w:rPr>
        <w:t xml:space="preserve"> individual</w:t>
      </w:r>
      <w:r w:rsidRPr="00D46853">
        <w:rPr>
          <w:bCs/>
        </w:rPr>
        <w:t xml:space="preserve"> tumour sites. </w:t>
      </w:r>
      <w:r>
        <w:rPr>
          <w:bCs/>
        </w:rPr>
        <w:t>It is unlikely to be feasible or desirable for the National Institute of Health and Care Excellence (NICE) to conduct separate appraisals for each individual tumour site</w:t>
      </w:r>
      <w:r w:rsidR="00937FFA" w:rsidRPr="00937FFA">
        <w:rPr>
          <w:bCs/>
        </w:rPr>
        <w:t xml:space="preserve"> </w:t>
      </w:r>
      <w:r w:rsidR="00937FFA">
        <w:rPr>
          <w:bCs/>
        </w:rPr>
        <w:t>t</w:t>
      </w:r>
      <w:r w:rsidR="00937FFA" w:rsidRPr="00937FFA">
        <w:rPr>
          <w:bCs/>
        </w:rPr>
        <w:t xml:space="preserve">o </w:t>
      </w:r>
      <w:r w:rsidR="00937FFA">
        <w:rPr>
          <w:bCs/>
        </w:rPr>
        <w:t xml:space="preserve">inform whether approval of these products represents </w:t>
      </w:r>
      <w:r w:rsidR="00937FFA" w:rsidRPr="00937FFA">
        <w:rPr>
          <w:bCs/>
        </w:rPr>
        <w:t>an efficient use of NHS resources</w:t>
      </w:r>
      <w:r>
        <w:rPr>
          <w:bCs/>
        </w:rPr>
        <w:t>.</w:t>
      </w:r>
      <w:r w:rsidR="00937FFA" w:rsidRPr="00937FFA">
        <w:t xml:space="preserve"> </w:t>
      </w:r>
      <w:r w:rsidR="00937FFA" w:rsidRPr="00937FFA">
        <w:rPr>
          <w:bCs/>
        </w:rPr>
        <w:t xml:space="preserve">However, the scope of histology-independent indications and the nature of the evidence base </w:t>
      </w:r>
      <w:r w:rsidR="00D77FD6">
        <w:rPr>
          <w:bCs/>
        </w:rPr>
        <w:t>for this</w:t>
      </w:r>
      <w:r w:rsidR="00937FFA" w:rsidRPr="00937FFA">
        <w:rPr>
          <w:bCs/>
        </w:rPr>
        <w:t xml:space="preserve"> type of </w:t>
      </w:r>
      <w:r w:rsidR="001F48AB">
        <w:rPr>
          <w:bCs/>
        </w:rPr>
        <w:t>appraisal</w:t>
      </w:r>
      <w:r w:rsidR="00937FFA" w:rsidRPr="00937FFA">
        <w:rPr>
          <w:bCs/>
        </w:rPr>
        <w:t xml:space="preserve"> will pose </w:t>
      </w:r>
      <w:r w:rsidR="00937FFA">
        <w:rPr>
          <w:bCs/>
        </w:rPr>
        <w:t xml:space="preserve">important </w:t>
      </w:r>
      <w:r w:rsidR="00937FFA" w:rsidRPr="00937FFA">
        <w:rPr>
          <w:bCs/>
        </w:rPr>
        <w:t xml:space="preserve">challenges </w:t>
      </w:r>
      <w:r w:rsidR="0057631E">
        <w:rPr>
          <w:bCs/>
        </w:rPr>
        <w:t xml:space="preserve">to the </w:t>
      </w:r>
      <w:r w:rsidR="00937FFA" w:rsidRPr="00937FFA">
        <w:rPr>
          <w:bCs/>
        </w:rPr>
        <w:t>appropriate quantif</w:t>
      </w:r>
      <w:r w:rsidR="0057631E">
        <w:rPr>
          <w:bCs/>
        </w:rPr>
        <w:t>ion of</w:t>
      </w:r>
      <w:r w:rsidR="00937FFA" w:rsidRPr="00937FFA">
        <w:rPr>
          <w:bCs/>
        </w:rPr>
        <w:t xml:space="preserve"> </w:t>
      </w:r>
      <w:r w:rsidR="0057631E">
        <w:rPr>
          <w:bCs/>
        </w:rPr>
        <w:t xml:space="preserve">their </w:t>
      </w:r>
      <w:r w:rsidR="00D77FD6">
        <w:rPr>
          <w:bCs/>
        </w:rPr>
        <w:t xml:space="preserve">value </w:t>
      </w:r>
      <w:r w:rsidR="001F48AB">
        <w:rPr>
          <w:bCs/>
        </w:rPr>
        <w:t xml:space="preserve">to the NHS </w:t>
      </w:r>
      <w:r w:rsidR="00937FFA" w:rsidRPr="00937FFA">
        <w:rPr>
          <w:bCs/>
        </w:rPr>
        <w:t xml:space="preserve">and </w:t>
      </w:r>
      <w:r w:rsidR="008575C4">
        <w:rPr>
          <w:bCs/>
        </w:rPr>
        <w:t>the effective mitigation of any additional risks</w:t>
      </w:r>
      <w:r w:rsidR="00937FFA" w:rsidRPr="00937FFA">
        <w:rPr>
          <w:bCs/>
        </w:rPr>
        <w:t xml:space="preserve">. </w:t>
      </w:r>
      <w:r w:rsidR="00160F14" w:rsidRPr="00160F14">
        <w:rPr>
          <w:bCs/>
        </w:rPr>
        <w:t>NICE need</w:t>
      </w:r>
      <w:r w:rsidR="005E2923">
        <w:rPr>
          <w:bCs/>
        </w:rPr>
        <w:t>s</w:t>
      </w:r>
      <w:r w:rsidR="00160F14" w:rsidRPr="00160F14">
        <w:rPr>
          <w:bCs/>
        </w:rPr>
        <w:t xml:space="preserve"> to consider how to develop a process/approach that will allow a single, biomarker-driven appraisal for histology-independent cancer drugs</w:t>
      </w:r>
      <w:r w:rsidR="00D77FD6">
        <w:rPr>
          <w:bCs/>
        </w:rPr>
        <w:t>.</w:t>
      </w:r>
    </w:p>
    <w:p w14:paraId="57BAB844" w14:textId="36B3996C" w:rsidR="00937FFA" w:rsidRPr="00741FC6" w:rsidRDefault="00937FFA" w:rsidP="000B2A8F">
      <w:pPr>
        <w:rPr>
          <w:bCs/>
        </w:rPr>
      </w:pPr>
      <w:r w:rsidRPr="00937FFA">
        <w:rPr>
          <w:bCs/>
        </w:rPr>
        <w:t>This research aims to inform future NICE policy on how to appraise cancer drugs with histology-independent indications.</w:t>
      </w:r>
    </w:p>
    <w:p w14:paraId="20DD1E7F" w14:textId="54DA16F4" w:rsidR="000B2A8F" w:rsidRDefault="000B2A8F" w:rsidP="000B2A8F">
      <w:pPr>
        <w:rPr>
          <w:bCs/>
        </w:rPr>
      </w:pPr>
      <w:r w:rsidRPr="00741FC6">
        <w:rPr>
          <w:b/>
        </w:rPr>
        <w:t xml:space="preserve">Objectives </w:t>
      </w:r>
    </w:p>
    <w:p w14:paraId="315BC54C" w14:textId="361C830E" w:rsidR="00160F14" w:rsidRDefault="00160F14" w:rsidP="000B2A8F">
      <w:pPr>
        <w:rPr>
          <w:bCs/>
        </w:rPr>
      </w:pPr>
      <w:r>
        <w:rPr>
          <w:bCs/>
        </w:rPr>
        <w:t xml:space="preserve">We saught to </w:t>
      </w:r>
      <w:r w:rsidR="001F48AB">
        <w:rPr>
          <w:bCs/>
        </w:rPr>
        <w:t>explore</w:t>
      </w:r>
      <w:r>
        <w:rPr>
          <w:bCs/>
        </w:rPr>
        <w:t xml:space="preserve"> the </w:t>
      </w:r>
      <w:r w:rsidR="001F48AB">
        <w:rPr>
          <w:bCs/>
        </w:rPr>
        <w:t xml:space="preserve">potential implications of histology-indepdent products </w:t>
      </w:r>
      <w:r>
        <w:rPr>
          <w:bCs/>
        </w:rPr>
        <w:t xml:space="preserve">for </w:t>
      </w:r>
      <w:r w:rsidR="001F48AB">
        <w:rPr>
          <w:bCs/>
        </w:rPr>
        <w:t xml:space="preserve">the </w:t>
      </w:r>
      <w:r>
        <w:rPr>
          <w:bCs/>
        </w:rPr>
        <w:t>NICE technology appraisal (TA) process. The specific objectives were:</w:t>
      </w:r>
    </w:p>
    <w:p w14:paraId="61E76563" w14:textId="44F1B4D0" w:rsidR="00D77FD6" w:rsidRPr="00D77FD6" w:rsidRDefault="00D77FD6" w:rsidP="009A66EC">
      <w:pPr>
        <w:pStyle w:val="ListParagraph"/>
        <w:numPr>
          <w:ilvl w:val="0"/>
          <w:numId w:val="101"/>
        </w:numPr>
        <w:rPr>
          <w:bCs/>
        </w:rPr>
      </w:pPr>
      <w:r w:rsidRPr="00D77FD6">
        <w:rPr>
          <w:bCs/>
        </w:rPr>
        <w:t xml:space="preserve">To identify the nature of the evidence likely to be available at </w:t>
      </w:r>
      <w:r w:rsidR="0057631E">
        <w:rPr>
          <w:bCs/>
        </w:rPr>
        <w:t xml:space="preserve">initial </w:t>
      </w:r>
      <w:r w:rsidRPr="00D77FD6">
        <w:rPr>
          <w:bCs/>
        </w:rPr>
        <w:t>marketing authorisation.</w:t>
      </w:r>
    </w:p>
    <w:p w14:paraId="7EF9A30D" w14:textId="61398C2D" w:rsidR="00160F14" w:rsidRPr="00160F14" w:rsidRDefault="00160F14" w:rsidP="009A66EC">
      <w:pPr>
        <w:pStyle w:val="ListParagraph"/>
        <w:numPr>
          <w:ilvl w:val="0"/>
          <w:numId w:val="101"/>
        </w:numPr>
        <w:rPr>
          <w:bCs/>
        </w:rPr>
      </w:pPr>
      <w:r w:rsidRPr="00160F14">
        <w:rPr>
          <w:bCs/>
        </w:rPr>
        <w:t>To determine the types of evidence and analyses required to support NICE appraisal.</w:t>
      </w:r>
    </w:p>
    <w:p w14:paraId="4471F461" w14:textId="1FC59C8A" w:rsidR="00160F14" w:rsidRPr="00160F14" w:rsidRDefault="00160F14" w:rsidP="009A66EC">
      <w:pPr>
        <w:pStyle w:val="ListParagraph"/>
        <w:numPr>
          <w:ilvl w:val="0"/>
          <w:numId w:val="101"/>
        </w:numPr>
        <w:rPr>
          <w:bCs/>
        </w:rPr>
      </w:pPr>
      <w:r w:rsidRPr="00160F14">
        <w:rPr>
          <w:bCs/>
        </w:rPr>
        <w:t xml:space="preserve">To </w:t>
      </w:r>
      <w:r w:rsidR="005E2923">
        <w:rPr>
          <w:bCs/>
        </w:rPr>
        <w:t xml:space="preserve">develop </w:t>
      </w:r>
      <w:r w:rsidRPr="00160F14">
        <w:rPr>
          <w:bCs/>
        </w:rPr>
        <w:t>a case study to highlight methods and evidence challenges and to explore alternative ways of addressing these.</w:t>
      </w:r>
    </w:p>
    <w:p w14:paraId="62B8FF5C" w14:textId="133FE6BE" w:rsidR="00160F14" w:rsidRPr="00160F14" w:rsidRDefault="00160F14" w:rsidP="009A66EC">
      <w:pPr>
        <w:pStyle w:val="ListParagraph"/>
        <w:numPr>
          <w:ilvl w:val="0"/>
          <w:numId w:val="101"/>
        </w:numPr>
        <w:rPr>
          <w:bCs/>
        </w:rPr>
      </w:pPr>
      <w:r w:rsidRPr="00160F14">
        <w:rPr>
          <w:bCs/>
        </w:rPr>
        <w:t>To develop a conceptual framework to establish the evidence and analyses required to inform cost-effectiveness analyses and to guide NICE decision-making and potential Cancer Drugs Fund (CDF) data collection requirements.</w:t>
      </w:r>
    </w:p>
    <w:p w14:paraId="6E294941" w14:textId="5897D269" w:rsidR="00160F14" w:rsidRPr="00160F14" w:rsidRDefault="00160F14" w:rsidP="009A66EC">
      <w:pPr>
        <w:pStyle w:val="ListParagraph"/>
        <w:numPr>
          <w:ilvl w:val="0"/>
          <w:numId w:val="101"/>
        </w:numPr>
        <w:rPr>
          <w:bCs/>
        </w:rPr>
      </w:pPr>
      <w:r w:rsidRPr="00160F14">
        <w:rPr>
          <w:bCs/>
        </w:rPr>
        <w:t>To suggest any specific changes to the current NICE methods guide</w:t>
      </w:r>
      <w:r>
        <w:rPr>
          <w:bCs/>
        </w:rPr>
        <w:t xml:space="preserve"> </w:t>
      </w:r>
      <w:r w:rsidRPr="00160F14">
        <w:rPr>
          <w:bCs/>
        </w:rPr>
        <w:t xml:space="preserve">for technology appraisals or additional requirements relating to histology-independent drugs. </w:t>
      </w:r>
    </w:p>
    <w:p w14:paraId="6B9E1BEC" w14:textId="1EB9F2A8" w:rsidR="00160F14" w:rsidRPr="00160F14" w:rsidRDefault="00160F14" w:rsidP="009A66EC">
      <w:pPr>
        <w:pStyle w:val="ListParagraph"/>
        <w:numPr>
          <w:ilvl w:val="0"/>
          <w:numId w:val="101"/>
        </w:numPr>
        <w:rPr>
          <w:bCs/>
        </w:rPr>
      </w:pPr>
      <w:r w:rsidRPr="00160F14">
        <w:rPr>
          <w:bCs/>
        </w:rPr>
        <w:t>To make recommendations for further methodological research.</w:t>
      </w:r>
    </w:p>
    <w:p w14:paraId="5DE7B76A" w14:textId="077D4660" w:rsidR="000B2A8F" w:rsidRDefault="000B2A8F" w:rsidP="000B2A8F">
      <w:pPr>
        <w:rPr>
          <w:bCs/>
        </w:rPr>
      </w:pPr>
      <w:r w:rsidRPr="00741FC6">
        <w:rPr>
          <w:b/>
        </w:rPr>
        <w:lastRenderedPageBreak/>
        <w:t xml:space="preserve">Methods </w:t>
      </w:r>
    </w:p>
    <w:p w14:paraId="6C018AA4" w14:textId="3077F89E" w:rsidR="00160F14" w:rsidRDefault="00160F14" w:rsidP="000B2A8F">
      <w:pPr>
        <w:rPr>
          <w:bCs/>
        </w:rPr>
      </w:pPr>
      <w:r w:rsidRPr="00160F14">
        <w:rPr>
          <w:bCs/>
        </w:rPr>
        <w:t xml:space="preserve">We undertook a series of targeted reviews to determine the type of evidence that is likely to be available at </w:t>
      </w:r>
      <w:r w:rsidR="001F48AB">
        <w:rPr>
          <w:bCs/>
        </w:rPr>
        <w:t xml:space="preserve">initial </w:t>
      </w:r>
      <w:r w:rsidRPr="00160F14">
        <w:rPr>
          <w:bCs/>
        </w:rPr>
        <w:t>marketing authorisation and to consider the analyses likely to be required to support a NICE appraisal.</w:t>
      </w:r>
      <w:r>
        <w:rPr>
          <w:bCs/>
        </w:rPr>
        <w:t xml:space="preserve"> These reviews included:</w:t>
      </w:r>
    </w:p>
    <w:p w14:paraId="68E7EA8E" w14:textId="5B3854FC" w:rsidR="00160F14" w:rsidRPr="00160F14" w:rsidRDefault="00160F14" w:rsidP="009A66EC">
      <w:pPr>
        <w:pStyle w:val="ListParagraph"/>
        <w:numPr>
          <w:ilvl w:val="0"/>
          <w:numId w:val="102"/>
        </w:numPr>
        <w:rPr>
          <w:bCs/>
        </w:rPr>
      </w:pPr>
      <w:r w:rsidRPr="00160F14">
        <w:rPr>
          <w:bCs/>
        </w:rPr>
        <w:t>A review of FDA and EMA websites to identify relevant documents relating to regulatory issues and benefit-risk approaches relevant for histology-independent indications.</w:t>
      </w:r>
    </w:p>
    <w:p w14:paraId="241E4691" w14:textId="582E9769" w:rsidR="00160F14" w:rsidRPr="00160F14" w:rsidRDefault="00160F14" w:rsidP="009A66EC">
      <w:pPr>
        <w:pStyle w:val="ListParagraph"/>
        <w:numPr>
          <w:ilvl w:val="0"/>
          <w:numId w:val="102"/>
        </w:numPr>
        <w:rPr>
          <w:bCs/>
        </w:rPr>
      </w:pPr>
      <w:r w:rsidRPr="00160F14">
        <w:rPr>
          <w:bCs/>
        </w:rPr>
        <w:t>An overview of key statistical literature addressing the design and analysis of histology-independent trials.</w:t>
      </w:r>
    </w:p>
    <w:p w14:paraId="1683C65B" w14:textId="34B0041A" w:rsidR="00160F14" w:rsidRDefault="00160F14" w:rsidP="009A66EC">
      <w:pPr>
        <w:pStyle w:val="ListParagraph"/>
        <w:numPr>
          <w:ilvl w:val="0"/>
          <w:numId w:val="102"/>
        </w:numPr>
        <w:rPr>
          <w:bCs/>
        </w:rPr>
      </w:pPr>
      <w:r w:rsidRPr="00160F14">
        <w:rPr>
          <w:bCs/>
        </w:rPr>
        <w:t>A systematic review to identify published meta-analyses evaluating the use of overall response rate (ORR) and duration of response (DoR) as surrogate endpoints for progression-free (PFS) and overall survival (OS).</w:t>
      </w:r>
    </w:p>
    <w:p w14:paraId="5F9A17C9" w14:textId="49A96668" w:rsidR="00160F14" w:rsidRDefault="00160F14" w:rsidP="00160F14">
      <w:pPr>
        <w:ind w:left="54"/>
        <w:rPr>
          <w:bCs/>
        </w:rPr>
      </w:pPr>
      <w:r>
        <w:rPr>
          <w:bCs/>
        </w:rPr>
        <w:t xml:space="preserve">These reviews were used to identify specific </w:t>
      </w:r>
      <w:r w:rsidRPr="00160F14">
        <w:rPr>
          <w:bCs/>
        </w:rPr>
        <w:t xml:space="preserve">challenges for histology-independent appraisals and </w:t>
      </w:r>
      <w:r>
        <w:rPr>
          <w:bCs/>
        </w:rPr>
        <w:t>to identify</w:t>
      </w:r>
      <w:r w:rsidRPr="00160F14">
        <w:rPr>
          <w:bCs/>
        </w:rPr>
        <w:t xml:space="preserve"> alternative approaches which might be used to investigate and account for different sources of uncertainty and heterogeneity.</w:t>
      </w:r>
    </w:p>
    <w:p w14:paraId="02CA7023" w14:textId="5230B60C" w:rsidR="00160F14" w:rsidRDefault="00160F14" w:rsidP="00160F14">
      <w:pPr>
        <w:ind w:left="54"/>
        <w:rPr>
          <w:bCs/>
        </w:rPr>
      </w:pPr>
      <w:r>
        <w:rPr>
          <w:bCs/>
        </w:rPr>
        <w:t xml:space="preserve">We developed </w:t>
      </w:r>
      <w:r w:rsidRPr="00160F14">
        <w:rPr>
          <w:bCs/>
        </w:rPr>
        <w:t xml:space="preserve">an exemplar economic model to illustrate the nature of the assessments that could be used to assess the cost-effectiveness of a new histology-independent treatment and to inform NICE decision-making. A framework to inform approval and research policies for histology-independent technologies </w:t>
      </w:r>
      <w:r>
        <w:rPr>
          <w:bCs/>
        </w:rPr>
        <w:t xml:space="preserve">was also </w:t>
      </w:r>
      <w:r w:rsidRPr="00160F14">
        <w:rPr>
          <w:bCs/>
        </w:rPr>
        <w:t xml:space="preserve">proposed to help determine the appropriateness of different policy recommendations and to identify key uncertainties which might be used to inform and prioritise the value of further data collection.  </w:t>
      </w:r>
    </w:p>
    <w:p w14:paraId="31C4DBCD" w14:textId="7B02364C" w:rsidR="00C03177" w:rsidRPr="00160F14" w:rsidRDefault="00C03177" w:rsidP="00160F14">
      <w:pPr>
        <w:ind w:left="54"/>
        <w:rPr>
          <w:bCs/>
        </w:rPr>
      </w:pPr>
      <w:r w:rsidRPr="00C03177">
        <w:rPr>
          <w:bCs/>
        </w:rPr>
        <w:t>Based on the findings of the</w:t>
      </w:r>
      <w:r>
        <w:rPr>
          <w:bCs/>
        </w:rPr>
        <w:t>se findings</w:t>
      </w:r>
      <w:r w:rsidRPr="00C03177">
        <w:rPr>
          <w:bCs/>
        </w:rPr>
        <w:t xml:space="preserve">, a series of recommendations </w:t>
      </w:r>
      <w:r>
        <w:rPr>
          <w:bCs/>
        </w:rPr>
        <w:t>were</w:t>
      </w:r>
      <w:r w:rsidRPr="00C03177">
        <w:rPr>
          <w:bCs/>
        </w:rPr>
        <w:t xml:space="preserve"> </w:t>
      </w:r>
      <w:r>
        <w:rPr>
          <w:bCs/>
        </w:rPr>
        <w:t>made</w:t>
      </w:r>
      <w:r w:rsidRPr="00C03177">
        <w:rPr>
          <w:bCs/>
        </w:rPr>
        <w:t xml:space="preserve"> concerning whether changes in the current NICE methods guide are required for the appraisal of histology-independent products</w:t>
      </w:r>
      <w:r>
        <w:rPr>
          <w:bCs/>
        </w:rPr>
        <w:t xml:space="preserve">, alongside a series of recommendations </w:t>
      </w:r>
      <w:r w:rsidRPr="00C03177">
        <w:rPr>
          <w:bCs/>
        </w:rPr>
        <w:t>for further methodological research.</w:t>
      </w:r>
    </w:p>
    <w:p w14:paraId="1D745013" w14:textId="4A61AC00" w:rsidR="000B2A8F" w:rsidRDefault="000B2A8F" w:rsidP="000B2A8F">
      <w:pPr>
        <w:rPr>
          <w:bCs/>
        </w:rPr>
      </w:pPr>
      <w:r w:rsidRPr="00741FC6">
        <w:rPr>
          <w:b/>
        </w:rPr>
        <w:t xml:space="preserve">Results </w:t>
      </w:r>
    </w:p>
    <w:p w14:paraId="20104FC6" w14:textId="044DAF06" w:rsidR="00C03177" w:rsidRDefault="000B1518" w:rsidP="000B2A8F">
      <w:pPr>
        <w:rPr>
          <w:bCs/>
          <w:i/>
          <w:iCs/>
        </w:rPr>
      </w:pPr>
      <w:r w:rsidRPr="000B1518">
        <w:rPr>
          <w:bCs/>
          <w:i/>
          <w:iCs/>
        </w:rPr>
        <w:t>Review of regulatory issues and benefit-risk approaches relevant for histology-independent indications</w:t>
      </w:r>
    </w:p>
    <w:p w14:paraId="6AF16365" w14:textId="779DB7C6" w:rsidR="00003D88" w:rsidRDefault="000B1518" w:rsidP="000B2A8F">
      <w:pPr>
        <w:rPr>
          <w:bCs/>
        </w:rPr>
      </w:pPr>
      <w:r>
        <w:rPr>
          <w:bCs/>
        </w:rPr>
        <w:t>Our review found that</w:t>
      </w:r>
      <w:r w:rsidRPr="000B1518">
        <w:rPr>
          <w:bCs/>
        </w:rPr>
        <w:t xml:space="preserve"> </w:t>
      </w:r>
      <w:r w:rsidR="00F2495D">
        <w:rPr>
          <w:bCs/>
        </w:rPr>
        <w:t>histology-independent products are likely to be evaluated using more complex and innovat</w:t>
      </w:r>
      <w:r w:rsidR="00D77FD6">
        <w:rPr>
          <w:bCs/>
        </w:rPr>
        <w:t>ive</w:t>
      </w:r>
      <w:r w:rsidR="00F2495D">
        <w:rPr>
          <w:bCs/>
        </w:rPr>
        <w:t xml:space="preserve"> study designs intended to increase the efficiency of the drug development process, specifically </w:t>
      </w:r>
      <w:r w:rsidRPr="000B1518">
        <w:rPr>
          <w:bCs/>
        </w:rPr>
        <w:t xml:space="preserve">basket trials </w:t>
      </w:r>
      <w:r w:rsidR="00F2495D">
        <w:rPr>
          <w:bCs/>
        </w:rPr>
        <w:t xml:space="preserve">with </w:t>
      </w:r>
      <w:r w:rsidRPr="000B1518">
        <w:rPr>
          <w:bCs/>
        </w:rPr>
        <w:t>master protocol</w:t>
      </w:r>
      <w:r w:rsidR="00F2495D">
        <w:rPr>
          <w:bCs/>
        </w:rPr>
        <w:t xml:space="preserve">s. </w:t>
      </w:r>
      <w:r w:rsidR="00F2495D" w:rsidRPr="00F2495D">
        <w:rPr>
          <w:bCs/>
        </w:rPr>
        <w:t xml:space="preserve">Master protocols are used to evaluate multiple drugs and/or multiple cancer subpopulations in parallel, using a single protocol. </w:t>
      </w:r>
      <w:r>
        <w:rPr>
          <w:bCs/>
        </w:rPr>
        <w:t xml:space="preserve"> </w:t>
      </w:r>
      <w:r w:rsidR="00F2495D">
        <w:rPr>
          <w:bCs/>
        </w:rPr>
        <w:t xml:space="preserve">Basket trials are used to </w:t>
      </w:r>
      <w:r w:rsidR="00F2495D" w:rsidRPr="00F2495D">
        <w:rPr>
          <w:bCs/>
        </w:rPr>
        <w:t xml:space="preserve">evaluate a single investigational drug or drug combination in different populations (defined by disease </w:t>
      </w:r>
      <w:r w:rsidR="00F2495D" w:rsidRPr="00F2495D">
        <w:rPr>
          <w:bCs/>
        </w:rPr>
        <w:lastRenderedPageBreak/>
        <w:t>stage, histology or treatment history)</w:t>
      </w:r>
      <w:r w:rsidR="00F2495D">
        <w:rPr>
          <w:bCs/>
        </w:rPr>
        <w:t xml:space="preserve"> and are usually </w:t>
      </w:r>
      <w:r w:rsidRPr="000B1518">
        <w:rPr>
          <w:bCs/>
        </w:rPr>
        <w:t xml:space="preserve">designed </w:t>
      </w:r>
      <w:r w:rsidR="00F2495D">
        <w:rPr>
          <w:bCs/>
        </w:rPr>
        <w:t xml:space="preserve">as </w:t>
      </w:r>
      <w:r w:rsidRPr="000B1518">
        <w:rPr>
          <w:bCs/>
        </w:rPr>
        <w:t>single-arm activity-estimating trials with</w:t>
      </w:r>
      <w:r w:rsidR="00F2495D">
        <w:rPr>
          <w:bCs/>
        </w:rPr>
        <w:t xml:space="preserve"> overall response rate (ORR)</w:t>
      </w:r>
      <w:r w:rsidRPr="000B1518">
        <w:rPr>
          <w:bCs/>
        </w:rPr>
        <w:t xml:space="preserve"> as the primary endpoint.</w:t>
      </w:r>
      <w:r w:rsidR="00003D88">
        <w:rPr>
          <w:bCs/>
        </w:rPr>
        <w:t xml:space="preserve"> </w:t>
      </w:r>
    </w:p>
    <w:p w14:paraId="399E3F3E" w14:textId="6BA9E377" w:rsidR="00F2495D" w:rsidRDefault="00003D88" w:rsidP="000B2A8F">
      <w:pPr>
        <w:rPr>
          <w:bCs/>
        </w:rPr>
      </w:pPr>
      <w:r>
        <w:rPr>
          <w:bCs/>
        </w:rPr>
        <w:t xml:space="preserve">Our review of highlighted </w:t>
      </w:r>
      <w:r w:rsidRPr="00003D88">
        <w:rPr>
          <w:bCs/>
        </w:rPr>
        <w:t xml:space="preserve">the </w:t>
      </w:r>
      <w:r>
        <w:rPr>
          <w:bCs/>
        </w:rPr>
        <w:t xml:space="preserve">importance </w:t>
      </w:r>
      <w:r w:rsidR="001F48AB">
        <w:rPr>
          <w:bCs/>
        </w:rPr>
        <w:t xml:space="preserve">placed by the regulators in </w:t>
      </w:r>
      <w:r>
        <w:rPr>
          <w:bCs/>
        </w:rPr>
        <w:t xml:space="preserve">the </w:t>
      </w:r>
      <w:r w:rsidR="001F48AB">
        <w:rPr>
          <w:bCs/>
        </w:rPr>
        <w:t xml:space="preserve">underyling </w:t>
      </w:r>
      <w:r w:rsidRPr="00003D88">
        <w:rPr>
          <w:bCs/>
        </w:rPr>
        <w:t>biologic rationale and strength of existing clinical evidence to support the assumption that a biomarker-defined populatio</w:t>
      </w:r>
      <w:r>
        <w:rPr>
          <w:bCs/>
        </w:rPr>
        <w:t xml:space="preserve">n </w:t>
      </w:r>
      <w:r w:rsidRPr="00003D88">
        <w:rPr>
          <w:bCs/>
        </w:rPr>
        <w:t>is sufficient to establish clinically relevant activity</w:t>
      </w:r>
      <w:r w:rsidR="0057631E">
        <w:rPr>
          <w:bCs/>
        </w:rPr>
        <w:t>,</w:t>
      </w:r>
      <w:r w:rsidRPr="00003D88">
        <w:rPr>
          <w:bCs/>
        </w:rPr>
        <w:t xml:space="preserve"> independent of tumour histology.</w:t>
      </w:r>
      <w:r w:rsidRPr="00003D88">
        <w:t xml:space="preserve"> </w:t>
      </w:r>
      <w:r w:rsidR="001F48AB">
        <w:t xml:space="preserve">Impotantly, </w:t>
      </w:r>
      <w:r w:rsidR="001F48AB">
        <w:rPr>
          <w:bCs/>
        </w:rPr>
        <w:t>n</w:t>
      </w:r>
      <w:r w:rsidR="00DC013F">
        <w:rPr>
          <w:bCs/>
        </w:rPr>
        <w:t xml:space="preserve">either </w:t>
      </w:r>
      <w:r w:rsidRPr="00003D88">
        <w:rPr>
          <w:bCs/>
        </w:rPr>
        <w:t xml:space="preserve">the </w:t>
      </w:r>
      <w:r>
        <w:rPr>
          <w:bCs/>
        </w:rPr>
        <w:t xml:space="preserve">US or EU regulators </w:t>
      </w:r>
      <w:r w:rsidRPr="00003D88">
        <w:rPr>
          <w:bCs/>
        </w:rPr>
        <w:t>con</w:t>
      </w:r>
      <w:r>
        <w:rPr>
          <w:bCs/>
        </w:rPr>
        <w:t>cluded</w:t>
      </w:r>
      <w:r w:rsidRPr="00003D88">
        <w:rPr>
          <w:bCs/>
        </w:rPr>
        <w:t xml:space="preserve"> </w:t>
      </w:r>
      <w:r w:rsidR="00DC013F" w:rsidRPr="00DC013F">
        <w:rPr>
          <w:bCs/>
        </w:rPr>
        <w:t>that the evidence for th</w:t>
      </w:r>
      <w:r w:rsidR="00DC013F">
        <w:rPr>
          <w:bCs/>
        </w:rPr>
        <w:t xml:space="preserve">e </w:t>
      </w:r>
      <w:r w:rsidR="00DC013F" w:rsidRPr="00DC013F">
        <w:rPr>
          <w:bCs/>
        </w:rPr>
        <w:t xml:space="preserve">existing </w:t>
      </w:r>
      <w:r w:rsidR="00DC013F">
        <w:rPr>
          <w:bCs/>
        </w:rPr>
        <w:t xml:space="preserve">histology-independent </w:t>
      </w:r>
      <w:r w:rsidR="00DC013F" w:rsidRPr="00DC013F">
        <w:rPr>
          <w:bCs/>
        </w:rPr>
        <w:t>products was</w:t>
      </w:r>
      <w:r w:rsidR="00DC013F">
        <w:rPr>
          <w:bCs/>
        </w:rPr>
        <w:t xml:space="preserve"> </w:t>
      </w:r>
      <w:r w:rsidR="001F48AB">
        <w:rPr>
          <w:bCs/>
        </w:rPr>
        <w:t xml:space="preserve">currently </w:t>
      </w:r>
      <w:r w:rsidR="00DC013F" w:rsidRPr="00DC013F">
        <w:rPr>
          <w:bCs/>
        </w:rPr>
        <w:t xml:space="preserve">sufficient to support a routine approval </w:t>
      </w:r>
      <w:r w:rsidR="00DC013F">
        <w:rPr>
          <w:bCs/>
        </w:rPr>
        <w:t>decision</w:t>
      </w:r>
      <w:r w:rsidR="00DC013F" w:rsidRPr="00DC013F">
        <w:rPr>
          <w:bCs/>
        </w:rPr>
        <w:t xml:space="preserve">. </w:t>
      </w:r>
      <w:r w:rsidR="00DC013F">
        <w:rPr>
          <w:bCs/>
        </w:rPr>
        <w:t xml:space="preserve">While the </w:t>
      </w:r>
      <w:r w:rsidR="00D77FD6">
        <w:rPr>
          <w:bCs/>
        </w:rPr>
        <w:t xml:space="preserve">treatment </w:t>
      </w:r>
      <w:r w:rsidR="00DC013F">
        <w:rPr>
          <w:bCs/>
        </w:rPr>
        <w:t xml:space="preserve">effect </w:t>
      </w:r>
      <w:r w:rsidR="00D77FD6">
        <w:rPr>
          <w:bCs/>
        </w:rPr>
        <w:t xml:space="preserve">observed </w:t>
      </w:r>
      <w:r w:rsidR="00DC013F">
        <w:rPr>
          <w:bCs/>
        </w:rPr>
        <w:t xml:space="preserve">in the overall population was considered to be clinically important, the initial approvals </w:t>
      </w:r>
      <w:r w:rsidR="005E2923">
        <w:rPr>
          <w:bCs/>
        </w:rPr>
        <w:t>were</w:t>
      </w:r>
      <w:r w:rsidR="00DC013F">
        <w:rPr>
          <w:bCs/>
        </w:rPr>
        <w:t xml:space="preserve"> </w:t>
      </w:r>
      <w:r w:rsidR="00D77FD6">
        <w:rPr>
          <w:bCs/>
        </w:rPr>
        <w:t xml:space="preserve">also </w:t>
      </w:r>
      <w:r w:rsidR="00DC013F">
        <w:rPr>
          <w:bCs/>
        </w:rPr>
        <w:t xml:space="preserve">conditional on </w:t>
      </w:r>
      <w:r w:rsidR="00D77FD6">
        <w:rPr>
          <w:bCs/>
        </w:rPr>
        <w:t xml:space="preserve">additional </w:t>
      </w:r>
      <w:r w:rsidR="00DC013F">
        <w:rPr>
          <w:bCs/>
        </w:rPr>
        <w:t xml:space="preserve">requirements for </w:t>
      </w:r>
      <w:r w:rsidR="00D77FD6">
        <w:rPr>
          <w:bCs/>
        </w:rPr>
        <w:t xml:space="preserve">further </w:t>
      </w:r>
      <w:r w:rsidR="00DC013F">
        <w:rPr>
          <w:bCs/>
        </w:rPr>
        <w:t>evidence generation to increase the precision of the effect estimates and to extend the length of follow-up.</w:t>
      </w:r>
      <w:r w:rsidR="00DC013F" w:rsidRPr="00DC013F">
        <w:t xml:space="preserve"> </w:t>
      </w:r>
      <w:r w:rsidR="00DC013F" w:rsidRPr="00DC013F">
        <w:rPr>
          <w:bCs/>
        </w:rPr>
        <w:t xml:space="preserve">As a result, important new evidence will </w:t>
      </w:r>
      <w:r w:rsidR="00DC013F">
        <w:rPr>
          <w:bCs/>
        </w:rPr>
        <w:t xml:space="preserve">likely </w:t>
      </w:r>
      <w:r w:rsidR="00DC013F" w:rsidRPr="00DC013F">
        <w:rPr>
          <w:bCs/>
        </w:rPr>
        <w:t>emerge over time.</w:t>
      </w:r>
    </w:p>
    <w:p w14:paraId="3640A013" w14:textId="07788881" w:rsidR="006F2A05" w:rsidRDefault="00DC013F" w:rsidP="000B2A8F">
      <w:pPr>
        <w:rPr>
          <w:bCs/>
          <w:i/>
          <w:iCs/>
        </w:rPr>
      </w:pPr>
      <w:r w:rsidRPr="00DC013F">
        <w:rPr>
          <w:bCs/>
          <w:i/>
          <w:iCs/>
        </w:rPr>
        <w:t>Overview of key statistical literature addressing the design and analysis of histology-independent tr</w:t>
      </w:r>
      <w:r w:rsidR="006F2A05">
        <w:rPr>
          <w:bCs/>
          <w:i/>
          <w:iCs/>
        </w:rPr>
        <w:t>ials</w:t>
      </w:r>
    </w:p>
    <w:p w14:paraId="33403C8B" w14:textId="6F882ACA" w:rsidR="000B1518" w:rsidRPr="006F2A05" w:rsidRDefault="006F2A05" w:rsidP="000B2A8F">
      <w:pPr>
        <w:rPr>
          <w:bCs/>
        </w:rPr>
      </w:pPr>
      <w:r>
        <w:rPr>
          <w:bCs/>
        </w:rPr>
        <w:t>A</w:t>
      </w:r>
      <w:r w:rsidRPr="006F2A05">
        <w:rPr>
          <w:bCs/>
        </w:rPr>
        <w:t xml:space="preserve"> critical consideration </w:t>
      </w:r>
      <w:r>
        <w:rPr>
          <w:bCs/>
        </w:rPr>
        <w:t xml:space="preserve">in the design of histology-independent trials </w:t>
      </w:r>
      <w:r w:rsidRPr="006F2A05">
        <w:rPr>
          <w:bCs/>
        </w:rPr>
        <w:t>is the</w:t>
      </w:r>
      <w:r>
        <w:rPr>
          <w:bCs/>
        </w:rPr>
        <w:t xml:space="preserve"> potential for</w:t>
      </w:r>
      <w:r w:rsidRPr="006F2A05">
        <w:rPr>
          <w:bCs/>
        </w:rPr>
        <w:t xml:space="preserve"> heterogeneity in prognosis across the different histologies, therefore standardised response rates, reflecting tumour shrinkage, are typically used instead of survival outcomes such as </w:t>
      </w:r>
      <w:r>
        <w:rPr>
          <w:bCs/>
        </w:rPr>
        <w:t xml:space="preserve">PFS or </w:t>
      </w:r>
      <w:r w:rsidRPr="006F2A05">
        <w:rPr>
          <w:bCs/>
        </w:rPr>
        <w:t>OS.</w:t>
      </w:r>
      <w:r>
        <w:rPr>
          <w:bCs/>
        </w:rPr>
        <w:t xml:space="preserve"> </w:t>
      </w:r>
      <w:r w:rsidRPr="006F2A05">
        <w:rPr>
          <w:bCs/>
        </w:rPr>
        <w:t>A</w:t>
      </w:r>
      <w:r>
        <w:rPr>
          <w:bCs/>
        </w:rPr>
        <w:t>l</w:t>
      </w:r>
      <w:r w:rsidR="00D77FD6">
        <w:rPr>
          <w:bCs/>
        </w:rPr>
        <w:t>s</w:t>
      </w:r>
      <w:r>
        <w:rPr>
          <w:bCs/>
        </w:rPr>
        <w:t xml:space="preserve">o, randomisation </w:t>
      </w:r>
      <w:r w:rsidRPr="006F2A05">
        <w:rPr>
          <w:bCs/>
        </w:rPr>
        <w:t>to a control arm is rare in basket trial</w:t>
      </w:r>
      <w:r w:rsidR="005E2923">
        <w:rPr>
          <w:bCs/>
        </w:rPr>
        <w:t>s</w:t>
      </w:r>
      <w:r w:rsidRPr="006F2A05">
        <w:rPr>
          <w:bCs/>
        </w:rPr>
        <w:t xml:space="preserve"> due to the differences in standard of care across the different tumour types</w:t>
      </w:r>
      <w:r>
        <w:rPr>
          <w:bCs/>
        </w:rPr>
        <w:t>. T</w:t>
      </w:r>
      <w:r w:rsidRPr="006F2A05">
        <w:rPr>
          <w:bCs/>
        </w:rPr>
        <w:t xml:space="preserve">he </w:t>
      </w:r>
      <w:r>
        <w:rPr>
          <w:bCs/>
        </w:rPr>
        <w:t xml:space="preserve">reliance on surrogate </w:t>
      </w:r>
      <w:r w:rsidR="002715D2">
        <w:rPr>
          <w:bCs/>
        </w:rPr>
        <w:t xml:space="preserve">outcomes and </w:t>
      </w:r>
      <w:r w:rsidRPr="006F2A05">
        <w:rPr>
          <w:bCs/>
        </w:rPr>
        <w:t xml:space="preserve">lack of a concurrent, randomised, control arm remains a key limitation of these trial designs, and in particular, for the interpretation of such trials </w:t>
      </w:r>
      <w:r w:rsidR="00D77FD6">
        <w:rPr>
          <w:bCs/>
        </w:rPr>
        <w:t xml:space="preserve">for NICE appraisal and </w:t>
      </w:r>
      <w:r w:rsidRPr="006F2A05">
        <w:rPr>
          <w:bCs/>
        </w:rPr>
        <w:t>HTA processes</w:t>
      </w:r>
      <w:r w:rsidR="00D77FD6">
        <w:rPr>
          <w:bCs/>
        </w:rPr>
        <w:t xml:space="preserve"> more generally</w:t>
      </w:r>
      <w:r w:rsidR="002715D2">
        <w:rPr>
          <w:bCs/>
        </w:rPr>
        <w:t xml:space="preserve">. </w:t>
      </w:r>
    </w:p>
    <w:p w14:paraId="708FC0EC" w14:textId="77777777" w:rsidR="0057631E" w:rsidRDefault="006F2A05" w:rsidP="000B2A8F">
      <w:r w:rsidRPr="002715D2">
        <w:rPr>
          <w:bCs/>
        </w:rPr>
        <w:t>Heterogeneity of effect across different baskets is a key consideration in the analysis of histology-in</w:t>
      </w:r>
      <w:r w:rsidR="0057631E">
        <w:rPr>
          <w:bCs/>
        </w:rPr>
        <w:t>d</w:t>
      </w:r>
      <w:r w:rsidRPr="002715D2">
        <w:rPr>
          <w:bCs/>
        </w:rPr>
        <w:t xml:space="preserve">epedent trials. </w:t>
      </w:r>
      <w:r w:rsidR="00D77FD6">
        <w:rPr>
          <w:bCs/>
        </w:rPr>
        <w:t>O</w:t>
      </w:r>
      <w:r w:rsidR="002715D2" w:rsidRPr="002715D2">
        <w:rPr>
          <w:bCs/>
        </w:rPr>
        <w:t xml:space="preserve">nce a decision has been made on whether heterogeneity is present or not, the analysis typically proceeds as either separate, independent studies for each basket, or as a single, aggregate, study combining all the baskets. Thus, either complete homogeneity or completely unrelated effects is </w:t>
      </w:r>
      <w:r w:rsidR="001F48AB">
        <w:rPr>
          <w:bCs/>
        </w:rPr>
        <w:t xml:space="preserve">often </w:t>
      </w:r>
      <w:r w:rsidR="002715D2" w:rsidRPr="002715D2">
        <w:rPr>
          <w:bCs/>
        </w:rPr>
        <w:t>assumed.</w:t>
      </w:r>
      <w:r w:rsidR="002715D2" w:rsidRPr="002715D2">
        <w:t xml:space="preserve"> </w:t>
      </w:r>
      <w:r w:rsidR="002715D2" w:rsidRPr="002715D2">
        <w:rPr>
          <w:bCs/>
        </w:rPr>
        <w:t>A less restrictive assumption is that efficacy is similar (rather than equal or completely different) across baskets</w:t>
      </w:r>
      <w:r w:rsidR="002715D2">
        <w:rPr>
          <w:bCs/>
        </w:rPr>
        <w:t>.</w:t>
      </w:r>
      <w:r w:rsidR="002715D2" w:rsidRPr="002715D2">
        <w:rPr>
          <w:bCs/>
        </w:rPr>
        <w:t xml:space="preserve"> Bayesian hierarchical models</w:t>
      </w:r>
      <w:r w:rsidR="002715D2">
        <w:rPr>
          <w:bCs/>
        </w:rPr>
        <w:t xml:space="preserve"> </w:t>
      </w:r>
      <w:r w:rsidR="002715D2" w:rsidRPr="002715D2">
        <w:rPr>
          <w:bCs/>
        </w:rPr>
        <w:t>(BHM) are particularly suited for this situation as they estimate the heterogeneity and allow borrowing of information on the effects of the treatment across baskets</w:t>
      </w:r>
      <w:r w:rsidR="002715D2">
        <w:rPr>
          <w:bCs/>
        </w:rPr>
        <w:t>. However, the BHM is only advantageous if it is considered reasonable to allow such borrowing.</w:t>
      </w:r>
      <w:r w:rsidR="002715D2" w:rsidRPr="002715D2">
        <w:t xml:space="preserve"> </w:t>
      </w:r>
      <w:r w:rsidR="002715D2" w:rsidRPr="002715D2">
        <w:rPr>
          <w:bCs/>
        </w:rPr>
        <w:t>Alternatives to complete pooling or borrowing across all baskets have been proposed, which extend the BHM to allow borrowing of information across similar baskets while avoiding too optimistic borrowing for extreme baskets</w:t>
      </w:r>
      <w:r w:rsidR="002715D2">
        <w:rPr>
          <w:bCs/>
        </w:rPr>
        <w:t>.</w:t>
      </w:r>
      <w:r w:rsidR="002715D2" w:rsidRPr="002715D2">
        <w:t xml:space="preserve"> </w:t>
      </w:r>
    </w:p>
    <w:p w14:paraId="1955B643" w14:textId="2A6E9D28" w:rsidR="0053014D" w:rsidRDefault="002715D2" w:rsidP="000B2A8F">
      <w:pPr>
        <w:rPr>
          <w:bCs/>
        </w:rPr>
      </w:pPr>
      <w:r w:rsidRPr="002715D2">
        <w:rPr>
          <w:bCs/>
        </w:rPr>
        <w:lastRenderedPageBreak/>
        <w:t>Although it is challenging to determine the correct level of borrowing of information across baskets,</w:t>
      </w:r>
      <w:r>
        <w:rPr>
          <w:bCs/>
        </w:rPr>
        <w:t xml:space="preserve"> BHM approaches provide an explicit basis to </w:t>
      </w:r>
      <w:r w:rsidRPr="002715D2">
        <w:rPr>
          <w:bCs/>
        </w:rPr>
        <w:t>allow the treatment effect in any basket to be informed by the effects in all other baskets therefore maximising the information available.</w:t>
      </w:r>
    </w:p>
    <w:p w14:paraId="6EF2EE48" w14:textId="083DE184" w:rsidR="002715D2" w:rsidRDefault="0053014D" w:rsidP="000B2A8F">
      <w:pPr>
        <w:rPr>
          <w:bCs/>
          <w:i/>
          <w:iCs/>
        </w:rPr>
      </w:pPr>
      <w:r w:rsidRPr="0053014D">
        <w:rPr>
          <w:bCs/>
          <w:i/>
          <w:iCs/>
        </w:rPr>
        <w:t>A systematic review to identify published meta-analyses evaluating the use of response rates and duration of response as surrogate endpoints for progression-free and overall survival</w:t>
      </w:r>
    </w:p>
    <w:p w14:paraId="66AEB158" w14:textId="030DDEF5" w:rsidR="0053014D" w:rsidRDefault="0053014D" w:rsidP="000B2A8F">
      <w:pPr>
        <w:rPr>
          <w:bCs/>
        </w:rPr>
      </w:pPr>
      <w:r w:rsidRPr="0053014D">
        <w:rPr>
          <w:bCs/>
        </w:rPr>
        <w:t>In the context of histology-independent treatments, data on OS, and potentially also other time-to-event outcomes such as PFS, are likely to be immature. Consequently, there may be a need to rely on surrogate outcomes, such as response rate, using data from external sources, in order to estimate other more clinically meaningful final outcomes</w:t>
      </w:r>
      <w:r>
        <w:rPr>
          <w:bCs/>
        </w:rPr>
        <w:t xml:space="preserve"> for </w:t>
      </w:r>
      <w:r w:rsidR="0057631E">
        <w:rPr>
          <w:bCs/>
        </w:rPr>
        <w:t>NICE appraisal</w:t>
      </w:r>
      <w:r w:rsidRPr="0053014D">
        <w:rPr>
          <w:bCs/>
        </w:rPr>
        <w:t xml:space="preserve">. </w:t>
      </w:r>
      <w:r>
        <w:rPr>
          <w:bCs/>
        </w:rPr>
        <w:t xml:space="preserve">We undertook a </w:t>
      </w:r>
      <w:r w:rsidRPr="0053014D">
        <w:rPr>
          <w:bCs/>
        </w:rPr>
        <w:t xml:space="preserve">systematic review </w:t>
      </w:r>
      <w:r>
        <w:rPr>
          <w:bCs/>
        </w:rPr>
        <w:t xml:space="preserve">to assess </w:t>
      </w:r>
      <w:r w:rsidRPr="0053014D">
        <w:rPr>
          <w:bCs/>
        </w:rPr>
        <w:t xml:space="preserve">the strength of the association between response outcomes and PFS, </w:t>
      </w:r>
      <w:r>
        <w:rPr>
          <w:bCs/>
        </w:rPr>
        <w:t>time to progression (</w:t>
      </w:r>
      <w:r w:rsidRPr="0053014D">
        <w:rPr>
          <w:bCs/>
        </w:rPr>
        <w:t>TTP</w:t>
      </w:r>
      <w:r>
        <w:rPr>
          <w:bCs/>
        </w:rPr>
        <w:t xml:space="preserve">) </w:t>
      </w:r>
      <w:r w:rsidRPr="0053014D">
        <w:rPr>
          <w:bCs/>
        </w:rPr>
        <w:t>or OS across different types of cancer (primarily advanced or metastatic), based on meta-analyses or meta-regression studies assessing the statistical relationship between these outcomes</w:t>
      </w:r>
      <w:r>
        <w:rPr>
          <w:bCs/>
        </w:rPr>
        <w:t xml:space="preserve">. Alternative sets of </w:t>
      </w:r>
      <w:r w:rsidRPr="0053014D">
        <w:rPr>
          <w:bCs/>
        </w:rPr>
        <w:t>criteria were used to assess the strength of association between surrogate and final endpoints.</w:t>
      </w:r>
    </w:p>
    <w:p w14:paraId="7F4A43F7" w14:textId="114B1905" w:rsidR="00777C76" w:rsidRDefault="0053014D" w:rsidP="000B2A8F">
      <w:pPr>
        <w:rPr>
          <w:bCs/>
        </w:rPr>
      </w:pPr>
      <w:r>
        <w:rPr>
          <w:bCs/>
        </w:rPr>
        <w:t xml:space="preserve">A total of 63 studies were included in the review, across 20 different cancer types. </w:t>
      </w:r>
      <w:r w:rsidRPr="0053014D">
        <w:rPr>
          <w:bCs/>
        </w:rPr>
        <w:t>The most commonly analysed relationships were between ORR and either PFS or OS</w:t>
      </w:r>
      <w:r>
        <w:rPr>
          <w:bCs/>
        </w:rPr>
        <w:t xml:space="preserve">. </w:t>
      </w:r>
      <w:r w:rsidR="00777C76">
        <w:rPr>
          <w:bCs/>
        </w:rPr>
        <w:t>T</w:t>
      </w:r>
      <w:r w:rsidR="00777C76" w:rsidRPr="00777C76">
        <w:rPr>
          <w:bCs/>
        </w:rPr>
        <w:t xml:space="preserve">he association between response outcomes and PFS/TTP/OS </w:t>
      </w:r>
      <w:r w:rsidR="00777C76">
        <w:rPr>
          <w:bCs/>
        </w:rPr>
        <w:t xml:space="preserve">was found to </w:t>
      </w:r>
      <w:r w:rsidR="00777C76" w:rsidRPr="00777C76">
        <w:rPr>
          <w:bCs/>
        </w:rPr>
        <w:t>var</w:t>
      </w:r>
      <w:r w:rsidR="00777C76">
        <w:rPr>
          <w:bCs/>
        </w:rPr>
        <w:t>y</w:t>
      </w:r>
      <w:r w:rsidR="00777C76" w:rsidRPr="00777C76">
        <w:rPr>
          <w:bCs/>
        </w:rPr>
        <w:t xml:space="preserve"> widely between studies and generally score</w:t>
      </w:r>
      <w:r w:rsidR="00777C76">
        <w:rPr>
          <w:bCs/>
        </w:rPr>
        <w:t>d</w:t>
      </w:r>
      <w:r w:rsidR="00777C76" w:rsidRPr="00777C76">
        <w:rPr>
          <w:bCs/>
        </w:rPr>
        <w:t xml:space="preserve"> low to medium</w:t>
      </w:r>
      <w:r w:rsidR="00777C76">
        <w:rPr>
          <w:bCs/>
        </w:rPr>
        <w:t xml:space="preserve"> when assessed using existing criteria. N</w:t>
      </w:r>
      <w:r w:rsidR="00777C76" w:rsidRPr="00777C76">
        <w:rPr>
          <w:bCs/>
        </w:rPr>
        <w:t xml:space="preserve">o clear pattern for strength of association </w:t>
      </w:r>
      <w:r w:rsidR="00777C76">
        <w:rPr>
          <w:bCs/>
        </w:rPr>
        <w:t xml:space="preserve">was identified </w:t>
      </w:r>
      <w:r w:rsidR="00777C76" w:rsidRPr="00777C76">
        <w:rPr>
          <w:bCs/>
        </w:rPr>
        <w:t>by cancer type</w:t>
      </w:r>
      <w:r w:rsidR="00777C76">
        <w:rPr>
          <w:bCs/>
        </w:rPr>
        <w:t xml:space="preserve">. </w:t>
      </w:r>
    </w:p>
    <w:p w14:paraId="7A50F7E6" w14:textId="5460E4FA" w:rsidR="0053014D" w:rsidRDefault="00777C76" w:rsidP="000B2A8F">
      <w:pPr>
        <w:rPr>
          <w:bCs/>
        </w:rPr>
      </w:pPr>
      <w:r>
        <w:rPr>
          <w:bCs/>
        </w:rPr>
        <w:t>Our findings</w:t>
      </w:r>
      <w:r w:rsidRPr="00777C76">
        <w:rPr>
          <w:bCs/>
        </w:rPr>
        <w:t xml:space="preserve"> that response endpoints may not be reliable surrogates for PFS or OS.</w:t>
      </w:r>
      <w:r w:rsidRPr="00777C76">
        <w:t xml:space="preserve"> </w:t>
      </w:r>
      <w:r>
        <w:t xml:space="preserve">However, </w:t>
      </w:r>
      <w:r>
        <w:rPr>
          <w:bCs/>
        </w:rPr>
        <w:t>d</w:t>
      </w:r>
      <w:r w:rsidRPr="00777C76">
        <w:rPr>
          <w:bCs/>
        </w:rPr>
        <w:t xml:space="preserve">espite the potentially weak validity of response as a surrogate for PFS and OS, </w:t>
      </w:r>
      <w:r w:rsidR="00E016ED">
        <w:rPr>
          <w:bCs/>
        </w:rPr>
        <w:t xml:space="preserve">we concluded that it might still be </w:t>
      </w:r>
      <w:r w:rsidRPr="00777C76">
        <w:rPr>
          <w:bCs/>
        </w:rPr>
        <w:t xml:space="preserve">preferable </w:t>
      </w:r>
      <w:r w:rsidR="00E016ED">
        <w:rPr>
          <w:bCs/>
        </w:rPr>
        <w:t xml:space="preserve">for NICE appraisals </w:t>
      </w:r>
      <w:r w:rsidRPr="00777C76">
        <w:rPr>
          <w:bCs/>
        </w:rPr>
        <w:t>to adopt a surrogate-based modelling approach informed by predictions from meta-analyses which capture all relevant uncertainty, than to ignore potential surrogate relationships and extrapolate heavily censored PFS and OS data.</w:t>
      </w:r>
    </w:p>
    <w:p w14:paraId="6A5774B3" w14:textId="77777777" w:rsidR="00777C76" w:rsidRDefault="00777C76" w:rsidP="000B2A8F">
      <w:pPr>
        <w:rPr>
          <w:bCs/>
          <w:i/>
          <w:iCs/>
        </w:rPr>
      </w:pPr>
      <w:r w:rsidRPr="00777C76">
        <w:rPr>
          <w:bCs/>
          <w:i/>
          <w:iCs/>
        </w:rPr>
        <w:t>Exemplar case st</w:t>
      </w:r>
      <w:r>
        <w:rPr>
          <w:bCs/>
          <w:i/>
          <w:iCs/>
        </w:rPr>
        <w:t>udy</w:t>
      </w:r>
    </w:p>
    <w:p w14:paraId="4E2F290B" w14:textId="77777777" w:rsidR="00615835" w:rsidRDefault="00270EBB" w:rsidP="000B2A8F">
      <w:pPr>
        <w:rPr>
          <w:bCs/>
        </w:rPr>
      </w:pPr>
      <w:r>
        <w:t xml:space="preserve">We also </w:t>
      </w:r>
      <w:r w:rsidR="00777C76" w:rsidRPr="0078318E">
        <w:t xml:space="preserve">identified a number of </w:t>
      </w:r>
      <w:r>
        <w:t xml:space="preserve">additional </w:t>
      </w:r>
      <w:r w:rsidR="0078318E" w:rsidRPr="0078318E">
        <w:rPr>
          <w:bCs/>
        </w:rPr>
        <w:t>potential</w:t>
      </w:r>
      <w:r w:rsidR="00777C76" w:rsidRPr="0078318E">
        <w:rPr>
          <w:bCs/>
        </w:rPr>
        <w:t xml:space="preserve"> challenges </w:t>
      </w:r>
      <w:r w:rsidR="00600A95">
        <w:rPr>
          <w:bCs/>
        </w:rPr>
        <w:t xml:space="preserve">of histology-independent products </w:t>
      </w:r>
      <w:r w:rsidR="00777C76" w:rsidRPr="0078318E">
        <w:rPr>
          <w:bCs/>
        </w:rPr>
        <w:t xml:space="preserve">for NICE appraisals </w:t>
      </w:r>
      <w:r w:rsidRPr="00270EBB">
        <w:rPr>
          <w:bCs/>
        </w:rPr>
        <w:t>including</w:t>
      </w:r>
      <w:r>
        <w:rPr>
          <w:bCs/>
        </w:rPr>
        <w:t xml:space="preserve"> the need to account for heterogeneity in a number of areas including</w:t>
      </w:r>
      <w:r w:rsidRPr="00270EBB">
        <w:rPr>
          <w:bCs/>
        </w:rPr>
        <w:t xml:space="preserve">: the cost of testing; baseline risk; quality of life and routine management costs. </w:t>
      </w:r>
      <w:r w:rsidR="00615835">
        <w:rPr>
          <w:bCs/>
        </w:rPr>
        <w:t xml:space="preserve">A </w:t>
      </w:r>
      <w:r w:rsidR="00600A95" w:rsidRPr="00600A95">
        <w:rPr>
          <w:bCs/>
        </w:rPr>
        <w:t xml:space="preserve">range of alternative </w:t>
      </w:r>
      <w:r w:rsidR="00615835">
        <w:rPr>
          <w:bCs/>
        </w:rPr>
        <w:t xml:space="preserve">analytic </w:t>
      </w:r>
      <w:r w:rsidR="00600A95" w:rsidRPr="00600A95">
        <w:rPr>
          <w:bCs/>
        </w:rPr>
        <w:t xml:space="preserve">approaches </w:t>
      </w:r>
      <w:r w:rsidR="00600A95">
        <w:rPr>
          <w:bCs/>
        </w:rPr>
        <w:t xml:space="preserve">are likely to be </w:t>
      </w:r>
      <w:r w:rsidR="00600A95" w:rsidRPr="00600A95">
        <w:rPr>
          <w:bCs/>
        </w:rPr>
        <w:t xml:space="preserve">required to address </w:t>
      </w:r>
      <w:r w:rsidR="00600A95">
        <w:rPr>
          <w:bCs/>
        </w:rPr>
        <w:t xml:space="preserve">these </w:t>
      </w:r>
      <w:r w:rsidR="00600A95" w:rsidRPr="00600A95">
        <w:rPr>
          <w:bCs/>
        </w:rPr>
        <w:t>different sources of heterogeneity</w:t>
      </w:r>
      <w:r w:rsidR="003101CB">
        <w:rPr>
          <w:bCs/>
        </w:rPr>
        <w:t xml:space="preserve">. </w:t>
      </w:r>
    </w:p>
    <w:p w14:paraId="46A82CD9" w14:textId="4F908F5F" w:rsidR="003101CB" w:rsidRDefault="00615835" w:rsidP="000B2A8F">
      <w:pPr>
        <w:rPr>
          <w:bCs/>
        </w:rPr>
      </w:pPr>
      <w:r>
        <w:rPr>
          <w:bCs/>
        </w:rPr>
        <w:t>T</w:t>
      </w:r>
      <w:r w:rsidRPr="00615835">
        <w:rPr>
          <w:bCs/>
        </w:rPr>
        <w:t xml:space="preserve">he use of </w:t>
      </w:r>
      <w:r w:rsidR="005E2923">
        <w:rPr>
          <w:bCs/>
        </w:rPr>
        <w:t xml:space="preserve">a </w:t>
      </w:r>
      <w:r w:rsidRPr="00615835">
        <w:rPr>
          <w:bCs/>
        </w:rPr>
        <w:t xml:space="preserve">single </w:t>
      </w:r>
      <w:r>
        <w:rPr>
          <w:bCs/>
        </w:rPr>
        <w:t>assessment of the incremental cost-effectiveness ratio (ICER)</w:t>
      </w:r>
      <w:r w:rsidRPr="00615835">
        <w:rPr>
          <w:bCs/>
        </w:rPr>
        <w:t xml:space="preserve">, across multiple tumour sites with potentially different treatment effectiveness, comparators, costs and </w:t>
      </w:r>
      <w:r w:rsidR="00D77FD6">
        <w:rPr>
          <w:bCs/>
        </w:rPr>
        <w:t>quality of life</w:t>
      </w:r>
      <w:r w:rsidRPr="00615835">
        <w:rPr>
          <w:bCs/>
        </w:rPr>
        <w:t xml:space="preserve">, </w:t>
      </w:r>
      <w:r w:rsidR="00D77FD6">
        <w:rPr>
          <w:bCs/>
        </w:rPr>
        <w:t xml:space="preserve">may </w:t>
      </w:r>
      <w:r w:rsidRPr="00615835">
        <w:rPr>
          <w:bCs/>
        </w:rPr>
        <w:t xml:space="preserve">be </w:t>
      </w:r>
      <w:r>
        <w:rPr>
          <w:bCs/>
        </w:rPr>
        <w:t>challenging</w:t>
      </w:r>
      <w:r w:rsidRPr="00615835">
        <w:rPr>
          <w:bCs/>
        </w:rPr>
        <w:t xml:space="preserve"> </w:t>
      </w:r>
      <w:r w:rsidR="005E2923">
        <w:rPr>
          <w:bCs/>
        </w:rPr>
        <w:t xml:space="preserve">for NICE </w:t>
      </w:r>
      <w:r>
        <w:rPr>
          <w:bCs/>
        </w:rPr>
        <w:t>to</w:t>
      </w:r>
      <w:r w:rsidRPr="00615835">
        <w:rPr>
          <w:bCs/>
        </w:rPr>
        <w:t xml:space="preserve"> interpret. A single ICER </w:t>
      </w:r>
      <w:r w:rsidR="0057631E">
        <w:rPr>
          <w:bCs/>
        </w:rPr>
        <w:t>may</w:t>
      </w:r>
      <w:r w:rsidRPr="00615835">
        <w:rPr>
          <w:bCs/>
        </w:rPr>
        <w:t xml:space="preserve"> conceal significant variation in the tumour specific ICERs, driven by a combination of factors, including observable variability in relative </w:t>
      </w:r>
      <w:r w:rsidRPr="00615835">
        <w:rPr>
          <w:bCs/>
        </w:rPr>
        <w:lastRenderedPageBreak/>
        <w:t xml:space="preserve">effectiveness between tumour types. Ignoring these differences could mean that a treatment which is not cost-effective for the total population (combining all subgroups) may be cost-effective in specific subgroups. Conversely, a treatment which appears cost-effective for the total population may not be cost-effective in particular subgroups. Given the amount of heterogeneity associated with a histology-independent appraisal, estimating the average cost-effectiveness for the full patient population covered </w:t>
      </w:r>
      <w:r w:rsidR="0057631E">
        <w:rPr>
          <w:bCs/>
        </w:rPr>
        <w:t xml:space="preserve">by the product’s license </w:t>
      </w:r>
      <w:r w:rsidRPr="00615835">
        <w:rPr>
          <w:bCs/>
        </w:rPr>
        <w:t>may not provide enough information to decision-makers about whether the drug is potentially cost-effective across all subgroups.</w:t>
      </w:r>
    </w:p>
    <w:p w14:paraId="17BF0E04" w14:textId="0FEC4174" w:rsidR="00600A95" w:rsidRDefault="003101CB" w:rsidP="000B2A8F">
      <w:pPr>
        <w:rPr>
          <w:bCs/>
        </w:rPr>
      </w:pPr>
      <w:r w:rsidRPr="003101CB">
        <w:rPr>
          <w:bCs/>
        </w:rPr>
        <w:t xml:space="preserve">Given the importance of exploring the impact of heterogeneity more explicitly for decision-making, </w:t>
      </w:r>
      <w:r w:rsidR="001F48AB">
        <w:rPr>
          <w:bCs/>
        </w:rPr>
        <w:t xml:space="preserve">explicit and transparent </w:t>
      </w:r>
      <w:r w:rsidRPr="003101CB">
        <w:rPr>
          <w:bCs/>
        </w:rPr>
        <w:t>approaches are needed which can accommodate different sources of heterogeneity within the overall population</w:t>
      </w:r>
      <w:r w:rsidR="001F48AB">
        <w:rPr>
          <w:bCs/>
        </w:rPr>
        <w:t>. These assessments should allow consideration of</w:t>
      </w:r>
      <w:r w:rsidRPr="003101CB">
        <w:rPr>
          <w:bCs/>
        </w:rPr>
        <w:t xml:space="preserve"> average cost-effectiveness for the full patient population covered in </w:t>
      </w:r>
      <w:r w:rsidR="00612341">
        <w:rPr>
          <w:bCs/>
        </w:rPr>
        <w:t>marketing authorisation,</w:t>
      </w:r>
      <w:r w:rsidRPr="003101CB">
        <w:rPr>
          <w:bCs/>
        </w:rPr>
        <w:t xml:space="preserve"> a</w:t>
      </w:r>
      <w:r w:rsidR="001F48AB">
        <w:rPr>
          <w:bCs/>
        </w:rPr>
        <w:t xml:space="preserve">s well as </w:t>
      </w:r>
      <w:r w:rsidRPr="003101CB">
        <w:rPr>
          <w:bCs/>
        </w:rPr>
        <w:t>facilitat</w:t>
      </w:r>
      <w:r w:rsidR="001F48AB">
        <w:rPr>
          <w:bCs/>
        </w:rPr>
        <w:t xml:space="preserve">ing an </w:t>
      </w:r>
      <w:r w:rsidRPr="003101CB">
        <w:rPr>
          <w:bCs/>
        </w:rPr>
        <w:t xml:space="preserve"> assessment of whether the drug is potentially cost-effective across </w:t>
      </w:r>
      <w:r w:rsidR="008575C4">
        <w:rPr>
          <w:bCs/>
        </w:rPr>
        <w:t xml:space="preserve">relevant </w:t>
      </w:r>
      <w:r w:rsidRPr="003101CB">
        <w:rPr>
          <w:bCs/>
        </w:rPr>
        <w:t xml:space="preserve">subgroups. The use of the BHM framework provides a potential </w:t>
      </w:r>
      <w:r w:rsidR="00612341">
        <w:rPr>
          <w:bCs/>
        </w:rPr>
        <w:t xml:space="preserve">important </w:t>
      </w:r>
      <w:r w:rsidRPr="003101CB">
        <w:rPr>
          <w:bCs/>
        </w:rPr>
        <w:t xml:space="preserve">approach which can more fully explore the potential heterogeneity in effects across tumours. The BHM </w:t>
      </w:r>
      <w:r w:rsidR="001F48AB">
        <w:rPr>
          <w:bCs/>
        </w:rPr>
        <w:t xml:space="preserve">approach </w:t>
      </w:r>
      <w:r w:rsidRPr="003101CB">
        <w:rPr>
          <w:bCs/>
        </w:rPr>
        <w:t>allows assessments to be made for each tumour type, as well as a pooled assessment across all tumour types, accounting for the potential lack of uniformity of effect across tumours. An additional advantage of this type of model is the ability to predict the response probability that would be expected in a ‘new’ tumour type (i.e. a tumour that is not represented in the trial data), which will give a measure of the uncertainty in the response rates in tumour types in the target population but for which no data are available.</w:t>
      </w:r>
    </w:p>
    <w:p w14:paraId="7CAD28F7" w14:textId="593FC604" w:rsidR="00615835" w:rsidRDefault="00270EBB" w:rsidP="000B2A8F">
      <w:r w:rsidRPr="00270EBB">
        <w:rPr>
          <w:bCs/>
        </w:rPr>
        <w:t xml:space="preserve">An exemplar case study was developed to illustrate the nature of the assessments that </w:t>
      </w:r>
      <w:r w:rsidR="00600A95" w:rsidRPr="00600A95">
        <w:rPr>
          <w:bCs/>
        </w:rPr>
        <w:t>could be used to evaluate the cost-effectiveness of a new histology-independent treatment.</w:t>
      </w:r>
      <w:r w:rsidR="00600A95" w:rsidRPr="00600A95">
        <w:t xml:space="preserve"> </w:t>
      </w:r>
      <w:r w:rsidR="00600A95" w:rsidRPr="00600A95">
        <w:rPr>
          <w:bCs/>
        </w:rPr>
        <w:t>The case study consider</w:t>
      </w:r>
      <w:r w:rsidR="00600A95">
        <w:rPr>
          <w:bCs/>
        </w:rPr>
        <w:t>ed</w:t>
      </w:r>
      <w:r w:rsidR="00600A95" w:rsidRPr="00600A95">
        <w:rPr>
          <w:bCs/>
        </w:rPr>
        <w:t xml:space="preserve"> a hypothetical Trk-inhibitor (Drug X) for the treatment of solid tumours that harbour an NTRK gene fusion compared to the current standard of care (SoC).</w:t>
      </w:r>
      <w:r w:rsidR="00600A95" w:rsidRPr="00600A95">
        <w:t xml:space="preserve"> </w:t>
      </w:r>
      <w:r w:rsidR="00600A95" w:rsidRPr="00600A95">
        <w:rPr>
          <w:bCs/>
        </w:rPr>
        <w:t xml:space="preserve">The economic model </w:t>
      </w:r>
      <w:r w:rsidR="00600A95">
        <w:rPr>
          <w:bCs/>
        </w:rPr>
        <w:t xml:space="preserve">was developed </w:t>
      </w:r>
      <w:r w:rsidR="00600A95" w:rsidRPr="00600A95">
        <w:rPr>
          <w:bCs/>
        </w:rPr>
        <w:t>us</w:t>
      </w:r>
      <w:r w:rsidR="00600A95">
        <w:rPr>
          <w:bCs/>
        </w:rPr>
        <w:t>ing</w:t>
      </w:r>
      <w:r w:rsidR="00600A95" w:rsidRPr="00600A95">
        <w:rPr>
          <w:bCs/>
        </w:rPr>
        <w:t xml:space="preserve"> a landmark response-based structure which incorporates separate PFS and OS distributions, conditioned on response status in the overall study population. </w:t>
      </w:r>
      <w:r w:rsidR="00E016ED">
        <w:rPr>
          <w:bCs/>
        </w:rPr>
        <w:t xml:space="preserve">Heterogeneity in </w:t>
      </w:r>
      <w:r w:rsidR="00E016ED">
        <w:t>r</w:t>
      </w:r>
      <w:r w:rsidR="00184ADA" w:rsidRPr="00184ADA">
        <w:t>esponse rates</w:t>
      </w:r>
      <w:r w:rsidR="00E016ED">
        <w:t xml:space="preserve"> across individual tumour sites was reflected using </w:t>
      </w:r>
      <w:r w:rsidR="00184ADA">
        <w:t>a BHM</w:t>
      </w:r>
      <w:r w:rsidR="00615835">
        <w:t xml:space="preserve"> approach</w:t>
      </w:r>
      <w:r w:rsidR="00184ADA">
        <w:t xml:space="preserve">. </w:t>
      </w:r>
      <w:r w:rsidR="00184ADA" w:rsidRPr="00184ADA">
        <w:t xml:space="preserve">By linking the BHM estimates for response rates to conditional OS and PFS estimates, the case study model explores the implications for cost-effectiveness of heterogeneity in the overall population by considering individual histology specific estimates of cost-effectiveness alongside estimates for the overall population. </w:t>
      </w:r>
    </w:p>
    <w:p w14:paraId="1356CEB7" w14:textId="5CB28988" w:rsidR="00777C76" w:rsidRDefault="00184ADA" w:rsidP="000B2A8F">
      <w:pPr>
        <w:rPr>
          <w:bCs/>
        </w:rPr>
      </w:pPr>
      <w:r w:rsidRPr="00184ADA">
        <w:rPr>
          <w:bCs/>
        </w:rPr>
        <w:t xml:space="preserve">In line with the NICE reference case, the model </w:t>
      </w:r>
      <w:r w:rsidR="005E2923">
        <w:rPr>
          <w:bCs/>
        </w:rPr>
        <w:t xml:space="preserve">was based on </w:t>
      </w:r>
      <w:r w:rsidRPr="00184ADA">
        <w:rPr>
          <w:bCs/>
        </w:rPr>
        <w:t>a NHS and Personal Social Services perspective in terms of capturing costs and QALYs and discounts both using a 3.5% discount rate. Results are presented over a lifetime (30-year) time horizon.</w:t>
      </w:r>
    </w:p>
    <w:p w14:paraId="401B9500" w14:textId="48CE9DB9" w:rsidR="00070DD0" w:rsidRDefault="00184ADA" w:rsidP="000B2A8F">
      <w:r>
        <w:rPr>
          <w:bCs/>
        </w:rPr>
        <w:t xml:space="preserve">The case study </w:t>
      </w:r>
      <w:r w:rsidR="00615835">
        <w:rPr>
          <w:bCs/>
        </w:rPr>
        <w:t>demonstrated</w:t>
      </w:r>
      <w:r w:rsidR="00615835" w:rsidRPr="00615835">
        <w:rPr>
          <w:bCs/>
        </w:rPr>
        <w:t xml:space="preserve"> the importance of understanding the frequency of histologies expected in the target population and the necessity of modelling histology specific cost and health consequences. </w:t>
      </w:r>
      <w:r w:rsidR="00615835" w:rsidRPr="00615835">
        <w:rPr>
          <w:bCs/>
        </w:rPr>
        <w:lastRenderedPageBreak/>
        <w:t>When the expected distribution of histologies is expected to differ between the trial and the target population, failure to account for this could result in a biased estimate of the pooled ICER. The magnitude of any bias will depend on the extent of heterogeneity in relevant model inputs between tumour sites (e.g. treatment effectiveness, HRQoL, costs).</w:t>
      </w:r>
      <w:r w:rsidR="00615835" w:rsidRPr="00615835">
        <w:t xml:space="preserve"> </w:t>
      </w:r>
      <w:r w:rsidR="00070DD0">
        <w:t xml:space="preserve">Consideration </w:t>
      </w:r>
      <w:r w:rsidR="005E2923">
        <w:t>will</w:t>
      </w:r>
      <w:r w:rsidR="00070DD0">
        <w:t xml:space="preserve"> also </w:t>
      </w:r>
      <w:r w:rsidR="005E2923">
        <w:t xml:space="preserve">be </w:t>
      </w:r>
      <w:r w:rsidR="00070DD0">
        <w:t>needed as to the potential effect in tumour histologies that are not represented in the trial data.</w:t>
      </w:r>
    </w:p>
    <w:p w14:paraId="3907E468" w14:textId="30078BDC" w:rsidR="00600A95" w:rsidRDefault="00070DD0" w:rsidP="000B2A8F">
      <w:pPr>
        <w:rPr>
          <w:bCs/>
        </w:rPr>
      </w:pPr>
      <w:r>
        <w:t xml:space="preserve">The case study also highlighted that </w:t>
      </w:r>
      <w:r w:rsidR="00615835" w:rsidRPr="00615835">
        <w:rPr>
          <w:bCs/>
        </w:rPr>
        <w:t>even if homogeneity in all other model inputs is assumed</w:t>
      </w:r>
      <w:r>
        <w:rPr>
          <w:bCs/>
        </w:rPr>
        <w:t xml:space="preserve"> between individual histologies (or other subgroups)</w:t>
      </w:r>
      <w:r w:rsidR="00615835" w:rsidRPr="00615835">
        <w:rPr>
          <w:bCs/>
        </w:rPr>
        <w:t>, the cost-effectiveness estimates will inevitably vary based on differences in the costs of identifying patients with the specific biomarker</w:t>
      </w:r>
      <w:r>
        <w:rPr>
          <w:bCs/>
        </w:rPr>
        <w:t xml:space="preserve">. </w:t>
      </w:r>
      <w:r w:rsidRPr="00070DD0">
        <w:rPr>
          <w:bCs/>
        </w:rPr>
        <w:t xml:space="preserve">The results </w:t>
      </w:r>
      <w:r>
        <w:rPr>
          <w:bCs/>
        </w:rPr>
        <w:t>demonstrate that</w:t>
      </w:r>
      <w:r w:rsidRPr="00070DD0">
        <w:rPr>
          <w:bCs/>
        </w:rPr>
        <w:t xml:space="preserve"> even a low per patient testing cost can result in significant variation in the ICER estimates </w:t>
      </w:r>
      <w:r>
        <w:rPr>
          <w:bCs/>
        </w:rPr>
        <w:t>driven by different biomarker prevalence rates across</w:t>
      </w:r>
      <w:r w:rsidRPr="00070DD0">
        <w:rPr>
          <w:bCs/>
        </w:rPr>
        <w:t xml:space="preserve"> individual histologes.    </w:t>
      </w:r>
    </w:p>
    <w:p w14:paraId="3C07929B" w14:textId="76556614" w:rsidR="008B287E" w:rsidRDefault="00070DD0" w:rsidP="00070DD0">
      <w:r>
        <w:rPr>
          <w:bCs/>
        </w:rPr>
        <w:t xml:space="preserve">The case study was used to illustrate </w:t>
      </w:r>
      <w:r w:rsidR="00612341">
        <w:rPr>
          <w:bCs/>
        </w:rPr>
        <w:t>h</w:t>
      </w:r>
      <w:r>
        <w:rPr>
          <w:bCs/>
        </w:rPr>
        <w:t>ow</w:t>
      </w:r>
      <w:r w:rsidRPr="00070DD0">
        <w:rPr>
          <w:bCs/>
        </w:rPr>
        <w:t xml:space="preserve"> heterogeneity in treatment effectiveness and testing costs c</w:t>
      </w:r>
      <w:r>
        <w:rPr>
          <w:bCs/>
        </w:rPr>
        <w:t>ould</w:t>
      </w:r>
      <w:r w:rsidRPr="00070DD0">
        <w:rPr>
          <w:bCs/>
        </w:rPr>
        <w:t xml:space="preserve"> be explored using pooled ICERs and individual histology ICERs to inform decision making</w:t>
      </w:r>
      <w:r>
        <w:rPr>
          <w:bCs/>
        </w:rPr>
        <w:t xml:space="preserve">. </w:t>
      </w:r>
      <w:r w:rsidRPr="00070DD0">
        <w:rPr>
          <w:bCs/>
        </w:rPr>
        <w:t>However, ICERs have an important limitation; they do not give an indication of the scale of consequences for population health. Understanding the benefits and costs of treatment at a population level will help in understanding the consequences of decision making in the presence of heterogeneity and uncertainty.</w:t>
      </w:r>
      <w:r w:rsidR="008B287E" w:rsidRPr="008B287E">
        <w:t xml:space="preserve"> </w:t>
      </w:r>
    </w:p>
    <w:p w14:paraId="372BFD2F" w14:textId="1685A966" w:rsidR="008B287E" w:rsidRPr="008B287E" w:rsidRDefault="008B287E" w:rsidP="000B2A8F">
      <w:r w:rsidRPr="008B287E">
        <w:t xml:space="preserve">We </w:t>
      </w:r>
      <w:r w:rsidR="005E2923">
        <w:t xml:space="preserve">also </w:t>
      </w:r>
      <w:r w:rsidRPr="008B287E">
        <w:t xml:space="preserve">developed a decision-framework that could be used to inform approval and research policies for histology-independent products. The framework explored the uncertainties and risks associated with different approval policies. Alternative approaches to managing risk were identified, including the role of further data collection, the use of pricing schemes and stratified decision making. </w:t>
      </w:r>
    </w:p>
    <w:p w14:paraId="1230B854" w14:textId="3EF42493" w:rsidR="000B2A8F" w:rsidRDefault="000B2A8F" w:rsidP="000B2A8F">
      <w:pPr>
        <w:rPr>
          <w:bCs/>
        </w:rPr>
      </w:pPr>
      <w:r w:rsidRPr="00741FC6">
        <w:rPr>
          <w:b/>
        </w:rPr>
        <w:t xml:space="preserve">Conclusions </w:t>
      </w:r>
    </w:p>
    <w:p w14:paraId="2B93480D" w14:textId="6233A45D" w:rsidR="00070DD0" w:rsidRDefault="008B287E" w:rsidP="000B2A8F">
      <w:pPr>
        <w:rPr>
          <w:bCs/>
        </w:rPr>
      </w:pPr>
      <w:r>
        <w:rPr>
          <w:bCs/>
        </w:rPr>
        <w:t>Our research found that t</w:t>
      </w:r>
      <w:r w:rsidR="00070DD0" w:rsidRPr="00070DD0">
        <w:rPr>
          <w:bCs/>
        </w:rPr>
        <w:t xml:space="preserve">he potential for heterogeneity in </w:t>
      </w:r>
      <w:r>
        <w:rPr>
          <w:bCs/>
        </w:rPr>
        <w:t>a range of model inputs</w:t>
      </w:r>
      <w:r w:rsidR="00070DD0" w:rsidRPr="00070DD0">
        <w:rPr>
          <w:bCs/>
        </w:rPr>
        <w:t xml:space="preserve">, either across tumour </w:t>
      </w:r>
      <w:r w:rsidR="00612341">
        <w:rPr>
          <w:bCs/>
        </w:rPr>
        <w:t>histologies</w:t>
      </w:r>
      <w:r w:rsidR="00070DD0" w:rsidRPr="00070DD0">
        <w:rPr>
          <w:bCs/>
        </w:rPr>
        <w:t xml:space="preserve"> or across other characteristic</w:t>
      </w:r>
      <w:r>
        <w:rPr>
          <w:bCs/>
        </w:rPr>
        <w:t>s</w:t>
      </w:r>
      <w:r w:rsidR="00070DD0" w:rsidRPr="00070DD0">
        <w:rPr>
          <w:bCs/>
        </w:rPr>
        <w:t xml:space="preserve">, is likely to be an important issue </w:t>
      </w:r>
      <w:r>
        <w:rPr>
          <w:bCs/>
        </w:rPr>
        <w:t xml:space="preserve">for NICE </w:t>
      </w:r>
      <w:r w:rsidR="00070DD0" w:rsidRPr="00070DD0">
        <w:rPr>
          <w:bCs/>
        </w:rPr>
        <w:t>appraisal</w:t>
      </w:r>
      <w:r>
        <w:rPr>
          <w:bCs/>
        </w:rPr>
        <w:t>s</w:t>
      </w:r>
      <w:r w:rsidR="00070DD0" w:rsidRPr="00070DD0">
        <w:rPr>
          <w:bCs/>
        </w:rPr>
        <w:t xml:space="preserve"> of histology</w:t>
      </w:r>
      <w:r w:rsidR="00612341">
        <w:rPr>
          <w:bCs/>
        </w:rPr>
        <w:t>-</w:t>
      </w:r>
      <w:r w:rsidR="00070DD0" w:rsidRPr="00070DD0">
        <w:rPr>
          <w:bCs/>
        </w:rPr>
        <w:t xml:space="preserve">independent technologies. </w:t>
      </w:r>
      <w:r>
        <w:rPr>
          <w:bCs/>
        </w:rPr>
        <w:t xml:space="preserve">Particular </w:t>
      </w:r>
      <w:r w:rsidR="00070DD0" w:rsidRPr="00070DD0">
        <w:rPr>
          <w:bCs/>
        </w:rPr>
        <w:t>consideration should be given to the appropriateness of the assumptions of homogeneity of treatment effects and NICE committees should expect to see an exploration of this assumption and the potential for heterogeneity in company submissions.</w:t>
      </w:r>
      <w:r w:rsidR="00070DD0" w:rsidRPr="00070DD0">
        <w:t xml:space="preserve"> </w:t>
      </w:r>
      <w:r w:rsidR="00070DD0" w:rsidRPr="00070DD0">
        <w:rPr>
          <w:bCs/>
        </w:rPr>
        <w:t xml:space="preserve">Where there is evidence of heterogeneity in treatment effects and estimates of cost-effectiveness, consideration should be given to optimised </w:t>
      </w:r>
      <w:r>
        <w:rPr>
          <w:bCs/>
        </w:rPr>
        <w:t xml:space="preserve">or ‘stratified’ </w:t>
      </w:r>
      <w:r w:rsidR="00070DD0" w:rsidRPr="00070DD0">
        <w:rPr>
          <w:bCs/>
        </w:rPr>
        <w:t>recommendations.</w:t>
      </w:r>
      <w:r w:rsidRPr="008B287E">
        <w:t xml:space="preserve"> </w:t>
      </w:r>
      <w:r>
        <w:rPr>
          <w:bCs/>
        </w:rPr>
        <w:t>R</w:t>
      </w:r>
      <w:r w:rsidRPr="008B287E">
        <w:rPr>
          <w:bCs/>
        </w:rPr>
        <w:t>outine presentation of the scale of the consequences of heterogeneity and decision uncertainty may provide an important additional approach to the assessments specified in the current NICE methods guide.</w:t>
      </w:r>
    </w:p>
    <w:p w14:paraId="48C795D3" w14:textId="77777777" w:rsidR="00070DD0" w:rsidRDefault="00070DD0" w:rsidP="000B2A8F">
      <w:pPr>
        <w:rPr>
          <w:bCs/>
        </w:rPr>
      </w:pPr>
    </w:p>
    <w:p w14:paraId="12B39288" w14:textId="77777777" w:rsidR="008B287E" w:rsidRDefault="008B287E">
      <w:r w:rsidRPr="008B287E">
        <w:lastRenderedPageBreak/>
        <w:t>We identified several key areas requiring further research. Firstly, further exploration of Bayesian hierarchical methods could help inform decision makers determine whether these is sufficient evidence of homogeneity to support pooled analyses. Secondly, further research is required to determine the appropriate basis for apportioning genomic testing costs where there are multiple targets. Finally, further research is required concerning the challenges of uncontrolled Phase II studies and specifically the role and use of surrogate endpoints.</w:t>
      </w:r>
    </w:p>
    <w:p w14:paraId="7D4896AB" w14:textId="1B63CBAB" w:rsidR="00C62750" w:rsidRPr="008B287E" w:rsidRDefault="00C62750">
      <w:pPr>
        <w:rPr>
          <w:i/>
          <w:iCs/>
          <w:highlight w:val="yellow"/>
        </w:rPr>
      </w:pPr>
      <w:r w:rsidRPr="008B287E">
        <w:rPr>
          <w:i/>
          <w:iCs/>
          <w:highlight w:val="yellow"/>
        </w:rPr>
        <w:br w:type="page"/>
      </w:r>
    </w:p>
    <w:p w14:paraId="239A9317" w14:textId="77777777" w:rsidR="000B2A8F" w:rsidRPr="002D1DD7" w:rsidRDefault="000B2A8F" w:rsidP="000B2A8F">
      <w:pPr>
        <w:pStyle w:val="Nonnumberedheading1"/>
      </w:pPr>
      <w:bookmarkStart w:id="6" w:name="_Toc33776141"/>
      <w:r w:rsidRPr="002D1DD7">
        <w:lastRenderedPageBreak/>
        <w:t>Plain English summary</w:t>
      </w:r>
      <w:bookmarkEnd w:id="6"/>
    </w:p>
    <w:p w14:paraId="7C099778" w14:textId="1FC4A604" w:rsidR="000B2A8F" w:rsidRPr="002D1DD7" w:rsidRDefault="000B2A8F" w:rsidP="000B2A8F">
      <w:r w:rsidRPr="002D1DD7">
        <w:t>In May 2017, the U.S. Food and Drug Administration (FDA) granted the first approval for a cancer treatment based on a common biomarker rather than the location in the body where the tumour originated (the tumour site), that is a site-agnostic or ‘</w:t>
      </w:r>
      <w:r>
        <w:t>histology-independent</w:t>
      </w:r>
      <w:r w:rsidRPr="002D1DD7">
        <w:t xml:space="preserve">’ indication was granted. Research from </w:t>
      </w:r>
      <w:r>
        <w:t xml:space="preserve">the </w:t>
      </w:r>
      <w:r w:rsidRPr="002D1DD7">
        <w:t xml:space="preserve">National Institute for Health and Care Excellence (NICE) suggests there are approximately 20 technologies currently in development for </w:t>
      </w:r>
      <w:r>
        <w:t>histology-independent</w:t>
      </w:r>
      <w:r w:rsidRPr="002D1DD7">
        <w:t xml:space="preserve"> indications with the first marketing authorisation granted in Europe in 2019. </w:t>
      </w:r>
    </w:p>
    <w:p w14:paraId="1704C6B0" w14:textId="77777777" w:rsidR="000B2A8F" w:rsidRPr="002D1DD7" w:rsidRDefault="000B2A8F" w:rsidP="000B2A8F">
      <w:r>
        <w:t>Histology-independent</w:t>
      </w:r>
      <w:r w:rsidRPr="002D1DD7">
        <w:t xml:space="preserve"> treatments have the potential to have important effects in patient populations who currently have limited or no available treatment options. However, it is also important to ensure that the use of these treatments in the NHS is supported by systematic and robust assessments of clinical evidence (i.e. how well the medicine or treatment works) and economic evidence (i.e. the medicine’s value for money). These assessments are undertaken by NICE, usually for treatments targeting specific tumours sites. However, a </w:t>
      </w:r>
      <w:r>
        <w:t>histology-independent</w:t>
      </w:r>
      <w:r w:rsidRPr="002D1DD7">
        <w:t xml:space="preserve"> marketing authorisation would likely include many tumour sites and it is not possible for NICE to conduct a separate assessment for each tumour site for which the treatment could be beneficial. As a result, NICE needs to consider how these products can be appropriately assessed without creating unnecessary delays in patient access.</w:t>
      </w:r>
    </w:p>
    <w:p w14:paraId="2D471D96" w14:textId="77777777" w:rsidR="000B2A8F" w:rsidRDefault="000B2A8F" w:rsidP="000B2A8F">
      <w:r w:rsidRPr="002D1DD7">
        <w:t xml:space="preserve">This research explores the extent to which NICE’s existing approaches for assessing clinical and economic value can be applied to </w:t>
      </w:r>
      <w:r>
        <w:t>histology-independent</w:t>
      </w:r>
      <w:r w:rsidRPr="002D1DD7">
        <w:t xml:space="preserve"> indications and any changes that might be required. We explore the nature and amount of evidence which is typically available at the point of initial marketing authorisation and develop recommendations to establish the evidence and analyses required to help inform NICE decisions. We use case studies to highlight possible challenges and explore ways that these might be addressed. This research will help to inform future NICE policy on how to appraise cancer drugs with </w:t>
      </w:r>
      <w:r>
        <w:t>histology-independent</w:t>
      </w:r>
      <w:r w:rsidRPr="002D1DD7">
        <w:t xml:space="preserve"> indications. It will also inform the development of guidance for those developing these treatments to help their understanding of the clinical- and cost-effectiveness assessments that will be required to inform NICE appraisals.</w:t>
      </w:r>
    </w:p>
    <w:p w14:paraId="2030C8DB" w14:textId="77777777" w:rsidR="000B2A8F" w:rsidRPr="000B2A8F" w:rsidRDefault="000B2A8F" w:rsidP="000B2A8F">
      <w:pPr>
        <w:rPr>
          <w:b/>
        </w:rPr>
      </w:pPr>
    </w:p>
    <w:p w14:paraId="696FED46" w14:textId="77777777" w:rsidR="000B2A8F" w:rsidRDefault="000B2A8F" w:rsidP="000B2A8F">
      <w:r>
        <w:br w:type="page"/>
      </w:r>
    </w:p>
    <w:p w14:paraId="05EE8D45" w14:textId="77777777" w:rsidR="000B2A8F" w:rsidRDefault="000B2A8F" w:rsidP="000B2A8F">
      <w:pPr>
        <w:pStyle w:val="Nonnumberedheading1"/>
      </w:pPr>
      <w:bookmarkStart w:id="7" w:name="_Toc33776142"/>
      <w:r>
        <w:lastRenderedPageBreak/>
        <w:t>Table of Contents</w:t>
      </w:r>
      <w:bookmarkEnd w:id="7"/>
    </w:p>
    <w:p w14:paraId="3B2A86A7" w14:textId="79551A7D" w:rsidR="00121437" w:rsidRDefault="000B2A8F">
      <w:pPr>
        <w:pStyle w:val="TOC1"/>
        <w:rPr>
          <w:rFonts w:asciiTheme="minorHAnsi" w:hAnsiTheme="minorHAnsi"/>
          <w:noProof/>
          <w:lang w:eastAsia="en-GB"/>
        </w:rPr>
      </w:pPr>
      <w:r>
        <w:fldChar w:fldCharType="begin"/>
      </w:r>
      <w:r>
        <w:instrText xml:space="preserve"> TOC \o "1-4" \h \z \t "Non numbered heading 1,1" </w:instrText>
      </w:r>
      <w:r>
        <w:fldChar w:fldCharType="separate"/>
      </w:r>
      <w:hyperlink w:anchor="_Toc33776138" w:history="1">
        <w:r w:rsidR="00121437" w:rsidRPr="00CD05B2">
          <w:rPr>
            <w:rStyle w:val="Hyperlink"/>
            <w:noProof/>
          </w:rPr>
          <w:t>Abbreviations</w:t>
        </w:r>
        <w:r w:rsidR="00121437">
          <w:rPr>
            <w:noProof/>
            <w:webHidden/>
          </w:rPr>
          <w:tab/>
        </w:r>
        <w:r w:rsidR="00121437">
          <w:rPr>
            <w:noProof/>
            <w:webHidden/>
          </w:rPr>
          <w:fldChar w:fldCharType="begin"/>
        </w:r>
        <w:r w:rsidR="00121437">
          <w:rPr>
            <w:noProof/>
            <w:webHidden/>
          </w:rPr>
          <w:instrText xml:space="preserve"> PAGEREF _Toc33776138 \h </w:instrText>
        </w:r>
        <w:r w:rsidR="00121437">
          <w:rPr>
            <w:noProof/>
            <w:webHidden/>
          </w:rPr>
        </w:r>
        <w:r w:rsidR="00121437">
          <w:rPr>
            <w:noProof/>
            <w:webHidden/>
          </w:rPr>
          <w:fldChar w:fldCharType="separate"/>
        </w:r>
        <w:r w:rsidR="00121437">
          <w:rPr>
            <w:noProof/>
            <w:webHidden/>
          </w:rPr>
          <w:t>4</w:t>
        </w:r>
        <w:r w:rsidR="00121437">
          <w:rPr>
            <w:noProof/>
            <w:webHidden/>
          </w:rPr>
          <w:fldChar w:fldCharType="end"/>
        </w:r>
      </w:hyperlink>
    </w:p>
    <w:p w14:paraId="697C898F" w14:textId="5C93E33F" w:rsidR="00121437" w:rsidRDefault="00C974E5">
      <w:pPr>
        <w:pStyle w:val="TOC1"/>
        <w:rPr>
          <w:rFonts w:asciiTheme="minorHAnsi" w:hAnsiTheme="minorHAnsi"/>
          <w:noProof/>
          <w:lang w:eastAsia="en-GB"/>
        </w:rPr>
      </w:pPr>
      <w:hyperlink w:anchor="_Toc33776139" w:history="1">
        <w:r w:rsidR="00121437" w:rsidRPr="00CD05B2">
          <w:rPr>
            <w:rStyle w:val="Hyperlink"/>
            <w:noProof/>
          </w:rPr>
          <w:t>Abstract</w:t>
        </w:r>
        <w:r w:rsidR="00121437">
          <w:rPr>
            <w:noProof/>
            <w:webHidden/>
          </w:rPr>
          <w:tab/>
        </w:r>
        <w:r w:rsidR="00121437">
          <w:rPr>
            <w:noProof/>
            <w:webHidden/>
          </w:rPr>
          <w:fldChar w:fldCharType="begin"/>
        </w:r>
        <w:r w:rsidR="00121437">
          <w:rPr>
            <w:noProof/>
            <w:webHidden/>
          </w:rPr>
          <w:instrText xml:space="preserve"> PAGEREF _Toc33776139 \h </w:instrText>
        </w:r>
        <w:r w:rsidR="00121437">
          <w:rPr>
            <w:noProof/>
            <w:webHidden/>
          </w:rPr>
        </w:r>
        <w:r w:rsidR="00121437">
          <w:rPr>
            <w:noProof/>
            <w:webHidden/>
          </w:rPr>
          <w:fldChar w:fldCharType="separate"/>
        </w:r>
        <w:r w:rsidR="00121437">
          <w:rPr>
            <w:noProof/>
            <w:webHidden/>
          </w:rPr>
          <w:t>7</w:t>
        </w:r>
        <w:r w:rsidR="00121437">
          <w:rPr>
            <w:noProof/>
            <w:webHidden/>
          </w:rPr>
          <w:fldChar w:fldCharType="end"/>
        </w:r>
      </w:hyperlink>
    </w:p>
    <w:p w14:paraId="69B62B6F" w14:textId="59D666BF" w:rsidR="00121437" w:rsidRDefault="00C974E5">
      <w:pPr>
        <w:pStyle w:val="TOC1"/>
        <w:rPr>
          <w:rFonts w:asciiTheme="minorHAnsi" w:hAnsiTheme="minorHAnsi"/>
          <w:noProof/>
          <w:lang w:eastAsia="en-GB"/>
        </w:rPr>
      </w:pPr>
      <w:hyperlink w:anchor="_Toc33776140" w:history="1">
        <w:r w:rsidR="00121437" w:rsidRPr="00CD05B2">
          <w:rPr>
            <w:rStyle w:val="Hyperlink"/>
            <w:noProof/>
          </w:rPr>
          <w:t>Scientific Summary</w:t>
        </w:r>
        <w:r w:rsidR="00121437">
          <w:rPr>
            <w:noProof/>
            <w:webHidden/>
          </w:rPr>
          <w:tab/>
        </w:r>
        <w:r w:rsidR="00121437">
          <w:rPr>
            <w:noProof/>
            <w:webHidden/>
          </w:rPr>
          <w:fldChar w:fldCharType="begin"/>
        </w:r>
        <w:r w:rsidR="00121437">
          <w:rPr>
            <w:noProof/>
            <w:webHidden/>
          </w:rPr>
          <w:instrText xml:space="preserve"> PAGEREF _Toc33776140 \h </w:instrText>
        </w:r>
        <w:r w:rsidR="00121437">
          <w:rPr>
            <w:noProof/>
            <w:webHidden/>
          </w:rPr>
        </w:r>
        <w:r w:rsidR="00121437">
          <w:rPr>
            <w:noProof/>
            <w:webHidden/>
          </w:rPr>
          <w:fldChar w:fldCharType="separate"/>
        </w:r>
        <w:r w:rsidR="00121437">
          <w:rPr>
            <w:noProof/>
            <w:webHidden/>
          </w:rPr>
          <w:t>9</w:t>
        </w:r>
        <w:r w:rsidR="00121437">
          <w:rPr>
            <w:noProof/>
            <w:webHidden/>
          </w:rPr>
          <w:fldChar w:fldCharType="end"/>
        </w:r>
      </w:hyperlink>
    </w:p>
    <w:p w14:paraId="0CAD1E2A" w14:textId="1C3C91E6" w:rsidR="00121437" w:rsidRDefault="00C974E5">
      <w:pPr>
        <w:pStyle w:val="TOC1"/>
        <w:rPr>
          <w:rFonts w:asciiTheme="minorHAnsi" w:hAnsiTheme="minorHAnsi"/>
          <w:noProof/>
          <w:lang w:eastAsia="en-GB"/>
        </w:rPr>
      </w:pPr>
      <w:hyperlink w:anchor="_Toc33776141" w:history="1">
        <w:r w:rsidR="00121437" w:rsidRPr="00CD05B2">
          <w:rPr>
            <w:rStyle w:val="Hyperlink"/>
            <w:noProof/>
          </w:rPr>
          <w:t>Plain English summary</w:t>
        </w:r>
        <w:r w:rsidR="00121437">
          <w:rPr>
            <w:noProof/>
            <w:webHidden/>
          </w:rPr>
          <w:tab/>
        </w:r>
        <w:r w:rsidR="00121437">
          <w:rPr>
            <w:noProof/>
            <w:webHidden/>
          </w:rPr>
          <w:fldChar w:fldCharType="begin"/>
        </w:r>
        <w:r w:rsidR="00121437">
          <w:rPr>
            <w:noProof/>
            <w:webHidden/>
          </w:rPr>
          <w:instrText xml:space="preserve"> PAGEREF _Toc33776141 \h </w:instrText>
        </w:r>
        <w:r w:rsidR="00121437">
          <w:rPr>
            <w:noProof/>
            <w:webHidden/>
          </w:rPr>
        </w:r>
        <w:r w:rsidR="00121437">
          <w:rPr>
            <w:noProof/>
            <w:webHidden/>
          </w:rPr>
          <w:fldChar w:fldCharType="separate"/>
        </w:r>
        <w:r w:rsidR="00121437">
          <w:rPr>
            <w:noProof/>
            <w:webHidden/>
          </w:rPr>
          <w:t>16</w:t>
        </w:r>
        <w:r w:rsidR="00121437">
          <w:rPr>
            <w:noProof/>
            <w:webHidden/>
          </w:rPr>
          <w:fldChar w:fldCharType="end"/>
        </w:r>
      </w:hyperlink>
    </w:p>
    <w:p w14:paraId="686AE6C1" w14:textId="6CF22759" w:rsidR="00121437" w:rsidRDefault="00C974E5">
      <w:pPr>
        <w:pStyle w:val="TOC1"/>
        <w:rPr>
          <w:rFonts w:asciiTheme="minorHAnsi" w:hAnsiTheme="minorHAnsi"/>
          <w:noProof/>
          <w:lang w:eastAsia="en-GB"/>
        </w:rPr>
      </w:pPr>
      <w:hyperlink w:anchor="_Toc33776142" w:history="1">
        <w:r w:rsidR="00121437" w:rsidRPr="00CD05B2">
          <w:rPr>
            <w:rStyle w:val="Hyperlink"/>
            <w:noProof/>
          </w:rPr>
          <w:t>Table of Contents</w:t>
        </w:r>
        <w:r w:rsidR="00121437">
          <w:rPr>
            <w:noProof/>
            <w:webHidden/>
          </w:rPr>
          <w:tab/>
        </w:r>
        <w:r w:rsidR="00121437">
          <w:rPr>
            <w:noProof/>
            <w:webHidden/>
          </w:rPr>
          <w:fldChar w:fldCharType="begin"/>
        </w:r>
        <w:r w:rsidR="00121437">
          <w:rPr>
            <w:noProof/>
            <w:webHidden/>
          </w:rPr>
          <w:instrText xml:space="preserve"> PAGEREF _Toc33776142 \h </w:instrText>
        </w:r>
        <w:r w:rsidR="00121437">
          <w:rPr>
            <w:noProof/>
            <w:webHidden/>
          </w:rPr>
        </w:r>
        <w:r w:rsidR="00121437">
          <w:rPr>
            <w:noProof/>
            <w:webHidden/>
          </w:rPr>
          <w:fldChar w:fldCharType="separate"/>
        </w:r>
        <w:r w:rsidR="00121437">
          <w:rPr>
            <w:noProof/>
            <w:webHidden/>
          </w:rPr>
          <w:t>17</w:t>
        </w:r>
        <w:r w:rsidR="00121437">
          <w:rPr>
            <w:noProof/>
            <w:webHidden/>
          </w:rPr>
          <w:fldChar w:fldCharType="end"/>
        </w:r>
      </w:hyperlink>
    </w:p>
    <w:p w14:paraId="68236E7A" w14:textId="30A80C18" w:rsidR="00121437" w:rsidRDefault="00C974E5">
      <w:pPr>
        <w:pStyle w:val="TOC1"/>
        <w:rPr>
          <w:rFonts w:asciiTheme="minorHAnsi" w:hAnsiTheme="minorHAnsi"/>
          <w:noProof/>
          <w:lang w:eastAsia="en-GB"/>
        </w:rPr>
      </w:pPr>
      <w:hyperlink w:anchor="_Toc33776143" w:history="1">
        <w:r w:rsidR="00121437" w:rsidRPr="00CD05B2">
          <w:rPr>
            <w:rStyle w:val="Hyperlink"/>
            <w:noProof/>
            <w:lang w:bidi="en-US"/>
          </w:rPr>
          <w:t>Table of Tables</w:t>
        </w:r>
        <w:r w:rsidR="00121437">
          <w:rPr>
            <w:noProof/>
            <w:webHidden/>
          </w:rPr>
          <w:tab/>
        </w:r>
        <w:r w:rsidR="00121437">
          <w:rPr>
            <w:noProof/>
            <w:webHidden/>
          </w:rPr>
          <w:fldChar w:fldCharType="begin"/>
        </w:r>
        <w:r w:rsidR="00121437">
          <w:rPr>
            <w:noProof/>
            <w:webHidden/>
          </w:rPr>
          <w:instrText xml:space="preserve"> PAGEREF _Toc33776143 \h </w:instrText>
        </w:r>
        <w:r w:rsidR="00121437">
          <w:rPr>
            <w:noProof/>
            <w:webHidden/>
          </w:rPr>
        </w:r>
        <w:r w:rsidR="00121437">
          <w:rPr>
            <w:noProof/>
            <w:webHidden/>
          </w:rPr>
          <w:fldChar w:fldCharType="separate"/>
        </w:r>
        <w:r w:rsidR="00121437">
          <w:rPr>
            <w:noProof/>
            <w:webHidden/>
          </w:rPr>
          <w:t>21</w:t>
        </w:r>
        <w:r w:rsidR="00121437">
          <w:rPr>
            <w:noProof/>
            <w:webHidden/>
          </w:rPr>
          <w:fldChar w:fldCharType="end"/>
        </w:r>
      </w:hyperlink>
    </w:p>
    <w:p w14:paraId="32521B88" w14:textId="175FE7E1" w:rsidR="00121437" w:rsidRDefault="00C974E5">
      <w:pPr>
        <w:pStyle w:val="TOC1"/>
        <w:rPr>
          <w:rFonts w:asciiTheme="minorHAnsi" w:hAnsiTheme="minorHAnsi"/>
          <w:noProof/>
          <w:lang w:eastAsia="en-GB"/>
        </w:rPr>
      </w:pPr>
      <w:hyperlink w:anchor="_Toc33776144" w:history="1">
        <w:r w:rsidR="00121437" w:rsidRPr="00CD05B2">
          <w:rPr>
            <w:rStyle w:val="Hyperlink"/>
            <w:noProof/>
            <w:lang w:bidi="en-US"/>
          </w:rPr>
          <w:t>Table of Figures</w:t>
        </w:r>
        <w:r w:rsidR="00121437">
          <w:rPr>
            <w:noProof/>
            <w:webHidden/>
          </w:rPr>
          <w:tab/>
        </w:r>
        <w:r w:rsidR="00121437">
          <w:rPr>
            <w:noProof/>
            <w:webHidden/>
          </w:rPr>
          <w:fldChar w:fldCharType="begin"/>
        </w:r>
        <w:r w:rsidR="00121437">
          <w:rPr>
            <w:noProof/>
            <w:webHidden/>
          </w:rPr>
          <w:instrText xml:space="preserve"> PAGEREF _Toc33776144 \h </w:instrText>
        </w:r>
        <w:r w:rsidR="00121437">
          <w:rPr>
            <w:noProof/>
            <w:webHidden/>
          </w:rPr>
        </w:r>
        <w:r w:rsidR="00121437">
          <w:rPr>
            <w:noProof/>
            <w:webHidden/>
          </w:rPr>
          <w:fldChar w:fldCharType="separate"/>
        </w:r>
        <w:r w:rsidR="00121437">
          <w:rPr>
            <w:noProof/>
            <w:webHidden/>
          </w:rPr>
          <w:t>23</w:t>
        </w:r>
        <w:r w:rsidR="00121437">
          <w:rPr>
            <w:noProof/>
            <w:webHidden/>
          </w:rPr>
          <w:fldChar w:fldCharType="end"/>
        </w:r>
      </w:hyperlink>
    </w:p>
    <w:p w14:paraId="12F708C0" w14:textId="5A0F9645" w:rsidR="00121437" w:rsidRDefault="00C974E5">
      <w:pPr>
        <w:pStyle w:val="TOC1"/>
        <w:rPr>
          <w:rFonts w:asciiTheme="minorHAnsi" w:hAnsiTheme="minorHAnsi"/>
          <w:noProof/>
          <w:lang w:eastAsia="en-GB"/>
        </w:rPr>
      </w:pPr>
      <w:hyperlink w:anchor="_Toc33776145" w:history="1">
        <w:r w:rsidR="00121437" w:rsidRPr="00CD05B2">
          <w:rPr>
            <w:rStyle w:val="Hyperlink"/>
            <w:noProof/>
          </w:rPr>
          <w:t>1</w:t>
        </w:r>
        <w:r w:rsidR="00121437">
          <w:rPr>
            <w:rFonts w:asciiTheme="minorHAnsi" w:hAnsiTheme="minorHAnsi"/>
            <w:noProof/>
            <w:lang w:eastAsia="en-GB"/>
          </w:rPr>
          <w:tab/>
        </w:r>
        <w:r w:rsidR="00121437" w:rsidRPr="00CD05B2">
          <w:rPr>
            <w:rStyle w:val="Hyperlink"/>
            <w:noProof/>
          </w:rPr>
          <w:t>Background</w:t>
        </w:r>
        <w:r w:rsidR="00121437">
          <w:rPr>
            <w:noProof/>
            <w:webHidden/>
          </w:rPr>
          <w:tab/>
        </w:r>
        <w:r w:rsidR="00121437">
          <w:rPr>
            <w:noProof/>
            <w:webHidden/>
          </w:rPr>
          <w:fldChar w:fldCharType="begin"/>
        </w:r>
        <w:r w:rsidR="00121437">
          <w:rPr>
            <w:noProof/>
            <w:webHidden/>
          </w:rPr>
          <w:instrText xml:space="preserve"> PAGEREF _Toc33776145 \h </w:instrText>
        </w:r>
        <w:r w:rsidR="00121437">
          <w:rPr>
            <w:noProof/>
            <w:webHidden/>
          </w:rPr>
        </w:r>
        <w:r w:rsidR="00121437">
          <w:rPr>
            <w:noProof/>
            <w:webHidden/>
          </w:rPr>
          <w:fldChar w:fldCharType="separate"/>
        </w:r>
        <w:r w:rsidR="00121437">
          <w:rPr>
            <w:noProof/>
            <w:webHidden/>
          </w:rPr>
          <w:t>24</w:t>
        </w:r>
        <w:r w:rsidR="00121437">
          <w:rPr>
            <w:noProof/>
            <w:webHidden/>
          </w:rPr>
          <w:fldChar w:fldCharType="end"/>
        </w:r>
      </w:hyperlink>
    </w:p>
    <w:p w14:paraId="2A176726" w14:textId="532D151F" w:rsidR="00121437" w:rsidRDefault="00C974E5">
      <w:pPr>
        <w:pStyle w:val="TOC2"/>
        <w:rPr>
          <w:rFonts w:asciiTheme="minorHAnsi" w:hAnsiTheme="minorHAnsi"/>
          <w:noProof/>
          <w:lang w:eastAsia="en-GB"/>
        </w:rPr>
      </w:pPr>
      <w:hyperlink w:anchor="_Toc33776146" w:history="1">
        <w:r w:rsidR="00121437" w:rsidRPr="00CD05B2">
          <w:rPr>
            <w:rStyle w:val="Hyperlink"/>
            <w:noProof/>
          </w:rPr>
          <w:t>1.1</w:t>
        </w:r>
        <w:r w:rsidR="00121437">
          <w:rPr>
            <w:rFonts w:asciiTheme="minorHAnsi" w:hAnsiTheme="minorHAnsi"/>
            <w:noProof/>
            <w:lang w:eastAsia="en-GB"/>
          </w:rPr>
          <w:tab/>
        </w:r>
        <w:r w:rsidR="00121437" w:rsidRPr="00CD05B2">
          <w:rPr>
            <w:rStyle w:val="Hyperlink"/>
            <w:noProof/>
          </w:rPr>
          <w:t>Aims and objectives</w:t>
        </w:r>
        <w:r w:rsidR="00121437">
          <w:rPr>
            <w:noProof/>
            <w:webHidden/>
          </w:rPr>
          <w:tab/>
        </w:r>
        <w:r w:rsidR="00121437">
          <w:rPr>
            <w:noProof/>
            <w:webHidden/>
          </w:rPr>
          <w:fldChar w:fldCharType="begin"/>
        </w:r>
        <w:r w:rsidR="00121437">
          <w:rPr>
            <w:noProof/>
            <w:webHidden/>
          </w:rPr>
          <w:instrText xml:space="preserve"> PAGEREF _Toc33776146 \h </w:instrText>
        </w:r>
        <w:r w:rsidR="00121437">
          <w:rPr>
            <w:noProof/>
            <w:webHidden/>
          </w:rPr>
        </w:r>
        <w:r w:rsidR="00121437">
          <w:rPr>
            <w:noProof/>
            <w:webHidden/>
          </w:rPr>
          <w:fldChar w:fldCharType="separate"/>
        </w:r>
        <w:r w:rsidR="00121437">
          <w:rPr>
            <w:noProof/>
            <w:webHidden/>
          </w:rPr>
          <w:t>24</w:t>
        </w:r>
        <w:r w:rsidR="00121437">
          <w:rPr>
            <w:noProof/>
            <w:webHidden/>
          </w:rPr>
          <w:fldChar w:fldCharType="end"/>
        </w:r>
      </w:hyperlink>
    </w:p>
    <w:p w14:paraId="5EDCD586" w14:textId="7FF8EDF4" w:rsidR="00121437" w:rsidRDefault="00C974E5">
      <w:pPr>
        <w:pStyle w:val="TOC1"/>
        <w:rPr>
          <w:rFonts w:asciiTheme="minorHAnsi" w:hAnsiTheme="minorHAnsi"/>
          <w:noProof/>
          <w:lang w:eastAsia="en-GB"/>
        </w:rPr>
      </w:pPr>
      <w:hyperlink w:anchor="_Toc33776147" w:history="1">
        <w:r w:rsidR="00121437" w:rsidRPr="00CD05B2">
          <w:rPr>
            <w:rStyle w:val="Hyperlink"/>
            <w:noProof/>
          </w:rPr>
          <w:t>2</w:t>
        </w:r>
        <w:r w:rsidR="00121437">
          <w:rPr>
            <w:rFonts w:asciiTheme="minorHAnsi" w:hAnsiTheme="minorHAnsi"/>
            <w:noProof/>
            <w:lang w:eastAsia="en-GB"/>
          </w:rPr>
          <w:tab/>
        </w:r>
        <w:r w:rsidR="00121437" w:rsidRPr="00CD05B2">
          <w:rPr>
            <w:rStyle w:val="Hyperlink"/>
            <w:noProof/>
          </w:rPr>
          <w:t>A review of FDA and EMA documents relating to regulatory issues and benefit-risk approaches relevant for histology-independent indications</w:t>
        </w:r>
        <w:r w:rsidR="00121437">
          <w:rPr>
            <w:noProof/>
            <w:webHidden/>
          </w:rPr>
          <w:tab/>
        </w:r>
        <w:r w:rsidR="00121437">
          <w:rPr>
            <w:noProof/>
            <w:webHidden/>
          </w:rPr>
          <w:fldChar w:fldCharType="begin"/>
        </w:r>
        <w:r w:rsidR="00121437">
          <w:rPr>
            <w:noProof/>
            <w:webHidden/>
          </w:rPr>
          <w:instrText xml:space="preserve"> PAGEREF _Toc33776147 \h </w:instrText>
        </w:r>
        <w:r w:rsidR="00121437">
          <w:rPr>
            <w:noProof/>
            <w:webHidden/>
          </w:rPr>
        </w:r>
        <w:r w:rsidR="00121437">
          <w:rPr>
            <w:noProof/>
            <w:webHidden/>
          </w:rPr>
          <w:fldChar w:fldCharType="separate"/>
        </w:r>
        <w:r w:rsidR="00121437">
          <w:rPr>
            <w:noProof/>
            <w:webHidden/>
          </w:rPr>
          <w:t>26</w:t>
        </w:r>
        <w:r w:rsidR="00121437">
          <w:rPr>
            <w:noProof/>
            <w:webHidden/>
          </w:rPr>
          <w:fldChar w:fldCharType="end"/>
        </w:r>
      </w:hyperlink>
    </w:p>
    <w:p w14:paraId="58F862C6" w14:textId="3C6E086A" w:rsidR="00121437" w:rsidRDefault="00C974E5">
      <w:pPr>
        <w:pStyle w:val="TOC2"/>
        <w:rPr>
          <w:rFonts w:asciiTheme="minorHAnsi" w:hAnsiTheme="minorHAnsi"/>
          <w:noProof/>
          <w:lang w:eastAsia="en-GB"/>
        </w:rPr>
      </w:pPr>
      <w:hyperlink w:anchor="_Toc33776148" w:history="1">
        <w:r w:rsidR="00121437" w:rsidRPr="00CD05B2">
          <w:rPr>
            <w:rStyle w:val="Hyperlink"/>
            <w:noProof/>
          </w:rPr>
          <w:t>2.1</w:t>
        </w:r>
        <w:r w:rsidR="00121437">
          <w:rPr>
            <w:rFonts w:asciiTheme="minorHAnsi" w:hAnsiTheme="minorHAnsi"/>
            <w:noProof/>
            <w:lang w:eastAsia="en-GB"/>
          </w:rPr>
          <w:tab/>
        </w:r>
        <w:r w:rsidR="00121437" w:rsidRPr="00CD05B2">
          <w:rPr>
            <w:rStyle w:val="Hyperlink"/>
            <w:noProof/>
          </w:rPr>
          <w:t>FDA Guidance for histology-independent products</w:t>
        </w:r>
        <w:r w:rsidR="00121437">
          <w:rPr>
            <w:noProof/>
            <w:webHidden/>
          </w:rPr>
          <w:tab/>
        </w:r>
        <w:r w:rsidR="00121437">
          <w:rPr>
            <w:noProof/>
            <w:webHidden/>
          </w:rPr>
          <w:fldChar w:fldCharType="begin"/>
        </w:r>
        <w:r w:rsidR="00121437">
          <w:rPr>
            <w:noProof/>
            <w:webHidden/>
          </w:rPr>
          <w:instrText xml:space="preserve"> PAGEREF _Toc33776148 \h </w:instrText>
        </w:r>
        <w:r w:rsidR="00121437">
          <w:rPr>
            <w:noProof/>
            <w:webHidden/>
          </w:rPr>
        </w:r>
        <w:r w:rsidR="00121437">
          <w:rPr>
            <w:noProof/>
            <w:webHidden/>
          </w:rPr>
          <w:fldChar w:fldCharType="separate"/>
        </w:r>
        <w:r w:rsidR="00121437">
          <w:rPr>
            <w:noProof/>
            <w:webHidden/>
          </w:rPr>
          <w:t>26</w:t>
        </w:r>
        <w:r w:rsidR="00121437">
          <w:rPr>
            <w:noProof/>
            <w:webHidden/>
          </w:rPr>
          <w:fldChar w:fldCharType="end"/>
        </w:r>
      </w:hyperlink>
    </w:p>
    <w:p w14:paraId="4BF231C0" w14:textId="1EC02DB2" w:rsidR="00121437" w:rsidRDefault="00C974E5">
      <w:pPr>
        <w:pStyle w:val="TOC2"/>
        <w:rPr>
          <w:rFonts w:asciiTheme="minorHAnsi" w:hAnsiTheme="minorHAnsi"/>
          <w:noProof/>
          <w:lang w:eastAsia="en-GB"/>
        </w:rPr>
      </w:pPr>
      <w:hyperlink w:anchor="_Toc33776149" w:history="1">
        <w:r w:rsidR="00121437" w:rsidRPr="00CD05B2">
          <w:rPr>
            <w:rStyle w:val="Hyperlink"/>
            <w:noProof/>
          </w:rPr>
          <w:t>2.2</w:t>
        </w:r>
        <w:r w:rsidR="00121437">
          <w:rPr>
            <w:rFonts w:asciiTheme="minorHAnsi" w:hAnsiTheme="minorHAnsi"/>
            <w:noProof/>
            <w:lang w:eastAsia="en-GB"/>
          </w:rPr>
          <w:tab/>
        </w:r>
        <w:r w:rsidR="00121437" w:rsidRPr="00CD05B2">
          <w:rPr>
            <w:rStyle w:val="Hyperlink"/>
            <w:noProof/>
          </w:rPr>
          <w:t>FDA special approval processes</w:t>
        </w:r>
        <w:r w:rsidR="00121437">
          <w:rPr>
            <w:noProof/>
            <w:webHidden/>
          </w:rPr>
          <w:tab/>
        </w:r>
        <w:r w:rsidR="00121437">
          <w:rPr>
            <w:noProof/>
            <w:webHidden/>
          </w:rPr>
          <w:fldChar w:fldCharType="begin"/>
        </w:r>
        <w:r w:rsidR="00121437">
          <w:rPr>
            <w:noProof/>
            <w:webHidden/>
          </w:rPr>
          <w:instrText xml:space="preserve"> PAGEREF _Toc33776149 \h </w:instrText>
        </w:r>
        <w:r w:rsidR="00121437">
          <w:rPr>
            <w:noProof/>
            <w:webHidden/>
          </w:rPr>
        </w:r>
        <w:r w:rsidR="00121437">
          <w:rPr>
            <w:noProof/>
            <w:webHidden/>
          </w:rPr>
          <w:fldChar w:fldCharType="separate"/>
        </w:r>
        <w:r w:rsidR="00121437">
          <w:rPr>
            <w:noProof/>
            <w:webHidden/>
          </w:rPr>
          <w:t>29</w:t>
        </w:r>
        <w:r w:rsidR="00121437">
          <w:rPr>
            <w:noProof/>
            <w:webHidden/>
          </w:rPr>
          <w:fldChar w:fldCharType="end"/>
        </w:r>
      </w:hyperlink>
    </w:p>
    <w:p w14:paraId="256B7B34" w14:textId="4932B182" w:rsidR="00121437" w:rsidRDefault="00C974E5">
      <w:pPr>
        <w:pStyle w:val="TOC2"/>
        <w:rPr>
          <w:rFonts w:asciiTheme="minorHAnsi" w:hAnsiTheme="minorHAnsi"/>
          <w:noProof/>
          <w:lang w:eastAsia="en-GB"/>
        </w:rPr>
      </w:pPr>
      <w:hyperlink w:anchor="_Toc33776150" w:history="1">
        <w:r w:rsidR="00121437" w:rsidRPr="00CD05B2">
          <w:rPr>
            <w:rStyle w:val="Hyperlink"/>
            <w:noProof/>
          </w:rPr>
          <w:t>2.3</w:t>
        </w:r>
        <w:r w:rsidR="00121437">
          <w:rPr>
            <w:rFonts w:asciiTheme="minorHAnsi" w:hAnsiTheme="minorHAnsi"/>
            <w:noProof/>
            <w:lang w:eastAsia="en-GB"/>
          </w:rPr>
          <w:tab/>
        </w:r>
        <w:r w:rsidR="00121437" w:rsidRPr="00CD05B2">
          <w:rPr>
            <w:rStyle w:val="Hyperlink"/>
            <w:noProof/>
          </w:rPr>
          <w:t>FDA review of histology-independent products</w:t>
        </w:r>
        <w:r w:rsidR="00121437">
          <w:rPr>
            <w:noProof/>
            <w:webHidden/>
          </w:rPr>
          <w:tab/>
        </w:r>
        <w:r w:rsidR="00121437">
          <w:rPr>
            <w:noProof/>
            <w:webHidden/>
          </w:rPr>
          <w:fldChar w:fldCharType="begin"/>
        </w:r>
        <w:r w:rsidR="00121437">
          <w:rPr>
            <w:noProof/>
            <w:webHidden/>
          </w:rPr>
          <w:instrText xml:space="preserve"> PAGEREF _Toc33776150 \h </w:instrText>
        </w:r>
        <w:r w:rsidR="00121437">
          <w:rPr>
            <w:noProof/>
            <w:webHidden/>
          </w:rPr>
        </w:r>
        <w:r w:rsidR="00121437">
          <w:rPr>
            <w:noProof/>
            <w:webHidden/>
          </w:rPr>
          <w:fldChar w:fldCharType="separate"/>
        </w:r>
        <w:r w:rsidR="00121437">
          <w:rPr>
            <w:noProof/>
            <w:webHidden/>
          </w:rPr>
          <w:t>29</w:t>
        </w:r>
        <w:r w:rsidR="00121437">
          <w:rPr>
            <w:noProof/>
            <w:webHidden/>
          </w:rPr>
          <w:fldChar w:fldCharType="end"/>
        </w:r>
      </w:hyperlink>
    </w:p>
    <w:p w14:paraId="27623550" w14:textId="399D3DBB" w:rsidR="00121437" w:rsidRDefault="00C974E5">
      <w:pPr>
        <w:pStyle w:val="TOC3"/>
        <w:rPr>
          <w:rFonts w:asciiTheme="minorHAnsi" w:hAnsiTheme="minorHAnsi"/>
          <w:noProof/>
          <w:lang w:eastAsia="en-GB"/>
        </w:rPr>
      </w:pPr>
      <w:hyperlink w:anchor="_Toc33776151" w:history="1">
        <w:r w:rsidR="00121437" w:rsidRPr="00CD05B2">
          <w:rPr>
            <w:rStyle w:val="Hyperlink"/>
            <w:noProof/>
          </w:rPr>
          <w:t>2.3.1</w:t>
        </w:r>
        <w:r w:rsidR="00121437">
          <w:rPr>
            <w:rFonts w:asciiTheme="minorHAnsi" w:hAnsiTheme="minorHAnsi"/>
            <w:noProof/>
            <w:lang w:eastAsia="en-GB"/>
          </w:rPr>
          <w:tab/>
        </w:r>
        <w:r w:rsidR="00121437" w:rsidRPr="00CD05B2">
          <w:rPr>
            <w:rStyle w:val="Hyperlink"/>
            <w:noProof/>
          </w:rPr>
          <w:t>FDA review of pembrolizumab</w:t>
        </w:r>
        <w:r w:rsidR="00121437">
          <w:rPr>
            <w:noProof/>
            <w:webHidden/>
          </w:rPr>
          <w:tab/>
        </w:r>
        <w:r w:rsidR="00121437">
          <w:rPr>
            <w:noProof/>
            <w:webHidden/>
          </w:rPr>
          <w:fldChar w:fldCharType="begin"/>
        </w:r>
        <w:r w:rsidR="00121437">
          <w:rPr>
            <w:noProof/>
            <w:webHidden/>
          </w:rPr>
          <w:instrText xml:space="preserve"> PAGEREF _Toc33776151 \h </w:instrText>
        </w:r>
        <w:r w:rsidR="00121437">
          <w:rPr>
            <w:noProof/>
            <w:webHidden/>
          </w:rPr>
        </w:r>
        <w:r w:rsidR="00121437">
          <w:rPr>
            <w:noProof/>
            <w:webHidden/>
          </w:rPr>
          <w:fldChar w:fldCharType="separate"/>
        </w:r>
        <w:r w:rsidR="00121437">
          <w:rPr>
            <w:noProof/>
            <w:webHidden/>
          </w:rPr>
          <w:t>29</w:t>
        </w:r>
        <w:r w:rsidR="00121437">
          <w:rPr>
            <w:noProof/>
            <w:webHidden/>
          </w:rPr>
          <w:fldChar w:fldCharType="end"/>
        </w:r>
      </w:hyperlink>
    </w:p>
    <w:p w14:paraId="7DA3F31C" w14:textId="5B15056F" w:rsidR="00121437" w:rsidRDefault="00C974E5">
      <w:pPr>
        <w:pStyle w:val="TOC3"/>
        <w:rPr>
          <w:rFonts w:asciiTheme="minorHAnsi" w:hAnsiTheme="minorHAnsi"/>
          <w:noProof/>
          <w:lang w:eastAsia="en-GB"/>
        </w:rPr>
      </w:pPr>
      <w:hyperlink w:anchor="_Toc33776152" w:history="1">
        <w:r w:rsidR="00121437" w:rsidRPr="00CD05B2">
          <w:rPr>
            <w:rStyle w:val="Hyperlink"/>
            <w:noProof/>
          </w:rPr>
          <w:t>2.3.2</w:t>
        </w:r>
        <w:r w:rsidR="00121437">
          <w:rPr>
            <w:rFonts w:asciiTheme="minorHAnsi" w:hAnsiTheme="minorHAnsi"/>
            <w:noProof/>
            <w:lang w:eastAsia="en-GB"/>
          </w:rPr>
          <w:tab/>
        </w:r>
        <w:r w:rsidR="00121437" w:rsidRPr="00CD05B2">
          <w:rPr>
            <w:rStyle w:val="Hyperlink"/>
            <w:noProof/>
          </w:rPr>
          <w:t>FDA review of larotrectinib</w:t>
        </w:r>
        <w:r w:rsidR="00121437">
          <w:rPr>
            <w:noProof/>
            <w:webHidden/>
          </w:rPr>
          <w:tab/>
        </w:r>
        <w:r w:rsidR="00121437">
          <w:rPr>
            <w:noProof/>
            <w:webHidden/>
          </w:rPr>
          <w:fldChar w:fldCharType="begin"/>
        </w:r>
        <w:r w:rsidR="00121437">
          <w:rPr>
            <w:noProof/>
            <w:webHidden/>
          </w:rPr>
          <w:instrText xml:space="preserve"> PAGEREF _Toc33776152 \h </w:instrText>
        </w:r>
        <w:r w:rsidR="00121437">
          <w:rPr>
            <w:noProof/>
            <w:webHidden/>
          </w:rPr>
        </w:r>
        <w:r w:rsidR="00121437">
          <w:rPr>
            <w:noProof/>
            <w:webHidden/>
          </w:rPr>
          <w:fldChar w:fldCharType="separate"/>
        </w:r>
        <w:r w:rsidR="00121437">
          <w:rPr>
            <w:noProof/>
            <w:webHidden/>
          </w:rPr>
          <w:t>31</w:t>
        </w:r>
        <w:r w:rsidR="00121437">
          <w:rPr>
            <w:noProof/>
            <w:webHidden/>
          </w:rPr>
          <w:fldChar w:fldCharType="end"/>
        </w:r>
      </w:hyperlink>
    </w:p>
    <w:p w14:paraId="15B26A17" w14:textId="2D2C20C9" w:rsidR="00121437" w:rsidRDefault="00C974E5">
      <w:pPr>
        <w:pStyle w:val="TOC3"/>
        <w:rPr>
          <w:rFonts w:asciiTheme="minorHAnsi" w:hAnsiTheme="minorHAnsi"/>
          <w:noProof/>
          <w:lang w:eastAsia="en-GB"/>
        </w:rPr>
      </w:pPr>
      <w:hyperlink w:anchor="_Toc33776153" w:history="1">
        <w:r w:rsidR="00121437" w:rsidRPr="00CD05B2">
          <w:rPr>
            <w:rStyle w:val="Hyperlink"/>
            <w:noProof/>
          </w:rPr>
          <w:t>2.3.3</w:t>
        </w:r>
        <w:r w:rsidR="00121437">
          <w:rPr>
            <w:rFonts w:asciiTheme="minorHAnsi" w:hAnsiTheme="minorHAnsi"/>
            <w:noProof/>
            <w:lang w:eastAsia="en-GB"/>
          </w:rPr>
          <w:tab/>
        </w:r>
        <w:r w:rsidR="00121437" w:rsidRPr="00CD05B2">
          <w:rPr>
            <w:rStyle w:val="Hyperlink"/>
            <w:noProof/>
          </w:rPr>
          <w:t>FDA review of entrectinib</w:t>
        </w:r>
        <w:r w:rsidR="00121437">
          <w:rPr>
            <w:noProof/>
            <w:webHidden/>
          </w:rPr>
          <w:tab/>
        </w:r>
        <w:r w:rsidR="00121437">
          <w:rPr>
            <w:noProof/>
            <w:webHidden/>
          </w:rPr>
          <w:fldChar w:fldCharType="begin"/>
        </w:r>
        <w:r w:rsidR="00121437">
          <w:rPr>
            <w:noProof/>
            <w:webHidden/>
          </w:rPr>
          <w:instrText xml:space="preserve"> PAGEREF _Toc33776153 \h </w:instrText>
        </w:r>
        <w:r w:rsidR="00121437">
          <w:rPr>
            <w:noProof/>
            <w:webHidden/>
          </w:rPr>
        </w:r>
        <w:r w:rsidR="00121437">
          <w:rPr>
            <w:noProof/>
            <w:webHidden/>
          </w:rPr>
          <w:fldChar w:fldCharType="separate"/>
        </w:r>
        <w:r w:rsidR="00121437">
          <w:rPr>
            <w:noProof/>
            <w:webHidden/>
          </w:rPr>
          <w:t>34</w:t>
        </w:r>
        <w:r w:rsidR="00121437">
          <w:rPr>
            <w:noProof/>
            <w:webHidden/>
          </w:rPr>
          <w:fldChar w:fldCharType="end"/>
        </w:r>
      </w:hyperlink>
    </w:p>
    <w:p w14:paraId="789CC400" w14:textId="3EA20F7B" w:rsidR="00121437" w:rsidRDefault="00C974E5">
      <w:pPr>
        <w:pStyle w:val="TOC2"/>
        <w:rPr>
          <w:rFonts w:asciiTheme="minorHAnsi" w:hAnsiTheme="minorHAnsi"/>
          <w:noProof/>
          <w:lang w:eastAsia="en-GB"/>
        </w:rPr>
      </w:pPr>
      <w:hyperlink w:anchor="_Toc33776154" w:history="1">
        <w:r w:rsidR="00121437" w:rsidRPr="00CD05B2">
          <w:rPr>
            <w:rStyle w:val="Hyperlink"/>
            <w:noProof/>
          </w:rPr>
          <w:t>2.4</w:t>
        </w:r>
        <w:r w:rsidR="00121437">
          <w:rPr>
            <w:rFonts w:asciiTheme="minorHAnsi" w:hAnsiTheme="minorHAnsi"/>
            <w:noProof/>
            <w:lang w:eastAsia="en-GB"/>
          </w:rPr>
          <w:tab/>
        </w:r>
        <w:r w:rsidR="00121437" w:rsidRPr="00CD05B2">
          <w:rPr>
            <w:rStyle w:val="Hyperlink"/>
            <w:noProof/>
          </w:rPr>
          <w:t>EMA guidance for histology-independent products</w:t>
        </w:r>
        <w:r w:rsidR="00121437">
          <w:rPr>
            <w:noProof/>
            <w:webHidden/>
          </w:rPr>
          <w:tab/>
        </w:r>
        <w:r w:rsidR="00121437">
          <w:rPr>
            <w:noProof/>
            <w:webHidden/>
          </w:rPr>
          <w:fldChar w:fldCharType="begin"/>
        </w:r>
        <w:r w:rsidR="00121437">
          <w:rPr>
            <w:noProof/>
            <w:webHidden/>
          </w:rPr>
          <w:instrText xml:space="preserve"> PAGEREF _Toc33776154 \h </w:instrText>
        </w:r>
        <w:r w:rsidR="00121437">
          <w:rPr>
            <w:noProof/>
            <w:webHidden/>
          </w:rPr>
        </w:r>
        <w:r w:rsidR="00121437">
          <w:rPr>
            <w:noProof/>
            <w:webHidden/>
          </w:rPr>
          <w:fldChar w:fldCharType="separate"/>
        </w:r>
        <w:r w:rsidR="00121437">
          <w:rPr>
            <w:noProof/>
            <w:webHidden/>
          </w:rPr>
          <w:t>36</w:t>
        </w:r>
        <w:r w:rsidR="00121437">
          <w:rPr>
            <w:noProof/>
            <w:webHidden/>
          </w:rPr>
          <w:fldChar w:fldCharType="end"/>
        </w:r>
      </w:hyperlink>
    </w:p>
    <w:p w14:paraId="3118376D" w14:textId="1F9096E3" w:rsidR="00121437" w:rsidRDefault="00C974E5">
      <w:pPr>
        <w:pStyle w:val="TOC2"/>
        <w:rPr>
          <w:rFonts w:asciiTheme="minorHAnsi" w:hAnsiTheme="minorHAnsi"/>
          <w:noProof/>
          <w:lang w:eastAsia="en-GB"/>
        </w:rPr>
      </w:pPr>
      <w:hyperlink w:anchor="_Toc33776155" w:history="1">
        <w:r w:rsidR="00121437" w:rsidRPr="00CD05B2">
          <w:rPr>
            <w:rStyle w:val="Hyperlink"/>
            <w:noProof/>
          </w:rPr>
          <w:t>2.5</w:t>
        </w:r>
        <w:r w:rsidR="00121437">
          <w:rPr>
            <w:rFonts w:asciiTheme="minorHAnsi" w:hAnsiTheme="minorHAnsi"/>
            <w:noProof/>
            <w:lang w:eastAsia="en-GB"/>
          </w:rPr>
          <w:tab/>
        </w:r>
        <w:r w:rsidR="00121437" w:rsidRPr="00CD05B2">
          <w:rPr>
            <w:rStyle w:val="Hyperlink"/>
            <w:noProof/>
          </w:rPr>
          <w:t>EMA special approval processes</w:t>
        </w:r>
        <w:r w:rsidR="00121437">
          <w:rPr>
            <w:noProof/>
            <w:webHidden/>
          </w:rPr>
          <w:tab/>
        </w:r>
        <w:r w:rsidR="00121437">
          <w:rPr>
            <w:noProof/>
            <w:webHidden/>
          </w:rPr>
          <w:fldChar w:fldCharType="begin"/>
        </w:r>
        <w:r w:rsidR="00121437">
          <w:rPr>
            <w:noProof/>
            <w:webHidden/>
          </w:rPr>
          <w:instrText xml:space="preserve"> PAGEREF _Toc33776155 \h </w:instrText>
        </w:r>
        <w:r w:rsidR="00121437">
          <w:rPr>
            <w:noProof/>
            <w:webHidden/>
          </w:rPr>
        </w:r>
        <w:r w:rsidR="00121437">
          <w:rPr>
            <w:noProof/>
            <w:webHidden/>
          </w:rPr>
          <w:fldChar w:fldCharType="separate"/>
        </w:r>
        <w:r w:rsidR="00121437">
          <w:rPr>
            <w:noProof/>
            <w:webHidden/>
          </w:rPr>
          <w:t>36</w:t>
        </w:r>
        <w:r w:rsidR="00121437">
          <w:rPr>
            <w:noProof/>
            <w:webHidden/>
          </w:rPr>
          <w:fldChar w:fldCharType="end"/>
        </w:r>
      </w:hyperlink>
    </w:p>
    <w:p w14:paraId="09131B28" w14:textId="1ED30728" w:rsidR="00121437" w:rsidRDefault="00C974E5">
      <w:pPr>
        <w:pStyle w:val="TOC2"/>
        <w:rPr>
          <w:rFonts w:asciiTheme="minorHAnsi" w:hAnsiTheme="minorHAnsi"/>
          <w:noProof/>
          <w:lang w:eastAsia="en-GB"/>
        </w:rPr>
      </w:pPr>
      <w:hyperlink w:anchor="_Toc33776156" w:history="1">
        <w:r w:rsidR="00121437" w:rsidRPr="00CD05B2">
          <w:rPr>
            <w:rStyle w:val="Hyperlink"/>
            <w:noProof/>
          </w:rPr>
          <w:t>2.6</w:t>
        </w:r>
        <w:r w:rsidR="00121437">
          <w:rPr>
            <w:rFonts w:asciiTheme="minorHAnsi" w:hAnsiTheme="minorHAnsi"/>
            <w:noProof/>
            <w:lang w:eastAsia="en-GB"/>
          </w:rPr>
          <w:tab/>
        </w:r>
        <w:r w:rsidR="00121437" w:rsidRPr="00CD05B2">
          <w:rPr>
            <w:rStyle w:val="Hyperlink"/>
            <w:noProof/>
          </w:rPr>
          <w:t>EMA review of approved histology-independent indications.</w:t>
        </w:r>
        <w:r w:rsidR="00121437">
          <w:rPr>
            <w:noProof/>
            <w:webHidden/>
          </w:rPr>
          <w:tab/>
        </w:r>
        <w:r w:rsidR="00121437">
          <w:rPr>
            <w:noProof/>
            <w:webHidden/>
          </w:rPr>
          <w:fldChar w:fldCharType="begin"/>
        </w:r>
        <w:r w:rsidR="00121437">
          <w:rPr>
            <w:noProof/>
            <w:webHidden/>
          </w:rPr>
          <w:instrText xml:space="preserve"> PAGEREF _Toc33776156 \h </w:instrText>
        </w:r>
        <w:r w:rsidR="00121437">
          <w:rPr>
            <w:noProof/>
            <w:webHidden/>
          </w:rPr>
        </w:r>
        <w:r w:rsidR="00121437">
          <w:rPr>
            <w:noProof/>
            <w:webHidden/>
          </w:rPr>
          <w:fldChar w:fldCharType="separate"/>
        </w:r>
        <w:r w:rsidR="00121437">
          <w:rPr>
            <w:noProof/>
            <w:webHidden/>
          </w:rPr>
          <w:t>37</w:t>
        </w:r>
        <w:r w:rsidR="00121437">
          <w:rPr>
            <w:noProof/>
            <w:webHidden/>
          </w:rPr>
          <w:fldChar w:fldCharType="end"/>
        </w:r>
      </w:hyperlink>
    </w:p>
    <w:p w14:paraId="3D0576BE" w14:textId="38644A0B" w:rsidR="00121437" w:rsidRDefault="00C974E5">
      <w:pPr>
        <w:pStyle w:val="TOC2"/>
        <w:rPr>
          <w:rFonts w:asciiTheme="minorHAnsi" w:hAnsiTheme="minorHAnsi"/>
          <w:noProof/>
          <w:lang w:eastAsia="en-GB"/>
        </w:rPr>
      </w:pPr>
      <w:hyperlink w:anchor="_Toc33776157" w:history="1">
        <w:r w:rsidR="00121437" w:rsidRPr="00CD05B2">
          <w:rPr>
            <w:rStyle w:val="Hyperlink"/>
            <w:noProof/>
          </w:rPr>
          <w:t>2.7</w:t>
        </w:r>
        <w:r w:rsidR="00121437">
          <w:rPr>
            <w:rFonts w:asciiTheme="minorHAnsi" w:hAnsiTheme="minorHAnsi"/>
            <w:noProof/>
            <w:lang w:eastAsia="en-GB"/>
          </w:rPr>
          <w:tab/>
        </w:r>
        <w:r w:rsidR="00121437" w:rsidRPr="00CD05B2">
          <w:rPr>
            <w:rStyle w:val="Hyperlink"/>
            <w:noProof/>
          </w:rPr>
          <w:t>Overview of registered or completed trials for histology-independent products in development</w:t>
        </w:r>
        <w:r w:rsidR="00121437">
          <w:rPr>
            <w:noProof/>
            <w:webHidden/>
          </w:rPr>
          <w:tab/>
        </w:r>
        <w:r w:rsidR="00121437">
          <w:rPr>
            <w:noProof/>
            <w:webHidden/>
          </w:rPr>
          <w:fldChar w:fldCharType="begin"/>
        </w:r>
        <w:r w:rsidR="00121437">
          <w:rPr>
            <w:noProof/>
            <w:webHidden/>
          </w:rPr>
          <w:instrText xml:space="preserve"> PAGEREF _Toc33776157 \h </w:instrText>
        </w:r>
        <w:r w:rsidR="00121437">
          <w:rPr>
            <w:noProof/>
            <w:webHidden/>
          </w:rPr>
        </w:r>
        <w:r w:rsidR="00121437">
          <w:rPr>
            <w:noProof/>
            <w:webHidden/>
          </w:rPr>
          <w:fldChar w:fldCharType="separate"/>
        </w:r>
        <w:r w:rsidR="00121437">
          <w:rPr>
            <w:noProof/>
            <w:webHidden/>
          </w:rPr>
          <w:t>41</w:t>
        </w:r>
        <w:r w:rsidR="00121437">
          <w:rPr>
            <w:noProof/>
            <w:webHidden/>
          </w:rPr>
          <w:fldChar w:fldCharType="end"/>
        </w:r>
      </w:hyperlink>
    </w:p>
    <w:p w14:paraId="15A92D1E" w14:textId="649D1A4E" w:rsidR="00121437" w:rsidRDefault="00C974E5">
      <w:pPr>
        <w:pStyle w:val="TOC2"/>
        <w:rPr>
          <w:rFonts w:asciiTheme="minorHAnsi" w:hAnsiTheme="minorHAnsi"/>
          <w:noProof/>
          <w:lang w:eastAsia="en-GB"/>
        </w:rPr>
      </w:pPr>
      <w:hyperlink w:anchor="_Toc33776158" w:history="1">
        <w:r w:rsidR="00121437" w:rsidRPr="00CD05B2">
          <w:rPr>
            <w:rStyle w:val="Hyperlink"/>
            <w:noProof/>
          </w:rPr>
          <w:t>2.8</w:t>
        </w:r>
        <w:r w:rsidR="00121437">
          <w:rPr>
            <w:rFonts w:asciiTheme="minorHAnsi" w:hAnsiTheme="minorHAnsi"/>
            <w:noProof/>
            <w:lang w:eastAsia="en-GB"/>
          </w:rPr>
          <w:tab/>
        </w:r>
        <w:r w:rsidR="00121437" w:rsidRPr="00CD05B2">
          <w:rPr>
            <w:rStyle w:val="Hyperlink"/>
            <w:noProof/>
          </w:rPr>
          <w:t>Summary and implications</w:t>
        </w:r>
        <w:r w:rsidR="00121437">
          <w:rPr>
            <w:noProof/>
            <w:webHidden/>
          </w:rPr>
          <w:tab/>
        </w:r>
        <w:r w:rsidR="00121437">
          <w:rPr>
            <w:noProof/>
            <w:webHidden/>
          </w:rPr>
          <w:fldChar w:fldCharType="begin"/>
        </w:r>
        <w:r w:rsidR="00121437">
          <w:rPr>
            <w:noProof/>
            <w:webHidden/>
          </w:rPr>
          <w:instrText xml:space="preserve"> PAGEREF _Toc33776158 \h </w:instrText>
        </w:r>
        <w:r w:rsidR="00121437">
          <w:rPr>
            <w:noProof/>
            <w:webHidden/>
          </w:rPr>
        </w:r>
        <w:r w:rsidR="00121437">
          <w:rPr>
            <w:noProof/>
            <w:webHidden/>
          </w:rPr>
          <w:fldChar w:fldCharType="separate"/>
        </w:r>
        <w:r w:rsidR="00121437">
          <w:rPr>
            <w:noProof/>
            <w:webHidden/>
          </w:rPr>
          <w:t>41</w:t>
        </w:r>
        <w:r w:rsidR="00121437">
          <w:rPr>
            <w:noProof/>
            <w:webHidden/>
          </w:rPr>
          <w:fldChar w:fldCharType="end"/>
        </w:r>
      </w:hyperlink>
    </w:p>
    <w:p w14:paraId="1634A66D" w14:textId="111581BC" w:rsidR="00121437" w:rsidRDefault="00C974E5">
      <w:pPr>
        <w:pStyle w:val="TOC1"/>
        <w:rPr>
          <w:rFonts w:asciiTheme="minorHAnsi" w:hAnsiTheme="minorHAnsi"/>
          <w:noProof/>
          <w:lang w:eastAsia="en-GB"/>
        </w:rPr>
      </w:pPr>
      <w:hyperlink w:anchor="_Toc33776159" w:history="1">
        <w:r w:rsidR="00121437" w:rsidRPr="00CD05B2">
          <w:rPr>
            <w:rStyle w:val="Hyperlink"/>
            <w:noProof/>
          </w:rPr>
          <w:t>3</w:t>
        </w:r>
        <w:r w:rsidR="00121437">
          <w:rPr>
            <w:rFonts w:asciiTheme="minorHAnsi" w:hAnsiTheme="minorHAnsi"/>
            <w:noProof/>
            <w:lang w:eastAsia="en-GB"/>
          </w:rPr>
          <w:tab/>
        </w:r>
        <w:r w:rsidR="00121437" w:rsidRPr="00CD05B2">
          <w:rPr>
            <w:rStyle w:val="Hyperlink"/>
            <w:noProof/>
          </w:rPr>
          <w:t>An overview of key statistical literature addressing the design and analysis of histology-independent trials</w:t>
        </w:r>
        <w:r w:rsidR="00121437">
          <w:rPr>
            <w:noProof/>
            <w:webHidden/>
          </w:rPr>
          <w:tab/>
        </w:r>
        <w:r w:rsidR="00121437">
          <w:rPr>
            <w:noProof/>
            <w:webHidden/>
          </w:rPr>
          <w:fldChar w:fldCharType="begin"/>
        </w:r>
        <w:r w:rsidR="00121437">
          <w:rPr>
            <w:noProof/>
            <w:webHidden/>
          </w:rPr>
          <w:instrText xml:space="preserve"> PAGEREF _Toc33776159 \h </w:instrText>
        </w:r>
        <w:r w:rsidR="00121437">
          <w:rPr>
            <w:noProof/>
            <w:webHidden/>
          </w:rPr>
        </w:r>
        <w:r w:rsidR="00121437">
          <w:rPr>
            <w:noProof/>
            <w:webHidden/>
          </w:rPr>
          <w:fldChar w:fldCharType="separate"/>
        </w:r>
        <w:r w:rsidR="00121437">
          <w:rPr>
            <w:noProof/>
            <w:webHidden/>
          </w:rPr>
          <w:t>44</w:t>
        </w:r>
        <w:r w:rsidR="00121437">
          <w:rPr>
            <w:noProof/>
            <w:webHidden/>
          </w:rPr>
          <w:fldChar w:fldCharType="end"/>
        </w:r>
      </w:hyperlink>
    </w:p>
    <w:p w14:paraId="7CE164DB" w14:textId="6EEBA4B4" w:rsidR="00121437" w:rsidRDefault="00C974E5">
      <w:pPr>
        <w:pStyle w:val="TOC2"/>
        <w:rPr>
          <w:rFonts w:asciiTheme="minorHAnsi" w:hAnsiTheme="minorHAnsi"/>
          <w:noProof/>
          <w:lang w:eastAsia="en-GB"/>
        </w:rPr>
      </w:pPr>
      <w:hyperlink w:anchor="_Toc33776160" w:history="1">
        <w:r w:rsidR="00121437" w:rsidRPr="00CD05B2">
          <w:rPr>
            <w:rStyle w:val="Hyperlink"/>
            <w:noProof/>
          </w:rPr>
          <w:t>3.1</w:t>
        </w:r>
        <w:r w:rsidR="00121437">
          <w:rPr>
            <w:rFonts w:asciiTheme="minorHAnsi" w:hAnsiTheme="minorHAnsi"/>
            <w:noProof/>
            <w:lang w:eastAsia="en-GB"/>
          </w:rPr>
          <w:tab/>
        </w:r>
        <w:r w:rsidR="00121437" w:rsidRPr="00CD05B2">
          <w:rPr>
            <w:rStyle w:val="Hyperlink"/>
            <w:noProof/>
          </w:rPr>
          <w:t>Adaptive phase II studies</w:t>
        </w:r>
        <w:r w:rsidR="00121437">
          <w:rPr>
            <w:noProof/>
            <w:webHidden/>
          </w:rPr>
          <w:tab/>
        </w:r>
        <w:r w:rsidR="00121437">
          <w:rPr>
            <w:noProof/>
            <w:webHidden/>
          </w:rPr>
          <w:fldChar w:fldCharType="begin"/>
        </w:r>
        <w:r w:rsidR="00121437">
          <w:rPr>
            <w:noProof/>
            <w:webHidden/>
          </w:rPr>
          <w:instrText xml:space="preserve"> PAGEREF _Toc33776160 \h </w:instrText>
        </w:r>
        <w:r w:rsidR="00121437">
          <w:rPr>
            <w:noProof/>
            <w:webHidden/>
          </w:rPr>
        </w:r>
        <w:r w:rsidR="00121437">
          <w:rPr>
            <w:noProof/>
            <w:webHidden/>
          </w:rPr>
          <w:fldChar w:fldCharType="separate"/>
        </w:r>
        <w:r w:rsidR="00121437">
          <w:rPr>
            <w:noProof/>
            <w:webHidden/>
          </w:rPr>
          <w:t>44</w:t>
        </w:r>
        <w:r w:rsidR="00121437">
          <w:rPr>
            <w:noProof/>
            <w:webHidden/>
          </w:rPr>
          <w:fldChar w:fldCharType="end"/>
        </w:r>
      </w:hyperlink>
    </w:p>
    <w:p w14:paraId="6DE72DC7" w14:textId="71E826AA" w:rsidR="00121437" w:rsidRDefault="00C974E5">
      <w:pPr>
        <w:pStyle w:val="TOC2"/>
        <w:rPr>
          <w:rFonts w:asciiTheme="minorHAnsi" w:hAnsiTheme="minorHAnsi"/>
          <w:noProof/>
          <w:lang w:eastAsia="en-GB"/>
        </w:rPr>
      </w:pPr>
      <w:hyperlink w:anchor="_Toc33776161" w:history="1">
        <w:r w:rsidR="00121437" w:rsidRPr="00CD05B2">
          <w:rPr>
            <w:rStyle w:val="Hyperlink"/>
            <w:noProof/>
          </w:rPr>
          <w:t>3.2</w:t>
        </w:r>
        <w:r w:rsidR="00121437">
          <w:rPr>
            <w:rFonts w:asciiTheme="minorHAnsi" w:hAnsiTheme="minorHAnsi"/>
            <w:noProof/>
            <w:lang w:eastAsia="en-GB"/>
          </w:rPr>
          <w:tab/>
        </w:r>
        <w:r w:rsidR="00121437" w:rsidRPr="00CD05B2">
          <w:rPr>
            <w:rStyle w:val="Hyperlink"/>
            <w:noProof/>
          </w:rPr>
          <w:t>Master protocol designs</w:t>
        </w:r>
        <w:r w:rsidR="00121437">
          <w:rPr>
            <w:noProof/>
            <w:webHidden/>
          </w:rPr>
          <w:tab/>
        </w:r>
        <w:r w:rsidR="00121437">
          <w:rPr>
            <w:noProof/>
            <w:webHidden/>
          </w:rPr>
          <w:fldChar w:fldCharType="begin"/>
        </w:r>
        <w:r w:rsidR="00121437">
          <w:rPr>
            <w:noProof/>
            <w:webHidden/>
          </w:rPr>
          <w:instrText xml:space="preserve"> PAGEREF _Toc33776161 \h </w:instrText>
        </w:r>
        <w:r w:rsidR="00121437">
          <w:rPr>
            <w:noProof/>
            <w:webHidden/>
          </w:rPr>
        </w:r>
        <w:r w:rsidR="00121437">
          <w:rPr>
            <w:noProof/>
            <w:webHidden/>
          </w:rPr>
          <w:fldChar w:fldCharType="separate"/>
        </w:r>
        <w:r w:rsidR="00121437">
          <w:rPr>
            <w:noProof/>
            <w:webHidden/>
          </w:rPr>
          <w:t>45</w:t>
        </w:r>
        <w:r w:rsidR="00121437">
          <w:rPr>
            <w:noProof/>
            <w:webHidden/>
          </w:rPr>
          <w:fldChar w:fldCharType="end"/>
        </w:r>
      </w:hyperlink>
    </w:p>
    <w:p w14:paraId="58D40DD3" w14:textId="5575E28A" w:rsidR="00121437" w:rsidRDefault="00C974E5">
      <w:pPr>
        <w:pStyle w:val="TOC3"/>
        <w:rPr>
          <w:rFonts w:asciiTheme="minorHAnsi" w:hAnsiTheme="minorHAnsi"/>
          <w:noProof/>
          <w:lang w:eastAsia="en-GB"/>
        </w:rPr>
      </w:pPr>
      <w:hyperlink w:anchor="_Toc33776162" w:history="1">
        <w:r w:rsidR="00121437" w:rsidRPr="00CD05B2">
          <w:rPr>
            <w:rStyle w:val="Hyperlink"/>
            <w:noProof/>
          </w:rPr>
          <w:t>3.2.1</w:t>
        </w:r>
        <w:r w:rsidR="00121437">
          <w:rPr>
            <w:rFonts w:asciiTheme="minorHAnsi" w:hAnsiTheme="minorHAnsi"/>
            <w:noProof/>
            <w:lang w:eastAsia="en-GB"/>
          </w:rPr>
          <w:tab/>
        </w:r>
        <w:r w:rsidR="00121437" w:rsidRPr="00CD05B2">
          <w:rPr>
            <w:rStyle w:val="Hyperlink"/>
            <w:noProof/>
          </w:rPr>
          <w:t>Heterogeneity of effect in basket trials</w:t>
        </w:r>
        <w:r w:rsidR="00121437">
          <w:rPr>
            <w:noProof/>
            <w:webHidden/>
          </w:rPr>
          <w:tab/>
        </w:r>
        <w:r w:rsidR="00121437">
          <w:rPr>
            <w:noProof/>
            <w:webHidden/>
          </w:rPr>
          <w:fldChar w:fldCharType="begin"/>
        </w:r>
        <w:r w:rsidR="00121437">
          <w:rPr>
            <w:noProof/>
            <w:webHidden/>
          </w:rPr>
          <w:instrText xml:space="preserve"> PAGEREF _Toc33776162 \h </w:instrText>
        </w:r>
        <w:r w:rsidR="00121437">
          <w:rPr>
            <w:noProof/>
            <w:webHidden/>
          </w:rPr>
        </w:r>
        <w:r w:rsidR="00121437">
          <w:rPr>
            <w:noProof/>
            <w:webHidden/>
          </w:rPr>
          <w:fldChar w:fldCharType="separate"/>
        </w:r>
        <w:r w:rsidR="00121437">
          <w:rPr>
            <w:noProof/>
            <w:webHidden/>
          </w:rPr>
          <w:t>46</w:t>
        </w:r>
        <w:r w:rsidR="00121437">
          <w:rPr>
            <w:noProof/>
            <w:webHidden/>
          </w:rPr>
          <w:fldChar w:fldCharType="end"/>
        </w:r>
      </w:hyperlink>
    </w:p>
    <w:p w14:paraId="5A232C18" w14:textId="0198B241" w:rsidR="00121437" w:rsidRDefault="00C974E5">
      <w:pPr>
        <w:pStyle w:val="TOC2"/>
        <w:rPr>
          <w:rFonts w:asciiTheme="minorHAnsi" w:hAnsiTheme="minorHAnsi"/>
          <w:noProof/>
          <w:lang w:eastAsia="en-GB"/>
        </w:rPr>
      </w:pPr>
      <w:hyperlink w:anchor="_Toc33776163" w:history="1">
        <w:r w:rsidR="00121437" w:rsidRPr="00CD05B2">
          <w:rPr>
            <w:rStyle w:val="Hyperlink"/>
            <w:noProof/>
          </w:rPr>
          <w:t>3.3</w:t>
        </w:r>
        <w:r w:rsidR="00121437">
          <w:rPr>
            <w:rFonts w:asciiTheme="minorHAnsi" w:hAnsiTheme="minorHAnsi"/>
            <w:noProof/>
            <w:lang w:eastAsia="en-GB"/>
          </w:rPr>
          <w:tab/>
        </w:r>
        <w:r w:rsidR="00121437" w:rsidRPr="00CD05B2">
          <w:rPr>
            <w:rStyle w:val="Hyperlink"/>
            <w:noProof/>
          </w:rPr>
          <w:t>Summary and implications</w:t>
        </w:r>
        <w:r w:rsidR="00121437">
          <w:rPr>
            <w:noProof/>
            <w:webHidden/>
          </w:rPr>
          <w:tab/>
        </w:r>
        <w:r w:rsidR="00121437">
          <w:rPr>
            <w:noProof/>
            <w:webHidden/>
          </w:rPr>
          <w:fldChar w:fldCharType="begin"/>
        </w:r>
        <w:r w:rsidR="00121437">
          <w:rPr>
            <w:noProof/>
            <w:webHidden/>
          </w:rPr>
          <w:instrText xml:space="preserve"> PAGEREF _Toc33776163 \h </w:instrText>
        </w:r>
        <w:r w:rsidR="00121437">
          <w:rPr>
            <w:noProof/>
            <w:webHidden/>
          </w:rPr>
        </w:r>
        <w:r w:rsidR="00121437">
          <w:rPr>
            <w:noProof/>
            <w:webHidden/>
          </w:rPr>
          <w:fldChar w:fldCharType="separate"/>
        </w:r>
        <w:r w:rsidR="00121437">
          <w:rPr>
            <w:noProof/>
            <w:webHidden/>
          </w:rPr>
          <w:t>51</w:t>
        </w:r>
        <w:r w:rsidR="00121437">
          <w:rPr>
            <w:noProof/>
            <w:webHidden/>
          </w:rPr>
          <w:fldChar w:fldCharType="end"/>
        </w:r>
      </w:hyperlink>
    </w:p>
    <w:p w14:paraId="125F89C3" w14:textId="4A59388C" w:rsidR="00121437" w:rsidRDefault="00C974E5">
      <w:pPr>
        <w:pStyle w:val="TOC1"/>
        <w:rPr>
          <w:rFonts w:asciiTheme="minorHAnsi" w:hAnsiTheme="minorHAnsi"/>
          <w:noProof/>
          <w:lang w:eastAsia="en-GB"/>
        </w:rPr>
      </w:pPr>
      <w:hyperlink w:anchor="_Toc33776164" w:history="1">
        <w:r w:rsidR="00121437" w:rsidRPr="00CD05B2">
          <w:rPr>
            <w:rStyle w:val="Hyperlink"/>
            <w:noProof/>
          </w:rPr>
          <w:t>4</w:t>
        </w:r>
        <w:r w:rsidR="00121437">
          <w:rPr>
            <w:rFonts w:asciiTheme="minorHAnsi" w:hAnsiTheme="minorHAnsi"/>
            <w:noProof/>
            <w:lang w:eastAsia="en-GB"/>
          </w:rPr>
          <w:tab/>
        </w:r>
        <w:r w:rsidR="00121437" w:rsidRPr="00CD05B2">
          <w:rPr>
            <w:rStyle w:val="Hyperlink"/>
            <w:noProof/>
          </w:rPr>
          <w:t>A systematic review to identify published meta-analyses evaluating the use of response rates and duration of response as surrogate endpoints for progression-free and overall survival</w:t>
        </w:r>
        <w:r w:rsidR="00121437">
          <w:rPr>
            <w:noProof/>
            <w:webHidden/>
          </w:rPr>
          <w:tab/>
        </w:r>
        <w:r w:rsidR="00121437">
          <w:rPr>
            <w:noProof/>
            <w:webHidden/>
          </w:rPr>
          <w:fldChar w:fldCharType="begin"/>
        </w:r>
        <w:r w:rsidR="00121437">
          <w:rPr>
            <w:noProof/>
            <w:webHidden/>
          </w:rPr>
          <w:instrText xml:space="preserve"> PAGEREF _Toc33776164 \h </w:instrText>
        </w:r>
        <w:r w:rsidR="00121437">
          <w:rPr>
            <w:noProof/>
            <w:webHidden/>
          </w:rPr>
        </w:r>
        <w:r w:rsidR="00121437">
          <w:rPr>
            <w:noProof/>
            <w:webHidden/>
          </w:rPr>
          <w:fldChar w:fldCharType="separate"/>
        </w:r>
        <w:r w:rsidR="00121437">
          <w:rPr>
            <w:noProof/>
            <w:webHidden/>
          </w:rPr>
          <w:t>53</w:t>
        </w:r>
        <w:r w:rsidR="00121437">
          <w:rPr>
            <w:noProof/>
            <w:webHidden/>
          </w:rPr>
          <w:fldChar w:fldCharType="end"/>
        </w:r>
      </w:hyperlink>
    </w:p>
    <w:p w14:paraId="7634A6AC" w14:textId="30235AB0" w:rsidR="00121437" w:rsidRDefault="00C974E5">
      <w:pPr>
        <w:pStyle w:val="TOC2"/>
        <w:rPr>
          <w:rFonts w:asciiTheme="minorHAnsi" w:hAnsiTheme="minorHAnsi"/>
          <w:noProof/>
          <w:lang w:eastAsia="en-GB"/>
        </w:rPr>
      </w:pPr>
      <w:hyperlink w:anchor="_Toc33776165" w:history="1">
        <w:r w:rsidR="00121437" w:rsidRPr="00CD05B2">
          <w:rPr>
            <w:rStyle w:val="Hyperlink"/>
            <w:noProof/>
          </w:rPr>
          <w:t>4.1</w:t>
        </w:r>
        <w:r w:rsidR="00121437">
          <w:rPr>
            <w:rFonts w:asciiTheme="minorHAnsi" w:hAnsiTheme="minorHAnsi"/>
            <w:noProof/>
            <w:lang w:eastAsia="en-GB"/>
          </w:rPr>
          <w:tab/>
        </w:r>
        <w:r w:rsidR="00121437" w:rsidRPr="00CD05B2">
          <w:rPr>
            <w:rStyle w:val="Hyperlink"/>
            <w:noProof/>
          </w:rPr>
          <w:t>Introduction</w:t>
        </w:r>
        <w:r w:rsidR="00121437">
          <w:rPr>
            <w:noProof/>
            <w:webHidden/>
          </w:rPr>
          <w:tab/>
        </w:r>
        <w:r w:rsidR="00121437">
          <w:rPr>
            <w:noProof/>
            <w:webHidden/>
          </w:rPr>
          <w:fldChar w:fldCharType="begin"/>
        </w:r>
        <w:r w:rsidR="00121437">
          <w:rPr>
            <w:noProof/>
            <w:webHidden/>
          </w:rPr>
          <w:instrText xml:space="preserve"> PAGEREF _Toc33776165 \h </w:instrText>
        </w:r>
        <w:r w:rsidR="00121437">
          <w:rPr>
            <w:noProof/>
            <w:webHidden/>
          </w:rPr>
        </w:r>
        <w:r w:rsidR="00121437">
          <w:rPr>
            <w:noProof/>
            <w:webHidden/>
          </w:rPr>
          <w:fldChar w:fldCharType="separate"/>
        </w:r>
        <w:r w:rsidR="00121437">
          <w:rPr>
            <w:noProof/>
            <w:webHidden/>
          </w:rPr>
          <w:t>53</w:t>
        </w:r>
        <w:r w:rsidR="00121437">
          <w:rPr>
            <w:noProof/>
            <w:webHidden/>
          </w:rPr>
          <w:fldChar w:fldCharType="end"/>
        </w:r>
      </w:hyperlink>
    </w:p>
    <w:p w14:paraId="5CEB1476" w14:textId="01AA3668" w:rsidR="00121437" w:rsidRDefault="00C974E5">
      <w:pPr>
        <w:pStyle w:val="TOC2"/>
        <w:rPr>
          <w:rFonts w:asciiTheme="minorHAnsi" w:hAnsiTheme="minorHAnsi"/>
          <w:noProof/>
          <w:lang w:eastAsia="en-GB"/>
        </w:rPr>
      </w:pPr>
      <w:hyperlink w:anchor="_Toc33776166" w:history="1">
        <w:r w:rsidR="00121437" w:rsidRPr="00CD05B2">
          <w:rPr>
            <w:rStyle w:val="Hyperlink"/>
            <w:noProof/>
          </w:rPr>
          <w:t>4.2</w:t>
        </w:r>
        <w:r w:rsidR="00121437">
          <w:rPr>
            <w:rFonts w:asciiTheme="minorHAnsi" w:hAnsiTheme="minorHAnsi"/>
            <w:noProof/>
            <w:lang w:eastAsia="en-GB"/>
          </w:rPr>
          <w:tab/>
        </w:r>
        <w:r w:rsidR="00121437" w:rsidRPr="00CD05B2">
          <w:rPr>
            <w:rStyle w:val="Hyperlink"/>
            <w:noProof/>
          </w:rPr>
          <w:t>Methods</w:t>
        </w:r>
        <w:r w:rsidR="00121437">
          <w:rPr>
            <w:noProof/>
            <w:webHidden/>
          </w:rPr>
          <w:tab/>
        </w:r>
        <w:r w:rsidR="00121437">
          <w:rPr>
            <w:noProof/>
            <w:webHidden/>
          </w:rPr>
          <w:fldChar w:fldCharType="begin"/>
        </w:r>
        <w:r w:rsidR="00121437">
          <w:rPr>
            <w:noProof/>
            <w:webHidden/>
          </w:rPr>
          <w:instrText xml:space="preserve"> PAGEREF _Toc33776166 \h </w:instrText>
        </w:r>
        <w:r w:rsidR="00121437">
          <w:rPr>
            <w:noProof/>
            <w:webHidden/>
          </w:rPr>
        </w:r>
        <w:r w:rsidR="00121437">
          <w:rPr>
            <w:noProof/>
            <w:webHidden/>
          </w:rPr>
          <w:fldChar w:fldCharType="separate"/>
        </w:r>
        <w:r w:rsidR="00121437">
          <w:rPr>
            <w:noProof/>
            <w:webHidden/>
          </w:rPr>
          <w:t>55</w:t>
        </w:r>
        <w:r w:rsidR="00121437">
          <w:rPr>
            <w:noProof/>
            <w:webHidden/>
          </w:rPr>
          <w:fldChar w:fldCharType="end"/>
        </w:r>
      </w:hyperlink>
    </w:p>
    <w:p w14:paraId="417CD5FF" w14:textId="4198C6E1" w:rsidR="00121437" w:rsidRDefault="00C974E5">
      <w:pPr>
        <w:pStyle w:val="TOC3"/>
        <w:rPr>
          <w:rFonts w:asciiTheme="minorHAnsi" w:hAnsiTheme="minorHAnsi"/>
          <w:noProof/>
          <w:lang w:eastAsia="en-GB"/>
        </w:rPr>
      </w:pPr>
      <w:hyperlink w:anchor="_Toc33776167" w:history="1">
        <w:r w:rsidR="00121437" w:rsidRPr="00CD05B2">
          <w:rPr>
            <w:rStyle w:val="Hyperlink"/>
            <w:noProof/>
          </w:rPr>
          <w:t>4.2.1</w:t>
        </w:r>
        <w:r w:rsidR="00121437">
          <w:rPr>
            <w:rFonts w:asciiTheme="minorHAnsi" w:hAnsiTheme="minorHAnsi"/>
            <w:noProof/>
            <w:lang w:eastAsia="en-GB"/>
          </w:rPr>
          <w:tab/>
        </w:r>
        <w:r w:rsidR="00121437" w:rsidRPr="00CD05B2">
          <w:rPr>
            <w:rStyle w:val="Hyperlink"/>
            <w:noProof/>
          </w:rPr>
          <w:t>Review question</w:t>
        </w:r>
        <w:r w:rsidR="00121437">
          <w:rPr>
            <w:noProof/>
            <w:webHidden/>
          </w:rPr>
          <w:tab/>
        </w:r>
        <w:r w:rsidR="00121437">
          <w:rPr>
            <w:noProof/>
            <w:webHidden/>
          </w:rPr>
          <w:fldChar w:fldCharType="begin"/>
        </w:r>
        <w:r w:rsidR="00121437">
          <w:rPr>
            <w:noProof/>
            <w:webHidden/>
          </w:rPr>
          <w:instrText xml:space="preserve"> PAGEREF _Toc33776167 \h </w:instrText>
        </w:r>
        <w:r w:rsidR="00121437">
          <w:rPr>
            <w:noProof/>
            <w:webHidden/>
          </w:rPr>
        </w:r>
        <w:r w:rsidR="00121437">
          <w:rPr>
            <w:noProof/>
            <w:webHidden/>
          </w:rPr>
          <w:fldChar w:fldCharType="separate"/>
        </w:r>
        <w:r w:rsidR="00121437">
          <w:rPr>
            <w:noProof/>
            <w:webHidden/>
          </w:rPr>
          <w:t>55</w:t>
        </w:r>
        <w:r w:rsidR="00121437">
          <w:rPr>
            <w:noProof/>
            <w:webHidden/>
          </w:rPr>
          <w:fldChar w:fldCharType="end"/>
        </w:r>
      </w:hyperlink>
    </w:p>
    <w:p w14:paraId="6D2A7D63" w14:textId="157034AE" w:rsidR="00121437" w:rsidRDefault="00C974E5">
      <w:pPr>
        <w:pStyle w:val="TOC3"/>
        <w:rPr>
          <w:rFonts w:asciiTheme="minorHAnsi" w:hAnsiTheme="minorHAnsi"/>
          <w:noProof/>
          <w:lang w:eastAsia="en-GB"/>
        </w:rPr>
      </w:pPr>
      <w:hyperlink w:anchor="_Toc33776168" w:history="1">
        <w:r w:rsidR="00121437" w:rsidRPr="00CD05B2">
          <w:rPr>
            <w:rStyle w:val="Hyperlink"/>
            <w:noProof/>
          </w:rPr>
          <w:t>4.2.2</w:t>
        </w:r>
        <w:r w:rsidR="00121437">
          <w:rPr>
            <w:rFonts w:asciiTheme="minorHAnsi" w:hAnsiTheme="minorHAnsi"/>
            <w:noProof/>
            <w:lang w:eastAsia="en-GB"/>
          </w:rPr>
          <w:tab/>
        </w:r>
        <w:r w:rsidR="00121437" w:rsidRPr="00CD05B2">
          <w:rPr>
            <w:rStyle w:val="Hyperlink"/>
            <w:noProof/>
          </w:rPr>
          <w:t>Inclusion and exclusion criteria</w:t>
        </w:r>
        <w:r w:rsidR="00121437">
          <w:rPr>
            <w:noProof/>
            <w:webHidden/>
          </w:rPr>
          <w:tab/>
        </w:r>
        <w:r w:rsidR="00121437">
          <w:rPr>
            <w:noProof/>
            <w:webHidden/>
          </w:rPr>
          <w:fldChar w:fldCharType="begin"/>
        </w:r>
        <w:r w:rsidR="00121437">
          <w:rPr>
            <w:noProof/>
            <w:webHidden/>
          </w:rPr>
          <w:instrText xml:space="preserve"> PAGEREF _Toc33776168 \h </w:instrText>
        </w:r>
        <w:r w:rsidR="00121437">
          <w:rPr>
            <w:noProof/>
            <w:webHidden/>
          </w:rPr>
        </w:r>
        <w:r w:rsidR="00121437">
          <w:rPr>
            <w:noProof/>
            <w:webHidden/>
          </w:rPr>
          <w:fldChar w:fldCharType="separate"/>
        </w:r>
        <w:r w:rsidR="00121437">
          <w:rPr>
            <w:noProof/>
            <w:webHidden/>
          </w:rPr>
          <w:t>55</w:t>
        </w:r>
        <w:r w:rsidR="00121437">
          <w:rPr>
            <w:noProof/>
            <w:webHidden/>
          </w:rPr>
          <w:fldChar w:fldCharType="end"/>
        </w:r>
      </w:hyperlink>
    </w:p>
    <w:p w14:paraId="1219326F" w14:textId="7DA798CA" w:rsidR="00121437" w:rsidRDefault="00C974E5">
      <w:pPr>
        <w:pStyle w:val="TOC3"/>
        <w:rPr>
          <w:rFonts w:asciiTheme="minorHAnsi" w:hAnsiTheme="minorHAnsi"/>
          <w:noProof/>
          <w:lang w:eastAsia="en-GB"/>
        </w:rPr>
      </w:pPr>
      <w:hyperlink w:anchor="_Toc33776169" w:history="1">
        <w:r w:rsidR="00121437" w:rsidRPr="00CD05B2">
          <w:rPr>
            <w:rStyle w:val="Hyperlink"/>
            <w:noProof/>
          </w:rPr>
          <w:t>4.2.3</w:t>
        </w:r>
        <w:r w:rsidR="00121437">
          <w:rPr>
            <w:rFonts w:asciiTheme="minorHAnsi" w:hAnsiTheme="minorHAnsi"/>
            <w:noProof/>
            <w:lang w:eastAsia="en-GB"/>
          </w:rPr>
          <w:tab/>
        </w:r>
        <w:r w:rsidR="00121437" w:rsidRPr="00CD05B2">
          <w:rPr>
            <w:rStyle w:val="Hyperlink"/>
            <w:noProof/>
          </w:rPr>
          <w:t>Search strategy</w:t>
        </w:r>
        <w:r w:rsidR="00121437">
          <w:rPr>
            <w:noProof/>
            <w:webHidden/>
          </w:rPr>
          <w:tab/>
        </w:r>
        <w:r w:rsidR="00121437">
          <w:rPr>
            <w:noProof/>
            <w:webHidden/>
          </w:rPr>
          <w:fldChar w:fldCharType="begin"/>
        </w:r>
        <w:r w:rsidR="00121437">
          <w:rPr>
            <w:noProof/>
            <w:webHidden/>
          </w:rPr>
          <w:instrText xml:space="preserve"> PAGEREF _Toc33776169 \h </w:instrText>
        </w:r>
        <w:r w:rsidR="00121437">
          <w:rPr>
            <w:noProof/>
            <w:webHidden/>
          </w:rPr>
        </w:r>
        <w:r w:rsidR="00121437">
          <w:rPr>
            <w:noProof/>
            <w:webHidden/>
          </w:rPr>
          <w:fldChar w:fldCharType="separate"/>
        </w:r>
        <w:r w:rsidR="00121437">
          <w:rPr>
            <w:noProof/>
            <w:webHidden/>
          </w:rPr>
          <w:t>56</w:t>
        </w:r>
        <w:r w:rsidR="00121437">
          <w:rPr>
            <w:noProof/>
            <w:webHidden/>
          </w:rPr>
          <w:fldChar w:fldCharType="end"/>
        </w:r>
      </w:hyperlink>
    </w:p>
    <w:p w14:paraId="6BB07C5A" w14:textId="45918FD3" w:rsidR="00121437" w:rsidRDefault="00C974E5">
      <w:pPr>
        <w:pStyle w:val="TOC3"/>
        <w:rPr>
          <w:rFonts w:asciiTheme="minorHAnsi" w:hAnsiTheme="minorHAnsi"/>
          <w:noProof/>
          <w:lang w:eastAsia="en-GB"/>
        </w:rPr>
      </w:pPr>
      <w:hyperlink w:anchor="_Toc33776170" w:history="1">
        <w:r w:rsidR="00121437" w:rsidRPr="00CD05B2">
          <w:rPr>
            <w:rStyle w:val="Hyperlink"/>
            <w:noProof/>
          </w:rPr>
          <w:t>4.2.4</w:t>
        </w:r>
        <w:r w:rsidR="00121437">
          <w:rPr>
            <w:rFonts w:asciiTheme="minorHAnsi" w:hAnsiTheme="minorHAnsi"/>
            <w:noProof/>
            <w:lang w:eastAsia="en-GB"/>
          </w:rPr>
          <w:tab/>
        </w:r>
        <w:r w:rsidR="00121437" w:rsidRPr="00CD05B2">
          <w:rPr>
            <w:rStyle w:val="Hyperlink"/>
            <w:noProof/>
          </w:rPr>
          <w:t>Study selection process</w:t>
        </w:r>
        <w:r w:rsidR="00121437">
          <w:rPr>
            <w:noProof/>
            <w:webHidden/>
          </w:rPr>
          <w:tab/>
        </w:r>
        <w:r w:rsidR="00121437">
          <w:rPr>
            <w:noProof/>
            <w:webHidden/>
          </w:rPr>
          <w:fldChar w:fldCharType="begin"/>
        </w:r>
        <w:r w:rsidR="00121437">
          <w:rPr>
            <w:noProof/>
            <w:webHidden/>
          </w:rPr>
          <w:instrText xml:space="preserve"> PAGEREF _Toc33776170 \h </w:instrText>
        </w:r>
        <w:r w:rsidR="00121437">
          <w:rPr>
            <w:noProof/>
            <w:webHidden/>
          </w:rPr>
        </w:r>
        <w:r w:rsidR="00121437">
          <w:rPr>
            <w:noProof/>
            <w:webHidden/>
          </w:rPr>
          <w:fldChar w:fldCharType="separate"/>
        </w:r>
        <w:r w:rsidR="00121437">
          <w:rPr>
            <w:noProof/>
            <w:webHidden/>
          </w:rPr>
          <w:t>57</w:t>
        </w:r>
        <w:r w:rsidR="00121437">
          <w:rPr>
            <w:noProof/>
            <w:webHidden/>
          </w:rPr>
          <w:fldChar w:fldCharType="end"/>
        </w:r>
      </w:hyperlink>
    </w:p>
    <w:p w14:paraId="6C9F7317" w14:textId="637544AE" w:rsidR="00121437" w:rsidRDefault="00C974E5">
      <w:pPr>
        <w:pStyle w:val="TOC3"/>
        <w:rPr>
          <w:rFonts w:asciiTheme="minorHAnsi" w:hAnsiTheme="minorHAnsi"/>
          <w:noProof/>
          <w:lang w:eastAsia="en-GB"/>
        </w:rPr>
      </w:pPr>
      <w:hyperlink w:anchor="_Toc33776171" w:history="1">
        <w:r w:rsidR="00121437" w:rsidRPr="00CD05B2">
          <w:rPr>
            <w:rStyle w:val="Hyperlink"/>
            <w:noProof/>
          </w:rPr>
          <w:t>4.2.5</w:t>
        </w:r>
        <w:r w:rsidR="00121437">
          <w:rPr>
            <w:rFonts w:asciiTheme="minorHAnsi" w:hAnsiTheme="minorHAnsi"/>
            <w:noProof/>
            <w:lang w:eastAsia="en-GB"/>
          </w:rPr>
          <w:tab/>
        </w:r>
        <w:r w:rsidR="00121437" w:rsidRPr="00CD05B2">
          <w:rPr>
            <w:rStyle w:val="Hyperlink"/>
            <w:noProof/>
          </w:rPr>
          <w:t>Data extraction</w:t>
        </w:r>
        <w:r w:rsidR="00121437">
          <w:rPr>
            <w:noProof/>
            <w:webHidden/>
          </w:rPr>
          <w:tab/>
        </w:r>
        <w:r w:rsidR="00121437">
          <w:rPr>
            <w:noProof/>
            <w:webHidden/>
          </w:rPr>
          <w:fldChar w:fldCharType="begin"/>
        </w:r>
        <w:r w:rsidR="00121437">
          <w:rPr>
            <w:noProof/>
            <w:webHidden/>
          </w:rPr>
          <w:instrText xml:space="preserve"> PAGEREF _Toc33776171 \h </w:instrText>
        </w:r>
        <w:r w:rsidR="00121437">
          <w:rPr>
            <w:noProof/>
            <w:webHidden/>
          </w:rPr>
        </w:r>
        <w:r w:rsidR="00121437">
          <w:rPr>
            <w:noProof/>
            <w:webHidden/>
          </w:rPr>
          <w:fldChar w:fldCharType="separate"/>
        </w:r>
        <w:r w:rsidR="00121437">
          <w:rPr>
            <w:noProof/>
            <w:webHidden/>
          </w:rPr>
          <w:t>57</w:t>
        </w:r>
        <w:r w:rsidR="00121437">
          <w:rPr>
            <w:noProof/>
            <w:webHidden/>
          </w:rPr>
          <w:fldChar w:fldCharType="end"/>
        </w:r>
      </w:hyperlink>
    </w:p>
    <w:p w14:paraId="3C0F36DC" w14:textId="249E33BC" w:rsidR="00121437" w:rsidRDefault="00C974E5">
      <w:pPr>
        <w:pStyle w:val="TOC3"/>
        <w:rPr>
          <w:rFonts w:asciiTheme="minorHAnsi" w:hAnsiTheme="minorHAnsi"/>
          <w:noProof/>
          <w:lang w:eastAsia="en-GB"/>
        </w:rPr>
      </w:pPr>
      <w:hyperlink w:anchor="_Toc33776172" w:history="1">
        <w:r w:rsidR="00121437" w:rsidRPr="00CD05B2">
          <w:rPr>
            <w:rStyle w:val="Hyperlink"/>
            <w:noProof/>
          </w:rPr>
          <w:t>4.2.6</w:t>
        </w:r>
        <w:r w:rsidR="00121437">
          <w:rPr>
            <w:rFonts w:asciiTheme="minorHAnsi" w:hAnsiTheme="minorHAnsi"/>
            <w:noProof/>
            <w:lang w:eastAsia="en-GB"/>
          </w:rPr>
          <w:tab/>
        </w:r>
        <w:r w:rsidR="00121437" w:rsidRPr="00CD05B2">
          <w:rPr>
            <w:rStyle w:val="Hyperlink"/>
            <w:noProof/>
          </w:rPr>
          <w:t>Data synthesis</w:t>
        </w:r>
        <w:r w:rsidR="00121437">
          <w:rPr>
            <w:noProof/>
            <w:webHidden/>
          </w:rPr>
          <w:tab/>
        </w:r>
        <w:r w:rsidR="00121437">
          <w:rPr>
            <w:noProof/>
            <w:webHidden/>
          </w:rPr>
          <w:fldChar w:fldCharType="begin"/>
        </w:r>
        <w:r w:rsidR="00121437">
          <w:rPr>
            <w:noProof/>
            <w:webHidden/>
          </w:rPr>
          <w:instrText xml:space="preserve"> PAGEREF _Toc33776172 \h </w:instrText>
        </w:r>
        <w:r w:rsidR="00121437">
          <w:rPr>
            <w:noProof/>
            <w:webHidden/>
          </w:rPr>
        </w:r>
        <w:r w:rsidR="00121437">
          <w:rPr>
            <w:noProof/>
            <w:webHidden/>
          </w:rPr>
          <w:fldChar w:fldCharType="separate"/>
        </w:r>
        <w:r w:rsidR="00121437">
          <w:rPr>
            <w:noProof/>
            <w:webHidden/>
          </w:rPr>
          <w:t>58</w:t>
        </w:r>
        <w:r w:rsidR="00121437">
          <w:rPr>
            <w:noProof/>
            <w:webHidden/>
          </w:rPr>
          <w:fldChar w:fldCharType="end"/>
        </w:r>
      </w:hyperlink>
    </w:p>
    <w:p w14:paraId="2EB8795A" w14:textId="26B13714" w:rsidR="00121437" w:rsidRDefault="00C974E5">
      <w:pPr>
        <w:pStyle w:val="TOC3"/>
        <w:rPr>
          <w:rFonts w:asciiTheme="minorHAnsi" w:hAnsiTheme="minorHAnsi"/>
          <w:noProof/>
          <w:lang w:eastAsia="en-GB"/>
        </w:rPr>
      </w:pPr>
      <w:hyperlink w:anchor="_Toc33776173" w:history="1">
        <w:r w:rsidR="00121437" w:rsidRPr="00CD05B2">
          <w:rPr>
            <w:rStyle w:val="Hyperlink"/>
            <w:noProof/>
          </w:rPr>
          <w:t>4.2.7</w:t>
        </w:r>
        <w:r w:rsidR="00121437">
          <w:rPr>
            <w:rFonts w:asciiTheme="minorHAnsi" w:hAnsiTheme="minorHAnsi"/>
            <w:noProof/>
            <w:lang w:eastAsia="en-GB"/>
          </w:rPr>
          <w:tab/>
        </w:r>
        <w:r w:rsidR="00121437" w:rsidRPr="00CD05B2">
          <w:rPr>
            <w:rStyle w:val="Hyperlink"/>
            <w:noProof/>
          </w:rPr>
          <w:t>Scoring the strength of association</w:t>
        </w:r>
        <w:r w:rsidR="00121437">
          <w:rPr>
            <w:noProof/>
            <w:webHidden/>
          </w:rPr>
          <w:tab/>
        </w:r>
        <w:r w:rsidR="00121437">
          <w:rPr>
            <w:noProof/>
            <w:webHidden/>
          </w:rPr>
          <w:fldChar w:fldCharType="begin"/>
        </w:r>
        <w:r w:rsidR="00121437">
          <w:rPr>
            <w:noProof/>
            <w:webHidden/>
          </w:rPr>
          <w:instrText xml:space="preserve"> PAGEREF _Toc33776173 \h </w:instrText>
        </w:r>
        <w:r w:rsidR="00121437">
          <w:rPr>
            <w:noProof/>
            <w:webHidden/>
          </w:rPr>
        </w:r>
        <w:r w:rsidR="00121437">
          <w:rPr>
            <w:noProof/>
            <w:webHidden/>
          </w:rPr>
          <w:fldChar w:fldCharType="separate"/>
        </w:r>
        <w:r w:rsidR="00121437">
          <w:rPr>
            <w:noProof/>
            <w:webHidden/>
          </w:rPr>
          <w:t>58</w:t>
        </w:r>
        <w:r w:rsidR="00121437">
          <w:rPr>
            <w:noProof/>
            <w:webHidden/>
          </w:rPr>
          <w:fldChar w:fldCharType="end"/>
        </w:r>
      </w:hyperlink>
    </w:p>
    <w:p w14:paraId="76144CF4" w14:textId="13500CDD" w:rsidR="00121437" w:rsidRDefault="00C974E5">
      <w:pPr>
        <w:pStyle w:val="TOC2"/>
        <w:rPr>
          <w:rFonts w:asciiTheme="minorHAnsi" w:hAnsiTheme="minorHAnsi"/>
          <w:noProof/>
          <w:lang w:eastAsia="en-GB"/>
        </w:rPr>
      </w:pPr>
      <w:hyperlink w:anchor="_Toc33776174" w:history="1">
        <w:r w:rsidR="00121437" w:rsidRPr="00CD05B2">
          <w:rPr>
            <w:rStyle w:val="Hyperlink"/>
            <w:noProof/>
          </w:rPr>
          <w:t>4.3</w:t>
        </w:r>
        <w:r w:rsidR="00121437">
          <w:rPr>
            <w:rFonts w:asciiTheme="minorHAnsi" w:hAnsiTheme="minorHAnsi"/>
            <w:noProof/>
            <w:lang w:eastAsia="en-GB"/>
          </w:rPr>
          <w:tab/>
        </w:r>
        <w:r w:rsidR="00121437" w:rsidRPr="00CD05B2">
          <w:rPr>
            <w:rStyle w:val="Hyperlink"/>
            <w:noProof/>
          </w:rPr>
          <w:t>Results</w:t>
        </w:r>
        <w:r w:rsidR="00121437">
          <w:rPr>
            <w:noProof/>
            <w:webHidden/>
          </w:rPr>
          <w:tab/>
        </w:r>
        <w:r w:rsidR="00121437">
          <w:rPr>
            <w:noProof/>
            <w:webHidden/>
          </w:rPr>
          <w:fldChar w:fldCharType="begin"/>
        </w:r>
        <w:r w:rsidR="00121437">
          <w:rPr>
            <w:noProof/>
            <w:webHidden/>
          </w:rPr>
          <w:instrText xml:space="preserve"> PAGEREF _Toc33776174 \h </w:instrText>
        </w:r>
        <w:r w:rsidR="00121437">
          <w:rPr>
            <w:noProof/>
            <w:webHidden/>
          </w:rPr>
        </w:r>
        <w:r w:rsidR="00121437">
          <w:rPr>
            <w:noProof/>
            <w:webHidden/>
          </w:rPr>
          <w:fldChar w:fldCharType="separate"/>
        </w:r>
        <w:r w:rsidR="00121437">
          <w:rPr>
            <w:noProof/>
            <w:webHidden/>
          </w:rPr>
          <w:t>59</w:t>
        </w:r>
        <w:r w:rsidR="00121437">
          <w:rPr>
            <w:noProof/>
            <w:webHidden/>
          </w:rPr>
          <w:fldChar w:fldCharType="end"/>
        </w:r>
      </w:hyperlink>
    </w:p>
    <w:p w14:paraId="03D935FD" w14:textId="7D79F067" w:rsidR="00121437" w:rsidRDefault="00C974E5">
      <w:pPr>
        <w:pStyle w:val="TOC3"/>
        <w:rPr>
          <w:rFonts w:asciiTheme="minorHAnsi" w:hAnsiTheme="minorHAnsi"/>
          <w:noProof/>
          <w:lang w:eastAsia="en-GB"/>
        </w:rPr>
      </w:pPr>
      <w:hyperlink w:anchor="_Toc33776175" w:history="1">
        <w:r w:rsidR="00121437" w:rsidRPr="00CD05B2">
          <w:rPr>
            <w:rStyle w:val="Hyperlink"/>
            <w:noProof/>
          </w:rPr>
          <w:t>4.3.1</w:t>
        </w:r>
        <w:r w:rsidR="00121437">
          <w:rPr>
            <w:rFonts w:asciiTheme="minorHAnsi" w:hAnsiTheme="minorHAnsi"/>
            <w:noProof/>
            <w:lang w:eastAsia="en-GB"/>
          </w:rPr>
          <w:tab/>
        </w:r>
        <w:r w:rsidR="00121437" w:rsidRPr="00CD05B2">
          <w:rPr>
            <w:rStyle w:val="Hyperlink"/>
            <w:noProof/>
          </w:rPr>
          <w:t>Number of included studies</w:t>
        </w:r>
        <w:r w:rsidR="00121437">
          <w:rPr>
            <w:noProof/>
            <w:webHidden/>
          </w:rPr>
          <w:tab/>
        </w:r>
        <w:r w:rsidR="00121437">
          <w:rPr>
            <w:noProof/>
            <w:webHidden/>
          </w:rPr>
          <w:fldChar w:fldCharType="begin"/>
        </w:r>
        <w:r w:rsidR="00121437">
          <w:rPr>
            <w:noProof/>
            <w:webHidden/>
          </w:rPr>
          <w:instrText xml:space="preserve"> PAGEREF _Toc33776175 \h </w:instrText>
        </w:r>
        <w:r w:rsidR="00121437">
          <w:rPr>
            <w:noProof/>
            <w:webHidden/>
          </w:rPr>
        </w:r>
        <w:r w:rsidR="00121437">
          <w:rPr>
            <w:noProof/>
            <w:webHidden/>
          </w:rPr>
          <w:fldChar w:fldCharType="separate"/>
        </w:r>
        <w:r w:rsidR="00121437">
          <w:rPr>
            <w:noProof/>
            <w:webHidden/>
          </w:rPr>
          <w:t>59</w:t>
        </w:r>
        <w:r w:rsidR="00121437">
          <w:rPr>
            <w:noProof/>
            <w:webHidden/>
          </w:rPr>
          <w:fldChar w:fldCharType="end"/>
        </w:r>
      </w:hyperlink>
    </w:p>
    <w:p w14:paraId="3EF8DC70" w14:textId="33B31555" w:rsidR="00121437" w:rsidRDefault="00C974E5">
      <w:pPr>
        <w:pStyle w:val="TOC3"/>
        <w:rPr>
          <w:rFonts w:asciiTheme="minorHAnsi" w:hAnsiTheme="minorHAnsi"/>
          <w:noProof/>
          <w:lang w:eastAsia="en-GB"/>
        </w:rPr>
      </w:pPr>
      <w:hyperlink w:anchor="_Toc33776176" w:history="1">
        <w:r w:rsidR="00121437" w:rsidRPr="00CD05B2">
          <w:rPr>
            <w:rStyle w:val="Hyperlink"/>
            <w:noProof/>
          </w:rPr>
          <w:t>4.3.2</w:t>
        </w:r>
        <w:r w:rsidR="00121437">
          <w:rPr>
            <w:rFonts w:asciiTheme="minorHAnsi" w:hAnsiTheme="minorHAnsi"/>
            <w:noProof/>
            <w:lang w:eastAsia="en-GB"/>
          </w:rPr>
          <w:tab/>
        </w:r>
        <w:r w:rsidR="00121437" w:rsidRPr="00CD05B2">
          <w:rPr>
            <w:rStyle w:val="Hyperlink"/>
            <w:noProof/>
          </w:rPr>
          <w:t>Characteristics of included studies</w:t>
        </w:r>
        <w:r w:rsidR="00121437">
          <w:rPr>
            <w:noProof/>
            <w:webHidden/>
          </w:rPr>
          <w:tab/>
        </w:r>
        <w:r w:rsidR="00121437">
          <w:rPr>
            <w:noProof/>
            <w:webHidden/>
          </w:rPr>
          <w:fldChar w:fldCharType="begin"/>
        </w:r>
        <w:r w:rsidR="00121437">
          <w:rPr>
            <w:noProof/>
            <w:webHidden/>
          </w:rPr>
          <w:instrText xml:space="preserve"> PAGEREF _Toc33776176 \h </w:instrText>
        </w:r>
        <w:r w:rsidR="00121437">
          <w:rPr>
            <w:noProof/>
            <w:webHidden/>
          </w:rPr>
        </w:r>
        <w:r w:rsidR="00121437">
          <w:rPr>
            <w:noProof/>
            <w:webHidden/>
          </w:rPr>
          <w:fldChar w:fldCharType="separate"/>
        </w:r>
        <w:r w:rsidR="00121437">
          <w:rPr>
            <w:noProof/>
            <w:webHidden/>
          </w:rPr>
          <w:t>60</w:t>
        </w:r>
        <w:r w:rsidR="00121437">
          <w:rPr>
            <w:noProof/>
            <w:webHidden/>
          </w:rPr>
          <w:fldChar w:fldCharType="end"/>
        </w:r>
      </w:hyperlink>
    </w:p>
    <w:p w14:paraId="6C2D90FF" w14:textId="14ED6D89" w:rsidR="00121437" w:rsidRDefault="00C974E5">
      <w:pPr>
        <w:pStyle w:val="TOC4"/>
        <w:rPr>
          <w:rFonts w:asciiTheme="minorHAnsi" w:hAnsiTheme="minorHAnsi"/>
          <w:noProof/>
          <w:lang w:eastAsia="en-GB"/>
        </w:rPr>
      </w:pPr>
      <w:hyperlink w:anchor="_Toc33776177" w:history="1">
        <w:r w:rsidR="00121437" w:rsidRPr="00CD05B2">
          <w:rPr>
            <w:rStyle w:val="Hyperlink"/>
            <w:rFonts w:eastAsia="Times New Roman"/>
            <w:noProof/>
            <w:lang w:eastAsia="en-GB"/>
          </w:rPr>
          <w:t>4.3.2.1</w:t>
        </w:r>
        <w:r w:rsidR="00121437">
          <w:rPr>
            <w:rFonts w:asciiTheme="minorHAnsi" w:hAnsiTheme="minorHAnsi"/>
            <w:noProof/>
            <w:lang w:eastAsia="en-GB"/>
          </w:rPr>
          <w:tab/>
        </w:r>
        <w:r w:rsidR="00121437" w:rsidRPr="00CD05B2">
          <w:rPr>
            <w:rStyle w:val="Hyperlink"/>
            <w:rFonts w:eastAsia="Times New Roman"/>
            <w:noProof/>
            <w:lang w:eastAsia="en-GB"/>
          </w:rPr>
          <w:t>Surrogate relationships, cancer types and treatments</w:t>
        </w:r>
        <w:r w:rsidR="00121437">
          <w:rPr>
            <w:noProof/>
            <w:webHidden/>
          </w:rPr>
          <w:tab/>
        </w:r>
        <w:r w:rsidR="00121437">
          <w:rPr>
            <w:noProof/>
            <w:webHidden/>
          </w:rPr>
          <w:fldChar w:fldCharType="begin"/>
        </w:r>
        <w:r w:rsidR="00121437">
          <w:rPr>
            <w:noProof/>
            <w:webHidden/>
          </w:rPr>
          <w:instrText xml:space="preserve"> PAGEREF _Toc33776177 \h </w:instrText>
        </w:r>
        <w:r w:rsidR="00121437">
          <w:rPr>
            <w:noProof/>
            <w:webHidden/>
          </w:rPr>
        </w:r>
        <w:r w:rsidR="00121437">
          <w:rPr>
            <w:noProof/>
            <w:webHidden/>
          </w:rPr>
          <w:fldChar w:fldCharType="separate"/>
        </w:r>
        <w:r w:rsidR="00121437">
          <w:rPr>
            <w:noProof/>
            <w:webHidden/>
          </w:rPr>
          <w:t>60</w:t>
        </w:r>
        <w:r w:rsidR="00121437">
          <w:rPr>
            <w:noProof/>
            <w:webHidden/>
          </w:rPr>
          <w:fldChar w:fldCharType="end"/>
        </w:r>
      </w:hyperlink>
    </w:p>
    <w:p w14:paraId="2B207E73" w14:textId="591335E4" w:rsidR="00121437" w:rsidRDefault="00C974E5">
      <w:pPr>
        <w:pStyle w:val="TOC4"/>
        <w:rPr>
          <w:rFonts w:asciiTheme="minorHAnsi" w:hAnsiTheme="minorHAnsi"/>
          <w:noProof/>
          <w:lang w:eastAsia="en-GB"/>
        </w:rPr>
      </w:pPr>
      <w:hyperlink w:anchor="_Toc33776178" w:history="1">
        <w:r w:rsidR="00121437" w:rsidRPr="00CD05B2">
          <w:rPr>
            <w:rStyle w:val="Hyperlink"/>
            <w:rFonts w:eastAsia="Times New Roman"/>
            <w:noProof/>
            <w:lang w:eastAsia="en-GB"/>
          </w:rPr>
          <w:t>4.3.2.2</w:t>
        </w:r>
        <w:r w:rsidR="00121437">
          <w:rPr>
            <w:rFonts w:asciiTheme="minorHAnsi" w:hAnsiTheme="minorHAnsi"/>
            <w:noProof/>
            <w:lang w:eastAsia="en-GB"/>
          </w:rPr>
          <w:tab/>
        </w:r>
        <w:r w:rsidR="00121437" w:rsidRPr="00CD05B2">
          <w:rPr>
            <w:rStyle w:val="Hyperlink"/>
            <w:rFonts w:eastAsia="Times New Roman"/>
            <w:noProof/>
            <w:lang w:eastAsia="en-GB"/>
          </w:rPr>
          <w:t>Data types reported</w:t>
        </w:r>
        <w:r w:rsidR="00121437">
          <w:rPr>
            <w:noProof/>
            <w:webHidden/>
          </w:rPr>
          <w:tab/>
        </w:r>
        <w:r w:rsidR="00121437">
          <w:rPr>
            <w:noProof/>
            <w:webHidden/>
          </w:rPr>
          <w:fldChar w:fldCharType="begin"/>
        </w:r>
        <w:r w:rsidR="00121437">
          <w:rPr>
            <w:noProof/>
            <w:webHidden/>
          </w:rPr>
          <w:instrText xml:space="preserve"> PAGEREF _Toc33776178 \h </w:instrText>
        </w:r>
        <w:r w:rsidR="00121437">
          <w:rPr>
            <w:noProof/>
            <w:webHidden/>
          </w:rPr>
        </w:r>
        <w:r w:rsidR="00121437">
          <w:rPr>
            <w:noProof/>
            <w:webHidden/>
          </w:rPr>
          <w:fldChar w:fldCharType="separate"/>
        </w:r>
        <w:r w:rsidR="00121437">
          <w:rPr>
            <w:noProof/>
            <w:webHidden/>
          </w:rPr>
          <w:t>61</w:t>
        </w:r>
        <w:r w:rsidR="00121437">
          <w:rPr>
            <w:noProof/>
            <w:webHidden/>
          </w:rPr>
          <w:fldChar w:fldCharType="end"/>
        </w:r>
      </w:hyperlink>
    </w:p>
    <w:p w14:paraId="189FC657" w14:textId="1225415B" w:rsidR="00121437" w:rsidRDefault="00C974E5">
      <w:pPr>
        <w:pStyle w:val="TOC3"/>
        <w:rPr>
          <w:rFonts w:asciiTheme="minorHAnsi" w:hAnsiTheme="minorHAnsi"/>
          <w:noProof/>
          <w:lang w:eastAsia="en-GB"/>
        </w:rPr>
      </w:pPr>
      <w:hyperlink w:anchor="_Toc33776179" w:history="1">
        <w:r w:rsidR="00121437" w:rsidRPr="00CD05B2">
          <w:rPr>
            <w:rStyle w:val="Hyperlink"/>
            <w:noProof/>
          </w:rPr>
          <w:t>4.3.3</w:t>
        </w:r>
        <w:r w:rsidR="00121437">
          <w:rPr>
            <w:rFonts w:asciiTheme="minorHAnsi" w:hAnsiTheme="minorHAnsi"/>
            <w:noProof/>
            <w:lang w:eastAsia="en-GB"/>
          </w:rPr>
          <w:tab/>
        </w:r>
        <w:r w:rsidR="00121437" w:rsidRPr="00CD05B2">
          <w:rPr>
            <w:rStyle w:val="Hyperlink"/>
            <w:noProof/>
          </w:rPr>
          <w:t>Results of included studies</w:t>
        </w:r>
        <w:r w:rsidR="00121437">
          <w:rPr>
            <w:noProof/>
            <w:webHidden/>
          </w:rPr>
          <w:tab/>
        </w:r>
        <w:r w:rsidR="00121437">
          <w:rPr>
            <w:noProof/>
            <w:webHidden/>
          </w:rPr>
          <w:fldChar w:fldCharType="begin"/>
        </w:r>
        <w:r w:rsidR="00121437">
          <w:rPr>
            <w:noProof/>
            <w:webHidden/>
          </w:rPr>
          <w:instrText xml:space="preserve"> PAGEREF _Toc33776179 \h </w:instrText>
        </w:r>
        <w:r w:rsidR="00121437">
          <w:rPr>
            <w:noProof/>
            <w:webHidden/>
          </w:rPr>
        </w:r>
        <w:r w:rsidR="00121437">
          <w:rPr>
            <w:noProof/>
            <w:webHidden/>
          </w:rPr>
          <w:fldChar w:fldCharType="separate"/>
        </w:r>
        <w:r w:rsidR="00121437">
          <w:rPr>
            <w:noProof/>
            <w:webHidden/>
          </w:rPr>
          <w:t>64</w:t>
        </w:r>
        <w:r w:rsidR="00121437">
          <w:rPr>
            <w:noProof/>
            <w:webHidden/>
          </w:rPr>
          <w:fldChar w:fldCharType="end"/>
        </w:r>
      </w:hyperlink>
    </w:p>
    <w:p w14:paraId="4488B2CD" w14:textId="496454BD" w:rsidR="00121437" w:rsidRDefault="00C974E5">
      <w:pPr>
        <w:pStyle w:val="TOC4"/>
        <w:rPr>
          <w:rFonts w:asciiTheme="minorHAnsi" w:hAnsiTheme="minorHAnsi"/>
          <w:noProof/>
          <w:lang w:eastAsia="en-GB"/>
        </w:rPr>
      </w:pPr>
      <w:hyperlink w:anchor="_Toc33776180" w:history="1">
        <w:r w:rsidR="00121437" w:rsidRPr="00CD05B2">
          <w:rPr>
            <w:rStyle w:val="Hyperlink"/>
            <w:noProof/>
          </w:rPr>
          <w:t>4.3.3.1</w:t>
        </w:r>
        <w:r w:rsidR="00121437">
          <w:rPr>
            <w:rFonts w:asciiTheme="minorHAnsi" w:hAnsiTheme="minorHAnsi"/>
            <w:noProof/>
            <w:lang w:eastAsia="en-GB"/>
          </w:rPr>
          <w:tab/>
        </w:r>
        <w:r w:rsidR="00121437" w:rsidRPr="00CD05B2">
          <w:rPr>
            <w:rStyle w:val="Hyperlink"/>
            <w:noProof/>
          </w:rPr>
          <w:t>Absolute (individual-level) correlation and regression</w:t>
        </w:r>
        <w:r w:rsidR="00121437">
          <w:rPr>
            <w:noProof/>
            <w:webHidden/>
          </w:rPr>
          <w:tab/>
        </w:r>
        <w:r w:rsidR="00121437">
          <w:rPr>
            <w:noProof/>
            <w:webHidden/>
          </w:rPr>
          <w:fldChar w:fldCharType="begin"/>
        </w:r>
        <w:r w:rsidR="00121437">
          <w:rPr>
            <w:noProof/>
            <w:webHidden/>
          </w:rPr>
          <w:instrText xml:space="preserve"> PAGEREF _Toc33776180 \h </w:instrText>
        </w:r>
        <w:r w:rsidR="00121437">
          <w:rPr>
            <w:noProof/>
            <w:webHidden/>
          </w:rPr>
        </w:r>
        <w:r w:rsidR="00121437">
          <w:rPr>
            <w:noProof/>
            <w:webHidden/>
          </w:rPr>
          <w:fldChar w:fldCharType="separate"/>
        </w:r>
        <w:r w:rsidR="00121437">
          <w:rPr>
            <w:noProof/>
            <w:webHidden/>
          </w:rPr>
          <w:t>64</w:t>
        </w:r>
        <w:r w:rsidR="00121437">
          <w:rPr>
            <w:noProof/>
            <w:webHidden/>
          </w:rPr>
          <w:fldChar w:fldCharType="end"/>
        </w:r>
      </w:hyperlink>
    </w:p>
    <w:p w14:paraId="4B4028FB" w14:textId="1780076F" w:rsidR="00121437" w:rsidRDefault="00C974E5">
      <w:pPr>
        <w:pStyle w:val="TOC4"/>
        <w:rPr>
          <w:rFonts w:asciiTheme="minorHAnsi" w:hAnsiTheme="minorHAnsi"/>
          <w:noProof/>
          <w:lang w:eastAsia="en-GB"/>
        </w:rPr>
      </w:pPr>
      <w:hyperlink w:anchor="_Toc33776181" w:history="1">
        <w:r w:rsidR="00121437" w:rsidRPr="00CD05B2">
          <w:rPr>
            <w:rStyle w:val="Hyperlink"/>
            <w:noProof/>
          </w:rPr>
          <w:t>4.3.3.2</w:t>
        </w:r>
        <w:r w:rsidR="00121437">
          <w:rPr>
            <w:rFonts w:asciiTheme="minorHAnsi" w:hAnsiTheme="minorHAnsi"/>
            <w:noProof/>
            <w:lang w:eastAsia="en-GB"/>
          </w:rPr>
          <w:tab/>
        </w:r>
        <w:r w:rsidR="00121437" w:rsidRPr="00CD05B2">
          <w:rPr>
            <w:rStyle w:val="Hyperlink"/>
            <w:noProof/>
          </w:rPr>
          <w:t>Treatment effect (trial-level) correlation and regression</w:t>
        </w:r>
        <w:r w:rsidR="00121437">
          <w:rPr>
            <w:noProof/>
            <w:webHidden/>
          </w:rPr>
          <w:tab/>
        </w:r>
        <w:r w:rsidR="00121437">
          <w:rPr>
            <w:noProof/>
            <w:webHidden/>
          </w:rPr>
          <w:fldChar w:fldCharType="begin"/>
        </w:r>
        <w:r w:rsidR="00121437">
          <w:rPr>
            <w:noProof/>
            <w:webHidden/>
          </w:rPr>
          <w:instrText xml:space="preserve"> PAGEREF _Toc33776181 \h </w:instrText>
        </w:r>
        <w:r w:rsidR="00121437">
          <w:rPr>
            <w:noProof/>
            <w:webHidden/>
          </w:rPr>
        </w:r>
        <w:r w:rsidR="00121437">
          <w:rPr>
            <w:noProof/>
            <w:webHidden/>
          </w:rPr>
          <w:fldChar w:fldCharType="separate"/>
        </w:r>
        <w:r w:rsidR="00121437">
          <w:rPr>
            <w:noProof/>
            <w:webHidden/>
          </w:rPr>
          <w:t>69</w:t>
        </w:r>
        <w:r w:rsidR="00121437">
          <w:rPr>
            <w:noProof/>
            <w:webHidden/>
          </w:rPr>
          <w:fldChar w:fldCharType="end"/>
        </w:r>
      </w:hyperlink>
    </w:p>
    <w:p w14:paraId="7770FC19" w14:textId="3403AFD9" w:rsidR="00121437" w:rsidRDefault="00C974E5">
      <w:pPr>
        <w:pStyle w:val="TOC4"/>
        <w:rPr>
          <w:rFonts w:asciiTheme="minorHAnsi" w:hAnsiTheme="minorHAnsi"/>
          <w:noProof/>
          <w:lang w:eastAsia="en-GB"/>
        </w:rPr>
      </w:pPr>
      <w:hyperlink w:anchor="_Toc33776182" w:history="1">
        <w:r w:rsidR="00121437" w:rsidRPr="00CD05B2">
          <w:rPr>
            <w:rStyle w:val="Hyperlink"/>
            <w:noProof/>
          </w:rPr>
          <w:t>4.3.3.3</w:t>
        </w:r>
        <w:r w:rsidR="00121437">
          <w:rPr>
            <w:rFonts w:asciiTheme="minorHAnsi" w:hAnsiTheme="minorHAnsi"/>
            <w:noProof/>
            <w:lang w:eastAsia="en-GB"/>
          </w:rPr>
          <w:tab/>
        </w:r>
        <w:r w:rsidR="00121437" w:rsidRPr="00CD05B2">
          <w:rPr>
            <w:rStyle w:val="Hyperlink"/>
            <w:noProof/>
          </w:rPr>
          <w:t>Regression equations</w:t>
        </w:r>
        <w:r w:rsidR="00121437">
          <w:rPr>
            <w:noProof/>
            <w:webHidden/>
          </w:rPr>
          <w:tab/>
        </w:r>
        <w:r w:rsidR="00121437">
          <w:rPr>
            <w:noProof/>
            <w:webHidden/>
          </w:rPr>
          <w:fldChar w:fldCharType="begin"/>
        </w:r>
        <w:r w:rsidR="00121437">
          <w:rPr>
            <w:noProof/>
            <w:webHidden/>
          </w:rPr>
          <w:instrText xml:space="preserve"> PAGEREF _Toc33776182 \h </w:instrText>
        </w:r>
        <w:r w:rsidR="00121437">
          <w:rPr>
            <w:noProof/>
            <w:webHidden/>
          </w:rPr>
        </w:r>
        <w:r w:rsidR="00121437">
          <w:rPr>
            <w:noProof/>
            <w:webHidden/>
          </w:rPr>
          <w:fldChar w:fldCharType="separate"/>
        </w:r>
        <w:r w:rsidR="00121437">
          <w:rPr>
            <w:noProof/>
            <w:webHidden/>
          </w:rPr>
          <w:t>73</w:t>
        </w:r>
        <w:r w:rsidR="00121437">
          <w:rPr>
            <w:noProof/>
            <w:webHidden/>
          </w:rPr>
          <w:fldChar w:fldCharType="end"/>
        </w:r>
      </w:hyperlink>
    </w:p>
    <w:p w14:paraId="44843FE5" w14:textId="4E63DF56" w:rsidR="00121437" w:rsidRDefault="00C974E5">
      <w:pPr>
        <w:pStyle w:val="TOC4"/>
        <w:rPr>
          <w:rFonts w:asciiTheme="minorHAnsi" w:hAnsiTheme="minorHAnsi"/>
          <w:noProof/>
          <w:lang w:eastAsia="en-GB"/>
        </w:rPr>
      </w:pPr>
      <w:hyperlink w:anchor="_Toc33776183" w:history="1">
        <w:r w:rsidR="00121437" w:rsidRPr="00CD05B2">
          <w:rPr>
            <w:rStyle w:val="Hyperlink"/>
            <w:noProof/>
          </w:rPr>
          <w:t>4.3.3.4</w:t>
        </w:r>
        <w:r w:rsidR="00121437">
          <w:rPr>
            <w:rFonts w:asciiTheme="minorHAnsi" w:hAnsiTheme="minorHAnsi"/>
            <w:noProof/>
            <w:lang w:eastAsia="en-GB"/>
          </w:rPr>
          <w:tab/>
        </w:r>
        <w:r w:rsidR="00121437" w:rsidRPr="00CD05B2">
          <w:rPr>
            <w:rStyle w:val="Hyperlink"/>
            <w:noProof/>
          </w:rPr>
          <w:t>Surrogate threshold effect (STE)</w:t>
        </w:r>
        <w:r w:rsidR="00121437">
          <w:rPr>
            <w:noProof/>
            <w:webHidden/>
          </w:rPr>
          <w:tab/>
        </w:r>
        <w:r w:rsidR="00121437">
          <w:rPr>
            <w:noProof/>
            <w:webHidden/>
          </w:rPr>
          <w:fldChar w:fldCharType="begin"/>
        </w:r>
        <w:r w:rsidR="00121437">
          <w:rPr>
            <w:noProof/>
            <w:webHidden/>
          </w:rPr>
          <w:instrText xml:space="preserve"> PAGEREF _Toc33776183 \h </w:instrText>
        </w:r>
        <w:r w:rsidR="00121437">
          <w:rPr>
            <w:noProof/>
            <w:webHidden/>
          </w:rPr>
        </w:r>
        <w:r w:rsidR="00121437">
          <w:rPr>
            <w:noProof/>
            <w:webHidden/>
          </w:rPr>
          <w:fldChar w:fldCharType="separate"/>
        </w:r>
        <w:r w:rsidR="00121437">
          <w:rPr>
            <w:noProof/>
            <w:webHidden/>
          </w:rPr>
          <w:t>77</w:t>
        </w:r>
        <w:r w:rsidR="00121437">
          <w:rPr>
            <w:noProof/>
            <w:webHidden/>
          </w:rPr>
          <w:fldChar w:fldCharType="end"/>
        </w:r>
      </w:hyperlink>
    </w:p>
    <w:p w14:paraId="209414ED" w14:textId="5FFBAB9F" w:rsidR="00121437" w:rsidRDefault="00C974E5">
      <w:pPr>
        <w:pStyle w:val="TOC3"/>
        <w:rPr>
          <w:rFonts w:asciiTheme="minorHAnsi" w:hAnsiTheme="minorHAnsi"/>
          <w:noProof/>
          <w:lang w:eastAsia="en-GB"/>
        </w:rPr>
      </w:pPr>
      <w:hyperlink w:anchor="_Toc33776184" w:history="1">
        <w:r w:rsidR="00121437" w:rsidRPr="00CD05B2">
          <w:rPr>
            <w:rStyle w:val="Hyperlink"/>
            <w:noProof/>
          </w:rPr>
          <w:t>4.3.4</w:t>
        </w:r>
        <w:r w:rsidR="00121437">
          <w:rPr>
            <w:rFonts w:asciiTheme="minorHAnsi" w:hAnsiTheme="minorHAnsi"/>
            <w:noProof/>
            <w:lang w:eastAsia="en-GB"/>
          </w:rPr>
          <w:tab/>
        </w:r>
        <w:r w:rsidR="00121437" w:rsidRPr="00CD05B2">
          <w:rPr>
            <w:rStyle w:val="Hyperlink"/>
            <w:noProof/>
          </w:rPr>
          <w:t>IQWiG and BSES2 scores for strength of association</w:t>
        </w:r>
        <w:r w:rsidR="00121437">
          <w:rPr>
            <w:noProof/>
            <w:webHidden/>
          </w:rPr>
          <w:tab/>
        </w:r>
        <w:r w:rsidR="00121437">
          <w:rPr>
            <w:noProof/>
            <w:webHidden/>
          </w:rPr>
          <w:fldChar w:fldCharType="begin"/>
        </w:r>
        <w:r w:rsidR="00121437">
          <w:rPr>
            <w:noProof/>
            <w:webHidden/>
          </w:rPr>
          <w:instrText xml:space="preserve"> PAGEREF _Toc33776184 \h </w:instrText>
        </w:r>
        <w:r w:rsidR="00121437">
          <w:rPr>
            <w:noProof/>
            <w:webHidden/>
          </w:rPr>
        </w:r>
        <w:r w:rsidR="00121437">
          <w:rPr>
            <w:noProof/>
            <w:webHidden/>
          </w:rPr>
          <w:fldChar w:fldCharType="separate"/>
        </w:r>
        <w:r w:rsidR="00121437">
          <w:rPr>
            <w:noProof/>
            <w:webHidden/>
          </w:rPr>
          <w:t>77</w:t>
        </w:r>
        <w:r w:rsidR="00121437">
          <w:rPr>
            <w:noProof/>
            <w:webHidden/>
          </w:rPr>
          <w:fldChar w:fldCharType="end"/>
        </w:r>
      </w:hyperlink>
    </w:p>
    <w:p w14:paraId="6BF38EAE" w14:textId="77B46B68" w:rsidR="00121437" w:rsidRDefault="00C974E5">
      <w:pPr>
        <w:pStyle w:val="TOC2"/>
        <w:rPr>
          <w:rFonts w:asciiTheme="minorHAnsi" w:hAnsiTheme="minorHAnsi"/>
          <w:noProof/>
          <w:lang w:eastAsia="en-GB"/>
        </w:rPr>
      </w:pPr>
      <w:hyperlink w:anchor="_Toc33776185" w:history="1">
        <w:r w:rsidR="00121437" w:rsidRPr="00CD05B2">
          <w:rPr>
            <w:rStyle w:val="Hyperlink"/>
            <w:noProof/>
          </w:rPr>
          <w:t>4.4</w:t>
        </w:r>
        <w:r w:rsidR="00121437">
          <w:rPr>
            <w:rFonts w:asciiTheme="minorHAnsi" w:hAnsiTheme="minorHAnsi"/>
            <w:noProof/>
            <w:lang w:eastAsia="en-GB"/>
          </w:rPr>
          <w:tab/>
        </w:r>
        <w:r w:rsidR="00121437" w:rsidRPr="00CD05B2">
          <w:rPr>
            <w:rStyle w:val="Hyperlink"/>
            <w:noProof/>
          </w:rPr>
          <w:t>Discussion</w:t>
        </w:r>
        <w:r w:rsidR="00121437">
          <w:rPr>
            <w:noProof/>
            <w:webHidden/>
          </w:rPr>
          <w:tab/>
        </w:r>
        <w:r w:rsidR="00121437">
          <w:rPr>
            <w:noProof/>
            <w:webHidden/>
          </w:rPr>
          <w:fldChar w:fldCharType="begin"/>
        </w:r>
        <w:r w:rsidR="00121437">
          <w:rPr>
            <w:noProof/>
            <w:webHidden/>
          </w:rPr>
          <w:instrText xml:space="preserve"> PAGEREF _Toc33776185 \h </w:instrText>
        </w:r>
        <w:r w:rsidR="00121437">
          <w:rPr>
            <w:noProof/>
            <w:webHidden/>
          </w:rPr>
        </w:r>
        <w:r w:rsidR="00121437">
          <w:rPr>
            <w:noProof/>
            <w:webHidden/>
          </w:rPr>
          <w:fldChar w:fldCharType="separate"/>
        </w:r>
        <w:r w:rsidR="00121437">
          <w:rPr>
            <w:noProof/>
            <w:webHidden/>
          </w:rPr>
          <w:t>79</w:t>
        </w:r>
        <w:r w:rsidR="00121437">
          <w:rPr>
            <w:noProof/>
            <w:webHidden/>
          </w:rPr>
          <w:fldChar w:fldCharType="end"/>
        </w:r>
      </w:hyperlink>
    </w:p>
    <w:p w14:paraId="79B58718" w14:textId="6CED9BD4" w:rsidR="00121437" w:rsidRDefault="00C974E5">
      <w:pPr>
        <w:pStyle w:val="TOC3"/>
        <w:rPr>
          <w:rFonts w:asciiTheme="minorHAnsi" w:hAnsiTheme="minorHAnsi"/>
          <w:noProof/>
          <w:lang w:eastAsia="en-GB"/>
        </w:rPr>
      </w:pPr>
      <w:hyperlink w:anchor="_Toc33776186" w:history="1">
        <w:r w:rsidR="00121437" w:rsidRPr="00CD05B2">
          <w:rPr>
            <w:rStyle w:val="Hyperlink"/>
            <w:noProof/>
          </w:rPr>
          <w:t>4.4.1</w:t>
        </w:r>
        <w:r w:rsidR="00121437">
          <w:rPr>
            <w:rFonts w:asciiTheme="minorHAnsi" w:hAnsiTheme="minorHAnsi"/>
            <w:noProof/>
            <w:lang w:eastAsia="en-GB"/>
          </w:rPr>
          <w:tab/>
        </w:r>
        <w:r w:rsidR="00121437" w:rsidRPr="00CD05B2">
          <w:rPr>
            <w:rStyle w:val="Hyperlink"/>
            <w:noProof/>
          </w:rPr>
          <w:t>Summary of main findings</w:t>
        </w:r>
        <w:r w:rsidR="00121437">
          <w:rPr>
            <w:noProof/>
            <w:webHidden/>
          </w:rPr>
          <w:tab/>
        </w:r>
        <w:r w:rsidR="00121437">
          <w:rPr>
            <w:noProof/>
            <w:webHidden/>
          </w:rPr>
          <w:fldChar w:fldCharType="begin"/>
        </w:r>
        <w:r w:rsidR="00121437">
          <w:rPr>
            <w:noProof/>
            <w:webHidden/>
          </w:rPr>
          <w:instrText xml:space="preserve"> PAGEREF _Toc33776186 \h </w:instrText>
        </w:r>
        <w:r w:rsidR="00121437">
          <w:rPr>
            <w:noProof/>
            <w:webHidden/>
          </w:rPr>
        </w:r>
        <w:r w:rsidR="00121437">
          <w:rPr>
            <w:noProof/>
            <w:webHidden/>
          </w:rPr>
          <w:fldChar w:fldCharType="separate"/>
        </w:r>
        <w:r w:rsidR="00121437">
          <w:rPr>
            <w:noProof/>
            <w:webHidden/>
          </w:rPr>
          <w:t>79</w:t>
        </w:r>
        <w:r w:rsidR="00121437">
          <w:rPr>
            <w:noProof/>
            <w:webHidden/>
          </w:rPr>
          <w:fldChar w:fldCharType="end"/>
        </w:r>
      </w:hyperlink>
    </w:p>
    <w:p w14:paraId="440C947C" w14:textId="5BDA68D2" w:rsidR="00121437" w:rsidRDefault="00C974E5">
      <w:pPr>
        <w:pStyle w:val="TOC4"/>
        <w:rPr>
          <w:rFonts w:asciiTheme="minorHAnsi" w:hAnsiTheme="minorHAnsi"/>
          <w:noProof/>
          <w:lang w:eastAsia="en-GB"/>
        </w:rPr>
      </w:pPr>
      <w:hyperlink w:anchor="_Toc33776187" w:history="1">
        <w:r w:rsidR="00121437" w:rsidRPr="00CD05B2">
          <w:rPr>
            <w:rStyle w:val="Hyperlink"/>
            <w:rFonts w:eastAsia="Times New Roman"/>
            <w:noProof/>
            <w:lang w:eastAsia="en-GB"/>
          </w:rPr>
          <w:t>4.4.1.1</w:t>
        </w:r>
        <w:r w:rsidR="00121437">
          <w:rPr>
            <w:rFonts w:asciiTheme="minorHAnsi" w:hAnsiTheme="minorHAnsi"/>
            <w:noProof/>
            <w:lang w:eastAsia="en-GB"/>
          </w:rPr>
          <w:tab/>
        </w:r>
        <w:r w:rsidR="00121437" w:rsidRPr="00CD05B2">
          <w:rPr>
            <w:rStyle w:val="Hyperlink"/>
            <w:rFonts w:eastAsia="Times New Roman"/>
            <w:noProof/>
            <w:lang w:eastAsia="en-GB"/>
          </w:rPr>
          <w:t>Types of analysis identified</w:t>
        </w:r>
        <w:r w:rsidR="00121437">
          <w:rPr>
            <w:noProof/>
            <w:webHidden/>
          </w:rPr>
          <w:tab/>
        </w:r>
        <w:r w:rsidR="00121437">
          <w:rPr>
            <w:noProof/>
            <w:webHidden/>
          </w:rPr>
          <w:fldChar w:fldCharType="begin"/>
        </w:r>
        <w:r w:rsidR="00121437">
          <w:rPr>
            <w:noProof/>
            <w:webHidden/>
          </w:rPr>
          <w:instrText xml:space="preserve"> PAGEREF _Toc33776187 \h </w:instrText>
        </w:r>
        <w:r w:rsidR="00121437">
          <w:rPr>
            <w:noProof/>
            <w:webHidden/>
          </w:rPr>
        </w:r>
        <w:r w:rsidR="00121437">
          <w:rPr>
            <w:noProof/>
            <w:webHidden/>
          </w:rPr>
          <w:fldChar w:fldCharType="separate"/>
        </w:r>
        <w:r w:rsidR="00121437">
          <w:rPr>
            <w:noProof/>
            <w:webHidden/>
          </w:rPr>
          <w:t>79</w:t>
        </w:r>
        <w:r w:rsidR="00121437">
          <w:rPr>
            <w:noProof/>
            <w:webHidden/>
          </w:rPr>
          <w:fldChar w:fldCharType="end"/>
        </w:r>
      </w:hyperlink>
    </w:p>
    <w:p w14:paraId="31A94120" w14:textId="3561C202" w:rsidR="00121437" w:rsidRDefault="00C974E5">
      <w:pPr>
        <w:pStyle w:val="TOC4"/>
        <w:rPr>
          <w:rFonts w:asciiTheme="minorHAnsi" w:hAnsiTheme="minorHAnsi"/>
          <w:noProof/>
          <w:lang w:eastAsia="en-GB"/>
        </w:rPr>
      </w:pPr>
      <w:hyperlink w:anchor="_Toc33776188" w:history="1">
        <w:r w:rsidR="00121437" w:rsidRPr="00CD05B2">
          <w:rPr>
            <w:rStyle w:val="Hyperlink"/>
            <w:rFonts w:eastAsia="Times New Roman"/>
            <w:noProof/>
            <w:lang w:eastAsia="en-GB"/>
          </w:rPr>
          <w:t>4.4.1.2</w:t>
        </w:r>
        <w:r w:rsidR="00121437">
          <w:rPr>
            <w:rFonts w:asciiTheme="minorHAnsi" w:hAnsiTheme="minorHAnsi"/>
            <w:noProof/>
            <w:lang w:eastAsia="en-GB"/>
          </w:rPr>
          <w:tab/>
        </w:r>
        <w:r w:rsidR="00121437" w:rsidRPr="00CD05B2">
          <w:rPr>
            <w:rStyle w:val="Hyperlink"/>
            <w:rFonts w:eastAsia="Times New Roman"/>
            <w:noProof/>
            <w:lang w:eastAsia="en-GB"/>
          </w:rPr>
          <w:t>Absolute (individual-level) associations</w:t>
        </w:r>
        <w:r w:rsidR="00121437">
          <w:rPr>
            <w:noProof/>
            <w:webHidden/>
          </w:rPr>
          <w:tab/>
        </w:r>
        <w:r w:rsidR="00121437">
          <w:rPr>
            <w:noProof/>
            <w:webHidden/>
          </w:rPr>
          <w:fldChar w:fldCharType="begin"/>
        </w:r>
        <w:r w:rsidR="00121437">
          <w:rPr>
            <w:noProof/>
            <w:webHidden/>
          </w:rPr>
          <w:instrText xml:space="preserve"> PAGEREF _Toc33776188 \h </w:instrText>
        </w:r>
        <w:r w:rsidR="00121437">
          <w:rPr>
            <w:noProof/>
            <w:webHidden/>
          </w:rPr>
        </w:r>
        <w:r w:rsidR="00121437">
          <w:rPr>
            <w:noProof/>
            <w:webHidden/>
          </w:rPr>
          <w:fldChar w:fldCharType="separate"/>
        </w:r>
        <w:r w:rsidR="00121437">
          <w:rPr>
            <w:noProof/>
            <w:webHidden/>
          </w:rPr>
          <w:t>79</w:t>
        </w:r>
        <w:r w:rsidR="00121437">
          <w:rPr>
            <w:noProof/>
            <w:webHidden/>
          </w:rPr>
          <w:fldChar w:fldCharType="end"/>
        </w:r>
      </w:hyperlink>
    </w:p>
    <w:p w14:paraId="45342791" w14:textId="214BF390" w:rsidR="00121437" w:rsidRDefault="00C974E5">
      <w:pPr>
        <w:pStyle w:val="TOC4"/>
        <w:rPr>
          <w:rFonts w:asciiTheme="minorHAnsi" w:hAnsiTheme="minorHAnsi"/>
          <w:noProof/>
          <w:lang w:eastAsia="en-GB"/>
        </w:rPr>
      </w:pPr>
      <w:hyperlink w:anchor="_Toc33776189" w:history="1">
        <w:r w:rsidR="00121437" w:rsidRPr="00CD05B2">
          <w:rPr>
            <w:rStyle w:val="Hyperlink"/>
            <w:rFonts w:eastAsia="Times New Roman"/>
            <w:noProof/>
            <w:lang w:eastAsia="en-GB"/>
          </w:rPr>
          <w:t>4.4.1.3</w:t>
        </w:r>
        <w:r w:rsidR="00121437">
          <w:rPr>
            <w:rFonts w:asciiTheme="minorHAnsi" w:hAnsiTheme="minorHAnsi"/>
            <w:noProof/>
            <w:lang w:eastAsia="en-GB"/>
          </w:rPr>
          <w:tab/>
        </w:r>
        <w:r w:rsidR="00121437" w:rsidRPr="00CD05B2">
          <w:rPr>
            <w:rStyle w:val="Hyperlink"/>
            <w:rFonts w:eastAsia="Times New Roman"/>
            <w:noProof/>
            <w:lang w:eastAsia="en-GB"/>
          </w:rPr>
          <w:t>Treatment effect (trial-level) associations</w:t>
        </w:r>
        <w:r w:rsidR="00121437">
          <w:rPr>
            <w:noProof/>
            <w:webHidden/>
          </w:rPr>
          <w:tab/>
        </w:r>
        <w:r w:rsidR="00121437">
          <w:rPr>
            <w:noProof/>
            <w:webHidden/>
          </w:rPr>
          <w:fldChar w:fldCharType="begin"/>
        </w:r>
        <w:r w:rsidR="00121437">
          <w:rPr>
            <w:noProof/>
            <w:webHidden/>
          </w:rPr>
          <w:instrText xml:space="preserve"> PAGEREF _Toc33776189 \h </w:instrText>
        </w:r>
        <w:r w:rsidR="00121437">
          <w:rPr>
            <w:noProof/>
            <w:webHidden/>
          </w:rPr>
        </w:r>
        <w:r w:rsidR="00121437">
          <w:rPr>
            <w:noProof/>
            <w:webHidden/>
          </w:rPr>
          <w:fldChar w:fldCharType="separate"/>
        </w:r>
        <w:r w:rsidR="00121437">
          <w:rPr>
            <w:noProof/>
            <w:webHidden/>
          </w:rPr>
          <w:t>80</w:t>
        </w:r>
        <w:r w:rsidR="00121437">
          <w:rPr>
            <w:noProof/>
            <w:webHidden/>
          </w:rPr>
          <w:fldChar w:fldCharType="end"/>
        </w:r>
      </w:hyperlink>
    </w:p>
    <w:p w14:paraId="7CDEAF54" w14:textId="5331CB9E" w:rsidR="00121437" w:rsidRDefault="00C974E5">
      <w:pPr>
        <w:pStyle w:val="TOC4"/>
        <w:rPr>
          <w:rFonts w:asciiTheme="minorHAnsi" w:hAnsiTheme="minorHAnsi"/>
          <w:noProof/>
          <w:lang w:eastAsia="en-GB"/>
        </w:rPr>
      </w:pPr>
      <w:hyperlink w:anchor="_Toc33776190" w:history="1">
        <w:r w:rsidR="00121437" w:rsidRPr="00CD05B2">
          <w:rPr>
            <w:rStyle w:val="Hyperlink"/>
            <w:noProof/>
          </w:rPr>
          <w:t>4.4.1.4</w:t>
        </w:r>
        <w:r w:rsidR="00121437">
          <w:rPr>
            <w:rFonts w:asciiTheme="minorHAnsi" w:hAnsiTheme="minorHAnsi"/>
            <w:noProof/>
            <w:lang w:eastAsia="en-GB"/>
          </w:rPr>
          <w:tab/>
        </w:r>
        <w:r w:rsidR="00121437" w:rsidRPr="00CD05B2">
          <w:rPr>
            <w:rStyle w:val="Hyperlink"/>
            <w:noProof/>
          </w:rPr>
          <w:t>Regression equations and STE</w:t>
        </w:r>
        <w:r w:rsidR="00121437">
          <w:rPr>
            <w:noProof/>
            <w:webHidden/>
          </w:rPr>
          <w:tab/>
        </w:r>
        <w:r w:rsidR="00121437">
          <w:rPr>
            <w:noProof/>
            <w:webHidden/>
          </w:rPr>
          <w:fldChar w:fldCharType="begin"/>
        </w:r>
        <w:r w:rsidR="00121437">
          <w:rPr>
            <w:noProof/>
            <w:webHidden/>
          </w:rPr>
          <w:instrText xml:space="preserve"> PAGEREF _Toc33776190 \h </w:instrText>
        </w:r>
        <w:r w:rsidR="00121437">
          <w:rPr>
            <w:noProof/>
            <w:webHidden/>
          </w:rPr>
        </w:r>
        <w:r w:rsidR="00121437">
          <w:rPr>
            <w:noProof/>
            <w:webHidden/>
          </w:rPr>
          <w:fldChar w:fldCharType="separate"/>
        </w:r>
        <w:r w:rsidR="00121437">
          <w:rPr>
            <w:noProof/>
            <w:webHidden/>
          </w:rPr>
          <w:t>80</w:t>
        </w:r>
        <w:r w:rsidR="00121437">
          <w:rPr>
            <w:noProof/>
            <w:webHidden/>
          </w:rPr>
          <w:fldChar w:fldCharType="end"/>
        </w:r>
      </w:hyperlink>
    </w:p>
    <w:p w14:paraId="05F91890" w14:textId="1A9B76DB" w:rsidR="00121437" w:rsidRDefault="00C974E5">
      <w:pPr>
        <w:pStyle w:val="TOC4"/>
        <w:rPr>
          <w:rFonts w:asciiTheme="minorHAnsi" w:hAnsiTheme="minorHAnsi"/>
          <w:noProof/>
          <w:lang w:eastAsia="en-GB"/>
        </w:rPr>
      </w:pPr>
      <w:hyperlink w:anchor="_Toc33776191" w:history="1">
        <w:r w:rsidR="00121437" w:rsidRPr="00CD05B2">
          <w:rPr>
            <w:rStyle w:val="Hyperlink"/>
            <w:noProof/>
          </w:rPr>
          <w:t>4.4.1.5</w:t>
        </w:r>
        <w:r w:rsidR="00121437">
          <w:rPr>
            <w:rFonts w:asciiTheme="minorHAnsi" w:hAnsiTheme="minorHAnsi"/>
            <w:noProof/>
            <w:lang w:eastAsia="en-GB"/>
          </w:rPr>
          <w:tab/>
        </w:r>
        <w:r w:rsidR="00121437" w:rsidRPr="00CD05B2">
          <w:rPr>
            <w:rStyle w:val="Hyperlink"/>
            <w:noProof/>
          </w:rPr>
          <w:t>Strength of association between response and survival outcomes (IQWiG and BSES2 scoring)</w:t>
        </w:r>
        <w:r w:rsidR="00121437">
          <w:rPr>
            <w:noProof/>
            <w:webHidden/>
          </w:rPr>
          <w:tab/>
        </w:r>
        <w:r w:rsidR="00121437">
          <w:rPr>
            <w:noProof/>
            <w:webHidden/>
          </w:rPr>
          <w:fldChar w:fldCharType="begin"/>
        </w:r>
        <w:r w:rsidR="00121437">
          <w:rPr>
            <w:noProof/>
            <w:webHidden/>
          </w:rPr>
          <w:instrText xml:space="preserve"> PAGEREF _Toc33776191 \h </w:instrText>
        </w:r>
        <w:r w:rsidR="00121437">
          <w:rPr>
            <w:noProof/>
            <w:webHidden/>
          </w:rPr>
        </w:r>
        <w:r w:rsidR="00121437">
          <w:rPr>
            <w:noProof/>
            <w:webHidden/>
          </w:rPr>
          <w:fldChar w:fldCharType="separate"/>
        </w:r>
        <w:r w:rsidR="00121437">
          <w:rPr>
            <w:noProof/>
            <w:webHidden/>
          </w:rPr>
          <w:t>80</w:t>
        </w:r>
        <w:r w:rsidR="00121437">
          <w:rPr>
            <w:noProof/>
            <w:webHidden/>
          </w:rPr>
          <w:fldChar w:fldCharType="end"/>
        </w:r>
      </w:hyperlink>
    </w:p>
    <w:p w14:paraId="40300748" w14:textId="258FA8FB" w:rsidR="00121437" w:rsidRDefault="00C974E5">
      <w:pPr>
        <w:pStyle w:val="TOC4"/>
        <w:rPr>
          <w:rFonts w:asciiTheme="minorHAnsi" w:hAnsiTheme="minorHAnsi"/>
          <w:noProof/>
          <w:lang w:eastAsia="en-GB"/>
        </w:rPr>
      </w:pPr>
      <w:hyperlink w:anchor="_Toc33776192" w:history="1">
        <w:r w:rsidR="00121437" w:rsidRPr="00CD05B2">
          <w:rPr>
            <w:rStyle w:val="Hyperlink"/>
            <w:noProof/>
          </w:rPr>
          <w:t>4.4.1.6</w:t>
        </w:r>
        <w:r w:rsidR="00121437">
          <w:rPr>
            <w:rFonts w:asciiTheme="minorHAnsi" w:hAnsiTheme="minorHAnsi"/>
            <w:noProof/>
            <w:lang w:eastAsia="en-GB"/>
          </w:rPr>
          <w:tab/>
        </w:r>
        <w:r w:rsidR="00121437" w:rsidRPr="00CD05B2">
          <w:rPr>
            <w:rStyle w:val="Hyperlink"/>
            <w:noProof/>
          </w:rPr>
          <w:t>Strengths and limitations</w:t>
        </w:r>
        <w:r w:rsidR="00121437">
          <w:rPr>
            <w:noProof/>
            <w:webHidden/>
          </w:rPr>
          <w:tab/>
        </w:r>
        <w:r w:rsidR="00121437">
          <w:rPr>
            <w:noProof/>
            <w:webHidden/>
          </w:rPr>
          <w:fldChar w:fldCharType="begin"/>
        </w:r>
        <w:r w:rsidR="00121437">
          <w:rPr>
            <w:noProof/>
            <w:webHidden/>
          </w:rPr>
          <w:instrText xml:space="preserve"> PAGEREF _Toc33776192 \h </w:instrText>
        </w:r>
        <w:r w:rsidR="00121437">
          <w:rPr>
            <w:noProof/>
            <w:webHidden/>
          </w:rPr>
        </w:r>
        <w:r w:rsidR="00121437">
          <w:rPr>
            <w:noProof/>
            <w:webHidden/>
          </w:rPr>
          <w:fldChar w:fldCharType="separate"/>
        </w:r>
        <w:r w:rsidR="00121437">
          <w:rPr>
            <w:noProof/>
            <w:webHidden/>
          </w:rPr>
          <w:t>80</w:t>
        </w:r>
        <w:r w:rsidR="00121437">
          <w:rPr>
            <w:noProof/>
            <w:webHidden/>
          </w:rPr>
          <w:fldChar w:fldCharType="end"/>
        </w:r>
      </w:hyperlink>
    </w:p>
    <w:p w14:paraId="0D942D20" w14:textId="14165303" w:rsidR="00121437" w:rsidRDefault="00C974E5">
      <w:pPr>
        <w:pStyle w:val="TOC4"/>
        <w:rPr>
          <w:rFonts w:asciiTheme="minorHAnsi" w:hAnsiTheme="minorHAnsi"/>
          <w:noProof/>
          <w:lang w:eastAsia="en-GB"/>
        </w:rPr>
      </w:pPr>
      <w:hyperlink w:anchor="_Toc33776193" w:history="1">
        <w:r w:rsidR="00121437" w:rsidRPr="00CD05B2">
          <w:rPr>
            <w:rStyle w:val="Hyperlink"/>
            <w:rFonts w:eastAsia="Times New Roman"/>
            <w:noProof/>
            <w:lang w:eastAsia="en-GB"/>
          </w:rPr>
          <w:t>4.4.1.7</w:t>
        </w:r>
        <w:r w:rsidR="00121437">
          <w:rPr>
            <w:rFonts w:asciiTheme="minorHAnsi" w:hAnsiTheme="minorHAnsi"/>
            <w:noProof/>
            <w:lang w:eastAsia="en-GB"/>
          </w:rPr>
          <w:tab/>
        </w:r>
        <w:r w:rsidR="00121437" w:rsidRPr="00CD05B2">
          <w:rPr>
            <w:rStyle w:val="Hyperlink"/>
            <w:rFonts w:eastAsia="Times New Roman"/>
            <w:noProof/>
            <w:lang w:eastAsia="en-GB"/>
          </w:rPr>
          <w:t>Summary of findings</w:t>
        </w:r>
        <w:r w:rsidR="00121437">
          <w:rPr>
            <w:noProof/>
            <w:webHidden/>
          </w:rPr>
          <w:tab/>
        </w:r>
        <w:r w:rsidR="00121437">
          <w:rPr>
            <w:noProof/>
            <w:webHidden/>
          </w:rPr>
          <w:fldChar w:fldCharType="begin"/>
        </w:r>
        <w:r w:rsidR="00121437">
          <w:rPr>
            <w:noProof/>
            <w:webHidden/>
          </w:rPr>
          <w:instrText xml:space="preserve"> PAGEREF _Toc33776193 \h </w:instrText>
        </w:r>
        <w:r w:rsidR="00121437">
          <w:rPr>
            <w:noProof/>
            <w:webHidden/>
          </w:rPr>
        </w:r>
        <w:r w:rsidR="00121437">
          <w:rPr>
            <w:noProof/>
            <w:webHidden/>
          </w:rPr>
          <w:fldChar w:fldCharType="separate"/>
        </w:r>
        <w:r w:rsidR="00121437">
          <w:rPr>
            <w:noProof/>
            <w:webHidden/>
          </w:rPr>
          <w:t>81</w:t>
        </w:r>
        <w:r w:rsidR="00121437">
          <w:rPr>
            <w:noProof/>
            <w:webHidden/>
          </w:rPr>
          <w:fldChar w:fldCharType="end"/>
        </w:r>
      </w:hyperlink>
    </w:p>
    <w:p w14:paraId="0893E18C" w14:textId="29D8D593" w:rsidR="00121437" w:rsidRDefault="00C974E5">
      <w:pPr>
        <w:pStyle w:val="TOC2"/>
        <w:rPr>
          <w:rFonts w:asciiTheme="minorHAnsi" w:hAnsiTheme="minorHAnsi"/>
          <w:noProof/>
          <w:lang w:eastAsia="en-GB"/>
        </w:rPr>
      </w:pPr>
      <w:hyperlink w:anchor="_Toc33776194" w:history="1">
        <w:r w:rsidR="00121437" w:rsidRPr="00CD05B2">
          <w:rPr>
            <w:rStyle w:val="Hyperlink"/>
            <w:noProof/>
          </w:rPr>
          <w:t>4.5</w:t>
        </w:r>
        <w:r w:rsidR="00121437">
          <w:rPr>
            <w:rFonts w:asciiTheme="minorHAnsi" w:hAnsiTheme="minorHAnsi"/>
            <w:noProof/>
            <w:lang w:eastAsia="en-GB"/>
          </w:rPr>
          <w:tab/>
        </w:r>
        <w:r w:rsidR="00121437" w:rsidRPr="00CD05B2">
          <w:rPr>
            <w:rStyle w:val="Hyperlink"/>
            <w:noProof/>
          </w:rPr>
          <w:t>Implications for the economic analysis of histology-independent therapies based on ORR as a surrogate for PFS or OS</w:t>
        </w:r>
        <w:r w:rsidR="00121437">
          <w:rPr>
            <w:noProof/>
            <w:webHidden/>
          </w:rPr>
          <w:tab/>
        </w:r>
        <w:r w:rsidR="00121437">
          <w:rPr>
            <w:noProof/>
            <w:webHidden/>
          </w:rPr>
          <w:fldChar w:fldCharType="begin"/>
        </w:r>
        <w:r w:rsidR="00121437">
          <w:rPr>
            <w:noProof/>
            <w:webHidden/>
          </w:rPr>
          <w:instrText xml:space="preserve"> PAGEREF _Toc33776194 \h </w:instrText>
        </w:r>
        <w:r w:rsidR="00121437">
          <w:rPr>
            <w:noProof/>
            <w:webHidden/>
          </w:rPr>
        </w:r>
        <w:r w:rsidR="00121437">
          <w:rPr>
            <w:noProof/>
            <w:webHidden/>
          </w:rPr>
          <w:fldChar w:fldCharType="separate"/>
        </w:r>
        <w:r w:rsidR="00121437">
          <w:rPr>
            <w:noProof/>
            <w:webHidden/>
          </w:rPr>
          <w:t>81</w:t>
        </w:r>
        <w:r w:rsidR="00121437">
          <w:rPr>
            <w:noProof/>
            <w:webHidden/>
          </w:rPr>
          <w:fldChar w:fldCharType="end"/>
        </w:r>
      </w:hyperlink>
    </w:p>
    <w:p w14:paraId="2C405ED3" w14:textId="01424490" w:rsidR="00121437" w:rsidRDefault="00C974E5">
      <w:pPr>
        <w:pStyle w:val="TOC2"/>
        <w:rPr>
          <w:rFonts w:asciiTheme="minorHAnsi" w:hAnsiTheme="minorHAnsi"/>
          <w:noProof/>
          <w:lang w:eastAsia="en-GB"/>
        </w:rPr>
      </w:pPr>
      <w:hyperlink w:anchor="_Toc33776195" w:history="1">
        <w:r w:rsidR="00121437" w:rsidRPr="00CD05B2">
          <w:rPr>
            <w:rStyle w:val="Hyperlink"/>
            <w:noProof/>
          </w:rPr>
          <w:t>4.6</w:t>
        </w:r>
        <w:r w:rsidR="00121437">
          <w:rPr>
            <w:rFonts w:asciiTheme="minorHAnsi" w:hAnsiTheme="minorHAnsi"/>
            <w:noProof/>
            <w:lang w:eastAsia="en-GB"/>
          </w:rPr>
          <w:tab/>
        </w:r>
        <w:r w:rsidR="00121437" w:rsidRPr="00CD05B2">
          <w:rPr>
            <w:rStyle w:val="Hyperlink"/>
            <w:noProof/>
          </w:rPr>
          <w:t>Conclusions</w:t>
        </w:r>
        <w:r w:rsidR="00121437">
          <w:rPr>
            <w:noProof/>
            <w:webHidden/>
          </w:rPr>
          <w:tab/>
        </w:r>
        <w:r w:rsidR="00121437">
          <w:rPr>
            <w:noProof/>
            <w:webHidden/>
          </w:rPr>
          <w:fldChar w:fldCharType="begin"/>
        </w:r>
        <w:r w:rsidR="00121437">
          <w:rPr>
            <w:noProof/>
            <w:webHidden/>
          </w:rPr>
          <w:instrText xml:space="preserve"> PAGEREF _Toc33776195 \h </w:instrText>
        </w:r>
        <w:r w:rsidR="00121437">
          <w:rPr>
            <w:noProof/>
            <w:webHidden/>
          </w:rPr>
        </w:r>
        <w:r w:rsidR="00121437">
          <w:rPr>
            <w:noProof/>
            <w:webHidden/>
          </w:rPr>
          <w:fldChar w:fldCharType="separate"/>
        </w:r>
        <w:r w:rsidR="00121437">
          <w:rPr>
            <w:noProof/>
            <w:webHidden/>
          </w:rPr>
          <w:t>83</w:t>
        </w:r>
        <w:r w:rsidR="00121437">
          <w:rPr>
            <w:noProof/>
            <w:webHidden/>
          </w:rPr>
          <w:fldChar w:fldCharType="end"/>
        </w:r>
      </w:hyperlink>
    </w:p>
    <w:p w14:paraId="3C828983" w14:textId="3CAAEAC7" w:rsidR="00121437" w:rsidRDefault="00C974E5">
      <w:pPr>
        <w:pStyle w:val="TOC1"/>
        <w:rPr>
          <w:rFonts w:asciiTheme="minorHAnsi" w:hAnsiTheme="minorHAnsi"/>
          <w:noProof/>
          <w:lang w:eastAsia="en-GB"/>
        </w:rPr>
      </w:pPr>
      <w:hyperlink w:anchor="_Toc33776196" w:history="1">
        <w:r w:rsidR="00121437" w:rsidRPr="00CD05B2">
          <w:rPr>
            <w:rStyle w:val="Hyperlink"/>
            <w:noProof/>
          </w:rPr>
          <w:t>5</w:t>
        </w:r>
        <w:r w:rsidR="00121437">
          <w:rPr>
            <w:rFonts w:asciiTheme="minorHAnsi" w:hAnsiTheme="minorHAnsi"/>
            <w:noProof/>
            <w:lang w:eastAsia="en-GB"/>
          </w:rPr>
          <w:tab/>
        </w:r>
        <w:r w:rsidR="00121437" w:rsidRPr="00CD05B2">
          <w:rPr>
            <w:rStyle w:val="Hyperlink"/>
            <w:noProof/>
          </w:rPr>
          <w:t>A targeted review of published NICE technology appraisals where initial marketing authorisation was based on response outcomes from single-arm studies</w:t>
        </w:r>
        <w:r w:rsidR="00121437">
          <w:rPr>
            <w:noProof/>
            <w:webHidden/>
          </w:rPr>
          <w:tab/>
        </w:r>
        <w:r w:rsidR="00121437">
          <w:rPr>
            <w:noProof/>
            <w:webHidden/>
          </w:rPr>
          <w:fldChar w:fldCharType="begin"/>
        </w:r>
        <w:r w:rsidR="00121437">
          <w:rPr>
            <w:noProof/>
            <w:webHidden/>
          </w:rPr>
          <w:instrText xml:space="preserve"> PAGEREF _Toc33776196 \h </w:instrText>
        </w:r>
        <w:r w:rsidR="00121437">
          <w:rPr>
            <w:noProof/>
            <w:webHidden/>
          </w:rPr>
        </w:r>
        <w:r w:rsidR="00121437">
          <w:rPr>
            <w:noProof/>
            <w:webHidden/>
          </w:rPr>
          <w:fldChar w:fldCharType="separate"/>
        </w:r>
        <w:r w:rsidR="00121437">
          <w:rPr>
            <w:noProof/>
            <w:webHidden/>
          </w:rPr>
          <w:t>84</w:t>
        </w:r>
        <w:r w:rsidR="00121437">
          <w:rPr>
            <w:noProof/>
            <w:webHidden/>
          </w:rPr>
          <w:fldChar w:fldCharType="end"/>
        </w:r>
      </w:hyperlink>
    </w:p>
    <w:p w14:paraId="76E23DA7" w14:textId="02C26406" w:rsidR="00121437" w:rsidRDefault="00C974E5">
      <w:pPr>
        <w:pStyle w:val="TOC2"/>
        <w:rPr>
          <w:rFonts w:asciiTheme="minorHAnsi" w:hAnsiTheme="minorHAnsi"/>
          <w:noProof/>
          <w:lang w:eastAsia="en-GB"/>
        </w:rPr>
      </w:pPr>
      <w:hyperlink w:anchor="_Toc33776197" w:history="1">
        <w:r w:rsidR="00121437" w:rsidRPr="00CD05B2">
          <w:rPr>
            <w:rStyle w:val="Hyperlink"/>
            <w:noProof/>
          </w:rPr>
          <w:t>5.1</w:t>
        </w:r>
        <w:r w:rsidR="00121437">
          <w:rPr>
            <w:rFonts w:asciiTheme="minorHAnsi" w:hAnsiTheme="minorHAnsi"/>
            <w:noProof/>
            <w:lang w:eastAsia="en-GB"/>
          </w:rPr>
          <w:tab/>
        </w:r>
        <w:r w:rsidR="00121437" w:rsidRPr="00CD05B2">
          <w:rPr>
            <w:rStyle w:val="Hyperlink"/>
            <w:noProof/>
          </w:rPr>
          <w:t>Summary and implications</w:t>
        </w:r>
        <w:r w:rsidR="00121437">
          <w:rPr>
            <w:noProof/>
            <w:webHidden/>
          </w:rPr>
          <w:tab/>
        </w:r>
        <w:r w:rsidR="00121437">
          <w:rPr>
            <w:noProof/>
            <w:webHidden/>
          </w:rPr>
          <w:fldChar w:fldCharType="begin"/>
        </w:r>
        <w:r w:rsidR="00121437">
          <w:rPr>
            <w:noProof/>
            <w:webHidden/>
          </w:rPr>
          <w:instrText xml:space="preserve"> PAGEREF _Toc33776197 \h </w:instrText>
        </w:r>
        <w:r w:rsidR="00121437">
          <w:rPr>
            <w:noProof/>
            <w:webHidden/>
          </w:rPr>
        </w:r>
        <w:r w:rsidR="00121437">
          <w:rPr>
            <w:noProof/>
            <w:webHidden/>
          </w:rPr>
          <w:fldChar w:fldCharType="separate"/>
        </w:r>
        <w:r w:rsidR="00121437">
          <w:rPr>
            <w:noProof/>
            <w:webHidden/>
          </w:rPr>
          <w:t>84</w:t>
        </w:r>
        <w:r w:rsidR="00121437">
          <w:rPr>
            <w:noProof/>
            <w:webHidden/>
          </w:rPr>
          <w:fldChar w:fldCharType="end"/>
        </w:r>
      </w:hyperlink>
    </w:p>
    <w:p w14:paraId="6064326B" w14:textId="7FB821DF" w:rsidR="00121437" w:rsidRDefault="00C974E5">
      <w:pPr>
        <w:pStyle w:val="TOC1"/>
        <w:rPr>
          <w:rFonts w:asciiTheme="minorHAnsi" w:hAnsiTheme="minorHAnsi"/>
          <w:noProof/>
          <w:lang w:eastAsia="en-GB"/>
        </w:rPr>
      </w:pPr>
      <w:hyperlink w:anchor="_Toc33776198" w:history="1">
        <w:r w:rsidR="00121437" w:rsidRPr="00CD05B2">
          <w:rPr>
            <w:rStyle w:val="Hyperlink"/>
            <w:noProof/>
          </w:rPr>
          <w:t>6</w:t>
        </w:r>
        <w:r w:rsidR="00121437">
          <w:rPr>
            <w:rFonts w:asciiTheme="minorHAnsi" w:hAnsiTheme="minorHAnsi"/>
            <w:noProof/>
            <w:lang w:eastAsia="en-GB"/>
          </w:rPr>
          <w:tab/>
        </w:r>
        <w:r w:rsidR="00121437" w:rsidRPr="00CD05B2">
          <w:rPr>
            <w:rStyle w:val="Hyperlink"/>
            <w:noProof/>
          </w:rPr>
          <w:t>Issues and challenges for exploring heterogeneity for histology-independent appraisals</w:t>
        </w:r>
        <w:r w:rsidR="00121437">
          <w:rPr>
            <w:noProof/>
            <w:webHidden/>
          </w:rPr>
          <w:tab/>
        </w:r>
        <w:r w:rsidR="00121437">
          <w:rPr>
            <w:noProof/>
            <w:webHidden/>
          </w:rPr>
          <w:fldChar w:fldCharType="begin"/>
        </w:r>
        <w:r w:rsidR="00121437">
          <w:rPr>
            <w:noProof/>
            <w:webHidden/>
          </w:rPr>
          <w:instrText xml:space="preserve"> PAGEREF _Toc33776198 \h </w:instrText>
        </w:r>
        <w:r w:rsidR="00121437">
          <w:rPr>
            <w:noProof/>
            <w:webHidden/>
          </w:rPr>
        </w:r>
        <w:r w:rsidR="00121437">
          <w:rPr>
            <w:noProof/>
            <w:webHidden/>
          </w:rPr>
          <w:fldChar w:fldCharType="separate"/>
        </w:r>
        <w:r w:rsidR="00121437">
          <w:rPr>
            <w:noProof/>
            <w:webHidden/>
          </w:rPr>
          <w:t>86</w:t>
        </w:r>
        <w:r w:rsidR="00121437">
          <w:rPr>
            <w:noProof/>
            <w:webHidden/>
          </w:rPr>
          <w:fldChar w:fldCharType="end"/>
        </w:r>
      </w:hyperlink>
    </w:p>
    <w:p w14:paraId="7EEF0B5C" w14:textId="027A2612" w:rsidR="00121437" w:rsidRDefault="00C974E5">
      <w:pPr>
        <w:pStyle w:val="TOC2"/>
        <w:rPr>
          <w:rFonts w:asciiTheme="minorHAnsi" w:hAnsiTheme="minorHAnsi"/>
          <w:noProof/>
          <w:lang w:eastAsia="en-GB"/>
        </w:rPr>
      </w:pPr>
      <w:hyperlink w:anchor="_Toc33776199" w:history="1">
        <w:r w:rsidR="00121437" w:rsidRPr="00CD05B2">
          <w:rPr>
            <w:rStyle w:val="Hyperlink"/>
            <w:noProof/>
          </w:rPr>
          <w:t>6.1</w:t>
        </w:r>
        <w:r w:rsidR="00121437">
          <w:rPr>
            <w:rFonts w:asciiTheme="minorHAnsi" w:hAnsiTheme="minorHAnsi"/>
            <w:noProof/>
            <w:lang w:eastAsia="en-GB"/>
          </w:rPr>
          <w:tab/>
        </w:r>
        <w:r w:rsidR="00121437" w:rsidRPr="00CD05B2">
          <w:rPr>
            <w:rStyle w:val="Hyperlink"/>
            <w:noProof/>
          </w:rPr>
          <w:t>Treatment effectiveness</w:t>
        </w:r>
        <w:r w:rsidR="00121437">
          <w:rPr>
            <w:noProof/>
            <w:webHidden/>
          </w:rPr>
          <w:tab/>
        </w:r>
        <w:r w:rsidR="00121437">
          <w:rPr>
            <w:noProof/>
            <w:webHidden/>
          </w:rPr>
          <w:fldChar w:fldCharType="begin"/>
        </w:r>
        <w:r w:rsidR="00121437">
          <w:rPr>
            <w:noProof/>
            <w:webHidden/>
          </w:rPr>
          <w:instrText xml:space="preserve"> PAGEREF _Toc33776199 \h </w:instrText>
        </w:r>
        <w:r w:rsidR="00121437">
          <w:rPr>
            <w:noProof/>
            <w:webHidden/>
          </w:rPr>
        </w:r>
        <w:r w:rsidR="00121437">
          <w:rPr>
            <w:noProof/>
            <w:webHidden/>
          </w:rPr>
          <w:fldChar w:fldCharType="separate"/>
        </w:r>
        <w:r w:rsidR="00121437">
          <w:rPr>
            <w:noProof/>
            <w:webHidden/>
          </w:rPr>
          <w:t>87</w:t>
        </w:r>
        <w:r w:rsidR="00121437">
          <w:rPr>
            <w:noProof/>
            <w:webHidden/>
          </w:rPr>
          <w:fldChar w:fldCharType="end"/>
        </w:r>
      </w:hyperlink>
    </w:p>
    <w:p w14:paraId="3393B61E" w14:textId="253ED78D" w:rsidR="00121437" w:rsidRDefault="00C974E5">
      <w:pPr>
        <w:pStyle w:val="TOC3"/>
        <w:rPr>
          <w:rFonts w:asciiTheme="minorHAnsi" w:hAnsiTheme="minorHAnsi"/>
          <w:noProof/>
          <w:lang w:eastAsia="en-GB"/>
        </w:rPr>
      </w:pPr>
      <w:hyperlink w:anchor="_Toc33776200" w:history="1">
        <w:r w:rsidR="00121437" w:rsidRPr="00CD05B2">
          <w:rPr>
            <w:rStyle w:val="Hyperlink"/>
            <w:noProof/>
          </w:rPr>
          <w:t>6.1.1</w:t>
        </w:r>
        <w:r w:rsidR="00121437">
          <w:rPr>
            <w:rFonts w:asciiTheme="minorHAnsi" w:hAnsiTheme="minorHAnsi"/>
            <w:noProof/>
            <w:lang w:eastAsia="en-GB"/>
          </w:rPr>
          <w:tab/>
        </w:r>
        <w:r w:rsidR="00121437" w:rsidRPr="00CD05B2">
          <w:rPr>
            <w:rStyle w:val="Hyperlink"/>
            <w:noProof/>
          </w:rPr>
          <w:t>Exploring heterogeneity in response – case study</w:t>
        </w:r>
        <w:r w:rsidR="00121437">
          <w:rPr>
            <w:noProof/>
            <w:webHidden/>
          </w:rPr>
          <w:tab/>
        </w:r>
        <w:r w:rsidR="00121437">
          <w:rPr>
            <w:noProof/>
            <w:webHidden/>
          </w:rPr>
          <w:fldChar w:fldCharType="begin"/>
        </w:r>
        <w:r w:rsidR="00121437">
          <w:rPr>
            <w:noProof/>
            <w:webHidden/>
          </w:rPr>
          <w:instrText xml:space="preserve"> PAGEREF _Toc33776200 \h </w:instrText>
        </w:r>
        <w:r w:rsidR="00121437">
          <w:rPr>
            <w:noProof/>
            <w:webHidden/>
          </w:rPr>
        </w:r>
        <w:r w:rsidR="00121437">
          <w:rPr>
            <w:noProof/>
            <w:webHidden/>
          </w:rPr>
          <w:fldChar w:fldCharType="separate"/>
        </w:r>
        <w:r w:rsidR="00121437">
          <w:rPr>
            <w:noProof/>
            <w:webHidden/>
          </w:rPr>
          <w:t>89</w:t>
        </w:r>
        <w:r w:rsidR="00121437">
          <w:rPr>
            <w:noProof/>
            <w:webHidden/>
          </w:rPr>
          <w:fldChar w:fldCharType="end"/>
        </w:r>
      </w:hyperlink>
    </w:p>
    <w:p w14:paraId="44BE73BE" w14:textId="77801EBD" w:rsidR="00121437" w:rsidRDefault="00C974E5">
      <w:pPr>
        <w:pStyle w:val="TOC4"/>
        <w:rPr>
          <w:rFonts w:asciiTheme="minorHAnsi" w:hAnsiTheme="minorHAnsi"/>
          <w:noProof/>
          <w:lang w:eastAsia="en-GB"/>
        </w:rPr>
      </w:pPr>
      <w:hyperlink w:anchor="_Toc33776201" w:history="1">
        <w:r w:rsidR="00121437" w:rsidRPr="00CD05B2">
          <w:rPr>
            <w:rStyle w:val="Hyperlink"/>
            <w:noProof/>
          </w:rPr>
          <w:t>6.1.1.1</w:t>
        </w:r>
        <w:r w:rsidR="00121437">
          <w:rPr>
            <w:rFonts w:asciiTheme="minorHAnsi" w:hAnsiTheme="minorHAnsi"/>
            <w:noProof/>
            <w:lang w:eastAsia="en-GB"/>
          </w:rPr>
          <w:tab/>
        </w:r>
        <w:r w:rsidR="00121437" w:rsidRPr="00CD05B2">
          <w:rPr>
            <w:rStyle w:val="Hyperlink"/>
            <w:noProof/>
          </w:rPr>
          <w:t>Methods</w:t>
        </w:r>
        <w:r w:rsidR="00121437">
          <w:rPr>
            <w:noProof/>
            <w:webHidden/>
          </w:rPr>
          <w:tab/>
        </w:r>
        <w:r w:rsidR="00121437">
          <w:rPr>
            <w:noProof/>
            <w:webHidden/>
          </w:rPr>
          <w:fldChar w:fldCharType="begin"/>
        </w:r>
        <w:r w:rsidR="00121437">
          <w:rPr>
            <w:noProof/>
            <w:webHidden/>
          </w:rPr>
          <w:instrText xml:space="preserve"> PAGEREF _Toc33776201 \h </w:instrText>
        </w:r>
        <w:r w:rsidR="00121437">
          <w:rPr>
            <w:noProof/>
            <w:webHidden/>
          </w:rPr>
        </w:r>
        <w:r w:rsidR="00121437">
          <w:rPr>
            <w:noProof/>
            <w:webHidden/>
          </w:rPr>
          <w:fldChar w:fldCharType="separate"/>
        </w:r>
        <w:r w:rsidR="00121437">
          <w:rPr>
            <w:noProof/>
            <w:webHidden/>
          </w:rPr>
          <w:t>90</w:t>
        </w:r>
        <w:r w:rsidR="00121437">
          <w:rPr>
            <w:noProof/>
            <w:webHidden/>
          </w:rPr>
          <w:fldChar w:fldCharType="end"/>
        </w:r>
      </w:hyperlink>
    </w:p>
    <w:p w14:paraId="596B0781" w14:textId="3E93287D" w:rsidR="00121437" w:rsidRDefault="00C974E5">
      <w:pPr>
        <w:pStyle w:val="TOC4"/>
        <w:rPr>
          <w:rFonts w:asciiTheme="minorHAnsi" w:hAnsiTheme="minorHAnsi"/>
          <w:noProof/>
          <w:lang w:eastAsia="en-GB"/>
        </w:rPr>
      </w:pPr>
      <w:hyperlink w:anchor="_Toc33776202" w:history="1">
        <w:r w:rsidR="00121437" w:rsidRPr="00CD05B2">
          <w:rPr>
            <w:rStyle w:val="Hyperlink"/>
            <w:noProof/>
          </w:rPr>
          <w:t>6.1.1.2</w:t>
        </w:r>
        <w:r w:rsidR="00121437">
          <w:rPr>
            <w:rFonts w:asciiTheme="minorHAnsi" w:hAnsiTheme="minorHAnsi"/>
            <w:noProof/>
            <w:lang w:eastAsia="en-GB"/>
          </w:rPr>
          <w:tab/>
        </w:r>
        <w:r w:rsidR="00121437" w:rsidRPr="00CD05B2">
          <w:rPr>
            <w:rStyle w:val="Hyperlink"/>
            <w:noProof/>
          </w:rPr>
          <w:t>Results</w:t>
        </w:r>
        <w:r w:rsidR="00121437">
          <w:rPr>
            <w:noProof/>
            <w:webHidden/>
          </w:rPr>
          <w:tab/>
        </w:r>
        <w:r w:rsidR="00121437">
          <w:rPr>
            <w:noProof/>
            <w:webHidden/>
          </w:rPr>
          <w:fldChar w:fldCharType="begin"/>
        </w:r>
        <w:r w:rsidR="00121437">
          <w:rPr>
            <w:noProof/>
            <w:webHidden/>
          </w:rPr>
          <w:instrText xml:space="preserve"> PAGEREF _Toc33776202 \h </w:instrText>
        </w:r>
        <w:r w:rsidR="00121437">
          <w:rPr>
            <w:noProof/>
            <w:webHidden/>
          </w:rPr>
        </w:r>
        <w:r w:rsidR="00121437">
          <w:rPr>
            <w:noProof/>
            <w:webHidden/>
          </w:rPr>
          <w:fldChar w:fldCharType="separate"/>
        </w:r>
        <w:r w:rsidR="00121437">
          <w:rPr>
            <w:noProof/>
            <w:webHidden/>
          </w:rPr>
          <w:t>91</w:t>
        </w:r>
        <w:r w:rsidR="00121437">
          <w:rPr>
            <w:noProof/>
            <w:webHidden/>
          </w:rPr>
          <w:fldChar w:fldCharType="end"/>
        </w:r>
      </w:hyperlink>
    </w:p>
    <w:p w14:paraId="7A0BC4A3" w14:textId="3CBF34FF" w:rsidR="00121437" w:rsidRDefault="00C974E5">
      <w:pPr>
        <w:pStyle w:val="TOC3"/>
        <w:rPr>
          <w:rFonts w:asciiTheme="minorHAnsi" w:hAnsiTheme="minorHAnsi"/>
          <w:noProof/>
          <w:lang w:eastAsia="en-GB"/>
        </w:rPr>
      </w:pPr>
      <w:hyperlink w:anchor="_Toc33776203" w:history="1">
        <w:r w:rsidR="00121437" w:rsidRPr="00CD05B2">
          <w:rPr>
            <w:rStyle w:val="Hyperlink"/>
            <w:noProof/>
          </w:rPr>
          <w:t>6.1.2</w:t>
        </w:r>
        <w:r w:rsidR="00121437">
          <w:rPr>
            <w:rFonts w:asciiTheme="minorHAnsi" w:hAnsiTheme="minorHAnsi"/>
            <w:noProof/>
            <w:lang w:eastAsia="en-GB"/>
          </w:rPr>
          <w:tab/>
        </w:r>
        <w:r w:rsidR="00121437" w:rsidRPr="00CD05B2">
          <w:rPr>
            <w:rStyle w:val="Hyperlink"/>
            <w:noProof/>
          </w:rPr>
          <w:t>Implications for the appraisal of histology-independent technologies</w:t>
        </w:r>
        <w:r w:rsidR="00121437">
          <w:rPr>
            <w:noProof/>
            <w:webHidden/>
          </w:rPr>
          <w:tab/>
        </w:r>
        <w:r w:rsidR="00121437">
          <w:rPr>
            <w:noProof/>
            <w:webHidden/>
          </w:rPr>
          <w:fldChar w:fldCharType="begin"/>
        </w:r>
        <w:r w:rsidR="00121437">
          <w:rPr>
            <w:noProof/>
            <w:webHidden/>
          </w:rPr>
          <w:instrText xml:space="preserve"> PAGEREF _Toc33776203 \h </w:instrText>
        </w:r>
        <w:r w:rsidR="00121437">
          <w:rPr>
            <w:noProof/>
            <w:webHidden/>
          </w:rPr>
        </w:r>
        <w:r w:rsidR="00121437">
          <w:rPr>
            <w:noProof/>
            <w:webHidden/>
          </w:rPr>
          <w:fldChar w:fldCharType="separate"/>
        </w:r>
        <w:r w:rsidR="00121437">
          <w:rPr>
            <w:noProof/>
            <w:webHidden/>
          </w:rPr>
          <w:t>95</w:t>
        </w:r>
        <w:r w:rsidR="00121437">
          <w:rPr>
            <w:noProof/>
            <w:webHidden/>
          </w:rPr>
          <w:fldChar w:fldCharType="end"/>
        </w:r>
      </w:hyperlink>
    </w:p>
    <w:p w14:paraId="3083AD2F" w14:textId="415D391F" w:rsidR="00121437" w:rsidRDefault="00C974E5">
      <w:pPr>
        <w:pStyle w:val="TOC2"/>
        <w:rPr>
          <w:rFonts w:asciiTheme="minorHAnsi" w:hAnsiTheme="minorHAnsi"/>
          <w:noProof/>
          <w:lang w:eastAsia="en-GB"/>
        </w:rPr>
      </w:pPr>
      <w:hyperlink w:anchor="_Toc33776204" w:history="1">
        <w:r w:rsidR="00121437" w:rsidRPr="00CD05B2">
          <w:rPr>
            <w:rStyle w:val="Hyperlink"/>
            <w:noProof/>
          </w:rPr>
          <w:t>6.2</w:t>
        </w:r>
        <w:r w:rsidR="00121437">
          <w:rPr>
            <w:rFonts w:asciiTheme="minorHAnsi" w:hAnsiTheme="minorHAnsi"/>
            <w:noProof/>
            <w:lang w:eastAsia="en-GB"/>
          </w:rPr>
          <w:tab/>
        </w:r>
        <w:r w:rsidR="00121437" w:rsidRPr="00CD05B2">
          <w:rPr>
            <w:rStyle w:val="Hyperlink"/>
            <w:noProof/>
          </w:rPr>
          <w:t>Counterfactual</w:t>
        </w:r>
        <w:r w:rsidR="00121437">
          <w:rPr>
            <w:noProof/>
            <w:webHidden/>
          </w:rPr>
          <w:tab/>
        </w:r>
        <w:r w:rsidR="00121437">
          <w:rPr>
            <w:noProof/>
            <w:webHidden/>
          </w:rPr>
          <w:fldChar w:fldCharType="begin"/>
        </w:r>
        <w:r w:rsidR="00121437">
          <w:rPr>
            <w:noProof/>
            <w:webHidden/>
          </w:rPr>
          <w:instrText xml:space="preserve"> PAGEREF _Toc33776204 \h </w:instrText>
        </w:r>
        <w:r w:rsidR="00121437">
          <w:rPr>
            <w:noProof/>
            <w:webHidden/>
          </w:rPr>
        </w:r>
        <w:r w:rsidR="00121437">
          <w:rPr>
            <w:noProof/>
            <w:webHidden/>
          </w:rPr>
          <w:fldChar w:fldCharType="separate"/>
        </w:r>
        <w:r w:rsidR="00121437">
          <w:rPr>
            <w:noProof/>
            <w:webHidden/>
          </w:rPr>
          <w:t>95</w:t>
        </w:r>
        <w:r w:rsidR="00121437">
          <w:rPr>
            <w:noProof/>
            <w:webHidden/>
          </w:rPr>
          <w:fldChar w:fldCharType="end"/>
        </w:r>
      </w:hyperlink>
    </w:p>
    <w:p w14:paraId="4697A33D" w14:textId="2C06C88F" w:rsidR="00121437" w:rsidRDefault="00C974E5">
      <w:pPr>
        <w:pStyle w:val="TOC3"/>
        <w:rPr>
          <w:rFonts w:asciiTheme="minorHAnsi" w:hAnsiTheme="minorHAnsi"/>
          <w:noProof/>
          <w:lang w:eastAsia="en-GB"/>
        </w:rPr>
      </w:pPr>
      <w:hyperlink w:anchor="_Toc33776205" w:history="1">
        <w:r w:rsidR="00121437" w:rsidRPr="00CD05B2">
          <w:rPr>
            <w:rStyle w:val="Hyperlink"/>
            <w:noProof/>
          </w:rPr>
          <w:t>6.2.1</w:t>
        </w:r>
        <w:r w:rsidR="00121437">
          <w:rPr>
            <w:rFonts w:asciiTheme="minorHAnsi" w:hAnsiTheme="minorHAnsi"/>
            <w:noProof/>
            <w:lang w:eastAsia="en-GB"/>
          </w:rPr>
          <w:tab/>
        </w:r>
        <w:r w:rsidR="00121437" w:rsidRPr="00CD05B2">
          <w:rPr>
            <w:rStyle w:val="Hyperlink"/>
            <w:noProof/>
          </w:rPr>
          <w:t>Adjustment for confounding bias</w:t>
        </w:r>
        <w:r w:rsidR="00121437">
          <w:rPr>
            <w:noProof/>
            <w:webHidden/>
          </w:rPr>
          <w:tab/>
        </w:r>
        <w:r w:rsidR="00121437">
          <w:rPr>
            <w:noProof/>
            <w:webHidden/>
          </w:rPr>
          <w:fldChar w:fldCharType="begin"/>
        </w:r>
        <w:r w:rsidR="00121437">
          <w:rPr>
            <w:noProof/>
            <w:webHidden/>
          </w:rPr>
          <w:instrText xml:space="preserve"> PAGEREF _Toc33776205 \h </w:instrText>
        </w:r>
        <w:r w:rsidR="00121437">
          <w:rPr>
            <w:noProof/>
            <w:webHidden/>
          </w:rPr>
        </w:r>
        <w:r w:rsidR="00121437">
          <w:rPr>
            <w:noProof/>
            <w:webHidden/>
          </w:rPr>
          <w:fldChar w:fldCharType="separate"/>
        </w:r>
        <w:r w:rsidR="00121437">
          <w:rPr>
            <w:noProof/>
            <w:webHidden/>
          </w:rPr>
          <w:t>97</w:t>
        </w:r>
        <w:r w:rsidR="00121437">
          <w:rPr>
            <w:noProof/>
            <w:webHidden/>
          </w:rPr>
          <w:fldChar w:fldCharType="end"/>
        </w:r>
      </w:hyperlink>
    </w:p>
    <w:p w14:paraId="425E39B8" w14:textId="0EC8C5CD" w:rsidR="00121437" w:rsidRDefault="00C974E5">
      <w:pPr>
        <w:pStyle w:val="TOC3"/>
        <w:rPr>
          <w:rFonts w:asciiTheme="minorHAnsi" w:hAnsiTheme="minorHAnsi"/>
          <w:noProof/>
          <w:lang w:eastAsia="en-GB"/>
        </w:rPr>
      </w:pPr>
      <w:hyperlink w:anchor="_Toc33776206" w:history="1">
        <w:r w:rsidR="00121437" w:rsidRPr="00CD05B2">
          <w:rPr>
            <w:rStyle w:val="Hyperlink"/>
            <w:rFonts w:eastAsia="Times New Roman"/>
            <w:noProof/>
          </w:rPr>
          <w:t>6.2.2</w:t>
        </w:r>
        <w:r w:rsidR="00121437">
          <w:rPr>
            <w:rFonts w:asciiTheme="minorHAnsi" w:hAnsiTheme="minorHAnsi"/>
            <w:noProof/>
            <w:lang w:eastAsia="en-GB"/>
          </w:rPr>
          <w:tab/>
        </w:r>
        <w:r w:rsidR="00121437" w:rsidRPr="00CD05B2">
          <w:rPr>
            <w:rStyle w:val="Hyperlink"/>
            <w:rFonts w:eastAsia="Times New Roman"/>
            <w:noProof/>
          </w:rPr>
          <w:t>Alternative approaches to developing a comparator</w:t>
        </w:r>
        <w:r w:rsidR="00121437">
          <w:rPr>
            <w:noProof/>
            <w:webHidden/>
          </w:rPr>
          <w:tab/>
        </w:r>
        <w:r w:rsidR="00121437">
          <w:rPr>
            <w:noProof/>
            <w:webHidden/>
          </w:rPr>
          <w:fldChar w:fldCharType="begin"/>
        </w:r>
        <w:r w:rsidR="00121437">
          <w:rPr>
            <w:noProof/>
            <w:webHidden/>
          </w:rPr>
          <w:instrText xml:space="preserve"> PAGEREF _Toc33776206 \h </w:instrText>
        </w:r>
        <w:r w:rsidR="00121437">
          <w:rPr>
            <w:noProof/>
            <w:webHidden/>
          </w:rPr>
        </w:r>
        <w:r w:rsidR="00121437">
          <w:rPr>
            <w:noProof/>
            <w:webHidden/>
          </w:rPr>
          <w:fldChar w:fldCharType="separate"/>
        </w:r>
        <w:r w:rsidR="00121437">
          <w:rPr>
            <w:noProof/>
            <w:webHidden/>
          </w:rPr>
          <w:t>98</w:t>
        </w:r>
        <w:r w:rsidR="00121437">
          <w:rPr>
            <w:noProof/>
            <w:webHidden/>
          </w:rPr>
          <w:fldChar w:fldCharType="end"/>
        </w:r>
      </w:hyperlink>
    </w:p>
    <w:p w14:paraId="33D92A86" w14:textId="05608622" w:rsidR="00121437" w:rsidRDefault="00C974E5">
      <w:pPr>
        <w:pStyle w:val="TOC3"/>
        <w:rPr>
          <w:rFonts w:asciiTheme="minorHAnsi" w:hAnsiTheme="minorHAnsi"/>
          <w:noProof/>
          <w:lang w:eastAsia="en-GB"/>
        </w:rPr>
      </w:pPr>
      <w:hyperlink w:anchor="_Toc33776207" w:history="1">
        <w:r w:rsidR="00121437" w:rsidRPr="00CD05B2">
          <w:rPr>
            <w:rStyle w:val="Hyperlink"/>
            <w:noProof/>
          </w:rPr>
          <w:t>6.2.3</w:t>
        </w:r>
        <w:r w:rsidR="00121437">
          <w:rPr>
            <w:rFonts w:asciiTheme="minorHAnsi" w:hAnsiTheme="minorHAnsi"/>
            <w:noProof/>
            <w:lang w:eastAsia="en-GB"/>
          </w:rPr>
          <w:tab/>
        </w:r>
        <w:r w:rsidR="00121437" w:rsidRPr="00CD05B2">
          <w:rPr>
            <w:rStyle w:val="Hyperlink"/>
            <w:noProof/>
          </w:rPr>
          <w:t>Implications for the appraisal of histology-independent technologies</w:t>
        </w:r>
        <w:r w:rsidR="00121437">
          <w:rPr>
            <w:noProof/>
            <w:webHidden/>
          </w:rPr>
          <w:tab/>
        </w:r>
        <w:r w:rsidR="00121437">
          <w:rPr>
            <w:noProof/>
            <w:webHidden/>
          </w:rPr>
          <w:fldChar w:fldCharType="begin"/>
        </w:r>
        <w:r w:rsidR="00121437">
          <w:rPr>
            <w:noProof/>
            <w:webHidden/>
          </w:rPr>
          <w:instrText xml:space="preserve"> PAGEREF _Toc33776207 \h </w:instrText>
        </w:r>
        <w:r w:rsidR="00121437">
          <w:rPr>
            <w:noProof/>
            <w:webHidden/>
          </w:rPr>
        </w:r>
        <w:r w:rsidR="00121437">
          <w:rPr>
            <w:noProof/>
            <w:webHidden/>
          </w:rPr>
          <w:fldChar w:fldCharType="separate"/>
        </w:r>
        <w:r w:rsidR="00121437">
          <w:rPr>
            <w:noProof/>
            <w:webHidden/>
          </w:rPr>
          <w:t>99</w:t>
        </w:r>
        <w:r w:rsidR="00121437">
          <w:rPr>
            <w:noProof/>
            <w:webHidden/>
          </w:rPr>
          <w:fldChar w:fldCharType="end"/>
        </w:r>
      </w:hyperlink>
    </w:p>
    <w:p w14:paraId="2D4138FD" w14:textId="2FB3D376" w:rsidR="00121437" w:rsidRDefault="00C974E5">
      <w:pPr>
        <w:pStyle w:val="TOC2"/>
        <w:rPr>
          <w:rFonts w:asciiTheme="minorHAnsi" w:hAnsiTheme="minorHAnsi"/>
          <w:noProof/>
          <w:lang w:eastAsia="en-GB"/>
        </w:rPr>
      </w:pPr>
      <w:hyperlink w:anchor="_Toc33776208" w:history="1">
        <w:r w:rsidR="00121437" w:rsidRPr="00CD05B2">
          <w:rPr>
            <w:rStyle w:val="Hyperlink"/>
            <w:noProof/>
          </w:rPr>
          <w:t>6.3</w:t>
        </w:r>
        <w:r w:rsidR="00121437">
          <w:rPr>
            <w:rFonts w:asciiTheme="minorHAnsi" w:hAnsiTheme="minorHAnsi"/>
            <w:noProof/>
            <w:lang w:eastAsia="en-GB"/>
          </w:rPr>
          <w:tab/>
        </w:r>
        <w:r w:rsidR="00121437" w:rsidRPr="00CD05B2">
          <w:rPr>
            <w:rStyle w:val="Hyperlink"/>
            <w:noProof/>
          </w:rPr>
          <w:t>Generalisability</w:t>
        </w:r>
        <w:r w:rsidR="00121437">
          <w:rPr>
            <w:noProof/>
            <w:webHidden/>
          </w:rPr>
          <w:tab/>
        </w:r>
        <w:r w:rsidR="00121437">
          <w:rPr>
            <w:noProof/>
            <w:webHidden/>
          </w:rPr>
          <w:fldChar w:fldCharType="begin"/>
        </w:r>
        <w:r w:rsidR="00121437">
          <w:rPr>
            <w:noProof/>
            <w:webHidden/>
          </w:rPr>
          <w:instrText xml:space="preserve"> PAGEREF _Toc33776208 \h </w:instrText>
        </w:r>
        <w:r w:rsidR="00121437">
          <w:rPr>
            <w:noProof/>
            <w:webHidden/>
          </w:rPr>
        </w:r>
        <w:r w:rsidR="00121437">
          <w:rPr>
            <w:noProof/>
            <w:webHidden/>
          </w:rPr>
          <w:fldChar w:fldCharType="separate"/>
        </w:r>
        <w:r w:rsidR="00121437">
          <w:rPr>
            <w:noProof/>
            <w:webHidden/>
          </w:rPr>
          <w:t>99</w:t>
        </w:r>
        <w:r w:rsidR="00121437">
          <w:rPr>
            <w:noProof/>
            <w:webHidden/>
          </w:rPr>
          <w:fldChar w:fldCharType="end"/>
        </w:r>
      </w:hyperlink>
    </w:p>
    <w:p w14:paraId="3A340160" w14:textId="362217B8" w:rsidR="00121437" w:rsidRDefault="00C974E5">
      <w:pPr>
        <w:pStyle w:val="TOC3"/>
        <w:rPr>
          <w:rFonts w:asciiTheme="minorHAnsi" w:hAnsiTheme="minorHAnsi"/>
          <w:noProof/>
          <w:lang w:eastAsia="en-GB"/>
        </w:rPr>
      </w:pPr>
      <w:hyperlink w:anchor="_Toc33776209" w:history="1">
        <w:r w:rsidR="00121437" w:rsidRPr="00CD05B2">
          <w:rPr>
            <w:rStyle w:val="Hyperlink"/>
            <w:noProof/>
          </w:rPr>
          <w:t>6.3.1</w:t>
        </w:r>
        <w:r w:rsidR="00121437">
          <w:rPr>
            <w:rFonts w:asciiTheme="minorHAnsi" w:hAnsiTheme="minorHAnsi"/>
            <w:noProof/>
            <w:lang w:eastAsia="en-GB"/>
          </w:rPr>
          <w:tab/>
        </w:r>
        <w:r w:rsidR="00121437" w:rsidRPr="00CD05B2">
          <w:rPr>
            <w:rStyle w:val="Hyperlink"/>
            <w:noProof/>
          </w:rPr>
          <w:t>Distribution of tumour types</w:t>
        </w:r>
        <w:r w:rsidR="00121437">
          <w:rPr>
            <w:noProof/>
            <w:webHidden/>
          </w:rPr>
          <w:tab/>
        </w:r>
        <w:r w:rsidR="00121437">
          <w:rPr>
            <w:noProof/>
            <w:webHidden/>
          </w:rPr>
          <w:fldChar w:fldCharType="begin"/>
        </w:r>
        <w:r w:rsidR="00121437">
          <w:rPr>
            <w:noProof/>
            <w:webHidden/>
          </w:rPr>
          <w:instrText xml:space="preserve"> PAGEREF _Toc33776209 \h </w:instrText>
        </w:r>
        <w:r w:rsidR="00121437">
          <w:rPr>
            <w:noProof/>
            <w:webHidden/>
          </w:rPr>
        </w:r>
        <w:r w:rsidR="00121437">
          <w:rPr>
            <w:noProof/>
            <w:webHidden/>
          </w:rPr>
          <w:fldChar w:fldCharType="separate"/>
        </w:r>
        <w:r w:rsidR="00121437">
          <w:rPr>
            <w:noProof/>
            <w:webHidden/>
          </w:rPr>
          <w:t>99</w:t>
        </w:r>
        <w:r w:rsidR="00121437">
          <w:rPr>
            <w:noProof/>
            <w:webHidden/>
          </w:rPr>
          <w:fldChar w:fldCharType="end"/>
        </w:r>
      </w:hyperlink>
    </w:p>
    <w:p w14:paraId="782593F1" w14:textId="292DF53F" w:rsidR="00121437" w:rsidRDefault="00C974E5">
      <w:pPr>
        <w:pStyle w:val="TOC3"/>
        <w:rPr>
          <w:rFonts w:asciiTheme="minorHAnsi" w:hAnsiTheme="minorHAnsi"/>
          <w:noProof/>
          <w:lang w:eastAsia="en-GB"/>
        </w:rPr>
      </w:pPr>
      <w:hyperlink w:anchor="_Toc33776210" w:history="1">
        <w:r w:rsidR="00121437" w:rsidRPr="00CD05B2">
          <w:rPr>
            <w:rStyle w:val="Hyperlink"/>
            <w:noProof/>
          </w:rPr>
          <w:t>6.3.2</w:t>
        </w:r>
        <w:r w:rsidR="00121437">
          <w:rPr>
            <w:rFonts w:asciiTheme="minorHAnsi" w:hAnsiTheme="minorHAnsi"/>
            <w:noProof/>
            <w:lang w:eastAsia="en-GB"/>
          </w:rPr>
          <w:tab/>
        </w:r>
        <w:r w:rsidR="00121437" w:rsidRPr="00CD05B2">
          <w:rPr>
            <w:rStyle w:val="Hyperlink"/>
            <w:noProof/>
          </w:rPr>
          <w:t>Unrepresented tumour types</w:t>
        </w:r>
        <w:r w:rsidR="00121437">
          <w:rPr>
            <w:noProof/>
            <w:webHidden/>
          </w:rPr>
          <w:tab/>
        </w:r>
        <w:r w:rsidR="00121437">
          <w:rPr>
            <w:noProof/>
            <w:webHidden/>
          </w:rPr>
          <w:fldChar w:fldCharType="begin"/>
        </w:r>
        <w:r w:rsidR="00121437">
          <w:rPr>
            <w:noProof/>
            <w:webHidden/>
          </w:rPr>
          <w:instrText xml:space="preserve"> PAGEREF _Toc33776210 \h </w:instrText>
        </w:r>
        <w:r w:rsidR="00121437">
          <w:rPr>
            <w:noProof/>
            <w:webHidden/>
          </w:rPr>
        </w:r>
        <w:r w:rsidR="00121437">
          <w:rPr>
            <w:noProof/>
            <w:webHidden/>
          </w:rPr>
          <w:fldChar w:fldCharType="separate"/>
        </w:r>
        <w:r w:rsidR="00121437">
          <w:rPr>
            <w:noProof/>
            <w:webHidden/>
          </w:rPr>
          <w:t>101</w:t>
        </w:r>
        <w:r w:rsidR="00121437">
          <w:rPr>
            <w:noProof/>
            <w:webHidden/>
          </w:rPr>
          <w:fldChar w:fldCharType="end"/>
        </w:r>
      </w:hyperlink>
    </w:p>
    <w:p w14:paraId="54A97D1C" w14:textId="01E537A0" w:rsidR="00121437" w:rsidRDefault="00C974E5">
      <w:pPr>
        <w:pStyle w:val="TOC3"/>
        <w:rPr>
          <w:rFonts w:asciiTheme="minorHAnsi" w:hAnsiTheme="minorHAnsi"/>
          <w:noProof/>
          <w:lang w:eastAsia="en-GB"/>
        </w:rPr>
      </w:pPr>
      <w:hyperlink w:anchor="_Toc33776211" w:history="1">
        <w:r w:rsidR="00121437" w:rsidRPr="00CD05B2">
          <w:rPr>
            <w:rStyle w:val="Hyperlink"/>
            <w:noProof/>
          </w:rPr>
          <w:t>6.3.3</w:t>
        </w:r>
        <w:r w:rsidR="00121437">
          <w:rPr>
            <w:rFonts w:asciiTheme="minorHAnsi" w:hAnsiTheme="minorHAnsi"/>
            <w:noProof/>
            <w:lang w:eastAsia="en-GB"/>
          </w:rPr>
          <w:tab/>
        </w:r>
        <w:r w:rsidR="00121437" w:rsidRPr="00CD05B2">
          <w:rPr>
            <w:rStyle w:val="Hyperlink"/>
            <w:noProof/>
          </w:rPr>
          <w:t>Position in treatment pathway</w:t>
        </w:r>
        <w:r w:rsidR="00121437">
          <w:rPr>
            <w:noProof/>
            <w:webHidden/>
          </w:rPr>
          <w:tab/>
        </w:r>
        <w:r w:rsidR="00121437">
          <w:rPr>
            <w:noProof/>
            <w:webHidden/>
          </w:rPr>
          <w:fldChar w:fldCharType="begin"/>
        </w:r>
        <w:r w:rsidR="00121437">
          <w:rPr>
            <w:noProof/>
            <w:webHidden/>
          </w:rPr>
          <w:instrText xml:space="preserve"> PAGEREF _Toc33776211 \h </w:instrText>
        </w:r>
        <w:r w:rsidR="00121437">
          <w:rPr>
            <w:noProof/>
            <w:webHidden/>
          </w:rPr>
        </w:r>
        <w:r w:rsidR="00121437">
          <w:rPr>
            <w:noProof/>
            <w:webHidden/>
          </w:rPr>
          <w:fldChar w:fldCharType="separate"/>
        </w:r>
        <w:r w:rsidR="00121437">
          <w:rPr>
            <w:noProof/>
            <w:webHidden/>
          </w:rPr>
          <w:t>101</w:t>
        </w:r>
        <w:r w:rsidR="00121437">
          <w:rPr>
            <w:noProof/>
            <w:webHidden/>
          </w:rPr>
          <w:fldChar w:fldCharType="end"/>
        </w:r>
      </w:hyperlink>
    </w:p>
    <w:p w14:paraId="05317F0E" w14:textId="47CB3C5B" w:rsidR="00121437" w:rsidRDefault="00C974E5">
      <w:pPr>
        <w:pStyle w:val="TOC3"/>
        <w:rPr>
          <w:rFonts w:asciiTheme="minorHAnsi" w:hAnsiTheme="minorHAnsi"/>
          <w:noProof/>
          <w:lang w:eastAsia="en-GB"/>
        </w:rPr>
      </w:pPr>
      <w:hyperlink w:anchor="_Toc33776212" w:history="1">
        <w:r w:rsidR="00121437" w:rsidRPr="00CD05B2">
          <w:rPr>
            <w:rStyle w:val="Hyperlink"/>
            <w:noProof/>
          </w:rPr>
          <w:t>6.3.4</w:t>
        </w:r>
        <w:r w:rsidR="00121437">
          <w:rPr>
            <w:rFonts w:asciiTheme="minorHAnsi" w:hAnsiTheme="minorHAnsi"/>
            <w:noProof/>
            <w:lang w:eastAsia="en-GB"/>
          </w:rPr>
          <w:tab/>
        </w:r>
        <w:r w:rsidR="00121437" w:rsidRPr="00CD05B2">
          <w:rPr>
            <w:rStyle w:val="Hyperlink"/>
            <w:noProof/>
          </w:rPr>
          <w:t>Example</w:t>
        </w:r>
        <w:r w:rsidR="00121437">
          <w:rPr>
            <w:noProof/>
            <w:webHidden/>
          </w:rPr>
          <w:tab/>
        </w:r>
        <w:r w:rsidR="00121437">
          <w:rPr>
            <w:noProof/>
            <w:webHidden/>
          </w:rPr>
          <w:fldChar w:fldCharType="begin"/>
        </w:r>
        <w:r w:rsidR="00121437">
          <w:rPr>
            <w:noProof/>
            <w:webHidden/>
          </w:rPr>
          <w:instrText xml:space="preserve"> PAGEREF _Toc33776212 \h </w:instrText>
        </w:r>
        <w:r w:rsidR="00121437">
          <w:rPr>
            <w:noProof/>
            <w:webHidden/>
          </w:rPr>
        </w:r>
        <w:r w:rsidR="00121437">
          <w:rPr>
            <w:noProof/>
            <w:webHidden/>
          </w:rPr>
          <w:fldChar w:fldCharType="separate"/>
        </w:r>
        <w:r w:rsidR="00121437">
          <w:rPr>
            <w:noProof/>
            <w:webHidden/>
          </w:rPr>
          <w:t>102</w:t>
        </w:r>
        <w:r w:rsidR="00121437">
          <w:rPr>
            <w:noProof/>
            <w:webHidden/>
          </w:rPr>
          <w:fldChar w:fldCharType="end"/>
        </w:r>
      </w:hyperlink>
    </w:p>
    <w:p w14:paraId="56E3F46E" w14:textId="114D033C" w:rsidR="00121437" w:rsidRDefault="00C974E5">
      <w:pPr>
        <w:pStyle w:val="TOC3"/>
        <w:rPr>
          <w:rFonts w:asciiTheme="minorHAnsi" w:hAnsiTheme="minorHAnsi"/>
          <w:noProof/>
          <w:lang w:eastAsia="en-GB"/>
        </w:rPr>
      </w:pPr>
      <w:hyperlink w:anchor="_Toc33776213" w:history="1">
        <w:r w:rsidR="00121437" w:rsidRPr="00CD05B2">
          <w:rPr>
            <w:rStyle w:val="Hyperlink"/>
            <w:noProof/>
          </w:rPr>
          <w:t>6.3.5</w:t>
        </w:r>
        <w:r w:rsidR="00121437">
          <w:rPr>
            <w:rFonts w:asciiTheme="minorHAnsi" w:hAnsiTheme="minorHAnsi"/>
            <w:noProof/>
            <w:lang w:eastAsia="en-GB"/>
          </w:rPr>
          <w:tab/>
        </w:r>
        <w:r w:rsidR="00121437" w:rsidRPr="00CD05B2">
          <w:rPr>
            <w:rStyle w:val="Hyperlink"/>
            <w:noProof/>
          </w:rPr>
          <w:t>Implications for the appraisal of histology-independent technologies</w:t>
        </w:r>
        <w:r w:rsidR="00121437">
          <w:rPr>
            <w:noProof/>
            <w:webHidden/>
          </w:rPr>
          <w:tab/>
        </w:r>
        <w:r w:rsidR="00121437">
          <w:rPr>
            <w:noProof/>
            <w:webHidden/>
          </w:rPr>
          <w:fldChar w:fldCharType="begin"/>
        </w:r>
        <w:r w:rsidR="00121437">
          <w:rPr>
            <w:noProof/>
            <w:webHidden/>
          </w:rPr>
          <w:instrText xml:space="preserve"> PAGEREF _Toc33776213 \h </w:instrText>
        </w:r>
        <w:r w:rsidR="00121437">
          <w:rPr>
            <w:noProof/>
            <w:webHidden/>
          </w:rPr>
        </w:r>
        <w:r w:rsidR="00121437">
          <w:rPr>
            <w:noProof/>
            <w:webHidden/>
          </w:rPr>
          <w:fldChar w:fldCharType="separate"/>
        </w:r>
        <w:r w:rsidR="00121437">
          <w:rPr>
            <w:noProof/>
            <w:webHidden/>
          </w:rPr>
          <w:t>107</w:t>
        </w:r>
        <w:r w:rsidR="00121437">
          <w:rPr>
            <w:noProof/>
            <w:webHidden/>
          </w:rPr>
          <w:fldChar w:fldCharType="end"/>
        </w:r>
      </w:hyperlink>
    </w:p>
    <w:p w14:paraId="02251095" w14:textId="7B3F6FFE" w:rsidR="00121437" w:rsidRDefault="00C974E5">
      <w:pPr>
        <w:pStyle w:val="TOC2"/>
        <w:rPr>
          <w:rFonts w:asciiTheme="minorHAnsi" w:hAnsiTheme="minorHAnsi"/>
          <w:noProof/>
          <w:lang w:eastAsia="en-GB"/>
        </w:rPr>
      </w:pPr>
      <w:hyperlink w:anchor="_Toc33776214" w:history="1">
        <w:r w:rsidR="00121437" w:rsidRPr="00CD05B2">
          <w:rPr>
            <w:rStyle w:val="Hyperlink"/>
            <w:noProof/>
          </w:rPr>
          <w:t>6.4</w:t>
        </w:r>
        <w:r w:rsidR="00121437">
          <w:rPr>
            <w:rFonts w:asciiTheme="minorHAnsi" w:hAnsiTheme="minorHAnsi"/>
            <w:noProof/>
            <w:lang w:eastAsia="en-GB"/>
          </w:rPr>
          <w:tab/>
        </w:r>
        <w:r w:rsidR="00121437" w:rsidRPr="00CD05B2">
          <w:rPr>
            <w:rStyle w:val="Hyperlink"/>
            <w:noProof/>
          </w:rPr>
          <w:t>Genomic testing for histology-independent drugs</w:t>
        </w:r>
        <w:r w:rsidR="00121437">
          <w:rPr>
            <w:noProof/>
            <w:webHidden/>
          </w:rPr>
          <w:tab/>
        </w:r>
        <w:r w:rsidR="00121437">
          <w:rPr>
            <w:noProof/>
            <w:webHidden/>
          </w:rPr>
          <w:fldChar w:fldCharType="begin"/>
        </w:r>
        <w:r w:rsidR="00121437">
          <w:rPr>
            <w:noProof/>
            <w:webHidden/>
          </w:rPr>
          <w:instrText xml:space="preserve"> PAGEREF _Toc33776214 \h </w:instrText>
        </w:r>
        <w:r w:rsidR="00121437">
          <w:rPr>
            <w:noProof/>
            <w:webHidden/>
          </w:rPr>
        </w:r>
        <w:r w:rsidR="00121437">
          <w:rPr>
            <w:noProof/>
            <w:webHidden/>
          </w:rPr>
          <w:fldChar w:fldCharType="separate"/>
        </w:r>
        <w:r w:rsidR="00121437">
          <w:rPr>
            <w:noProof/>
            <w:webHidden/>
          </w:rPr>
          <w:t>107</w:t>
        </w:r>
        <w:r w:rsidR="00121437">
          <w:rPr>
            <w:noProof/>
            <w:webHidden/>
          </w:rPr>
          <w:fldChar w:fldCharType="end"/>
        </w:r>
      </w:hyperlink>
    </w:p>
    <w:p w14:paraId="62F9D7D4" w14:textId="0009189F" w:rsidR="00121437" w:rsidRDefault="00C974E5">
      <w:pPr>
        <w:pStyle w:val="TOC3"/>
        <w:rPr>
          <w:rFonts w:asciiTheme="minorHAnsi" w:hAnsiTheme="minorHAnsi"/>
          <w:noProof/>
          <w:lang w:eastAsia="en-GB"/>
        </w:rPr>
      </w:pPr>
      <w:hyperlink w:anchor="_Toc33776215" w:history="1">
        <w:r w:rsidR="00121437" w:rsidRPr="00CD05B2">
          <w:rPr>
            <w:rStyle w:val="Hyperlink"/>
            <w:noProof/>
          </w:rPr>
          <w:t>6.4.1</w:t>
        </w:r>
        <w:r w:rsidR="00121437">
          <w:rPr>
            <w:rFonts w:asciiTheme="minorHAnsi" w:hAnsiTheme="minorHAnsi"/>
            <w:noProof/>
            <w:lang w:eastAsia="en-GB"/>
          </w:rPr>
          <w:tab/>
        </w:r>
        <w:r w:rsidR="00121437" w:rsidRPr="00CD05B2">
          <w:rPr>
            <w:rStyle w:val="Hyperlink"/>
            <w:noProof/>
          </w:rPr>
          <w:t>Overview of molecular testing in the UK</w:t>
        </w:r>
        <w:r w:rsidR="00121437">
          <w:rPr>
            <w:noProof/>
            <w:webHidden/>
          </w:rPr>
          <w:tab/>
        </w:r>
        <w:r w:rsidR="00121437">
          <w:rPr>
            <w:noProof/>
            <w:webHidden/>
          </w:rPr>
          <w:fldChar w:fldCharType="begin"/>
        </w:r>
        <w:r w:rsidR="00121437">
          <w:rPr>
            <w:noProof/>
            <w:webHidden/>
          </w:rPr>
          <w:instrText xml:space="preserve"> PAGEREF _Toc33776215 \h </w:instrText>
        </w:r>
        <w:r w:rsidR="00121437">
          <w:rPr>
            <w:noProof/>
            <w:webHidden/>
          </w:rPr>
        </w:r>
        <w:r w:rsidR="00121437">
          <w:rPr>
            <w:noProof/>
            <w:webHidden/>
          </w:rPr>
          <w:fldChar w:fldCharType="separate"/>
        </w:r>
        <w:r w:rsidR="00121437">
          <w:rPr>
            <w:noProof/>
            <w:webHidden/>
          </w:rPr>
          <w:t>107</w:t>
        </w:r>
        <w:r w:rsidR="00121437">
          <w:rPr>
            <w:noProof/>
            <w:webHidden/>
          </w:rPr>
          <w:fldChar w:fldCharType="end"/>
        </w:r>
      </w:hyperlink>
    </w:p>
    <w:p w14:paraId="25D9C699" w14:textId="61F10351" w:rsidR="00121437" w:rsidRDefault="00C974E5">
      <w:pPr>
        <w:pStyle w:val="TOC3"/>
        <w:rPr>
          <w:rFonts w:asciiTheme="minorHAnsi" w:hAnsiTheme="minorHAnsi"/>
          <w:noProof/>
          <w:lang w:eastAsia="en-GB"/>
        </w:rPr>
      </w:pPr>
      <w:hyperlink w:anchor="_Toc33776216" w:history="1">
        <w:r w:rsidR="00121437" w:rsidRPr="00CD05B2">
          <w:rPr>
            <w:rStyle w:val="Hyperlink"/>
            <w:noProof/>
          </w:rPr>
          <w:t>6.4.2</w:t>
        </w:r>
        <w:r w:rsidR="00121437">
          <w:rPr>
            <w:rFonts w:asciiTheme="minorHAnsi" w:hAnsiTheme="minorHAnsi"/>
            <w:noProof/>
            <w:lang w:eastAsia="en-GB"/>
          </w:rPr>
          <w:tab/>
        </w:r>
        <w:r w:rsidR="00121437" w:rsidRPr="00CD05B2">
          <w:rPr>
            <w:rStyle w:val="Hyperlink"/>
            <w:noProof/>
          </w:rPr>
          <w:t>Types of Genomic Test</w:t>
        </w:r>
        <w:r w:rsidR="00121437">
          <w:rPr>
            <w:noProof/>
            <w:webHidden/>
          </w:rPr>
          <w:tab/>
        </w:r>
        <w:r w:rsidR="00121437">
          <w:rPr>
            <w:noProof/>
            <w:webHidden/>
          </w:rPr>
          <w:fldChar w:fldCharType="begin"/>
        </w:r>
        <w:r w:rsidR="00121437">
          <w:rPr>
            <w:noProof/>
            <w:webHidden/>
          </w:rPr>
          <w:instrText xml:space="preserve"> PAGEREF _Toc33776216 \h </w:instrText>
        </w:r>
        <w:r w:rsidR="00121437">
          <w:rPr>
            <w:noProof/>
            <w:webHidden/>
          </w:rPr>
        </w:r>
        <w:r w:rsidR="00121437">
          <w:rPr>
            <w:noProof/>
            <w:webHidden/>
          </w:rPr>
          <w:fldChar w:fldCharType="separate"/>
        </w:r>
        <w:r w:rsidR="00121437">
          <w:rPr>
            <w:noProof/>
            <w:webHidden/>
          </w:rPr>
          <w:t>108</w:t>
        </w:r>
        <w:r w:rsidR="00121437">
          <w:rPr>
            <w:noProof/>
            <w:webHidden/>
          </w:rPr>
          <w:fldChar w:fldCharType="end"/>
        </w:r>
      </w:hyperlink>
    </w:p>
    <w:p w14:paraId="2EA49940" w14:textId="7CACFB11" w:rsidR="00121437" w:rsidRDefault="00C974E5">
      <w:pPr>
        <w:pStyle w:val="TOC3"/>
        <w:rPr>
          <w:rFonts w:asciiTheme="minorHAnsi" w:hAnsiTheme="minorHAnsi"/>
          <w:noProof/>
          <w:lang w:eastAsia="en-GB"/>
        </w:rPr>
      </w:pPr>
      <w:hyperlink w:anchor="_Toc33776217" w:history="1">
        <w:r w:rsidR="00121437" w:rsidRPr="00CD05B2">
          <w:rPr>
            <w:rStyle w:val="Hyperlink"/>
            <w:noProof/>
          </w:rPr>
          <w:t>6.4.3</w:t>
        </w:r>
        <w:r w:rsidR="00121437">
          <w:rPr>
            <w:rFonts w:asciiTheme="minorHAnsi" w:hAnsiTheme="minorHAnsi"/>
            <w:noProof/>
            <w:lang w:eastAsia="en-GB"/>
          </w:rPr>
          <w:tab/>
        </w:r>
        <w:r w:rsidR="00121437" w:rsidRPr="00CD05B2">
          <w:rPr>
            <w:rStyle w:val="Hyperlink"/>
            <w:noProof/>
          </w:rPr>
          <w:t>Implications of testing for appraisal of histology-independent technologies</w:t>
        </w:r>
        <w:r w:rsidR="00121437">
          <w:rPr>
            <w:noProof/>
            <w:webHidden/>
          </w:rPr>
          <w:tab/>
        </w:r>
        <w:r w:rsidR="00121437">
          <w:rPr>
            <w:noProof/>
            <w:webHidden/>
          </w:rPr>
          <w:fldChar w:fldCharType="begin"/>
        </w:r>
        <w:r w:rsidR="00121437">
          <w:rPr>
            <w:noProof/>
            <w:webHidden/>
          </w:rPr>
          <w:instrText xml:space="preserve"> PAGEREF _Toc33776217 \h </w:instrText>
        </w:r>
        <w:r w:rsidR="00121437">
          <w:rPr>
            <w:noProof/>
            <w:webHidden/>
          </w:rPr>
        </w:r>
        <w:r w:rsidR="00121437">
          <w:rPr>
            <w:noProof/>
            <w:webHidden/>
          </w:rPr>
          <w:fldChar w:fldCharType="separate"/>
        </w:r>
        <w:r w:rsidR="00121437">
          <w:rPr>
            <w:noProof/>
            <w:webHidden/>
          </w:rPr>
          <w:t>112</w:t>
        </w:r>
        <w:r w:rsidR="00121437">
          <w:rPr>
            <w:noProof/>
            <w:webHidden/>
          </w:rPr>
          <w:fldChar w:fldCharType="end"/>
        </w:r>
      </w:hyperlink>
    </w:p>
    <w:p w14:paraId="7B97F288" w14:textId="68AC9171" w:rsidR="00121437" w:rsidRDefault="00C974E5">
      <w:pPr>
        <w:pStyle w:val="TOC4"/>
        <w:rPr>
          <w:rFonts w:asciiTheme="minorHAnsi" w:hAnsiTheme="minorHAnsi"/>
          <w:noProof/>
          <w:lang w:eastAsia="en-GB"/>
        </w:rPr>
      </w:pPr>
      <w:hyperlink w:anchor="_Toc33776218" w:history="1">
        <w:r w:rsidR="00121437" w:rsidRPr="00CD05B2">
          <w:rPr>
            <w:rStyle w:val="Hyperlink"/>
            <w:noProof/>
          </w:rPr>
          <w:t>6.4.3.1</w:t>
        </w:r>
        <w:r w:rsidR="00121437">
          <w:rPr>
            <w:rFonts w:asciiTheme="minorHAnsi" w:hAnsiTheme="minorHAnsi"/>
            <w:noProof/>
            <w:lang w:eastAsia="en-GB"/>
          </w:rPr>
          <w:tab/>
        </w:r>
        <w:r w:rsidR="00121437" w:rsidRPr="00CD05B2">
          <w:rPr>
            <w:rStyle w:val="Hyperlink"/>
            <w:noProof/>
          </w:rPr>
          <w:t>Costs</w:t>
        </w:r>
        <w:r w:rsidR="00121437">
          <w:rPr>
            <w:noProof/>
            <w:webHidden/>
          </w:rPr>
          <w:tab/>
        </w:r>
        <w:r w:rsidR="00121437">
          <w:rPr>
            <w:noProof/>
            <w:webHidden/>
          </w:rPr>
          <w:fldChar w:fldCharType="begin"/>
        </w:r>
        <w:r w:rsidR="00121437">
          <w:rPr>
            <w:noProof/>
            <w:webHidden/>
          </w:rPr>
          <w:instrText xml:space="preserve"> PAGEREF _Toc33776218 \h </w:instrText>
        </w:r>
        <w:r w:rsidR="00121437">
          <w:rPr>
            <w:noProof/>
            <w:webHidden/>
          </w:rPr>
        </w:r>
        <w:r w:rsidR="00121437">
          <w:rPr>
            <w:noProof/>
            <w:webHidden/>
          </w:rPr>
          <w:fldChar w:fldCharType="separate"/>
        </w:r>
        <w:r w:rsidR="00121437">
          <w:rPr>
            <w:noProof/>
            <w:webHidden/>
          </w:rPr>
          <w:t>112</w:t>
        </w:r>
        <w:r w:rsidR="00121437">
          <w:rPr>
            <w:noProof/>
            <w:webHidden/>
          </w:rPr>
          <w:fldChar w:fldCharType="end"/>
        </w:r>
      </w:hyperlink>
    </w:p>
    <w:p w14:paraId="0F4033C9" w14:textId="17CED82C" w:rsidR="00121437" w:rsidRDefault="00C974E5">
      <w:pPr>
        <w:pStyle w:val="TOC4"/>
        <w:rPr>
          <w:rFonts w:asciiTheme="minorHAnsi" w:hAnsiTheme="minorHAnsi"/>
          <w:noProof/>
          <w:lang w:eastAsia="en-GB"/>
        </w:rPr>
      </w:pPr>
      <w:hyperlink w:anchor="_Toc33776219" w:history="1">
        <w:r w:rsidR="00121437" w:rsidRPr="00CD05B2">
          <w:rPr>
            <w:rStyle w:val="Hyperlink"/>
            <w:noProof/>
          </w:rPr>
          <w:t>6.4.3.2</w:t>
        </w:r>
        <w:r w:rsidR="00121437">
          <w:rPr>
            <w:rFonts w:asciiTheme="minorHAnsi" w:hAnsiTheme="minorHAnsi"/>
            <w:noProof/>
            <w:lang w:eastAsia="en-GB"/>
          </w:rPr>
          <w:tab/>
        </w:r>
        <w:r w:rsidR="00121437" w:rsidRPr="00CD05B2">
          <w:rPr>
            <w:rStyle w:val="Hyperlink"/>
            <w:noProof/>
          </w:rPr>
          <w:t>Attributing testing costs</w:t>
        </w:r>
        <w:r w:rsidR="00121437">
          <w:rPr>
            <w:noProof/>
            <w:webHidden/>
          </w:rPr>
          <w:tab/>
        </w:r>
        <w:r w:rsidR="00121437">
          <w:rPr>
            <w:noProof/>
            <w:webHidden/>
          </w:rPr>
          <w:fldChar w:fldCharType="begin"/>
        </w:r>
        <w:r w:rsidR="00121437">
          <w:rPr>
            <w:noProof/>
            <w:webHidden/>
          </w:rPr>
          <w:instrText xml:space="preserve"> PAGEREF _Toc33776219 \h </w:instrText>
        </w:r>
        <w:r w:rsidR="00121437">
          <w:rPr>
            <w:noProof/>
            <w:webHidden/>
          </w:rPr>
        </w:r>
        <w:r w:rsidR="00121437">
          <w:rPr>
            <w:noProof/>
            <w:webHidden/>
          </w:rPr>
          <w:fldChar w:fldCharType="separate"/>
        </w:r>
        <w:r w:rsidR="00121437">
          <w:rPr>
            <w:noProof/>
            <w:webHidden/>
          </w:rPr>
          <w:t>112</w:t>
        </w:r>
        <w:r w:rsidR="00121437">
          <w:rPr>
            <w:noProof/>
            <w:webHidden/>
          </w:rPr>
          <w:fldChar w:fldCharType="end"/>
        </w:r>
      </w:hyperlink>
    </w:p>
    <w:p w14:paraId="2D0F5A8C" w14:textId="5A780C34" w:rsidR="00121437" w:rsidRDefault="00C974E5">
      <w:pPr>
        <w:pStyle w:val="TOC4"/>
        <w:rPr>
          <w:rFonts w:asciiTheme="minorHAnsi" w:hAnsiTheme="minorHAnsi"/>
          <w:noProof/>
          <w:lang w:eastAsia="en-GB"/>
        </w:rPr>
      </w:pPr>
      <w:hyperlink w:anchor="_Toc33776220" w:history="1">
        <w:r w:rsidR="00121437" w:rsidRPr="00CD05B2">
          <w:rPr>
            <w:rStyle w:val="Hyperlink"/>
            <w:noProof/>
          </w:rPr>
          <w:t>6.4.3.3</w:t>
        </w:r>
        <w:r w:rsidR="00121437">
          <w:rPr>
            <w:rFonts w:asciiTheme="minorHAnsi" w:hAnsiTheme="minorHAnsi"/>
            <w:noProof/>
            <w:lang w:eastAsia="en-GB"/>
          </w:rPr>
          <w:tab/>
        </w:r>
        <w:r w:rsidR="00121437" w:rsidRPr="00CD05B2">
          <w:rPr>
            <w:rStyle w:val="Hyperlink"/>
            <w:noProof/>
          </w:rPr>
          <w:t>Feasibility</w:t>
        </w:r>
        <w:r w:rsidR="00121437">
          <w:rPr>
            <w:noProof/>
            <w:webHidden/>
          </w:rPr>
          <w:tab/>
        </w:r>
        <w:r w:rsidR="00121437">
          <w:rPr>
            <w:noProof/>
            <w:webHidden/>
          </w:rPr>
          <w:fldChar w:fldCharType="begin"/>
        </w:r>
        <w:r w:rsidR="00121437">
          <w:rPr>
            <w:noProof/>
            <w:webHidden/>
          </w:rPr>
          <w:instrText xml:space="preserve"> PAGEREF _Toc33776220 \h </w:instrText>
        </w:r>
        <w:r w:rsidR="00121437">
          <w:rPr>
            <w:noProof/>
            <w:webHidden/>
          </w:rPr>
        </w:r>
        <w:r w:rsidR="00121437">
          <w:rPr>
            <w:noProof/>
            <w:webHidden/>
          </w:rPr>
          <w:fldChar w:fldCharType="separate"/>
        </w:r>
        <w:r w:rsidR="00121437">
          <w:rPr>
            <w:noProof/>
            <w:webHidden/>
          </w:rPr>
          <w:t>113</w:t>
        </w:r>
        <w:r w:rsidR="00121437">
          <w:rPr>
            <w:noProof/>
            <w:webHidden/>
          </w:rPr>
          <w:fldChar w:fldCharType="end"/>
        </w:r>
      </w:hyperlink>
    </w:p>
    <w:p w14:paraId="41116D00" w14:textId="1E6EB82B" w:rsidR="00121437" w:rsidRDefault="00C974E5">
      <w:pPr>
        <w:pStyle w:val="TOC3"/>
        <w:rPr>
          <w:rFonts w:asciiTheme="minorHAnsi" w:hAnsiTheme="minorHAnsi"/>
          <w:noProof/>
          <w:lang w:eastAsia="en-GB"/>
        </w:rPr>
      </w:pPr>
      <w:hyperlink w:anchor="_Toc33776221" w:history="1">
        <w:r w:rsidR="00121437" w:rsidRPr="00CD05B2">
          <w:rPr>
            <w:rStyle w:val="Hyperlink"/>
            <w:noProof/>
          </w:rPr>
          <w:t>6.4.4</w:t>
        </w:r>
        <w:r w:rsidR="00121437">
          <w:rPr>
            <w:rFonts w:asciiTheme="minorHAnsi" w:hAnsiTheme="minorHAnsi"/>
            <w:noProof/>
            <w:lang w:eastAsia="en-GB"/>
          </w:rPr>
          <w:tab/>
        </w:r>
        <w:r w:rsidR="00121437" w:rsidRPr="00CD05B2">
          <w:rPr>
            <w:rStyle w:val="Hyperlink"/>
            <w:noProof/>
          </w:rPr>
          <w:t>Identifying patients eligible for Trk-inhibitors based on the presence of an NTRK fusion a worked example</w:t>
        </w:r>
        <w:r w:rsidR="00121437">
          <w:rPr>
            <w:noProof/>
            <w:webHidden/>
          </w:rPr>
          <w:tab/>
        </w:r>
        <w:r w:rsidR="00121437">
          <w:rPr>
            <w:noProof/>
            <w:webHidden/>
          </w:rPr>
          <w:fldChar w:fldCharType="begin"/>
        </w:r>
        <w:r w:rsidR="00121437">
          <w:rPr>
            <w:noProof/>
            <w:webHidden/>
          </w:rPr>
          <w:instrText xml:space="preserve"> PAGEREF _Toc33776221 \h </w:instrText>
        </w:r>
        <w:r w:rsidR="00121437">
          <w:rPr>
            <w:noProof/>
            <w:webHidden/>
          </w:rPr>
        </w:r>
        <w:r w:rsidR="00121437">
          <w:rPr>
            <w:noProof/>
            <w:webHidden/>
          </w:rPr>
          <w:fldChar w:fldCharType="separate"/>
        </w:r>
        <w:r w:rsidR="00121437">
          <w:rPr>
            <w:noProof/>
            <w:webHidden/>
          </w:rPr>
          <w:t>113</w:t>
        </w:r>
        <w:r w:rsidR="00121437">
          <w:rPr>
            <w:noProof/>
            <w:webHidden/>
          </w:rPr>
          <w:fldChar w:fldCharType="end"/>
        </w:r>
      </w:hyperlink>
    </w:p>
    <w:p w14:paraId="548F5F0F" w14:textId="5031D3F8" w:rsidR="00121437" w:rsidRDefault="00C974E5">
      <w:pPr>
        <w:pStyle w:val="TOC4"/>
        <w:rPr>
          <w:rFonts w:asciiTheme="minorHAnsi" w:hAnsiTheme="minorHAnsi"/>
          <w:noProof/>
          <w:lang w:eastAsia="en-GB"/>
        </w:rPr>
      </w:pPr>
      <w:hyperlink w:anchor="_Toc33776222" w:history="1">
        <w:r w:rsidR="00121437" w:rsidRPr="00CD05B2">
          <w:rPr>
            <w:rStyle w:val="Hyperlink"/>
            <w:noProof/>
          </w:rPr>
          <w:t>6.4.4.1</w:t>
        </w:r>
        <w:r w:rsidR="00121437">
          <w:rPr>
            <w:rFonts w:asciiTheme="minorHAnsi" w:hAnsiTheme="minorHAnsi"/>
            <w:noProof/>
            <w:lang w:eastAsia="en-GB"/>
          </w:rPr>
          <w:tab/>
        </w:r>
        <w:r w:rsidR="00121437" w:rsidRPr="00CD05B2">
          <w:rPr>
            <w:rStyle w:val="Hyperlink"/>
            <w:noProof/>
          </w:rPr>
          <w:t>Methods</w:t>
        </w:r>
        <w:r w:rsidR="00121437">
          <w:rPr>
            <w:noProof/>
            <w:webHidden/>
          </w:rPr>
          <w:tab/>
        </w:r>
        <w:r w:rsidR="00121437">
          <w:rPr>
            <w:noProof/>
            <w:webHidden/>
          </w:rPr>
          <w:fldChar w:fldCharType="begin"/>
        </w:r>
        <w:r w:rsidR="00121437">
          <w:rPr>
            <w:noProof/>
            <w:webHidden/>
          </w:rPr>
          <w:instrText xml:space="preserve"> PAGEREF _Toc33776222 \h </w:instrText>
        </w:r>
        <w:r w:rsidR="00121437">
          <w:rPr>
            <w:noProof/>
            <w:webHidden/>
          </w:rPr>
        </w:r>
        <w:r w:rsidR="00121437">
          <w:rPr>
            <w:noProof/>
            <w:webHidden/>
          </w:rPr>
          <w:fldChar w:fldCharType="separate"/>
        </w:r>
        <w:r w:rsidR="00121437">
          <w:rPr>
            <w:noProof/>
            <w:webHidden/>
          </w:rPr>
          <w:t>114</w:t>
        </w:r>
        <w:r w:rsidR="00121437">
          <w:rPr>
            <w:noProof/>
            <w:webHidden/>
          </w:rPr>
          <w:fldChar w:fldCharType="end"/>
        </w:r>
      </w:hyperlink>
    </w:p>
    <w:p w14:paraId="1B3E95EC" w14:textId="541AA718" w:rsidR="00121437" w:rsidRDefault="00C974E5">
      <w:pPr>
        <w:pStyle w:val="TOC4"/>
        <w:rPr>
          <w:rFonts w:asciiTheme="minorHAnsi" w:hAnsiTheme="minorHAnsi"/>
          <w:noProof/>
          <w:lang w:eastAsia="en-GB"/>
        </w:rPr>
      </w:pPr>
      <w:hyperlink w:anchor="_Toc33776223" w:history="1">
        <w:r w:rsidR="00121437" w:rsidRPr="00CD05B2">
          <w:rPr>
            <w:rStyle w:val="Hyperlink"/>
            <w:noProof/>
          </w:rPr>
          <w:t>6.4.4.2</w:t>
        </w:r>
        <w:r w:rsidR="00121437">
          <w:rPr>
            <w:rFonts w:asciiTheme="minorHAnsi" w:hAnsiTheme="minorHAnsi"/>
            <w:noProof/>
            <w:lang w:eastAsia="en-GB"/>
          </w:rPr>
          <w:tab/>
        </w:r>
        <w:r w:rsidR="00121437" w:rsidRPr="00CD05B2">
          <w:rPr>
            <w:rStyle w:val="Hyperlink"/>
            <w:noProof/>
          </w:rPr>
          <w:t>Results</w:t>
        </w:r>
        <w:r w:rsidR="00121437">
          <w:rPr>
            <w:noProof/>
            <w:webHidden/>
          </w:rPr>
          <w:tab/>
        </w:r>
        <w:r w:rsidR="00121437">
          <w:rPr>
            <w:noProof/>
            <w:webHidden/>
          </w:rPr>
          <w:fldChar w:fldCharType="begin"/>
        </w:r>
        <w:r w:rsidR="00121437">
          <w:rPr>
            <w:noProof/>
            <w:webHidden/>
          </w:rPr>
          <w:instrText xml:space="preserve"> PAGEREF _Toc33776223 \h </w:instrText>
        </w:r>
        <w:r w:rsidR="00121437">
          <w:rPr>
            <w:noProof/>
            <w:webHidden/>
          </w:rPr>
        </w:r>
        <w:r w:rsidR="00121437">
          <w:rPr>
            <w:noProof/>
            <w:webHidden/>
          </w:rPr>
          <w:fldChar w:fldCharType="separate"/>
        </w:r>
        <w:r w:rsidR="00121437">
          <w:rPr>
            <w:noProof/>
            <w:webHidden/>
          </w:rPr>
          <w:t>116</w:t>
        </w:r>
        <w:r w:rsidR="00121437">
          <w:rPr>
            <w:noProof/>
            <w:webHidden/>
          </w:rPr>
          <w:fldChar w:fldCharType="end"/>
        </w:r>
      </w:hyperlink>
    </w:p>
    <w:p w14:paraId="4B0A3F8C" w14:textId="12972F87" w:rsidR="00121437" w:rsidRDefault="00C974E5">
      <w:pPr>
        <w:pStyle w:val="TOC3"/>
        <w:rPr>
          <w:rFonts w:asciiTheme="minorHAnsi" w:hAnsiTheme="minorHAnsi"/>
          <w:noProof/>
          <w:lang w:eastAsia="en-GB"/>
        </w:rPr>
      </w:pPr>
      <w:hyperlink w:anchor="_Toc33776224" w:history="1">
        <w:r w:rsidR="00121437" w:rsidRPr="00CD05B2">
          <w:rPr>
            <w:rStyle w:val="Hyperlink"/>
            <w:noProof/>
          </w:rPr>
          <w:t>6.4.5</w:t>
        </w:r>
        <w:r w:rsidR="00121437">
          <w:rPr>
            <w:rFonts w:asciiTheme="minorHAnsi" w:hAnsiTheme="minorHAnsi"/>
            <w:noProof/>
            <w:lang w:eastAsia="en-GB"/>
          </w:rPr>
          <w:tab/>
        </w:r>
        <w:r w:rsidR="00121437" w:rsidRPr="00CD05B2">
          <w:rPr>
            <w:rStyle w:val="Hyperlink"/>
            <w:noProof/>
          </w:rPr>
          <w:t>Implications for the cost-effectiveness of Trk-inhibitors</w:t>
        </w:r>
        <w:r w:rsidR="00121437">
          <w:rPr>
            <w:noProof/>
            <w:webHidden/>
          </w:rPr>
          <w:tab/>
        </w:r>
        <w:r w:rsidR="00121437">
          <w:rPr>
            <w:noProof/>
            <w:webHidden/>
          </w:rPr>
          <w:fldChar w:fldCharType="begin"/>
        </w:r>
        <w:r w:rsidR="00121437">
          <w:rPr>
            <w:noProof/>
            <w:webHidden/>
          </w:rPr>
          <w:instrText xml:space="preserve"> PAGEREF _Toc33776224 \h </w:instrText>
        </w:r>
        <w:r w:rsidR="00121437">
          <w:rPr>
            <w:noProof/>
            <w:webHidden/>
          </w:rPr>
        </w:r>
        <w:r w:rsidR="00121437">
          <w:rPr>
            <w:noProof/>
            <w:webHidden/>
          </w:rPr>
          <w:fldChar w:fldCharType="separate"/>
        </w:r>
        <w:r w:rsidR="00121437">
          <w:rPr>
            <w:noProof/>
            <w:webHidden/>
          </w:rPr>
          <w:t>121</w:t>
        </w:r>
        <w:r w:rsidR="00121437">
          <w:rPr>
            <w:noProof/>
            <w:webHidden/>
          </w:rPr>
          <w:fldChar w:fldCharType="end"/>
        </w:r>
      </w:hyperlink>
    </w:p>
    <w:p w14:paraId="6334BC44" w14:textId="1DC343A2" w:rsidR="00121437" w:rsidRDefault="00C974E5">
      <w:pPr>
        <w:pStyle w:val="TOC2"/>
        <w:rPr>
          <w:rFonts w:asciiTheme="minorHAnsi" w:hAnsiTheme="minorHAnsi"/>
          <w:noProof/>
          <w:lang w:eastAsia="en-GB"/>
        </w:rPr>
      </w:pPr>
      <w:hyperlink w:anchor="_Toc33776225" w:history="1">
        <w:r w:rsidR="00121437" w:rsidRPr="00CD05B2">
          <w:rPr>
            <w:rStyle w:val="Hyperlink"/>
            <w:noProof/>
          </w:rPr>
          <w:t>6.5</w:t>
        </w:r>
        <w:r w:rsidR="00121437">
          <w:rPr>
            <w:rFonts w:asciiTheme="minorHAnsi" w:hAnsiTheme="minorHAnsi"/>
            <w:noProof/>
            <w:lang w:eastAsia="en-GB"/>
          </w:rPr>
          <w:tab/>
        </w:r>
        <w:r w:rsidR="00121437" w:rsidRPr="00CD05B2">
          <w:rPr>
            <w:rStyle w:val="Hyperlink"/>
            <w:noProof/>
            <w:shd w:val="clear" w:color="auto" w:fill="FFFFFF"/>
          </w:rPr>
          <w:t>Model structure and extrapolation</w:t>
        </w:r>
        <w:r w:rsidR="00121437">
          <w:rPr>
            <w:noProof/>
            <w:webHidden/>
          </w:rPr>
          <w:tab/>
        </w:r>
        <w:r w:rsidR="00121437">
          <w:rPr>
            <w:noProof/>
            <w:webHidden/>
          </w:rPr>
          <w:fldChar w:fldCharType="begin"/>
        </w:r>
        <w:r w:rsidR="00121437">
          <w:rPr>
            <w:noProof/>
            <w:webHidden/>
          </w:rPr>
          <w:instrText xml:space="preserve"> PAGEREF _Toc33776225 \h </w:instrText>
        </w:r>
        <w:r w:rsidR="00121437">
          <w:rPr>
            <w:noProof/>
            <w:webHidden/>
          </w:rPr>
        </w:r>
        <w:r w:rsidR="00121437">
          <w:rPr>
            <w:noProof/>
            <w:webHidden/>
          </w:rPr>
          <w:fldChar w:fldCharType="separate"/>
        </w:r>
        <w:r w:rsidR="00121437">
          <w:rPr>
            <w:noProof/>
            <w:webHidden/>
          </w:rPr>
          <w:t>122</w:t>
        </w:r>
        <w:r w:rsidR="00121437">
          <w:rPr>
            <w:noProof/>
            <w:webHidden/>
          </w:rPr>
          <w:fldChar w:fldCharType="end"/>
        </w:r>
      </w:hyperlink>
    </w:p>
    <w:p w14:paraId="792777CF" w14:textId="520744F6" w:rsidR="00121437" w:rsidRDefault="00C974E5">
      <w:pPr>
        <w:pStyle w:val="TOC2"/>
        <w:rPr>
          <w:rFonts w:asciiTheme="minorHAnsi" w:hAnsiTheme="minorHAnsi"/>
          <w:noProof/>
          <w:lang w:eastAsia="en-GB"/>
        </w:rPr>
      </w:pPr>
      <w:hyperlink w:anchor="_Toc33776226" w:history="1">
        <w:r w:rsidR="00121437" w:rsidRPr="00CD05B2">
          <w:rPr>
            <w:rStyle w:val="Hyperlink"/>
            <w:noProof/>
          </w:rPr>
          <w:t>6.6</w:t>
        </w:r>
        <w:r w:rsidR="00121437">
          <w:rPr>
            <w:rFonts w:asciiTheme="minorHAnsi" w:hAnsiTheme="minorHAnsi"/>
            <w:noProof/>
            <w:lang w:eastAsia="en-GB"/>
          </w:rPr>
          <w:tab/>
        </w:r>
        <w:r w:rsidR="00121437" w:rsidRPr="00CD05B2">
          <w:rPr>
            <w:rStyle w:val="Hyperlink"/>
            <w:noProof/>
          </w:rPr>
          <w:t>Summary and implications</w:t>
        </w:r>
        <w:r w:rsidR="00121437">
          <w:rPr>
            <w:noProof/>
            <w:webHidden/>
          </w:rPr>
          <w:tab/>
        </w:r>
        <w:r w:rsidR="00121437">
          <w:rPr>
            <w:noProof/>
            <w:webHidden/>
          </w:rPr>
          <w:fldChar w:fldCharType="begin"/>
        </w:r>
        <w:r w:rsidR="00121437">
          <w:rPr>
            <w:noProof/>
            <w:webHidden/>
          </w:rPr>
          <w:instrText xml:space="preserve"> PAGEREF _Toc33776226 \h </w:instrText>
        </w:r>
        <w:r w:rsidR="00121437">
          <w:rPr>
            <w:noProof/>
            <w:webHidden/>
          </w:rPr>
        </w:r>
        <w:r w:rsidR="00121437">
          <w:rPr>
            <w:noProof/>
            <w:webHidden/>
          </w:rPr>
          <w:fldChar w:fldCharType="separate"/>
        </w:r>
        <w:r w:rsidR="00121437">
          <w:rPr>
            <w:noProof/>
            <w:webHidden/>
          </w:rPr>
          <w:t>126</w:t>
        </w:r>
        <w:r w:rsidR="00121437">
          <w:rPr>
            <w:noProof/>
            <w:webHidden/>
          </w:rPr>
          <w:fldChar w:fldCharType="end"/>
        </w:r>
      </w:hyperlink>
    </w:p>
    <w:p w14:paraId="7A2C2ABE" w14:textId="03A5DBEF" w:rsidR="00121437" w:rsidRDefault="00C974E5">
      <w:pPr>
        <w:pStyle w:val="TOC1"/>
        <w:rPr>
          <w:rFonts w:asciiTheme="minorHAnsi" w:hAnsiTheme="minorHAnsi"/>
          <w:noProof/>
          <w:lang w:eastAsia="en-GB"/>
        </w:rPr>
      </w:pPr>
      <w:hyperlink w:anchor="_Toc33776227" w:history="1">
        <w:r w:rsidR="00121437" w:rsidRPr="00CD05B2">
          <w:rPr>
            <w:rStyle w:val="Hyperlink"/>
            <w:noProof/>
          </w:rPr>
          <w:t>7</w:t>
        </w:r>
        <w:r w:rsidR="00121437">
          <w:rPr>
            <w:rFonts w:asciiTheme="minorHAnsi" w:hAnsiTheme="minorHAnsi"/>
            <w:noProof/>
            <w:lang w:eastAsia="en-GB"/>
          </w:rPr>
          <w:tab/>
        </w:r>
        <w:r w:rsidR="00121437" w:rsidRPr="00CD05B2">
          <w:rPr>
            <w:rStyle w:val="Hyperlink"/>
            <w:noProof/>
          </w:rPr>
          <w:t>A decision framework to inform approval and research policies for histology-independent technologies</w:t>
        </w:r>
        <w:r w:rsidR="00121437">
          <w:rPr>
            <w:noProof/>
            <w:webHidden/>
          </w:rPr>
          <w:tab/>
        </w:r>
        <w:r w:rsidR="00121437">
          <w:rPr>
            <w:noProof/>
            <w:webHidden/>
          </w:rPr>
          <w:fldChar w:fldCharType="begin"/>
        </w:r>
        <w:r w:rsidR="00121437">
          <w:rPr>
            <w:noProof/>
            <w:webHidden/>
          </w:rPr>
          <w:instrText xml:space="preserve"> PAGEREF _Toc33776227 \h </w:instrText>
        </w:r>
        <w:r w:rsidR="00121437">
          <w:rPr>
            <w:noProof/>
            <w:webHidden/>
          </w:rPr>
        </w:r>
        <w:r w:rsidR="00121437">
          <w:rPr>
            <w:noProof/>
            <w:webHidden/>
          </w:rPr>
          <w:fldChar w:fldCharType="separate"/>
        </w:r>
        <w:r w:rsidR="00121437">
          <w:rPr>
            <w:noProof/>
            <w:webHidden/>
          </w:rPr>
          <w:t>127</w:t>
        </w:r>
        <w:r w:rsidR="00121437">
          <w:rPr>
            <w:noProof/>
            <w:webHidden/>
          </w:rPr>
          <w:fldChar w:fldCharType="end"/>
        </w:r>
      </w:hyperlink>
    </w:p>
    <w:p w14:paraId="0B70C69E" w14:textId="3D370299" w:rsidR="00121437" w:rsidRDefault="00C974E5">
      <w:pPr>
        <w:pStyle w:val="TOC2"/>
        <w:rPr>
          <w:rFonts w:asciiTheme="minorHAnsi" w:hAnsiTheme="minorHAnsi"/>
          <w:noProof/>
          <w:lang w:eastAsia="en-GB"/>
        </w:rPr>
      </w:pPr>
      <w:hyperlink w:anchor="_Toc33776228" w:history="1">
        <w:r w:rsidR="00121437" w:rsidRPr="00CD05B2">
          <w:rPr>
            <w:rStyle w:val="Hyperlink"/>
            <w:noProof/>
          </w:rPr>
          <w:t>7.1</w:t>
        </w:r>
        <w:r w:rsidR="00121437">
          <w:rPr>
            <w:rFonts w:asciiTheme="minorHAnsi" w:hAnsiTheme="minorHAnsi"/>
            <w:noProof/>
            <w:lang w:eastAsia="en-GB"/>
          </w:rPr>
          <w:tab/>
        </w:r>
        <w:r w:rsidR="00121437" w:rsidRPr="00CD05B2">
          <w:rPr>
            <w:rStyle w:val="Hyperlink"/>
            <w:noProof/>
          </w:rPr>
          <w:t>Exemplar case study</w:t>
        </w:r>
        <w:r w:rsidR="00121437">
          <w:rPr>
            <w:noProof/>
            <w:webHidden/>
          </w:rPr>
          <w:tab/>
        </w:r>
        <w:r w:rsidR="00121437">
          <w:rPr>
            <w:noProof/>
            <w:webHidden/>
          </w:rPr>
          <w:fldChar w:fldCharType="begin"/>
        </w:r>
        <w:r w:rsidR="00121437">
          <w:rPr>
            <w:noProof/>
            <w:webHidden/>
          </w:rPr>
          <w:instrText xml:space="preserve"> PAGEREF _Toc33776228 \h </w:instrText>
        </w:r>
        <w:r w:rsidR="00121437">
          <w:rPr>
            <w:noProof/>
            <w:webHidden/>
          </w:rPr>
        </w:r>
        <w:r w:rsidR="00121437">
          <w:rPr>
            <w:noProof/>
            <w:webHidden/>
          </w:rPr>
          <w:fldChar w:fldCharType="separate"/>
        </w:r>
        <w:r w:rsidR="00121437">
          <w:rPr>
            <w:noProof/>
            <w:webHidden/>
          </w:rPr>
          <w:t>127</w:t>
        </w:r>
        <w:r w:rsidR="00121437">
          <w:rPr>
            <w:noProof/>
            <w:webHidden/>
          </w:rPr>
          <w:fldChar w:fldCharType="end"/>
        </w:r>
      </w:hyperlink>
    </w:p>
    <w:p w14:paraId="00805E2A" w14:textId="510BE3B4" w:rsidR="00121437" w:rsidRDefault="00C974E5">
      <w:pPr>
        <w:pStyle w:val="TOC2"/>
        <w:rPr>
          <w:rFonts w:asciiTheme="minorHAnsi" w:hAnsiTheme="minorHAnsi"/>
          <w:noProof/>
          <w:lang w:eastAsia="en-GB"/>
        </w:rPr>
      </w:pPr>
      <w:hyperlink w:anchor="_Toc33776229" w:history="1">
        <w:r w:rsidR="00121437" w:rsidRPr="00CD05B2">
          <w:rPr>
            <w:rStyle w:val="Hyperlink"/>
            <w:noProof/>
          </w:rPr>
          <w:t>7.2</w:t>
        </w:r>
        <w:r w:rsidR="00121437">
          <w:rPr>
            <w:rFonts w:asciiTheme="minorHAnsi" w:hAnsiTheme="minorHAnsi"/>
            <w:noProof/>
            <w:lang w:eastAsia="en-GB"/>
          </w:rPr>
          <w:tab/>
        </w:r>
        <w:r w:rsidR="00121437" w:rsidRPr="00CD05B2">
          <w:rPr>
            <w:rStyle w:val="Hyperlink"/>
            <w:noProof/>
          </w:rPr>
          <w:t>Histology specific ICERs and overall cost-effectiveness</w:t>
        </w:r>
        <w:r w:rsidR="00121437">
          <w:rPr>
            <w:noProof/>
            <w:webHidden/>
          </w:rPr>
          <w:tab/>
        </w:r>
        <w:r w:rsidR="00121437">
          <w:rPr>
            <w:noProof/>
            <w:webHidden/>
          </w:rPr>
          <w:fldChar w:fldCharType="begin"/>
        </w:r>
        <w:r w:rsidR="00121437">
          <w:rPr>
            <w:noProof/>
            <w:webHidden/>
          </w:rPr>
          <w:instrText xml:space="preserve"> PAGEREF _Toc33776229 \h </w:instrText>
        </w:r>
        <w:r w:rsidR="00121437">
          <w:rPr>
            <w:noProof/>
            <w:webHidden/>
          </w:rPr>
        </w:r>
        <w:r w:rsidR="00121437">
          <w:rPr>
            <w:noProof/>
            <w:webHidden/>
          </w:rPr>
          <w:fldChar w:fldCharType="separate"/>
        </w:r>
        <w:r w:rsidR="00121437">
          <w:rPr>
            <w:noProof/>
            <w:webHidden/>
          </w:rPr>
          <w:t>129</w:t>
        </w:r>
        <w:r w:rsidR="00121437">
          <w:rPr>
            <w:noProof/>
            <w:webHidden/>
          </w:rPr>
          <w:fldChar w:fldCharType="end"/>
        </w:r>
      </w:hyperlink>
    </w:p>
    <w:p w14:paraId="57A91EAA" w14:textId="55771BC5" w:rsidR="00121437" w:rsidRDefault="00C974E5">
      <w:pPr>
        <w:pStyle w:val="TOC3"/>
        <w:rPr>
          <w:rFonts w:asciiTheme="minorHAnsi" w:hAnsiTheme="minorHAnsi"/>
          <w:noProof/>
          <w:lang w:eastAsia="en-GB"/>
        </w:rPr>
      </w:pPr>
      <w:hyperlink w:anchor="_Toc33776230" w:history="1">
        <w:r w:rsidR="00121437" w:rsidRPr="00CD05B2">
          <w:rPr>
            <w:rStyle w:val="Hyperlink"/>
            <w:noProof/>
          </w:rPr>
          <w:t>7.2.1</w:t>
        </w:r>
        <w:r w:rsidR="00121437">
          <w:rPr>
            <w:rFonts w:asciiTheme="minorHAnsi" w:hAnsiTheme="minorHAnsi"/>
            <w:noProof/>
            <w:lang w:eastAsia="en-GB"/>
          </w:rPr>
          <w:tab/>
        </w:r>
        <w:r w:rsidR="00121437" w:rsidRPr="00CD05B2">
          <w:rPr>
            <w:rStyle w:val="Hyperlink"/>
            <w:noProof/>
          </w:rPr>
          <w:t>Screening to identify eligible patients</w:t>
        </w:r>
        <w:r w:rsidR="00121437">
          <w:rPr>
            <w:noProof/>
            <w:webHidden/>
          </w:rPr>
          <w:tab/>
        </w:r>
        <w:r w:rsidR="00121437">
          <w:rPr>
            <w:noProof/>
            <w:webHidden/>
          </w:rPr>
          <w:fldChar w:fldCharType="begin"/>
        </w:r>
        <w:r w:rsidR="00121437">
          <w:rPr>
            <w:noProof/>
            <w:webHidden/>
          </w:rPr>
          <w:instrText xml:space="preserve"> PAGEREF _Toc33776230 \h </w:instrText>
        </w:r>
        <w:r w:rsidR="00121437">
          <w:rPr>
            <w:noProof/>
            <w:webHidden/>
          </w:rPr>
        </w:r>
        <w:r w:rsidR="00121437">
          <w:rPr>
            <w:noProof/>
            <w:webHidden/>
          </w:rPr>
          <w:fldChar w:fldCharType="separate"/>
        </w:r>
        <w:r w:rsidR="00121437">
          <w:rPr>
            <w:noProof/>
            <w:webHidden/>
          </w:rPr>
          <w:t>133</w:t>
        </w:r>
        <w:r w:rsidR="00121437">
          <w:rPr>
            <w:noProof/>
            <w:webHidden/>
          </w:rPr>
          <w:fldChar w:fldCharType="end"/>
        </w:r>
      </w:hyperlink>
    </w:p>
    <w:p w14:paraId="0E0A3C73" w14:textId="44DA6317" w:rsidR="00121437" w:rsidRDefault="00C974E5">
      <w:pPr>
        <w:pStyle w:val="TOC2"/>
        <w:rPr>
          <w:rFonts w:asciiTheme="minorHAnsi" w:hAnsiTheme="minorHAnsi"/>
          <w:noProof/>
          <w:lang w:eastAsia="en-GB"/>
        </w:rPr>
      </w:pPr>
      <w:hyperlink w:anchor="_Toc33776231" w:history="1">
        <w:r w:rsidR="00121437" w:rsidRPr="00CD05B2">
          <w:rPr>
            <w:rStyle w:val="Hyperlink"/>
            <w:noProof/>
          </w:rPr>
          <w:t>7.3</w:t>
        </w:r>
        <w:r w:rsidR="00121437">
          <w:rPr>
            <w:rFonts w:asciiTheme="minorHAnsi" w:hAnsiTheme="minorHAnsi"/>
            <w:noProof/>
            <w:lang w:eastAsia="en-GB"/>
          </w:rPr>
          <w:tab/>
        </w:r>
        <w:r w:rsidR="00121437" w:rsidRPr="00CD05B2">
          <w:rPr>
            <w:rStyle w:val="Hyperlink"/>
            <w:noProof/>
          </w:rPr>
          <w:t>The value of heterogeneity and population health</w:t>
        </w:r>
        <w:r w:rsidR="00121437">
          <w:rPr>
            <w:noProof/>
            <w:webHidden/>
          </w:rPr>
          <w:tab/>
        </w:r>
        <w:r w:rsidR="00121437">
          <w:rPr>
            <w:noProof/>
            <w:webHidden/>
          </w:rPr>
          <w:fldChar w:fldCharType="begin"/>
        </w:r>
        <w:r w:rsidR="00121437">
          <w:rPr>
            <w:noProof/>
            <w:webHidden/>
          </w:rPr>
          <w:instrText xml:space="preserve"> PAGEREF _Toc33776231 \h </w:instrText>
        </w:r>
        <w:r w:rsidR="00121437">
          <w:rPr>
            <w:noProof/>
            <w:webHidden/>
          </w:rPr>
        </w:r>
        <w:r w:rsidR="00121437">
          <w:rPr>
            <w:noProof/>
            <w:webHidden/>
          </w:rPr>
          <w:fldChar w:fldCharType="separate"/>
        </w:r>
        <w:r w:rsidR="00121437">
          <w:rPr>
            <w:noProof/>
            <w:webHidden/>
          </w:rPr>
          <w:t>136</w:t>
        </w:r>
        <w:r w:rsidR="00121437">
          <w:rPr>
            <w:noProof/>
            <w:webHidden/>
          </w:rPr>
          <w:fldChar w:fldCharType="end"/>
        </w:r>
      </w:hyperlink>
    </w:p>
    <w:p w14:paraId="39BDBACE" w14:textId="47271C64" w:rsidR="00121437" w:rsidRDefault="00C974E5">
      <w:pPr>
        <w:pStyle w:val="TOC3"/>
        <w:rPr>
          <w:rFonts w:asciiTheme="minorHAnsi" w:hAnsiTheme="minorHAnsi"/>
          <w:noProof/>
          <w:lang w:eastAsia="en-GB"/>
        </w:rPr>
      </w:pPr>
      <w:hyperlink w:anchor="_Toc33776232" w:history="1">
        <w:r w:rsidR="00121437" w:rsidRPr="00CD05B2">
          <w:rPr>
            <w:rStyle w:val="Hyperlink"/>
            <w:noProof/>
          </w:rPr>
          <w:t>7.3.1</w:t>
        </w:r>
        <w:r w:rsidR="00121437">
          <w:rPr>
            <w:rFonts w:asciiTheme="minorHAnsi" w:hAnsiTheme="minorHAnsi"/>
            <w:noProof/>
            <w:lang w:eastAsia="en-GB"/>
          </w:rPr>
          <w:tab/>
        </w:r>
        <w:r w:rsidR="00121437" w:rsidRPr="00CD05B2">
          <w:rPr>
            <w:rStyle w:val="Hyperlink"/>
            <w:noProof/>
          </w:rPr>
          <w:t>Histology-dependent recommendations and the value of heterogeneity</w:t>
        </w:r>
        <w:r w:rsidR="00121437">
          <w:rPr>
            <w:noProof/>
            <w:webHidden/>
          </w:rPr>
          <w:tab/>
        </w:r>
        <w:r w:rsidR="00121437">
          <w:rPr>
            <w:noProof/>
            <w:webHidden/>
          </w:rPr>
          <w:fldChar w:fldCharType="begin"/>
        </w:r>
        <w:r w:rsidR="00121437">
          <w:rPr>
            <w:noProof/>
            <w:webHidden/>
          </w:rPr>
          <w:instrText xml:space="preserve"> PAGEREF _Toc33776232 \h </w:instrText>
        </w:r>
        <w:r w:rsidR="00121437">
          <w:rPr>
            <w:noProof/>
            <w:webHidden/>
          </w:rPr>
        </w:r>
        <w:r w:rsidR="00121437">
          <w:rPr>
            <w:noProof/>
            <w:webHidden/>
          </w:rPr>
          <w:fldChar w:fldCharType="separate"/>
        </w:r>
        <w:r w:rsidR="00121437">
          <w:rPr>
            <w:noProof/>
            <w:webHidden/>
          </w:rPr>
          <w:t>139</w:t>
        </w:r>
        <w:r w:rsidR="00121437">
          <w:rPr>
            <w:noProof/>
            <w:webHidden/>
          </w:rPr>
          <w:fldChar w:fldCharType="end"/>
        </w:r>
      </w:hyperlink>
    </w:p>
    <w:p w14:paraId="3EB43F10" w14:textId="64DD7193" w:rsidR="00121437" w:rsidRDefault="00C974E5">
      <w:pPr>
        <w:pStyle w:val="TOC3"/>
        <w:rPr>
          <w:rFonts w:asciiTheme="minorHAnsi" w:hAnsiTheme="minorHAnsi"/>
          <w:noProof/>
          <w:lang w:eastAsia="en-GB"/>
        </w:rPr>
      </w:pPr>
      <w:hyperlink w:anchor="_Toc33776233" w:history="1">
        <w:r w:rsidR="00121437" w:rsidRPr="00CD05B2">
          <w:rPr>
            <w:rStyle w:val="Hyperlink"/>
            <w:noProof/>
          </w:rPr>
          <w:t>7.3.2</w:t>
        </w:r>
        <w:r w:rsidR="00121437">
          <w:rPr>
            <w:rFonts w:asciiTheme="minorHAnsi" w:hAnsiTheme="minorHAnsi"/>
            <w:noProof/>
            <w:lang w:eastAsia="en-GB"/>
          </w:rPr>
          <w:tab/>
        </w:r>
        <w:r w:rsidR="00121437" w:rsidRPr="00CD05B2">
          <w:rPr>
            <w:rStyle w:val="Hyperlink"/>
            <w:noProof/>
          </w:rPr>
          <w:t>No stratification: Histology-independent approval</w:t>
        </w:r>
        <w:r w:rsidR="00121437">
          <w:rPr>
            <w:noProof/>
            <w:webHidden/>
          </w:rPr>
          <w:tab/>
        </w:r>
        <w:r w:rsidR="00121437">
          <w:rPr>
            <w:noProof/>
            <w:webHidden/>
          </w:rPr>
          <w:fldChar w:fldCharType="begin"/>
        </w:r>
        <w:r w:rsidR="00121437">
          <w:rPr>
            <w:noProof/>
            <w:webHidden/>
          </w:rPr>
          <w:instrText xml:space="preserve"> PAGEREF _Toc33776233 \h </w:instrText>
        </w:r>
        <w:r w:rsidR="00121437">
          <w:rPr>
            <w:noProof/>
            <w:webHidden/>
          </w:rPr>
        </w:r>
        <w:r w:rsidR="00121437">
          <w:rPr>
            <w:noProof/>
            <w:webHidden/>
          </w:rPr>
          <w:fldChar w:fldCharType="separate"/>
        </w:r>
        <w:r w:rsidR="00121437">
          <w:rPr>
            <w:noProof/>
            <w:webHidden/>
          </w:rPr>
          <w:t>139</w:t>
        </w:r>
        <w:r w:rsidR="00121437">
          <w:rPr>
            <w:noProof/>
            <w:webHidden/>
          </w:rPr>
          <w:fldChar w:fldCharType="end"/>
        </w:r>
      </w:hyperlink>
    </w:p>
    <w:p w14:paraId="23E41491" w14:textId="6AA347AB" w:rsidR="00121437" w:rsidRDefault="00C974E5">
      <w:pPr>
        <w:pStyle w:val="TOC3"/>
        <w:rPr>
          <w:rFonts w:asciiTheme="minorHAnsi" w:hAnsiTheme="minorHAnsi"/>
          <w:noProof/>
          <w:lang w:eastAsia="en-GB"/>
        </w:rPr>
      </w:pPr>
      <w:hyperlink w:anchor="_Toc33776234" w:history="1">
        <w:r w:rsidR="00121437" w:rsidRPr="00CD05B2">
          <w:rPr>
            <w:rStyle w:val="Hyperlink"/>
            <w:noProof/>
          </w:rPr>
          <w:t>7.3.3</w:t>
        </w:r>
        <w:r w:rsidR="00121437">
          <w:rPr>
            <w:rFonts w:asciiTheme="minorHAnsi" w:hAnsiTheme="minorHAnsi"/>
            <w:noProof/>
            <w:lang w:eastAsia="en-GB"/>
          </w:rPr>
          <w:tab/>
        </w:r>
        <w:r w:rsidR="00121437" w:rsidRPr="00CD05B2">
          <w:rPr>
            <w:rStyle w:val="Hyperlink"/>
            <w:noProof/>
          </w:rPr>
          <w:t>Partial stratification: Approval in a defined set of histologies</w:t>
        </w:r>
        <w:r w:rsidR="00121437">
          <w:rPr>
            <w:noProof/>
            <w:webHidden/>
          </w:rPr>
          <w:tab/>
        </w:r>
        <w:r w:rsidR="00121437">
          <w:rPr>
            <w:noProof/>
            <w:webHidden/>
          </w:rPr>
          <w:fldChar w:fldCharType="begin"/>
        </w:r>
        <w:r w:rsidR="00121437">
          <w:rPr>
            <w:noProof/>
            <w:webHidden/>
          </w:rPr>
          <w:instrText xml:space="preserve"> PAGEREF _Toc33776234 \h </w:instrText>
        </w:r>
        <w:r w:rsidR="00121437">
          <w:rPr>
            <w:noProof/>
            <w:webHidden/>
          </w:rPr>
        </w:r>
        <w:r w:rsidR="00121437">
          <w:rPr>
            <w:noProof/>
            <w:webHidden/>
          </w:rPr>
          <w:fldChar w:fldCharType="separate"/>
        </w:r>
        <w:r w:rsidR="00121437">
          <w:rPr>
            <w:noProof/>
            <w:webHidden/>
          </w:rPr>
          <w:t>141</w:t>
        </w:r>
        <w:r w:rsidR="00121437">
          <w:rPr>
            <w:noProof/>
            <w:webHidden/>
          </w:rPr>
          <w:fldChar w:fldCharType="end"/>
        </w:r>
      </w:hyperlink>
    </w:p>
    <w:p w14:paraId="7FF5CAA6" w14:textId="75D3F011" w:rsidR="00121437" w:rsidRDefault="00C974E5">
      <w:pPr>
        <w:pStyle w:val="TOC3"/>
        <w:rPr>
          <w:rFonts w:asciiTheme="minorHAnsi" w:hAnsiTheme="minorHAnsi"/>
          <w:noProof/>
          <w:lang w:eastAsia="en-GB"/>
        </w:rPr>
      </w:pPr>
      <w:hyperlink w:anchor="_Toc33776235" w:history="1">
        <w:r w:rsidR="00121437" w:rsidRPr="00CD05B2">
          <w:rPr>
            <w:rStyle w:val="Hyperlink"/>
            <w:noProof/>
          </w:rPr>
          <w:t>7.3.4</w:t>
        </w:r>
        <w:r w:rsidR="00121437">
          <w:rPr>
            <w:rFonts w:asciiTheme="minorHAnsi" w:hAnsiTheme="minorHAnsi"/>
            <w:noProof/>
            <w:lang w:eastAsia="en-GB"/>
          </w:rPr>
          <w:tab/>
        </w:r>
        <w:r w:rsidR="00121437" w:rsidRPr="00CD05B2">
          <w:rPr>
            <w:rStyle w:val="Hyperlink"/>
            <w:noProof/>
          </w:rPr>
          <w:t>Full stratification: Approval only in histologies in which cost-effectiveness is demonstrated</w:t>
        </w:r>
        <w:r w:rsidR="00121437">
          <w:rPr>
            <w:noProof/>
            <w:webHidden/>
          </w:rPr>
          <w:tab/>
        </w:r>
        <w:r w:rsidR="00121437">
          <w:rPr>
            <w:noProof/>
            <w:webHidden/>
          </w:rPr>
          <w:fldChar w:fldCharType="begin"/>
        </w:r>
        <w:r w:rsidR="00121437">
          <w:rPr>
            <w:noProof/>
            <w:webHidden/>
          </w:rPr>
          <w:instrText xml:space="preserve"> PAGEREF _Toc33776235 \h </w:instrText>
        </w:r>
        <w:r w:rsidR="00121437">
          <w:rPr>
            <w:noProof/>
            <w:webHidden/>
          </w:rPr>
        </w:r>
        <w:r w:rsidR="00121437">
          <w:rPr>
            <w:noProof/>
            <w:webHidden/>
          </w:rPr>
          <w:fldChar w:fldCharType="separate"/>
        </w:r>
        <w:r w:rsidR="00121437">
          <w:rPr>
            <w:noProof/>
            <w:webHidden/>
          </w:rPr>
          <w:t>143</w:t>
        </w:r>
        <w:r w:rsidR="00121437">
          <w:rPr>
            <w:noProof/>
            <w:webHidden/>
          </w:rPr>
          <w:fldChar w:fldCharType="end"/>
        </w:r>
      </w:hyperlink>
    </w:p>
    <w:p w14:paraId="136C498E" w14:textId="357F5B6C" w:rsidR="00121437" w:rsidRDefault="00C974E5">
      <w:pPr>
        <w:pStyle w:val="TOC2"/>
        <w:rPr>
          <w:rFonts w:asciiTheme="minorHAnsi" w:hAnsiTheme="minorHAnsi"/>
          <w:noProof/>
          <w:lang w:eastAsia="en-GB"/>
        </w:rPr>
      </w:pPr>
      <w:hyperlink w:anchor="_Toc33776236" w:history="1">
        <w:r w:rsidR="00121437" w:rsidRPr="00CD05B2">
          <w:rPr>
            <w:rStyle w:val="Hyperlink"/>
            <w:noProof/>
          </w:rPr>
          <w:t>7.4</w:t>
        </w:r>
        <w:r w:rsidR="00121437">
          <w:rPr>
            <w:rFonts w:asciiTheme="minorHAnsi" w:hAnsiTheme="minorHAnsi"/>
            <w:noProof/>
            <w:lang w:eastAsia="en-GB"/>
          </w:rPr>
          <w:tab/>
        </w:r>
        <w:r w:rsidR="00121437" w:rsidRPr="00CD05B2">
          <w:rPr>
            <w:rStyle w:val="Hyperlink"/>
            <w:noProof/>
          </w:rPr>
          <w:t>Uncertainty and decision making</w:t>
        </w:r>
        <w:r w:rsidR="00121437">
          <w:rPr>
            <w:noProof/>
            <w:webHidden/>
          </w:rPr>
          <w:tab/>
        </w:r>
        <w:r w:rsidR="00121437">
          <w:rPr>
            <w:noProof/>
            <w:webHidden/>
          </w:rPr>
          <w:fldChar w:fldCharType="begin"/>
        </w:r>
        <w:r w:rsidR="00121437">
          <w:rPr>
            <w:noProof/>
            <w:webHidden/>
          </w:rPr>
          <w:instrText xml:space="preserve"> PAGEREF _Toc33776236 \h </w:instrText>
        </w:r>
        <w:r w:rsidR="00121437">
          <w:rPr>
            <w:noProof/>
            <w:webHidden/>
          </w:rPr>
        </w:r>
        <w:r w:rsidR="00121437">
          <w:rPr>
            <w:noProof/>
            <w:webHidden/>
          </w:rPr>
          <w:fldChar w:fldCharType="separate"/>
        </w:r>
        <w:r w:rsidR="00121437">
          <w:rPr>
            <w:noProof/>
            <w:webHidden/>
          </w:rPr>
          <w:t>143</w:t>
        </w:r>
        <w:r w:rsidR="00121437">
          <w:rPr>
            <w:noProof/>
            <w:webHidden/>
          </w:rPr>
          <w:fldChar w:fldCharType="end"/>
        </w:r>
      </w:hyperlink>
    </w:p>
    <w:p w14:paraId="3C4E7AD1" w14:textId="2C02717F" w:rsidR="00121437" w:rsidRDefault="00C974E5">
      <w:pPr>
        <w:pStyle w:val="TOC3"/>
        <w:rPr>
          <w:rFonts w:asciiTheme="minorHAnsi" w:hAnsiTheme="minorHAnsi"/>
          <w:noProof/>
          <w:lang w:eastAsia="en-GB"/>
        </w:rPr>
      </w:pPr>
      <w:hyperlink w:anchor="_Toc33776237" w:history="1">
        <w:r w:rsidR="00121437" w:rsidRPr="00CD05B2">
          <w:rPr>
            <w:rStyle w:val="Hyperlink"/>
            <w:noProof/>
          </w:rPr>
          <w:t>7.4.1</w:t>
        </w:r>
        <w:r w:rsidR="00121437">
          <w:rPr>
            <w:rFonts w:asciiTheme="minorHAnsi" w:hAnsiTheme="minorHAnsi"/>
            <w:noProof/>
            <w:lang w:eastAsia="en-GB"/>
          </w:rPr>
          <w:tab/>
        </w:r>
        <w:r w:rsidR="00121437" w:rsidRPr="00CD05B2">
          <w:rPr>
            <w:rStyle w:val="Hyperlink"/>
            <w:noProof/>
          </w:rPr>
          <w:t>The consequences of uncertainty</w:t>
        </w:r>
        <w:r w:rsidR="00121437">
          <w:rPr>
            <w:noProof/>
            <w:webHidden/>
          </w:rPr>
          <w:tab/>
        </w:r>
        <w:r w:rsidR="00121437">
          <w:rPr>
            <w:noProof/>
            <w:webHidden/>
          </w:rPr>
          <w:fldChar w:fldCharType="begin"/>
        </w:r>
        <w:r w:rsidR="00121437">
          <w:rPr>
            <w:noProof/>
            <w:webHidden/>
          </w:rPr>
          <w:instrText xml:space="preserve"> PAGEREF _Toc33776237 \h </w:instrText>
        </w:r>
        <w:r w:rsidR="00121437">
          <w:rPr>
            <w:noProof/>
            <w:webHidden/>
          </w:rPr>
        </w:r>
        <w:r w:rsidR="00121437">
          <w:rPr>
            <w:noProof/>
            <w:webHidden/>
          </w:rPr>
          <w:fldChar w:fldCharType="separate"/>
        </w:r>
        <w:r w:rsidR="00121437">
          <w:rPr>
            <w:noProof/>
            <w:webHidden/>
          </w:rPr>
          <w:t>144</w:t>
        </w:r>
        <w:r w:rsidR="00121437">
          <w:rPr>
            <w:noProof/>
            <w:webHidden/>
          </w:rPr>
          <w:fldChar w:fldCharType="end"/>
        </w:r>
      </w:hyperlink>
    </w:p>
    <w:p w14:paraId="29CA808A" w14:textId="75D78060" w:rsidR="00121437" w:rsidRDefault="00C974E5">
      <w:pPr>
        <w:pStyle w:val="TOC3"/>
        <w:rPr>
          <w:rFonts w:asciiTheme="minorHAnsi" w:hAnsiTheme="minorHAnsi"/>
          <w:noProof/>
          <w:lang w:eastAsia="en-GB"/>
        </w:rPr>
      </w:pPr>
      <w:hyperlink w:anchor="_Toc33776238" w:history="1">
        <w:r w:rsidR="00121437" w:rsidRPr="00CD05B2">
          <w:rPr>
            <w:rStyle w:val="Hyperlink"/>
            <w:noProof/>
          </w:rPr>
          <w:t>7.4.2</w:t>
        </w:r>
        <w:r w:rsidR="00121437">
          <w:rPr>
            <w:rFonts w:asciiTheme="minorHAnsi" w:hAnsiTheme="minorHAnsi"/>
            <w:noProof/>
            <w:lang w:eastAsia="en-GB"/>
          </w:rPr>
          <w:tab/>
        </w:r>
        <w:r w:rsidR="00121437" w:rsidRPr="00CD05B2">
          <w:rPr>
            <w:rStyle w:val="Hyperlink"/>
            <w:noProof/>
          </w:rPr>
          <w:t>Quantifying the health consequences of uncertainty</w:t>
        </w:r>
        <w:r w:rsidR="00121437">
          <w:rPr>
            <w:noProof/>
            <w:webHidden/>
          </w:rPr>
          <w:tab/>
        </w:r>
        <w:r w:rsidR="00121437">
          <w:rPr>
            <w:noProof/>
            <w:webHidden/>
          </w:rPr>
          <w:fldChar w:fldCharType="begin"/>
        </w:r>
        <w:r w:rsidR="00121437">
          <w:rPr>
            <w:noProof/>
            <w:webHidden/>
          </w:rPr>
          <w:instrText xml:space="preserve"> PAGEREF _Toc33776238 \h </w:instrText>
        </w:r>
        <w:r w:rsidR="00121437">
          <w:rPr>
            <w:noProof/>
            <w:webHidden/>
          </w:rPr>
        </w:r>
        <w:r w:rsidR="00121437">
          <w:rPr>
            <w:noProof/>
            <w:webHidden/>
          </w:rPr>
          <w:fldChar w:fldCharType="separate"/>
        </w:r>
        <w:r w:rsidR="00121437">
          <w:rPr>
            <w:noProof/>
            <w:webHidden/>
          </w:rPr>
          <w:t>147</w:t>
        </w:r>
        <w:r w:rsidR="00121437">
          <w:rPr>
            <w:noProof/>
            <w:webHidden/>
          </w:rPr>
          <w:fldChar w:fldCharType="end"/>
        </w:r>
      </w:hyperlink>
    </w:p>
    <w:p w14:paraId="58B1F517" w14:textId="285D00C0" w:rsidR="00121437" w:rsidRDefault="00C974E5">
      <w:pPr>
        <w:pStyle w:val="TOC3"/>
        <w:rPr>
          <w:rFonts w:asciiTheme="minorHAnsi" w:hAnsiTheme="minorHAnsi"/>
          <w:noProof/>
          <w:lang w:eastAsia="en-GB"/>
        </w:rPr>
      </w:pPr>
      <w:hyperlink w:anchor="_Toc33776239" w:history="1">
        <w:r w:rsidR="00121437" w:rsidRPr="00CD05B2">
          <w:rPr>
            <w:rStyle w:val="Hyperlink"/>
            <w:noProof/>
          </w:rPr>
          <w:t>7.4.3</w:t>
        </w:r>
        <w:r w:rsidR="00121437">
          <w:rPr>
            <w:rFonts w:asciiTheme="minorHAnsi" w:hAnsiTheme="minorHAnsi"/>
            <w:noProof/>
            <w:lang w:eastAsia="en-GB"/>
          </w:rPr>
          <w:tab/>
        </w:r>
        <w:r w:rsidR="00121437" w:rsidRPr="00CD05B2">
          <w:rPr>
            <w:rStyle w:val="Hyperlink"/>
            <w:noProof/>
          </w:rPr>
          <w:t>Managing risk through further data collection</w:t>
        </w:r>
        <w:r w:rsidR="00121437">
          <w:rPr>
            <w:noProof/>
            <w:webHidden/>
          </w:rPr>
          <w:tab/>
        </w:r>
        <w:r w:rsidR="00121437">
          <w:rPr>
            <w:noProof/>
            <w:webHidden/>
          </w:rPr>
          <w:fldChar w:fldCharType="begin"/>
        </w:r>
        <w:r w:rsidR="00121437">
          <w:rPr>
            <w:noProof/>
            <w:webHidden/>
          </w:rPr>
          <w:instrText xml:space="preserve"> PAGEREF _Toc33776239 \h </w:instrText>
        </w:r>
        <w:r w:rsidR="00121437">
          <w:rPr>
            <w:noProof/>
            <w:webHidden/>
          </w:rPr>
        </w:r>
        <w:r w:rsidR="00121437">
          <w:rPr>
            <w:noProof/>
            <w:webHidden/>
          </w:rPr>
          <w:fldChar w:fldCharType="separate"/>
        </w:r>
        <w:r w:rsidR="00121437">
          <w:rPr>
            <w:noProof/>
            <w:webHidden/>
          </w:rPr>
          <w:t>148</w:t>
        </w:r>
        <w:r w:rsidR="00121437">
          <w:rPr>
            <w:noProof/>
            <w:webHidden/>
          </w:rPr>
          <w:fldChar w:fldCharType="end"/>
        </w:r>
      </w:hyperlink>
    </w:p>
    <w:p w14:paraId="3E144DB8" w14:textId="6E77613E" w:rsidR="00121437" w:rsidRDefault="00C974E5">
      <w:pPr>
        <w:pStyle w:val="TOC3"/>
        <w:rPr>
          <w:rFonts w:asciiTheme="minorHAnsi" w:hAnsiTheme="minorHAnsi"/>
          <w:noProof/>
          <w:lang w:eastAsia="en-GB"/>
        </w:rPr>
      </w:pPr>
      <w:hyperlink w:anchor="_Toc33776240" w:history="1">
        <w:r w:rsidR="00121437" w:rsidRPr="00CD05B2">
          <w:rPr>
            <w:rStyle w:val="Hyperlink"/>
            <w:noProof/>
          </w:rPr>
          <w:t>7.4.4</w:t>
        </w:r>
        <w:r w:rsidR="00121437">
          <w:rPr>
            <w:rFonts w:asciiTheme="minorHAnsi" w:hAnsiTheme="minorHAnsi"/>
            <w:noProof/>
            <w:lang w:eastAsia="en-GB"/>
          </w:rPr>
          <w:tab/>
        </w:r>
        <w:r w:rsidR="00121437" w:rsidRPr="00CD05B2">
          <w:rPr>
            <w:rStyle w:val="Hyperlink"/>
            <w:noProof/>
          </w:rPr>
          <w:t>Managing risk through pricing schemes</w:t>
        </w:r>
        <w:r w:rsidR="00121437">
          <w:rPr>
            <w:noProof/>
            <w:webHidden/>
          </w:rPr>
          <w:tab/>
        </w:r>
        <w:r w:rsidR="00121437">
          <w:rPr>
            <w:noProof/>
            <w:webHidden/>
          </w:rPr>
          <w:fldChar w:fldCharType="begin"/>
        </w:r>
        <w:r w:rsidR="00121437">
          <w:rPr>
            <w:noProof/>
            <w:webHidden/>
          </w:rPr>
          <w:instrText xml:space="preserve"> PAGEREF _Toc33776240 \h </w:instrText>
        </w:r>
        <w:r w:rsidR="00121437">
          <w:rPr>
            <w:noProof/>
            <w:webHidden/>
          </w:rPr>
        </w:r>
        <w:r w:rsidR="00121437">
          <w:rPr>
            <w:noProof/>
            <w:webHidden/>
          </w:rPr>
          <w:fldChar w:fldCharType="separate"/>
        </w:r>
        <w:r w:rsidR="00121437">
          <w:rPr>
            <w:noProof/>
            <w:webHidden/>
          </w:rPr>
          <w:t>150</w:t>
        </w:r>
        <w:r w:rsidR="00121437">
          <w:rPr>
            <w:noProof/>
            <w:webHidden/>
          </w:rPr>
          <w:fldChar w:fldCharType="end"/>
        </w:r>
      </w:hyperlink>
    </w:p>
    <w:p w14:paraId="2BF667EF" w14:textId="526EDD4B" w:rsidR="00121437" w:rsidRDefault="00C974E5">
      <w:pPr>
        <w:pStyle w:val="TOC3"/>
        <w:rPr>
          <w:rFonts w:asciiTheme="minorHAnsi" w:hAnsiTheme="minorHAnsi"/>
          <w:noProof/>
          <w:lang w:eastAsia="en-GB"/>
        </w:rPr>
      </w:pPr>
      <w:hyperlink w:anchor="_Toc33776241" w:history="1">
        <w:r w:rsidR="00121437" w:rsidRPr="00CD05B2">
          <w:rPr>
            <w:rStyle w:val="Hyperlink"/>
            <w:noProof/>
          </w:rPr>
          <w:t>7.4.5</w:t>
        </w:r>
        <w:r w:rsidR="00121437">
          <w:rPr>
            <w:rFonts w:asciiTheme="minorHAnsi" w:hAnsiTheme="minorHAnsi"/>
            <w:noProof/>
            <w:lang w:eastAsia="en-GB"/>
          </w:rPr>
          <w:tab/>
        </w:r>
        <w:r w:rsidR="00121437" w:rsidRPr="00CD05B2">
          <w:rPr>
            <w:rStyle w:val="Hyperlink"/>
            <w:noProof/>
          </w:rPr>
          <w:t>Managing risk through stratified decision making</w:t>
        </w:r>
        <w:r w:rsidR="00121437">
          <w:rPr>
            <w:noProof/>
            <w:webHidden/>
          </w:rPr>
          <w:tab/>
        </w:r>
        <w:r w:rsidR="00121437">
          <w:rPr>
            <w:noProof/>
            <w:webHidden/>
          </w:rPr>
          <w:fldChar w:fldCharType="begin"/>
        </w:r>
        <w:r w:rsidR="00121437">
          <w:rPr>
            <w:noProof/>
            <w:webHidden/>
          </w:rPr>
          <w:instrText xml:space="preserve"> PAGEREF _Toc33776241 \h </w:instrText>
        </w:r>
        <w:r w:rsidR="00121437">
          <w:rPr>
            <w:noProof/>
            <w:webHidden/>
          </w:rPr>
        </w:r>
        <w:r w:rsidR="00121437">
          <w:rPr>
            <w:noProof/>
            <w:webHidden/>
          </w:rPr>
          <w:fldChar w:fldCharType="separate"/>
        </w:r>
        <w:r w:rsidR="00121437">
          <w:rPr>
            <w:noProof/>
            <w:webHidden/>
          </w:rPr>
          <w:t>151</w:t>
        </w:r>
        <w:r w:rsidR="00121437">
          <w:rPr>
            <w:noProof/>
            <w:webHidden/>
          </w:rPr>
          <w:fldChar w:fldCharType="end"/>
        </w:r>
      </w:hyperlink>
    </w:p>
    <w:p w14:paraId="26FDF85E" w14:textId="3CD8FFC0" w:rsidR="00121437" w:rsidRDefault="00C974E5">
      <w:pPr>
        <w:pStyle w:val="TOC3"/>
        <w:rPr>
          <w:rFonts w:asciiTheme="minorHAnsi" w:hAnsiTheme="minorHAnsi"/>
          <w:noProof/>
          <w:lang w:eastAsia="en-GB"/>
        </w:rPr>
      </w:pPr>
      <w:hyperlink w:anchor="_Toc33776242" w:history="1">
        <w:r w:rsidR="00121437" w:rsidRPr="00CD05B2">
          <w:rPr>
            <w:rStyle w:val="Hyperlink"/>
            <w:noProof/>
          </w:rPr>
          <w:t>7.4.6</w:t>
        </w:r>
        <w:r w:rsidR="00121437">
          <w:rPr>
            <w:rFonts w:asciiTheme="minorHAnsi" w:hAnsiTheme="minorHAnsi"/>
            <w:noProof/>
            <w:lang w:eastAsia="en-GB"/>
          </w:rPr>
          <w:tab/>
        </w:r>
        <w:r w:rsidR="00121437" w:rsidRPr="00CD05B2">
          <w:rPr>
            <w:rStyle w:val="Hyperlink"/>
            <w:noProof/>
          </w:rPr>
          <w:t>Comparing approaches to risk management in histology-independent technologies</w:t>
        </w:r>
        <w:r w:rsidR="00121437">
          <w:rPr>
            <w:noProof/>
            <w:webHidden/>
          </w:rPr>
          <w:tab/>
        </w:r>
        <w:r w:rsidR="00121437">
          <w:rPr>
            <w:noProof/>
            <w:webHidden/>
          </w:rPr>
          <w:fldChar w:fldCharType="begin"/>
        </w:r>
        <w:r w:rsidR="00121437">
          <w:rPr>
            <w:noProof/>
            <w:webHidden/>
          </w:rPr>
          <w:instrText xml:space="preserve"> PAGEREF _Toc33776242 \h </w:instrText>
        </w:r>
        <w:r w:rsidR="00121437">
          <w:rPr>
            <w:noProof/>
            <w:webHidden/>
          </w:rPr>
        </w:r>
        <w:r w:rsidR="00121437">
          <w:rPr>
            <w:noProof/>
            <w:webHidden/>
          </w:rPr>
          <w:fldChar w:fldCharType="separate"/>
        </w:r>
        <w:r w:rsidR="00121437">
          <w:rPr>
            <w:noProof/>
            <w:webHidden/>
          </w:rPr>
          <w:t>154</w:t>
        </w:r>
        <w:r w:rsidR="00121437">
          <w:rPr>
            <w:noProof/>
            <w:webHidden/>
          </w:rPr>
          <w:fldChar w:fldCharType="end"/>
        </w:r>
      </w:hyperlink>
    </w:p>
    <w:p w14:paraId="782DFEFE" w14:textId="79D0185E" w:rsidR="00121437" w:rsidRDefault="00C974E5">
      <w:pPr>
        <w:pStyle w:val="TOC2"/>
        <w:rPr>
          <w:rFonts w:asciiTheme="minorHAnsi" w:hAnsiTheme="minorHAnsi"/>
          <w:noProof/>
          <w:lang w:eastAsia="en-GB"/>
        </w:rPr>
      </w:pPr>
      <w:hyperlink w:anchor="_Toc33776243" w:history="1">
        <w:r w:rsidR="00121437" w:rsidRPr="00CD05B2">
          <w:rPr>
            <w:rStyle w:val="Hyperlink"/>
            <w:noProof/>
          </w:rPr>
          <w:t>7.5</w:t>
        </w:r>
        <w:r w:rsidR="00121437">
          <w:rPr>
            <w:rFonts w:asciiTheme="minorHAnsi" w:hAnsiTheme="minorHAnsi"/>
            <w:noProof/>
            <w:lang w:eastAsia="en-GB"/>
          </w:rPr>
          <w:tab/>
        </w:r>
        <w:r w:rsidR="00121437" w:rsidRPr="00CD05B2">
          <w:rPr>
            <w:rStyle w:val="Hyperlink"/>
            <w:noProof/>
          </w:rPr>
          <w:t>Discussion</w:t>
        </w:r>
        <w:r w:rsidR="00121437">
          <w:rPr>
            <w:noProof/>
            <w:webHidden/>
          </w:rPr>
          <w:tab/>
        </w:r>
        <w:r w:rsidR="00121437">
          <w:rPr>
            <w:noProof/>
            <w:webHidden/>
          </w:rPr>
          <w:fldChar w:fldCharType="begin"/>
        </w:r>
        <w:r w:rsidR="00121437">
          <w:rPr>
            <w:noProof/>
            <w:webHidden/>
          </w:rPr>
          <w:instrText xml:space="preserve"> PAGEREF _Toc33776243 \h </w:instrText>
        </w:r>
        <w:r w:rsidR="00121437">
          <w:rPr>
            <w:noProof/>
            <w:webHidden/>
          </w:rPr>
        </w:r>
        <w:r w:rsidR="00121437">
          <w:rPr>
            <w:noProof/>
            <w:webHidden/>
          </w:rPr>
          <w:fldChar w:fldCharType="separate"/>
        </w:r>
        <w:r w:rsidR="00121437">
          <w:rPr>
            <w:noProof/>
            <w:webHidden/>
          </w:rPr>
          <w:t>156</w:t>
        </w:r>
        <w:r w:rsidR="00121437">
          <w:rPr>
            <w:noProof/>
            <w:webHidden/>
          </w:rPr>
          <w:fldChar w:fldCharType="end"/>
        </w:r>
      </w:hyperlink>
    </w:p>
    <w:p w14:paraId="179C561B" w14:textId="380FF8AE" w:rsidR="00121437" w:rsidRDefault="00C974E5">
      <w:pPr>
        <w:pStyle w:val="TOC3"/>
        <w:rPr>
          <w:rFonts w:asciiTheme="minorHAnsi" w:hAnsiTheme="minorHAnsi"/>
          <w:noProof/>
          <w:lang w:eastAsia="en-GB"/>
        </w:rPr>
      </w:pPr>
      <w:hyperlink w:anchor="_Toc33776244" w:history="1">
        <w:r w:rsidR="00121437" w:rsidRPr="00CD05B2">
          <w:rPr>
            <w:rStyle w:val="Hyperlink"/>
            <w:noProof/>
          </w:rPr>
          <w:t>7.5.1</w:t>
        </w:r>
        <w:r w:rsidR="00121437">
          <w:rPr>
            <w:rFonts w:asciiTheme="minorHAnsi" w:hAnsiTheme="minorHAnsi"/>
            <w:noProof/>
            <w:lang w:eastAsia="en-GB"/>
          </w:rPr>
          <w:tab/>
        </w:r>
        <w:r w:rsidR="00121437" w:rsidRPr="00CD05B2">
          <w:rPr>
            <w:rStyle w:val="Hyperlink"/>
            <w:noProof/>
          </w:rPr>
          <w:t>Limitations of the analysis and directions for future research</w:t>
        </w:r>
        <w:r w:rsidR="00121437">
          <w:rPr>
            <w:noProof/>
            <w:webHidden/>
          </w:rPr>
          <w:tab/>
        </w:r>
        <w:r w:rsidR="00121437">
          <w:rPr>
            <w:noProof/>
            <w:webHidden/>
          </w:rPr>
          <w:fldChar w:fldCharType="begin"/>
        </w:r>
        <w:r w:rsidR="00121437">
          <w:rPr>
            <w:noProof/>
            <w:webHidden/>
          </w:rPr>
          <w:instrText xml:space="preserve"> PAGEREF _Toc33776244 \h </w:instrText>
        </w:r>
        <w:r w:rsidR="00121437">
          <w:rPr>
            <w:noProof/>
            <w:webHidden/>
          </w:rPr>
        </w:r>
        <w:r w:rsidR="00121437">
          <w:rPr>
            <w:noProof/>
            <w:webHidden/>
          </w:rPr>
          <w:fldChar w:fldCharType="separate"/>
        </w:r>
        <w:r w:rsidR="00121437">
          <w:rPr>
            <w:noProof/>
            <w:webHidden/>
          </w:rPr>
          <w:t>157</w:t>
        </w:r>
        <w:r w:rsidR="00121437">
          <w:rPr>
            <w:noProof/>
            <w:webHidden/>
          </w:rPr>
          <w:fldChar w:fldCharType="end"/>
        </w:r>
      </w:hyperlink>
    </w:p>
    <w:p w14:paraId="639FF8C9" w14:textId="4F9C578E" w:rsidR="00121437" w:rsidRDefault="00C974E5">
      <w:pPr>
        <w:pStyle w:val="TOC1"/>
        <w:rPr>
          <w:rFonts w:asciiTheme="minorHAnsi" w:hAnsiTheme="minorHAnsi"/>
          <w:noProof/>
          <w:lang w:eastAsia="en-GB"/>
        </w:rPr>
      </w:pPr>
      <w:hyperlink w:anchor="_Toc33776245" w:history="1">
        <w:r w:rsidR="00121437" w:rsidRPr="00CD05B2">
          <w:rPr>
            <w:rStyle w:val="Hyperlink"/>
            <w:noProof/>
          </w:rPr>
          <w:t>8</w:t>
        </w:r>
        <w:r w:rsidR="00121437">
          <w:rPr>
            <w:rFonts w:asciiTheme="minorHAnsi" w:hAnsiTheme="minorHAnsi"/>
            <w:noProof/>
            <w:lang w:eastAsia="en-GB"/>
          </w:rPr>
          <w:tab/>
        </w:r>
        <w:r w:rsidR="00121437" w:rsidRPr="00CD05B2">
          <w:rPr>
            <w:rStyle w:val="Hyperlink"/>
            <w:noProof/>
          </w:rPr>
          <w:t>Recommendations for practice and further research</w:t>
        </w:r>
        <w:r w:rsidR="00121437">
          <w:rPr>
            <w:noProof/>
            <w:webHidden/>
          </w:rPr>
          <w:tab/>
        </w:r>
        <w:r w:rsidR="00121437">
          <w:rPr>
            <w:noProof/>
            <w:webHidden/>
          </w:rPr>
          <w:fldChar w:fldCharType="begin"/>
        </w:r>
        <w:r w:rsidR="00121437">
          <w:rPr>
            <w:noProof/>
            <w:webHidden/>
          </w:rPr>
          <w:instrText xml:space="preserve"> PAGEREF _Toc33776245 \h </w:instrText>
        </w:r>
        <w:r w:rsidR="00121437">
          <w:rPr>
            <w:noProof/>
            <w:webHidden/>
          </w:rPr>
        </w:r>
        <w:r w:rsidR="00121437">
          <w:rPr>
            <w:noProof/>
            <w:webHidden/>
          </w:rPr>
          <w:fldChar w:fldCharType="separate"/>
        </w:r>
        <w:r w:rsidR="00121437">
          <w:rPr>
            <w:noProof/>
            <w:webHidden/>
          </w:rPr>
          <w:t>160</w:t>
        </w:r>
        <w:r w:rsidR="00121437">
          <w:rPr>
            <w:noProof/>
            <w:webHidden/>
          </w:rPr>
          <w:fldChar w:fldCharType="end"/>
        </w:r>
      </w:hyperlink>
    </w:p>
    <w:p w14:paraId="0B1832F4" w14:textId="73AC7912" w:rsidR="00121437" w:rsidRDefault="00C974E5">
      <w:pPr>
        <w:pStyle w:val="TOC2"/>
        <w:rPr>
          <w:rFonts w:asciiTheme="minorHAnsi" w:hAnsiTheme="minorHAnsi"/>
          <w:noProof/>
          <w:lang w:eastAsia="en-GB"/>
        </w:rPr>
      </w:pPr>
      <w:hyperlink w:anchor="_Toc33776246" w:history="1">
        <w:r w:rsidR="00121437" w:rsidRPr="00CD05B2">
          <w:rPr>
            <w:rStyle w:val="Hyperlink"/>
            <w:noProof/>
          </w:rPr>
          <w:t>8.1</w:t>
        </w:r>
        <w:r w:rsidR="00121437">
          <w:rPr>
            <w:rFonts w:asciiTheme="minorHAnsi" w:hAnsiTheme="minorHAnsi"/>
            <w:noProof/>
            <w:lang w:eastAsia="en-GB"/>
          </w:rPr>
          <w:tab/>
        </w:r>
        <w:r w:rsidR="00121437" w:rsidRPr="00CD05B2">
          <w:rPr>
            <w:rStyle w:val="Hyperlink"/>
            <w:noProof/>
          </w:rPr>
          <w:t>Types of analyses and evidence required to inform decisions regarding histology-independent products</w:t>
        </w:r>
        <w:r w:rsidR="00121437">
          <w:rPr>
            <w:noProof/>
            <w:webHidden/>
          </w:rPr>
          <w:tab/>
        </w:r>
        <w:r w:rsidR="00121437">
          <w:rPr>
            <w:noProof/>
            <w:webHidden/>
          </w:rPr>
          <w:fldChar w:fldCharType="begin"/>
        </w:r>
        <w:r w:rsidR="00121437">
          <w:rPr>
            <w:noProof/>
            <w:webHidden/>
          </w:rPr>
          <w:instrText xml:space="preserve"> PAGEREF _Toc33776246 \h </w:instrText>
        </w:r>
        <w:r w:rsidR="00121437">
          <w:rPr>
            <w:noProof/>
            <w:webHidden/>
          </w:rPr>
        </w:r>
        <w:r w:rsidR="00121437">
          <w:rPr>
            <w:noProof/>
            <w:webHidden/>
          </w:rPr>
          <w:fldChar w:fldCharType="separate"/>
        </w:r>
        <w:r w:rsidR="00121437">
          <w:rPr>
            <w:noProof/>
            <w:webHidden/>
          </w:rPr>
          <w:t>160</w:t>
        </w:r>
        <w:r w:rsidR="00121437">
          <w:rPr>
            <w:noProof/>
            <w:webHidden/>
          </w:rPr>
          <w:fldChar w:fldCharType="end"/>
        </w:r>
      </w:hyperlink>
    </w:p>
    <w:p w14:paraId="3A677EC0" w14:textId="6BAC9C93" w:rsidR="00121437" w:rsidRDefault="00C974E5">
      <w:pPr>
        <w:pStyle w:val="TOC2"/>
        <w:rPr>
          <w:rFonts w:asciiTheme="minorHAnsi" w:hAnsiTheme="minorHAnsi"/>
          <w:noProof/>
          <w:lang w:eastAsia="en-GB"/>
        </w:rPr>
      </w:pPr>
      <w:hyperlink w:anchor="_Toc33776247" w:history="1">
        <w:r w:rsidR="00121437" w:rsidRPr="00CD05B2">
          <w:rPr>
            <w:rStyle w:val="Hyperlink"/>
            <w:noProof/>
          </w:rPr>
          <w:t>8.2</w:t>
        </w:r>
        <w:r w:rsidR="00121437">
          <w:rPr>
            <w:rFonts w:asciiTheme="minorHAnsi" w:hAnsiTheme="minorHAnsi"/>
            <w:noProof/>
            <w:lang w:eastAsia="en-GB"/>
          </w:rPr>
          <w:tab/>
        </w:r>
        <w:r w:rsidR="00121437" w:rsidRPr="00CD05B2">
          <w:rPr>
            <w:rStyle w:val="Hyperlink"/>
            <w:noProof/>
          </w:rPr>
          <w:t>Potential changes to the NICE methods guide for technology appraisals and/or additional requirements relating to histology-independent drugs.</w:t>
        </w:r>
        <w:r w:rsidR="00121437">
          <w:rPr>
            <w:noProof/>
            <w:webHidden/>
          </w:rPr>
          <w:tab/>
        </w:r>
        <w:r w:rsidR="00121437">
          <w:rPr>
            <w:noProof/>
            <w:webHidden/>
          </w:rPr>
          <w:fldChar w:fldCharType="begin"/>
        </w:r>
        <w:r w:rsidR="00121437">
          <w:rPr>
            <w:noProof/>
            <w:webHidden/>
          </w:rPr>
          <w:instrText xml:space="preserve"> PAGEREF _Toc33776247 \h </w:instrText>
        </w:r>
        <w:r w:rsidR="00121437">
          <w:rPr>
            <w:noProof/>
            <w:webHidden/>
          </w:rPr>
        </w:r>
        <w:r w:rsidR="00121437">
          <w:rPr>
            <w:noProof/>
            <w:webHidden/>
          </w:rPr>
          <w:fldChar w:fldCharType="separate"/>
        </w:r>
        <w:r w:rsidR="00121437">
          <w:rPr>
            <w:noProof/>
            <w:webHidden/>
          </w:rPr>
          <w:t>162</w:t>
        </w:r>
        <w:r w:rsidR="00121437">
          <w:rPr>
            <w:noProof/>
            <w:webHidden/>
          </w:rPr>
          <w:fldChar w:fldCharType="end"/>
        </w:r>
      </w:hyperlink>
    </w:p>
    <w:p w14:paraId="2F7669DC" w14:textId="61EAD19F" w:rsidR="00121437" w:rsidRDefault="00C974E5">
      <w:pPr>
        <w:pStyle w:val="TOC2"/>
        <w:rPr>
          <w:rFonts w:asciiTheme="minorHAnsi" w:hAnsiTheme="minorHAnsi"/>
          <w:noProof/>
          <w:lang w:eastAsia="en-GB"/>
        </w:rPr>
      </w:pPr>
      <w:hyperlink w:anchor="_Toc33776248" w:history="1">
        <w:r w:rsidR="00121437" w:rsidRPr="00CD05B2">
          <w:rPr>
            <w:rStyle w:val="Hyperlink"/>
            <w:noProof/>
          </w:rPr>
          <w:t>8.3</w:t>
        </w:r>
        <w:r w:rsidR="00121437">
          <w:rPr>
            <w:rFonts w:asciiTheme="minorHAnsi" w:hAnsiTheme="minorHAnsi"/>
            <w:noProof/>
            <w:lang w:eastAsia="en-GB"/>
          </w:rPr>
          <w:tab/>
        </w:r>
        <w:r w:rsidR="00121437" w:rsidRPr="00CD05B2">
          <w:rPr>
            <w:rStyle w:val="Hyperlink"/>
            <w:noProof/>
          </w:rPr>
          <w:t>Priorities for future methodological research</w:t>
        </w:r>
        <w:r w:rsidR="00121437">
          <w:rPr>
            <w:noProof/>
            <w:webHidden/>
          </w:rPr>
          <w:tab/>
        </w:r>
        <w:r w:rsidR="00121437">
          <w:rPr>
            <w:noProof/>
            <w:webHidden/>
          </w:rPr>
          <w:fldChar w:fldCharType="begin"/>
        </w:r>
        <w:r w:rsidR="00121437">
          <w:rPr>
            <w:noProof/>
            <w:webHidden/>
          </w:rPr>
          <w:instrText xml:space="preserve"> PAGEREF _Toc33776248 \h </w:instrText>
        </w:r>
        <w:r w:rsidR="00121437">
          <w:rPr>
            <w:noProof/>
            <w:webHidden/>
          </w:rPr>
        </w:r>
        <w:r w:rsidR="00121437">
          <w:rPr>
            <w:noProof/>
            <w:webHidden/>
          </w:rPr>
          <w:fldChar w:fldCharType="separate"/>
        </w:r>
        <w:r w:rsidR="00121437">
          <w:rPr>
            <w:noProof/>
            <w:webHidden/>
          </w:rPr>
          <w:t>164</w:t>
        </w:r>
        <w:r w:rsidR="00121437">
          <w:rPr>
            <w:noProof/>
            <w:webHidden/>
          </w:rPr>
          <w:fldChar w:fldCharType="end"/>
        </w:r>
      </w:hyperlink>
    </w:p>
    <w:p w14:paraId="6CC7FC27" w14:textId="024E4098" w:rsidR="00121437" w:rsidRDefault="00C974E5">
      <w:pPr>
        <w:pStyle w:val="TOC1"/>
        <w:rPr>
          <w:rFonts w:asciiTheme="minorHAnsi" w:hAnsiTheme="minorHAnsi"/>
          <w:noProof/>
          <w:lang w:eastAsia="en-GB"/>
        </w:rPr>
      </w:pPr>
      <w:hyperlink w:anchor="_Toc33776249" w:history="1">
        <w:r w:rsidR="00121437" w:rsidRPr="00CD05B2">
          <w:rPr>
            <w:rStyle w:val="Hyperlink"/>
            <w:noProof/>
          </w:rPr>
          <w:t>9</w:t>
        </w:r>
        <w:r w:rsidR="00121437">
          <w:rPr>
            <w:rFonts w:asciiTheme="minorHAnsi" w:hAnsiTheme="minorHAnsi"/>
            <w:noProof/>
            <w:lang w:eastAsia="en-GB"/>
          </w:rPr>
          <w:tab/>
        </w:r>
        <w:r w:rsidR="00121437" w:rsidRPr="00CD05B2">
          <w:rPr>
            <w:rStyle w:val="Hyperlink"/>
            <w:noProof/>
          </w:rPr>
          <w:t>References</w:t>
        </w:r>
        <w:r w:rsidR="00121437">
          <w:rPr>
            <w:noProof/>
            <w:webHidden/>
          </w:rPr>
          <w:tab/>
        </w:r>
        <w:r w:rsidR="00121437">
          <w:rPr>
            <w:noProof/>
            <w:webHidden/>
          </w:rPr>
          <w:fldChar w:fldCharType="begin"/>
        </w:r>
        <w:r w:rsidR="00121437">
          <w:rPr>
            <w:noProof/>
            <w:webHidden/>
          </w:rPr>
          <w:instrText xml:space="preserve"> PAGEREF _Toc33776249 \h </w:instrText>
        </w:r>
        <w:r w:rsidR="00121437">
          <w:rPr>
            <w:noProof/>
            <w:webHidden/>
          </w:rPr>
        </w:r>
        <w:r w:rsidR="00121437">
          <w:rPr>
            <w:noProof/>
            <w:webHidden/>
          </w:rPr>
          <w:fldChar w:fldCharType="separate"/>
        </w:r>
        <w:r w:rsidR="00121437">
          <w:rPr>
            <w:noProof/>
            <w:webHidden/>
          </w:rPr>
          <w:t>166</w:t>
        </w:r>
        <w:r w:rsidR="00121437">
          <w:rPr>
            <w:noProof/>
            <w:webHidden/>
          </w:rPr>
          <w:fldChar w:fldCharType="end"/>
        </w:r>
      </w:hyperlink>
    </w:p>
    <w:p w14:paraId="4F215F33" w14:textId="790EE1CB" w:rsidR="00121437" w:rsidRDefault="00C974E5">
      <w:pPr>
        <w:pStyle w:val="TOC1"/>
        <w:rPr>
          <w:rFonts w:asciiTheme="minorHAnsi" w:hAnsiTheme="minorHAnsi"/>
          <w:noProof/>
          <w:lang w:eastAsia="en-GB"/>
        </w:rPr>
      </w:pPr>
      <w:hyperlink w:anchor="_Toc33776250" w:history="1">
        <w:r w:rsidR="00121437" w:rsidRPr="00CD05B2">
          <w:rPr>
            <w:rStyle w:val="Hyperlink"/>
            <w:noProof/>
            <w:lang w:eastAsia="zh-CN"/>
          </w:rPr>
          <w:t>10</w:t>
        </w:r>
        <w:r w:rsidR="00121437">
          <w:rPr>
            <w:rFonts w:asciiTheme="minorHAnsi" w:hAnsiTheme="minorHAnsi"/>
            <w:noProof/>
            <w:lang w:eastAsia="en-GB"/>
          </w:rPr>
          <w:tab/>
        </w:r>
        <w:r w:rsidR="00121437" w:rsidRPr="00CD05B2">
          <w:rPr>
            <w:rStyle w:val="Hyperlink"/>
            <w:noProof/>
            <w:lang w:eastAsia="zh-CN"/>
          </w:rPr>
          <w:t>Appendices</w:t>
        </w:r>
        <w:r w:rsidR="00121437">
          <w:rPr>
            <w:noProof/>
            <w:webHidden/>
          </w:rPr>
          <w:tab/>
        </w:r>
        <w:r w:rsidR="00121437">
          <w:rPr>
            <w:noProof/>
            <w:webHidden/>
          </w:rPr>
          <w:fldChar w:fldCharType="begin"/>
        </w:r>
        <w:r w:rsidR="00121437">
          <w:rPr>
            <w:noProof/>
            <w:webHidden/>
          </w:rPr>
          <w:instrText xml:space="preserve"> PAGEREF _Toc33776250 \h </w:instrText>
        </w:r>
        <w:r w:rsidR="00121437">
          <w:rPr>
            <w:noProof/>
            <w:webHidden/>
          </w:rPr>
        </w:r>
        <w:r w:rsidR="00121437">
          <w:rPr>
            <w:noProof/>
            <w:webHidden/>
          </w:rPr>
          <w:fldChar w:fldCharType="separate"/>
        </w:r>
        <w:r w:rsidR="00121437">
          <w:rPr>
            <w:noProof/>
            <w:webHidden/>
          </w:rPr>
          <w:t>183</w:t>
        </w:r>
        <w:r w:rsidR="00121437">
          <w:rPr>
            <w:noProof/>
            <w:webHidden/>
          </w:rPr>
          <w:fldChar w:fldCharType="end"/>
        </w:r>
      </w:hyperlink>
    </w:p>
    <w:p w14:paraId="4E4E0B42" w14:textId="4C0EF2B1" w:rsidR="00121437" w:rsidRDefault="00C974E5">
      <w:pPr>
        <w:pStyle w:val="TOC2"/>
        <w:rPr>
          <w:rFonts w:asciiTheme="minorHAnsi" w:hAnsiTheme="minorHAnsi"/>
          <w:noProof/>
          <w:lang w:eastAsia="en-GB"/>
        </w:rPr>
      </w:pPr>
      <w:hyperlink w:anchor="_Toc33776251" w:history="1">
        <w:r w:rsidR="00121437" w:rsidRPr="00CD05B2">
          <w:rPr>
            <w:rStyle w:val="Hyperlink"/>
            <w:noProof/>
          </w:rPr>
          <w:t>Appendix 1: List of regulatory sources</w:t>
        </w:r>
        <w:r w:rsidR="00121437">
          <w:rPr>
            <w:noProof/>
            <w:webHidden/>
          </w:rPr>
          <w:tab/>
        </w:r>
        <w:r w:rsidR="00121437">
          <w:rPr>
            <w:noProof/>
            <w:webHidden/>
          </w:rPr>
          <w:fldChar w:fldCharType="begin"/>
        </w:r>
        <w:r w:rsidR="00121437">
          <w:rPr>
            <w:noProof/>
            <w:webHidden/>
          </w:rPr>
          <w:instrText xml:space="preserve"> PAGEREF _Toc33776251 \h </w:instrText>
        </w:r>
        <w:r w:rsidR="00121437">
          <w:rPr>
            <w:noProof/>
            <w:webHidden/>
          </w:rPr>
        </w:r>
        <w:r w:rsidR="00121437">
          <w:rPr>
            <w:noProof/>
            <w:webHidden/>
          </w:rPr>
          <w:fldChar w:fldCharType="separate"/>
        </w:r>
        <w:r w:rsidR="00121437">
          <w:rPr>
            <w:noProof/>
            <w:webHidden/>
          </w:rPr>
          <w:t>183</w:t>
        </w:r>
        <w:r w:rsidR="00121437">
          <w:rPr>
            <w:noProof/>
            <w:webHidden/>
          </w:rPr>
          <w:fldChar w:fldCharType="end"/>
        </w:r>
      </w:hyperlink>
    </w:p>
    <w:p w14:paraId="2312B3C0" w14:textId="41D2BCC4" w:rsidR="00121437" w:rsidRDefault="00C974E5">
      <w:pPr>
        <w:pStyle w:val="TOC2"/>
        <w:rPr>
          <w:rFonts w:asciiTheme="minorHAnsi" w:hAnsiTheme="minorHAnsi"/>
          <w:noProof/>
          <w:lang w:eastAsia="en-GB"/>
        </w:rPr>
      </w:pPr>
      <w:hyperlink w:anchor="_Toc33776252" w:history="1">
        <w:r w:rsidR="00121437" w:rsidRPr="00CD05B2">
          <w:rPr>
            <w:rStyle w:val="Hyperlink"/>
            <w:noProof/>
          </w:rPr>
          <w:t>Appendix 2: Summary of trials</w:t>
        </w:r>
        <w:r w:rsidR="00121437">
          <w:rPr>
            <w:noProof/>
            <w:webHidden/>
          </w:rPr>
          <w:tab/>
        </w:r>
        <w:r w:rsidR="00121437">
          <w:rPr>
            <w:noProof/>
            <w:webHidden/>
          </w:rPr>
          <w:fldChar w:fldCharType="begin"/>
        </w:r>
        <w:r w:rsidR="00121437">
          <w:rPr>
            <w:noProof/>
            <w:webHidden/>
          </w:rPr>
          <w:instrText xml:space="preserve"> PAGEREF _Toc33776252 \h </w:instrText>
        </w:r>
        <w:r w:rsidR="00121437">
          <w:rPr>
            <w:noProof/>
            <w:webHidden/>
          </w:rPr>
        </w:r>
        <w:r w:rsidR="00121437">
          <w:rPr>
            <w:noProof/>
            <w:webHidden/>
          </w:rPr>
          <w:fldChar w:fldCharType="separate"/>
        </w:r>
        <w:r w:rsidR="00121437">
          <w:rPr>
            <w:noProof/>
            <w:webHidden/>
          </w:rPr>
          <w:t>184</w:t>
        </w:r>
        <w:r w:rsidR="00121437">
          <w:rPr>
            <w:noProof/>
            <w:webHidden/>
          </w:rPr>
          <w:fldChar w:fldCharType="end"/>
        </w:r>
      </w:hyperlink>
    </w:p>
    <w:p w14:paraId="1F869F40" w14:textId="56C42CE3" w:rsidR="00121437" w:rsidRDefault="00C974E5">
      <w:pPr>
        <w:pStyle w:val="TOC2"/>
        <w:rPr>
          <w:rFonts w:asciiTheme="minorHAnsi" w:hAnsiTheme="minorHAnsi"/>
          <w:noProof/>
          <w:lang w:eastAsia="en-GB"/>
        </w:rPr>
      </w:pPr>
      <w:hyperlink w:anchor="_Toc33776253" w:history="1">
        <w:r w:rsidR="00121437" w:rsidRPr="00CD05B2">
          <w:rPr>
            <w:rStyle w:val="Hyperlink"/>
            <w:noProof/>
          </w:rPr>
          <w:t>Appendix 3: MEDLINE search strategy</w:t>
        </w:r>
        <w:r w:rsidR="00121437">
          <w:rPr>
            <w:noProof/>
            <w:webHidden/>
          </w:rPr>
          <w:tab/>
        </w:r>
        <w:r w:rsidR="00121437">
          <w:rPr>
            <w:noProof/>
            <w:webHidden/>
          </w:rPr>
          <w:fldChar w:fldCharType="begin"/>
        </w:r>
        <w:r w:rsidR="00121437">
          <w:rPr>
            <w:noProof/>
            <w:webHidden/>
          </w:rPr>
          <w:instrText xml:space="preserve"> PAGEREF _Toc33776253 \h </w:instrText>
        </w:r>
        <w:r w:rsidR="00121437">
          <w:rPr>
            <w:noProof/>
            <w:webHidden/>
          </w:rPr>
        </w:r>
        <w:r w:rsidR="00121437">
          <w:rPr>
            <w:noProof/>
            <w:webHidden/>
          </w:rPr>
          <w:fldChar w:fldCharType="separate"/>
        </w:r>
        <w:r w:rsidR="00121437">
          <w:rPr>
            <w:noProof/>
            <w:webHidden/>
          </w:rPr>
          <w:t>194</w:t>
        </w:r>
        <w:r w:rsidR="00121437">
          <w:rPr>
            <w:noProof/>
            <w:webHidden/>
          </w:rPr>
          <w:fldChar w:fldCharType="end"/>
        </w:r>
      </w:hyperlink>
    </w:p>
    <w:p w14:paraId="0A980D34" w14:textId="1CB1BD83" w:rsidR="00121437" w:rsidRDefault="00C974E5">
      <w:pPr>
        <w:pStyle w:val="TOC2"/>
        <w:rPr>
          <w:rFonts w:asciiTheme="minorHAnsi" w:hAnsiTheme="minorHAnsi"/>
          <w:noProof/>
          <w:lang w:eastAsia="en-GB"/>
        </w:rPr>
      </w:pPr>
      <w:hyperlink w:anchor="_Toc33776254" w:history="1">
        <w:r w:rsidR="00121437" w:rsidRPr="00CD05B2">
          <w:rPr>
            <w:rStyle w:val="Hyperlink"/>
            <w:noProof/>
          </w:rPr>
          <w:t>Appendix 4: Table of study characteristics (ordered by cancer type then author)</w:t>
        </w:r>
        <w:r w:rsidR="00121437">
          <w:rPr>
            <w:noProof/>
            <w:webHidden/>
          </w:rPr>
          <w:tab/>
        </w:r>
        <w:r w:rsidR="00121437">
          <w:rPr>
            <w:noProof/>
            <w:webHidden/>
          </w:rPr>
          <w:fldChar w:fldCharType="begin"/>
        </w:r>
        <w:r w:rsidR="00121437">
          <w:rPr>
            <w:noProof/>
            <w:webHidden/>
          </w:rPr>
          <w:instrText xml:space="preserve"> PAGEREF _Toc33776254 \h </w:instrText>
        </w:r>
        <w:r w:rsidR="00121437">
          <w:rPr>
            <w:noProof/>
            <w:webHidden/>
          </w:rPr>
        </w:r>
        <w:r w:rsidR="00121437">
          <w:rPr>
            <w:noProof/>
            <w:webHidden/>
          </w:rPr>
          <w:fldChar w:fldCharType="separate"/>
        </w:r>
        <w:r w:rsidR="00121437">
          <w:rPr>
            <w:noProof/>
            <w:webHidden/>
          </w:rPr>
          <w:t>195</w:t>
        </w:r>
        <w:r w:rsidR="00121437">
          <w:rPr>
            <w:noProof/>
            <w:webHidden/>
          </w:rPr>
          <w:fldChar w:fldCharType="end"/>
        </w:r>
      </w:hyperlink>
    </w:p>
    <w:p w14:paraId="063F4B27" w14:textId="5427E451" w:rsidR="00121437" w:rsidRDefault="00C974E5">
      <w:pPr>
        <w:pStyle w:val="TOC2"/>
        <w:rPr>
          <w:rFonts w:asciiTheme="minorHAnsi" w:hAnsiTheme="minorHAnsi"/>
          <w:noProof/>
          <w:lang w:eastAsia="en-GB"/>
        </w:rPr>
      </w:pPr>
      <w:hyperlink w:anchor="_Toc33776255" w:history="1">
        <w:r w:rsidR="00121437" w:rsidRPr="00CD05B2">
          <w:rPr>
            <w:rStyle w:val="Hyperlink"/>
            <w:noProof/>
          </w:rPr>
          <w:t>Appendix 5: Absolute correlation &amp; regression results (ordered by outcome type then cancer type then author)</w:t>
        </w:r>
        <w:r w:rsidR="00121437">
          <w:rPr>
            <w:noProof/>
            <w:webHidden/>
          </w:rPr>
          <w:tab/>
        </w:r>
        <w:r w:rsidR="00121437">
          <w:rPr>
            <w:noProof/>
            <w:webHidden/>
          </w:rPr>
          <w:fldChar w:fldCharType="begin"/>
        </w:r>
        <w:r w:rsidR="00121437">
          <w:rPr>
            <w:noProof/>
            <w:webHidden/>
          </w:rPr>
          <w:instrText xml:space="preserve"> PAGEREF _Toc33776255 \h </w:instrText>
        </w:r>
        <w:r w:rsidR="00121437">
          <w:rPr>
            <w:noProof/>
            <w:webHidden/>
          </w:rPr>
        </w:r>
        <w:r w:rsidR="00121437">
          <w:rPr>
            <w:noProof/>
            <w:webHidden/>
          </w:rPr>
          <w:fldChar w:fldCharType="separate"/>
        </w:r>
        <w:r w:rsidR="00121437">
          <w:rPr>
            <w:noProof/>
            <w:webHidden/>
          </w:rPr>
          <w:t>201</w:t>
        </w:r>
        <w:r w:rsidR="00121437">
          <w:rPr>
            <w:noProof/>
            <w:webHidden/>
          </w:rPr>
          <w:fldChar w:fldCharType="end"/>
        </w:r>
      </w:hyperlink>
    </w:p>
    <w:p w14:paraId="4532C0AE" w14:textId="41A7A51A" w:rsidR="00121437" w:rsidRDefault="00C974E5">
      <w:pPr>
        <w:pStyle w:val="TOC2"/>
        <w:rPr>
          <w:rFonts w:asciiTheme="minorHAnsi" w:hAnsiTheme="minorHAnsi"/>
          <w:noProof/>
          <w:lang w:eastAsia="en-GB"/>
        </w:rPr>
      </w:pPr>
      <w:hyperlink w:anchor="_Toc33776256" w:history="1">
        <w:r w:rsidR="00121437" w:rsidRPr="00CD05B2">
          <w:rPr>
            <w:rStyle w:val="Hyperlink"/>
            <w:noProof/>
          </w:rPr>
          <w:t>Appendix 6: Treatment effect correlation &amp; regression results (ordered by outcome type then cancer type then author)</w:t>
        </w:r>
        <w:r w:rsidR="00121437">
          <w:rPr>
            <w:noProof/>
            <w:webHidden/>
          </w:rPr>
          <w:tab/>
        </w:r>
        <w:r w:rsidR="00121437">
          <w:rPr>
            <w:noProof/>
            <w:webHidden/>
          </w:rPr>
          <w:fldChar w:fldCharType="begin"/>
        </w:r>
        <w:r w:rsidR="00121437">
          <w:rPr>
            <w:noProof/>
            <w:webHidden/>
          </w:rPr>
          <w:instrText xml:space="preserve"> PAGEREF _Toc33776256 \h </w:instrText>
        </w:r>
        <w:r w:rsidR="00121437">
          <w:rPr>
            <w:noProof/>
            <w:webHidden/>
          </w:rPr>
        </w:r>
        <w:r w:rsidR="00121437">
          <w:rPr>
            <w:noProof/>
            <w:webHidden/>
          </w:rPr>
          <w:fldChar w:fldCharType="separate"/>
        </w:r>
        <w:r w:rsidR="00121437">
          <w:rPr>
            <w:noProof/>
            <w:webHidden/>
          </w:rPr>
          <w:t>209</w:t>
        </w:r>
        <w:r w:rsidR="00121437">
          <w:rPr>
            <w:noProof/>
            <w:webHidden/>
          </w:rPr>
          <w:fldChar w:fldCharType="end"/>
        </w:r>
      </w:hyperlink>
    </w:p>
    <w:p w14:paraId="47169ED0" w14:textId="48A00A39" w:rsidR="00121437" w:rsidRDefault="00C974E5">
      <w:pPr>
        <w:pStyle w:val="TOC2"/>
        <w:rPr>
          <w:rFonts w:asciiTheme="minorHAnsi" w:hAnsiTheme="minorHAnsi"/>
          <w:noProof/>
          <w:lang w:eastAsia="en-GB"/>
        </w:rPr>
      </w:pPr>
      <w:hyperlink w:anchor="_Toc33776257" w:history="1">
        <w:r w:rsidR="00121437" w:rsidRPr="00CD05B2">
          <w:rPr>
            <w:rStyle w:val="Hyperlink"/>
            <w:noProof/>
          </w:rPr>
          <w:t>Appendix 7: Studies excluded at full-text screening (n=135)</w:t>
        </w:r>
        <w:r w:rsidR="00121437">
          <w:rPr>
            <w:noProof/>
            <w:webHidden/>
          </w:rPr>
          <w:tab/>
        </w:r>
        <w:r w:rsidR="00121437">
          <w:rPr>
            <w:noProof/>
            <w:webHidden/>
          </w:rPr>
          <w:fldChar w:fldCharType="begin"/>
        </w:r>
        <w:r w:rsidR="00121437">
          <w:rPr>
            <w:noProof/>
            <w:webHidden/>
          </w:rPr>
          <w:instrText xml:space="preserve"> PAGEREF _Toc33776257 \h </w:instrText>
        </w:r>
        <w:r w:rsidR="00121437">
          <w:rPr>
            <w:noProof/>
            <w:webHidden/>
          </w:rPr>
        </w:r>
        <w:r w:rsidR="00121437">
          <w:rPr>
            <w:noProof/>
            <w:webHidden/>
          </w:rPr>
          <w:fldChar w:fldCharType="separate"/>
        </w:r>
        <w:r w:rsidR="00121437">
          <w:rPr>
            <w:noProof/>
            <w:webHidden/>
          </w:rPr>
          <w:t>222</w:t>
        </w:r>
        <w:r w:rsidR="00121437">
          <w:rPr>
            <w:noProof/>
            <w:webHidden/>
          </w:rPr>
          <w:fldChar w:fldCharType="end"/>
        </w:r>
      </w:hyperlink>
    </w:p>
    <w:p w14:paraId="49D775F7" w14:textId="68D36D27" w:rsidR="00121437" w:rsidRDefault="00C974E5">
      <w:pPr>
        <w:pStyle w:val="TOC2"/>
        <w:rPr>
          <w:rFonts w:asciiTheme="minorHAnsi" w:hAnsiTheme="minorHAnsi"/>
          <w:noProof/>
          <w:lang w:eastAsia="en-GB"/>
        </w:rPr>
      </w:pPr>
      <w:hyperlink w:anchor="_Toc33776258" w:history="1">
        <w:r w:rsidR="00121437" w:rsidRPr="00CD05B2">
          <w:rPr>
            <w:rStyle w:val="Hyperlink"/>
            <w:noProof/>
          </w:rPr>
          <w:t>Appendix 8: A targeted review of published NICE technology appraisals where initial marketing authorisation was based on response outcomes from single-arm studies</w:t>
        </w:r>
        <w:r w:rsidR="00121437">
          <w:rPr>
            <w:noProof/>
            <w:webHidden/>
          </w:rPr>
          <w:tab/>
        </w:r>
        <w:r w:rsidR="00121437">
          <w:rPr>
            <w:noProof/>
            <w:webHidden/>
          </w:rPr>
          <w:fldChar w:fldCharType="begin"/>
        </w:r>
        <w:r w:rsidR="00121437">
          <w:rPr>
            <w:noProof/>
            <w:webHidden/>
          </w:rPr>
          <w:instrText xml:space="preserve"> PAGEREF _Toc33776258 \h </w:instrText>
        </w:r>
        <w:r w:rsidR="00121437">
          <w:rPr>
            <w:noProof/>
            <w:webHidden/>
          </w:rPr>
        </w:r>
        <w:r w:rsidR="00121437">
          <w:rPr>
            <w:noProof/>
            <w:webHidden/>
          </w:rPr>
          <w:fldChar w:fldCharType="separate"/>
        </w:r>
        <w:r w:rsidR="00121437">
          <w:rPr>
            <w:noProof/>
            <w:webHidden/>
          </w:rPr>
          <w:t>230</w:t>
        </w:r>
        <w:r w:rsidR="00121437">
          <w:rPr>
            <w:noProof/>
            <w:webHidden/>
          </w:rPr>
          <w:fldChar w:fldCharType="end"/>
        </w:r>
      </w:hyperlink>
    </w:p>
    <w:p w14:paraId="69D56DDA" w14:textId="5F93AD5D" w:rsidR="00121437" w:rsidRDefault="00C974E5">
      <w:pPr>
        <w:pStyle w:val="TOC2"/>
        <w:rPr>
          <w:rFonts w:asciiTheme="minorHAnsi" w:hAnsiTheme="minorHAnsi"/>
          <w:noProof/>
          <w:lang w:eastAsia="en-GB"/>
        </w:rPr>
      </w:pPr>
      <w:hyperlink w:anchor="_Toc33776259" w:history="1">
        <w:r w:rsidR="00121437" w:rsidRPr="00CD05B2">
          <w:rPr>
            <w:rStyle w:val="Hyperlink"/>
            <w:noProof/>
          </w:rPr>
          <w:t>Appendix 9: OpenBUGS code</w:t>
        </w:r>
        <w:r w:rsidR="00121437">
          <w:rPr>
            <w:noProof/>
            <w:webHidden/>
          </w:rPr>
          <w:tab/>
        </w:r>
        <w:r w:rsidR="00121437">
          <w:rPr>
            <w:noProof/>
            <w:webHidden/>
          </w:rPr>
          <w:fldChar w:fldCharType="begin"/>
        </w:r>
        <w:r w:rsidR="00121437">
          <w:rPr>
            <w:noProof/>
            <w:webHidden/>
          </w:rPr>
          <w:instrText xml:space="preserve"> PAGEREF _Toc33776259 \h </w:instrText>
        </w:r>
        <w:r w:rsidR="00121437">
          <w:rPr>
            <w:noProof/>
            <w:webHidden/>
          </w:rPr>
        </w:r>
        <w:r w:rsidR="00121437">
          <w:rPr>
            <w:noProof/>
            <w:webHidden/>
          </w:rPr>
          <w:fldChar w:fldCharType="separate"/>
        </w:r>
        <w:r w:rsidR="00121437">
          <w:rPr>
            <w:noProof/>
            <w:webHidden/>
          </w:rPr>
          <w:t>252</w:t>
        </w:r>
        <w:r w:rsidR="00121437">
          <w:rPr>
            <w:noProof/>
            <w:webHidden/>
          </w:rPr>
          <w:fldChar w:fldCharType="end"/>
        </w:r>
      </w:hyperlink>
    </w:p>
    <w:p w14:paraId="3E37F934" w14:textId="045F5CA4" w:rsidR="00121437" w:rsidRDefault="00C974E5">
      <w:pPr>
        <w:pStyle w:val="TOC2"/>
        <w:rPr>
          <w:rFonts w:asciiTheme="minorHAnsi" w:hAnsiTheme="minorHAnsi"/>
          <w:noProof/>
          <w:lang w:eastAsia="en-GB"/>
        </w:rPr>
      </w:pPr>
      <w:hyperlink w:anchor="_Toc33776261" w:history="1">
        <w:r w:rsidR="00121437" w:rsidRPr="00CD05B2">
          <w:rPr>
            <w:rStyle w:val="Hyperlink"/>
            <w:noProof/>
          </w:rPr>
          <w:t>Appendix 10: Model Fit Statistics and Residual Deviance Base Case</w:t>
        </w:r>
        <w:r w:rsidR="00121437">
          <w:rPr>
            <w:noProof/>
            <w:webHidden/>
          </w:rPr>
          <w:tab/>
        </w:r>
        <w:r w:rsidR="00121437">
          <w:rPr>
            <w:noProof/>
            <w:webHidden/>
          </w:rPr>
          <w:fldChar w:fldCharType="begin"/>
        </w:r>
        <w:r w:rsidR="00121437">
          <w:rPr>
            <w:noProof/>
            <w:webHidden/>
          </w:rPr>
          <w:instrText xml:space="preserve"> PAGEREF _Toc33776261 \h </w:instrText>
        </w:r>
        <w:r w:rsidR="00121437">
          <w:rPr>
            <w:noProof/>
            <w:webHidden/>
          </w:rPr>
        </w:r>
        <w:r w:rsidR="00121437">
          <w:rPr>
            <w:noProof/>
            <w:webHidden/>
          </w:rPr>
          <w:fldChar w:fldCharType="separate"/>
        </w:r>
        <w:r w:rsidR="00121437">
          <w:rPr>
            <w:noProof/>
            <w:webHidden/>
          </w:rPr>
          <w:t>254</w:t>
        </w:r>
        <w:r w:rsidR="00121437">
          <w:rPr>
            <w:noProof/>
            <w:webHidden/>
          </w:rPr>
          <w:fldChar w:fldCharType="end"/>
        </w:r>
      </w:hyperlink>
    </w:p>
    <w:p w14:paraId="04600DD2" w14:textId="11241BBD" w:rsidR="00121437" w:rsidRDefault="00C974E5">
      <w:pPr>
        <w:pStyle w:val="TOC2"/>
        <w:rPr>
          <w:rFonts w:asciiTheme="minorHAnsi" w:hAnsiTheme="minorHAnsi"/>
          <w:noProof/>
          <w:lang w:eastAsia="en-GB"/>
        </w:rPr>
      </w:pPr>
      <w:hyperlink w:anchor="_Toc33776262" w:history="1">
        <w:r w:rsidR="00121437" w:rsidRPr="00CD05B2">
          <w:rPr>
            <w:rStyle w:val="Hyperlink"/>
            <w:noProof/>
          </w:rPr>
          <w:t>Appendix 11: Bayesian Hierarchical Model Sensitivity Analyses</w:t>
        </w:r>
        <w:r w:rsidR="00121437">
          <w:rPr>
            <w:noProof/>
            <w:webHidden/>
          </w:rPr>
          <w:tab/>
        </w:r>
        <w:r w:rsidR="00121437">
          <w:rPr>
            <w:noProof/>
            <w:webHidden/>
          </w:rPr>
          <w:fldChar w:fldCharType="begin"/>
        </w:r>
        <w:r w:rsidR="00121437">
          <w:rPr>
            <w:noProof/>
            <w:webHidden/>
          </w:rPr>
          <w:instrText xml:space="preserve"> PAGEREF _Toc33776262 \h </w:instrText>
        </w:r>
        <w:r w:rsidR="00121437">
          <w:rPr>
            <w:noProof/>
            <w:webHidden/>
          </w:rPr>
        </w:r>
        <w:r w:rsidR="00121437">
          <w:rPr>
            <w:noProof/>
            <w:webHidden/>
          </w:rPr>
          <w:fldChar w:fldCharType="separate"/>
        </w:r>
        <w:r w:rsidR="00121437">
          <w:rPr>
            <w:noProof/>
            <w:webHidden/>
          </w:rPr>
          <w:t>255</w:t>
        </w:r>
        <w:r w:rsidR="00121437">
          <w:rPr>
            <w:noProof/>
            <w:webHidden/>
          </w:rPr>
          <w:fldChar w:fldCharType="end"/>
        </w:r>
      </w:hyperlink>
    </w:p>
    <w:p w14:paraId="73FEE12A" w14:textId="129CD033" w:rsidR="00121437" w:rsidRDefault="00C974E5">
      <w:pPr>
        <w:pStyle w:val="TOC2"/>
        <w:rPr>
          <w:rFonts w:asciiTheme="minorHAnsi" w:hAnsiTheme="minorHAnsi"/>
          <w:noProof/>
          <w:lang w:eastAsia="en-GB"/>
        </w:rPr>
      </w:pPr>
      <w:hyperlink w:anchor="_Toc33776263" w:history="1">
        <w:r w:rsidR="00121437" w:rsidRPr="00CD05B2">
          <w:rPr>
            <w:rStyle w:val="Hyperlink"/>
            <w:noProof/>
          </w:rPr>
          <w:t>Appendix 12: Estimating annual eligible population</w:t>
        </w:r>
        <w:r w:rsidR="00121437">
          <w:rPr>
            <w:noProof/>
            <w:webHidden/>
          </w:rPr>
          <w:tab/>
        </w:r>
        <w:r w:rsidR="00121437">
          <w:rPr>
            <w:noProof/>
            <w:webHidden/>
          </w:rPr>
          <w:fldChar w:fldCharType="begin"/>
        </w:r>
        <w:r w:rsidR="00121437">
          <w:rPr>
            <w:noProof/>
            <w:webHidden/>
          </w:rPr>
          <w:instrText xml:space="preserve"> PAGEREF _Toc33776263 \h </w:instrText>
        </w:r>
        <w:r w:rsidR="00121437">
          <w:rPr>
            <w:noProof/>
            <w:webHidden/>
          </w:rPr>
        </w:r>
        <w:r w:rsidR="00121437">
          <w:rPr>
            <w:noProof/>
            <w:webHidden/>
          </w:rPr>
          <w:fldChar w:fldCharType="separate"/>
        </w:r>
        <w:r w:rsidR="00121437">
          <w:rPr>
            <w:noProof/>
            <w:webHidden/>
          </w:rPr>
          <w:t>256</w:t>
        </w:r>
        <w:r w:rsidR="00121437">
          <w:rPr>
            <w:noProof/>
            <w:webHidden/>
          </w:rPr>
          <w:fldChar w:fldCharType="end"/>
        </w:r>
      </w:hyperlink>
    </w:p>
    <w:p w14:paraId="14110B16" w14:textId="4A77E874" w:rsidR="00121437" w:rsidRDefault="00C974E5">
      <w:pPr>
        <w:pStyle w:val="TOC2"/>
        <w:rPr>
          <w:rFonts w:asciiTheme="minorHAnsi" w:hAnsiTheme="minorHAnsi"/>
          <w:noProof/>
          <w:lang w:eastAsia="en-GB"/>
        </w:rPr>
      </w:pPr>
      <w:hyperlink w:anchor="_Toc33776264" w:history="1">
        <w:r w:rsidR="00121437" w:rsidRPr="00CD05B2">
          <w:rPr>
            <w:rStyle w:val="Hyperlink"/>
            <w:rFonts w:eastAsia="DengXian Light" w:cs="Times New Roman"/>
            <w:noProof/>
          </w:rPr>
          <w:t xml:space="preserve">Appendix 13 : </w:t>
        </w:r>
        <w:r w:rsidR="00121437" w:rsidRPr="00CD05B2">
          <w:rPr>
            <w:rStyle w:val="Hyperlink"/>
            <w:noProof/>
          </w:rPr>
          <w:t>Case Study: Economic model</w:t>
        </w:r>
        <w:r w:rsidR="00121437">
          <w:rPr>
            <w:noProof/>
            <w:webHidden/>
          </w:rPr>
          <w:tab/>
        </w:r>
        <w:r w:rsidR="00121437">
          <w:rPr>
            <w:noProof/>
            <w:webHidden/>
          </w:rPr>
          <w:fldChar w:fldCharType="begin"/>
        </w:r>
        <w:r w:rsidR="00121437">
          <w:rPr>
            <w:noProof/>
            <w:webHidden/>
          </w:rPr>
          <w:instrText xml:space="preserve"> PAGEREF _Toc33776264 \h </w:instrText>
        </w:r>
        <w:r w:rsidR="00121437">
          <w:rPr>
            <w:noProof/>
            <w:webHidden/>
          </w:rPr>
        </w:r>
        <w:r w:rsidR="00121437">
          <w:rPr>
            <w:noProof/>
            <w:webHidden/>
          </w:rPr>
          <w:fldChar w:fldCharType="separate"/>
        </w:r>
        <w:r w:rsidR="00121437">
          <w:rPr>
            <w:noProof/>
            <w:webHidden/>
          </w:rPr>
          <w:t>266</w:t>
        </w:r>
        <w:r w:rsidR="00121437">
          <w:rPr>
            <w:noProof/>
            <w:webHidden/>
          </w:rPr>
          <w:fldChar w:fldCharType="end"/>
        </w:r>
      </w:hyperlink>
    </w:p>
    <w:p w14:paraId="5B097B6C" w14:textId="72477A44" w:rsidR="000B2A8F" w:rsidRDefault="000B2A8F" w:rsidP="000B2A8F">
      <w:r>
        <w:fldChar w:fldCharType="end"/>
      </w:r>
    </w:p>
    <w:p w14:paraId="3C378A4A" w14:textId="3A35A94B" w:rsidR="000B2A8F" w:rsidRDefault="000B2A8F">
      <w:r>
        <w:br w:type="page"/>
      </w:r>
    </w:p>
    <w:p w14:paraId="15D0C411" w14:textId="7D607F9E" w:rsidR="000B2A8F" w:rsidRDefault="000B2A8F" w:rsidP="000B2A8F">
      <w:pPr>
        <w:pStyle w:val="TOCHeading"/>
      </w:pPr>
      <w:bookmarkStart w:id="8" w:name="_Toc33776143"/>
      <w:r>
        <w:lastRenderedPageBreak/>
        <w:t>Table of Tables</w:t>
      </w:r>
      <w:bookmarkEnd w:id="8"/>
      <w:r>
        <w:t xml:space="preserve"> </w:t>
      </w:r>
    </w:p>
    <w:p w14:paraId="2A0BBCBA" w14:textId="60985048" w:rsidR="00500BB3" w:rsidRDefault="000B2A8F">
      <w:pPr>
        <w:pStyle w:val="TableofFigures"/>
        <w:tabs>
          <w:tab w:val="right" w:leader="dot" w:pos="9016"/>
        </w:tabs>
        <w:rPr>
          <w:rFonts w:asciiTheme="minorHAnsi" w:hAnsiTheme="minorHAnsi"/>
          <w:noProof/>
          <w:lang w:eastAsia="en-GB"/>
        </w:rPr>
      </w:pPr>
      <w:r>
        <w:fldChar w:fldCharType="begin"/>
      </w:r>
      <w:r>
        <w:instrText xml:space="preserve"> TOC \h \z \c "Table" </w:instrText>
      </w:r>
      <w:r>
        <w:fldChar w:fldCharType="separate"/>
      </w:r>
      <w:hyperlink w:anchor="_Toc34033515" w:history="1">
        <w:r w:rsidR="00500BB3" w:rsidRPr="00204D94">
          <w:rPr>
            <w:rStyle w:val="Hyperlink"/>
            <w:noProof/>
          </w:rPr>
          <w:t xml:space="preserve">Table 1: </w:t>
        </w:r>
        <w:r w:rsidR="00500BB3" w:rsidRPr="00204D94">
          <w:rPr>
            <w:rStyle w:val="Hyperlink"/>
            <w:noProof/>
            <w:lang w:eastAsia="en-GB"/>
          </w:rPr>
          <w:t>Inclusion and exclusion criteria</w:t>
        </w:r>
        <w:r w:rsidR="00500BB3">
          <w:rPr>
            <w:noProof/>
            <w:webHidden/>
          </w:rPr>
          <w:tab/>
        </w:r>
        <w:r w:rsidR="00500BB3">
          <w:rPr>
            <w:noProof/>
            <w:webHidden/>
          </w:rPr>
          <w:fldChar w:fldCharType="begin"/>
        </w:r>
        <w:r w:rsidR="00500BB3">
          <w:rPr>
            <w:noProof/>
            <w:webHidden/>
          </w:rPr>
          <w:instrText xml:space="preserve"> PAGEREF _Toc34033515 \h </w:instrText>
        </w:r>
        <w:r w:rsidR="00500BB3">
          <w:rPr>
            <w:noProof/>
            <w:webHidden/>
          </w:rPr>
        </w:r>
        <w:r w:rsidR="00500BB3">
          <w:rPr>
            <w:noProof/>
            <w:webHidden/>
          </w:rPr>
          <w:fldChar w:fldCharType="separate"/>
        </w:r>
        <w:r w:rsidR="00500BB3">
          <w:rPr>
            <w:noProof/>
            <w:webHidden/>
          </w:rPr>
          <w:t>56</w:t>
        </w:r>
        <w:r w:rsidR="00500BB3">
          <w:rPr>
            <w:noProof/>
            <w:webHidden/>
          </w:rPr>
          <w:fldChar w:fldCharType="end"/>
        </w:r>
      </w:hyperlink>
    </w:p>
    <w:p w14:paraId="1F53F4A1" w14:textId="30F2C7FC" w:rsidR="00500BB3" w:rsidRDefault="00C974E5">
      <w:pPr>
        <w:pStyle w:val="TableofFigures"/>
        <w:tabs>
          <w:tab w:val="right" w:leader="dot" w:pos="9016"/>
        </w:tabs>
        <w:rPr>
          <w:rFonts w:asciiTheme="minorHAnsi" w:hAnsiTheme="minorHAnsi"/>
          <w:noProof/>
          <w:lang w:eastAsia="en-GB"/>
        </w:rPr>
      </w:pPr>
      <w:hyperlink w:anchor="_Toc34033516" w:history="1">
        <w:r w:rsidR="00500BB3" w:rsidRPr="00204D94">
          <w:rPr>
            <w:rStyle w:val="Hyperlink"/>
            <w:noProof/>
          </w:rPr>
          <w:t>Table 2: IQWiG scoring criteria</w:t>
        </w:r>
        <w:r w:rsidR="00500BB3" w:rsidRPr="00204D94">
          <w:rPr>
            <w:rStyle w:val="Hyperlink"/>
            <w:noProof/>
            <w:vertAlign w:val="superscript"/>
          </w:rPr>
          <w:t>71</w:t>
        </w:r>
        <w:r w:rsidR="00500BB3">
          <w:rPr>
            <w:noProof/>
            <w:webHidden/>
          </w:rPr>
          <w:tab/>
        </w:r>
        <w:r w:rsidR="00500BB3">
          <w:rPr>
            <w:noProof/>
            <w:webHidden/>
          </w:rPr>
          <w:fldChar w:fldCharType="begin"/>
        </w:r>
        <w:r w:rsidR="00500BB3">
          <w:rPr>
            <w:noProof/>
            <w:webHidden/>
          </w:rPr>
          <w:instrText xml:space="preserve"> PAGEREF _Toc34033516 \h </w:instrText>
        </w:r>
        <w:r w:rsidR="00500BB3">
          <w:rPr>
            <w:noProof/>
            <w:webHidden/>
          </w:rPr>
        </w:r>
        <w:r w:rsidR="00500BB3">
          <w:rPr>
            <w:noProof/>
            <w:webHidden/>
          </w:rPr>
          <w:fldChar w:fldCharType="separate"/>
        </w:r>
        <w:r w:rsidR="00500BB3">
          <w:rPr>
            <w:noProof/>
            <w:webHidden/>
          </w:rPr>
          <w:t>58</w:t>
        </w:r>
        <w:r w:rsidR="00500BB3">
          <w:rPr>
            <w:noProof/>
            <w:webHidden/>
          </w:rPr>
          <w:fldChar w:fldCharType="end"/>
        </w:r>
      </w:hyperlink>
    </w:p>
    <w:p w14:paraId="72DC7BC8" w14:textId="18EA1CD8" w:rsidR="00500BB3" w:rsidRDefault="00C974E5">
      <w:pPr>
        <w:pStyle w:val="TableofFigures"/>
        <w:tabs>
          <w:tab w:val="right" w:leader="dot" w:pos="9016"/>
        </w:tabs>
        <w:rPr>
          <w:rFonts w:asciiTheme="minorHAnsi" w:hAnsiTheme="minorHAnsi"/>
          <w:noProof/>
          <w:lang w:eastAsia="en-GB"/>
        </w:rPr>
      </w:pPr>
      <w:hyperlink w:anchor="_Toc34033517" w:history="1">
        <w:r w:rsidR="00500BB3" w:rsidRPr="00204D94">
          <w:rPr>
            <w:rStyle w:val="Hyperlink"/>
            <w:noProof/>
          </w:rPr>
          <w:t>Table 3: BSES2 scoring criteria</w:t>
        </w:r>
        <w:r w:rsidR="00500BB3" w:rsidRPr="00204D94">
          <w:rPr>
            <w:rStyle w:val="Hyperlink"/>
            <w:noProof/>
            <w:vertAlign w:val="superscript"/>
          </w:rPr>
          <w:t>72</w:t>
        </w:r>
        <w:r w:rsidR="00500BB3">
          <w:rPr>
            <w:noProof/>
            <w:webHidden/>
          </w:rPr>
          <w:tab/>
        </w:r>
        <w:r w:rsidR="00500BB3">
          <w:rPr>
            <w:noProof/>
            <w:webHidden/>
          </w:rPr>
          <w:fldChar w:fldCharType="begin"/>
        </w:r>
        <w:r w:rsidR="00500BB3">
          <w:rPr>
            <w:noProof/>
            <w:webHidden/>
          </w:rPr>
          <w:instrText xml:space="preserve"> PAGEREF _Toc34033517 \h </w:instrText>
        </w:r>
        <w:r w:rsidR="00500BB3">
          <w:rPr>
            <w:noProof/>
            <w:webHidden/>
          </w:rPr>
        </w:r>
        <w:r w:rsidR="00500BB3">
          <w:rPr>
            <w:noProof/>
            <w:webHidden/>
          </w:rPr>
          <w:fldChar w:fldCharType="separate"/>
        </w:r>
        <w:r w:rsidR="00500BB3">
          <w:rPr>
            <w:noProof/>
            <w:webHidden/>
          </w:rPr>
          <w:t>59</w:t>
        </w:r>
        <w:r w:rsidR="00500BB3">
          <w:rPr>
            <w:noProof/>
            <w:webHidden/>
          </w:rPr>
          <w:fldChar w:fldCharType="end"/>
        </w:r>
      </w:hyperlink>
    </w:p>
    <w:p w14:paraId="0F85A9CF" w14:textId="22111FA2" w:rsidR="00500BB3" w:rsidRDefault="00C974E5">
      <w:pPr>
        <w:pStyle w:val="TableofFigures"/>
        <w:tabs>
          <w:tab w:val="right" w:leader="dot" w:pos="9016"/>
        </w:tabs>
        <w:rPr>
          <w:rFonts w:asciiTheme="minorHAnsi" w:hAnsiTheme="minorHAnsi"/>
          <w:noProof/>
          <w:lang w:eastAsia="en-GB"/>
        </w:rPr>
      </w:pPr>
      <w:hyperlink w:anchor="_Toc34033518" w:history="1">
        <w:r w:rsidR="00500BB3" w:rsidRPr="00204D94">
          <w:rPr>
            <w:rStyle w:val="Hyperlink"/>
            <w:noProof/>
          </w:rPr>
          <w:t>Table 4: Study characteristics: Surrogate relationships, cancer types and treatments</w:t>
        </w:r>
        <w:r w:rsidR="00500BB3">
          <w:rPr>
            <w:noProof/>
            <w:webHidden/>
          </w:rPr>
          <w:tab/>
        </w:r>
        <w:r w:rsidR="00500BB3">
          <w:rPr>
            <w:noProof/>
            <w:webHidden/>
          </w:rPr>
          <w:fldChar w:fldCharType="begin"/>
        </w:r>
        <w:r w:rsidR="00500BB3">
          <w:rPr>
            <w:noProof/>
            <w:webHidden/>
          </w:rPr>
          <w:instrText xml:space="preserve"> PAGEREF _Toc34033518 \h </w:instrText>
        </w:r>
        <w:r w:rsidR="00500BB3">
          <w:rPr>
            <w:noProof/>
            <w:webHidden/>
          </w:rPr>
        </w:r>
        <w:r w:rsidR="00500BB3">
          <w:rPr>
            <w:noProof/>
            <w:webHidden/>
          </w:rPr>
          <w:fldChar w:fldCharType="separate"/>
        </w:r>
        <w:r w:rsidR="00500BB3">
          <w:rPr>
            <w:noProof/>
            <w:webHidden/>
          </w:rPr>
          <w:t>62</w:t>
        </w:r>
        <w:r w:rsidR="00500BB3">
          <w:rPr>
            <w:noProof/>
            <w:webHidden/>
          </w:rPr>
          <w:fldChar w:fldCharType="end"/>
        </w:r>
      </w:hyperlink>
    </w:p>
    <w:p w14:paraId="15D0314F" w14:textId="048D87C5" w:rsidR="00500BB3" w:rsidRDefault="00C974E5">
      <w:pPr>
        <w:pStyle w:val="TableofFigures"/>
        <w:tabs>
          <w:tab w:val="right" w:leader="dot" w:pos="9016"/>
        </w:tabs>
        <w:rPr>
          <w:rFonts w:asciiTheme="minorHAnsi" w:hAnsiTheme="minorHAnsi"/>
          <w:noProof/>
          <w:lang w:eastAsia="en-GB"/>
        </w:rPr>
      </w:pPr>
      <w:hyperlink w:anchor="_Toc34033519" w:history="1">
        <w:r w:rsidR="00500BB3" w:rsidRPr="00204D94">
          <w:rPr>
            <w:rStyle w:val="Hyperlink"/>
            <w:noProof/>
          </w:rPr>
          <w:t>Table 5: Study characteristics: Data types</w:t>
        </w:r>
        <w:r w:rsidR="00500BB3">
          <w:rPr>
            <w:noProof/>
            <w:webHidden/>
          </w:rPr>
          <w:tab/>
        </w:r>
        <w:r w:rsidR="00500BB3">
          <w:rPr>
            <w:noProof/>
            <w:webHidden/>
          </w:rPr>
          <w:fldChar w:fldCharType="begin"/>
        </w:r>
        <w:r w:rsidR="00500BB3">
          <w:rPr>
            <w:noProof/>
            <w:webHidden/>
          </w:rPr>
          <w:instrText xml:space="preserve"> PAGEREF _Toc34033519 \h </w:instrText>
        </w:r>
        <w:r w:rsidR="00500BB3">
          <w:rPr>
            <w:noProof/>
            <w:webHidden/>
          </w:rPr>
        </w:r>
        <w:r w:rsidR="00500BB3">
          <w:rPr>
            <w:noProof/>
            <w:webHidden/>
          </w:rPr>
          <w:fldChar w:fldCharType="separate"/>
        </w:r>
        <w:r w:rsidR="00500BB3">
          <w:rPr>
            <w:noProof/>
            <w:webHidden/>
          </w:rPr>
          <w:t>63</w:t>
        </w:r>
        <w:r w:rsidR="00500BB3">
          <w:rPr>
            <w:noProof/>
            <w:webHidden/>
          </w:rPr>
          <w:fldChar w:fldCharType="end"/>
        </w:r>
      </w:hyperlink>
    </w:p>
    <w:p w14:paraId="6F0065A2" w14:textId="0F01BF14" w:rsidR="00500BB3" w:rsidRDefault="00C974E5">
      <w:pPr>
        <w:pStyle w:val="TableofFigures"/>
        <w:tabs>
          <w:tab w:val="right" w:leader="dot" w:pos="9016"/>
        </w:tabs>
        <w:rPr>
          <w:rFonts w:asciiTheme="minorHAnsi" w:hAnsiTheme="minorHAnsi"/>
          <w:noProof/>
          <w:lang w:eastAsia="en-GB"/>
        </w:rPr>
      </w:pPr>
      <w:hyperlink w:anchor="_Toc34033520" w:history="1">
        <w:r w:rsidR="00500BB3" w:rsidRPr="00204D94">
          <w:rPr>
            <w:rStyle w:val="Hyperlink"/>
            <w:noProof/>
          </w:rPr>
          <w:t>Table 6: Summary of absolute (individual-level) correlations per study</w:t>
        </w:r>
        <w:r w:rsidR="00500BB3">
          <w:rPr>
            <w:noProof/>
            <w:webHidden/>
          </w:rPr>
          <w:tab/>
        </w:r>
        <w:r w:rsidR="00500BB3">
          <w:rPr>
            <w:noProof/>
            <w:webHidden/>
          </w:rPr>
          <w:fldChar w:fldCharType="begin"/>
        </w:r>
        <w:r w:rsidR="00500BB3">
          <w:rPr>
            <w:noProof/>
            <w:webHidden/>
          </w:rPr>
          <w:instrText xml:space="preserve"> PAGEREF _Toc34033520 \h </w:instrText>
        </w:r>
        <w:r w:rsidR="00500BB3">
          <w:rPr>
            <w:noProof/>
            <w:webHidden/>
          </w:rPr>
        </w:r>
        <w:r w:rsidR="00500BB3">
          <w:rPr>
            <w:noProof/>
            <w:webHidden/>
          </w:rPr>
          <w:fldChar w:fldCharType="separate"/>
        </w:r>
        <w:r w:rsidR="00500BB3">
          <w:rPr>
            <w:noProof/>
            <w:webHidden/>
          </w:rPr>
          <w:t>65</w:t>
        </w:r>
        <w:r w:rsidR="00500BB3">
          <w:rPr>
            <w:noProof/>
            <w:webHidden/>
          </w:rPr>
          <w:fldChar w:fldCharType="end"/>
        </w:r>
      </w:hyperlink>
    </w:p>
    <w:p w14:paraId="7D47F20E" w14:textId="7370818D" w:rsidR="00500BB3" w:rsidRDefault="00C974E5">
      <w:pPr>
        <w:pStyle w:val="TableofFigures"/>
        <w:tabs>
          <w:tab w:val="right" w:leader="dot" w:pos="9016"/>
        </w:tabs>
        <w:rPr>
          <w:rFonts w:asciiTheme="minorHAnsi" w:hAnsiTheme="minorHAnsi"/>
          <w:noProof/>
          <w:lang w:eastAsia="en-GB"/>
        </w:rPr>
      </w:pPr>
      <w:hyperlink w:anchor="_Toc34033521" w:history="1">
        <w:r w:rsidR="00500BB3" w:rsidRPr="00204D94">
          <w:rPr>
            <w:rStyle w:val="Hyperlink"/>
            <w:noProof/>
          </w:rPr>
          <w:t>Table 7: Summary of treatment effect (trial-level) R</w:t>
        </w:r>
        <w:r w:rsidR="00500BB3" w:rsidRPr="00204D94">
          <w:rPr>
            <w:rStyle w:val="Hyperlink"/>
            <w:noProof/>
            <w:vertAlign w:val="superscript"/>
          </w:rPr>
          <w:t>2</w:t>
        </w:r>
        <w:r w:rsidR="00500BB3" w:rsidRPr="00204D94">
          <w:rPr>
            <w:rStyle w:val="Hyperlink"/>
            <w:noProof/>
          </w:rPr>
          <w:t xml:space="preserve"> per study</w:t>
        </w:r>
        <w:r w:rsidR="00500BB3">
          <w:rPr>
            <w:noProof/>
            <w:webHidden/>
          </w:rPr>
          <w:tab/>
        </w:r>
        <w:r w:rsidR="00500BB3">
          <w:rPr>
            <w:noProof/>
            <w:webHidden/>
          </w:rPr>
          <w:fldChar w:fldCharType="begin"/>
        </w:r>
        <w:r w:rsidR="00500BB3">
          <w:rPr>
            <w:noProof/>
            <w:webHidden/>
          </w:rPr>
          <w:instrText xml:space="preserve"> PAGEREF _Toc34033521 \h </w:instrText>
        </w:r>
        <w:r w:rsidR="00500BB3">
          <w:rPr>
            <w:noProof/>
            <w:webHidden/>
          </w:rPr>
        </w:r>
        <w:r w:rsidR="00500BB3">
          <w:rPr>
            <w:noProof/>
            <w:webHidden/>
          </w:rPr>
          <w:fldChar w:fldCharType="separate"/>
        </w:r>
        <w:r w:rsidR="00500BB3">
          <w:rPr>
            <w:noProof/>
            <w:webHidden/>
          </w:rPr>
          <w:t>70</w:t>
        </w:r>
        <w:r w:rsidR="00500BB3">
          <w:rPr>
            <w:noProof/>
            <w:webHidden/>
          </w:rPr>
          <w:fldChar w:fldCharType="end"/>
        </w:r>
      </w:hyperlink>
    </w:p>
    <w:p w14:paraId="4C1E0D2E" w14:textId="762FC851" w:rsidR="00500BB3" w:rsidRDefault="00C974E5">
      <w:pPr>
        <w:pStyle w:val="TableofFigures"/>
        <w:tabs>
          <w:tab w:val="right" w:leader="dot" w:pos="9016"/>
        </w:tabs>
        <w:rPr>
          <w:rFonts w:asciiTheme="minorHAnsi" w:hAnsiTheme="minorHAnsi"/>
          <w:noProof/>
          <w:lang w:eastAsia="en-GB"/>
        </w:rPr>
      </w:pPr>
      <w:hyperlink w:anchor="_Toc34033522" w:history="1">
        <w:r w:rsidR="00500BB3" w:rsidRPr="00204D94">
          <w:rPr>
            <w:rStyle w:val="Hyperlink"/>
            <w:noProof/>
          </w:rPr>
          <w:t>Table 8: Regression equations for absolute associations</w:t>
        </w:r>
        <w:r w:rsidR="00500BB3">
          <w:rPr>
            <w:noProof/>
            <w:webHidden/>
          </w:rPr>
          <w:tab/>
        </w:r>
        <w:r w:rsidR="00500BB3">
          <w:rPr>
            <w:noProof/>
            <w:webHidden/>
          </w:rPr>
          <w:fldChar w:fldCharType="begin"/>
        </w:r>
        <w:r w:rsidR="00500BB3">
          <w:rPr>
            <w:noProof/>
            <w:webHidden/>
          </w:rPr>
          <w:instrText xml:space="preserve"> PAGEREF _Toc34033522 \h </w:instrText>
        </w:r>
        <w:r w:rsidR="00500BB3">
          <w:rPr>
            <w:noProof/>
            <w:webHidden/>
          </w:rPr>
        </w:r>
        <w:r w:rsidR="00500BB3">
          <w:rPr>
            <w:noProof/>
            <w:webHidden/>
          </w:rPr>
          <w:fldChar w:fldCharType="separate"/>
        </w:r>
        <w:r w:rsidR="00500BB3">
          <w:rPr>
            <w:noProof/>
            <w:webHidden/>
          </w:rPr>
          <w:t>73</w:t>
        </w:r>
        <w:r w:rsidR="00500BB3">
          <w:rPr>
            <w:noProof/>
            <w:webHidden/>
          </w:rPr>
          <w:fldChar w:fldCharType="end"/>
        </w:r>
      </w:hyperlink>
    </w:p>
    <w:p w14:paraId="37EC6E8F" w14:textId="08266F90" w:rsidR="00500BB3" w:rsidRDefault="00C974E5">
      <w:pPr>
        <w:pStyle w:val="TableofFigures"/>
        <w:tabs>
          <w:tab w:val="right" w:leader="dot" w:pos="9016"/>
        </w:tabs>
        <w:rPr>
          <w:rFonts w:asciiTheme="minorHAnsi" w:hAnsiTheme="minorHAnsi"/>
          <w:noProof/>
          <w:lang w:eastAsia="en-GB"/>
        </w:rPr>
      </w:pPr>
      <w:hyperlink w:anchor="_Toc34033523" w:history="1">
        <w:r w:rsidR="00500BB3" w:rsidRPr="00204D94">
          <w:rPr>
            <w:rStyle w:val="Hyperlink"/>
            <w:noProof/>
          </w:rPr>
          <w:t>Table 9: Regression equations for treatment effect (trial-level) associations</w:t>
        </w:r>
        <w:r w:rsidR="00500BB3">
          <w:rPr>
            <w:noProof/>
            <w:webHidden/>
          </w:rPr>
          <w:tab/>
        </w:r>
        <w:r w:rsidR="00500BB3">
          <w:rPr>
            <w:noProof/>
            <w:webHidden/>
          </w:rPr>
          <w:fldChar w:fldCharType="begin"/>
        </w:r>
        <w:r w:rsidR="00500BB3">
          <w:rPr>
            <w:noProof/>
            <w:webHidden/>
          </w:rPr>
          <w:instrText xml:space="preserve"> PAGEREF _Toc34033523 \h </w:instrText>
        </w:r>
        <w:r w:rsidR="00500BB3">
          <w:rPr>
            <w:noProof/>
            <w:webHidden/>
          </w:rPr>
        </w:r>
        <w:r w:rsidR="00500BB3">
          <w:rPr>
            <w:noProof/>
            <w:webHidden/>
          </w:rPr>
          <w:fldChar w:fldCharType="separate"/>
        </w:r>
        <w:r w:rsidR="00500BB3">
          <w:rPr>
            <w:noProof/>
            <w:webHidden/>
          </w:rPr>
          <w:t>75</w:t>
        </w:r>
        <w:r w:rsidR="00500BB3">
          <w:rPr>
            <w:noProof/>
            <w:webHidden/>
          </w:rPr>
          <w:fldChar w:fldCharType="end"/>
        </w:r>
      </w:hyperlink>
    </w:p>
    <w:p w14:paraId="045A3D6B" w14:textId="65E79EED" w:rsidR="00500BB3" w:rsidRDefault="00C974E5">
      <w:pPr>
        <w:pStyle w:val="TableofFigures"/>
        <w:tabs>
          <w:tab w:val="right" w:leader="dot" w:pos="9016"/>
        </w:tabs>
        <w:rPr>
          <w:rFonts w:asciiTheme="minorHAnsi" w:hAnsiTheme="minorHAnsi"/>
          <w:noProof/>
          <w:lang w:eastAsia="en-GB"/>
        </w:rPr>
      </w:pPr>
      <w:hyperlink w:anchor="_Toc34033524" w:history="1">
        <w:r w:rsidR="00500BB3" w:rsidRPr="00204D94">
          <w:rPr>
            <w:rStyle w:val="Hyperlink"/>
            <w:noProof/>
          </w:rPr>
          <w:t>Table 10: Surrogate threshold effect (STE)</w:t>
        </w:r>
        <w:r w:rsidR="00500BB3">
          <w:rPr>
            <w:noProof/>
            <w:webHidden/>
          </w:rPr>
          <w:tab/>
        </w:r>
        <w:r w:rsidR="00500BB3">
          <w:rPr>
            <w:noProof/>
            <w:webHidden/>
          </w:rPr>
          <w:fldChar w:fldCharType="begin"/>
        </w:r>
        <w:r w:rsidR="00500BB3">
          <w:rPr>
            <w:noProof/>
            <w:webHidden/>
          </w:rPr>
          <w:instrText xml:space="preserve"> PAGEREF _Toc34033524 \h </w:instrText>
        </w:r>
        <w:r w:rsidR="00500BB3">
          <w:rPr>
            <w:noProof/>
            <w:webHidden/>
          </w:rPr>
        </w:r>
        <w:r w:rsidR="00500BB3">
          <w:rPr>
            <w:noProof/>
            <w:webHidden/>
          </w:rPr>
          <w:fldChar w:fldCharType="separate"/>
        </w:r>
        <w:r w:rsidR="00500BB3">
          <w:rPr>
            <w:noProof/>
            <w:webHidden/>
          </w:rPr>
          <w:t>77</w:t>
        </w:r>
        <w:r w:rsidR="00500BB3">
          <w:rPr>
            <w:noProof/>
            <w:webHidden/>
          </w:rPr>
          <w:fldChar w:fldCharType="end"/>
        </w:r>
      </w:hyperlink>
    </w:p>
    <w:p w14:paraId="14F2E0B4" w14:textId="4DD8FE66" w:rsidR="00500BB3" w:rsidRDefault="00C974E5">
      <w:pPr>
        <w:pStyle w:val="TableofFigures"/>
        <w:tabs>
          <w:tab w:val="right" w:leader="dot" w:pos="9016"/>
        </w:tabs>
        <w:rPr>
          <w:rFonts w:asciiTheme="minorHAnsi" w:hAnsiTheme="minorHAnsi"/>
          <w:noProof/>
          <w:lang w:eastAsia="en-GB"/>
        </w:rPr>
      </w:pPr>
      <w:hyperlink w:anchor="_Toc34033525" w:history="1">
        <w:r w:rsidR="00500BB3" w:rsidRPr="00204D94">
          <w:rPr>
            <w:rStyle w:val="Hyperlink"/>
            <w:noProof/>
          </w:rPr>
          <w:t>Table 11: FDA Results of ORR by Tumour Type</w:t>
        </w:r>
        <w:r w:rsidR="00500BB3">
          <w:rPr>
            <w:noProof/>
            <w:webHidden/>
          </w:rPr>
          <w:tab/>
        </w:r>
        <w:r w:rsidR="00500BB3">
          <w:rPr>
            <w:noProof/>
            <w:webHidden/>
          </w:rPr>
          <w:fldChar w:fldCharType="begin"/>
        </w:r>
        <w:r w:rsidR="00500BB3">
          <w:rPr>
            <w:noProof/>
            <w:webHidden/>
          </w:rPr>
          <w:instrText xml:space="preserve"> PAGEREF _Toc34033525 \h </w:instrText>
        </w:r>
        <w:r w:rsidR="00500BB3">
          <w:rPr>
            <w:noProof/>
            <w:webHidden/>
          </w:rPr>
        </w:r>
        <w:r w:rsidR="00500BB3">
          <w:rPr>
            <w:noProof/>
            <w:webHidden/>
          </w:rPr>
          <w:fldChar w:fldCharType="separate"/>
        </w:r>
        <w:r w:rsidR="00500BB3">
          <w:rPr>
            <w:noProof/>
            <w:webHidden/>
          </w:rPr>
          <w:t>89</w:t>
        </w:r>
        <w:r w:rsidR="00500BB3">
          <w:rPr>
            <w:noProof/>
            <w:webHidden/>
          </w:rPr>
          <w:fldChar w:fldCharType="end"/>
        </w:r>
      </w:hyperlink>
    </w:p>
    <w:p w14:paraId="44A32106" w14:textId="380F86A1" w:rsidR="00500BB3" w:rsidRDefault="00C974E5">
      <w:pPr>
        <w:pStyle w:val="TableofFigures"/>
        <w:tabs>
          <w:tab w:val="right" w:leader="dot" w:pos="9016"/>
        </w:tabs>
        <w:rPr>
          <w:rFonts w:asciiTheme="minorHAnsi" w:hAnsiTheme="minorHAnsi"/>
          <w:noProof/>
          <w:lang w:eastAsia="en-GB"/>
        </w:rPr>
      </w:pPr>
      <w:hyperlink w:anchor="_Toc34033526" w:history="1">
        <w:r w:rsidR="00500BB3" w:rsidRPr="00204D94">
          <w:rPr>
            <w:rStyle w:val="Hyperlink"/>
            <w:noProof/>
          </w:rPr>
          <w:t>Table 12: Overall posterior probability of response</w:t>
        </w:r>
        <w:r w:rsidR="00500BB3">
          <w:rPr>
            <w:noProof/>
            <w:webHidden/>
          </w:rPr>
          <w:tab/>
        </w:r>
        <w:r w:rsidR="00500BB3">
          <w:rPr>
            <w:noProof/>
            <w:webHidden/>
          </w:rPr>
          <w:fldChar w:fldCharType="begin"/>
        </w:r>
        <w:r w:rsidR="00500BB3">
          <w:rPr>
            <w:noProof/>
            <w:webHidden/>
          </w:rPr>
          <w:instrText xml:space="preserve"> PAGEREF _Toc34033526 \h </w:instrText>
        </w:r>
        <w:r w:rsidR="00500BB3">
          <w:rPr>
            <w:noProof/>
            <w:webHidden/>
          </w:rPr>
        </w:r>
        <w:r w:rsidR="00500BB3">
          <w:rPr>
            <w:noProof/>
            <w:webHidden/>
          </w:rPr>
          <w:fldChar w:fldCharType="separate"/>
        </w:r>
        <w:r w:rsidR="00500BB3">
          <w:rPr>
            <w:noProof/>
            <w:webHidden/>
          </w:rPr>
          <w:t>92</w:t>
        </w:r>
        <w:r w:rsidR="00500BB3">
          <w:rPr>
            <w:noProof/>
            <w:webHidden/>
          </w:rPr>
          <w:fldChar w:fldCharType="end"/>
        </w:r>
      </w:hyperlink>
    </w:p>
    <w:p w14:paraId="4136AF88" w14:textId="6DA6CCD1" w:rsidR="00500BB3" w:rsidRDefault="00C974E5">
      <w:pPr>
        <w:pStyle w:val="TableofFigures"/>
        <w:tabs>
          <w:tab w:val="right" w:leader="dot" w:pos="9016"/>
        </w:tabs>
        <w:rPr>
          <w:rFonts w:asciiTheme="minorHAnsi" w:hAnsiTheme="minorHAnsi"/>
          <w:noProof/>
          <w:lang w:eastAsia="en-GB"/>
        </w:rPr>
      </w:pPr>
      <w:hyperlink w:anchor="_Toc34033527" w:history="1">
        <w:r w:rsidR="00500BB3" w:rsidRPr="00204D94">
          <w:rPr>
            <w:rStyle w:val="Hyperlink"/>
            <w:noProof/>
          </w:rPr>
          <w:t>Table 13: Probabilities of response for all tumour types</w:t>
        </w:r>
        <w:r w:rsidR="00500BB3">
          <w:rPr>
            <w:noProof/>
            <w:webHidden/>
          </w:rPr>
          <w:tab/>
        </w:r>
        <w:r w:rsidR="00500BB3">
          <w:rPr>
            <w:noProof/>
            <w:webHidden/>
          </w:rPr>
          <w:fldChar w:fldCharType="begin"/>
        </w:r>
        <w:r w:rsidR="00500BB3">
          <w:rPr>
            <w:noProof/>
            <w:webHidden/>
          </w:rPr>
          <w:instrText xml:space="preserve"> PAGEREF _Toc34033527 \h </w:instrText>
        </w:r>
        <w:r w:rsidR="00500BB3">
          <w:rPr>
            <w:noProof/>
            <w:webHidden/>
          </w:rPr>
        </w:r>
        <w:r w:rsidR="00500BB3">
          <w:rPr>
            <w:noProof/>
            <w:webHidden/>
          </w:rPr>
          <w:fldChar w:fldCharType="separate"/>
        </w:r>
        <w:r w:rsidR="00500BB3">
          <w:rPr>
            <w:noProof/>
            <w:webHidden/>
          </w:rPr>
          <w:t>93</w:t>
        </w:r>
        <w:r w:rsidR="00500BB3">
          <w:rPr>
            <w:noProof/>
            <w:webHidden/>
          </w:rPr>
          <w:fldChar w:fldCharType="end"/>
        </w:r>
      </w:hyperlink>
    </w:p>
    <w:p w14:paraId="69F8D1C4" w14:textId="6A506587" w:rsidR="00500BB3" w:rsidRDefault="00C974E5">
      <w:pPr>
        <w:pStyle w:val="TableofFigures"/>
        <w:tabs>
          <w:tab w:val="right" w:leader="dot" w:pos="9016"/>
        </w:tabs>
        <w:rPr>
          <w:rFonts w:asciiTheme="minorHAnsi" w:hAnsiTheme="minorHAnsi"/>
          <w:noProof/>
          <w:lang w:eastAsia="en-GB"/>
        </w:rPr>
      </w:pPr>
      <w:hyperlink w:anchor="_Toc34033528" w:history="1">
        <w:r w:rsidR="00500BB3" w:rsidRPr="00204D94">
          <w:rPr>
            <w:rStyle w:val="Hyperlink"/>
            <w:noProof/>
          </w:rPr>
          <w:t>Table 14: Larotrectinib and Entrectinib trial tumour distributions</w:t>
        </w:r>
        <w:r w:rsidR="00500BB3">
          <w:rPr>
            <w:noProof/>
            <w:webHidden/>
          </w:rPr>
          <w:tab/>
        </w:r>
        <w:r w:rsidR="00500BB3">
          <w:rPr>
            <w:noProof/>
            <w:webHidden/>
          </w:rPr>
          <w:fldChar w:fldCharType="begin"/>
        </w:r>
        <w:r w:rsidR="00500BB3">
          <w:rPr>
            <w:noProof/>
            <w:webHidden/>
          </w:rPr>
          <w:instrText xml:space="preserve"> PAGEREF _Toc34033528 \h </w:instrText>
        </w:r>
        <w:r w:rsidR="00500BB3">
          <w:rPr>
            <w:noProof/>
            <w:webHidden/>
          </w:rPr>
        </w:r>
        <w:r w:rsidR="00500BB3">
          <w:rPr>
            <w:noProof/>
            <w:webHidden/>
          </w:rPr>
          <w:fldChar w:fldCharType="separate"/>
        </w:r>
        <w:r w:rsidR="00500BB3">
          <w:rPr>
            <w:noProof/>
            <w:webHidden/>
          </w:rPr>
          <w:t>100</w:t>
        </w:r>
        <w:r w:rsidR="00500BB3">
          <w:rPr>
            <w:noProof/>
            <w:webHidden/>
          </w:rPr>
          <w:fldChar w:fldCharType="end"/>
        </w:r>
      </w:hyperlink>
    </w:p>
    <w:p w14:paraId="0994327C" w14:textId="16C229A9" w:rsidR="00500BB3" w:rsidRDefault="00C974E5">
      <w:pPr>
        <w:pStyle w:val="TableofFigures"/>
        <w:tabs>
          <w:tab w:val="right" w:leader="dot" w:pos="9016"/>
        </w:tabs>
        <w:rPr>
          <w:rFonts w:asciiTheme="minorHAnsi" w:hAnsiTheme="minorHAnsi"/>
          <w:noProof/>
          <w:lang w:eastAsia="en-GB"/>
        </w:rPr>
      </w:pPr>
      <w:hyperlink w:anchor="_Toc34033529" w:history="1">
        <w:r w:rsidR="00500BB3" w:rsidRPr="00204D94">
          <w:rPr>
            <w:rStyle w:val="Hyperlink"/>
            <w:noProof/>
          </w:rPr>
          <w:t>Table 15: Calculation of the Annual Eligible Population for Trk-inhibitors</w:t>
        </w:r>
        <w:r w:rsidR="00500BB3">
          <w:rPr>
            <w:noProof/>
            <w:webHidden/>
          </w:rPr>
          <w:tab/>
        </w:r>
        <w:r w:rsidR="00500BB3">
          <w:rPr>
            <w:noProof/>
            <w:webHidden/>
          </w:rPr>
          <w:fldChar w:fldCharType="begin"/>
        </w:r>
        <w:r w:rsidR="00500BB3">
          <w:rPr>
            <w:noProof/>
            <w:webHidden/>
          </w:rPr>
          <w:instrText xml:space="preserve"> PAGEREF _Toc34033529 \h </w:instrText>
        </w:r>
        <w:r w:rsidR="00500BB3">
          <w:rPr>
            <w:noProof/>
            <w:webHidden/>
          </w:rPr>
        </w:r>
        <w:r w:rsidR="00500BB3">
          <w:rPr>
            <w:noProof/>
            <w:webHidden/>
          </w:rPr>
          <w:fldChar w:fldCharType="separate"/>
        </w:r>
        <w:r w:rsidR="00500BB3">
          <w:rPr>
            <w:noProof/>
            <w:webHidden/>
          </w:rPr>
          <w:t>103</w:t>
        </w:r>
        <w:r w:rsidR="00500BB3">
          <w:rPr>
            <w:noProof/>
            <w:webHidden/>
          </w:rPr>
          <w:fldChar w:fldCharType="end"/>
        </w:r>
      </w:hyperlink>
    </w:p>
    <w:p w14:paraId="15617034" w14:textId="70C90BC3" w:rsidR="00500BB3" w:rsidRDefault="00C974E5">
      <w:pPr>
        <w:pStyle w:val="TableofFigures"/>
        <w:tabs>
          <w:tab w:val="right" w:leader="dot" w:pos="9016"/>
        </w:tabs>
        <w:rPr>
          <w:rFonts w:asciiTheme="minorHAnsi" w:hAnsiTheme="minorHAnsi"/>
          <w:noProof/>
          <w:lang w:eastAsia="en-GB"/>
        </w:rPr>
      </w:pPr>
      <w:hyperlink w:anchor="_Toc34033530" w:history="1">
        <w:r w:rsidR="00500BB3" w:rsidRPr="00204D94">
          <w:rPr>
            <w:rStyle w:val="Hyperlink"/>
            <w:noProof/>
          </w:rPr>
          <w:t>Table 16: Alternative tumour distributions</w:t>
        </w:r>
        <w:r w:rsidR="00500BB3">
          <w:rPr>
            <w:noProof/>
            <w:webHidden/>
          </w:rPr>
          <w:tab/>
        </w:r>
        <w:r w:rsidR="00500BB3">
          <w:rPr>
            <w:noProof/>
            <w:webHidden/>
          </w:rPr>
          <w:fldChar w:fldCharType="begin"/>
        </w:r>
        <w:r w:rsidR="00500BB3">
          <w:rPr>
            <w:noProof/>
            <w:webHidden/>
          </w:rPr>
          <w:instrText xml:space="preserve"> PAGEREF _Toc34033530 \h </w:instrText>
        </w:r>
        <w:r w:rsidR="00500BB3">
          <w:rPr>
            <w:noProof/>
            <w:webHidden/>
          </w:rPr>
        </w:r>
        <w:r w:rsidR="00500BB3">
          <w:rPr>
            <w:noProof/>
            <w:webHidden/>
          </w:rPr>
          <w:fldChar w:fldCharType="separate"/>
        </w:r>
        <w:r w:rsidR="00500BB3">
          <w:rPr>
            <w:noProof/>
            <w:webHidden/>
          </w:rPr>
          <w:t>105</w:t>
        </w:r>
        <w:r w:rsidR="00500BB3">
          <w:rPr>
            <w:noProof/>
            <w:webHidden/>
          </w:rPr>
          <w:fldChar w:fldCharType="end"/>
        </w:r>
      </w:hyperlink>
    </w:p>
    <w:p w14:paraId="561A345C" w14:textId="0C811C34" w:rsidR="00500BB3" w:rsidRDefault="00C974E5">
      <w:pPr>
        <w:pStyle w:val="TableofFigures"/>
        <w:tabs>
          <w:tab w:val="right" w:leader="dot" w:pos="9016"/>
        </w:tabs>
        <w:rPr>
          <w:rFonts w:asciiTheme="minorHAnsi" w:hAnsiTheme="minorHAnsi"/>
          <w:noProof/>
          <w:lang w:eastAsia="en-GB"/>
        </w:rPr>
      </w:pPr>
      <w:hyperlink w:anchor="_Toc34033531" w:history="1">
        <w:r w:rsidR="00500BB3" w:rsidRPr="00204D94">
          <w:rPr>
            <w:rStyle w:val="Hyperlink"/>
            <w:noProof/>
          </w:rPr>
          <w:t>Table 17: Summary of test features</w:t>
        </w:r>
        <w:r w:rsidR="00500BB3">
          <w:rPr>
            <w:noProof/>
            <w:webHidden/>
          </w:rPr>
          <w:tab/>
        </w:r>
        <w:r w:rsidR="00500BB3">
          <w:rPr>
            <w:noProof/>
            <w:webHidden/>
          </w:rPr>
          <w:fldChar w:fldCharType="begin"/>
        </w:r>
        <w:r w:rsidR="00500BB3">
          <w:rPr>
            <w:noProof/>
            <w:webHidden/>
          </w:rPr>
          <w:instrText xml:space="preserve"> PAGEREF _Toc34033531 \h </w:instrText>
        </w:r>
        <w:r w:rsidR="00500BB3">
          <w:rPr>
            <w:noProof/>
            <w:webHidden/>
          </w:rPr>
        </w:r>
        <w:r w:rsidR="00500BB3">
          <w:rPr>
            <w:noProof/>
            <w:webHidden/>
          </w:rPr>
          <w:fldChar w:fldCharType="separate"/>
        </w:r>
        <w:r w:rsidR="00500BB3">
          <w:rPr>
            <w:noProof/>
            <w:webHidden/>
          </w:rPr>
          <w:t>110</w:t>
        </w:r>
        <w:r w:rsidR="00500BB3">
          <w:rPr>
            <w:noProof/>
            <w:webHidden/>
          </w:rPr>
          <w:fldChar w:fldCharType="end"/>
        </w:r>
      </w:hyperlink>
    </w:p>
    <w:p w14:paraId="46579379" w14:textId="58C5A1DE" w:rsidR="00500BB3" w:rsidRDefault="00C974E5">
      <w:pPr>
        <w:pStyle w:val="TableofFigures"/>
        <w:tabs>
          <w:tab w:val="right" w:leader="dot" w:pos="9016"/>
        </w:tabs>
        <w:rPr>
          <w:rFonts w:asciiTheme="minorHAnsi" w:hAnsiTheme="minorHAnsi"/>
          <w:noProof/>
          <w:lang w:eastAsia="en-GB"/>
        </w:rPr>
      </w:pPr>
      <w:hyperlink w:anchor="_Toc34033532" w:history="1">
        <w:r w:rsidR="00500BB3" w:rsidRPr="00204D94">
          <w:rPr>
            <w:rStyle w:val="Hyperlink"/>
            <w:noProof/>
          </w:rPr>
          <w:t>Table 18: Sensitivity and Specificity of each Genomic Test for identifying NTRK fusions</w:t>
        </w:r>
        <w:r w:rsidR="00500BB3">
          <w:rPr>
            <w:noProof/>
            <w:webHidden/>
          </w:rPr>
          <w:tab/>
        </w:r>
        <w:r w:rsidR="00500BB3">
          <w:rPr>
            <w:noProof/>
            <w:webHidden/>
          </w:rPr>
          <w:fldChar w:fldCharType="begin"/>
        </w:r>
        <w:r w:rsidR="00500BB3">
          <w:rPr>
            <w:noProof/>
            <w:webHidden/>
          </w:rPr>
          <w:instrText xml:space="preserve"> PAGEREF _Toc34033532 \h </w:instrText>
        </w:r>
        <w:r w:rsidR="00500BB3">
          <w:rPr>
            <w:noProof/>
            <w:webHidden/>
          </w:rPr>
        </w:r>
        <w:r w:rsidR="00500BB3">
          <w:rPr>
            <w:noProof/>
            <w:webHidden/>
          </w:rPr>
          <w:fldChar w:fldCharType="separate"/>
        </w:r>
        <w:r w:rsidR="00500BB3">
          <w:rPr>
            <w:noProof/>
            <w:webHidden/>
          </w:rPr>
          <w:t>115</w:t>
        </w:r>
        <w:r w:rsidR="00500BB3">
          <w:rPr>
            <w:noProof/>
            <w:webHidden/>
          </w:rPr>
          <w:fldChar w:fldCharType="end"/>
        </w:r>
      </w:hyperlink>
    </w:p>
    <w:p w14:paraId="28C171EF" w14:textId="6316472E" w:rsidR="00500BB3" w:rsidRDefault="00C974E5">
      <w:pPr>
        <w:pStyle w:val="TableofFigures"/>
        <w:tabs>
          <w:tab w:val="right" w:leader="dot" w:pos="9016"/>
        </w:tabs>
        <w:rPr>
          <w:rFonts w:asciiTheme="minorHAnsi" w:hAnsiTheme="minorHAnsi"/>
          <w:noProof/>
          <w:lang w:eastAsia="en-GB"/>
        </w:rPr>
      </w:pPr>
      <w:hyperlink w:anchor="_Toc34033533" w:history="1">
        <w:r w:rsidR="00500BB3" w:rsidRPr="00204D94">
          <w:rPr>
            <w:rStyle w:val="Hyperlink"/>
            <w:noProof/>
          </w:rPr>
          <w:t>Table 19: Summary of NNS and testing cost under a hierarchical testing approach</w:t>
        </w:r>
        <w:r w:rsidR="00500BB3">
          <w:rPr>
            <w:noProof/>
            <w:webHidden/>
          </w:rPr>
          <w:tab/>
        </w:r>
        <w:r w:rsidR="00500BB3">
          <w:rPr>
            <w:noProof/>
            <w:webHidden/>
          </w:rPr>
          <w:fldChar w:fldCharType="begin"/>
        </w:r>
        <w:r w:rsidR="00500BB3">
          <w:rPr>
            <w:noProof/>
            <w:webHidden/>
          </w:rPr>
          <w:instrText xml:space="preserve"> PAGEREF _Toc34033533 \h </w:instrText>
        </w:r>
        <w:r w:rsidR="00500BB3">
          <w:rPr>
            <w:noProof/>
            <w:webHidden/>
          </w:rPr>
        </w:r>
        <w:r w:rsidR="00500BB3">
          <w:rPr>
            <w:noProof/>
            <w:webHidden/>
          </w:rPr>
          <w:fldChar w:fldCharType="separate"/>
        </w:r>
        <w:r w:rsidR="00500BB3">
          <w:rPr>
            <w:noProof/>
            <w:webHidden/>
          </w:rPr>
          <w:t>117</w:t>
        </w:r>
        <w:r w:rsidR="00500BB3">
          <w:rPr>
            <w:noProof/>
            <w:webHidden/>
          </w:rPr>
          <w:fldChar w:fldCharType="end"/>
        </w:r>
      </w:hyperlink>
    </w:p>
    <w:p w14:paraId="203CA3A9" w14:textId="08C99F98" w:rsidR="00500BB3" w:rsidRDefault="00C974E5">
      <w:pPr>
        <w:pStyle w:val="TableofFigures"/>
        <w:tabs>
          <w:tab w:val="right" w:leader="dot" w:pos="9016"/>
        </w:tabs>
        <w:rPr>
          <w:rFonts w:asciiTheme="minorHAnsi" w:hAnsiTheme="minorHAnsi"/>
          <w:noProof/>
          <w:lang w:eastAsia="en-GB"/>
        </w:rPr>
      </w:pPr>
      <w:hyperlink w:anchor="_Toc34033534" w:history="1">
        <w:r w:rsidR="00500BB3" w:rsidRPr="00204D94">
          <w:rPr>
            <w:rStyle w:val="Hyperlink"/>
            <w:noProof/>
          </w:rPr>
          <w:t>Table 20: Summary of NNS and testing cost under first-line RNA-based NGS approach</w:t>
        </w:r>
        <w:r w:rsidR="00500BB3">
          <w:rPr>
            <w:noProof/>
            <w:webHidden/>
          </w:rPr>
          <w:tab/>
        </w:r>
        <w:r w:rsidR="00500BB3">
          <w:rPr>
            <w:noProof/>
            <w:webHidden/>
          </w:rPr>
          <w:fldChar w:fldCharType="begin"/>
        </w:r>
        <w:r w:rsidR="00500BB3">
          <w:rPr>
            <w:noProof/>
            <w:webHidden/>
          </w:rPr>
          <w:instrText xml:space="preserve"> PAGEREF _Toc34033534 \h </w:instrText>
        </w:r>
        <w:r w:rsidR="00500BB3">
          <w:rPr>
            <w:noProof/>
            <w:webHidden/>
          </w:rPr>
        </w:r>
        <w:r w:rsidR="00500BB3">
          <w:rPr>
            <w:noProof/>
            <w:webHidden/>
          </w:rPr>
          <w:fldChar w:fldCharType="separate"/>
        </w:r>
        <w:r w:rsidR="00500BB3">
          <w:rPr>
            <w:noProof/>
            <w:webHidden/>
          </w:rPr>
          <w:t>118</w:t>
        </w:r>
        <w:r w:rsidR="00500BB3">
          <w:rPr>
            <w:noProof/>
            <w:webHidden/>
          </w:rPr>
          <w:fldChar w:fldCharType="end"/>
        </w:r>
      </w:hyperlink>
    </w:p>
    <w:p w14:paraId="515F48F5" w14:textId="41549B8A" w:rsidR="00500BB3" w:rsidRDefault="00C974E5">
      <w:pPr>
        <w:pStyle w:val="TableofFigures"/>
        <w:tabs>
          <w:tab w:val="right" w:leader="dot" w:pos="9016"/>
        </w:tabs>
        <w:rPr>
          <w:rFonts w:asciiTheme="minorHAnsi" w:hAnsiTheme="minorHAnsi"/>
          <w:noProof/>
          <w:lang w:eastAsia="en-GB"/>
        </w:rPr>
      </w:pPr>
      <w:hyperlink w:anchor="_Toc34033535" w:history="1">
        <w:r w:rsidR="00500BB3" w:rsidRPr="00204D94">
          <w:rPr>
            <w:rStyle w:val="Hyperlink"/>
            <w:noProof/>
          </w:rPr>
          <w:t>Table 21: Summary of NNS and testing cost under exhaustive testing strategy</w:t>
        </w:r>
        <w:r w:rsidR="00500BB3">
          <w:rPr>
            <w:noProof/>
            <w:webHidden/>
          </w:rPr>
          <w:tab/>
        </w:r>
        <w:r w:rsidR="00500BB3">
          <w:rPr>
            <w:noProof/>
            <w:webHidden/>
          </w:rPr>
          <w:fldChar w:fldCharType="begin"/>
        </w:r>
        <w:r w:rsidR="00500BB3">
          <w:rPr>
            <w:noProof/>
            <w:webHidden/>
          </w:rPr>
          <w:instrText xml:space="preserve"> PAGEREF _Toc34033535 \h </w:instrText>
        </w:r>
        <w:r w:rsidR="00500BB3">
          <w:rPr>
            <w:noProof/>
            <w:webHidden/>
          </w:rPr>
        </w:r>
        <w:r w:rsidR="00500BB3">
          <w:rPr>
            <w:noProof/>
            <w:webHidden/>
          </w:rPr>
          <w:fldChar w:fldCharType="separate"/>
        </w:r>
        <w:r w:rsidR="00500BB3">
          <w:rPr>
            <w:noProof/>
            <w:webHidden/>
          </w:rPr>
          <w:t>119</w:t>
        </w:r>
        <w:r w:rsidR="00500BB3">
          <w:rPr>
            <w:noProof/>
            <w:webHidden/>
          </w:rPr>
          <w:fldChar w:fldCharType="end"/>
        </w:r>
      </w:hyperlink>
    </w:p>
    <w:p w14:paraId="4F7ED28B" w14:textId="101295CA" w:rsidR="00500BB3" w:rsidRDefault="00C974E5">
      <w:pPr>
        <w:pStyle w:val="TableofFigures"/>
        <w:tabs>
          <w:tab w:val="right" w:leader="dot" w:pos="9016"/>
        </w:tabs>
        <w:rPr>
          <w:rFonts w:asciiTheme="minorHAnsi" w:hAnsiTheme="minorHAnsi"/>
          <w:noProof/>
          <w:lang w:eastAsia="en-GB"/>
        </w:rPr>
      </w:pPr>
      <w:hyperlink w:anchor="_Toc34033536" w:history="1">
        <w:r w:rsidR="00500BB3" w:rsidRPr="00204D94">
          <w:rPr>
            <w:rStyle w:val="Hyperlink"/>
            <w:noProof/>
          </w:rPr>
          <w:t>Table 22: Summary of NNS and testing cost under exhaustive testing strategy when testing is done at diagnosis and treatment is provided at the appropriate line of therapy</w:t>
        </w:r>
        <w:r w:rsidR="00500BB3">
          <w:rPr>
            <w:noProof/>
            <w:webHidden/>
          </w:rPr>
          <w:tab/>
        </w:r>
        <w:r w:rsidR="00500BB3">
          <w:rPr>
            <w:noProof/>
            <w:webHidden/>
          </w:rPr>
          <w:fldChar w:fldCharType="begin"/>
        </w:r>
        <w:r w:rsidR="00500BB3">
          <w:rPr>
            <w:noProof/>
            <w:webHidden/>
          </w:rPr>
          <w:instrText xml:space="preserve"> PAGEREF _Toc34033536 \h </w:instrText>
        </w:r>
        <w:r w:rsidR="00500BB3">
          <w:rPr>
            <w:noProof/>
            <w:webHidden/>
          </w:rPr>
        </w:r>
        <w:r w:rsidR="00500BB3">
          <w:rPr>
            <w:noProof/>
            <w:webHidden/>
          </w:rPr>
          <w:fldChar w:fldCharType="separate"/>
        </w:r>
        <w:r w:rsidR="00500BB3">
          <w:rPr>
            <w:noProof/>
            <w:webHidden/>
          </w:rPr>
          <w:t>120</w:t>
        </w:r>
        <w:r w:rsidR="00500BB3">
          <w:rPr>
            <w:noProof/>
            <w:webHidden/>
          </w:rPr>
          <w:fldChar w:fldCharType="end"/>
        </w:r>
      </w:hyperlink>
    </w:p>
    <w:p w14:paraId="4F5FFBC8" w14:textId="7C19CB67" w:rsidR="00500BB3" w:rsidRDefault="00C974E5">
      <w:pPr>
        <w:pStyle w:val="TableofFigures"/>
        <w:tabs>
          <w:tab w:val="right" w:leader="dot" w:pos="9016"/>
        </w:tabs>
        <w:rPr>
          <w:rFonts w:asciiTheme="minorHAnsi" w:hAnsiTheme="minorHAnsi"/>
          <w:noProof/>
          <w:lang w:eastAsia="en-GB"/>
        </w:rPr>
      </w:pPr>
      <w:hyperlink w:anchor="_Toc34033537" w:history="1">
        <w:r w:rsidR="00500BB3" w:rsidRPr="00204D94">
          <w:rPr>
            <w:rStyle w:val="Hyperlink"/>
            <w:noProof/>
          </w:rPr>
          <w:t>Table 23: Input parameters included in the economic model</w:t>
        </w:r>
        <w:r w:rsidR="00500BB3">
          <w:rPr>
            <w:noProof/>
            <w:webHidden/>
          </w:rPr>
          <w:tab/>
        </w:r>
        <w:r w:rsidR="00500BB3">
          <w:rPr>
            <w:noProof/>
            <w:webHidden/>
          </w:rPr>
          <w:fldChar w:fldCharType="begin"/>
        </w:r>
        <w:r w:rsidR="00500BB3">
          <w:rPr>
            <w:noProof/>
            <w:webHidden/>
          </w:rPr>
          <w:instrText xml:space="preserve"> PAGEREF _Toc34033537 \h </w:instrText>
        </w:r>
        <w:r w:rsidR="00500BB3">
          <w:rPr>
            <w:noProof/>
            <w:webHidden/>
          </w:rPr>
        </w:r>
        <w:r w:rsidR="00500BB3">
          <w:rPr>
            <w:noProof/>
            <w:webHidden/>
          </w:rPr>
          <w:fldChar w:fldCharType="separate"/>
        </w:r>
        <w:r w:rsidR="00500BB3">
          <w:rPr>
            <w:noProof/>
            <w:webHidden/>
          </w:rPr>
          <w:t>129</w:t>
        </w:r>
        <w:r w:rsidR="00500BB3">
          <w:rPr>
            <w:noProof/>
            <w:webHidden/>
          </w:rPr>
          <w:fldChar w:fldCharType="end"/>
        </w:r>
      </w:hyperlink>
    </w:p>
    <w:p w14:paraId="304B06F7" w14:textId="727C7A98" w:rsidR="00500BB3" w:rsidRDefault="00C974E5">
      <w:pPr>
        <w:pStyle w:val="TableofFigures"/>
        <w:tabs>
          <w:tab w:val="right" w:leader="dot" w:pos="9016"/>
        </w:tabs>
        <w:rPr>
          <w:rFonts w:asciiTheme="minorHAnsi" w:hAnsiTheme="minorHAnsi"/>
          <w:noProof/>
          <w:lang w:eastAsia="en-GB"/>
        </w:rPr>
      </w:pPr>
      <w:hyperlink w:anchor="_Toc34033538" w:history="1">
        <w:r w:rsidR="00500BB3" w:rsidRPr="00204D94">
          <w:rPr>
            <w:rStyle w:val="Hyperlink"/>
            <w:noProof/>
          </w:rPr>
          <w:t>Table 24: Histology specific incremental cost-effectiveness ratios (ICERs)</w:t>
        </w:r>
        <w:r w:rsidR="00500BB3">
          <w:rPr>
            <w:noProof/>
            <w:webHidden/>
          </w:rPr>
          <w:tab/>
        </w:r>
        <w:r w:rsidR="00500BB3">
          <w:rPr>
            <w:noProof/>
            <w:webHidden/>
          </w:rPr>
          <w:fldChar w:fldCharType="begin"/>
        </w:r>
        <w:r w:rsidR="00500BB3">
          <w:rPr>
            <w:noProof/>
            <w:webHidden/>
          </w:rPr>
          <w:instrText xml:space="preserve"> PAGEREF _Toc34033538 \h </w:instrText>
        </w:r>
        <w:r w:rsidR="00500BB3">
          <w:rPr>
            <w:noProof/>
            <w:webHidden/>
          </w:rPr>
        </w:r>
        <w:r w:rsidR="00500BB3">
          <w:rPr>
            <w:noProof/>
            <w:webHidden/>
          </w:rPr>
          <w:fldChar w:fldCharType="separate"/>
        </w:r>
        <w:r w:rsidR="00500BB3">
          <w:rPr>
            <w:noProof/>
            <w:webHidden/>
          </w:rPr>
          <w:t>131</w:t>
        </w:r>
        <w:r w:rsidR="00500BB3">
          <w:rPr>
            <w:noProof/>
            <w:webHidden/>
          </w:rPr>
          <w:fldChar w:fldCharType="end"/>
        </w:r>
      </w:hyperlink>
    </w:p>
    <w:p w14:paraId="49570D5E" w14:textId="64480BEB" w:rsidR="00500BB3" w:rsidRDefault="00C974E5">
      <w:pPr>
        <w:pStyle w:val="TableofFigures"/>
        <w:tabs>
          <w:tab w:val="right" w:leader="dot" w:pos="9016"/>
        </w:tabs>
        <w:rPr>
          <w:rFonts w:asciiTheme="minorHAnsi" w:hAnsiTheme="minorHAnsi"/>
          <w:noProof/>
          <w:lang w:eastAsia="en-GB"/>
        </w:rPr>
      </w:pPr>
      <w:hyperlink w:anchor="_Toc34033539" w:history="1">
        <w:r w:rsidR="00500BB3" w:rsidRPr="00204D94">
          <w:rPr>
            <w:rStyle w:val="Hyperlink"/>
            <w:noProof/>
          </w:rPr>
          <w:t>Table 25: Calculating a pooled ICER based on trial histology frequency</w:t>
        </w:r>
        <w:r w:rsidR="00500BB3">
          <w:rPr>
            <w:noProof/>
            <w:webHidden/>
          </w:rPr>
          <w:tab/>
        </w:r>
        <w:r w:rsidR="00500BB3">
          <w:rPr>
            <w:noProof/>
            <w:webHidden/>
          </w:rPr>
          <w:fldChar w:fldCharType="begin"/>
        </w:r>
        <w:r w:rsidR="00500BB3">
          <w:rPr>
            <w:noProof/>
            <w:webHidden/>
          </w:rPr>
          <w:instrText xml:space="preserve"> PAGEREF _Toc34033539 \h </w:instrText>
        </w:r>
        <w:r w:rsidR="00500BB3">
          <w:rPr>
            <w:noProof/>
            <w:webHidden/>
          </w:rPr>
        </w:r>
        <w:r w:rsidR="00500BB3">
          <w:rPr>
            <w:noProof/>
            <w:webHidden/>
          </w:rPr>
          <w:fldChar w:fldCharType="separate"/>
        </w:r>
        <w:r w:rsidR="00500BB3">
          <w:rPr>
            <w:noProof/>
            <w:webHidden/>
          </w:rPr>
          <w:t>132</w:t>
        </w:r>
        <w:r w:rsidR="00500BB3">
          <w:rPr>
            <w:noProof/>
            <w:webHidden/>
          </w:rPr>
          <w:fldChar w:fldCharType="end"/>
        </w:r>
      </w:hyperlink>
    </w:p>
    <w:p w14:paraId="2BA8AE9C" w14:textId="3E794DC0" w:rsidR="00500BB3" w:rsidRDefault="00C974E5">
      <w:pPr>
        <w:pStyle w:val="TableofFigures"/>
        <w:tabs>
          <w:tab w:val="right" w:leader="dot" w:pos="9016"/>
        </w:tabs>
        <w:rPr>
          <w:rFonts w:asciiTheme="minorHAnsi" w:hAnsiTheme="minorHAnsi"/>
          <w:noProof/>
          <w:lang w:eastAsia="en-GB"/>
        </w:rPr>
      </w:pPr>
      <w:hyperlink w:anchor="_Toc34033540" w:history="1">
        <w:r w:rsidR="00500BB3" w:rsidRPr="00204D94">
          <w:rPr>
            <w:rStyle w:val="Hyperlink"/>
            <w:noProof/>
          </w:rPr>
          <w:t>Table 26: Calculating a pooled ICER based on histology frequency in the target population</w:t>
        </w:r>
        <w:r w:rsidR="00500BB3">
          <w:rPr>
            <w:noProof/>
            <w:webHidden/>
          </w:rPr>
          <w:tab/>
        </w:r>
        <w:r w:rsidR="00500BB3">
          <w:rPr>
            <w:noProof/>
            <w:webHidden/>
          </w:rPr>
          <w:fldChar w:fldCharType="begin"/>
        </w:r>
        <w:r w:rsidR="00500BB3">
          <w:rPr>
            <w:noProof/>
            <w:webHidden/>
          </w:rPr>
          <w:instrText xml:space="preserve"> PAGEREF _Toc34033540 \h </w:instrText>
        </w:r>
        <w:r w:rsidR="00500BB3">
          <w:rPr>
            <w:noProof/>
            <w:webHidden/>
          </w:rPr>
        </w:r>
        <w:r w:rsidR="00500BB3">
          <w:rPr>
            <w:noProof/>
            <w:webHidden/>
          </w:rPr>
          <w:fldChar w:fldCharType="separate"/>
        </w:r>
        <w:r w:rsidR="00500BB3">
          <w:rPr>
            <w:noProof/>
            <w:webHidden/>
          </w:rPr>
          <w:t>133</w:t>
        </w:r>
        <w:r w:rsidR="00500BB3">
          <w:rPr>
            <w:noProof/>
            <w:webHidden/>
          </w:rPr>
          <w:fldChar w:fldCharType="end"/>
        </w:r>
      </w:hyperlink>
    </w:p>
    <w:p w14:paraId="013F59E3" w14:textId="305B3CC8" w:rsidR="00500BB3" w:rsidRDefault="00C974E5">
      <w:pPr>
        <w:pStyle w:val="TableofFigures"/>
        <w:tabs>
          <w:tab w:val="right" w:leader="dot" w:pos="9016"/>
        </w:tabs>
        <w:rPr>
          <w:rFonts w:asciiTheme="minorHAnsi" w:hAnsiTheme="minorHAnsi"/>
          <w:noProof/>
          <w:lang w:eastAsia="en-GB"/>
        </w:rPr>
      </w:pPr>
      <w:hyperlink w:anchor="_Toc34033541" w:history="1">
        <w:r w:rsidR="00500BB3" w:rsidRPr="00204D94">
          <w:rPr>
            <w:rStyle w:val="Hyperlink"/>
            <w:noProof/>
          </w:rPr>
          <w:t>Table 27: Including testing costs into histology specific incremental cost-effectiveness ratios (ICERs)</w:t>
        </w:r>
        <w:r w:rsidR="00500BB3">
          <w:rPr>
            <w:noProof/>
            <w:webHidden/>
          </w:rPr>
          <w:tab/>
        </w:r>
        <w:r w:rsidR="00500BB3">
          <w:rPr>
            <w:noProof/>
            <w:webHidden/>
          </w:rPr>
          <w:fldChar w:fldCharType="begin"/>
        </w:r>
        <w:r w:rsidR="00500BB3">
          <w:rPr>
            <w:noProof/>
            <w:webHidden/>
          </w:rPr>
          <w:instrText xml:space="preserve"> PAGEREF _Toc34033541 \h </w:instrText>
        </w:r>
        <w:r w:rsidR="00500BB3">
          <w:rPr>
            <w:noProof/>
            <w:webHidden/>
          </w:rPr>
        </w:r>
        <w:r w:rsidR="00500BB3">
          <w:rPr>
            <w:noProof/>
            <w:webHidden/>
          </w:rPr>
          <w:fldChar w:fldCharType="separate"/>
        </w:r>
        <w:r w:rsidR="00500BB3">
          <w:rPr>
            <w:noProof/>
            <w:webHidden/>
          </w:rPr>
          <w:t>135</w:t>
        </w:r>
        <w:r w:rsidR="00500BB3">
          <w:rPr>
            <w:noProof/>
            <w:webHidden/>
          </w:rPr>
          <w:fldChar w:fldCharType="end"/>
        </w:r>
      </w:hyperlink>
    </w:p>
    <w:p w14:paraId="76680A51" w14:textId="19B59097" w:rsidR="00500BB3" w:rsidRDefault="00C974E5">
      <w:pPr>
        <w:pStyle w:val="TableofFigures"/>
        <w:tabs>
          <w:tab w:val="right" w:leader="dot" w:pos="9016"/>
        </w:tabs>
        <w:rPr>
          <w:rFonts w:asciiTheme="minorHAnsi" w:hAnsiTheme="minorHAnsi"/>
          <w:noProof/>
          <w:lang w:eastAsia="en-GB"/>
        </w:rPr>
      </w:pPr>
      <w:hyperlink w:anchor="_Toc34033542" w:history="1">
        <w:r w:rsidR="00500BB3" w:rsidRPr="00204D94">
          <w:rPr>
            <w:rStyle w:val="Hyperlink"/>
            <w:noProof/>
          </w:rPr>
          <w:t>Table 28: Calculating per person net health effects for Drug X</w:t>
        </w:r>
        <w:r w:rsidR="00500BB3">
          <w:rPr>
            <w:noProof/>
            <w:webHidden/>
          </w:rPr>
          <w:tab/>
        </w:r>
        <w:r w:rsidR="00500BB3">
          <w:rPr>
            <w:noProof/>
            <w:webHidden/>
          </w:rPr>
          <w:fldChar w:fldCharType="begin"/>
        </w:r>
        <w:r w:rsidR="00500BB3">
          <w:rPr>
            <w:noProof/>
            <w:webHidden/>
          </w:rPr>
          <w:instrText xml:space="preserve"> PAGEREF _Toc34033542 \h </w:instrText>
        </w:r>
        <w:r w:rsidR="00500BB3">
          <w:rPr>
            <w:noProof/>
            <w:webHidden/>
          </w:rPr>
        </w:r>
        <w:r w:rsidR="00500BB3">
          <w:rPr>
            <w:noProof/>
            <w:webHidden/>
          </w:rPr>
          <w:fldChar w:fldCharType="separate"/>
        </w:r>
        <w:r w:rsidR="00500BB3">
          <w:rPr>
            <w:noProof/>
            <w:webHidden/>
          </w:rPr>
          <w:t>137</w:t>
        </w:r>
        <w:r w:rsidR="00500BB3">
          <w:rPr>
            <w:noProof/>
            <w:webHidden/>
          </w:rPr>
          <w:fldChar w:fldCharType="end"/>
        </w:r>
      </w:hyperlink>
    </w:p>
    <w:p w14:paraId="1060AFC1" w14:textId="43172638" w:rsidR="00500BB3" w:rsidRDefault="00C974E5">
      <w:pPr>
        <w:pStyle w:val="TableofFigures"/>
        <w:tabs>
          <w:tab w:val="right" w:leader="dot" w:pos="9016"/>
        </w:tabs>
        <w:rPr>
          <w:rFonts w:asciiTheme="minorHAnsi" w:hAnsiTheme="minorHAnsi"/>
          <w:noProof/>
          <w:lang w:eastAsia="en-GB"/>
        </w:rPr>
      </w:pPr>
      <w:hyperlink w:anchor="_Toc34033543" w:history="1">
        <w:r w:rsidR="00500BB3" w:rsidRPr="00204D94">
          <w:rPr>
            <w:rStyle w:val="Hyperlink"/>
            <w:noProof/>
          </w:rPr>
          <w:t>Table 29: Calculating population net health effects for Drug X</w:t>
        </w:r>
        <w:r w:rsidR="00500BB3">
          <w:rPr>
            <w:noProof/>
            <w:webHidden/>
          </w:rPr>
          <w:tab/>
        </w:r>
        <w:r w:rsidR="00500BB3">
          <w:rPr>
            <w:noProof/>
            <w:webHidden/>
          </w:rPr>
          <w:fldChar w:fldCharType="begin"/>
        </w:r>
        <w:r w:rsidR="00500BB3">
          <w:rPr>
            <w:noProof/>
            <w:webHidden/>
          </w:rPr>
          <w:instrText xml:space="preserve"> PAGEREF _Toc34033543 \h </w:instrText>
        </w:r>
        <w:r w:rsidR="00500BB3">
          <w:rPr>
            <w:noProof/>
            <w:webHidden/>
          </w:rPr>
        </w:r>
        <w:r w:rsidR="00500BB3">
          <w:rPr>
            <w:noProof/>
            <w:webHidden/>
          </w:rPr>
          <w:fldChar w:fldCharType="separate"/>
        </w:r>
        <w:r w:rsidR="00500BB3">
          <w:rPr>
            <w:noProof/>
            <w:webHidden/>
          </w:rPr>
          <w:t>138</w:t>
        </w:r>
        <w:r w:rsidR="00500BB3">
          <w:rPr>
            <w:noProof/>
            <w:webHidden/>
          </w:rPr>
          <w:fldChar w:fldCharType="end"/>
        </w:r>
      </w:hyperlink>
    </w:p>
    <w:p w14:paraId="68433489" w14:textId="4BE13E82" w:rsidR="00500BB3" w:rsidRDefault="00C974E5">
      <w:pPr>
        <w:pStyle w:val="TableofFigures"/>
        <w:tabs>
          <w:tab w:val="right" w:leader="dot" w:pos="9016"/>
        </w:tabs>
        <w:rPr>
          <w:rFonts w:asciiTheme="minorHAnsi" w:hAnsiTheme="minorHAnsi"/>
          <w:noProof/>
          <w:lang w:eastAsia="en-GB"/>
        </w:rPr>
      </w:pPr>
      <w:hyperlink w:anchor="_Toc34033544" w:history="1">
        <w:r w:rsidR="00500BB3" w:rsidRPr="00204D94">
          <w:rPr>
            <w:rStyle w:val="Hyperlink"/>
            <w:noProof/>
          </w:rPr>
          <w:t>Table 30: Incorporating unrepresented histologies into estimate of population net health effects (NHBs)</w:t>
        </w:r>
        <w:r w:rsidR="00500BB3">
          <w:rPr>
            <w:noProof/>
            <w:webHidden/>
          </w:rPr>
          <w:tab/>
        </w:r>
        <w:r w:rsidR="00500BB3">
          <w:rPr>
            <w:noProof/>
            <w:webHidden/>
          </w:rPr>
          <w:fldChar w:fldCharType="begin"/>
        </w:r>
        <w:r w:rsidR="00500BB3">
          <w:rPr>
            <w:noProof/>
            <w:webHidden/>
          </w:rPr>
          <w:instrText xml:space="preserve"> PAGEREF _Toc34033544 \h </w:instrText>
        </w:r>
        <w:r w:rsidR="00500BB3">
          <w:rPr>
            <w:noProof/>
            <w:webHidden/>
          </w:rPr>
        </w:r>
        <w:r w:rsidR="00500BB3">
          <w:rPr>
            <w:noProof/>
            <w:webHidden/>
          </w:rPr>
          <w:fldChar w:fldCharType="separate"/>
        </w:r>
        <w:r w:rsidR="00500BB3">
          <w:rPr>
            <w:noProof/>
            <w:webHidden/>
          </w:rPr>
          <w:t>141</w:t>
        </w:r>
        <w:r w:rsidR="00500BB3">
          <w:rPr>
            <w:noProof/>
            <w:webHidden/>
          </w:rPr>
          <w:fldChar w:fldCharType="end"/>
        </w:r>
      </w:hyperlink>
    </w:p>
    <w:p w14:paraId="75435929" w14:textId="2FDCF25D" w:rsidR="00500BB3" w:rsidRDefault="00C974E5">
      <w:pPr>
        <w:pStyle w:val="TableofFigures"/>
        <w:tabs>
          <w:tab w:val="right" w:leader="dot" w:pos="9016"/>
        </w:tabs>
        <w:rPr>
          <w:rFonts w:asciiTheme="minorHAnsi" w:hAnsiTheme="minorHAnsi"/>
          <w:noProof/>
          <w:lang w:eastAsia="en-GB"/>
        </w:rPr>
      </w:pPr>
      <w:hyperlink w:anchor="_Toc34033545" w:history="1">
        <w:r w:rsidR="00500BB3" w:rsidRPr="00204D94">
          <w:rPr>
            <w:rStyle w:val="Hyperlink"/>
            <w:noProof/>
          </w:rPr>
          <w:t>Table 31: Decision making with partial stratification</w:t>
        </w:r>
        <w:r w:rsidR="00500BB3">
          <w:rPr>
            <w:noProof/>
            <w:webHidden/>
          </w:rPr>
          <w:tab/>
        </w:r>
        <w:r w:rsidR="00500BB3">
          <w:rPr>
            <w:noProof/>
            <w:webHidden/>
          </w:rPr>
          <w:fldChar w:fldCharType="begin"/>
        </w:r>
        <w:r w:rsidR="00500BB3">
          <w:rPr>
            <w:noProof/>
            <w:webHidden/>
          </w:rPr>
          <w:instrText xml:space="preserve"> PAGEREF _Toc34033545 \h </w:instrText>
        </w:r>
        <w:r w:rsidR="00500BB3">
          <w:rPr>
            <w:noProof/>
            <w:webHidden/>
          </w:rPr>
        </w:r>
        <w:r w:rsidR="00500BB3">
          <w:rPr>
            <w:noProof/>
            <w:webHidden/>
          </w:rPr>
          <w:fldChar w:fldCharType="separate"/>
        </w:r>
        <w:r w:rsidR="00500BB3">
          <w:rPr>
            <w:noProof/>
            <w:webHidden/>
          </w:rPr>
          <w:t>142</w:t>
        </w:r>
        <w:r w:rsidR="00500BB3">
          <w:rPr>
            <w:noProof/>
            <w:webHidden/>
          </w:rPr>
          <w:fldChar w:fldCharType="end"/>
        </w:r>
      </w:hyperlink>
    </w:p>
    <w:p w14:paraId="33C08197" w14:textId="42FA9920" w:rsidR="00500BB3" w:rsidRDefault="00C974E5">
      <w:pPr>
        <w:pStyle w:val="TableofFigures"/>
        <w:tabs>
          <w:tab w:val="right" w:leader="dot" w:pos="9016"/>
        </w:tabs>
        <w:rPr>
          <w:rFonts w:asciiTheme="minorHAnsi" w:hAnsiTheme="minorHAnsi"/>
          <w:noProof/>
          <w:lang w:eastAsia="en-GB"/>
        </w:rPr>
      </w:pPr>
      <w:hyperlink w:anchor="_Toc34033546" w:history="1">
        <w:r w:rsidR="00500BB3" w:rsidRPr="00204D94">
          <w:rPr>
            <w:rStyle w:val="Hyperlink"/>
            <w:noProof/>
          </w:rPr>
          <w:t>Table 32: Benefits of approval and further research for fully stratified decision making</w:t>
        </w:r>
        <w:r w:rsidR="00500BB3">
          <w:rPr>
            <w:noProof/>
            <w:webHidden/>
          </w:rPr>
          <w:tab/>
        </w:r>
        <w:r w:rsidR="00500BB3">
          <w:rPr>
            <w:noProof/>
            <w:webHidden/>
          </w:rPr>
          <w:fldChar w:fldCharType="begin"/>
        </w:r>
        <w:r w:rsidR="00500BB3">
          <w:rPr>
            <w:noProof/>
            <w:webHidden/>
          </w:rPr>
          <w:instrText xml:space="preserve"> PAGEREF _Toc34033546 \h </w:instrText>
        </w:r>
        <w:r w:rsidR="00500BB3">
          <w:rPr>
            <w:noProof/>
            <w:webHidden/>
          </w:rPr>
        </w:r>
        <w:r w:rsidR="00500BB3">
          <w:rPr>
            <w:noProof/>
            <w:webHidden/>
          </w:rPr>
          <w:fldChar w:fldCharType="separate"/>
        </w:r>
        <w:r w:rsidR="00500BB3">
          <w:rPr>
            <w:noProof/>
            <w:webHidden/>
          </w:rPr>
          <w:t>153</w:t>
        </w:r>
        <w:r w:rsidR="00500BB3">
          <w:rPr>
            <w:noProof/>
            <w:webHidden/>
          </w:rPr>
          <w:fldChar w:fldCharType="end"/>
        </w:r>
      </w:hyperlink>
    </w:p>
    <w:p w14:paraId="7B3855E5" w14:textId="6D29540B" w:rsidR="00500BB3" w:rsidRDefault="00C974E5">
      <w:pPr>
        <w:pStyle w:val="TableofFigures"/>
        <w:tabs>
          <w:tab w:val="right" w:leader="dot" w:pos="9016"/>
        </w:tabs>
        <w:rPr>
          <w:rFonts w:asciiTheme="minorHAnsi" w:hAnsiTheme="minorHAnsi"/>
          <w:noProof/>
          <w:lang w:eastAsia="en-GB"/>
        </w:rPr>
      </w:pPr>
      <w:hyperlink w:anchor="_Toc34033547" w:history="1">
        <w:r w:rsidR="00500BB3" w:rsidRPr="00204D94">
          <w:rPr>
            <w:rStyle w:val="Hyperlink"/>
            <w:noProof/>
          </w:rPr>
          <w:t xml:space="preserve">Table 33: </w:t>
        </w:r>
        <w:r w:rsidR="00500BB3" w:rsidRPr="00204D94">
          <w:rPr>
            <w:rStyle w:val="Hyperlink"/>
            <w:rFonts w:cs="Times New Roman"/>
            <w:noProof/>
          </w:rPr>
          <w:t>Summary of clinical studies supporting the NICE TAs</w:t>
        </w:r>
        <w:r w:rsidR="00500BB3">
          <w:rPr>
            <w:noProof/>
            <w:webHidden/>
          </w:rPr>
          <w:tab/>
        </w:r>
        <w:r w:rsidR="00500BB3">
          <w:rPr>
            <w:noProof/>
            <w:webHidden/>
          </w:rPr>
          <w:fldChar w:fldCharType="begin"/>
        </w:r>
        <w:r w:rsidR="00500BB3">
          <w:rPr>
            <w:noProof/>
            <w:webHidden/>
          </w:rPr>
          <w:instrText xml:space="preserve"> PAGEREF _Toc34033547 \h </w:instrText>
        </w:r>
        <w:r w:rsidR="00500BB3">
          <w:rPr>
            <w:noProof/>
            <w:webHidden/>
          </w:rPr>
        </w:r>
        <w:r w:rsidR="00500BB3">
          <w:rPr>
            <w:noProof/>
            <w:webHidden/>
          </w:rPr>
          <w:fldChar w:fldCharType="separate"/>
        </w:r>
        <w:r w:rsidR="00500BB3">
          <w:rPr>
            <w:noProof/>
            <w:webHidden/>
          </w:rPr>
          <w:t>230</w:t>
        </w:r>
        <w:r w:rsidR="00500BB3">
          <w:rPr>
            <w:noProof/>
            <w:webHidden/>
          </w:rPr>
          <w:fldChar w:fldCharType="end"/>
        </w:r>
      </w:hyperlink>
    </w:p>
    <w:p w14:paraId="3B441C71" w14:textId="0B5B9069" w:rsidR="00500BB3" w:rsidRDefault="00C974E5">
      <w:pPr>
        <w:pStyle w:val="TableofFigures"/>
        <w:tabs>
          <w:tab w:val="right" w:leader="dot" w:pos="9016"/>
        </w:tabs>
        <w:rPr>
          <w:rFonts w:asciiTheme="minorHAnsi" w:hAnsiTheme="minorHAnsi"/>
          <w:noProof/>
          <w:lang w:eastAsia="en-GB"/>
        </w:rPr>
      </w:pPr>
      <w:hyperlink w:anchor="_Toc34033548" w:history="1">
        <w:r w:rsidR="00500BB3" w:rsidRPr="00204D94">
          <w:rPr>
            <w:rStyle w:val="Hyperlink"/>
            <w:noProof/>
          </w:rPr>
          <w:t>Table 34: Classification of approaches taken to construct a counterfactual</w:t>
        </w:r>
        <w:r w:rsidR="00500BB3">
          <w:rPr>
            <w:noProof/>
            <w:webHidden/>
          </w:rPr>
          <w:tab/>
        </w:r>
        <w:r w:rsidR="00500BB3">
          <w:rPr>
            <w:noProof/>
            <w:webHidden/>
          </w:rPr>
          <w:fldChar w:fldCharType="begin"/>
        </w:r>
        <w:r w:rsidR="00500BB3">
          <w:rPr>
            <w:noProof/>
            <w:webHidden/>
          </w:rPr>
          <w:instrText xml:space="preserve"> PAGEREF _Toc34033548 \h </w:instrText>
        </w:r>
        <w:r w:rsidR="00500BB3">
          <w:rPr>
            <w:noProof/>
            <w:webHidden/>
          </w:rPr>
        </w:r>
        <w:r w:rsidR="00500BB3">
          <w:rPr>
            <w:noProof/>
            <w:webHidden/>
          </w:rPr>
          <w:fldChar w:fldCharType="separate"/>
        </w:r>
        <w:r w:rsidR="00500BB3">
          <w:rPr>
            <w:noProof/>
            <w:webHidden/>
          </w:rPr>
          <w:t>237</w:t>
        </w:r>
        <w:r w:rsidR="00500BB3">
          <w:rPr>
            <w:noProof/>
            <w:webHidden/>
          </w:rPr>
          <w:fldChar w:fldCharType="end"/>
        </w:r>
      </w:hyperlink>
    </w:p>
    <w:p w14:paraId="3F03E468" w14:textId="00C98410" w:rsidR="00500BB3" w:rsidRDefault="00C974E5">
      <w:pPr>
        <w:pStyle w:val="TableofFigures"/>
        <w:tabs>
          <w:tab w:val="right" w:leader="dot" w:pos="9016"/>
        </w:tabs>
        <w:rPr>
          <w:rFonts w:asciiTheme="minorHAnsi" w:hAnsiTheme="minorHAnsi"/>
          <w:noProof/>
          <w:lang w:eastAsia="en-GB"/>
        </w:rPr>
      </w:pPr>
      <w:hyperlink w:anchor="_Toc34033549" w:history="1">
        <w:r w:rsidR="00500BB3" w:rsidRPr="00204D94">
          <w:rPr>
            <w:rStyle w:val="Hyperlink"/>
            <w:noProof/>
          </w:rPr>
          <w:t>Table 35: Model fit statistics for the base-case and sensitivity analyses</w:t>
        </w:r>
        <w:r w:rsidR="00500BB3">
          <w:rPr>
            <w:noProof/>
            <w:webHidden/>
          </w:rPr>
          <w:tab/>
        </w:r>
        <w:r w:rsidR="00500BB3">
          <w:rPr>
            <w:noProof/>
            <w:webHidden/>
          </w:rPr>
          <w:fldChar w:fldCharType="begin"/>
        </w:r>
        <w:r w:rsidR="00500BB3">
          <w:rPr>
            <w:noProof/>
            <w:webHidden/>
          </w:rPr>
          <w:instrText xml:space="preserve"> PAGEREF _Toc34033549 \h </w:instrText>
        </w:r>
        <w:r w:rsidR="00500BB3">
          <w:rPr>
            <w:noProof/>
            <w:webHidden/>
          </w:rPr>
        </w:r>
        <w:r w:rsidR="00500BB3">
          <w:rPr>
            <w:noProof/>
            <w:webHidden/>
          </w:rPr>
          <w:fldChar w:fldCharType="separate"/>
        </w:r>
        <w:r w:rsidR="00500BB3">
          <w:rPr>
            <w:noProof/>
            <w:webHidden/>
          </w:rPr>
          <w:t>253</w:t>
        </w:r>
        <w:r w:rsidR="00500BB3">
          <w:rPr>
            <w:noProof/>
            <w:webHidden/>
          </w:rPr>
          <w:fldChar w:fldCharType="end"/>
        </w:r>
      </w:hyperlink>
    </w:p>
    <w:p w14:paraId="135E3CF4" w14:textId="62486FF8" w:rsidR="00500BB3" w:rsidRDefault="00C974E5">
      <w:pPr>
        <w:pStyle w:val="TableofFigures"/>
        <w:tabs>
          <w:tab w:val="right" w:leader="dot" w:pos="9016"/>
        </w:tabs>
        <w:rPr>
          <w:rFonts w:asciiTheme="minorHAnsi" w:hAnsiTheme="minorHAnsi"/>
          <w:noProof/>
          <w:lang w:eastAsia="en-GB"/>
        </w:rPr>
      </w:pPr>
      <w:hyperlink w:anchor="_Toc34033550" w:history="1">
        <w:r w:rsidR="00500BB3" w:rsidRPr="00204D94">
          <w:rPr>
            <w:rStyle w:val="Hyperlink"/>
            <w:noProof/>
          </w:rPr>
          <w:t>Table 36: Sensitivity analyses of the Bayesian hierarchical model to alternative prior distributions</w:t>
        </w:r>
        <w:r w:rsidR="00500BB3">
          <w:rPr>
            <w:noProof/>
            <w:webHidden/>
          </w:rPr>
          <w:tab/>
        </w:r>
        <w:r w:rsidR="00500BB3">
          <w:rPr>
            <w:noProof/>
            <w:webHidden/>
          </w:rPr>
          <w:fldChar w:fldCharType="begin"/>
        </w:r>
        <w:r w:rsidR="00500BB3">
          <w:rPr>
            <w:noProof/>
            <w:webHidden/>
          </w:rPr>
          <w:instrText xml:space="preserve"> PAGEREF _Toc34033550 \h </w:instrText>
        </w:r>
        <w:r w:rsidR="00500BB3">
          <w:rPr>
            <w:noProof/>
            <w:webHidden/>
          </w:rPr>
        </w:r>
        <w:r w:rsidR="00500BB3">
          <w:rPr>
            <w:noProof/>
            <w:webHidden/>
          </w:rPr>
          <w:fldChar w:fldCharType="separate"/>
        </w:r>
        <w:r w:rsidR="00500BB3">
          <w:rPr>
            <w:noProof/>
            <w:webHidden/>
          </w:rPr>
          <w:t>254</w:t>
        </w:r>
        <w:r w:rsidR="00500BB3">
          <w:rPr>
            <w:noProof/>
            <w:webHidden/>
          </w:rPr>
          <w:fldChar w:fldCharType="end"/>
        </w:r>
      </w:hyperlink>
    </w:p>
    <w:p w14:paraId="215527F2" w14:textId="71649A6F" w:rsidR="00500BB3" w:rsidRDefault="00C974E5">
      <w:pPr>
        <w:pStyle w:val="TableofFigures"/>
        <w:tabs>
          <w:tab w:val="right" w:leader="dot" w:pos="9016"/>
        </w:tabs>
        <w:rPr>
          <w:rFonts w:asciiTheme="minorHAnsi" w:hAnsiTheme="minorHAnsi"/>
          <w:noProof/>
          <w:lang w:eastAsia="en-GB"/>
        </w:rPr>
      </w:pPr>
      <w:hyperlink w:anchor="_Toc34033551" w:history="1">
        <w:r w:rsidR="00500BB3" w:rsidRPr="00204D94">
          <w:rPr>
            <w:rStyle w:val="Hyperlink"/>
            <w:noProof/>
          </w:rPr>
          <w:t>Table 37: Illustrative example of how the diagnostic accuracy of IHC (sensitivity = 88%, specificity = 81%) is different for two tumour types with differing NTRK fusion prevalence.</w:t>
        </w:r>
        <w:r w:rsidR="00500BB3">
          <w:rPr>
            <w:noProof/>
            <w:webHidden/>
          </w:rPr>
          <w:tab/>
        </w:r>
        <w:r w:rsidR="00500BB3">
          <w:rPr>
            <w:noProof/>
            <w:webHidden/>
          </w:rPr>
          <w:fldChar w:fldCharType="begin"/>
        </w:r>
        <w:r w:rsidR="00500BB3">
          <w:rPr>
            <w:noProof/>
            <w:webHidden/>
          </w:rPr>
          <w:instrText xml:space="preserve"> PAGEREF _Toc34033551 \h </w:instrText>
        </w:r>
        <w:r w:rsidR="00500BB3">
          <w:rPr>
            <w:noProof/>
            <w:webHidden/>
          </w:rPr>
        </w:r>
        <w:r w:rsidR="00500BB3">
          <w:rPr>
            <w:noProof/>
            <w:webHidden/>
          </w:rPr>
          <w:fldChar w:fldCharType="separate"/>
        </w:r>
        <w:r w:rsidR="00500BB3">
          <w:rPr>
            <w:noProof/>
            <w:webHidden/>
          </w:rPr>
          <w:t>255</w:t>
        </w:r>
        <w:r w:rsidR="00500BB3">
          <w:rPr>
            <w:noProof/>
            <w:webHidden/>
          </w:rPr>
          <w:fldChar w:fldCharType="end"/>
        </w:r>
      </w:hyperlink>
    </w:p>
    <w:p w14:paraId="5AEA3771" w14:textId="22457AE8" w:rsidR="00500BB3" w:rsidRDefault="00C974E5">
      <w:pPr>
        <w:pStyle w:val="TableofFigures"/>
        <w:tabs>
          <w:tab w:val="right" w:leader="dot" w:pos="9016"/>
        </w:tabs>
        <w:rPr>
          <w:rFonts w:asciiTheme="minorHAnsi" w:hAnsiTheme="minorHAnsi"/>
          <w:noProof/>
          <w:lang w:eastAsia="en-GB"/>
        </w:rPr>
      </w:pPr>
      <w:hyperlink w:anchor="_Toc34033552" w:history="1">
        <w:r w:rsidR="00500BB3" w:rsidRPr="00204D94">
          <w:rPr>
            <w:rStyle w:val="Hyperlink"/>
            <w:noProof/>
          </w:rPr>
          <w:t>Table 38: Literature Sources of NTRK fusion prevalence, annual cancer incidence and proportion of patients diagnosed with stage 3/4 cancer in the tumour known to harbour an NTRK fusion</w:t>
        </w:r>
        <w:r w:rsidR="00500BB3">
          <w:rPr>
            <w:noProof/>
            <w:webHidden/>
          </w:rPr>
          <w:tab/>
        </w:r>
        <w:r w:rsidR="00500BB3">
          <w:rPr>
            <w:noProof/>
            <w:webHidden/>
          </w:rPr>
          <w:fldChar w:fldCharType="begin"/>
        </w:r>
        <w:r w:rsidR="00500BB3">
          <w:rPr>
            <w:noProof/>
            <w:webHidden/>
          </w:rPr>
          <w:instrText xml:space="preserve"> PAGEREF _Toc34033552 \h </w:instrText>
        </w:r>
        <w:r w:rsidR="00500BB3">
          <w:rPr>
            <w:noProof/>
            <w:webHidden/>
          </w:rPr>
        </w:r>
        <w:r w:rsidR="00500BB3">
          <w:rPr>
            <w:noProof/>
            <w:webHidden/>
          </w:rPr>
          <w:fldChar w:fldCharType="separate"/>
        </w:r>
        <w:r w:rsidR="00500BB3">
          <w:rPr>
            <w:noProof/>
            <w:webHidden/>
          </w:rPr>
          <w:t>257</w:t>
        </w:r>
        <w:r w:rsidR="00500BB3">
          <w:rPr>
            <w:noProof/>
            <w:webHidden/>
          </w:rPr>
          <w:fldChar w:fldCharType="end"/>
        </w:r>
      </w:hyperlink>
    </w:p>
    <w:p w14:paraId="665DE3A8" w14:textId="61AC05C1" w:rsidR="00500BB3" w:rsidRDefault="00C974E5">
      <w:pPr>
        <w:pStyle w:val="TableofFigures"/>
        <w:tabs>
          <w:tab w:val="right" w:leader="dot" w:pos="9016"/>
        </w:tabs>
        <w:rPr>
          <w:rFonts w:asciiTheme="minorHAnsi" w:hAnsiTheme="minorHAnsi"/>
          <w:noProof/>
          <w:lang w:eastAsia="en-GB"/>
        </w:rPr>
      </w:pPr>
      <w:hyperlink w:anchor="_Toc34033553" w:history="1">
        <w:r w:rsidR="00500BB3" w:rsidRPr="00204D94">
          <w:rPr>
            <w:rStyle w:val="Hyperlink"/>
            <w:noProof/>
          </w:rPr>
          <w:t>Table 39: calculations of the annual eligible population for three testing strategies based on the prealence of NTRK fusion, the annual incidence of cancer in England and the proportion of patients with advanced or metastatic cancer at diagnosis</w:t>
        </w:r>
        <w:r w:rsidR="00500BB3">
          <w:rPr>
            <w:noProof/>
            <w:webHidden/>
          </w:rPr>
          <w:tab/>
        </w:r>
        <w:r w:rsidR="00500BB3">
          <w:rPr>
            <w:noProof/>
            <w:webHidden/>
          </w:rPr>
          <w:fldChar w:fldCharType="begin"/>
        </w:r>
        <w:r w:rsidR="00500BB3">
          <w:rPr>
            <w:noProof/>
            <w:webHidden/>
          </w:rPr>
          <w:instrText xml:space="preserve"> PAGEREF _Toc34033553 \h </w:instrText>
        </w:r>
        <w:r w:rsidR="00500BB3">
          <w:rPr>
            <w:noProof/>
            <w:webHidden/>
          </w:rPr>
        </w:r>
        <w:r w:rsidR="00500BB3">
          <w:rPr>
            <w:noProof/>
            <w:webHidden/>
          </w:rPr>
          <w:fldChar w:fldCharType="separate"/>
        </w:r>
        <w:r w:rsidR="00500BB3">
          <w:rPr>
            <w:noProof/>
            <w:webHidden/>
          </w:rPr>
          <w:t>260</w:t>
        </w:r>
        <w:r w:rsidR="00500BB3">
          <w:rPr>
            <w:noProof/>
            <w:webHidden/>
          </w:rPr>
          <w:fldChar w:fldCharType="end"/>
        </w:r>
      </w:hyperlink>
    </w:p>
    <w:p w14:paraId="3AF39CAB" w14:textId="66232E0D" w:rsidR="00500BB3" w:rsidRDefault="00C974E5">
      <w:pPr>
        <w:pStyle w:val="TableofFigures"/>
        <w:tabs>
          <w:tab w:val="right" w:leader="dot" w:pos="9016"/>
        </w:tabs>
        <w:rPr>
          <w:rFonts w:asciiTheme="minorHAnsi" w:hAnsiTheme="minorHAnsi"/>
          <w:noProof/>
          <w:lang w:eastAsia="en-GB"/>
        </w:rPr>
      </w:pPr>
      <w:hyperlink w:anchor="_Toc34033554" w:history="1">
        <w:r w:rsidR="00500BB3" w:rsidRPr="00204D94">
          <w:rPr>
            <w:rStyle w:val="Hyperlink"/>
            <w:noProof/>
          </w:rPr>
          <w:t>Table 40: Testing strategy for each tumour type under the hierarchical approach</w:t>
        </w:r>
        <w:r w:rsidR="00500BB3">
          <w:rPr>
            <w:noProof/>
            <w:webHidden/>
          </w:rPr>
          <w:tab/>
        </w:r>
        <w:r w:rsidR="00500BB3">
          <w:rPr>
            <w:noProof/>
            <w:webHidden/>
          </w:rPr>
          <w:fldChar w:fldCharType="begin"/>
        </w:r>
        <w:r w:rsidR="00500BB3">
          <w:rPr>
            <w:noProof/>
            <w:webHidden/>
          </w:rPr>
          <w:instrText xml:space="preserve"> PAGEREF _Toc34033554 \h </w:instrText>
        </w:r>
        <w:r w:rsidR="00500BB3">
          <w:rPr>
            <w:noProof/>
            <w:webHidden/>
          </w:rPr>
        </w:r>
        <w:r w:rsidR="00500BB3">
          <w:rPr>
            <w:noProof/>
            <w:webHidden/>
          </w:rPr>
          <w:fldChar w:fldCharType="separate"/>
        </w:r>
        <w:r w:rsidR="00500BB3">
          <w:rPr>
            <w:noProof/>
            <w:webHidden/>
          </w:rPr>
          <w:t>262</w:t>
        </w:r>
        <w:r w:rsidR="00500BB3">
          <w:rPr>
            <w:noProof/>
            <w:webHidden/>
          </w:rPr>
          <w:fldChar w:fldCharType="end"/>
        </w:r>
      </w:hyperlink>
    </w:p>
    <w:p w14:paraId="2ECE1088" w14:textId="6CAA0385" w:rsidR="00500BB3" w:rsidRDefault="00C974E5">
      <w:pPr>
        <w:pStyle w:val="TableofFigures"/>
        <w:tabs>
          <w:tab w:val="right" w:leader="dot" w:pos="9016"/>
        </w:tabs>
        <w:rPr>
          <w:rFonts w:asciiTheme="minorHAnsi" w:hAnsiTheme="minorHAnsi"/>
          <w:noProof/>
          <w:lang w:eastAsia="en-GB"/>
        </w:rPr>
      </w:pPr>
      <w:hyperlink w:anchor="_Toc34033555" w:history="1">
        <w:r w:rsidR="00500BB3" w:rsidRPr="00204D94">
          <w:rPr>
            <w:rStyle w:val="Hyperlink"/>
            <w:rFonts w:cs="Times New Roman"/>
            <w:noProof/>
          </w:rPr>
          <w:t>Table 41: Testing strategy for each tumour type under the first-line RNA based NGS approach</w:t>
        </w:r>
        <w:r w:rsidR="00500BB3">
          <w:rPr>
            <w:noProof/>
            <w:webHidden/>
          </w:rPr>
          <w:tab/>
        </w:r>
        <w:r w:rsidR="00500BB3">
          <w:rPr>
            <w:noProof/>
            <w:webHidden/>
          </w:rPr>
          <w:fldChar w:fldCharType="begin"/>
        </w:r>
        <w:r w:rsidR="00500BB3">
          <w:rPr>
            <w:noProof/>
            <w:webHidden/>
          </w:rPr>
          <w:instrText xml:space="preserve"> PAGEREF _Toc34033555 \h </w:instrText>
        </w:r>
        <w:r w:rsidR="00500BB3">
          <w:rPr>
            <w:noProof/>
            <w:webHidden/>
          </w:rPr>
        </w:r>
        <w:r w:rsidR="00500BB3">
          <w:rPr>
            <w:noProof/>
            <w:webHidden/>
          </w:rPr>
          <w:fldChar w:fldCharType="separate"/>
        </w:r>
        <w:r w:rsidR="00500BB3">
          <w:rPr>
            <w:noProof/>
            <w:webHidden/>
          </w:rPr>
          <w:t>263</w:t>
        </w:r>
        <w:r w:rsidR="00500BB3">
          <w:rPr>
            <w:noProof/>
            <w:webHidden/>
          </w:rPr>
          <w:fldChar w:fldCharType="end"/>
        </w:r>
      </w:hyperlink>
    </w:p>
    <w:p w14:paraId="325D0507" w14:textId="00D7AC96" w:rsidR="00500BB3" w:rsidRDefault="00C974E5">
      <w:pPr>
        <w:pStyle w:val="TableofFigures"/>
        <w:tabs>
          <w:tab w:val="right" w:leader="dot" w:pos="9016"/>
        </w:tabs>
        <w:rPr>
          <w:rFonts w:asciiTheme="minorHAnsi" w:hAnsiTheme="minorHAnsi"/>
          <w:noProof/>
          <w:lang w:eastAsia="en-GB"/>
        </w:rPr>
      </w:pPr>
      <w:hyperlink w:anchor="_Toc34033556" w:history="1">
        <w:r w:rsidR="00500BB3" w:rsidRPr="00204D94">
          <w:rPr>
            <w:rStyle w:val="Hyperlink"/>
            <w:rFonts w:cs="Times New Roman"/>
            <w:noProof/>
          </w:rPr>
          <w:t>Table 42: Testing strategy for each tumour type under the exhaustive approach</w:t>
        </w:r>
        <w:r w:rsidR="00500BB3">
          <w:rPr>
            <w:noProof/>
            <w:webHidden/>
          </w:rPr>
          <w:tab/>
        </w:r>
        <w:r w:rsidR="00500BB3">
          <w:rPr>
            <w:noProof/>
            <w:webHidden/>
          </w:rPr>
          <w:fldChar w:fldCharType="begin"/>
        </w:r>
        <w:r w:rsidR="00500BB3">
          <w:rPr>
            <w:noProof/>
            <w:webHidden/>
          </w:rPr>
          <w:instrText xml:space="preserve"> PAGEREF _Toc34033556 \h </w:instrText>
        </w:r>
        <w:r w:rsidR="00500BB3">
          <w:rPr>
            <w:noProof/>
            <w:webHidden/>
          </w:rPr>
        </w:r>
        <w:r w:rsidR="00500BB3">
          <w:rPr>
            <w:noProof/>
            <w:webHidden/>
          </w:rPr>
          <w:fldChar w:fldCharType="separate"/>
        </w:r>
        <w:r w:rsidR="00500BB3">
          <w:rPr>
            <w:noProof/>
            <w:webHidden/>
          </w:rPr>
          <w:t>264</w:t>
        </w:r>
        <w:r w:rsidR="00500BB3">
          <w:rPr>
            <w:noProof/>
            <w:webHidden/>
          </w:rPr>
          <w:fldChar w:fldCharType="end"/>
        </w:r>
      </w:hyperlink>
    </w:p>
    <w:p w14:paraId="3596AC4B" w14:textId="1C5485CD" w:rsidR="00500BB3" w:rsidRDefault="00C974E5">
      <w:pPr>
        <w:pStyle w:val="TableofFigures"/>
        <w:tabs>
          <w:tab w:val="right" w:leader="dot" w:pos="9016"/>
        </w:tabs>
        <w:rPr>
          <w:rFonts w:asciiTheme="minorHAnsi" w:hAnsiTheme="minorHAnsi"/>
          <w:noProof/>
          <w:lang w:eastAsia="en-GB"/>
        </w:rPr>
      </w:pPr>
      <w:hyperlink w:anchor="_Toc34033557" w:history="1">
        <w:r w:rsidR="00500BB3" w:rsidRPr="00204D94">
          <w:rPr>
            <w:rStyle w:val="Hyperlink"/>
            <w:noProof/>
          </w:rPr>
          <w:t>Table 43: Survival Estimates</w:t>
        </w:r>
        <w:r w:rsidR="00500BB3">
          <w:rPr>
            <w:noProof/>
            <w:webHidden/>
          </w:rPr>
          <w:tab/>
        </w:r>
        <w:r w:rsidR="00500BB3">
          <w:rPr>
            <w:noProof/>
            <w:webHidden/>
          </w:rPr>
          <w:fldChar w:fldCharType="begin"/>
        </w:r>
        <w:r w:rsidR="00500BB3">
          <w:rPr>
            <w:noProof/>
            <w:webHidden/>
          </w:rPr>
          <w:instrText xml:space="preserve"> PAGEREF _Toc34033557 \h </w:instrText>
        </w:r>
        <w:r w:rsidR="00500BB3">
          <w:rPr>
            <w:noProof/>
            <w:webHidden/>
          </w:rPr>
        </w:r>
        <w:r w:rsidR="00500BB3">
          <w:rPr>
            <w:noProof/>
            <w:webHidden/>
          </w:rPr>
          <w:fldChar w:fldCharType="separate"/>
        </w:r>
        <w:r w:rsidR="00500BB3">
          <w:rPr>
            <w:noProof/>
            <w:webHidden/>
          </w:rPr>
          <w:t>265</w:t>
        </w:r>
        <w:r w:rsidR="00500BB3">
          <w:rPr>
            <w:noProof/>
            <w:webHidden/>
          </w:rPr>
          <w:fldChar w:fldCharType="end"/>
        </w:r>
      </w:hyperlink>
    </w:p>
    <w:p w14:paraId="705C8F69" w14:textId="3F43AB39" w:rsidR="00500BB3" w:rsidRDefault="00C974E5">
      <w:pPr>
        <w:pStyle w:val="TableofFigures"/>
        <w:tabs>
          <w:tab w:val="right" w:leader="dot" w:pos="9016"/>
        </w:tabs>
        <w:rPr>
          <w:rFonts w:asciiTheme="minorHAnsi" w:hAnsiTheme="minorHAnsi"/>
          <w:noProof/>
          <w:lang w:eastAsia="en-GB"/>
        </w:rPr>
      </w:pPr>
      <w:hyperlink w:anchor="_Toc34033558" w:history="1">
        <w:r w:rsidR="00500BB3" w:rsidRPr="00204D94">
          <w:rPr>
            <w:rStyle w:val="Hyperlink"/>
            <w:noProof/>
          </w:rPr>
          <w:t>Table 44: Health state utilities</w:t>
        </w:r>
        <w:r w:rsidR="00500BB3">
          <w:rPr>
            <w:noProof/>
            <w:webHidden/>
          </w:rPr>
          <w:tab/>
        </w:r>
        <w:r w:rsidR="00500BB3">
          <w:rPr>
            <w:noProof/>
            <w:webHidden/>
          </w:rPr>
          <w:fldChar w:fldCharType="begin"/>
        </w:r>
        <w:r w:rsidR="00500BB3">
          <w:rPr>
            <w:noProof/>
            <w:webHidden/>
          </w:rPr>
          <w:instrText xml:space="preserve"> PAGEREF _Toc34033558 \h </w:instrText>
        </w:r>
        <w:r w:rsidR="00500BB3">
          <w:rPr>
            <w:noProof/>
            <w:webHidden/>
          </w:rPr>
        </w:r>
        <w:r w:rsidR="00500BB3">
          <w:rPr>
            <w:noProof/>
            <w:webHidden/>
          </w:rPr>
          <w:fldChar w:fldCharType="separate"/>
        </w:r>
        <w:r w:rsidR="00500BB3">
          <w:rPr>
            <w:noProof/>
            <w:webHidden/>
          </w:rPr>
          <w:t>267</w:t>
        </w:r>
        <w:r w:rsidR="00500BB3">
          <w:rPr>
            <w:noProof/>
            <w:webHidden/>
          </w:rPr>
          <w:fldChar w:fldCharType="end"/>
        </w:r>
      </w:hyperlink>
    </w:p>
    <w:p w14:paraId="29F6AB01" w14:textId="5D2C5186" w:rsidR="00500BB3" w:rsidRDefault="00C974E5">
      <w:pPr>
        <w:pStyle w:val="TableofFigures"/>
        <w:tabs>
          <w:tab w:val="right" w:leader="dot" w:pos="9016"/>
        </w:tabs>
        <w:rPr>
          <w:rFonts w:asciiTheme="minorHAnsi" w:hAnsiTheme="minorHAnsi"/>
          <w:noProof/>
          <w:lang w:eastAsia="en-GB"/>
        </w:rPr>
      </w:pPr>
      <w:hyperlink w:anchor="_Toc34033559" w:history="1">
        <w:r w:rsidR="00500BB3" w:rsidRPr="00204D94">
          <w:rPr>
            <w:rStyle w:val="Hyperlink"/>
            <w:noProof/>
          </w:rPr>
          <w:t>Table 45: Drug acquisition costs and health state costs</w:t>
        </w:r>
        <w:r w:rsidR="00500BB3">
          <w:rPr>
            <w:noProof/>
            <w:webHidden/>
          </w:rPr>
          <w:tab/>
        </w:r>
        <w:r w:rsidR="00500BB3">
          <w:rPr>
            <w:noProof/>
            <w:webHidden/>
          </w:rPr>
          <w:fldChar w:fldCharType="begin"/>
        </w:r>
        <w:r w:rsidR="00500BB3">
          <w:rPr>
            <w:noProof/>
            <w:webHidden/>
          </w:rPr>
          <w:instrText xml:space="preserve"> PAGEREF _Toc34033559 \h </w:instrText>
        </w:r>
        <w:r w:rsidR="00500BB3">
          <w:rPr>
            <w:noProof/>
            <w:webHidden/>
          </w:rPr>
        </w:r>
        <w:r w:rsidR="00500BB3">
          <w:rPr>
            <w:noProof/>
            <w:webHidden/>
          </w:rPr>
          <w:fldChar w:fldCharType="separate"/>
        </w:r>
        <w:r w:rsidR="00500BB3">
          <w:rPr>
            <w:noProof/>
            <w:webHidden/>
          </w:rPr>
          <w:t>268</w:t>
        </w:r>
        <w:r w:rsidR="00500BB3">
          <w:rPr>
            <w:noProof/>
            <w:webHidden/>
          </w:rPr>
          <w:fldChar w:fldCharType="end"/>
        </w:r>
      </w:hyperlink>
    </w:p>
    <w:p w14:paraId="770B0294" w14:textId="1659C31B" w:rsidR="00500BB3" w:rsidRDefault="00C974E5">
      <w:pPr>
        <w:pStyle w:val="TableofFigures"/>
        <w:tabs>
          <w:tab w:val="right" w:leader="dot" w:pos="9016"/>
        </w:tabs>
        <w:rPr>
          <w:rFonts w:asciiTheme="minorHAnsi" w:hAnsiTheme="minorHAnsi"/>
          <w:noProof/>
          <w:lang w:eastAsia="en-GB"/>
        </w:rPr>
      </w:pPr>
      <w:hyperlink w:anchor="_Toc34033560" w:history="1">
        <w:r w:rsidR="00500BB3" w:rsidRPr="00204D94">
          <w:rPr>
            <w:rStyle w:val="Hyperlink"/>
            <w:noProof/>
          </w:rPr>
          <w:t>Table 46:  Summary of NNS, Annual Eligible Population and testing costs for the tumours unrepresented in the trial</w:t>
        </w:r>
        <w:r w:rsidR="00500BB3">
          <w:rPr>
            <w:noProof/>
            <w:webHidden/>
          </w:rPr>
          <w:tab/>
        </w:r>
        <w:r w:rsidR="00500BB3">
          <w:rPr>
            <w:noProof/>
            <w:webHidden/>
          </w:rPr>
          <w:fldChar w:fldCharType="begin"/>
        </w:r>
        <w:r w:rsidR="00500BB3">
          <w:rPr>
            <w:noProof/>
            <w:webHidden/>
          </w:rPr>
          <w:instrText xml:space="preserve"> PAGEREF _Toc34033560 \h </w:instrText>
        </w:r>
        <w:r w:rsidR="00500BB3">
          <w:rPr>
            <w:noProof/>
            <w:webHidden/>
          </w:rPr>
        </w:r>
        <w:r w:rsidR="00500BB3">
          <w:rPr>
            <w:noProof/>
            <w:webHidden/>
          </w:rPr>
          <w:fldChar w:fldCharType="separate"/>
        </w:r>
        <w:r w:rsidR="00500BB3">
          <w:rPr>
            <w:noProof/>
            <w:webHidden/>
          </w:rPr>
          <w:t>269</w:t>
        </w:r>
        <w:r w:rsidR="00500BB3">
          <w:rPr>
            <w:noProof/>
            <w:webHidden/>
          </w:rPr>
          <w:fldChar w:fldCharType="end"/>
        </w:r>
      </w:hyperlink>
    </w:p>
    <w:p w14:paraId="04FE6DE3" w14:textId="774EEDF5" w:rsidR="000B2A8F" w:rsidRDefault="000B2A8F" w:rsidP="000B2A8F">
      <w:r>
        <w:rPr>
          <w:b/>
          <w:bCs/>
          <w:noProof/>
          <w:lang w:val="en-US"/>
        </w:rPr>
        <w:fldChar w:fldCharType="end"/>
      </w:r>
    </w:p>
    <w:p w14:paraId="2FCA494D" w14:textId="77777777" w:rsidR="000B2A8F" w:rsidRDefault="000B2A8F" w:rsidP="000B2A8F">
      <w:r>
        <w:br w:type="page"/>
      </w:r>
    </w:p>
    <w:p w14:paraId="7E6ACC69" w14:textId="77777777" w:rsidR="000B2A8F" w:rsidRDefault="000B2A8F" w:rsidP="000B2A8F">
      <w:pPr>
        <w:pStyle w:val="TOCHeading"/>
      </w:pPr>
      <w:bookmarkStart w:id="9" w:name="_Toc33776144"/>
      <w:r>
        <w:lastRenderedPageBreak/>
        <w:t>Table of Figures</w:t>
      </w:r>
      <w:bookmarkEnd w:id="9"/>
    </w:p>
    <w:p w14:paraId="3B0DD48B" w14:textId="554F8327" w:rsidR="00500BB3" w:rsidRDefault="000B2A8F">
      <w:pPr>
        <w:pStyle w:val="TableofFigures"/>
        <w:tabs>
          <w:tab w:val="right" w:leader="dot" w:pos="9016"/>
        </w:tabs>
        <w:rPr>
          <w:rFonts w:asciiTheme="minorHAnsi" w:hAnsiTheme="minorHAnsi"/>
          <w:noProof/>
          <w:lang w:eastAsia="en-GB"/>
        </w:rPr>
      </w:pPr>
      <w:r>
        <w:fldChar w:fldCharType="begin"/>
      </w:r>
      <w:r>
        <w:instrText xml:space="preserve"> TOC \h \z \c "Figure" </w:instrText>
      </w:r>
      <w:r>
        <w:fldChar w:fldCharType="separate"/>
      </w:r>
      <w:hyperlink w:anchor="_Toc34033561" w:history="1">
        <w:r w:rsidR="00500BB3" w:rsidRPr="004C7855">
          <w:rPr>
            <w:rStyle w:val="Hyperlink"/>
            <w:noProof/>
          </w:rPr>
          <w:t>Figure 1: PRISMA flow diagram for study inclusion</w:t>
        </w:r>
        <w:r w:rsidR="00500BB3">
          <w:rPr>
            <w:noProof/>
            <w:webHidden/>
          </w:rPr>
          <w:tab/>
        </w:r>
        <w:r w:rsidR="00500BB3">
          <w:rPr>
            <w:noProof/>
            <w:webHidden/>
          </w:rPr>
          <w:fldChar w:fldCharType="begin"/>
        </w:r>
        <w:r w:rsidR="00500BB3">
          <w:rPr>
            <w:noProof/>
            <w:webHidden/>
          </w:rPr>
          <w:instrText xml:space="preserve"> PAGEREF _Toc34033561 \h </w:instrText>
        </w:r>
        <w:r w:rsidR="00500BB3">
          <w:rPr>
            <w:noProof/>
            <w:webHidden/>
          </w:rPr>
        </w:r>
        <w:r w:rsidR="00500BB3">
          <w:rPr>
            <w:noProof/>
            <w:webHidden/>
          </w:rPr>
          <w:fldChar w:fldCharType="separate"/>
        </w:r>
        <w:r w:rsidR="00500BB3">
          <w:rPr>
            <w:noProof/>
            <w:webHidden/>
          </w:rPr>
          <w:t>60</w:t>
        </w:r>
        <w:r w:rsidR="00500BB3">
          <w:rPr>
            <w:noProof/>
            <w:webHidden/>
          </w:rPr>
          <w:fldChar w:fldCharType="end"/>
        </w:r>
      </w:hyperlink>
    </w:p>
    <w:p w14:paraId="1C9FA573" w14:textId="69132DF9" w:rsidR="00500BB3" w:rsidRDefault="00C974E5">
      <w:pPr>
        <w:pStyle w:val="TableofFigures"/>
        <w:tabs>
          <w:tab w:val="right" w:leader="dot" w:pos="9016"/>
        </w:tabs>
        <w:rPr>
          <w:rFonts w:asciiTheme="minorHAnsi" w:hAnsiTheme="minorHAnsi"/>
          <w:noProof/>
          <w:lang w:eastAsia="en-GB"/>
        </w:rPr>
      </w:pPr>
      <w:hyperlink w:anchor="_Toc34033562" w:history="1">
        <w:r w:rsidR="00500BB3" w:rsidRPr="004C7855">
          <w:rPr>
            <w:rStyle w:val="Hyperlink"/>
            <w:noProof/>
          </w:rPr>
          <w:t>Figure 2</w:t>
        </w:r>
        <w:r w:rsidR="00500BB3" w:rsidRPr="004C7855">
          <w:rPr>
            <w:rStyle w:val="Hyperlink"/>
            <w:noProof/>
            <w:lang w:eastAsia="en-GB"/>
          </w:rPr>
          <w:t>: Correlation (r or r</w:t>
        </w:r>
        <w:r w:rsidR="00500BB3" w:rsidRPr="004C7855">
          <w:rPr>
            <w:rStyle w:val="Hyperlink"/>
            <w:noProof/>
            <w:vertAlign w:val="subscript"/>
            <w:lang w:eastAsia="en-GB"/>
          </w:rPr>
          <w:t>s</w:t>
        </w:r>
        <w:r w:rsidR="00500BB3" w:rsidRPr="004C7855">
          <w:rPr>
            <w:rStyle w:val="Hyperlink"/>
            <w:noProof/>
            <w:lang w:eastAsia="en-GB"/>
          </w:rPr>
          <w:t xml:space="preserve">) between absolute </w:t>
        </w:r>
        <w:r w:rsidR="00500BB3" w:rsidRPr="004C7855">
          <w:rPr>
            <w:rStyle w:val="Hyperlink"/>
            <w:noProof/>
          </w:rPr>
          <w:t xml:space="preserve">(individual-level) </w:t>
        </w:r>
        <w:r w:rsidR="00500BB3" w:rsidRPr="004C7855">
          <w:rPr>
            <w:rStyle w:val="Hyperlink"/>
            <w:noProof/>
            <w:lang w:eastAsia="en-GB"/>
          </w:rPr>
          <w:t>values of ORR and PFS*</w:t>
        </w:r>
        <w:r w:rsidR="00500BB3">
          <w:rPr>
            <w:noProof/>
            <w:webHidden/>
          </w:rPr>
          <w:tab/>
        </w:r>
        <w:r w:rsidR="00500BB3">
          <w:rPr>
            <w:noProof/>
            <w:webHidden/>
          </w:rPr>
          <w:fldChar w:fldCharType="begin"/>
        </w:r>
        <w:r w:rsidR="00500BB3">
          <w:rPr>
            <w:noProof/>
            <w:webHidden/>
          </w:rPr>
          <w:instrText xml:space="preserve"> PAGEREF _Toc34033562 \h </w:instrText>
        </w:r>
        <w:r w:rsidR="00500BB3">
          <w:rPr>
            <w:noProof/>
            <w:webHidden/>
          </w:rPr>
        </w:r>
        <w:r w:rsidR="00500BB3">
          <w:rPr>
            <w:noProof/>
            <w:webHidden/>
          </w:rPr>
          <w:fldChar w:fldCharType="separate"/>
        </w:r>
        <w:r w:rsidR="00500BB3">
          <w:rPr>
            <w:noProof/>
            <w:webHidden/>
          </w:rPr>
          <w:t>67</w:t>
        </w:r>
        <w:r w:rsidR="00500BB3">
          <w:rPr>
            <w:noProof/>
            <w:webHidden/>
          </w:rPr>
          <w:fldChar w:fldCharType="end"/>
        </w:r>
      </w:hyperlink>
    </w:p>
    <w:p w14:paraId="339AF529" w14:textId="0F7EE81D" w:rsidR="00500BB3" w:rsidRDefault="00C974E5">
      <w:pPr>
        <w:pStyle w:val="TableofFigures"/>
        <w:tabs>
          <w:tab w:val="right" w:leader="dot" w:pos="9016"/>
        </w:tabs>
        <w:rPr>
          <w:rFonts w:asciiTheme="minorHAnsi" w:hAnsiTheme="minorHAnsi"/>
          <w:noProof/>
          <w:lang w:eastAsia="en-GB"/>
        </w:rPr>
      </w:pPr>
      <w:hyperlink w:anchor="_Toc34033563" w:history="1">
        <w:r w:rsidR="00500BB3" w:rsidRPr="004C7855">
          <w:rPr>
            <w:rStyle w:val="Hyperlink"/>
            <w:noProof/>
          </w:rPr>
          <w:t>Figure 3</w:t>
        </w:r>
        <w:r w:rsidR="00500BB3" w:rsidRPr="004C7855">
          <w:rPr>
            <w:rStyle w:val="Hyperlink"/>
            <w:noProof/>
            <w:lang w:eastAsia="en-GB"/>
          </w:rPr>
          <w:t>: Correlation (r or r</w:t>
        </w:r>
        <w:r w:rsidR="00500BB3" w:rsidRPr="004C7855">
          <w:rPr>
            <w:rStyle w:val="Hyperlink"/>
            <w:noProof/>
            <w:vertAlign w:val="subscript"/>
            <w:lang w:eastAsia="en-GB"/>
          </w:rPr>
          <w:t>s</w:t>
        </w:r>
        <w:r w:rsidR="00500BB3" w:rsidRPr="004C7855">
          <w:rPr>
            <w:rStyle w:val="Hyperlink"/>
            <w:noProof/>
            <w:lang w:eastAsia="en-GB"/>
          </w:rPr>
          <w:t xml:space="preserve">) between absolute </w:t>
        </w:r>
        <w:r w:rsidR="00500BB3" w:rsidRPr="004C7855">
          <w:rPr>
            <w:rStyle w:val="Hyperlink"/>
            <w:noProof/>
          </w:rPr>
          <w:t xml:space="preserve">(individual-level) </w:t>
        </w:r>
        <w:r w:rsidR="00500BB3" w:rsidRPr="004C7855">
          <w:rPr>
            <w:rStyle w:val="Hyperlink"/>
            <w:noProof/>
            <w:lang w:eastAsia="en-GB"/>
          </w:rPr>
          <w:t>values of ORR and OS*</w:t>
        </w:r>
        <w:r w:rsidR="00500BB3">
          <w:rPr>
            <w:noProof/>
            <w:webHidden/>
          </w:rPr>
          <w:tab/>
        </w:r>
        <w:r w:rsidR="00500BB3">
          <w:rPr>
            <w:noProof/>
            <w:webHidden/>
          </w:rPr>
          <w:fldChar w:fldCharType="begin"/>
        </w:r>
        <w:r w:rsidR="00500BB3">
          <w:rPr>
            <w:noProof/>
            <w:webHidden/>
          </w:rPr>
          <w:instrText xml:space="preserve"> PAGEREF _Toc34033563 \h </w:instrText>
        </w:r>
        <w:r w:rsidR="00500BB3">
          <w:rPr>
            <w:noProof/>
            <w:webHidden/>
          </w:rPr>
        </w:r>
        <w:r w:rsidR="00500BB3">
          <w:rPr>
            <w:noProof/>
            <w:webHidden/>
          </w:rPr>
          <w:fldChar w:fldCharType="separate"/>
        </w:r>
        <w:r w:rsidR="00500BB3">
          <w:rPr>
            <w:noProof/>
            <w:webHidden/>
          </w:rPr>
          <w:t>68</w:t>
        </w:r>
        <w:r w:rsidR="00500BB3">
          <w:rPr>
            <w:noProof/>
            <w:webHidden/>
          </w:rPr>
          <w:fldChar w:fldCharType="end"/>
        </w:r>
      </w:hyperlink>
    </w:p>
    <w:p w14:paraId="5ABBEB34" w14:textId="531BD219" w:rsidR="00500BB3" w:rsidRDefault="00C974E5">
      <w:pPr>
        <w:pStyle w:val="TableofFigures"/>
        <w:tabs>
          <w:tab w:val="right" w:leader="dot" w:pos="9016"/>
        </w:tabs>
        <w:rPr>
          <w:rFonts w:asciiTheme="minorHAnsi" w:hAnsiTheme="minorHAnsi"/>
          <w:noProof/>
          <w:lang w:eastAsia="en-GB"/>
        </w:rPr>
      </w:pPr>
      <w:hyperlink w:anchor="_Toc34033564" w:history="1">
        <w:r w:rsidR="00500BB3" w:rsidRPr="004C7855">
          <w:rPr>
            <w:rStyle w:val="Hyperlink"/>
            <w:noProof/>
          </w:rPr>
          <w:t>Figure 4</w:t>
        </w:r>
        <w:r w:rsidR="00500BB3" w:rsidRPr="004C7855">
          <w:rPr>
            <w:rStyle w:val="Hyperlink"/>
            <w:noProof/>
            <w:lang w:eastAsia="en-GB"/>
          </w:rPr>
          <w:t>: Regression R</w:t>
        </w:r>
        <w:r w:rsidR="00500BB3" w:rsidRPr="004C7855">
          <w:rPr>
            <w:rStyle w:val="Hyperlink"/>
            <w:noProof/>
            <w:vertAlign w:val="superscript"/>
            <w:lang w:eastAsia="en-GB"/>
          </w:rPr>
          <w:t>2</w:t>
        </w:r>
        <w:r w:rsidR="00500BB3" w:rsidRPr="004C7855">
          <w:rPr>
            <w:rStyle w:val="Hyperlink"/>
            <w:noProof/>
            <w:lang w:eastAsia="en-GB"/>
          </w:rPr>
          <w:t xml:space="preserve"> between treatment effects </w:t>
        </w:r>
        <w:r w:rsidR="00500BB3" w:rsidRPr="004C7855">
          <w:rPr>
            <w:rStyle w:val="Hyperlink"/>
            <w:noProof/>
          </w:rPr>
          <w:t xml:space="preserve">(trial-level) </w:t>
        </w:r>
        <w:r w:rsidR="00500BB3" w:rsidRPr="004C7855">
          <w:rPr>
            <w:rStyle w:val="Hyperlink"/>
            <w:noProof/>
            <w:lang w:eastAsia="en-GB"/>
          </w:rPr>
          <w:t>for ORR and PFS*</w:t>
        </w:r>
        <w:r w:rsidR="00500BB3">
          <w:rPr>
            <w:noProof/>
            <w:webHidden/>
          </w:rPr>
          <w:tab/>
        </w:r>
        <w:r w:rsidR="00500BB3">
          <w:rPr>
            <w:noProof/>
            <w:webHidden/>
          </w:rPr>
          <w:fldChar w:fldCharType="begin"/>
        </w:r>
        <w:r w:rsidR="00500BB3">
          <w:rPr>
            <w:noProof/>
            <w:webHidden/>
          </w:rPr>
          <w:instrText xml:space="preserve"> PAGEREF _Toc34033564 \h </w:instrText>
        </w:r>
        <w:r w:rsidR="00500BB3">
          <w:rPr>
            <w:noProof/>
            <w:webHidden/>
          </w:rPr>
        </w:r>
        <w:r w:rsidR="00500BB3">
          <w:rPr>
            <w:noProof/>
            <w:webHidden/>
          </w:rPr>
          <w:fldChar w:fldCharType="separate"/>
        </w:r>
        <w:r w:rsidR="00500BB3">
          <w:rPr>
            <w:noProof/>
            <w:webHidden/>
          </w:rPr>
          <w:t>71</w:t>
        </w:r>
        <w:r w:rsidR="00500BB3">
          <w:rPr>
            <w:noProof/>
            <w:webHidden/>
          </w:rPr>
          <w:fldChar w:fldCharType="end"/>
        </w:r>
      </w:hyperlink>
    </w:p>
    <w:p w14:paraId="763B0467" w14:textId="5BC4FAC7" w:rsidR="00500BB3" w:rsidRDefault="00C974E5">
      <w:pPr>
        <w:pStyle w:val="TableofFigures"/>
        <w:tabs>
          <w:tab w:val="right" w:leader="dot" w:pos="9016"/>
        </w:tabs>
        <w:rPr>
          <w:rFonts w:asciiTheme="minorHAnsi" w:hAnsiTheme="minorHAnsi"/>
          <w:noProof/>
          <w:lang w:eastAsia="en-GB"/>
        </w:rPr>
      </w:pPr>
      <w:hyperlink w:anchor="_Toc34033565" w:history="1">
        <w:r w:rsidR="00500BB3" w:rsidRPr="004C7855">
          <w:rPr>
            <w:rStyle w:val="Hyperlink"/>
            <w:noProof/>
          </w:rPr>
          <w:t>Figure 5</w:t>
        </w:r>
        <w:r w:rsidR="00500BB3" w:rsidRPr="004C7855">
          <w:rPr>
            <w:rStyle w:val="Hyperlink"/>
            <w:noProof/>
            <w:lang w:eastAsia="en-GB"/>
          </w:rPr>
          <w:t>: Regression R</w:t>
        </w:r>
        <w:r w:rsidR="00500BB3" w:rsidRPr="004C7855">
          <w:rPr>
            <w:rStyle w:val="Hyperlink"/>
            <w:noProof/>
            <w:vertAlign w:val="superscript"/>
            <w:lang w:eastAsia="en-GB"/>
          </w:rPr>
          <w:t>2</w:t>
        </w:r>
        <w:r w:rsidR="00500BB3" w:rsidRPr="004C7855">
          <w:rPr>
            <w:rStyle w:val="Hyperlink"/>
            <w:noProof/>
            <w:lang w:eastAsia="en-GB"/>
          </w:rPr>
          <w:t xml:space="preserve"> between treatment effects </w:t>
        </w:r>
        <w:r w:rsidR="00500BB3" w:rsidRPr="004C7855">
          <w:rPr>
            <w:rStyle w:val="Hyperlink"/>
            <w:noProof/>
          </w:rPr>
          <w:t xml:space="preserve">(trial-level) </w:t>
        </w:r>
        <w:r w:rsidR="00500BB3" w:rsidRPr="004C7855">
          <w:rPr>
            <w:rStyle w:val="Hyperlink"/>
            <w:noProof/>
            <w:lang w:eastAsia="en-GB"/>
          </w:rPr>
          <w:t>for ORR and OS*</w:t>
        </w:r>
        <w:r w:rsidR="00500BB3">
          <w:rPr>
            <w:noProof/>
            <w:webHidden/>
          </w:rPr>
          <w:tab/>
        </w:r>
        <w:r w:rsidR="00500BB3">
          <w:rPr>
            <w:noProof/>
            <w:webHidden/>
          </w:rPr>
          <w:fldChar w:fldCharType="begin"/>
        </w:r>
        <w:r w:rsidR="00500BB3">
          <w:rPr>
            <w:noProof/>
            <w:webHidden/>
          </w:rPr>
          <w:instrText xml:space="preserve"> PAGEREF _Toc34033565 \h </w:instrText>
        </w:r>
        <w:r w:rsidR="00500BB3">
          <w:rPr>
            <w:noProof/>
            <w:webHidden/>
          </w:rPr>
        </w:r>
        <w:r w:rsidR="00500BB3">
          <w:rPr>
            <w:noProof/>
            <w:webHidden/>
          </w:rPr>
          <w:fldChar w:fldCharType="separate"/>
        </w:r>
        <w:r w:rsidR="00500BB3">
          <w:rPr>
            <w:noProof/>
            <w:webHidden/>
          </w:rPr>
          <w:t>72</w:t>
        </w:r>
        <w:r w:rsidR="00500BB3">
          <w:rPr>
            <w:noProof/>
            <w:webHidden/>
          </w:rPr>
          <w:fldChar w:fldCharType="end"/>
        </w:r>
      </w:hyperlink>
    </w:p>
    <w:p w14:paraId="5124CD71" w14:textId="557665B0" w:rsidR="00500BB3" w:rsidRDefault="00C974E5">
      <w:pPr>
        <w:pStyle w:val="TableofFigures"/>
        <w:tabs>
          <w:tab w:val="right" w:leader="dot" w:pos="9016"/>
        </w:tabs>
        <w:rPr>
          <w:rFonts w:asciiTheme="minorHAnsi" w:hAnsiTheme="minorHAnsi"/>
          <w:noProof/>
          <w:lang w:eastAsia="en-GB"/>
        </w:rPr>
      </w:pPr>
      <w:hyperlink w:anchor="_Toc34033566" w:history="1">
        <w:r w:rsidR="00500BB3" w:rsidRPr="004C7855">
          <w:rPr>
            <w:rStyle w:val="Hyperlink"/>
            <w:noProof/>
          </w:rPr>
          <w:t>Figure 6: Summary of IQWiG scores across all 202 analyses included in the review</w:t>
        </w:r>
        <w:r w:rsidR="00500BB3">
          <w:rPr>
            <w:noProof/>
            <w:webHidden/>
          </w:rPr>
          <w:tab/>
        </w:r>
        <w:r w:rsidR="00500BB3">
          <w:rPr>
            <w:noProof/>
            <w:webHidden/>
          </w:rPr>
          <w:fldChar w:fldCharType="begin"/>
        </w:r>
        <w:r w:rsidR="00500BB3">
          <w:rPr>
            <w:noProof/>
            <w:webHidden/>
          </w:rPr>
          <w:instrText xml:space="preserve"> PAGEREF _Toc34033566 \h </w:instrText>
        </w:r>
        <w:r w:rsidR="00500BB3">
          <w:rPr>
            <w:noProof/>
            <w:webHidden/>
          </w:rPr>
        </w:r>
        <w:r w:rsidR="00500BB3">
          <w:rPr>
            <w:noProof/>
            <w:webHidden/>
          </w:rPr>
          <w:fldChar w:fldCharType="separate"/>
        </w:r>
        <w:r w:rsidR="00500BB3">
          <w:rPr>
            <w:noProof/>
            <w:webHidden/>
          </w:rPr>
          <w:t>78</w:t>
        </w:r>
        <w:r w:rsidR="00500BB3">
          <w:rPr>
            <w:noProof/>
            <w:webHidden/>
          </w:rPr>
          <w:fldChar w:fldCharType="end"/>
        </w:r>
      </w:hyperlink>
    </w:p>
    <w:p w14:paraId="0BEA42CB" w14:textId="5E6F199C" w:rsidR="00500BB3" w:rsidRDefault="00C974E5">
      <w:pPr>
        <w:pStyle w:val="TableofFigures"/>
        <w:tabs>
          <w:tab w:val="right" w:leader="dot" w:pos="9016"/>
        </w:tabs>
        <w:rPr>
          <w:rFonts w:asciiTheme="minorHAnsi" w:hAnsiTheme="minorHAnsi"/>
          <w:noProof/>
          <w:lang w:eastAsia="en-GB"/>
        </w:rPr>
      </w:pPr>
      <w:hyperlink w:anchor="_Toc34033567" w:history="1">
        <w:r w:rsidR="00500BB3" w:rsidRPr="004C7855">
          <w:rPr>
            <w:rStyle w:val="Hyperlink"/>
            <w:noProof/>
          </w:rPr>
          <w:t>Figure 7: Summary of BSES2 scores across all 202 analyses included in the review</w:t>
        </w:r>
        <w:r w:rsidR="00500BB3">
          <w:rPr>
            <w:noProof/>
            <w:webHidden/>
          </w:rPr>
          <w:tab/>
        </w:r>
        <w:r w:rsidR="00500BB3">
          <w:rPr>
            <w:noProof/>
            <w:webHidden/>
          </w:rPr>
          <w:fldChar w:fldCharType="begin"/>
        </w:r>
        <w:r w:rsidR="00500BB3">
          <w:rPr>
            <w:noProof/>
            <w:webHidden/>
          </w:rPr>
          <w:instrText xml:space="preserve"> PAGEREF _Toc34033567 \h </w:instrText>
        </w:r>
        <w:r w:rsidR="00500BB3">
          <w:rPr>
            <w:noProof/>
            <w:webHidden/>
          </w:rPr>
        </w:r>
        <w:r w:rsidR="00500BB3">
          <w:rPr>
            <w:noProof/>
            <w:webHidden/>
          </w:rPr>
          <w:fldChar w:fldCharType="separate"/>
        </w:r>
        <w:r w:rsidR="00500BB3">
          <w:rPr>
            <w:noProof/>
            <w:webHidden/>
          </w:rPr>
          <w:t>79</w:t>
        </w:r>
        <w:r w:rsidR="00500BB3">
          <w:rPr>
            <w:noProof/>
            <w:webHidden/>
          </w:rPr>
          <w:fldChar w:fldCharType="end"/>
        </w:r>
      </w:hyperlink>
    </w:p>
    <w:p w14:paraId="351117F3" w14:textId="386A8474" w:rsidR="00500BB3" w:rsidRDefault="00C974E5">
      <w:pPr>
        <w:pStyle w:val="TableofFigures"/>
        <w:tabs>
          <w:tab w:val="right" w:leader="dot" w:pos="9016"/>
        </w:tabs>
        <w:rPr>
          <w:rFonts w:asciiTheme="minorHAnsi" w:hAnsiTheme="minorHAnsi"/>
          <w:noProof/>
          <w:lang w:eastAsia="en-GB"/>
        </w:rPr>
      </w:pPr>
      <w:hyperlink w:anchor="_Toc34033568" w:history="1">
        <w:r w:rsidR="00500BB3" w:rsidRPr="004C7855">
          <w:rPr>
            <w:rStyle w:val="Hyperlink"/>
            <w:noProof/>
          </w:rPr>
          <w:t>Figure 8: Prior and posterior distributions for the between-group heterogeneity standard deviations</w:t>
        </w:r>
        <w:r w:rsidR="00500BB3">
          <w:rPr>
            <w:noProof/>
            <w:webHidden/>
          </w:rPr>
          <w:tab/>
        </w:r>
        <w:r w:rsidR="00500BB3">
          <w:rPr>
            <w:noProof/>
            <w:webHidden/>
          </w:rPr>
          <w:fldChar w:fldCharType="begin"/>
        </w:r>
        <w:r w:rsidR="00500BB3">
          <w:rPr>
            <w:noProof/>
            <w:webHidden/>
          </w:rPr>
          <w:instrText xml:space="preserve"> PAGEREF _Toc34033568 \h </w:instrText>
        </w:r>
        <w:r w:rsidR="00500BB3">
          <w:rPr>
            <w:noProof/>
            <w:webHidden/>
          </w:rPr>
        </w:r>
        <w:r w:rsidR="00500BB3">
          <w:rPr>
            <w:noProof/>
            <w:webHidden/>
          </w:rPr>
          <w:fldChar w:fldCharType="separate"/>
        </w:r>
        <w:r w:rsidR="00500BB3">
          <w:rPr>
            <w:noProof/>
            <w:webHidden/>
          </w:rPr>
          <w:t>91</w:t>
        </w:r>
        <w:r w:rsidR="00500BB3">
          <w:rPr>
            <w:noProof/>
            <w:webHidden/>
          </w:rPr>
          <w:fldChar w:fldCharType="end"/>
        </w:r>
      </w:hyperlink>
    </w:p>
    <w:p w14:paraId="6BD09393" w14:textId="50F36E28" w:rsidR="00500BB3" w:rsidRDefault="00C974E5">
      <w:pPr>
        <w:pStyle w:val="TableofFigures"/>
        <w:tabs>
          <w:tab w:val="right" w:leader="dot" w:pos="9016"/>
        </w:tabs>
        <w:rPr>
          <w:rFonts w:asciiTheme="minorHAnsi" w:hAnsiTheme="minorHAnsi"/>
          <w:noProof/>
          <w:lang w:eastAsia="en-GB"/>
        </w:rPr>
      </w:pPr>
      <w:hyperlink w:anchor="_Toc34033569" w:history="1">
        <w:r w:rsidR="00500BB3" w:rsidRPr="004C7855">
          <w:rPr>
            <w:rStyle w:val="Hyperlink"/>
            <w:noProof/>
          </w:rPr>
          <w:t>Figure 9: Posterior and predictive distributions of response probability</w:t>
        </w:r>
        <w:r w:rsidR="00500BB3">
          <w:rPr>
            <w:noProof/>
            <w:webHidden/>
          </w:rPr>
          <w:tab/>
        </w:r>
        <w:r w:rsidR="00500BB3">
          <w:rPr>
            <w:noProof/>
            <w:webHidden/>
          </w:rPr>
          <w:fldChar w:fldCharType="begin"/>
        </w:r>
        <w:r w:rsidR="00500BB3">
          <w:rPr>
            <w:noProof/>
            <w:webHidden/>
          </w:rPr>
          <w:instrText xml:space="preserve"> PAGEREF _Toc34033569 \h </w:instrText>
        </w:r>
        <w:r w:rsidR="00500BB3">
          <w:rPr>
            <w:noProof/>
            <w:webHidden/>
          </w:rPr>
        </w:r>
        <w:r w:rsidR="00500BB3">
          <w:rPr>
            <w:noProof/>
            <w:webHidden/>
          </w:rPr>
          <w:fldChar w:fldCharType="separate"/>
        </w:r>
        <w:r w:rsidR="00500BB3">
          <w:rPr>
            <w:noProof/>
            <w:webHidden/>
          </w:rPr>
          <w:t>92</w:t>
        </w:r>
        <w:r w:rsidR="00500BB3">
          <w:rPr>
            <w:noProof/>
            <w:webHidden/>
          </w:rPr>
          <w:fldChar w:fldCharType="end"/>
        </w:r>
      </w:hyperlink>
    </w:p>
    <w:p w14:paraId="3BBA677D" w14:textId="51983898" w:rsidR="00500BB3" w:rsidRDefault="00C974E5">
      <w:pPr>
        <w:pStyle w:val="TableofFigures"/>
        <w:tabs>
          <w:tab w:val="right" w:leader="dot" w:pos="9016"/>
        </w:tabs>
        <w:rPr>
          <w:rFonts w:asciiTheme="minorHAnsi" w:hAnsiTheme="minorHAnsi"/>
          <w:noProof/>
          <w:lang w:eastAsia="en-GB"/>
        </w:rPr>
      </w:pPr>
      <w:hyperlink w:anchor="_Toc34033570" w:history="1">
        <w:r w:rsidR="00500BB3" w:rsidRPr="004C7855">
          <w:rPr>
            <w:rStyle w:val="Hyperlink"/>
            <w:noProof/>
          </w:rPr>
          <w:t>Figure 10: Posterior distribution for the probabilities of response by tumours type</w:t>
        </w:r>
        <w:r w:rsidR="00500BB3">
          <w:rPr>
            <w:noProof/>
            <w:webHidden/>
          </w:rPr>
          <w:tab/>
        </w:r>
        <w:r w:rsidR="00500BB3">
          <w:rPr>
            <w:noProof/>
            <w:webHidden/>
          </w:rPr>
          <w:fldChar w:fldCharType="begin"/>
        </w:r>
        <w:r w:rsidR="00500BB3">
          <w:rPr>
            <w:noProof/>
            <w:webHidden/>
          </w:rPr>
          <w:instrText xml:space="preserve"> PAGEREF _Toc34033570 \h </w:instrText>
        </w:r>
        <w:r w:rsidR="00500BB3">
          <w:rPr>
            <w:noProof/>
            <w:webHidden/>
          </w:rPr>
        </w:r>
        <w:r w:rsidR="00500BB3">
          <w:rPr>
            <w:noProof/>
            <w:webHidden/>
          </w:rPr>
          <w:fldChar w:fldCharType="separate"/>
        </w:r>
        <w:r w:rsidR="00500BB3">
          <w:rPr>
            <w:noProof/>
            <w:webHidden/>
          </w:rPr>
          <w:t>94</w:t>
        </w:r>
        <w:r w:rsidR="00500BB3">
          <w:rPr>
            <w:noProof/>
            <w:webHidden/>
          </w:rPr>
          <w:fldChar w:fldCharType="end"/>
        </w:r>
      </w:hyperlink>
    </w:p>
    <w:p w14:paraId="7920EE43" w14:textId="3FDE0336" w:rsidR="00500BB3" w:rsidRDefault="00C974E5">
      <w:pPr>
        <w:pStyle w:val="TableofFigures"/>
        <w:tabs>
          <w:tab w:val="right" w:leader="dot" w:pos="9016"/>
        </w:tabs>
        <w:rPr>
          <w:rFonts w:asciiTheme="minorHAnsi" w:hAnsiTheme="minorHAnsi"/>
          <w:noProof/>
          <w:lang w:eastAsia="en-GB"/>
        </w:rPr>
      </w:pPr>
      <w:hyperlink w:anchor="_Toc34033571" w:history="1">
        <w:r w:rsidR="00500BB3" w:rsidRPr="004C7855">
          <w:rPr>
            <w:rStyle w:val="Hyperlink"/>
            <w:noProof/>
          </w:rPr>
          <w:t>Figure 11: Net health benefits per person across histologies with uncertainty</w:t>
        </w:r>
        <w:r w:rsidR="00500BB3">
          <w:rPr>
            <w:noProof/>
            <w:webHidden/>
          </w:rPr>
          <w:tab/>
        </w:r>
        <w:r w:rsidR="00500BB3">
          <w:rPr>
            <w:noProof/>
            <w:webHidden/>
          </w:rPr>
          <w:fldChar w:fldCharType="begin"/>
        </w:r>
        <w:r w:rsidR="00500BB3">
          <w:rPr>
            <w:noProof/>
            <w:webHidden/>
          </w:rPr>
          <w:instrText xml:space="preserve"> PAGEREF _Toc34033571 \h </w:instrText>
        </w:r>
        <w:r w:rsidR="00500BB3">
          <w:rPr>
            <w:noProof/>
            <w:webHidden/>
          </w:rPr>
        </w:r>
        <w:r w:rsidR="00500BB3">
          <w:rPr>
            <w:noProof/>
            <w:webHidden/>
          </w:rPr>
          <w:fldChar w:fldCharType="separate"/>
        </w:r>
        <w:r w:rsidR="00500BB3">
          <w:rPr>
            <w:noProof/>
            <w:webHidden/>
          </w:rPr>
          <w:t>145</w:t>
        </w:r>
        <w:r w:rsidR="00500BB3">
          <w:rPr>
            <w:noProof/>
            <w:webHidden/>
          </w:rPr>
          <w:fldChar w:fldCharType="end"/>
        </w:r>
      </w:hyperlink>
    </w:p>
    <w:p w14:paraId="7F6187F5" w14:textId="37A104AA" w:rsidR="00500BB3" w:rsidRDefault="00C974E5">
      <w:pPr>
        <w:pStyle w:val="TableofFigures"/>
        <w:tabs>
          <w:tab w:val="right" w:leader="dot" w:pos="9016"/>
        </w:tabs>
        <w:rPr>
          <w:rFonts w:asciiTheme="minorHAnsi" w:hAnsiTheme="minorHAnsi"/>
          <w:noProof/>
          <w:lang w:eastAsia="en-GB"/>
        </w:rPr>
      </w:pPr>
      <w:hyperlink w:anchor="_Toc34033572" w:history="1">
        <w:r w:rsidR="00500BB3" w:rsidRPr="004C7855">
          <w:rPr>
            <w:rStyle w:val="Hyperlink"/>
            <w:noProof/>
          </w:rPr>
          <w:t>Figure 12: Population net health effects across histologies with uncertainty</w:t>
        </w:r>
        <w:r w:rsidR="00500BB3">
          <w:rPr>
            <w:noProof/>
            <w:webHidden/>
          </w:rPr>
          <w:tab/>
        </w:r>
        <w:r w:rsidR="00500BB3">
          <w:rPr>
            <w:noProof/>
            <w:webHidden/>
          </w:rPr>
          <w:fldChar w:fldCharType="begin"/>
        </w:r>
        <w:r w:rsidR="00500BB3">
          <w:rPr>
            <w:noProof/>
            <w:webHidden/>
          </w:rPr>
          <w:instrText xml:space="preserve"> PAGEREF _Toc34033572 \h </w:instrText>
        </w:r>
        <w:r w:rsidR="00500BB3">
          <w:rPr>
            <w:noProof/>
            <w:webHidden/>
          </w:rPr>
        </w:r>
        <w:r w:rsidR="00500BB3">
          <w:rPr>
            <w:noProof/>
            <w:webHidden/>
          </w:rPr>
          <w:fldChar w:fldCharType="separate"/>
        </w:r>
        <w:r w:rsidR="00500BB3">
          <w:rPr>
            <w:noProof/>
            <w:webHidden/>
          </w:rPr>
          <w:t>146</w:t>
        </w:r>
        <w:r w:rsidR="00500BB3">
          <w:rPr>
            <w:noProof/>
            <w:webHidden/>
          </w:rPr>
          <w:fldChar w:fldCharType="end"/>
        </w:r>
      </w:hyperlink>
    </w:p>
    <w:p w14:paraId="5BA9B983" w14:textId="5771F582" w:rsidR="00500BB3" w:rsidRDefault="00C974E5">
      <w:pPr>
        <w:pStyle w:val="TableofFigures"/>
        <w:tabs>
          <w:tab w:val="right" w:leader="dot" w:pos="9016"/>
        </w:tabs>
        <w:rPr>
          <w:rFonts w:asciiTheme="minorHAnsi" w:hAnsiTheme="minorHAnsi"/>
          <w:noProof/>
          <w:lang w:eastAsia="en-GB"/>
        </w:rPr>
      </w:pPr>
      <w:hyperlink w:anchor="_Toc34033573" w:history="1">
        <w:r w:rsidR="00500BB3" w:rsidRPr="004C7855">
          <w:rPr>
            <w:rStyle w:val="Hyperlink"/>
            <w:noProof/>
          </w:rPr>
          <w:t>Figure 13: Estimating the health consequences of uncertainty</w:t>
        </w:r>
        <w:r w:rsidR="00500BB3">
          <w:rPr>
            <w:noProof/>
            <w:webHidden/>
          </w:rPr>
          <w:tab/>
        </w:r>
        <w:r w:rsidR="00500BB3">
          <w:rPr>
            <w:noProof/>
            <w:webHidden/>
          </w:rPr>
          <w:fldChar w:fldCharType="begin"/>
        </w:r>
        <w:r w:rsidR="00500BB3">
          <w:rPr>
            <w:noProof/>
            <w:webHidden/>
          </w:rPr>
          <w:instrText xml:space="preserve"> PAGEREF _Toc34033573 \h </w:instrText>
        </w:r>
        <w:r w:rsidR="00500BB3">
          <w:rPr>
            <w:noProof/>
            <w:webHidden/>
          </w:rPr>
        </w:r>
        <w:r w:rsidR="00500BB3">
          <w:rPr>
            <w:noProof/>
            <w:webHidden/>
          </w:rPr>
          <w:fldChar w:fldCharType="separate"/>
        </w:r>
        <w:r w:rsidR="00500BB3">
          <w:rPr>
            <w:noProof/>
            <w:webHidden/>
          </w:rPr>
          <w:t>147</w:t>
        </w:r>
        <w:r w:rsidR="00500BB3">
          <w:rPr>
            <w:noProof/>
            <w:webHidden/>
          </w:rPr>
          <w:fldChar w:fldCharType="end"/>
        </w:r>
      </w:hyperlink>
    </w:p>
    <w:p w14:paraId="193ECC01" w14:textId="20D00D17" w:rsidR="00500BB3" w:rsidRDefault="00C974E5">
      <w:pPr>
        <w:pStyle w:val="TableofFigures"/>
        <w:tabs>
          <w:tab w:val="right" w:leader="dot" w:pos="9016"/>
        </w:tabs>
        <w:rPr>
          <w:rFonts w:asciiTheme="minorHAnsi" w:hAnsiTheme="minorHAnsi"/>
          <w:noProof/>
          <w:lang w:eastAsia="en-GB"/>
        </w:rPr>
      </w:pPr>
      <w:hyperlink w:anchor="_Toc34033574" w:history="1">
        <w:r w:rsidR="00500BB3" w:rsidRPr="004C7855">
          <w:rPr>
            <w:rStyle w:val="Hyperlink"/>
            <w:noProof/>
          </w:rPr>
          <w:t>Figure 14: Population net health effects with uncertainty for partially stratified decision making</w:t>
        </w:r>
        <w:r w:rsidR="00500BB3">
          <w:rPr>
            <w:noProof/>
            <w:webHidden/>
          </w:rPr>
          <w:tab/>
        </w:r>
        <w:r w:rsidR="00500BB3">
          <w:rPr>
            <w:noProof/>
            <w:webHidden/>
          </w:rPr>
          <w:fldChar w:fldCharType="begin"/>
        </w:r>
        <w:r w:rsidR="00500BB3">
          <w:rPr>
            <w:noProof/>
            <w:webHidden/>
          </w:rPr>
          <w:instrText xml:space="preserve"> PAGEREF _Toc34033574 \h </w:instrText>
        </w:r>
        <w:r w:rsidR="00500BB3">
          <w:rPr>
            <w:noProof/>
            <w:webHidden/>
          </w:rPr>
        </w:r>
        <w:r w:rsidR="00500BB3">
          <w:rPr>
            <w:noProof/>
            <w:webHidden/>
          </w:rPr>
          <w:fldChar w:fldCharType="separate"/>
        </w:r>
        <w:r w:rsidR="00500BB3">
          <w:rPr>
            <w:noProof/>
            <w:webHidden/>
          </w:rPr>
          <w:t>152</w:t>
        </w:r>
        <w:r w:rsidR="00500BB3">
          <w:rPr>
            <w:noProof/>
            <w:webHidden/>
          </w:rPr>
          <w:fldChar w:fldCharType="end"/>
        </w:r>
      </w:hyperlink>
    </w:p>
    <w:p w14:paraId="19250E0B" w14:textId="1B1F88E2" w:rsidR="00500BB3" w:rsidRDefault="00C974E5">
      <w:pPr>
        <w:pStyle w:val="TableofFigures"/>
        <w:tabs>
          <w:tab w:val="right" w:leader="dot" w:pos="9016"/>
        </w:tabs>
        <w:rPr>
          <w:rFonts w:asciiTheme="minorHAnsi" w:hAnsiTheme="minorHAnsi"/>
          <w:noProof/>
          <w:lang w:eastAsia="en-GB"/>
        </w:rPr>
      </w:pPr>
      <w:hyperlink w:anchor="_Toc34033575" w:history="1">
        <w:r w:rsidR="00500BB3" w:rsidRPr="004C7855">
          <w:rPr>
            <w:rStyle w:val="Hyperlink"/>
            <w:noProof/>
          </w:rPr>
          <w:t>Figure 15: Population net health effects with uncertainty for fully stratified decision making</w:t>
        </w:r>
        <w:r w:rsidR="00500BB3">
          <w:rPr>
            <w:noProof/>
            <w:webHidden/>
          </w:rPr>
          <w:tab/>
        </w:r>
        <w:r w:rsidR="00500BB3">
          <w:rPr>
            <w:noProof/>
            <w:webHidden/>
          </w:rPr>
          <w:fldChar w:fldCharType="begin"/>
        </w:r>
        <w:r w:rsidR="00500BB3">
          <w:rPr>
            <w:noProof/>
            <w:webHidden/>
          </w:rPr>
          <w:instrText xml:space="preserve"> PAGEREF _Toc34033575 \h </w:instrText>
        </w:r>
        <w:r w:rsidR="00500BB3">
          <w:rPr>
            <w:noProof/>
            <w:webHidden/>
          </w:rPr>
        </w:r>
        <w:r w:rsidR="00500BB3">
          <w:rPr>
            <w:noProof/>
            <w:webHidden/>
          </w:rPr>
          <w:fldChar w:fldCharType="separate"/>
        </w:r>
        <w:r w:rsidR="00500BB3">
          <w:rPr>
            <w:noProof/>
            <w:webHidden/>
          </w:rPr>
          <w:t>153</w:t>
        </w:r>
        <w:r w:rsidR="00500BB3">
          <w:rPr>
            <w:noProof/>
            <w:webHidden/>
          </w:rPr>
          <w:fldChar w:fldCharType="end"/>
        </w:r>
      </w:hyperlink>
    </w:p>
    <w:p w14:paraId="3D988101" w14:textId="4E849891" w:rsidR="00500BB3" w:rsidRDefault="00C974E5">
      <w:pPr>
        <w:pStyle w:val="TableofFigures"/>
        <w:tabs>
          <w:tab w:val="right" w:leader="dot" w:pos="9016"/>
        </w:tabs>
        <w:rPr>
          <w:rFonts w:asciiTheme="minorHAnsi" w:hAnsiTheme="minorHAnsi"/>
          <w:noProof/>
          <w:lang w:eastAsia="en-GB"/>
        </w:rPr>
      </w:pPr>
      <w:hyperlink w:anchor="_Toc34033576" w:history="1">
        <w:r w:rsidR="00500BB3" w:rsidRPr="004C7855">
          <w:rPr>
            <w:rStyle w:val="Hyperlink"/>
            <w:rFonts w:cs="Times New Roman"/>
            <w:noProof/>
          </w:rPr>
          <w:t>Figure 16: Plots showing the stylised progression free survival (a) and the overall survival (b) curves for responders and non-responders</w:t>
        </w:r>
        <w:r w:rsidR="00500BB3">
          <w:rPr>
            <w:noProof/>
            <w:webHidden/>
          </w:rPr>
          <w:tab/>
        </w:r>
        <w:r w:rsidR="00500BB3">
          <w:rPr>
            <w:noProof/>
            <w:webHidden/>
          </w:rPr>
          <w:fldChar w:fldCharType="begin"/>
        </w:r>
        <w:r w:rsidR="00500BB3">
          <w:rPr>
            <w:noProof/>
            <w:webHidden/>
          </w:rPr>
          <w:instrText xml:space="preserve"> PAGEREF _Toc34033576 \h </w:instrText>
        </w:r>
        <w:r w:rsidR="00500BB3">
          <w:rPr>
            <w:noProof/>
            <w:webHidden/>
          </w:rPr>
        </w:r>
        <w:r w:rsidR="00500BB3">
          <w:rPr>
            <w:noProof/>
            <w:webHidden/>
          </w:rPr>
          <w:fldChar w:fldCharType="separate"/>
        </w:r>
        <w:r w:rsidR="00500BB3">
          <w:rPr>
            <w:noProof/>
            <w:webHidden/>
          </w:rPr>
          <w:t>266</w:t>
        </w:r>
        <w:r w:rsidR="00500BB3">
          <w:rPr>
            <w:noProof/>
            <w:webHidden/>
          </w:rPr>
          <w:fldChar w:fldCharType="end"/>
        </w:r>
      </w:hyperlink>
    </w:p>
    <w:p w14:paraId="6230D63F" w14:textId="063F0775" w:rsidR="000B2A8F" w:rsidRDefault="000B2A8F" w:rsidP="000B2A8F">
      <w:r>
        <w:rPr>
          <w:b/>
          <w:bCs/>
          <w:noProof/>
          <w:lang w:val="en-US"/>
        </w:rPr>
        <w:fldChar w:fldCharType="end"/>
      </w:r>
    </w:p>
    <w:p w14:paraId="15D67383" w14:textId="383D3B76" w:rsidR="000B2A8F" w:rsidRDefault="000B2A8F" w:rsidP="00716DF9"/>
    <w:p w14:paraId="201EEE31" w14:textId="119BA722" w:rsidR="000B2A8F" w:rsidRDefault="000B2A8F">
      <w:r>
        <w:br w:type="page"/>
      </w:r>
    </w:p>
    <w:p w14:paraId="7E13FEA1" w14:textId="03F1EA1D" w:rsidR="00571517" w:rsidRDefault="00571517" w:rsidP="00223273">
      <w:pPr>
        <w:pStyle w:val="Heading1"/>
        <w:rPr>
          <w:rStyle w:val="Strong"/>
          <w:b/>
          <w:bCs/>
        </w:rPr>
      </w:pPr>
      <w:bookmarkStart w:id="10" w:name="_Toc33776145"/>
      <w:bookmarkStart w:id="11" w:name="_Hlk22708660"/>
      <w:r w:rsidRPr="002D1DD7">
        <w:rPr>
          <w:rStyle w:val="Strong"/>
          <w:b/>
          <w:bCs/>
        </w:rPr>
        <w:lastRenderedPageBreak/>
        <w:t>Background</w:t>
      </w:r>
      <w:bookmarkEnd w:id="10"/>
    </w:p>
    <w:bookmarkEnd w:id="11"/>
    <w:p w14:paraId="472E28CD" w14:textId="453E1CB7" w:rsidR="0080662D" w:rsidRPr="002D1DD7" w:rsidRDefault="0080662D" w:rsidP="0080662D">
      <w:pPr>
        <w:rPr>
          <w:rFonts w:eastAsia="Times New Roman"/>
          <w:lang w:eastAsia="en-GB"/>
        </w:rPr>
      </w:pPr>
      <w:r w:rsidRPr="002D1DD7">
        <w:rPr>
          <w:rFonts w:eastAsia="Times New Roman"/>
          <w:lang w:eastAsia="en-GB"/>
        </w:rPr>
        <w:t>In May 2017, the U.S. Food and Drug Administration (FDA) granted accelerated approval to pembrolizumab for treating solid tumours with the microsatellite instability high (MSI-H) or mismatch repair deficient (dMMR) biomarker.</w:t>
      </w:r>
      <w:r w:rsidR="006F7FD7">
        <w:rPr>
          <w:rFonts w:eastAsia="Times New Roman"/>
          <w:lang w:eastAsia="en-GB"/>
        </w:rPr>
        <w:fldChar w:fldCharType="begin"/>
      </w:r>
      <w:r w:rsidR="006F7FD7">
        <w:rPr>
          <w:rFonts w:eastAsia="Times New Roman"/>
          <w:lang w:eastAsia="en-GB"/>
        </w:rPr>
        <w:instrText xml:space="preserve"> ADDIN EN.CITE &lt;EndNote&gt;&lt;Cite&gt;&lt;Author&gt;U.S. Department of Health and Human Services. Food and Drug Administration. Center for Drug Evaluation and Research&lt;/Author&gt;&lt;Year&gt;2017&lt;/Year&gt;&lt;RecNum&gt;3518&lt;/RecNum&gt;&lt;DisplayText&gt;&lt;style face="superscript"&gt;1&lt;/style&gt;&lt;/DisplayText&gt;&lt;record&gt;&lt;rec-number&gt;3518&lt;/rec-number&gt;&lt;foreign-keys&gt;&lt;key app="EN" db-id="dwaevxvazfs2f3ewvzmxrd0k0wasw55p2z2w" timestamp="1579606101"&gt;3518&lt;/key&gt;&lt;/foreign-keys&gt;&lt;ref-type name="Book Section"&gt;5&lt;/ref-type&gt;&lt;contributors&gt;&lt;authors&gt;&lt;author&gt;U.S. Department of Health and Human Services. Food and Drug Administration. Center for Drug Evaluation and Research,&lt;/author&gt;&lt;/authors&gt;&lt;/contributors&gt;&lt;titles&gt;&lt;title&gt;Approval Package for application number 125514Orig1s014. Trade Name: Keytruda. Generic or Proper name: pembrolizumab &lt;/title&gt;&lt;/titles&gt;&lt;dates&gt;&lt;year&gt;2017&lt;/year&gt;&lt;/dates&gt;&lt;pub-location&gt;Rockville, Maryland, United States&lt;/pub-location&gt;&lt;urls&gt;&lt;related-urls&gt;&lt;url&gt;https://www.accessdata.fda.gov/drugsatfda_docs/nda/2019/125514Orig1s014.pdf&lt;/url&gt;&lt;/related-urls&gt;&lt;/urls&gt;&lt;custom4&gt;STEVE&amp;apos;S REFERENCES&lt;/custom4&gt;&lt;/record&gt;&lt;/Cite&gt;&lt;/EndNote&gt;</w:instrText>
      </w:r>
      <w:r w:rsidR="006F7FD7">
        <w:rPr>
          <w:rFonts w:eastAsia="Times New Roman"/>
          <w:lang w:eastAsia="en-GB"/>
        </w:rPr>
        <w:fldChar w:fldCharType="separate"/>
      </w:r>
      <w:r w:rsidR="006F7FD7" w:rsidRPr="006F7FD7">
        <w:rPr>
          <w:rFonts w:eastAsia="Times New Roman"/>
          <w:noProof/>
          <w:vertAlign w:val="superscript"/>
          <w:lang w:eastAsia="en-GB"/>
        </w:rPr>
        <w:t>1</w:t>
      </w:r>
      <w:r w:rsidR="006F7FD7">
        <w:rPr>
          <w:rFonts w:eastAsia="Times New Roman"/>
          <w:lang w:eastAsia="en-GB"/>
        </w:rPr>
        <w:fldChar w:fldCharType="end"/>
      </w:r>
      <w:r w:rsidRPr="002D1DD7">
        <w:rPr>
          <w:rFonts w:eastAsia="Times New Roman"/>
          <w:lang w:eastAsia="en-GB"/>
        </w:rPr>
        <w:t xml:space="preserve"> This is the first time a cancer treatment has been approved based on a common biomarker rather than the location in the body where the tumour originated (i.e. a </w:t>
      </w:r>
      <w:r w:rsidR="00555827">
        <w:rPr>
          <w:rFonts w:eastAsia="Times New Roman"/>
          <w:lang w:eastAsia="en-GB"/>
        </w:rPr>
        <w:t>histology-independent</w:t>
      </w:r>
      <w:r w:rsidR="00B41669">
        <w:rPr>
          <w:rFonts w:eastAsia="Times New Roman"/>
          <w:lang w:eastAsia="en-GB"/>
        </w:rPr>
        <w:t xml:space="preserve"> approval</w:t>
      </w:r>
      <w:r w:rsidRPr="002D1DD7">
        <w:rPr>
          <w:rFonts w:eastAsia="Times New Roman"/>
          <w:lang w:eastAsia="en-GB"/>
        </w:rPr>
        <w:t>). Th</w:t>
      </w:r>
      <w:r w:rsidR="00B41669">
        <w:rPr>
          <w:rFonts w:eastAsia="Times New Roman"/>
          <w:lang w:eastAsia="en-GB"/>
        </w:rPr>
        <w:t>is</w:t>
      </w:r>
      <w:r w:rsidRPr="002D1DD7">
        <w:rPr>
          <w:rFonts w:eastAsia="Times New Roman"/>
          <w:lang w:eastAsia="en-GB"/>
        </w:rPr>
        <w:t xml:space="preserve"> represents an important paradigm shift, meaning that oncological diseases can now be classified by either tumour biomarker status or tumour histogenesis.</w:t>
      </w:r>
      <w:r w:rsidR="00FE58FF">
        <w:rPr>
          <w:rFonts w:eastAsia="Times New Roman"/>
          <w:lang w:eastAsia="en-GB"/>
        </w:rPr>
        <w:t xml:space="preserve"> </w:t>
      </w:r>
      <w:r w:rsidR="00555827">
        <w:rPr>
          <w:rFonts w:eastAsia="Times New Roman"/>
          <w:lang w:eastAsia="en-GB"/>
        </w:rPr>
        <w:t>T</w:t>
      </w:r>
      <w:r w:rsidRPr="002D1DD7">
        <w:rPr>
          <w:rFonts w:eastAsia="Times New Roman"/>
          <w:lang w:eastAsia="en-GB"/>
        </w:rPr>
        <w:t xml:space="preserve">he first </w:t>
      </w:r>
      <w:r w:rsidR="00555827">
        <w:rPr>
          <w:rFonts w:eastAsia="Times New Roman"/>
          <w:lang w:eastAsia="en-GB"/>
        </w:rPr>
        <w:t>histology-independent</w:t>
      </w:r>
      <w:r w:rsidRPr="002D1DD7">
        <w:rPr>
          <w:rFonts w:eastAsia="Times New Roman"/>
          <w:lang w:eastAsia="en-GB"/>
        </w:rPr>
        <w:t xml:space="preserve"> marketing authorisation </w:t>
      </w:r>
      <w:r w:rsidR="00555827">
        <w:rPr>
          <w:rFonts w:eastAsia="Times New Roman"/>
          <w:lang w:eastAsia="en-GB"/>
        </w:rPr>
        <w:t>w</w:t>
      </w:r>
      <w:r w:rsidR="007408EF">
        <w:rPr>
          <w:rFonts w:eastAsia="Times New Roman"/>
          <w:lang w:eastAsia="en-GB"/>
        </w:rPr>
        <w:t>as</w:t>
      </w:r>
      <w:r w:rsidRPr="002D1DD7">
        <w:rPr>
          <w:rFonts w:eastAsia="Times New Roman"/>
          <w:lang w:eastAsia="en-GB"/>
        </w:rPr>
        <w:t xml:space="preserve"> </w:t>
      </w:r>
      <w:r w:rsidR="007408EF">
        <w:rPr>
          <w:rFonts w:eastAsia="Times New Roman"/>
          <w:lang w:eastAsia="en-GB"/>
        </w:rPr>
        <w:t xml:space="preserve">also </w:t>
      </w:r>
      <w:r w:rsidRPr="002D1DD7">
        <w:rPr>
          <w:rFonts w:eastAsia="Times New Roman"/>
          <w:lang w:eastAsia="en-GB"/>
        </w:rPr>
        <w:t xml:space="preserve">granted by </w:t>
      </w:r>
      <w:r w:rsidR="00555827" w:rsidRPr="00555827">
        <w:rPr>
          <w:rFonts w:eastAsia="Times New Roman"/>
          <w:lang w:eastAsia="en-GB"/>
        </w:rPr>
        <w:t xml:space="preserve">the European Medicines Agency (EMA) </w:t>
      </w:r>
      <w:r w:rsidR="00A93648" w:rsidRPr="002D1DD7">
        <w:rPr>
          <w:rFonts w:eastAsia="Times New Roman"/>
          <w:lang w:eastAsia="en-GB"/>
        </w:rPr>
        <w:t>in 2019</w:t>
      </w:r>
      <w:r w:rsidRPr="00D84837">
        <w:rPr>
          <w:rFonts w:eastAsia="Times New Roman"/>
          <w:lang w:eastAsia="en-GB"/>
        </w:rPr>
        <w:t>.</w:t>
      </w:r>
      <w:r w:rsidR="006F7FD7">
        <w:rPr>
          <w:rFonts w:eastAsia="Times New Roman"/>
          <w:lang w:eastAsia="en-GB"/>
        </w:rPr>
        <w:fldChar w:fldCharType="begin"/>
      </w:r>
      <w:r w:rsidR="006F7FD7">
        <w:rPr>
          <w:rFonts w:eastAsia="Times New Roman"/>
          <w:lang w:eastAsia="en-GB"/>
        </w:rPr>
        <w:instrText xml:space="preserve"> ADDIN EN.CITE &lt;EndNote&gt;&lt;Cite&gt;&lt;Author&gt;European Medicines Agency&lt;/Author&gt;&lt;Year&gt;2019&lt;/Year&gt;&lt;RecNum&gt;3523&lt;/RecNum&gt;&lt;DisplayText&gt;&lt;style face="superscript"&gt;2&lt;/style&gt;&lt;/DisplayText&gt;&lt;record&gt;&lt;rec-number&gt;3523&lt;/rec-number&gt;&lt;foreign-keys&gt;&lt;key app="EN" db-id="dwaevxvazfs2f3ewvzmxrd0k0wasw55p2z2w" timestamp="1579606101"&gt;3523&lt;/key&gt;&lt;/foreign-keys&gt;&lt;ref-type name="Report"&gt;27&lt;/ref-type&gt;&lt;contributors&gt;&lt;authors&gt;&lt;author&gt;European Medicines Agency,&lt;/author&gt;&lt;/authors&gt;&lt;/contributors&gt;&lt;titles&gt;&lt;title&gt;Assessment report: VITRAKVI. International non-proprietary name: larotrectinib&lt;/title&gt;&lt;secondary-title&gt;Committee for Medicinal Products for Human Use (CHMP)&lt;/secondary-title&gt;&lt;/titles&gt;&lt;num-vols&gt;EMA/CHMP/469135/2019 &lt;/num-vols&gt;&lt;dates&gt;&lt;year&gt;2019&lt;/year&gt;&lt;/dates&gt;&lt;publisher&gt;EMA&lt;/publisher&gt;&lt;urls&gt;&lt;related-urls&gt;&lt;url&gt;https://www.ema.europa.eu/en/documents/assessment-report/vitrakvi-epar-public-assessment-report_en.pdf&lt;/url&gt;&lt;/related-urls&gt;&lt;/urls&gt;&lt;custom4&gt;STEVE&amp;apos;S REFERENCES&lt;/custom4&gt;&lt;/record&gt;&lt;/Cite&gt;&lt;/EndNote&gt;</w:instrText>
      </w:r>
      <w:r w:rsidR="006F7FD7">
        <w:rPr>
          <w:rFonts w:eastAsia="Times New Roman"/>
          <w:lang w:eastAsia="en-GB"/>
        </w:rPr>
        <w:fldChar w:fldCharType="separate"/>
      </w:r>
      <w:r w:rsidR="006F7FD7" w:rsidRPr="006F7FD7">
        <w:rPr>
          <w:rFonts w:eastAsia="Times New Roman"/>
          <w:noProof/>
          <w:vertAlign w:val="superscript"/>
          <w:lang w:eastAsia="en-GB"/>
        </w:rPr>
        <w:t>2</w:t>
      </w:r>
      <w:r w:rsidR="006F7FD7">
        <w:rPr>
          <w:rFonts w:eastAsia="Times New Roman"/>
          <w:lang w:eastAsia="en-GB"/>
        </w:rPr>
        <w:fldChar w:fldCharType="end"/>
      </w:r>
    </w:p>
    <w:p w14:paraId="50E01C8F" w14:textId="0D9D30E2" w:rsidR="003A2610" w:rsidRPr="002D1DD7" w:rsidRDefault="0080662D" w:rsidP="0080662D">
      <w:pPr>
        <w:rPr>
          <w:rFonts w:eastAsia="Times New Roman"/>
          <w:lang w:eastAsia="en-GB"/>
        </w:rPr>
      </w:pPr>
      <w:r w:rsidRPr="002D1DD7">
        <w:rPr>
          <w:rFonts w:eastAsia="Times New Roman"/>
          <w:lang w:eastAsia="en-GB"/>
        </w:rPr>
        <w:t xml:space="preserve">A </w:t>
      </w:r>
      <w:r w:rsidR="00555827">
        <w:rPr>
          <w:rFonts w:eastAsia="Times New Roman"/>
          <w:lang w:eastAsia="en-GB"/>
        </w:rPr>
        <w:t>histology-independent</w:t>
      </w:r>
      <w:r w:rsidRPr="002D1DD7">
        <w:rPr>
          <w:rFonts w:eastAsia="Times New Roman"/>
          <w:lang w:eastAsia="en-GB"/>
        </w:rPr>
        <w:t xml:space="preserve"> marketing authorisation would likely include a large number of tumour sites. For example, larotrectinib enrolled patients across 1</w:t>
      </w:r>
      <w:r w:rsidR="00D84837">
        <w:rPr>
          <w:rFonts w:eastAsia="Times New Roman"/>
          <w:lang w:eastAsia="en-GB"/>
        </w:rPr>
        <w:t>2</w:t>
      </w:r>
      <w:r w:rsidRPr="002D1DD7">
        <w:rPr>
          <w:rFonts w:eastAsia="Times New Roman"/>
          <w:lang w:eastAsia="en-GB"/>
        </w:rPr>
        <w:t xml:space="preserve"> tumour types.</w:t>
      </w:r>
      <w:r w:rsidR="006F7FD7">
        <w:rPr>
          <w:rFonts w:eastAsia="Times New Roman"/>
          <w:lang w:eastAsia="en-GB"/>
        </w:rPr>
        <w:fldChar w:fldCharType="begin">
          <w:fldData xml:space="preserve">dHkgb2YgV2FzaGluZ3Rvbi1TZWF0dGxlIENhbmNlciBDYXJlIEFsbGlhbmNlIChDLkIuKSwgU2Vh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bXA7TkVXUz1OJmFtcDtQQUdFPWZ1bGx0ZXh0JmFtcDtEPW1lZDEzJmFtcDtBTj0yOTQ2NjE1NiYj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==
</w:fldData>
        </w:fldChar>
      </w:r>
      <w:r w:rsidR="000E66DE">
        <w:rPr>
          <w:rFonts w:eastAsia="Times New Roman"/>
          <w:lang w:eastAsia="en-GB"/>
        </w:rPr>
        <w:instrText xml:space="preserve"> ADDIN EN.CITE </w:instrText>
      </w:r>
      <w:r w:rsidR="000E66DE">
        <w:rPr>
          <w:rFonts w:eastAsia="Times New Roman"/>
          <w:lang w:eastAsia="en-GB"/>
        </w:rPr>
        <w:fldChar w:fldCharType="begin">
          <w:fldData xml:space="preserve">PEVuZE5vdGU+PENpdGU+PEF1dGhvcj5Ecmlsb248L0F1dGhvcj48WWVhcj4yMDE4PC9ZZWFyPjxS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==
</w:fldData>
        </w:fldChar>
      </w:r>
      <w:r w:rsidR="000E66DE">
        <w:rPr>
          <w:rFonts w:eastAsia="Times New Roman"/>
          <w:lang w:eastAsia="en-GB"/>
        </w:rPr>
        <w:instrText xml:space="preserve"> ADDIN EN.CITE.DATA </w:instrText>
      </w:r>
      <w:r w:rsidR="000E66DE">
        <w:rPr>
          <w:rFonts w:eastAsia="Times New Roman"/>
          <w:lang w:eastAsia="en-GB"/>
        </w:rPr>
      </w:r>
      <w:r w:rsidR="000E66DE">
        <w:rPr>
          <w:rFonts w:eastAsia="Times New Roman"/>
          <w:lang w:eastAsia="en-GB"/>
        </w:rPr>
        <w:fldChar w:fldCharType="end"/>
      </w:r>
      <w:r w:rsidR="000E66DE">
        <w:rPr>
          <w:rFonts w:eastAsia="Times New Roman"/>
          <w:lang w:eastAsia="en-GB"/>
        </w:rPr>
        <w:fldChar w:fldCharType="begin">
          <w:fldData xml:space="preserve">ZXN0IFZpcmdpbmlhIFVuaXZlcnNpdHksIE1vcmdhbnRvd24gKFAuQy5NLikuJiN4RDtGZWRlcm1h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==
</w:fldData>
        </w:fldChar>
      </w:r>
      <w:r w:rsidR="000E66DE">
        <w:rPr>
          <w:rFonts w:eastAsia="Times New Roman"/>
          <w:lang w:eastAsia="en-GB"/>
        </w:rPr>
        <w:instrText xml:space="preserve"> ADDIN EN.CITE.DATA </w:instrText>
      </w:r>
      <w:r w:rsidR="000E66DE">
        <w:rPr>
          <w:rFonts w:eastAsia="Times New Roman"/>
          <w:lang w:eastAsia="en-GB"/>
        </w:rPr>
      </w:r>
      <w:r w:rsidR="000E66DE">
        <w:rPr>
          <w:rFonts w:eastAsia="Times New Roman"/>
          <w:lang w:eastAsia="en-GB"/>
        </w:rPr>
        <w:fldChar w:fldCharType="end"/>
      </w:r>
      <w:r w:rsidR="000E66DE">
        <w:rPr>
          <w:rFonts w:eastAsia="Times New Roman"/>
          <w:lang w:eastAsia="en-GB"/>
        </w:rPr>
        <w:fldChar w:fldCharType="begin">
          <w:fldData xml:space="preserve">dHkgb2YgV2FzaGluZ3Rvbi1TZWF0dGxlIENhbmNlciBDYXJlIEFsbGlhbmNlIChDLkIuKSwgU2Vh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bXA7TkVXUz1OJmFtcDtQQUdFPWZ1bGx0ZXh0JmFtcDtEPW1lZDEzJmFtcDtBTj0yOTQ2NjE1NiYj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==
</w:fldData>
        </w:fldChar>
      </w:r>
      <w:r w:rsidR="000E66DE">
        <w:rPr>
          <w:rFonts w:eastAsia="Times New Roman"/>
          <w:lang w:eastAsia="en-GB"/>
        </w:rPr>
        <w:instrText xml:space="preserve"> ADDIN EN.CITE.DATA </w:instrText>
      </w:r>
      <w:r w:rsidR="000E66DE">
        <w:rPr>
          <w:rFonts w:eastAsia="Times New Roman"/>
          <w:lang w:eastAsia="en-GB"/>
        </w:rPr>
      </w:r>
      <w:r w:rsidR="000E66DE">
        <w:rPr>
          <w:rFonts w:eastAsia="Times New Roman"/>
          <w:lang w:eastAsia="en-GB"/>
        </w:rPr>
        <w:fldChar w:fldCharType="end"/>
      </w:r>
      <w:r w:rsidR="006F7FD7">
        <w:rPr>
          <w:rFonts w:eastAsia="Times New Roman"/>
          <w:lang w:eastAsia="en-GB"/>
        </w:rPr>
      </w:r>
      <w:r w:rsidR="006F7FD7">
        <w:rPr>
          <w:rFonts w:eastAsia="Times New Roman"/>
          <w:lang w:eastAsia="en-GB"/>
        </w:rPr>
        <w:fldChar w:fldCharType="separate"/>
      </w:r>
      <w:r w:rsidR="006F7FD7" w:rsidRPr="006F7FD7">
        <w:rPr>
          <w:rFonts w:eastAsia="Times New Roman"/>
          <w:noProof/>
          <w:vertAlign w:val="superscript"/>
          <w:lang w:eastAsia="en-GB"/>
        </w:rPr>
        <w:t>3</w:t>
      </w:r>
      <w:r w:rsidR="006F7FD7">
        <w:rPr>
          <w:rFonts w:eastAsia="Times New Roman"/>
          <w:lang w:eastAsia="en-GB"/>
        </w:rPr>
        <w:fldChar w:fldCharType="end"/>
      </w:r>
      <w:r w:rsidR="00D84837">
        <w:rPr>
          <w:rFonts w:eastAsia="Times New Roman"/>
          <w:lang w:eastAsia="en-GB"/>
        </w:rPr>
        <w:t xml:space="preserve"> </w:t>
      </w:r>
      <w:r w:rsidR="00FE58FF">
        <w:rPr>
          <w:rFonts w:eastAsia="Times New Roman"/>
          <w:lang w:eastAsia="en-GB"/>
        </w:rPr>
        <w:t xml:space="preserve">As it is </w:t>
      </w:r>
      <w:r w:rsidR="000C737A">
        <w:rPr>
          <w:rFonts w:eastAsia="Times New Roman"/>
          <w:lang w:eastAsia="en-GB"/>
        </w:rPr>
        <w:t>unlikely to be</w:t>
      </w:r>
      <w:r w:rsidRPr="002D1DD7">
        <w:rPr>
          <w:rFonts w:eastAsia="Times New Roman"/>
          <w:lang w:eastAsia="en-GB"/>
        </w:rPr>
        <w:t xml:space="preserve"> feasibl</w:t>
      </w:r>
      <w:r w:rsidR="00FE58FF">
        <w:rPr>
          <w:rFonts w:eastAsia="Times New Roman"/>
          <w:lang w:eastAsia="en-GB"/>
        </w:rPr>
        <w:t xml:space="preserve">e </w:t>
      </w:r>
      <w:r w:rsidR="000C737A">
        <w:rPr>
          <w:rFonts w:eastAsia="Times New Roman"/>
          <w:lang w:eastAsia="en-GB"/>
        </w:rPr>
        <w:t xml:space="preserve">or desirable </w:t>
      </w:r>
      <w:r w:rsidR="00FE58FF">
        <w:rPr>
          <w:rFonts w:eastAsia="Times New Roman"/>
          <w:lang w:eastAsia="en-GB"/>
        </w:rPr>
        <w:t>to</w:t>
      </w:r>
      <w:r w:rsidRPr="002D1DD7">
        <w:rPr>
          <w:rFonts w:eastAsia="Times New Roman"/>
          <w:lang w:eastAsia="en-GB"/>
        </w:rPr>
        <w:t xml:space="preserve"> conduct a separate appraisal for each tumour site contained within a </w:t>
      </w:r>
      <w:r w:rsidR="00555827">
        <w:rPr>
          <w:rFonts w:eastAsia="Times New Roman"/>
          <w:lang w:eastAsia="en-GB"/>
        </w:rPr>
        <w:t>histology-independent</w:t>
      </w:r>
      <w:r w:rsidRPr="002D1DD7">
        <w:rPr>
          <w:rFonts w:eastAsia="Times New Roman"/>
          <w:lang w:eastAsia="en-GB"/>
        </w:rPr>
        <w:t xml:space="preserve"> indication, NICE will need to consider how to develop a process/approach that will allow a single, biomarker-driven appraisa</w:t>
      </w:r>
      <w:r w:rsidR="003A2610" w:rsidRPr="002D1DD7">
        <w:rPr>
          <w:rFonts w:eastAsia="Times New Roman"/>
          <w:lang w:eastAsia="en-GB"/>
        </w:rPr>
        <w:t xml:space="preserve">l for </w:t>
      </w:r>
      <w:r w:rsidR="00555827">
        <w:rPr>
          <w:rFonts w:eastAsia="Times New Roman"/>
          <w:lang w:eastAsia="en-GB"/>
        </w:rPr>
        <w:t>histology-independent</w:t>
      </w:r>
      <w:r w:rsidR="003A2610" w:rsidRPr="002D1DD7">
        <w:rPr>
          <w:rFonts w:eastAsia="Times New Roman"/>
          <w:lang w:eastAsia="en-GB"/>
        </w:rPr>
        <w:t xml:space="preserve"> cancer drug</w:t>
      </w:r>
      <w:r w:rsidR="002E766E" w:rsidRPr="002D1DD7">
        <w:rPr>
          <w:rFonts w:eastAsia="Times New Roman"/>
          <w:lang w:eastAsia="en-GB"/>
        </w:rPr>
        <w:t>s</w:t>
      </w:r>
      <w:r w:rsidR="003A2610" w:rsidRPr="002D1DD7">
        <w:rPr>
          <w:rFonts w:eastAsia="Times New Roman"/>
          <w:lang w:eastAsia="en-GB"/>
        </w:rPr>
        <w:t>.</w:t>
      </w:r>
    </w:p>
    <w:p w14:paraId="40B47CDB" w14:textId="00157C30" w:rsidR="003A2610" w:rsidRPr="002D1DD7" w:rsidRDefault="003A2610" w:rsidP="003A2610">
      <w:r w:rsidRPr="002D1DD7">
        <w:t xml:space="preserve">This research </w:t>
      </w:r>
      <w:r w:rsidR="0076013D">
        <w:t>aims</w:t>
      </w:r>
      <w:r w:rsidRPr="002D1DD7">
        <w:t xml:space="preserve"> to inform future NICE policy on how to appraise cancer drugs with </w:t>
      </w:r>
      <w:r w:rsidR="00555827">
        <w:t>histology-independent</w:t>
      </w:r>
      <w:r w:rsidRPr="002D1DD7">
        <w:t xml:space="preserve"> indications. </w:t>
      </w:r>
    </w:p>
    <w:p w14:paraId="51FDA53F" w14:textId="77777777" w:rsidR="003A2610" w:rsidRPr="002D1DD7" w:rsidRDefault="003A2610" w:rsidP="00EC11CD">
      <w:pPr>
        <w:pStyle w:val="Heading2"/>
      </w:pPr>
      <w:bookmarkStart w:id="12" w:name="_Toc33776146"/>
      <w:r w:rsidRPr="002D1DD7">
        <w:t>Aims and objectives</w:t>
      </w:r>
      <w:bookmarkEnd w:id="12"/>
    </w:p>
    <w:p w14:paraId="7E82E842" w14:textId="54CD1CA2" w:rsidR="003A2610" w:rsidRPr="002D1DD7" w:rsidRDefault="003A2610" w:rsidP="003A2610">
      <w:r w:rsidRPr="002D1DD7">
        <w:t xml:space="preserve">The main aim of the project is to explore the implications for the NICE technology appraisal </w:t>
      </w:r>
      <w:r w:rsidR="00A56954">
        <w:t xml:space="preserve">(TA) </w:t>
      </w:r>
      <w:r w:rsidRPr="002D1DD7">
        <w:t>pro</w:t>
      </w:r>
      <w:r w:rsidR="00545476" w:rsidRPr="002D1DD7">
        <w:t>cess</w:t>
      </w:r>
      <w:r w:rsidRPr="002D1DD7">
        <w:t xml:space="preserve"> of appraising </w:t>
      </w:r>
      <w:r w:rsidR="00555827">
        <w:t>histology-independent</w:t>
      </w:r>
      <w:r w:rsidRPr="002D1DD7">
        <w:t xml:space="preserve"> products. The specific objectives are:</w:t>
      </w:r>
    </w:p>
    <w:p w14:paraId="7F151EB0" w14:textId="1998C613" w:rsidR="00B16627" w:rsidRPr="002D1DD7" w:rsidRDefault="00B16627" w:rsidP="009A66EC">
      <w:pPr>
        <w:numPr>
          <w:ilvl w:val="0"/>
          <w:numId w:val="93"/>
        </w:numPr>
      </w:pPr>
      <w:r w:rsidRPr="002D1DD7">
        <w:t>To determine the types of evidence and analyses required to support NICE appraisals</w:t>
      </w:r>
      <w:r w:rsidR="00CC7191" w:rsidRPr="002D1DD7">
        <w:t xml:space="preserve"> of </w:t>
      </w:r>
      <w:r w:rsidR="00555827">
        <w:t>histology-independent</w:t>
      </w:r>
      <w:r w:rsidR="00CC7191" w:rsidRPr="002D1DD7">
        <w:t xml:space="preserve"> products</w:t>
      </w:r>
      <w:r w:rsidRPr="002D1DD7">
        <w:t>.</w:t>
      </w:r>
    </w:p>
    <w:p w14:paraId="684749BC" w14:textId="505EF4B1" w:rsidR="003A2610" w:rsidRDefault="00B16627" w:rsidP="009A66EC">
      <w:pPr>
        <w:numPr>
          <w:ilvl w:val="0"/>
          <w:numId w:val="93"/>
        </w:numPr>
      </w:pPr>
      <w:r w:rsidRPr="002D1DD7">
        <w:t xml:space="preserve">To identify the nature of </w:t>
      </w:r>
      <w:r w:rsidR="00EB2D1B">
        <w:t xml:space="preserve">the </w:t>
      </w:r>
      <w:r w:rsidRPr="002D1DD7">
        <w:t>evidence likely to be available at the point of marketing authorisation.</w:t>
      </w:r>
    </w:p>
    <w:p w14:paraId="2735AAE7" w14:textId="71B1FE20" w:rsidR="00555827" w:rsidRPr="002D1DD7" w:rsidRDefault="00555827" w:rsidP="009A66EC">
      <w:pPr>
        <w:pStyle w:val="ListParagraph"/>
        <w:numPr>
          <w:ilvl w:val="0"/>
          <w:numId w:val="93"/>
        </w:numPr>
      </w:pPr>
      <w:r w:rsidRPr="00555827">
        <w:t xml:space="preserve">To identify and implement </w:t>
      </w:r>
      <w:r w:rsidR="00A56954">
        <w:t xml:space="preserve">a case study </w:t>
      </w:r>
      <w:r w:rsidRPr="00555827">
        <w:t>to highlight methods and evidence challenges and to explore alternative ways of addressing these.</w:t>
      </w:r>
    </w:p>
    <w:p w14:paraId="11E49E9F" w14:textId="0F10A4FB" w:rsidR="003A2610" w:rsidRPr="002D1DD7" w:rsidRDefault="00B16627" w:rsidP="009A66EC">
      <w:pPr>
        <w:numPr>
          <w:ilvl w:val="0"/>
          <w:numId w:val="93"/>
        </w:numPr>
      </w:pPr>
      <w:r w:rsidRPr="002D1DD7">
        <w:t>To develop a conceptual framework to establish the evidence and analyses required to inform cost-effectiveness analyses and to guide NICE decision-making</w:t>
      </w:r>
      <w:r w:rsidR="00F10D01" w:rsidRPr="002D1DD7">
        <w:t xml:space="preserve"> and </w:t>
      </w:r>
      <w:r w:rsidR="00C347DC" w:rsidRPr="002D1DD7">
        <w:t xml:space="preserve">potential </w:t>
      </w:r>
      <w:r w:rsidR="00F10D01" w:rsidRPr="002D1DD7">
        <w:t xml:space="preserve">Cancer Drugs Fund (CDF) </w:t>
      </w:r>
      <w:r w:rsidR="00D6246C" w:rsidRPr="002D1DD7">
        <w:t xml:space="preserve">data collection </w:t>
      </w:r>
      <w:r w:rsidR="00A64995" w:rsidRPr="002D1DD7">
        <w:t>requirements</w:t>
      </w:r>
      <w:r w:rsidRPr="002D1DD7">
        <w:t>.</w:t>
      </w:r>
    </w:p>
    <w:p w14:paraId="1A9F2DEE" w14:textId="63DAFDE7" w:rsidR="003A2610" w:rsidRPr="002D1DD7" w:rsidRDefault="00B16627" w:rsidP="009A66EC">
      <w:pPr>
        <w:numPr>
          <w:ilvl w:val="0"/>
          <w:numId w:val="93"/>
        </w:numPr>
      </w:pPr>
      <w:r w:rsidRPr="002D1DD7">
        <w:t xml:space="preserve">To suggest any specific changes to the </w:t>
      </w:r>
      <w:r w:rsidR="002E766E" w:rsidRPr="002D1DD7">
        <w:t xml:space="preserve">current </w:t>
      </w:r>
      <w:r w:rsidRPr="002D1DD7">
        <w:t>NICE method</w:t>
      </w:r>
      <w:r w:rsidR="00817B20" w:rsidRPr="002D1DD7">
        <w:t>s</w:t>
      </w:r>
      <w:r w:rsidRPr="002D1DD7">
        <w:t xml:space="preserve"> guide</w:t>
      </w:r>
      <w:r w:rsidR="006F7FD7">
        <w:fldChar w:fldCharType="begin"/>
      </w:r>
      <w:r w:rsidR="006F7FD7">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rsidR="006F7FD7">
        <w:fldChar w:fldCharType="separate"/>
      </w:r>
      <w:r w:rsidR="006F7FD7" w:rsidRPr="006F7FD7">
        <w:rPr>
          <w:noProof/>
          <w:vertAlign w:val="superscript"/>
        </w:rPr>
        <w:t>4</w:t>
      </w:r>
      <w:r w:rsidR="006F7FD7">
        <w:fldChar w:fldCharType="end"/>
      </w:r>
      <w:r w:rsidR="00D6492A">
        <w:t xml:space="preserve"> </w:t>
      </w:r>
      <w:r w:rsidRPr="002D1DD7">
        <w:t xml:space="preserve">for technology appraisals or additional requirements relating to </w:t>
      </w:r>
      <w:r w:rsidR="00555827">
        <w:t>histology-independent</w:t>
      </w:r>
      <w:r w:rsidRPr="002D1DD7">
        <w:t xml:space="preserve"> drugs</w:t>
      </w:r>
      <w:r w:rsidR="00232E18" w:rsidRPr="002D1DD7">
        <w:t>.</w:t>
      </w:r>
      <w:r w:rsidRPr="002D1DD7">
        <w:t xml:space="preserve"> </w:t>
      </w:r>
    </w:p>
    <w:p w14:paraId="67B1C000" w14:textId="2E3EE3A2" w:rsidR="003A2610" w:rsidRPr="002D1DD7" w:rsidRDefault="00B16627" w:rsidP="009A66EC">
      <w:pPr>
        <w:numPr>
          <w:ilvl w:val="0"/>
          <w:numId w:val="93"/>
        </w:numPr>
      </w:pPr>
      <w:r w:rsidRPr="002D1DD7">
        <w:lastRenderedPageBreak/>
        <w:t xml:space="preserve">To make recommendations for further methodological research. </w:t>
      </w:r>
    </w:p>
    <w:p w14:paraId="28424D90" w14:textId="758890FC" w:rsidR="008E60D6" w:rsidRPr="002D1DD7" w:rsidRDefault="00A56954" w:rsidP="008E60D6">
      <w:r>
        <w:t xml:space="preserve">Objectives 1 and 2 are addressed in </w:t>
      </w:r>
      <w:r w:rsidR="00157E31">
        <w:t xml:space="preserve">Chapters </w:t>
      </w:r>
      <w:r w:rsidR="008E60D6">
        <w:fldChar w:fldCharType="begin"/>
      </w:r>
      <w:r w:rsidR="008E60D6">
        <w:instrText xml:space="preserve"> REF _Ref27558753 \w \h </w:instrText>
      </w:r>
      <w:r w:rsidR="008E60D6">
        <w:fldChar w:fldCharType="separate"/>
      </w:r>
      <w:r w:rsidR="00C663A2">
        <w:t>2</w:t>
      </w:r>
      <w:r w:rsidR="008E60D6">
        <w:fldChar w:fldCharType="end"/>
      </w:r>
      <w:r w:rsidR="008E60D6">
        <w:t>-</w:t>
      </w:r>
      <w:r w:rsidR="008E60D6">
        <w:fldChar w:fldCharType="begin"/>
      </w:r>
      <w:r w:rsidR="008E60D6">
        <w:instrText xml:space="preserve"> REF _Ref31542614 \w \h </w:instrText>
      </w:r>
      <w:r w:rsidR="008E60D6">
        <w:fldChar w:fldCharType="separate"/>
      </w:r>
      <w:r w:rsidR="00C663A2">
        <w:t>5</w:t>
      </w:r>
      <w:r w:rsidR="008E60D6">
        <w:fldChar w:fldCharType="end"/>
      </w:r>
      <w:r>
        <w:t xml:space="preserve">. </w:t>
      </w:r>
      <w:r w:rsidR="008E60D6" w:rsidRPr="002D1DD7">
        <w:t>We undertook a series of targeted reviews to determine the type of evidence that is likely to be available at the point of marketing authorisation and to consider the evidence and analyses likely to be required to support a NICE appraisal.</w:t>
      </w:r>
    </w:p>
    <w:p w14:paraId="12A66090" w14:textId="77777777" w:rsidR="008E60D6" w:rsidRPr="002D1DD7" w:rsidRDefault="008E60D6" w:rsidP="008E60D6">
      <w:r w:rsidRPr="002D1DD7">
        <w:t>These reviews included:</w:t>
      </w:r>
    </w:p>
    <w:p w14:paraId="13D32039" w14:textId="0EBF6DD1" w:rsidR="008E60D6" w:rsidRPr="002D1DD7" w:rsidRDefault="008E60D6" w:rsidP="009A66EC">
      <w:pPr>
        <w:pStyle w:val="ListParagraph"/>
        <w:numPr>
          <w:ilvl w:val="0"/>
          <w:numId w:val="8"/>
        </w:numPr>
      </w:pPr>
      <w:r w:rsidRPr="002D1DD7">
        <w:t xml:space="preserve">A review of FDA and EMA websites to identify relevant documents relating to regulatory issues and benefit-risk approaches relevant for </w:t>
      </w:r>
      <w:r>
        <w:t>histology-independent</w:t>
      </w:r>
      <w:r w:rsidRPr="002D1DD7">
        <w:t xml:space="preserve"> indications</w:t>
      </w:r>
      <w:r>
        <w:t xml:space="preserve"> (Chapter </w:t>
      </w:r>
      <w:r>
        <w:fldChar w:fldCharType="begin"/>
      </w:r>
      <w:r>
        <w:instrText xml:space="preserve"> REF _Ref27558753 \w \h </w:instrText>
      </w:r>
      <w:r>
        <w:fldChar w:fldCharType="separate"/>
      </w:r>
      <w:r w:rsidR="00C663A2">
        <w:t>2</w:t>
      </w:r>
      <w:r>
        <w:fldChar w:fldCharType="end"/>
      </w:r>
      <w:r>
        <w:t>)</w:t>
      </w:r>
      <w:r w:rsidRPr="002D1DD7">
        <w:t>.</w:t>
      </w:r>
    </w:p>
    <w:p w14:paraId="2587EF1E" w14:textId="3C4D5639" w:rsidR="008E60D6" w:rsidRPr="002D1DD7" w:rsidRDefault="008E60D6" w:rsidP="009A66EC">
      <w:pPr>
        <w:pStyle w:val="ListParagraph"/>
        <w:numPr>
          <w:ilvl w:val="0"/>
          <w:numId w:val="8"/>
        </w:numPr>
      </w:pPr>
      <w:r w:rsidRPr="002D1DD7">
        <w:t xml:space="preserve">An overview of key statistical literature addressing the design and analysis of </w:t>
      </w:r>
      <w:r>
        <w:t>histology-independent</w:t>
      </w:r>
      <w:r w:rsidRPr="002D1DD7">
        <w:t xml:space="preserve"> trials</w:t>
      </w:r>
      <w:r>
        <w:t xml:space="preserve"> (Chapter </w:t>
      </w:r>
      <w:r>
        <w:fldChar w:fldCharType="begin"/>
      </w:r>
      <w:r>
        <w:instrText xml:space="preserve"> REF _Ref27389311 \w \h </w:instrText>
      </w:r>
      <w:r>
        <w:fldChar w:fldCharType="separate"/>
      </w:r>
      <w:r w:rsidR="00C663A2">
        <w:t>3</w:t>
      </w:r>
      <w:r>
        <w:fldChar w:fldCharType="end"/>
      </w:r>
      <w:r>
        <w:t>)</w:t>
      </w:r>
      <w:r w:rsidRPr="002D1DD7">
        <w:t>.</w:t>
      </w:r>
    </w:p>
    <w:p w14:paraId="6AED2584" w14:textId="376923E4" w:rsidR="008E60D6" w:rsidRPr="002D1DD7" w:rsidRDefault="008E60D6" w:rsidP="009A66EC">
      <w:pPr>
        <w:pStyle w:val="ListParagraph"/>
        <w:numPr>
          <w:ilvl w:val="0"/>
          <w:numId w:val="8"/>
        </w:numPr>
      </w:pPr>
      <w:r w:rsidRPr="002D1DD7">
        <w:t xml:space="preserve">A systematic review to identify published meta-analyses evaluating the use of </w:t>
      </w:r>
      <w:r w:rsidRPr="00157E31">
        <w:t>overall response rate</w:t>
      </w:r>
      <w:r w:rsidRPr="002D1DD7">
        <w:t xml:space="preserve"> </w:t>
      </w:r>
      <w:r>
        <w:t>(</w:t>
      </w:r>
      <w:r w:rsidRPr="002D1DD7">
        <w:t>ORR</w:t>
      </w:r>
      <w:r>
        <w:t>)</w:t>
      </w:r>
      <w:r w:rsidRPr="002D1DD7">
        <w:t xml:space="preserve"> and </w:t>
      </w:r>
      <w:r w:rsidRPr="00157E31">
        <w:t>duration of response</w:t>
      </w:r>
      <w:r w:rsidRPr="002D1DD7">
        <w:t xml:space="preserve"> </w:t>
      </w:r>
      <w:r>
        <w:t>(</w:t>
      </w:r>
      <w:r w:rsidRPr="002D1DD7">
        <w:t>D</w:t>
      </w:r>
      <w:r>
        <w:t>o</w:t>
      </w:r>
      <w:r w:rsidRPr="002D1DD7">
        <w:t>R</w:t>
      </w:r>
      <w:r>
        <w:t>)</w:t>
      </w:r>
      <w:r w:rsidRPr="002D1DD7">
        <w:t xml:space="preserve"> as surrogate endpoints for </w:t>
      </w:r>
      <w:r w:rsidRPr="00157E31">
        <w:t>progression-free (PFS) and overall survival (OS)</w:t>
      </w:r>
      <w:r>
        <w:t xml:space="preserve"> (Chapter </w:t>
      </w:r>
      <w:r>
        <w:fldChar w:fldCharType="begin"/>
      </w:r>
      <w:r>
        <w:instrText xml:space="preserve"> REF _Ref27555366 \w \h </w:instrText>
      </w:r>
      <w:r>
        <w:fldChar w:fldCharType="separate"/>
      </w:r>
      <w:r w:rsidR="00C663A2">
        <w:t>4</w:t>
      </w:r>
      <w:r>
        <w:fldChar w:fldCharType="end"/>
      </w:r>
      <w:r>
        <w:t>)</w:t>
      </w:r>
      <w:r w:rsidRPr="002D1DD7">
        <w:t>.</w:t>
      </w:r>
    </w:p>
    <w:p w14:paraId="26C52E11" w14:textId="2F9E8A2E" w:rsidR="008E60D6" w:rsidRPr="002D1DD7" w:rsidRDefault="008E60D6" w:rsidP="009A66EC">
      <w:pPr>
        <w:pStyle w:val="ListParagraph"/>
        <w:numPr>
          <w:ilvl w:val="0"/>
          <w:numId w:val="8"/>
        </w:numPr>
      </w:pPr>
      <w:r w:rsidRPr="002D1DD7">
        <w:t xml:space="preserve">A targeted review of published NICE technology appraisals where marketing authorisation was based on </w:t>
      </w:r>
      <w:r>
        <w:t>single-arm studies</w:t>
      </w:r>
      <w:r w:rsidRPr="002D1DD7">
        <w:t xml:space="preserve"> using ORR as a primary outcome</w:t>
      </w:r>
      <w:r>
        <w:t xml:space="preserve"> (Chapter </w:t>
      </w:r>
      <w:r>
        <w:fldChar w:fldCharType="begin"/>
      </w:r>
      <w:r>
        <w:instrText xml:space="preserve"> REF _Ref31542772 \w \h </w:instrText>
      </w:r>
      <w:r>
        <w:fldChar w:fldCharType="separate"/>
      </w:r>
      <w:r w:rsidR="00C663A2">
        <w:t>5</w:t>
      </w:r>
      <w:r>
        <w:fldChar w:fldCharType="end"/>
      </w:r>
      <w:r>
        <w:t>)</w:t>
      </w:r>
      <w:r w:rsidRPr="002D1DD7">
        <w:t>.</w:t>
      </w:r>
    </w:p>
    <w:p w14:paraId="3CE59A85" w14:textId="210AE70B" w:rsidR="00157E31" w:rsidRDefault="00A309B8" w:rsidP="006C74B9">
      <w:r>
        <w:t>Objectives 3 a</w:t>
      </w:r>
      <w:r w:rsidR="00EB2D1B">
        <w:t xml:space="preserve">nd 4 are addressed in Chapters </w:t>
      </w:r>
      <w:r w:rsidR="00EB2D1B">
        <w:fldChar w:fldCharType="begin"/>
      </w:r>
      <w:r w:rsidR="00EB2D1B">
        <w:instrText xml:space="preserve"> REF _Ref27556857 \w \h </w:instrText>
      </w:r>
      <w:r w:rsidR="00EB2D1B">
        <w:fldChar w:fldCharType="separate"/>
      </w:r>
      <w:r w:rsidR="00C663A2">
        <w:t>6</w:t>
      </w:r>
      <w:r w:rsidR="00EB2D1B">
        <w:fldChar w:fldCharType="end"/>
      </w:r>
      <w:r w:rsidR="00EB2D1B">
        <w:t xml:space="preserve"> and </w:t>
      </w:r>
      <w:r w:rsidR="00EB2D1B">
        <w:fldChar w:fldCharType="begin"/>
      </w:r>
      <w:r w:rsidR="00EB2D1B">
        <w:instrText xml:space="preserve"> REF _Ref31542639 \w \h </w:instrText>
      </w:r>
      <w:r w:rsidR="00EB2D1B">
        <w:fldChar w:fldCharType="separate"/>
      </w:r>
      <w:r w:rsidR="00C663A2">
        <w:t>7</w:t>
      </w:r>
      <w:r w:rsidR="00EB2D1B">
        <w:fldChar w:fldCharType="end"/>
      </w:r>
      <w:r>
        <w:t xml:space="preserve">. Chapter </w:t>
      </w:r>
      <w:r w:rsidR="00EB2D1B">
        <w:fldChar w:fldCharType="begin"/>
      </w:r>
      <w:r w:rsidR="00EB2D1B">
        <w:instrText xml:space="preserve"> REF _Ref27556857 \w \h </w:instrText>
      </w:r>
      <w:r w:rsidR="00EB2D1B">
        <w:fldChar w:fldCharType="separate"/>
      </w:r>
      <w:r w:rsidR="00C663A2">
        <w:t>6</w:t>
      </w:r>
      <w:r w:rsidR="00EB2D1B">
        <w:fldChar w:fldCharType="end"/>
      </w:r>
      <w:r>
        <w:t xml:space="preserve"> outlines</w:t>
      </w:r>
      <w:r w:rsidRPr="00A309B8">
        <w:t xml:space="preserve"> a </w:t>
      </w:r>
      <w:r w:rsidR="00571063">
        <w:t>series of</w:t>
      </w:r>
      <w:r w:rsidRPr="00A309B8">
        <w:t xml:space="preserve"> challenges for histology-independent appraisals and present alternative approaches which might be used to investigate and account for different sources of uncertainty</w:t>
      </w:r>
      <w:r w:rsidR="00EB2D1B">
        <w:t xml:space="preserve"> and heterogeneity. Chapter </w:t>
      </w:r>
      <w:r w:rsidR="00EB2D1B">
        <w:fldChar w:fldCharType="begin"/>
      </w:r>
      <w:r w:rsidR="00EB2D1B">
        <w:instrText xml:space="preserve"> REF _Ref31542639 \w \h </w:instrText>
      </w:r>
      <w:r w:rsidR="00EB2D1B">
        <w:fldChar w:fldCharType="separate"/>
      </w:r>
      <w:r w:rsidR="00C663A2">
        <w:t>7</w:t>
      </w:r>
      <w:r w:rsidR="00EB2D1B">
        <w:fldChar w:fldCharType="end"/>
      </w:r>
      <w:r>
        <w:t xml:space="preserve"> presents </w:t>
      </w:r>
      <w:r w:rsidRPr="00A309B8">
        <w:t xml:space="preserve">an exemplar economic model to illustrate the nature of the assessments that could be used to assess the cost-effectiveness of a new histology-independent treatment and to inform NICE decision-making. </w:t>
      </w:r>
      <w:r>
        <w:t>A</w:t>
      </w:r>
      <w:r w:rsidRPr="00A309B8">
        <w:t xml:space="preserve"> framework </w:t>
      </w:r>
      <w:r w:rsidR="00D90104" w:rsidRPr="00D90104">
        <w:t xml:space="preserve">to inform approval and research policies for histology-independent technologies </w:t>
      </w:r>
      <w:r>
        <w:t xml:space="preserve">is proposed to help </w:t>
      </w:r>
      <w:r w:rsidR="00571063">
        <w:t>determine</w:t>
      </w:r>
      <w:r>
        <w:t xml:space="preserve"> </w:t>
      </w:r>
      <w:r w:rsidRPr="00A309B8">
        <w:t xml:space="preserve">the appropriateness of different </w:t>
      </w:r>
      <w:r>
        <w:t xml:space="preserve">policy </w:t>
      </w:r>
      <w:r w:rsidRPr="00A309B8">
        <w:t>recommendations</w:t>
      </w:r>
      <w:r>
        <w:t xml:space="preserve"> and </w:t>
      </w:r>
      <w:r w:rsidR="00571063">
        <w:t xml:space="preserve">to </w:t>
      </w:r>
      <w:r w:rsidRPr="00A309B8">
        <w:t>identify key uncertainties which might be used to inform and prioritise the value of further data collection</w:t>
      </w:r>
      <w:r>
        <w:t xml:space="preserve">. </w:t>
      </w:r>
      <w:r w:rsidRPr="00A309B8">
        <w:t xml:space="preserve"> </w:t>
      </w:r>
    </w:p>
    <w:p w14:paraId="021A9DAE" w14:textId="7DE3DE10" w:rsidR="00A56954" w:rsidRPr="002D1DD7" w:rsidRDefault="00A309B8" w:rsidP="006C74B9">
      <w:r>
        <w:t xml:space="preserve">Objectives 5 and 6 </w:t>
      </w:r>
      <w:r w:rsidR="00EB2D1B">
        <w:t xml:space="preserve">are addressed in Chapter </w:t>
      </w:r>
      <w:r w:rsidR="00EB2D1B">
        <w:fldChar w:fldCharType="begin"/>
      </w:r>
      <w:r w:rsidR="00EB2D1B">
        <w:instrText xml:space="preserve"> REF _Ref31542680 \w \h </w:instrText>
      </w:r>
      <w:r w:rsidR="00EB2D1B">
        <w:fldChar w:fldCharType="separate"/>
      </w:r>
      <w:r w:rsidR="00C663A2">
        <w:t>8</w:t>
      </w:r>
      <w:r w:rsidR="00EB2D1B">
        <w:fldChar w:fldCharType="end"/>
      </w:r>
      <w:r>
        <w:t xml:space="preserve">. Based on the findings of the research, a series of recommendations are provided concerning whether changes in the current NICE methods guide are required for the appraisal of histology-independent products. </w:t>
      </w:r>
      <w:r w:rsidR="0003702B">
        <w:t>Finally, a series of recommendations are provided concerning priorities for further methodological research.</w:t>
      </w:r>
      <w:r w:rsidR="0003702B">
        <w:br w:type="page"/>
      </w:r>
    </w:p>
    <w:p w14:paraId="45CB6646" w14:textId="53E98CA4" w:rsidR="00193B93" w:rsidRPr="002D1DD7" w:rsidRDefault="00880205" w:rsidP="00DF1435">
      <w:pPr>
        <w:pStyle w:val="Heading1"/>
      </w:pPr>
      <w:bookmarkStart w:id="13" w:name="_Ref27558753"/>
      <w:bookmarkStart w:id="14" w:name="_Toc33776147"/>
      <w:bookmarkEnd w:id="2"/>
      <w:r w:rsidRPr="002D1DD7">
        <w:lastRenderedPageBreak/>
        <w:t>A r</w:t>
      </w:r>
      <w:r w:rsidR="003A2610" w:rsidRPr="002D1DD7">
        <w:t>eview of FDA and EMA</w:t>
      </w:r>
      <w:r w:rsidRPr="002D1DD7">
        <w:t xml:space="preserve"> </w:t>
      </w:r>
      <w:r w:rsidR="003A2610" w:rsidRPr="002D1DD7">
        <w:t xml:space="preserve">documents relating to regulatory issues and benefit-risk approaches relevant for </w:t>
      </w:r>
      <w:r w:rsidR="00555827">
        <w:t>histology-independent</w:t>
      </w:r>
      <w:r w:rsidR="003A2610" w:rsidRPr="002D1DD7">
        <w:t xml:space="preserve"> indications</w:t>
      </w:r>
      <w:bookmarkEnd w:id="13"/>
      <w:bookmarkEnd w:id="14"/>
    </w:p>
    <w:p w14:paraId="4444803E" w14:textId="091D497E" w:rsidR="00475822" w:rsidRPr="002D1DD7" w:rsidRDefault="00880205" w:rsidP="00880205">
      <w:r w:rsidRPr="002D1DD7">
        <w:t xml:space="preserve">A targeted </w:t>
      </w:r>
      <w:r w:rsidR="00EB662A" w:rsidRPr="002D1DD7">
        <w:t>search</w:t>
      </w:r>
      <w:r w:rsidRPr="002D1DD7">
        <w:t xml:space="preserve"> of the FDA and EMA websites was conducted to identify relevant documents </w:t>
      </w:r>
      <w:r w:rsidR="00081096" w:rsidRPr="002D1DD7">
        <w:t>outlining</w:t>
      </w:r>
      <w:r w:rsidRPr="002D1DD7">
        <w:t xml:space="preserve"> regulatory approaches to the evaluation of </w:t>
      </w:r>
      <w:r w:rsidR="00555827">
        <w:t>histology-independent</w:t>
      </w:r>
      <w:r w:rsidRPr="002D1DD7">
        <w:t xml:space="preserve"> indications. The FDA and EMA websites were searched using the following key terms: “</w:t>
      </w:r>
      <w:r w:rsidR="00555827">
        <w:t>histology-independent</w:t>
      </w:r>
      <w:r w:rsidRPr="002D1DD7">
        <w:t>”, “site-agnostic”, and “tissue-agnostic”.</w:t>
      </w:r>
      <w:r w:rsidR="00EB662A" w:rsidRPr="002D1DD7">
        <w:t xml:space="preserve"> A narrative review of relevant documents was undertaken to summarise</w:t>
      </w:r>
      <w:r w:rsidRPr="002D1DD7">
        <w:t xml:space="preserve"> regulatory requirements and guidance </w:t>
      </w:r>
      <w:r w:rsidR="00E71753" w:rsidRPr="002D1DD7">
        <w:t xml:space="preserve">including arrangements for </w:t>
      </w:r>
      <w:r w:rsidRPr="002D1DD7">
        <w:t>post-licensing data collection. The objective was to provide insights into the current regulatory context for the benefit-risk evaluations performed by FDA and EMA and to consider their relevance for economic modelling</w:t>
      </w:r>
      <w:r w:rsidR="00475822" w:rsidRPr="002D1DD7">
        <w:t>.</w:t>
      </w:r>
    </w:p>
    <w:p w14:paraId="594B8CC9" w14:textId="36043656" w:rsidR="00880205" w:rsidRPr="002D1DD7" w:rsidRDefault="00475822" w:rsidP="00880205">
      <w:r w:rsidRPr="002D1DD7">
        <w:t xml:space="preserve">It is likely </w:t>
      </w:r>
      <w:r w:rsidR="00880205" w:rsidRPr="002D1DD7">
        <w:t>that histology-independent approvals will be granted via accelerated or conditional approval processes</w:t>
      </w:r>
      <w:r w:rsidRPr="002D1DD7">
        <w:t xml:space="preserve"> from the FDA and EMA. Hence, t</w:t>
      </w:r>
      <w:r w:rsidR="00880205" w:rsidRPr="002D1DD7">
        <w:t xml:space="preserve">he narrative review was supplemented with relevant regulatory documents related to these processes. The list of identified regulatory sources considered is reported in </w:t>
      </w:r>
      <w:r w:rsidR="00F929B3" w:rsidRPr="002D1DD7">
        <w:t>Appendix 1</w:t>
      </w:r>
      <w:r w:rsidR="00880205" w:rsidRPr="002D1DD7">
        <w:t>.</w:t>
      </w:r>
    </w:p>
    <w:p w14:paraId="4264E1BF" w14:textId="61C7CF7C" w:rsidR="00880205" w:rsidRPr="002D1DD7" w:rsidRDefault="00880205" w:rsidP="00880205">
      <w:r w:rsidRPr="002D1DD7">
        <w:t xml:space="preserve">The </w:t>
      </w:r>
      <w:r w:rsidR="00EB662A" w:rsidRPr="002D1DD7">
        <w:t xml:space="preserve">targeted </w:t>
      </w:r>
      <w:r w:rsidRPr="002D1DD7">
        <w:t>searches were also used to identify any completed FDA</w:t>
      </w:r>
      <w:r w:rsidR="00E71753" w:rsidRPr="002D1DD7">
        <w:t>/Oncologic Drugs Advisory Committee (ODAC)</w:t>
      </w:r>
      <w:r w:rsidRPr="002D1DD7">
        <w:t xml:space="preserve"> and </w:t>
      </w:r>
      <w:r w:rsidR="00E71753" w:rsidRPr="002D1DD7">
        <w:t>EMA/</w:t>
      </w:r>
      <w:r w:rsidRPr="002D1DD7">
        <w:t>Committee for Medicinal Products for Human Use (CHMP)</w:t>
      </w:r>
      <w:r w:rsidR="00E71753" w:rsidRPr="002D1DD7">
        <w:t xml:space="preserve"> r</w:t>
      </w:r>
      <w:r w:rsidRPr="002D1DD7">
        <w:t xml:space="preserve">eviews </w:t>
      </w:r>
      <w:r w:rsidR="00523025" w:rsidRPr="002D1DD7">
        <w:t xml:space="preserve">of </w:t>
      </w:r>
      <w:r w:rsidR="00E71753" w:rsidRPr="002D1DD7">
        <w:t xml:space="preserve">existing </w:t>
      </w:r>
      <w:r w:rsidR="00555827">
        <w:t>histology-independent</w:t>
      </w:r>
      <w:r w:rsidRPr="002D1DD7">
        <w:t xml:space="preserve"> </w:t>
      </w:r>
      <w:r w:rsidR="00E71753" w:rsidRPr="002D1DD7">
        <w:t>products</w:t>
      </w:r>
      <w:r w:rsidRPr="002D1DD7">
        <w:t xml:space="preserve"> to provide further insights into the nature of the evidence available at the time of approval, the key issues and uncertainties raised by </w:t>
      </w:r>
      <w:r w:rsidR="00475822" w:rsidRPr="002D1DD7">
        <w:t>FDA</w:t>
      </w:r>
      <w:r w:rsidR="00081096" w:rsidRPr="002D1DD7">
        <w:t xml:space="preserve"> and </w:t>
      </w:r>
      <w:r w:rsidR="00475822" w:rsidRPr="002D1DD7">
        <w:t>EMA</w:t>
      </w:r>
      <w:r w:rsidRPr="002D1DD7">
        <w:t xml:space="preserve"> in assessing benefits and risks</w:t>
      </w:r>
      <w:r w:rsidR="00523025" w:rsidRPr="002D1DD7">
        <w:t>,</w:t>
      </w:r>
      <w:r w:rsidRPr="002D1DD7">
        <w:t xml:space="preserve"> and the nature of any </w:t>
      </w:r>
      <w:r w:rsidR="00523025" w:rsidRPr="002D1DD7">
        <w:t xml:space="preserve">mandated post-licensing </w:t>
      </w:r>
      <w:r w:rsidRPr="002D1DD7">
        <w:t>data collection requirements.</w:t>
      </w:r>
    </w:p>
    <w:p w14:paraId="424D682E" w14:textId="5B06EE9C" w:rsidR="00880205" w:rsidRPr="002D1DD7" w:rsidRDefault="00880205" w:rsidP="00EC11CD">
      <w:pPr>
        <w:pStyle w:val="Heading2"/>
      </w:pPr>
      <w:bookmarkStart w:id="15" w:name="_Toc33776148"/>
      <w:r w:rsidRPr="002D1DD7">
        <w:t xml:space="preserve">FDA Guidance for </w:t>
      </w:r>
      <w:r w:rsidR="00555827">
        <w:t>histology-independent</w:t>
      </w:r>
      <w:r w:rsidRPr="002D1DD7">
        <w:t xml:space="preserve"> products</w:t>
      </w:r>
      <w:bookmarkEnd w:id="15"/>
    </w:p>
    <w:p w14:paraId="2EA28F2B" w14:textId="21B87A67" w:rsidR="00880205" w:rsidRPr="002D1DD7" w:rsidRDefault="00880205" w:rsidP="00880205">
      <w:r w:rsidRPr="002D1DD7">
        <w:t xml:space="preserve">The website searches yielded two preliminary guidance documents issued by the FDA, addressing issues specific to </w:t>
      </w:r>
      <w:r w:rsidR="00555827">
        <w:t>histology-independent</w:t>
      </w:r>
      <w:r w:rsidRPr="002D1DD7">
        <w:t xml:space="preserve"> </w:t>
      </w:r>
      <w:r w:rsidR="00E71753" w:rsidRPr="002D1DD7">
        <w:t>products</w:t>
      </w:r>
      <w:r w:rsidRPr="002D1DD7">
        <w:t>: “</w:t>
      </w:r>
      <w:r w:rsidRPr="002D1DD7">
        <w:rPr>
          <w:i/>
        </w:rPr>
        <w:t>Developing Targeted Therapies in Low-frequency Molecular Subsets of a Disease Guidance For Industry</w:t>
      </w:r>
      <w:r w:rsidRPr="002D1DD7">
        <w:t>”</w:t>
      </w:r>
      <w:r w:rsidR="006F7FD7">
        <w:fldChar w:fldCharType="begin"/>
      </w:r>
      <w:r w:rsidR="006F7FD7">
        <w:instrText xml:space="preserve"> ADDIN EN.CITE &lt;EndNote&gt;&lt;Cite&gt;&lt;Author&gt;U.S. Department of Health and Human Services. Food and Drug Administration&lt;/Author&gt;&lt;Year&gt;2018&lt;/Year&gt;&lt;RecNum&gt;3513&lt;/RecNum&gt;&lt;DisplayText&gt;&lt;style face="superscript"&gt;5&lt;/style&gt;&lt;/DisplayText&gt;&lt;record&gt;&lt;rec-number&gt;3513&lt;/rec-number&gt;&lt;foreign-keys&gt;&lt;key app="EN" db-id="dwaevxvazfs2f3ewvzmxrd0k0wasw55p2z2w" timestamp="1579606100"&gt;3513&lt;/key&gt;&lt;/foreign-keys&gt;&lt;ref-type name="Report"&gt;27&lt;/ref-type&gt;&lt;contributors&gt;&lt;authors&gt;&lt;author&gt;U.S. Department of Health and Human Services. Food and Drug Administration, &lt;/author&gt;&lt;author&gt;Center for Drug Evaluation and Research (CDER), &lt;/author&gt;&lt;author&gt;Center for Biologics Evaluation and Research (CBER),&lt;/author&gt;&lt;/authors&gt;&lt;/contributors&gt;&lt;titles&gt;&lt;title&gt;Developing Targeted Therapies in Low-Frequency Molecular Subsets of a Disease. Guidance for Industry&lt;/title&gt;&lt;/titles&gt;&lt;dates&gt;&lt;year&gt;2018&lt;/year&gt;&lt;/dates&gt;&lt;pub-location&gt;Silver Spring, MD, USA&lt;/pub-location&gt;&lt;publisher&gt;FDA&lt;/publisher&gt;&lt;urls&gt;&lt;related-urls&gt;&lt;url&gt;https://www.fda.gov/media/117173/download&lt;/url&gt;&lt;/related-urls&gt;&lt;/urls&gt;&lt;custom4&gt;STEVE&amp;apos;S REFERENCES&lt;/custom4&gt;&lt;/record&gt;&lt;/Cite&gt;&lt;/EndNote&gt;</w:instrText>
      </w:r>
      <w:r w:rsidR="006F7FD7">
        <w:fldChar w:fldCharType="separate"/>
      </w:r>
      <w:r w:rsidR="006F7FD7" w:rsidRPr="006F7FD7">
        <w:rPr>
          <w:noProof/>
          <w:vertAlign w:val="superscript"/>
        </w:rPr>
        <w:t>5</w:t>
      </w:r>
      <w:r w:rsidR="006F7FD7">
        <w:fldChar w:fldCharType="end"/>
      </w:r>
      <w:r w:rsidRPr="002D1DD7">
        <w:t xml:space="preserve"> and the “</w:t>
      </w:r>
      <w:r w:rsidRPr="002D1DD7">
        <w:rPr>
          <w:i/>
        </w:rPr>
        <w:t>Master Protocols: Efficient Clinical Trial Design Strategies to Expedite Development of Oncology Drugs and Biologics Guidance for Industry</w:t>
      </w:r>
      <w:r w:rsidRPr="002D1DD7">
        <w:t>”</w:t>
      </w:r>
      <w:r w:rsidR="00424FB8">
        <w:t>,</w:t>
      </w:r>
      <w:r w:rsidR="006F7FD7">
        <w:fldChar w:fldCharType="begin"/>
      </w:r>
      <w:r w:rsidR="006F7FD7">
        <w:instrText xml:space="preserve"> ADDIN EN.CITE &lt;EndNote&gt;&lt;Cite&gt;&lt;Author&gt;U.S. Department of Health and Human Services. Food and Drug Administration&lt;/Author&gt;&lt;Year&gt;2018&lt;/Year&gt;&lt;RecNum&gt;3514&lt;/RecNum&gt;&lt;DisplayText&gt;&lt;style face="superscript"&gt;6&lt;/style&gt;&lt;/DisplayText&gt;&lt;record&gt;&lt;rec-number&gt;3514&lt;/rec-number&gt;&lt;foreign-keys&gt;&lt;key app="EN" db-id="dwaevxvazfs2f3ewvzmxrd0k0wasw55p2z2w" timestamp="1579606100"&gt;3514&lt;/key&gt;&lt;/foreign-keys&gt;&lt;ref-type name="Book Section"&gt;5&lt;/ref-type&gt;&lt;contributors&gt;&lt;authors&gt;&lt;author&gt;U.S. Department of Health and Human Services. Food and Drug Administration,&lt;/author&gt;&lt;author&gt;Center for Drug Evaluation and Research (CDER), &lt;/author&gt;&lt;author&gt;Center for Biologics Evaluation and Research (CBER), Oncology Center of Excellence (OCE),&lt;/author&gt;&lt;/authors&gt;&lt;/contributors&gt;&lt;titles&gt;&lt;title&gt;Master Protocols: Efficient Clinical Trial Design Strategies to Expedite Development of Oncology Drugs and Biologics. Guidance for Industry&lt;/title&gt;&lt;/titles&gt;&lt;dates&gt;&lt;year&gt;2018&lt;/year&gt;&lt;/dates&gt;&lt;pub-location&gt;Silver Spring, MD, USA&lt;/pub-location&gt;&lt;urls&gt;&lt;related-urls&gt;&lt;url&gt;https://www.fdanews.com/ext/resources/files/2018/2/09-28-18-Masterprotocols.pdf?1538162468&lt;/url&gt;&lt;/related-urls&gt;&lt;/urls&gt;&lt;custom4&gt;STEVE&amp;apos;S REFERENCES&lt;/custom4&gt;&lt;/record&gt;&lt;/Cite&gt;&lt;/EndNote&gt;</w:instrText>
      </w:r>
      <w:r w:rsidR="006F7FD7">
        <w:fldChar w:fldCharType="separate"/>
      </w:r>
      <w:r w:rsidR="006F7FD7" w:rsidRPr="006F7FD7">
        <w:rPr>
          <w:noProof/>
          <w:vertAlign w:val="superscript"/>
        </w:rPr>
        <w:t>6</w:t>
      </w:r>
      <w:r w:rsidR="006F7FD7">
        <w:fldChar w:fldCharType="end"/>
      </w:r>
      <w:r w:rsidR="00424FB8">
        <w:t xml:space="preserve"> </w:t>
      </w:r>
      <w:r w:rsidRPr="002D1DD7">
        <w:t xml:space="preserve">both issued in 2018. </w:t>
      </w:r>
    </w:p>
    <w:p w14:paraId="2D5B3206" w14:textId="5ABD5D5A" w:rsidR="00880205" w:rsidRPr="002D1DD7" w:rsidRDefault="00880205" w:rsidP="007244E8">
      <w:r w:rsidRPr="002D1DD7">
        <w:t xml:space="preserve">The FDA defines a therapy as </w:t>
      </w:r>
      <w:r w:rsidR="00B168D7">
        <w:t>‘</w:t>
      </w:r>
      <w:r w:rsidRPr="002D1DD7">
        <w:t>targeted</w:t>
      </w:r>
      <w:r w:rsidR="00B168D7">
        <w:t>’</w:t>
      </w:r>
      <w:r w:rsidRPr="002D1DD7">
        <w:t xml:space="preserve"> if it is intended for subsets of patients within a clinically</w:t>
      </w:r>
      <w:r w:rsidR="007244E8">
        <w:t>-</w:t>
      </w:r>
      <w:r w:rsidRPr="002D1DD7">
        <w:t xml:space="preserve">defined disease based on either a common molecular alteration or a grouping of different underlying molecular alterations that share a common functional effect. The FDA guidance on developing targeted therapies in low-frequency molecular subsets focuses on </w:t>
      </w:r>
      <w:r w:rsidR="007244E8">
        <w:t>two</w:t>
      </w:r>
      <w:r w:rsidRPr="002D1DD7">
        <w:t xml:space="preserve"> main </w:t>
      </w:r>
      <w:r w:rsidR="00475822" w:rsidRPr="002D1DD7">
        <w:t>issues</w:t>
      </w:r>
      <w:r w:rsidRPr="002D1DD7">
        <w:t xml:space="preserve"> that appear relevant to </w:t>
      </w:r>
      <w:r w:rsidR="00555827">
        <w:t>histology-independent</w:t>
      </w:r>
      <w:r w:rsidRPr="002D1DD7">
        <w:t xml:space="preserve"> products: (1) recommendations on how to group patients with different molecular alterations for eligibility in clinical trials; and (2) general approaches to evaluating the benefits and risks of targeted therapies, where some molecular alterations may occur at low frequencies. </w:t>
      </w:r>
    </w:p>
    <w:p w14:paraId="1E9ADC02" w14:textId="2916B380" w:rsidR="00880205" w:rsidRPr="002D1DD7" w:rsidRDefault="00880205" w:rsidP="00880205">
      <w:r w:rsidRPr="002D1DD7">
        <w:lastRenderedPageBreak/>
        <w:t>The FDA guidance recognises that certain targeted therapies may be effective in multiple groups of patients who have different underlying molecular alterations because of similarities in the functional effect observed across different molecular alterations. Hence, the guidance allows grouping of patients with different molecular alterations where “</w:t>
      </w:r>
      <w:r w:rsidRPr="00D6492A">
        <w:rPr>
          <w:i/>
          <w:iCs/>
        </w:rPr>
        <w:t>it is reasonable to expect that the grouped patients will have similar pharmacological responses based on a strong scientific rationale</w:t>
      </w:r>
      <w:r w:rsidRPr="002D1DD7">
        <w:t>”.</w:t>
      </w:r>
      <w:r w:rsidR="006F7FD7">
        <w:fldChar w:fldCharType="begin"/>
      </w:r>
      <w:r w:rsidR="006F7FD7">
        <w:instrText xml:space="preserve"> ADDIN EN.CITE &lt;EndNote&gt;&lt;Cite&gt;&lt;Author&gt;U.S. Department of Health and Human Services. Food and Drug Administration&lt;/Author&gt;&lt;Year&gt;2018&lt;/Year&gt;&lt;RecNum&gt;3513&lt;/RecNum&gt;&lt;DisplayText&gt;&lt;style face="superscript"&gt;5&lt;/style&gt;&lt;/DisplayText&gt;&lt;record&gt;&lt;rec-number&gt;3513&lt;/rec-number&gt;&lt;foreign-keys&gt;&lt;key app="EN" db-id="dwaevxvazfs2f3ewvzmxrd0k0wasw55p2z2w" timestamp="1579606100"&gt;3513&lt;/key&gt;&lt;/foreign-keys&gt;&lt;ref-type name="Report"&gt;27&lt;/ref-type&gt;&lt;contributors&gt;&lt;authors&gt;&lt;author&gt;U.S. Department of Health and Human Services. Food and Drug Administration, &lt;/author&gt;&lt;author&gt;Center for Drug Evaluation and Research (CDER), &lt;/author&gt;&lt;author&gt;Center for Biologics Evaluation and Research (CBER),&lt;/author&gt;&lt;/authors&gt;&lt;/contributors&gt;&lt;titles&gt;&lt;title&gt;Developing Targeted Therapies in Low-Frequency Molecular Subsets of a Disease. Guidance for Industry&lt;/title&gt;&lt;/titles&gt;&lt;dates&gt;&lt;year&gt;2018&lt;/year&gt;&lt;/dates&gt;&lt;pub-location&gt;Silver Spring, MD, USA&lt;/pub-location&gt;&lt;publisher&gt;FDA&lt;/publisher&gt;&lt;urls&gt;&lt;related-urls&gt;&lt;url&gt;https://www.fda.gov/media/117173/download&lt;/url&gt;&lt;/related-urls&gt;&lt;/urls&gt;&lt;custom4&gt;STEVE&amp;apos;S REFERENCES&lt;/custom4&gt;&lt;/record&gt;&lt;/Cite&gt;&lt;/EndNote&gt;</w:instrText>
      </w:r>
      <w:r w:rsidR="006F7FD7">
        <w:fldChar w:fldCharType="separate"/>
      </w:r>
      <w:r w:rsidR="006F7FD7" w:rsidRPr="006F7FD7">
        <w:rPr>
          <w:noProof/>
          <w:vertAlign w:val="superscript"/>
        </w:rPr>
        <w:t>5</w:t>
      </w:r>
      <w:r w:rsidR="006F7FD7">
        <w:fldChar w:fldCharType="end"/>
      </w:r>
      <w:r w:rsidR="00424FB8">
        <w:t xml:space="preserve"> </w:t>
      </w:r>
      <w:r w:rsidRPr="002D1DD7">
        <w:t>Although this guidance is directed towards the grouping of molecular alterations, the same considerations might also apply to grouping of different histolog</w:t>
      </w:r>
      <w:r w:rsidR="00475822" w:rsidRPr="002D1DD7">
        <w:t>ies</w:t>
      </w:r>
      <w:r w:rsidRPr="002D1DD7">
        <w:t xml:space="preserve"> based on a common molecular alteration. The FDA guidance notes that evidence to support a grouping strategy can come from computational, experimental, or clinical sources, with the latter being considered the strongest</w:t>
      </w:r>
      <w:r w:rsidR="00475822" w:rsidRPr="002D1DD7">
        <w:t xml:space="preserve"> form of evidence</w:t>
      </w:r>
      <w:r w:rsidRPr="002D1DD7">
        <w:t xml:space="preserve">, but </w:t>
      </w:r>
      <w:r w:rsidR="00475822" w:rsidRPr="002D1DD7">
        <w:t xml:space="preserve">that any submitted evidence </w:t>
      </w:r>
      <w:r w:rsidRPr="002D1DD7">
        <w:t xml:space="preserve">must always </w:t>
      </w:r>
      <w:r w:rsidR="00D6492A">
        <w:t>support</w:t>
      </w:r>
      <w:r w:rsidRPr="002D1DD7">
        <w:t xml:space="preserve"> a strong scientific rationale. </w:t>
      </w:r>
    </w:p>
    <w:p w14:paraId="35F70BAC" w14:textId="5D831F41" w:rsidR="00880205" w:rsidRPr="002D1DD7" w:rsidRDefault="00880205" w:rsidP="00880205">
      <w:r w:rsidRPr="002D1DD7">
        <w:t>The FDA guidance stipulates that evidence supporting the efficacy of the drug for each molecular subset should be transparently reported</w:t>
      </w:r>
      <w:r w:rsidR="00475822" w:rsidRPr="002D1DD7">
        <w:t xml:space="preserve">, </w:t>
      </w:r>
      <w:r w:rsidRPr="002D1DD7">
        <w:t>including information on the number of patients with specific molecular alterations included in the trial and the outcomes of these patients. However, the guidance also acknowledges that while targeted therapies may be effective in multiple molecular subsets, certain subsets may contain only a small number of patients (or even no</w:t>
      </w:r>
      <w:r w:rsidR="00FE63E5">
        <w:t>ne</w:t>
      </w:r>
      <w:r w:rsidRPr="002D1DD7">
        <w:t xml:space="preserve">) despite eligibility criteria </w:t>
      </w:r>
      <w:r w:rsidR="00475822" w:rsidRPr="002D1DD7">
        <w:t xml:space="preserve">which </w:t>
      </w:r>
      <w:r w:rsidR="0003702B">
        <w:t>permit</w:t>
      </w:r>
      <w:r w:rsidRPr="002D1DD7">
        <w:t xml:space="preserve"> their inclusion. The </w:t>
      </w:r>
      <w:r w:rsidR="00475822" w:rsidRPr="002D1DD7">
        <w:t xml:space="preserve">FDA </w:t>
      </w:r>
      <w:r w:rsidRPr="002D1DD7">
        <w:t xml:space="preserve">guidance document notes that the low numbers in this situation would preclude meaningful empirical inferences about treatment benefits or risks in patients with those particular molecular alterations. However, the FDA posits that the grouping guidance should also permit the generalisation of evidence from other, better populated, patient subgroups within the same clinical trial. Consequently, provided the company was able to support its case for molecular grouping, the FDA appears likely to approve the therapy for all patients who meet </w:t>
      </w:r>
      <w:r w:rsidR="00D23F94">
        <w:t xml:space="preserve">the </w:t>
      </w:r>
      <w:r w:rsidRPr="002D1DD7">
        <w:t xml:space="preserve">inclusion criteria for the trial irrespective of their actual enrolment. </w:t>
      </w:r>
      <w:r w:rsidR="00475822" w:rsidRPr="002D1DD7">
        <w:t>W</w:t>
      </w:r>
      <w:r w:rsidRPr="002D1DD7">
        <w:t xml:space="preserve">hile this issue is specifically directed towards different molecular subsets, it appears equally relevant to </w:t>
      </w:r>
      <w:r w:rsidR="00555827">
        <w:t>histology-independent</w:t>
      </w:r>
      <w:r w:rsidRPr="002D1DD7">
        <w:t xml:space="preserve"> products where specific </w:t>
      </w:r>
      <w:r w:rsidR="00475822" w:rsidRPr="002D1DD7">
        <w:t>histologies</w:t>
      </w:r>
      <w:r w:rsidRPr="002D1DD7">
        <w:t xml:space="preserve"> may include small patient numbers and some </w:t>
      </w:r>
      <w:r w:rsidR="00015580">
        <w:t>may not be represented at all.</w:t>
      </w:r>
    </w:p>
    <w:p w14:paraId="6187A23E" w14:textId="63001BAF" w:rsidR="00880205" w:rsidRPr="002D1DD7" w:rsidRDefault="00880205" w:rsidP="00880205">
      <w:r w:rsidRPr="002D1DD7">
        <w:t xml:space="preserve">Importantly, the FDA </w:t>
      </w:r>
      <w:r w:rsidR="00081096" w:rsidRPr="002D1DD7">
        <w:t xml:space="preserve">guidance </w:t>
      </w:r>
      <w:r w:rsidRPr="002D1DD7">
        <w:t xml:space="preserve">also highlights that the indication may need to be further refined after the initial approval. </w:t>
      </w:r>
      <w:r w:rsidR="00081096" w:rsidRPr="002D1DD7">
        <w:t>I</w:t>
      </w:r>
      <w:r w:rsidRPr="002D1DD7">
        <w:t>f substantive data emerges indicating a lack of efficacy in certain molecular subgroups for which the drug was initially indicated, the FDA will consider narrowing the intended population as appropriate. In addition, the FDA notes that additional post</w:t>
      </w:r>
      <w:r w:rsidR="004F6B5A">
        <w:t>-</w:t>
      </w:r>
      <w:r w:rsidRPr="002D1DD7">
        <w:t xml:space="preserve">marketing studies may be </w:t>
      </w:r>
      <w:r w:rsidR="00FE63E5">
        <w:t xml:space="preserve">required </w:t>
      </w:r>
      <w:r w:rsidRPr="002D1DD7">
        <w:t>to provide additional information regarding the risks and benefits of the drug in subsets of patients with limited or no enrolment in clinical trials. Such evidence may be requested based on real-world evidence, traditional controlled trials, or data from other sources</w:t>
      </w:r>
      <w:r w:rsidR="00523025" w:rsidRPr="002D1DD7">
        <w:t>,</w:t>
      </w:r>
      <w:r w:rsidRPr="002D1DD7">
        <w:t xml:space="preserve"> including </w:t>
      </w:r>
      <w:r w:rsidR="00013D6C" w:rsidRPr="002D1DD7">
        <w:t xml:space="preserve">ongoing </w:t>
      </w:r>
      <w:r w:rsidRPr="002D1DD7">
        <w:t>trials.</w:t>
      </w:r>
    </w:p>
    <w:p w14:paraId="2B681FC8" w14:textId="00746024" w:rsidR="00880205" w:rsidRPr="002D1DD7" w:rsidRDefault="00880205" w:rsidP="00880205">
      <w:r w:rsidRPr="002D1DD7">
        <w:t>The FDA guidance also recognises the importance of using analytically</w:t>
      </w:r>
      <w:r w:rsidR="00401D43">
        <w:t>-</w:t>
      </w:r>
      <w:r w:rsidRPr="002D1DD7">
        <w:t>validated assays when enrolling patients into clinical trials. The assay should be able to identify all possible molecular alterations typical of the patient group</w:t>
      </w:r>
      <w:r w:rsidR="00D6492A">
        <w:t>s</w:t>
      </w:r>
      <w:r w:rsidRPr="002D1DD7">
        <w:t xml:space="preserve"> which is expected to respond to the developed therapy. The </w:t>
      </w:r>
      <w:r w:rsidRPr="002D1DD7">
        <w:lastRenderedPageBreak/>
        <w:t xml:space="preserve">FDA also recommends that, if a test is necessary for the safe and effective use of the drug, an approved assay should be already commercially available at the time of drug approval. </w:t>
      </w:r>
      <w:r w:rsidR="00013D6C" w:rsidRPr="002D1DD7">
        <w:t>An e</w:t>
      </w:r>
      <w:r w:rsidRPr="002D1DD7">
        <w:t>xception to this case might be granted for conditions with high unmet need (e.g. life-threatening diseases with no suitable treatment alternatives).</w:t>
      </w:r>
    </w:p>
    <w:p w14:paraId="68556821" w14:textId="48DE2D7D" w:rsidR="00880205" w:rsidRPr="002D1DD7" w:rsidRDefault="00880205" w:rsidP="00880205">
      <w:r w:rsidRPr="002D1DD7">
        <w:t xml:space="preserve">An additional characteristic of </w:t>
      </w:r>
      <w:r w:rsidR="00555827">
        <w:t>histology-independent</w:t>
      </w:r>
      <w:r w:rsidRPr="002D1DD7">
        <w:t xml:space="preserve"> drugs is the use of novel and more efficient trial designs using master protocols. Master protocols are used to evaluate multiple drugs and/or multiple cancer subpopulations in parallel</w:t>
      </w:r>
      <w:r w:rsidR="00523025" w:rsidRPr="002D1DD7">
        <w:t>,</w:t>
      </w:r>
      <w:r w:rsidRPr="002D1DD7">
        <w:t xml:space="preserve"> using a single protocol. The FDA guidance document notes that a range of different terms are used to refer to the specific design of trials within a master protocol (e.g. umbrella, basket or platform</w:t>
      </w:r>
      <w:r w:rsidR="000E4C53" w:rsidRPr="002D1DD7">
        <w:t xml:space="preserve"> – see </w:t>
      </w:r>
      <w:r w:rsidR="00080267">
        <w:t>S</w:t>
      </w:r>
      <w:r w:rsidR="000E4C53" w:rsidRPr="002D1DD7">
        <w:t xml:space="preserve">ection </w:t>
      </w:r>
      <w:r w:rsidR="000E4C53" w:rsidRPr="002D1DD7">
        <w:fldChar w:fldCharType="begin"/>
      </w:r>
      <w:r w:rsidR="000E4C53" w:rsidRPr="002D1DD7">
        <w:instrText xml:space="preserve"> REF _Ref27389311 \w \h </w:instrText>
      </w:r>
      <w:r w:rsidR="000E4C53" w:rsidRPr="002D1DD7">
        <w:fldChar w:fldCharType="separate"/>
      </w:r>
      <w:r w:rsidR="00C663A2">
        <w:t>3</w:t>
      </w:r>
      <w:r w:rsidR="000E4C53" w:rsidRPr="002D1DD7">
        <w:fldChar w:fldCharType="end"/>
      </w:r>
      <w:r w:rsidR="000E4C53" w:rsidRPr="002D1DD7">
        <w:t xml:space="preserve"> for further details on these designs</w:t>
      </w:r>
      <w:r w:rsidRPr="002D1DD7">
        <w:t xml:space="preserve">).  </w:t>
      </w:r>
    </w:p>
    <w:p w14:paraId="25E99A33" w14:textId="69BAD10B" w:rsidR="00880205" w:rsidRPr="002D1DD7" w:rsidRDefault="00880205">
      <w:r w:rsidRPr="002D1DD7">
        <w:t>The FDA guidance acknowledges the potential advantages of master protocols in terms of their flexibility and efficiency for drug development</w:t>
      </w:r>
      <w:r w:rsidR="00013D6C" w:rsidRPr="002D1DD7">
        <w:t xml:space="preserve"> </w:t>
      </w:r>
      <w:r w:rsidRPr="002D1DD7">
        <w:t xml:space="preserve">but also raises concerns regarding difficulties in attributing efficacy and assessing safety, including overinterpretation of findings. </w:t>
      </w:r>
      <w:bookmarkStart w:id="16" w:name="_Hlk25319167"/>
      <w:r w:rsidRPr="002D1DD7">
        <w:t xml:space="preserve">In the context of </w:t>
      </w:r>
      <w:r w:rsidR="00555827">
        <w:t>histology-independent</w:t>
      </w:r>
      <w:r w:rsidRPr="002D1DD7">
        <w:t xml:space="preserve"> products, the </w:t>
      </w:r>
      <w:r w:rsidR="00013D6C" w:rsidRPr="002D1DD7">
        <w:t>most relevant aspects of the guidance relate to</w:t>
      </w:r>
      <w:r w:rsidRPr="002D1DD7">
        <w:t xml:space="preserve"> the use of basket trials to evaluate a single investigational drug or drug combination in different populations (defined by disease stage, histology or treatment history) and statistical considerations for non</w:t>
      </w:r>
      <w:r w:rsidR="00324EC2">
        <w:t>-</w:t>
      </w:r>
      <w:r w:rsidRPr="002D1DD7">
        <w:t>randomised, activity-estimating designs.</w:t>
      </w:r>
      <w:r w:rsidR="00E71753" w:rsidRPr="002D1DD7">
        <w:t xml:space="preserve"> </w:t>
      </w:r>
      <w:r w:rsidRPr="002D1DD7">
        <w:t>The guidance document highlights that basket trials undertaken using a master protocol are usually designed as single-arm activity-estimating tri</w:t>
      </w:r>
      <w:r w:rsidR="009021AF">
        <w:t>als with ORR</w:t>
      </w:r>
      <w:r w:rsidRPr="002D1DD7">
        <w:t xml:space="preserve"> as the primary endpoint. </w:t>
      </w:r>
      <w:bookmarkEnd w:id="16"/>
      <w:r w:rsidRPr="002D1DD7">
        <w:t xml:space="preserve">The guidance document notes that a strong response signal seen in a </w:t>
      </w:r>
      <w:r w:rsidR="009B4909" w:rsidRPr="002D1DD7">
        <w:t>sub</w:t>
      </w:r>
      <w:r w:rsidR="00523025" w:rsidRPr="002D1DD7">
        <w:t>-</w:t>
      </w:r>
      <w:r w:rsidR="009B4909" w:rsidRPr="002D1DD7">
        <w:t>study</w:t>
      </w:r>
      <w:r w:rsidRPr="002D1DD7">
        <w:t xml:space="preserve"> may allow for </w:t>
      </w:r>
      <w:r w:rsidR="00C26135" w:rsidRPr="002D1DD7">
        <w:t xml:space="preserve">subsequent expansion </w:t>
      </w:r>
      <w:r w:rsidRPr="002D1DD7">
        <w:t xml:space="preserve">to generate data that could potentially support a marketing approval. The guidance document also emphasises the need for each </w:t>
      </w:r>
      <w:r w:rsidR="009B4909" w:rsidRPr="002D1DD7">
        <w:t>sub</w:t>
      </w:r>
      <w:r w:rsidR="00523025" w:rsidRPr="002D1DD7">
        <w:t>-</w:t>
      </w:r>
      <w:r w:rsidR="009B4909" w:rsidRPr="002D1DD7">
        <w:t>study</w:t>
      </w:r>
      <w:r w:rsidRPr="002D1DD7">
        <w:t xml:space="preserve"> to include specific objectives, the scientific rationale for the inclusion of each population and a detailed statistical analysis plan (SAP) which includes justification for sample size and stopping rules for futility</w:t>
      </w:r>
      <w:r w:rsidR="00015580">
        <w:t>, i.e. the inability of the study to achieve statistically significant results</w:t>
      </w:r>
      <w:r w:rsidRPr="002D1DD7">
        <w:t>.</w:t>
      </w:r>
    </w:p>
    <w:p w14:paraId="0DCD4D61" w14:textId="4D126ABE" w:rsidR="00880205" w:rsidRPr="002D1DD7" w:rsidRDefault="00880205" w:rsidP="00880205">
      <w:r w:rsidRPr="002D1DD7">
        <w:t>The statistical guidance also makes recommendations for studies using non</w:t>
      </w:r>
      <w:r w:rsidR="00324EC2">
        <w:t>-</w:t>
      </w:r>
      <w:r w:rsidRPr="002D1DD7">
        <w:t>randomi</w:t>
      </w:r>
      <w:r w:rsidR="009B4909" w:rsidRPr="002D1DD7">
        <w:t>s</w:t>
      </w:r>
      <w:r w:rsidRPr="002D1DD7">
        <w:t xml:space="preserve">ed protocols, where the primary endpoint is ORR, </w:t>
      </w:r>
      <w:r w:rsidR="009B4909" w:rsidRPr="002D1DD7">
        <w:t>outlining</w:t>
      </w:r>
      <w:r w:rsidRPr="002D1DD7">
        <w:t xml:space="preserve"> that the planned sample size should be sufficient to rule out a clinically unimportant response rate based on the lower bound of the 95 percent confidence interval </w:t>
      </w:r>
      <w:r w:rsidR="00D87FD4">
        <w:t xml:space="preserve">(CI) </w:t>
      </w:r>
      <w:r w:rsidRPr="002D1DD7">
        <w:t xml:space="preserve">around the observed response rate. The guidance also recommends using designs such as </w:t>
      </w:r>
      <w:r w:rsidR="00351E51" w:rsidRPr="002D1DD7">
        <w:t>Simon’s two-stage design,</w:t>
      </w:r>
      <w:r w:rsidR="006F7FD7">
        <w:fldChar w:fldCharType="begin"/>
      </w:r>
      <w:r w:rsidR="00054FE8">
        <w:instrText xml:space="preserve"> ADDIN EN.CITE &lt;EndNote&gt;&lt;Cite&gt;&lt;Author&gt;Simon&lt;/Author&gt;&lt;Year&gt;1989&lt;/Year&gt;&lt;RecNum&gt;3421&lt;/RecNum&gt;&lt;DisplayText&gt;&lt;style face="superscript"&gt;7&lt;/style&gt;&lt;/DisplayText&gt;&lt;record&gt;&lt;rec-number&gt;3421&lt;/rec-number&gt;&lt;foreign-keys&gt;&lt;key app="EN" db-id="dwaevxvazfs2f3ewvzmxrd0k0wasw55p2z2w" timestamp="1569599389"&gt;3421&lt;/key&gt;&lt;/foreign-keys&gt;&lt;ref-type name="Journal Article"&gt;17&lt;/ref-type&gt;&lt;contributors&gt;&lt;authors&gt;&lt;author&gt;Simon, Richard&lt;/author&gt;&lt;/authors&gt;&lt;/contributors&gt;&lt;titles&gt;&lt;title&gt;Optimal two-stage designs for phase II clinical trials&lt;/title&gt;&lt;secondary-title&gt;Controlled Clinical Trials&lt;/secondary-title&gt;&lt;/titles&gt;&lt;periodical&gt;&lt;full-title&gt;Controlled Clinical Trials&lt;/full-title&gt;&lt;abbr-1&gt;Control Clin Trials&lt;/abbr-1&gt;&lt;/periodical&gt;&lt;pages&gt;1-10&lt;/pages&gt;&lt;volume&gt;10&lt;/volume&gt;&lt;number&gt;1&lt;/number&gt;&lt;keywords&gt;&lt;keyword&gt;clinical trials&lt;/keyword&gt;&lt;keyword&gt;phase II trials&lt;/keyword&gt;&lt;keyword&gt;optimization&lt;/keyword&gt;&lt;/keywords&gt;&lt;dates&gt;&lt;year&gt;1989&lt;/year&gt;&lt;pub-dates&gt;&lt;date&gt;1989/03/01/&lt;/date&gt;&lt;/pub-dates&gt;&lt;/dates&gt;&lt;isbn&gt;0197-2456&lt;/isbn&gt;&lt;urls&gt;&lt;/urls&gt;&lt;electronic-resource-num&gt;https://doi.org/10.1016/0197-2456(89)90015-9&lt;/electronic-resource-num&gt;&lt;research-notes&gt;http://www.sciencedirect.com/science/article/pii/0197245689900159&lt;/research-notes&gt;&lt;/record&gt;&lt;/Cite&gt;&lt;/EndNote&gt;</w:instrText>
      </w:r>
      <w:r w:rsidR="006F7FD7">
        <w:fldChar w:fldCharType="separate"/>
      </w:r>
      <w:r w:rsidR="006F7FD7" w:rsidRPr="006F7FD7">
        <w:rPr>
          <w:noProof/>
          <w:vertAlign w:val="superscript"/>
        </w:rPr>
        <w:t>7</w:t>
      </w:r>
      <w:r w:rsidR="006F7FD7">
        <w:fldChar w:fldCharType="end"/>
      </w:r>
      <w:r w:rsidR="00351E51">
        <w:t xml:space="preserve"> </w:t>
      </w:r>
      <w:r w:rsidRPr="002D1DD7">
        <w:t>that limit exposure to an ineffective drug</w:t>
      </w:r>
      <w:r w:rsidR="00015580">
        <w:t xml:space="preserve"> (</w:t>
      </w:r>
      <w:r w:rsidR="00015580" w:rsidRPr="002D1DD7">
        <w:t xml:space="preserve">see </w:t>
      </w:r>
      <w:r w:rsidR="00015580">
        <w:t>S</w:t>
      </w:r>
      <w:r w:rsidR="00015580" w:rsidRPr="002D1DD7">
        <w:t xml:space="preserve">ection </w:t>
      </w:r>
      <w:r w:rsidR="00015580" w:rsidRPr="002D1DD7">
        <w:fldChar w:fldCharType="begin"/>
      </w:r>
      <w:r w:rsidR="00015580" w:rsidRPr="002D1DD7">
        <w:instrText xml:space="preserve"> REF _Ref27389311 \w \h </w:instrText>
      </w:r>
      <w:r w:rsidR="00015580" w:rsidRPr="002D1DD7">
        <w:fldChar w:fldCharType="separate"/>
      </w:r>
      <w:r w:rsidR="00C663A2">
        <w:t>3</w:t>
      </w:r>
      <w:r w:rsidR="00015580" w:rsidRPr="002D1DD7">
        <w:fldChar w:fldCharType="end"/>
      </w:r>
      <w:r w:rsidR="00015580" w:rsidRPr="002D1DD7">
        <w:t xml:space="preserve"> for further details</w:t>
      </w:r>
      <w:r w:rsidR="00015580">
        <w:t>)</w:t>
      </w:r>
      <w:r w:rsidRPr="002D1DD7">
        <w:t>. Specific recommendations concerning the SAP include pre-specification of the timing of the final analysis, ensuring adequate data collection and follow-up on all patients for efficacy and safety</w:t>
      </w:r>
      <w:r w:rsidR="009B4909" w:rsidRPr="002D1DD7">
        <w:t xml:space="preserve">, together with </w:t>
      </w:r>
      <w:r w:rsidRPr="002D1DD7">
        <w:t xml:space="preserve">a description of the plan for independent review of confirmed ORR in solid </w:t>
      </w:r>
      <w:r w:rsidR="00787BBC" w:rsidRPr="002D1DD7">
        <w:t>tumour</w:t>
      </w:r>
      <w:r w:rsidRPr="002D1DD7">
        <w:t>s for each sub</w:t>
      </w:r>
      <w:r w:rsidR="00523025" w:rsidRPr="002D1DD7">
        <w:t>-</w:t>
      </w:r>
      <w:r w:rsidRPr="002D1DD7">
        <w:t>study.</w:t>
      </w:r>
    </w:p>
    <w:p w14:paraId="181E3438" w14:textId="00A16619" w:rsidR="00880205" w:rsidRPr="002D1DD7" w:rsidRDefault="00880205" w:rsidP="00E47A4D">
      <w:r w:rsidRPr="002D1DD7">
        <w:t>While the current guidance suggests that marketing approval requires subsequent expansion of a sub</w:t>
      </w:r>
      <w:r w:rsidR="00523025" w:rsidRPr="002D1DD7">
        <w:t>-</w:t>
      </w:r>
      <w:r w:rsidRPr="002D1DD7">
        <w:t>study or sub</w:t>
      </w:r>
      <w:r w:rsidR="00523025" w:rsidRPr="002D1DD7">
        <w:t>-</w:t>
      </w:r>
      <w:r w:rsidRPr="002D1DD7">
        <w:t xml:space="preserve">studies, the guidance on statistical considerations also notes that if preliminary results </w:t>
      </w:r>
      <w:r w:rsidRPr="002D1DD7">
        <w:lastRenderedPageBreak/>
        <w:t xml:space="preserve">suggest a major advance over available therapy then the sponsor is encouraged to meet the FDA review division to discuss modifications to the protocol. Hence, it appears feasible for the results from master protocols using basket trials </w:t>
      </w:r>
      <w:r w:rsidR="00E47A4D">
        <w:t>to</w:t>
      </w:r>
      <w:r w:rsidR="00E47A4D" w:rsidRPr="002D1DD7">
        <w:t xml:space="preserve"> </w:t>
      </w:r>
      <w:r w:rsidRPr="002D1DD7">
        <w:t>be used to support marketing approval in specific circumstances and where the clinical protocol and SAP ensure that the data are of adequate quality.</w:t>
      </w:r>
    </w:p>
    <w:p w14:paraId="59C601BD" w14:textId="77777777" w:rsidR="00880205" w:rsidRPr="002D1DD7" w:rsidRDefault="00880205" w:rsidP="00EC11CD">
      <w:pPr>
        <w:pStyle w:val="Heading2"/>
      </w:pPr>
      <w:bookmarkStart w:id="17" w:name="_Hlk22795711"/>
      <w:r w:rsidRPr="002D1DD7">
        <w:tab/>
      </w:r>
      <w:bookmarkStart w:id="18" w:name="_Toc33776149"/>
      <w:r w:rsidRPr="002D1DD7">
        <w:t>FDA special approval processes</w:t>
      </w:r>
      <w:bookmarkEnd w:id="18"/>
    </w:p>
    <w:bookmarkEnd w:id="17"/>
    <w:p w14:paraId="1C3D8EBF" w14:textId="0592DAFA" w:rsidR="00880205" w:rsidRPr="002D1DD7" w:rsidRDefault="00880205" w:rsidP="00880205">
      <w:r w:rsidRPr="002D1DD7">
        <w:t xml:space="preserve">The initial </w:t>
      </w:r>
      <w:r w:rsidR="00555827">
        <w:t>histology-independent</w:t>
      </w:r>
      <w:r w:rsidRPr="002D1DD7">
        <w:t xml:space="preserve"> cancer drugs approved </w:t>
      </w:r>
      <w:r w:rsidR="009B4909" w:rsidRPr="002D1DD7">
        <w:t xml:space="preserve">by the FDA </w:t>
      </w:r>
      <w:r w:rsidRPr="002D1DD7">
        <w:t xml:space="preserve">represent novel products tackling severely limiting conditions with no alternative curative options. As such, they have not been considered within the standard FDA review process, but rather have been considered under processes which make provision for special approval </w:t>
      </w:r>
      <w:r w:rsidR="00257BAD" w:rsidRPr="002D1DD7">
        <w:t>to</w:t>
      </w:r>
      <w:r w:rsidRPr="002D1DD7">
        <w:t xml:space="preserve"> facilitat</w:t>
      </w:r>
      <w:r w:rsidR="00257BAD" w:rsidRPr="002D1DD7">
        <w:t>e</w:t>
      </w:r>
      <w:r w:rsidRPr="002D1DD7">
        <w:t xml:space="preserve"> and expedit</w:t>
      </w:r>
      <w:r w:rsidR="00257BAD" w:rsidRPr="002D1DD7">
        <w:t>e</w:t>
      </w:r>
      <w:r w:rsidRPr="002D1DD7">
        <w:t xml:space="preserve"> development and appraisal of new drugs treating serious or life-threatening conditions.</w:t>
      </w:r>
      <w:r w:rsidR="006F7FD7">
        <w:fldChar w:fldCharType="begin"/>
      </w:r>
      <w:r w:rsidR="006F7FD7">
        <w:instrText xml:space="preserve"> ADDIN EN.CITE &lt;EndNote&gt;&lt;Cite&gt;&lt;Author&gt;U.S. Department of Health and Human Services. Food and Drug Administration&lt;/Author&gt;&lt;Year&gt;2014&lt;/Year&gt;&lt;RecNum&gt;3515&lt;/RecNum&gt;&lt;DisplayText&gt;&lt;style face="superscript"&gt;8&lt;/style&gt;&lt;/DisplayText&gt;&lt;record&gt;&lt;rec-number&gt;3515&lt;/rec-number&gt;&lt;foreign-keys&gt;&lt;key app="EN" db-id="dwaevxvazfs2f3ewvzmxrd0k0wasw55p2z2w" timestamp="1579606100"&gt;3515&lt;/key&gt;&lt;/foreign-keys&gt;&lt;ref-type name="Book Section"&gt;5&lt;/ref-type&gt;&lt;contributors&gt;&lt;authors&gt;&lt;author&gt;U.S. Department of Health and Human Services. Food and Drug Administration,&lt;/author&gt;&lt;author&gt;Center for Drug Evaluation and Research (CDER),&lt;/author&gt;&lt;author&gt;Center for Biologics Evaluation and Research (CBER),&lt;/author&gt;&lt;/authors&gt;&lt;/contributors&gt;&lt;titles&gt;&lt;title&gt;Guidance for Industry Expedited Programs for Serious Conditions – Drugs and Biologics&lt;/title&gt;&lt;/titles&gt;&lt;dates&gt;&lt;year&gt;2014&lt;/year&gt;&lt;/dates&gt;&lt;pub-location&gt;Silver Spring, MD, USA&lt;/pub-location&gt;&lt;urls&gt;&lt;related-urls&gt;&lt;url&gt;https://www.fda.gov/files/drugs/published/Expedited-Programs-for-Serious-Conditions-Drugs-and-Biologics.pdf&lt;/url&gt;&lt;/related-urls&gt;&lt;/urls&gt;&lt;custom4&gt;STEVE&amp;apos;S REFERENCES&lt;/custom4&gt;&lt;/record&gt;&lt;/Cite&gt;&lt;/EndNote&gt;</w:instrText>
      </w:r>
      <w:r w:rsidR="006F7FD7">
        <w:fldChar w:fldCharType="separate"/>
      </w:r>
      <w:r w:rsidR="006F7FD7" w:rsidRPr="006F7FD7">
        <w:rPr>
          <w:noProof/>
          <w:vertAlign w:val="superscript"/>
        </w:rPr>
        <w:t>8</w:t>
      </w:r>
      <w:r w:rsidR="006F7FD7">
        <w:fldChar w:fldCharType="end"/>
      </w:r>
      <w:r w:rsidRPr="002D1DD7">
        <w:t xml:space="preserve"> This has been the case for the three </w:t>
      </w:r>
      <w:r w:rsidR="00555827">
        <w:t>histology-independent</w:t>
      </w:r>
      <w:r w:rsidRPr="002D1DD7">
        <w:t xml:space="preserve"> approvals by the FDA for larotrectinib, pembrolizumab, and entrectinib.</w:t>
      </w:r>
      <w:r w:rsidR="006F7FD7">
        <w:fldChar w:fldCharType="begin">
          <w:fldData xml:space="preserve">PEVuZE5vdGU+PENpdGU+PEF1dGhvcj5VLlMuIERlcGFydG1lbnQgb2YgSGVhbHRoIGFuZCBIdW1h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</w:fldData>
        </w:fldChar>
      </w:r>
      <w:r w:rsidR="006F7FD7">
        <w:instrText xml:space="preserve"> ADDIN EN.CITE </w:instrText>
      </w:r>
      <w:r w:rsidR="006F7FD7">
        <w:fldChar w:fldCharType="begin">
          <w:fldData xml:space="preserve">PEVuZE5vdGU+PENpdGU+PEF1dGhvcj5VLlMuIERlcGFydG1lbnQgb2YgSGVhbHRoIGFuZCBIdW1h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</w:fldData>
        </w:fldChar>
      </w:r>
      <w:r w:rsidR="006F7FD7">
        <w:instrText xml:space="preserve"> ADDIN EN.CITE.DATA </w:instrText>
      </w:r>
      <w:r w:rsidR="006F7FD7">
        <w:fldChar w:fldCharType="end"/>
      </w:r>
      <w:r w:rsidR="006F7FD7">
        <w:fldChar w:fldCharType="separate"/>
      </w:r>
      <w:r w:rsidR="006F7FD7" w:rsidRPr="006F7FD7">
        <w:rPr>
          <w:noProof/>
          <w:vertAlign w:val="superscript"/>
        </w:rPr>
        <w:t>1, 9, 10</w:t>
      </w:r>
      <w:r w:rsidR="006F7FD7">
        <w:fldChar w:fldCharType="end"/>
      </w:r>
    </w:p>
    <w:p w14:paraId="2518172C" w14:textId="2AB3DA46" w:rsidR="00C26135" w:rsidRPr="002D1DD7" w:rsidRDefault="00880205" w:rsidP="00880205">
      <w:r w:rsidRPr="002D1DD7">
        <w:t xml:space="preserve">The Accelerated Approval pathway is intended for those drugs providing evidence of an effect on a surrogate endpoint reasonably likely to predict benefit </w:t>
      </w:r>
      <w:r w:rsidR="00C26135" w:rsidRPr="002D1DD7">
        <w:t xml:space="preserve">in terms of a </w:t>
      </w:r>
      <w:r w:rsidRPr="002D1DD7">
        <w:t>meaningful advantage</w:t>
      </w:r>
      <w:r w:rsidR="00C26135" w:rsidRPr="002D1DD7">
        <w:t xml:space="preserve"> </w:t>
      </w:r>
      <w:r w:rsidRPr="002D1DD7">
        <w:t>over existing therapies. Surrogate endpoints are defined as substitute</w:t>
      </w:r>
      <w:r w:rsidR="00257BAD" w:rsidRPr="002D1DD7">
        <w:t>s</w:t>
      </w:r>
      <w:r w:rsidRPr="002D1DD7">
        <w:t xml:space="preserve"> for clinical outcomes which directly measure the effectiveness of a drug on length and quality of life, feelings, or functioning. In cases where measuring direct clinical outcomes</w:t>
      </w:r>
      <w:r w:rsidR="00C26135" w:rsidRPr="002D1DD7">
        <w:t xml:space="preserve">, </w:t>
      </w:r>
      <w:r w:rsidRPr="002D1DD7">
        <w:t xml:space="preserve">such as </w:t>
      </w:r>
      <w:r w:rsidR="00C26135" w:rsidRPr="002D1DD7">
        <w:t xml:space="preserve">overall </w:t>
      </w:r>
      <w:r w:rsidRPr="002D1DD7">
        <w:t>surviva</w:t>
      </w:r>
      <w:r w:rsidR="00C26135" w:rsidRPr="002D1DD7">
        <w:t>l,</w:t>
      </w:r>
      <w:r w:rsidRPr="002D1DD7">
        <w:t xml:space="preserve"> would be impractical or unethical, surrogate endpoints can be accepted. Importantly, the surrogate </w:t>
      </w:r>
      <w:r w:rsidR="00C26135" w:rsidRPr="002D1DD7">
        <w:t xml:space="preserve">outcome </w:t>
      </w:r>
      <w:r w:rsidRPr="002D1DD7">
        <w:t xml:space="preserve">is not a direct measurement of clinical benefit but must predict, and at a minimum correlate, with the clinical benefit of interest. The strength of the evidence supporting the surrogate relationship is thus essential to justify the use of a specific surrogate outcome and to establish whether this can support a traditional approval route or accelerated approval. </w:t>
      </w:r>
    </w:p>
    <w:p w14:paraId="23F27EC7" w14:textId="6BDD0E85" w:rsidR="00880205" w:rsidRPr="002D1DD7" w:rsidRDefault="00880205" w:rsidP="00880205">
      <w:r w:rsidRPr="002D1DD7">
        <w:t>To date, ORR has been the most commonly used surrogate endpoint supporting accelerated approvals by the FDA.</w:t>
      </w:r>
      <w:r w:rsidR="006F7FD7">
        <w:fldChar w:fldCharType="begin"/>
      </w:r>
      <w:r w:rsidR="000E66DE">
        <w:instrText xml:space="preserve"> ADDIN EN.CITE &lt;EndNote&gt;&lt;Cite&gt;&lt;Author&gt;Kim&lt;/Author&gt;&lt;Year&gt;2016&lt;/Year&gt;&lt;RecNum&gt;1483&lt;/RecNum&gt;&lt;DisplayText&gt;&lt;style face="superscript"&gt;11&lt;/style&gt;&lt;/DisplayText&gt;&lt;record&gt;&lt;rec-number&gt;1483&lt;/rec-number&gt;&lt;foreign-keys&gt;&lt;key app="EN" db-id="dwaevxvazfs2f3ewvzmxrd0k0wasw55p2z2w" timestamp="1557310794"&gt;1483&lt;/key&gt;&lt;/foreign-keys&gt;&lt;ref-type name="Journal Article"&gt;17&lt;/ref-type&gt;&lt;contributors&gt;&lt;authors&gt;&lt;author&gt;Kim, C.&lt;/author&gt;&lt;author&gt;Prasad, V.&lt;/author&gt;&lt;/authors&gt;&lt;/contributors&gt;&lt;titles&gt;&lt;title&gt;Strength of validation for surrogate end points used in the US Food and Drug Administration&amp;apos;s approval of oncology drugs&lt;/title&gt;&lt;secondary-title&gt;Mayo Clinic Proceedings&lt;/secondary-title&gt;&lt;short-title&gt;Strength of Validation for Surrogate End Points Used in the US Food and Drug Administration&amp;apos;s Approval of Oncology Drugs&lt;/short-title&gt;&lt;/titles&gt;&lt;periodical&gt;&lt;full-title&gt;Mayo Clinic Proceedings&lt;/full-title&gt;&lt;abbr-1&gt;Mayo Clin Proc&lt;/abbr-1&gt;&lt;/periodical&gt;&lt;pages&gt;713-725&lt;/pages&gt;&lt;volume&gt;91&lt;/volume&gt;&lt;number&gt;6&lt;/number&gt;&lt;keywords&gt;&lt;keyword&gt;$$exclude abstract KC&lt;/keyword&gt;&lt;keyword&gt;$$background surrogates&lt;/keyword&gt;&lt;keyword&gt;$$Citation search&lt;/keyword&gt;&lt;/keywords&gt;&lt;dates&gt;&lt;year&gt;2016&lt;/year&gt;&lt;pub-dates&gt;&lt;date&gt;Jun&lt;/date&gt;&lt;/pub-dates&gt;&lt;/dates&gt;&lt;isbn&gt;0025-6196&lt;/isbn&gt;&lt;accession-num&gt;WOS:000377306200009&lt;/accession-num&gt;&lt;urls&gt;&lt;/urls&gt;&lt;electronic-resource-num&gt;10.1016/j.mayocp.2016.02.012&lt;/electronic-resource-num&gt;&lt;research-notes&gt;&lt;style face="underline" font="default" size="100%"&gt;&amp;lt;Go to ISI&amp;gt;://WOS:000377306200009&lt;/style&gt;&lt;/research-notes&gt;&lt;/record&gt;&lt;/Cite&gt;&lt;/EndNote&gt;</w:instrText>
      </w:r>
      <w:r w:rsidR="006F7FD7">
        <w:fldChar w:fldCharType="separate"/>
      </w:r>
      <w:r w:rsidR="006F7FD7" w:rsidRPr="006F7FD7">
        <w:rPr>
          <w:noProof/>
          <w:vertAlign w:val="superscript"/>
        </w:rPr>
        <w:t>11</w:t>
      </w:r>
      <w:r w:rsidR="006F7FD7">
        <w:fldChar w:fldCharType="end"/>
      </w:r>
      <w:r w:rsidRPr="002D1DD7">
        <w:t xml:space="preserve"> One important reason for this is that ORR can be directly attributable to drug effect</w:t>
      </w:r>
      <w:r w:rsidR="006722DB">
        <w:t>,</w:t>
      </w:r>
      <w:r w:rsidRPr="002D1DD7">
        <w:t xml:space="preserve"> and hence </w:t>
      </w:r>
      <w:r w:rsidR="0003702B">
        <w:t xml:space="preserve">single-arm studies </w:t>
      </w:r>
      <w:r w:rsidRPr="002D1DD7">
        <w:t>conducted in patients with refractory tumours where no available therapy exists are considered to provide an a</w:t>
      </w:r>
      <w:r w:rsidR="00C26135" w:rsidRPr="002D1DD7">
        <w:t>ppropriate</w:t>
      </w:r>
      <w:r w:rsidRPr="002D1DD7">
        <w:t xml:space="preserve"> assessment of ORR. However, the FDA also acknowledges that the clinical benefits of interest may not always be predicted by, or correlate with, ORR. Hence the use</w:t>
      </w:r>
      <w:r w:rsidR="00C26135" w:rsidRPr="002D1DD7">
        <w:t xml:space="preserve"> of </w:t>
      </w:r>
      <w:r w:rsidRPr="002D1DD7">
        <w:t>measures such as ORR to support an accelerated approval or traditional approval endpoint ultimately depend</w:t>
      </w:r>
      <w:r w:rsidR="00324EC2">
        <w:t>s</w:t>
      </w:r>
      <w:r w:rsidRPr="002D1DD7">
        <w:t xml:space="preserve"> on the disease context and the magnitude of the effect, among other factors. </w:t>
      </w:r>
    </w:p>
    <w:p w14:paraId="59A0C290" w14:textId="569C858F" w:rsidR="00F115CF" w:rsidRPr="002D1DD7" w:rsidRDefault="00880205" w:rsidP="00EC11CD">
      <w:pPr>
        <w:pStyle w:val="Heading2"/>
      </w:pPr>
      <w:r w:rsidRPr="002D1DD7">
        <w:tab/>
      </w:r>
      <w:bookmarkStart w:id="19" w:name="_Toc33776150"/>
      <w:r w:rsidRPr="002D1DD7">
        <w:t xml:space="preserve">FDA review of </w:t>
      </w:r>
      <w:r w:rsidR="00555827">
        <w:t>histology-independent</w:t>
      </w:r>
      <w:r w:rsidRPr="002D1DD7">
        <w:t xml:space="preserve"> products</w:t>
      </w:r>
      <w:bookmarkEnd w:id="19"/>
    </w:p>
    <w:p w14:paraId="495336C8" w14:textId="5E807BAB" w:rsidR="00880205" w:rsidRPr="002D1DD7" w:rsidRDefault="00F115CF" w:rsidP="00D37DBF">
      <w:pPr>
        <w:pStyle w:val="Heading3"/>
      </w:pPr>
      <w:bookmarkStart w:id="20" w:name="_Toc33776151"/>
      <w:r w:rsidRPr="002D1DD7">
        <w:t>FDA review of p</w:t>
      </w:r>
      <w:r w:rsidR="00880205" w:rsidRPr="002D1DD7">
        <w:t>embrolizumab</w:t>
      </w:r>
      <w:bookmarkEnd w:id="20"/>
    </w:p>
    <w:p w14:paraId="186961D0" w14:textId="5512CE58" w:rsidR="00880205" w:rsidRPr="002D1DD7" w:rsidRDefault="00880205" w:rsidP="00880205">
      <w:r w:rsidRPr="002D1DD7">
        <w:t>The FDA approved pembrolizumab (K</w:t>
      </w:r>
      <w:r w:rsidR="009B4909" w:rsidRPr="002D1DD7">
        <w:t>eytruda</w:t>
      </w:r>
      <w:r w:rsidRPr="002D1DD7">
        <w:t>, Merck) on May 23</w:t>
      </w:r>
      <w:r w:rsidR="00625199" w:rsidRPr="00625199">
        <w:rPr>
          <w:vertAlign w:val="superscript"/>
        </w:rPr>
        <w:t>rd</w:t>
      </w:r>
      <w:r w:rsidRPr="002D1DD7">
        <w:t>, 2017, fo</w:t>
      </w:r>
      <w:r w:rsidR="00C35194" w:rsidRPr="002D1DD7">
        <w:t>r the treatment of adult and paediatric</w:t>
      </w:r>
      <w:r w:rsidRPr="002D1DD7">
        <w:t xml:space="preserve"> patients wi</w:t>
      </w:r>
      <w:r w:rsidR="009021AF">
        <w:t>th unresectable or metastatic, MSI-H, or dMMR</w:t>
      </w:r>
      <w:r w:rsidRPr="002D1DD7">
        <w:t xml:space="preserve"> solid tumours</w:t>
      </w:r>
      <w:r w:rsidR="0086402E">
        <w:t>. The approval covers patients</w:t>
      </w:r>
      <w:r w:rsidRPr="002D1DD7">
        <w:t xml:space="preserve"> that have progressed following prior treatment and who have no satisfactory </w:t>
      </w:r>
      <w:r w:rsidRPr="002D1DD7">
        <w:lastRenderedPageBreak/>
        <w:t>alternative treatment options</w:t>
      </w:r>
      <w:r w:rsidR="00C27FFA" w:rsidRPr="002D1DD7">
        <w:t>,</w:t>
      </w:r>
      <w:r w:rsidRPr="002D1DD7">
        <w:t xml:space="preserve"> and for the treatment of unresectable or metastatic MSI-H or dMMR colorectal cancer</w:t>
      </w:r>
      <w:r w:rsidR="00D37DBF">
        <w:t xml:space="preserve"> </w:t>
      </w:r>
      <w:r w:rsidR="00D37DBF" w:rsidRPr="002D1DD7">
        <w:t>(CRC)</w:t>
      </w:r>
      <w:r w:rsidRPr="002D1DD7">
        <w:t xml:space="preserve"> that has progressed following treatment with a fluoropyrimidine, oxaliplatin, and irinotecan.</w:t>
      </w:r>
      <w:r w:rsidR="006F7FD7">
        <w:fldChar w:fldCharType="begin"/>
      </w:r>
      <w:r w:rsidR="006F7FD7">
        <w:instrText xml:space="preserve"> ADDIN EN.CITE &lt;EndNote&gt;&lt;Cite&gt;&lt;Author&gt;U.S. Department of Health and Human Services. Food and Drug Administration. Center for Drug Evaluation and Research&lt;/Author&gt;&lt;Year&gt;2017&lt;/Year&gt;&lt;RecNum&gt;3518&lt;/RecNum&gt;&lt;DisplayText&gt;&lt;style face="superscript"&gt;1&lt;/style&gt;&lt;/DisplayText&gt;&lt;record&gt;&lt;rec-number&gt;3518&lt;/rec-number&gt;&lt;foreign-keys&gt;&lt;key app="EN" db-id="dwaevxvazfs2f3ewvzmxrd0k0wasw55p2z2w" timestamp="1579606101"&gt;3518&lt;/key&gt;&lt;/foreign-keys&gt;&lt;ref-type name="Book Section"&gt;5&lt;/ref-type&gt;&lt;contributors&gt;&lt;authors&gt;&lt;author&gt;U.S. Department of Health and Human Services. Food and Drug Administration. Center for Drug Evaluation and Research,&lt;/author&gt;&lt;/authors&gt;&lt;/contributors&gt;&lt;titles&gt;&lt;title&gt;Approval Package for application number 125514Orig1s014. Trade Name: Keytruda. Generic or Proper name: pembrolizumab &lt;/title&gt;&lt;/titles&gt;&lt;dates&gt;&lt;year&gt;2017&lt;/year&gt;&lt;/dates&gt;&lt;pub-location&gt;Rockville, Maryland, United States&lt;/pub-location&gt;&lt;urls&gt;&lt;related-urls&gt;&lt;url&gt;https://www.accessdata.fda.gov/drugsatfda_docs/nda/2019/125514Orig1s014.pdf&lt;/url&gt;&lt;/related-urls&gt;&lt;/urls&gt;&lt;custom4&gt;STEVE&amp;apos;S REFERENCES&lt;/custom4&gt;&lt;/record&gt;&lt;/Cite&gt;&lt;/EndNote&gt;</w:instrText>
      </w:r>
      <w:r w:rsidR="006F7FD7">
        <w:fldChar w:fldCharType="separate"/>
      </w:r>
      <w:r w:rsidR="006F7FD7" w:rsidRPr="006F7FD7">
        <w:rPr>
          <w:noProof/>
          <w:vertAlign w:val="superscript"/>
        </w:rPr>
        <w:t>1</w:t>
      </w:r>
      <w:r w:rsidR="006F7FD7">
        <w:fldChar w:fldCharType="end"/>
      </w:r>
      <w:r w:rsidRPr="002D1DD7">
        <w:t xml:space="preserve"> </w:t>
      </w:r>
    </w:p>
    <w:p w14:paraId="1DDA2329" w14:textId="2A9C0DEE" w:rsidR="00880205" w:rsidRPr="002D1DD7" w:rsidRDefault="00880205" w:rsidP="00880205">
      <w:r w:rsidRPr="002D1DD7">
        <w:t>The efficacy of pembrol</w:t>
      </w:r>
      <w:r w:rsidR="009B4909" w:rsidRPr="002D1DD7">
        <w:t>i</w:t>
      </w:r>
      <w:r w:rsidRPr="002D1DD7">
        <w:t>z</w:t>
      </w:r>
      <w:r w:rsidR="009B4909" w:rsidRPr="002D1DD7">
        <w:t>u</w:t>
      </w:r>
      <w:r w:rsidRPr="002D1DD7">
        <w:t xml:space="preserve">mab in patients with MSI-H or dMMR solid tumours was derived from five uncontrolled, open-label, multi-cohort, multi-centre, single-arm </w:t>
      </w:r>
      <w:r w:rsidR="0003702B">
        <w:t>studies</w:t>
      </w:r>
      <w:r w:rsidRPr="002D1DD7">
        <w:t xml:space="preserve">. Patients received either 200 mg of pembrolizumab every 3 weeks or 10 mg/kg every 2 weeks. Treatment continued until unacceptable toxicity or disease progression (up to a maximum of 24 months treatment). </w:t>
      </w:r>
    </w:p>
    <w:p w14:paraId="54839105" w14:textId="373ED9DF" w:rsidR="00880205" w:rsidRPr="002D1DD7" w:rsidRDefault="00880205" w:rsidP="00880205">
      <w:r w:rsidRPr="002D1DD7">
        <w:t>A total of 149 patients with MSI-H or dMMR cancers were included across the five clinical trials. The medi</w:t>
      </w:r>
      <w:r w:rsidR="00D37DBF">
        <w:t>an age of patients was 55 years,</w:t>
      </w:r>
      <w:r w:rsidRPr="002D1DD7">
        <w:t xml:space="preserve"> 98% of patients had metastatic disease and 2% had locally advanced, unresectable disease. Ninety (60%) of the 149 patients had CRC with the remainder diagnosed with other tumour types. The median number of prior therapies for metastatic or unresectable disease was two. </w:t>
      </w:r>
    </w:p>
    <w:p w14:paraId="565F3E56" w14:textId="77777777" w:rsidR="00880205" w:rsidRPr="002D1DD7" w:rsidRDefault="00880205" w:rsidP="00880205">
      <w:r w:rsidRPr="002D1DD7">
        <w:t>The identification of MSI-H or dMMR tumour status was prospectively established for the majority of patients (135/149) using local laboratory-developed, polymerase chain reaction (PCR) tests for MSI-H status or immunohistochemistry (IHC) tests for dMMR. Tumours from the remaining 14 patients were retrospectively identified as MSI-H using a central laboratory-developed PCR test.</w:t>
      </w:r>
    </w:p>
    <w:p w14:paraId="1EE75B10" w14:textId="76704132" w:rsidR="00880205" w:rsidRPr="002D1DD7" w:rsidRDefault="00880205">
      <w:r w:rsidRPr="002D1DD7">
        <w:t xml:space="preserve">The primary endpoint </w:t>
      </w:r>
      <w:r w:rsidR="00C35194" w:rsidRPr="002D1DD7">
        <w:t xml:space="preserve">used </w:t>
      </w:r>
      <w:r w:rsidRPr="002D1DD7">
        <w:t xml:space="preserve">for the </w:t>
      </w:r>
      <w:r w:rsidR="00C35194" w:rsidRPr="002D1DD7">
        <w:t xml:space="preserve">FDA </w:t>
      </w:r>
      <w:r w:rsidRPr="002D1DD7">
        <w:t xml:space="preserve">review was ORR as assessed by blinded independent central radiologists’ (BICR) review according to </w:t>
      </w:r>
      <w:r w:rsidR="0003702B" w:rsidRPr="0003702B">
        <w:t xml:space="preserve">Response Evaluation Criteria in Solid Tumors </w:t>
      </w:r>
      <w:r w:rsidR="0003702B">
        <w:t>(</w:t>
      </w:r>
      <w:r w:rsidRPr="002D1DD7">
        <w:t>RECIST</w:t>
      </w:r>
      <w:r w:rsidR="0003702B">
        <w:t>)</w:t>
      </w:r>
      <w:r w:rsidRPr="002D1DD7">
        <w:t xml:space="preserve"> 1.1. The </w:t>
      </w:r>
      <w:r w:rsidR="00495669">
        <w:t>ORR</w:t>
      </w:r>
      <w:r w:rsidRPr="002D1DD7">
        <w:t xml:space="preserve"> (95% CI) was 39.6% (31.7% </w:t>
      </w:r>
      <w:r w:rsidR="00C26135" w:rsidRPr="002D1DD7">
        <w:t>to</w:t>
      </w:r>
      <w:r w:rsidRPr="002D1DD7">
        <w:t xml:space="preserve"> 47.9%). </w:t>
      </w:r>
      <w:r w:rsidR="009021AF">
        <w:t>DoR</w:t>
      </w:r>
      <w:r w:rsidRPr="002D1DD7">
        <w:t xml:space="preserve"> was considered </w:t>
      </w:r>
      <w:r w:rsidR="00495669">
        <w:t xml:space="preserve">as </w:t>
      </w:r>
      <w:r w:rsidRPr="002D1DD7">
        <w:t xml:space="preserve">a key secondary endpoint. Although the median </w:t>
      </w:r>
      <w:r w:rsidR="009021AF">
        <w:t>Do</w:t>
      </w:r>
      <w:r w:rsidR="009B4909" w:rsidRPr="002D1DD7">
        <w:t>R</w:t>
      </w:r>
      <w:r w:rsidRPr="002D1DD7">
        <w:t xml:space="preserve"> was not reached, 78% of responding patients had a </w:t>
      </w:r>
      <w:r w:rsidR="00495669">
        <w:t>DoR</w:t>
      </w:r>
      <w:r w:rsidRPr="002D1DD7">
        <w:t xml:space="preserve"> of 6 months or longer. </w:t>
      </w:r>
      <w:r w:rsidR="00C26135" w:rsidRPr="002D1DD7">
        <w:t>Overall, the safety profile of pembrolizumab was considered acceptable relative to durable responses observed in patients with advanced MSI-H/dMMR cancers.</w:t>
      </w:r>
    </w:p>
    <w:p w14:paraId="2C9D24EB" w14:textId="3021189A" w:rsidR="00880205" w:rsidRPr="002D1DD7" w:rsidRDefault="00880205" w:rsidP="00880205">
      <w:r w:rsidRPr="002D1DD7">
        <w:t>A total of 16 different tumour types were included in the combined dataset. Consistent responses were reported between subjects with</w:t>
      </w:r>
      <w:r w:rsidR="00D37DBF">
        <w:t xml:space="preserve"> g</w:t>
      </w:r>
      <w:r w:rsidR="00D37DBF" w:rsidRPr="009021AF">
        <w:t>astrointestinal</w:t>
      </w:r>
      <w:r w:rsidRPr="002D1DD7">
        <w:t xml:space="preserve"> </w:t>
      </w:r>
      <w:r w:rsidR="00D37DBF">
        <w:t>(</w:t>
      </w:r>
      <w:r w:rsidRPr="002D1DD7">
        <w:t>GI</w:t>
      </w:r>
      <w:r w:rsidR="00D37DBF">
        <w:t>)</w:t>
      </w:r>
      <w:r w:rsidRPr="002D1DD7">
        <w:t xml:space="preserve"> (CRC, small bowel, gastro-esophageal junction, pancreas) and non-GI MSI-H cancer</w:t>
      </w:r>
      <w:r w:rsidR="00C26135" w:rsidRPr="002D1DD7">
        <w:t>,</w:t>
      </w:r>
      <w:r w:rsidRPr="002D1DD7">
        <w:t xml:space="preserve"> with ORRs of 36.8% (MSI-H GI</w:t>
      </w:r>
      <w:r w:rsidR="00D72ACE">
        <w:t>; N=12</w:t>
      </w:r>
      <w:r w:rsidR="0003530F">
        <w:t>5</w:t>
      </w:r>
      <w:r w:rsidRPr="002D1DD7">
        <w:t>) and 41.7% (MSI-H non-GI)</w:t>
      </w:r>
      <w:r w:rsidR="00D72ACE">
        <w:t>; N=24)</w:t>
      </w:r>
      <w:r w:rsidRPr="002D1DD7">
        <w:t xml:space="preserve">. However, the FDA noted that some of the tumours </w:t>
      </w:r>
      <w:r w:rsidR="001D2FFD">
        <w:t xml:space="preserve">(e.g. </w:t>
      </w:r>
      <w:r w:rsidR="00D72ACE">
        <w:t xml:space="preserve">breast, prostate, sarcoma, renal cell) </w:t>
      </w:r>
      <w:r w:rsidRPr="002D1DD7">
        <w:t xml:space="preserve">were only represented by 1 or 2 patients and that there was uncertainty whether the results apply to all disease types with MSI-H/dMMR status. </w:t>
      </w:r>
      <w:r w:rsidR="00C26135" w:rsidRPr="002D1DD7">
        <w:t xml:space="preserve"> </w:t>
      </w:r>
    </w:p>
    <w:p w14:paraId="239E1660" w14:textId="2AA21469" w:rsidR="00880205" w:rsidRPr="002D1DD7" w:rsidRDefault="00880205" w:rsidP="00880205">
      <w:r w:rsidRPr="002D1DD7">
        <w:t xml:space="preserve">The key question considered by the FDA within their review was whether the presence of MSI-H/dMMR represents a unique biomarker </w:t>
      </w:r>
      <w:r w:rsidR="009C3BDC" w:rsidRPr="002D1DD7">
        <w:t xml:space="preserve">that predicts a consistent </w:t>
      </w:r>
      <w:r w:rsidRPr="002D1DD7">
        <w:t>response to pembrolizumab and</w:t>
      </w:r>
      <w:r w:rsidR="009C3BDC" w:rsidRPr="002D1DD7">
        <w:t xml:space="preserve"> </w:t>
      </w:r>
      <w:r w:rsidRPr="002D1DD7">
        <w:t xml:space="preserve">similar clinical benefit across different primary tumours. In addressing this question, the FDA highlighted </w:t>
      </w:r>
      <w:r w:rsidR="00C27FFA" w:rsidRPr="002D1DD7">
        <w:t xml:space="preserve">that </w:t>
      </w:r>
      <w:r w:rsidRPr="002D1DD7">
        <w:t>features associated with MSI-H/dMMR that are common across primary cancers include increased lymphocytic infiltration and an increased mutational tumour burden with non-</w:t>
      </w:r>
      <w:r w:rsidRPr="002D1DD7">
        <w:lastRenderedPageBreak/>
        <w:t>synonymous mutations. Both factors were noted to have been previously identified as correlating with an increased likelihood of response to checkpoint inhibitors</w:t>
      </w:r>
      <w:r w:rsidR="000817BB">
        <w:t>, such as pembrolizumab,</w:t>
      </w:r>
      <w:r w:rsidRPr="002D1DD7">
        <w:t xml:space="preserve"> in tumours that have not been assessed for MSI-H or dMMR. Based on these common histologic features, the FDA concluded that there was a strong biologic rationale that MSI-H/dMMR cancer represents a specific subpopulation of patients with cancer who are likely to derive clinical benefit from pembrolizumab.</w:t>
      </w:r>
    </w:p>
    <w:p w14:paraId="02CD33E6" w14:textId="74210E4B" w:rsidR="00880205" w:rsidRPr="002D1DD7" w:rsidRDefault="00880205">
      <w:r w:rsidRPr="002D1DD7">
        <w:t xml:space="preserve">Pembrolizumab was approved by the FDA for this indication under </w:t>
      </w:r>
      <w:r w:rsidR="00495669">
        <w:t>A</w:t>
      </w:r>
      <w:r w:rsidRPr="002D1DD7">
        <w:t xml:space="preserve">ccelerated </w:t>
      </w:r>
      <w:r w:rsidR="00495669">
        <w:t>A</w:t>
      </w:r>
      <w:r w:rsidRPr="002D1DD7">
        <w:t xml:space="preserve">pproval based on </w:t>
      </w:r>
      <w:r w:rsidR="0003702B">
        <w:t>ORR and DoR</w:t>
      </w:r>
      <w:r w:rsidRPr="002D1DD7">
        <w:t>. Despite a common biology among MSI-H/</w:t>
      </w:r>
      <w:r w:rsidR="007B4F76">
        <w:t>d</w:t>
      </w:r>
      <w:r w:rsidRPr="002D1DD7">
        <w:t xml:space="preserve">MMR tumours, the FDA review also highlighted </w:t>
      </w:r>
      <w:r w:rsidR="009C3BDC" w:rsidRPr="002D1DD7">
        <w:t xml:space="preserve">other </w:t>
      </w:r>
      <w:r w:rsidRPr="002D1DD7">
        <w:t xml:space="preserve">differences among patients with different types of cancer that could influence response to therapy with pembrolizumab (e.g., the degree of immunosuppression related to previous cytotoxic chemotherapy). </w:t>
      </w:r>
      <w:bookmarkStart w:id="21" w:name="_Hlk25320532"/>
      <w:r w:rsidRPr="002D1DD7">
        <w:t xml:space="preserve">Given the uncertainties that remain concerning the generalisability of the results to all disease types </w:t>
      </w:r>
      <w:bookmarkEnd w:id="21"/>
      <w:r w:rsidRPr="002D1DD7">
        <w:t xml:space="preserve">with MSI-H/dMMR status, a condition of the approval requires </w:t>
      </w:r>
      <w:r w:rsidR="009C3BDC" w:rsidRPr="002D1DD7">
        <w:t xml:space="preserve">the sponsor </w:t>
      </w:r>
      <w:r w:rsidRPr="002D1DD7">
        <w:t xml:space="preserve">to submit results of further studies to better characterise response rate and </w:t>
      </w:r>
      <w:r w:rsidR="00495669">
        <w:t xml:space="preserve">its </w:t>
      </w:r>
      <w:r w:rsidRPr="002D1DD7">
        <w:t xml:space="preserve">duration. These studies are required to include 124 patients with CRC and at least 300 patients with non-CRC, including a sufficient number of patients with prostate cancer, thyroid cancer, small cell lung cancer and ovarian cancer; and 25 children. </w:t>
      </w:r>
    </w:p>
    <w:p w14:paraId="154CBBED" w14:textId="7A07E159" w:rsidR="00880205" w:rsidRPr="002D1DD7" w:rsidRDefault="00880205" w:rsidP="00880205">
      <w:r w:rsidRPr="002D1DD7">
        <w:t xml:space="preserve">The FDA review noted that </w:t>
      </w:r>
      <w:r w:rsidR="009B4909" w:rsidRPr="002D1DD7">
        <w:t xml:space="preserve">further </w:t>
      </w:r>
      <w:r w:rsidRPr="002D1DD7">
        <w:t xml:space="preserve">randomised trials will be challenging to conduct in the histology-independent setting given concerns over equipoise. The FDA also questioned whether it would be scientifically appropriate to </w:t>
      </w:r>
      <w:r w:rsidR="009C3BDC" w:rsidRPr="002D1DD7">
        <w:t>‘</w:t>
      </w:r>
      <w:r w:rsidRPr="002D1DD7">
        <w:t>lump</w:t>
      </w:r>
      <w:r w:rsidR="009C3BDC" w:rsidRPr="002D1DD7">
        <w:t>’</w:t>
      </w:r>
      <w:r w:rsidRPr="002D1DD7">
        <w:t xml:space="preserve"> all tumour types together into a single randomised trial given the different natural histories. The FDA also noted that while response may not be entirely predictive of effects on clinical benefit, checkpoint inhibitor therapy, including pembrolizumab, has demonstrated beneficial effects on OS with similar response rates in other tumour types.</w:t>
      </w:r>
    </w:p>
    <w:p w14:paraId="3BD21D83" w14:textId="6562F4FD" w:rsidR="00880205" w:rsidRPr="002D1DD7" w:rsidRDefault="00880205" w:rsidP="00880205">
      <w:r w:rsidRPr="002D1DD7">
        <w:t xml:space="preserve">In the absence of a companion diagnostic test for </w:t>
      </w:r>
      <w:r w:rsidR="00495669">
        <w:t xml:space="preserve">the </w:t>
      </w:r>
      <w:r w:rsidRPr="002D1DD7">
        <w:t xml:space="preserve">identification of MSI-H or dMMR </w:t>
      </w:r>
      <w:r w:rsidR="00787BBC" w:rsidRPr="002D1DD7">
        <w:t>tumour</w:t>
      </w:r>
      <w:r w:rsidRPr="002D1DD7">
        <w:t xml:space="preserve"> status, the FDA review noted the uncertainties regarding use of laboratory</w:t>
      </w:r>
      <w:r w:rsidR="00C17A5C">
        <w:t>-</w:t>
      </w:r>
      <w:r w:rsidRPr="002D1DD7">
        <w:t xml:space="preserve">developed tests. These uncertainties concerned the rate of false-positives in IHC tests for dMMR and false-negatives in PCR tests for MSI-H and whether performance characteristics may differ by </w:t>
      </w:r>
      <w:r w:rsidR="0003702B">
        <w:t>the site of the primary tumour</w:t>
      </w:r>
      <w:r w:rsidRPr="002D1DD7">
        <w:t>. Given these uncertainties, additional post</w:t>
      </w:r>
      <w:r w:rsidR="003F4BB9" w:rsidRPr="002D1DD7">
        <w:t>-</w:t>
      </w:r>
      <w:r w:rsidRPr="002D1DD7">
        <w:t>marketing studies were requested to assess and establish the performance characteristics of MSI-H and dMMR tests.</w:t>
      </w:r>
    </w:p>
    <w:p w14:paraId="06C2EDBB" w14:textId="6F4D3477" w:rsidR="00880205" w:rsidRPr="002D1DD7" w:rsidRDefault="00F115CF" w:rsidP="00F115CF">
      <w:pPr>
        <w:pStyle w:val="Heading3"/>
      </w:pPr>
      <w:bookmarkStart w:id="22" w:name="_Ref27390653"/>
      <w:bookmarkStart w:id="23" w:name="_Toc33776152"/>
      <w:bookmarkStart w:id="24" w:name="_Hlk25052740"/>
      <w:r w:rsidRPr="002D1DD7">
        <w:t>FDA review of l</w:t>
      </w:r>
      <w:r w:rsidR="00880205" w:rsidRPr="002D1DD7">
        <w:t>arotrectinib</w:t>
      </w:r>
      <w:bookmarkEnd w:id="22"/>
      <w:bookmarkEnd w:id="23"/>
    </w:p>
    <w:bookmarkEnd w:id="24"/>
    <w:p w14:paraId="7F26C8D1" w14:textId="7CC8E723" w:rsidR="00880205" w:rsidRPr="002D1DD7" w:rsidRDefault="00880205" w:rsidP="00880205">
      <w:r w:rsidRPr="002D1DD7">
        <w:t>On November 26</w:t>
      </w:r>
      <w:r w:rsidR="00C17A5C" w:rsidRPr="000817BB">
        <w:rPr>
          <w:vertAlign w:val="superscript"/>
        </w:rPr>
        <w:t>th</w:t>
      </w:r>
      <w:r w:rsidR="00625199">
        <w:t xml:space="preserve">, </w:t>
      </w:r>
      <w:r w:rsidRPr="002D1DD7">
        <w:t xml:space="preserve">2018, the FDA granted accelerated approval to </w:t>
      </w:r>
      <w:bookmarkStart w:id="25" w:name="_Hlk25128358"/>
      <w:r w:rsidRPr="002D1DD7">
        <w:t>larotrectinib (V</w:t>
      </w:r>
      <w:r w:rsidR="009B4909" w:rsidRPr="002D1DD7">
        <w:t>itrak</w:t>
      </w:r>
      <w:r w:rsidR="003F4BB9" w:rsidRPr="002D1DD7">
        <w:t>v</w:t>
      </w:r>
      <w:r w:rsidR="009B4909" w:rsidRPr="002D1DD7">
        <w:t>i</w:t>
      </w:r>
      <w:r w:rsidRPr="002D1DD7">
        <w:t>, Loxo Oncology Inc. and Bayer</w:t>
      </w:r>
      <w:bookmarkEnd w:id="25"/>
      <w:r w:rsidRPr="002D1DD7">
        <w:t xml:space="preserve">) for adult and paediatric patients with solid tumours that have a </w:t>
      </w:r>
      <w:r w:rsidR="00D37DBF">
        <w:t>NTRK</w:t>
      </w:r>
      <w:r w:rsidRPr="002D1DD7">
        <w:t xml:space="preserve"> gene fusion without a known acquired resistance mutation, that are either metastatic or where surgical resection is likely to result in severe morbidity, and who have no satisfactory alternative treatments or whose cancer has progressed following treatment.</w:t>
      </w:r>
      <w:r w:rsidR="006F7FD7">
        <w:fldChar w:fldCharType="begin"/>
      </w:r>
      <w:r w:rsidR="006F7FD7">
        <w:instrText xml:space="preserve"> ADDIN EN.CITE &lt;EndNote&gt;&lt;Cite&gt;&lt;Author&gt;U.S. Department of Health and Human Services. Food and Drug Administration&lt;/Author&gt;&lt;Year&gt;2018&lt;/Year&gt;&lt;RecNum&gt;3516&lt;/RecNum&gt;&lt;DisplayText&gt;&lt;style face="superscript"&gt;9&lt;/style&gt;&lt;/DisplayText&gt;&lt;record&gt;&lt;rec-number&gt;3516&lt;/rec-number&gt;&lt;foreign-keys&gt;&lt;key app="EN" db-id="dwaevxvazfs2f3ewvzmxrd0k0wasw55p2z2w" timestamp="1579606100"&gt;3516&lt;/key&gt;&lt;/foreign-keys&gt;&lt;ref-type name="Web Page"&gt;12&lt;/ref-type&gt;&lt;contributors&gt;&lt;authors&gt;&lt;author&gt;U.S. Department of Health and Human Services. Food and Drug Administration,&lt;/author&gt;&lt;/authors&gt;&lt;/contributors&gt;&lt;titles&gt;&lt;title&gt;Drug Approval Package: Vitrakvi (larotrectinib)&lt;/title&gt;&lt;/titles&gt;&lt;volume&gt;2020&lt;/volume&gt;&lt;number&gt;17th January&lt;/number&gt;&lt;dates&gt;&lt;year&gt;2018&lt;/year&gt;&lt;/dates&gt;&lt;publisher&gt;FDA&lt;/publisher&gt;&lt;urls&gt;&lt;related-urls&gt;&lt;url&gt;https://www.accessdata.fda.gov/drugsatfda_docs/nda/2018/210861Orig1s000_21171Orig1s000TOC.cfm&lt;/url&gt;&lt;/related-urls&gt;&lt;/urls&gt;&lt;custom4&gt;STEVE&amp;apos;S REFERENCES&lt;/custom4&gt;&lt;/record&gt;&lt;/Cite&gt;&lt;/EndNote&gt;</w:instrText>
      </w:r>
      <w:r w:rsidR="006F7FD7">
        <w:fldChar w:fldCharType="separate"/>
      </w:r>
      <w:r w:rsidR="006F7FD7" w:rsidRPr="006F7FD7">
        <w:rPr>
          <w:noProof/>
          <w:vertAlign w:val="superscript"/>
        </w:rPr>
        <w:t>9</w:t>
      </w:r>
      <w:r w:rsidR="006F7FD7">
        <w:fldChar w:fldCharType="end"/>
      </w:r>
      <w:r w:rsidRPr="002D1DD7">
        <w:t xml:space="preserve"> </w:t>
      </w:r>
    </w:p>
    <w:p w14:paraId="1C5243D6" w14:textId="48AAC420" w:rsidR="009D1F3B" w:rsidRDefault="00880205" w:rsidP="009D1F3B">
      <w:bookmarkStart w:id="26" w:name="_Hlk25134450"/>
      <w:bookmarkStart w:id="27" w:name="_Hlk25054489"/>
      <w:r w:rsidRPr="002D1DD7">
        <w:lastRenderedPageBreak/>
        <w:t xml:space="preserve">As agreed with the FDA, the submission was supported by pooled safety and efficacy data from the first 55 patients enrolled in three multicentre, open label single-arm </w:t>
      </w:r>
      <w:r w:rsidR="0003702B">
        <w:t xml:space="preserve">studies </w:t>
      </w:r>
      <w:r w:rsidRPr="002D1DD7">
        <w:t>enrolling subjects with solid tumours harbouring a NTRK fusion</w:t>
      </w:r>
      <w:r w:rsidR="000C3FB3">
        <w:t>,</w:t>
      </w:r>
      <w:r w:rsidRPr="002D1DD7">
        <w:t xml:space="preserve"> </w:t>
      </w:r>
      <w:r w:rsidR="009D1F3B">
        <w:t>who met the following criteria:</w:t>
      </w:r>
    </w:p>
    <w:bookmarkEnd w:id="26"/>
    <w:p w14:paraId="7565B465" w14:textId="089F6F6E" w:rsidR="009D1F3B" w:rsidRDefault="009D1F3B" w:rsidP="009A66EC">
      <w:pPr>
        <w:pStyle w:val="ListParagraph"/>
        <w:numPr>
          <w:ilvl w:val="0"/>
          <w:numId w:val="98"/>
        </w:numPr>
      </w:pPr>
      <w:r>
        <w:t>Documented NTRK fusion as determined by local testing</w:t>
      </w:r>
    </w:p>
    <w:p w14:paraId="59C68F36" w14:textId="1C0C73DD" w:rsidR="009D1F3B" w:rsidRDefault="009D1F3B" w:rsidP="009A66EC">
      <w:pPr>
        <w:pStyle w:val="ListParagraph"/>
        <w:numPr>
          <w:ilvl w:val="0"/>
          <w:numId w:val="98"/>
        </w:numPr>
      </w:pPr>
      <w:r>
        <w:t>Non-</w:t>
      </w:r>
      <w:r w:rsidR="009021AF">
        <w:t>central nervous system (</w:t>
      </w:r>
      <w:r>
        <w:t>CNS</w:t>
      </w:r>
      <w:r w:rsidR="009021AF">
        <w:t>)</w:t>
      </w:r>
      <w:r>
        <w:t xml:space="preserve"> primary tumour with 1 or more measurable lesions at baseline as assessed by RECIST 1.1</w:t>
      </w:r>
    </w:p>
    <w:p w14:paraId="27CD1FB0" w14:textId="32A9FA9E" w:rsidR="009D1F3B" w:rsidRDefault="009D1F3B" w:rsidP="009A66EC">
      <w:pPr>
        <w:pStyle w:val="ListParagraph"/>
        <w:numPr>
          <w:ilvl w:val="0"/>
          <w:numId w:val="98"/>
        </w:numPr>
      </w:pPr>
      <w:r>
        <w:t>Received one or more doses of larotrectinib</w:t>
      </w:r>
      <w:r w:rsidR="00495669">
        <w:t>.</w:t>
      </w:r>
    </w:p>
    <w:p w14:paraId="0DF2E860" w14:textId="3CFB4F7D" w:rsidR="00880205" w:rsidRPr="002D1DD7" w:rsidRDefault="00880205">
      <w:r w:rsidRPr="002D1DD7">
        <w:t xml:space="preserve">ORR determined by an </w:t>
      </w:r>
      <w:r w:rsidR="00DD07F9">
        <w:t>I</w:t>
      </w:r>
      <w:r w:rsidR="00DD07F9" w:rsidRPr="002D1DD7">
        <w:t xml:space="preserve">ndependent </w:t>
      </w:r>
      <w:r w:rsidR="00DD07F9">
        <w:t>R</w:t>
      </w:r>
      <w:r w:rsidR="00DD07F9" w:rsidRPr="002D1DD7">
        <w:t xml:space="preserve">eview </w:t>
      </w:r>
      <w:r w:rsidR="00DD07F9">
        <w:t>C</w:t>
      </w:r>
      <w:r w:rsidR="00DD07F9" w:rsidRPr="002D1DD7">
        <w:t xml:space="preserve">ommittee </w:t>
      </w:r>
      <w:r w:rsidR="00DD07F9">
        <w:t xml:space="preserve">(IRC) </w:t>
      </w:r>
      <w:r w:rsidRPr="002D1DD7">
        <w:t>was used as the primary endpoint for efficacy. D</w:t>
      </w:r>
      <w:r w:rsidR="00495669">
        <w:t>o</w:t>
      </w:r>
      <w:r w:rsidRPr="002D1DD7">
        <w:t>R was a secondary endpoint, defined as the number of months from the start date of partial response (PR) or complete response (CR) to the date of disease progression or death, whichever occurred earlier.</w:t>
      </w:r>
    </w:p>
    <w:bookmarkEnd w:id="27"/>
    <w:p w14:paraId="3AC95476" w14:textId="4284CA64" w:rsidR="00880205" w:rsidRPr="002D1DD7" w:rsidRDefault="005A3239" w:rsidP="00880205">
      <w:r>
        <w:t>Assuming the observed ORR was at least 50%, a</w:t>
      </w:r>
      <w:r w:rsidR="00880205" w:rsidRPr="002D1DD7">
        <w:t xml:space="preserve"> sample size of 55 patients was selected to provide 80% power to achieve a lower boundary of the 2-sided 95% exact binomial CI about the estimated ORR exceeding 30%. Ruling out a lower limit of 30% for ORR was considered clinically meaningful. All patients were required to either have progressed following previous systemic therapy for their disease or that they would have required surgery with significant morbidity for locally</w:t>
      </w:r>
      <w:r w:rsidR="00495669">
        <w:t xml:space="preserve"> </w:t>
      </w:r>
      <w:r w:rsidR="00880205" w:rsidRPr="002D1DD7">
        <w:t xml:space="preserve">advanced disease. The data cut-off for the primary analysis was </w:t>
      </w:r>
      <w:r w:rsidR="00C17A5C">
        <w:t xml:space="preserve">the </w:t>
      </w:r>
      <w:r w:rsidR="00880205" w:rsidRPr="002D1DD7">
        <w:t>17</w:t>
      </w:r>
      <w:r w:rsidR="00C17A5C" w:rsidRPr="000817BB">
        <w:rPr>
          <w:vertAlign w:val="superscript"/>
        </w:rPr>
        <w:t>th</w:t>
      </w:r>
      <w:r w:rsidR="00C17A5C">
        <w:t xml:space="preserve"> </w:t>
      </w:r>
      <w:r w:rsidR="00880205" w:rsidRPr="002D1DD7">
        <w:t>July 2017, approximately 6 months after enrolment of the 55</w:t>
      </w:r>
      <w:r w:rsidR="00880205" w:rsidRPr="002D1DD7">
        <w:rPr>
          <w:vertAlign w:val="superscript"/>
        </w:rPr>
        <w:t>th</w:t>
      </w:r>
      <w:r w:rsidR="00880205" w:rsidRPr="002D1DD7">
        <w:t xml:space="preserve"> patient. </w:t>
      </w:r>
    </w:p>
    <w:p w14:paraId="58BA0570" w14:textId="1584AF2B" w:rsidR="00880205" w:rsidRPr="002D1DD7" w:rsidRDefault="00880205">
      <w:r w:rsidRPr="002D1DD7">
        <w:t>The pooled sample included 1</w:t>
      </w:r>
      <w:r w:rsidR="00D72ACE">
        <w:t>2</w:t>
      </w:r>
      <w:r w:rsidRPr="002D1DD7">
        <w:t xml:space="preserve"> different tumour sites, of which the most frequent were salivary gland tumours (22% of patients), soft tissue sarcoma (20%), and infantile fibrosarcoma </w:t>
      </w:r>
      <w:r w:rsidR="00C17A5C">
        <w:t xml:space="preserve">(IFS) </w:t>
      </w:r>
      <w:r w:rsidRPr="002D1DD7">
        <w:t>(13%). More common tumours like lung or colon cancer were less represented (4 patients, or 7% each), as they tend to rarely express a NTRK fusion. The sample was also heterogeneous in terms of prior cancer therapy, with patients having undergone different type</w:t>
      </w:r>
      <w:r w:rsidR="000650DA">
        <w:t>s</w:t>
      </w:r>
      <w:r w:rsidRPr="002D1DD7">
        <w:t xml:space="preserve"> of therapies (surgery, radiotherapy, systemic therapy), and different number</w:t>
      </w:r>
      <w:r w:rsidR="000650DA">
        <w:t>s</w:t>
      </w:r>
      <w:r w:rsidRPr="002D1DD7">
        <w:t xml:space="preserve"> of previous lines </w:t>
      </w:r>
      <w:r w:rsidR="000650DA">
        <w:t xml:space="preserve">of therapy </w:t>
      </w:r>
      <w:r w:rsidRPr="002D1DD7">
        <w:t xml:space="preserve">(45% having undergone 1-2 lines, and 35% three or more). </w:t>
      </w:r>
    </w:p>
    <w:p w14:paraId="736F79F8" w14:textId="1735D4BA" w:rsidR="00880205" w:rsidRPr="002D1DD7" w:rsidRDefault="00880205" w:rsidP="00880205">
      <w:r w:rsidRPr="002D1DD7">
        <w:t>At the time of data cut-off, the estimated ORR was 75% (95% CI</w:t>
      </w:r>
      <w:r w:rsidR="00DA0F29">
        <w:t>:</w:t>
      </w:r>
      <w:r w:rsidRPr="002D1DD7">
        <w:t xml:space="preserve"> 61%</w:t>
      </w:r>
      <w:r w:rsidR="0030052E" w:rsidRPr="002D1DD7">
        <w:t xml:space="preserve"> to </w:t>
      </w:r>
      <w:r w:rsidRPr="002D1DD7">
        <w:t>85%), including 22% of patients with a CR and 53% of patien</w:t>
      </w:r>
      <w:r w:rsidR="009021AF">
        <w:t>ts with a PR. Although median Do</w:t>
      </w:r>
      <w:r w:rsidRPr="002D1DD7">
        <w:t xml:space="preserve">R had not been reached, 30 out of 41 (73%) responders had </w:t>
      </w:r>
      <w:r w:rsidR="009021AF">
        <w:t>at least 6 months’ Do</w:t>
      </w:r>
      <w:r w:rsidRPr="002D1DD7">
        <w:t>R and 16 out of 41 (39%) respo</w:t>
      </w:r>
      <w:r w:rsidR="009021AF">
        <w:t>nders had at least 12 months’ Do</w:t>
      </w:r>
      <w:r w:rsidRPr="002D1DD7">
        <w:t>R.</w:t>
      </w:r>
    </w:p>
    <w:p w14:paraId="16A70898" w14:textId="2F3270C0" w:rsidR="00880205" w:rsidRPr="002D1DD7" w:rsidRDefault="00880205" w:rsidP="00C17A5C">
      <w:r w:rsidRPr="002D1DD7">
        <w:t xml:space="preserve">The clinical and statistical review included exploratory subgroup analysis performed by study, demographics, and tumour type. Based on these analyses, the effectiveness of larotrectinib was reported to be reasonably similar irrespective of age, gender, and race; however, no definitive conclusions were made given the limited sample size. A numerical difference in ORR was reported </w:t>
      </w:r>
      <w:r w:rsidRPr="002D1DD7">
        <w:lastRenderedPageBreak/>
        <w:t xml:space="preserve">among patients with different tumour types, NTRK gene fusions or status of radiotherapy. Across different tumour types, </w:t>
      </w:r>
      <w:r w:rsidR="00D72ACE">
        <w:t>3</w:t>
      </w:r>
      <w:r w:rsidRPr="002D1DD7">
        <w:t xml:space="preserve"> tumour types had at least </w:t>
      </w:r>
      <w:r w:rsidR="00D72ACE">
        <w:t xml:space="preserve">7 </w:t>
      </w:r>
      <w:r w:rsidRPr="002D1DD7">
        <w:t>patients: salivary gland</w:t>
      </w:r>
      <w:r w:rsidR="00D72ACE">
        <w:t xml:space="preserve"> (N=12)</w:t>
      </w:r>
      <w:r w:rsidRPr="002D1DD7">
        <w:t xml:space="preserve">, soft tissue </w:t>
      </w:r>
      <w:r w:rsidR="00D72ACE">
        <w:t xml:space="preserve">(N=11) and </w:t>
      </w:r>
      <w:r w:rsidRPr="002D1DD7">
        <w:t>IFS</w:t>
      </w:r>
      <w:r w:rsidR="00D72ACE">
        <w:t xml:space="preserve"> (N=7)</w:t>
      </w:r>
      <w:r w:rsidR="004A3570">
        <w:t>.</w:t>
      </w:r>
      <w:r w:rsidRPr="002D1DD7">
        <w:t xml:space="preserve"> The ORR in these tumour types was reported to be higher than 75%. Conversely it was reported that the ORR in colon cancer appeared to be lower (</w:t>
      </w:r>
      <w:r w:rsidR="00D72ACE">
        <w:t>1</w:t>
      </w:r>
      <w:r w:rsidRPr="002D1DD7">
        <w:t xml:space="preserve"> out of </w:t>
      </w:r>
      <w:r w:rsidR="00D72ACE">
        <w:t>4</w:t>
      </w:r>
      <w:r w:rsidRPr="002D1DD7">
        <w:t xml:space="preserve"> patients). No response was reported in</w:t>
      </w:r>
      <w:r w:rsidR="000817BB">
        <w:t xml:space="preserve"> the</w:t>
      </w:r>
      <w:r w:rsidRPr="002D1DD7">
        <w:t xml:space="preserve"> 2 patients with primary CNS lymphoma. </w:t>
      </w:r>
    </w:p>
    <w:p w14:paraId="2862CDB0" w14:textId="77777777" w:rsidR="006B3ED8" w:rsidRPr="002D1DD7" w:rsidRDefault="00880205" w:rsidP="00880205">
      <w:r w:rsidRPr="002D1DD7">
        <w:t xml:space="preserve">The FDA review concluded that while the results showed that treatment with larotrectinib results in durable overall responses in patients with a variety of tumour types, there was insufficient clinical experience to conclude that the response rates achieved with larotrectinib were consistent across all NTRK-fusion cancers. </w:t>
      </w:r>
    </w:p>
    <w:p w14:paraId="21017F78" w14:textId="4037EA0E" w:rsidR="00880205" w:rsidRPr="002D1DD7" w:rsidRDefault="00880205" w:rsidP="00880205">
      <w:bookmarkStart w:id="28" w:name="_Hlk25319656"/>
      <w:r w:rsidRPr="002D1DD7">
        <w:t xml:space="preserve">A key issue addressed in the review was </w:t>
      </w:r>
      <w:bookmarkStart w:id="29" w:name="_Hlk25648208"/>
      <w:r w:rsidRPr="002D1DD7">
        <w:t xml:space="preserve">the potential risk that larotrectinib could be ineffective in some tumour types even in the presence of an NTRK fusion. </w:t>
      </w:r>
      <w:bookmarkStart w:id="30" w:name="_Hlk25057293"/>
      <w:bookmarkEnd w:id="28"/>
      <w:r w:rsidRPr="002D1DD7">
        <w:t>The FDA concluded that the risk of ineffectiveness was low due to the strong rationale presented by the company</w:t>
      </w:r>
      <w:bookmarkEnd w:id="29"/>
      <w:r w:rsidRPr="002D1DD7">
        <w:t>, supported by clinical and non-clinical data</w:t>
      </w:r>
      <w:r w:rsidR="009C3BDC" w:rsidRPr="002D1DD7">
        <w:t>.</w:t>
      </w:r>
      <w:r w:rsidRPr="002D1DD7">
        <w:t xml:space="preserve"> The strength of the evidence was assessed against the three following criteria</w:t>
      </w:r>
      <w:r w:rsidR="006F4843" w:rsidRPr="002D1DD7">
        <w:t xml:space="preserve">: </w:t>
      </w:r>
      <w:r w:rsidRPr="002D1DD7">
        <w:t xml:space="preserve">the ability of the biomarker to identify a population with common features, the similarity of response across tumour types, and the ability to reliably identify the biomarker at the screening phase. </w:t>
      </w:r>
    </w:p>
    <w:p w14:paraId="5183E6AD" w14:textId="433D2A42" w:rsidR="00880205" w:rsidRPr="002D1DD7" w:rsidRDefault="00880205" w:rsidP="00880205">
      <w:r w:rsidRPr="002D1DD7">
        <w:t xml:space="preserve">The FDA considered the totality </w:t>
      </w:r>
      <w:r w:rsidR="003D7EBF">
        <w:t xml:space="preserve">of </w:t>
      </w:r>
      <w:r w:rsidRPr="002D1DD7">
        <w:t xml:space="preserve">evidence presented by the sponsor to be sufficiently strong to consider pooling of results across trials and patients, supporting a </w:t>
      </w:r>
      <w:r w:rsidR="00555827">
        <w:t>histology-independent</w:t>
      </w:r>
      <w:r w:rsidRPr="002D1DD7">
        <w:t xml:space="preserve"> indication. </w:t>
      </w:r>
      <w:bookmarkEnd w:id="30"/>
      <w:r w:rsidRPr="002D1DD7">
        <w:t xml:space="preserve">The FDA also concluded </w:t>
      </w:r>
      <w:r w:rsidR="00F0326E">
        <w:t xml:space="preserve">that </w:t>
      </w:r>
      <w:r w:rsidRPr="002D1DD7">
        <w:t>while there was a risk that larotrectinib may</w:t>
      </w:r>
      <w:r w:rsidR="006B3ED8" w:rsidRPr="002D1DD7">
        <w:t xml:space="preserve"> </w:t>
      </w:r>
      <w:r w:rsidRPr="002D1DD7">
        <w:t xml:space="preserve">be ineffective in some tumours, the level of risk was deemed low and </w:t>
      </w:r>
      <w:r w:rsidR="006B3ED8" w:rsidRPr="002D1DD7">
        <w:t xml:space="preserve">considered </w:t>
      </w:r>
      <w:r w:rsidRPr="002D1DD7">
        <w:t xml:space="preserve">acceptable given the product is only approved for the treatment of patients who have no satisfactory alternative treatment options or whose cancer has progressed following treatment. As a result, the FDA did not consider that patients would be forgoing effective therapies when treated with larotrectinib. </w:t>
      </w:r>
    </w:p>
    <w:p w14:paraId="4C354AA5" w14:textId="78583884" w:rsidR="00880205" w:rsidRPr="002D1DD7" w:rsidRDefault="00880205" w:rsidP="00880205">
      <w:r w:rsidRPr="002D1DD7">
        <w:t>The primary risks of larotrectinib were identified as hepatotoxicity and neurotoxicity. However, these adverse reactions were considered largely manageable and reversible with dose modification or discontinuation. Overall</w:t>
      </w:r>
      <w:r w:rsidR="00341D81">
        <w:t>,</w:t>
      </w:r>
      <w:r w:rsidRPr="002D1DD7">
        <w:t xml:space="preserve"> the toxicity profile of larotrectinib was considered acceptable when considered against the durable effects across different cancer types in patients with limited or no effective treatment options.</w:t>
      </w:r>
    </w:p>
    <w:p w14:paraId="337D86F1" w14:textId="015E66FA" w:rsidR="00880205" w:rsidRPr="002D1DD7" w:rsidRDefault="00880205" w:rsidP="00880205">
      <w:r w:rsidRPr="002D1DD7">
        <w:t>ORR was considered a surrogate endpoint reasonably likely to predict benefit, in accordance to the requirements of the Accelerated Approval process. Th</w:t>
      </w:r>
      <w:r w:rsidR="001E21CC" w:rsidRPr="002D1DD7">
        <w:t xml:space="preserve">e </w:t>
      </w:r>
      <w:r w:rsidRPr="002D1DD7">
        <w:t>clinical effect was deemed sufficiently large, and the effect was durable, providing a meaningful advantage over available therapy for patients with NTRK-fusion solid tumours. The population was also considered to have a high unmet medical need given the serious, life-threatening, and rare nature of their cancers. However, the FDA specified</w:t>
      </w:r>
      <w:r w:rsidR="00341D81">
        <w:t xml:space="preserve"> that</w:t>
      </w:r>
      <w:r w:rsidRPr="002D1DD7">
        <w:t xml:space="preserve"> the ORR evidence was not sufficiently strong to support a regular approval given the large number of </w:t>
      </w:r>
      <w:r w:rsidRPr="002D1DD7">
        <w:lastRenderedPageBreak/>
        <w:t>histologic subtypes and the small sample size</w:t>
      </w:r>
      <w:r w:rsidR="0086402E">
        <w:t>. This</w:t>
      </w:r>
      <w:r w:rsidRPr="002D1DD7">
        <w:t xml:space="preserve"> le</w:t>
      </w:r>
      <w:r w:rsidR="0086402E">
        <w:t>d</w:t>
      </w:r>
      <w:r w:rsidRPr="002D1DD7">
        <w:t xml:space="preserve"> to a degree of uncertainty regarding the magnitude of the treatment effect of larotrectinib in any single histologic subtype.</w:t>
      </w:r>
    </w:p>
    <w:p w14:paraId="71AE8DB6" w14:textId="1C8AF046" w:rsidR="00880205" w:rsidRPr="002D1DD7" w:rsidRDefault="00880205">
      <w:r w:rsidRPr="002D1DD7">
        <w:t>A key post</w:t>
      </w:r>
      <w:r w:rsidR="0088674F" w:rsidRPr="002D1DD7">
        <w:t>-</w:t>
      </w:r>
      <w:r w:rsidRPr="002D1DD7">
        <w:t xml:space="preserve">marketing requirement is that the company conduct further studies to provide additional data to verify and confirm the clinical benefit of larotrectinib, through more precise estimation of ORR and </w:t>
      </w:r>
      <w:r w:rsidR="000650DA">
        <w:t>DoR</w:t>
      </w:r>
      <w:r w:rsidRPr="002D1DD7">
        <w:t xml:space="preserve"> in several specific tumour types (</w:t>
      </w:r>
      <w:r w:rsidR="009021AF">
        <w:t>CRC</w:t>
      </w:r>
      <w:r w:rsidR="00F0326E">
        <w:t>,</w:t>
      </w:r>
      <w:r w:rsidR="009021AF">
        <w:t xml:space="preserve"> </w:t>
      </w:r>
      <w:r w:rsidR="00F0326E">
        <w:t>n</w:t>
      </w:r>
      <w:r w:rsidR="00F0326E" w:rsidRPr="009021AF">
        <w:t>on-small cell lung cancer</w:t>
      </w:r>
      <w:r w:rsidR="00F0326E">
        <w:t xml:space="preserve"> (NSCLC)</w:t>
      </w:r>
      <w:r w:rsidRPr="002D1DD7">
        <w:t xml:space="preserve">, CNS tumours and melanoma) </w:t>
      </w:r>
      <w:r w:rsidR="000650DA">
        <w:t xml:space="preserve">which were </w:t>
      </w:r>
      <w:r w:rsidRPr="002D1DD7">
        <w:t>not well represented in the existing efficacy population. A minimum of 40 patients are also required to be studied with canc</w:t>
      </w:r>
      <w:r w:rsidR="009015BB">
        <w:t>ers other than CRC, NSCLC, CNS</w:t>
      </w:r>
      <w:r w:rsidRPr="002D1DD7">
        <w:t xml:space="preserve"> tumours, melanoma, soft tissue sarcoma, thyroid cancer, </w:t>
      </w:r>
      <w:r w:rsidR="000817BB">
        <w:t>IFS</w:t>
      </w:r>
      <w:r w:rsidRPr="002D1DD7">
        <w:t xml:space="preserve">, and salivary cancers (e.g., breast cancer, gastrointestinal stromal tumours, cholangiocarcinoma, biliary tract cancers). ORR and </w:t>
      </w:r>
      <w:r w:rsidR="000650DA">
        <w:t xml:space="preserve">DoR </w:t>
      </w:r>
      <w:r w:rsidRPr="002D1DD7">
        <w:t xml:space="preserve">are required as endpoints and all responding patients are required to </w:t>
      </w:r>
      <w:r w:rsidR="006B3ED8" w:rsidRPr="002D1DD7">
        <w:t xml:space="preserve">be </w:t>
      </w:r>
      <w:r w:rsidRPr="002D1DD7">
        <w:t>followed for at least 12 months from the onset of response. In addition, a final report is requested from the first 55 patients with NTRK fusion solid tumours enrolled to further characterise the duration of response</w:t>
      </w:r>
      <w:r w:rsidR="006B3ED8" w:rsidRPr="002D1DD7">
        <w:t xml:space="preserve"> </w:t>
      </w:r>
      <w:r w:rsidRPr="002D1DD7">
        <w:t>including follow</w:t>
      </w:r>
      <w:r w:rsidR="003B54AA">
        <w:t>-</w:t>
      </w:r>
      <w:r w:rsidRPr="002D1DD7">
        <w:t>up of a</w:t>
      </w:r>
      <w:r w:rsidR="00341D81">
        <w:t>t</w:t>
      </w:r>
      <w:r w:rsidRPr="002D1DD7">
        <w:t xml:space="preserve"> least 2 years from the onset of response for responding patients.</w:t>
      </w:r>
    </w:p>
    <w:p w14:paraId="507F67DE" w14:textId="3CF54819" w:rsidR="00880205" w:rsidRPr="002D1DD7" w:rsidRDefault="00880205">
      <w:r w:rsidRPr="002D1DD7">
        <w:t>Importantly, the FDA concluded that it would not be feasible or appropriate to conduct a randomised trial to demonstrate that larotrect</w:t>
      </w:r>
      <w:r w:rsidR="009015BB">
        <w:t>inib improves OS</w:t>
      </w:r>
      <w:r w:rsidRPr="002D1DD7">
        <w:t xml:space="preserve"> </w:t>
      </w:r>
      <w:r w:rsidR="00341D81" w:rsidRPr="002D1DD7">
        <w:t>i</w:t>
      </w:r>
      <w:r w:rsidR="00341D81">
        <w:t>n</w:t>
      </w:r>
      <w:r w:rsidR="00341D81" w:rsidRPr="002D1DD7">
        <w:t xml:space="preserve"> </w:t>
      </w:r>
      <w:r w:rsidRPr="002D1DD7">
        <w:t>patients with NTRK fusion</w:t>
      </w:r>
      <w:r w:rsidR="007E1112">
        <w:t xml:space="preserve"> </w:t>
      </w:r>
      <w:r w:rsidRPr="002D1DD7">
        <w:t xml:space="preserve">positive patients. The reasons included the extreme rarity of NTRK-fusion cancers, the lack of equipoise in settings without available therapies, and expectations for patient cross-over. </w:t>
      </w:r>
      <w:r w:rsidR="006B3ED8" w:rsidRPr="002D1DD7">
        <w:t>C</w:t>
      </w:r>
      <w:r w:rsidRPr="002D1DD7">
        <w:t xml:space="preserve">onsistent with their review of pembrolizumab, the FDA </w:t>
      </w:r>
      <w:r w:rsidR="006B3ED8" w:rsidRPr="002D1DD7">
        <w:t>again</w:t>
      </w:r>
      <w:r w:rsidRPr="002D1DD7">
        <w:t xml:space="preserve"> querie</w:t>
      </w:r>
      <w:r w:rsidR="006B3ED8" w:rsidRPr="002D1DD7">
        <w:t>d</w:t>
      </w:r>
      <w:r w:rsidRPr="002D1DD7">
        <w:t xml:space="preserve"> whether it would even be scientifically appropriate to </w:t>
      </w:r>
      <w:r w:rsidR="001E21CC" w:rsidRPr="002D1DD7">
        <w:t>‘</w:t>
      </w:r>
      <w:r w:rsidRPr="002D1DD7">
        <w:t>lump</w:t>
      </w:r>
      <w:r w:rsidR="001E21CC" w:rsidRPr="002D1DD7">
        <w:t>’</w:t>
      </w:r>
      <w:r w:rsidRPr="002D1DD7">
        <w:t xml:space="preserve"> these tumour types together into a single randomised trial given differences in natural history</w:t>
      </w:r>
      <w:r w:rsidR="0003702B">
        <w:t xml:space="preserve"> between different tumour sites.</w:t>
      </w:r>
    </w:p>
    <w:p w14:paraId="42C08717" w14:textId="26A861F4" w:rsidR="00880205" w:rsidRPr="002D1DD7" w:rsidRDefault="00880205" w:rsidP="00880205">
      <w:r w:rsidRPr="002D1DD7">
        <w:t xml:space="preserve">Identification of positive NTRK gene fusion status was determined in the clinical efficacy analysis set using next generation sequencing (NGS) for 91% of patients, and fluorescence </w:t>
      </w:r>
      <w:r w:rsidRPr="0003702B">
        <w:rPr>
          <w:i/>
          <w:iCs/>
        </w:rPr>
        <w:t>in situ</w:t>
      </w:r>
      <w:r w:rsidRPr="002D1DD7">
        <w:t xml:space="preserve"> hybridization (FISH), for the remaining 9%. The company did not submit an application for an </w:t>
      </w:r>
      <w:r w:rsidRPr="0003702B">
        <w:rPr>
          <w:i/>
          <w:iCs/>
        </w:rPr>
        <w:t>in vitro</w:t>
      </w:r>
      <w:r w:rsidRPr="002D1DD7">
        <w:t xml:space="preserve"> companion diagnostic device. Despite this, the clinical review team was supportive of </w:t>
      </w:r>
      <w:r w:rsidR="001E21CC" w:rsidRPr="002D1DD7">
        <w:t>approval</w:t>
      </w:r>
      <w:r w:rsidRPr="002D1DD7">
        <w:t xml:space="preserve">, citing the availability of a reliable non-companion device and the efficacy of larotrectinib. However, the development and validation of a companion diagnostic test </w:t>
      </w:r>
      <w:r w:rsidR="001E21CC" w:rsidRPr="002D1DD7">
        <w:t xml:space="preserve">by the sponsor </w:t>
      </w:r>
      <w:r w:rsidRPr="002D1DD7">
        <w:t>was agreed</w:t>
      </w:r>
      <w:r w:rsidR="001E21CC" w:rsidRPr="002D1DD7">
        <w:t xml:space="preserve"> </w:t>
      </w:r>
      <w:r w:rsidRPr="002D1DD7">
        <w:t>as part of a series of post</w:t>
      </w:r>
      <w:r w:rsidR="002C3BDD" w:rsidRPr="002D1DD7">
        <w:t>-</w:t>
      </w:r>
      <w:r w:rsidRPr="002D1DD7">
        <w:t>marketing commitments.</w:t>
      </w:r>
    </w:p>
    <w:p w14:paraId="6F0B5638" w14:textId="446107CD" w:rsidR="00880205" w:rsidRPr="002D1DD7" w:rsidRDefault="00F115CF" w:rsidP="00F115CF">
      <w:pPr>
        <w:pStyle w:val="Heading3"/>
      </w:pPr>
      <w:bookmarkStart w:id="31" w:name="_Ref27390657"/>
      <w:bookmarkStart w:id="32" w:name="_Toc33776153"/>
      <w:r w:rsidRPr="002D1DD7">
        <w:t>FDA review of e</w:t>
      </w:r>
      <w:r w:rsidR="00880205" w:rsidRPr="002D1DD7">
        <w:t>ntrectinib</w:t>
      </w:r>
      <w:bookmarkEnd w:id="31"/>
      <w:bookmarkEnd w:id="32"/>
    </w:p>
    <w:p w14:paraId="20F78C85" w14:textId="639F8710" w:rsidR="00880205" w:rsidRPr="002D1DD7" w:rsidRDefault="00880205" w:rsidP="00D87FD4">
      <w:r w:rsidRPr="002D1DD7">
        <w:t>On August 15</w:t>
      </w:r>
      <w:r w:rsidR="00D87FD4" w:rsidRPr="009D1F3B">
        <w:rPr>
          <w:vertAlign w:val="superscript"/>
        </w:rPr>
        <w:t>th</w:t>
      </w:r>
      <w:r w:rsidRPr="002D1DD7">
        <w:t xml:space="preserve"> 2019, the FDA granted accelerated approval to entrectinib (R</w:t>
      </w:r>
      <w:r w:rsidR="006B3ED8" w:rsidRPr="002D1DD7">
        <w:t>ozlytrek</w:t>
      </w:r>
      <w:r w:rsidRPr="002D1DD7">
        <w:t>, Genentech Inc.) for adults and paediatric patients 12 years of age and older with solid tumours that have a</w:t>
      </w:r>
      <w:r w:rsidR="00341D81">
        <w:t>n</w:t>
      </w:r>
      <w:r w:rsidRPr="002D1DD7">
        <w:t xml:space="preserve"> NTRK gene fusion without a known acquired resistance mutation, are metastatic or where surgical resection is likely to result in severe morbidity, and have progressed following treatment or have no satisfactory standard therapy.</w:t>
      </w:r>
      <w:r w:rsidR="006F7FD7">
        <w:fldChar w:fldCharType="begin"/>
      </w:r>
      <w:r w:rsidR="006F7FD7">
        <w:instrText xml:space="preserve"> ADDIN EN.CITE &lt;EndNote&gt;&lt;Cite&gt;&lt;Author&gt;U.S. Department of Health and Human Services. Food and Drug Administration. Center for Drug Evaluation and Research&lt;/Author&gt;&lt;Year&gt;2019&lt;/Year&gt;&lt;RecNum&gt;3517&lt;/RecNum&gt;&lt;DisplayText&gt;&lt;style face="superscript"&gt;10&lt;/style&gt;&lt;/DisplayText&gt;&lt;record&gt;&lt;rec-number&gt;3517&lt;/rec-number&gt;&lt;foreign-keys&gt;&lt;key app="EN" db-id="dwaevxvazfs2f3ewvzmxrd0k0wasw55p2z2w" timestamp="1579606100"&gt;3517&lt;/key&gt;&lt;/foreign-keys&gt;&lt;ref-type name="Report"&gt;27&lt;/ref-type&gt;&lt;contributors&gt;&lt;authors&gt;&lt;author&gt;U.S. Department of Health and Human Services. Food and Drug Administration. Center for Drug Evaluation and Research,&lt;/author&gt;&lt;/authors&gt;&lt;/contributors&gt;&lt;titles&gt;&lt;title&gt;Approval Package for application number 212725Orig1s000, 212726Orig1s000. Trade Name: ROZLYTREK® capsules, 100mg and 200 mg (entrectinib)&lt;/title&gt;&lt;/titles&gt;&lt;dates&gt;&lt;year&gt;2019&lt;/year&gt;&lt;/dates&gt;&lt;pub-location&gt;Rockville, Maryland, United States&lt;/pub-location&gt;&lt;urls&gt;&lt;related-urls&gt;&lt;url&gt;https://www.accessdata.fda.gov/drugsatfda_docs/nda/2019/212725Orig1s000,%20212726Orig1s000Approv.pdf&lt;/url&gt;&lt;/related-urls&gt;&lt;/urls&gt;&lt;custom4&gt;STEVE&amp;apos;S REFERENCES&lt;/custom4&gt;&lt;/record&gt;&lt;/Cite&gt;&lt;/EndNote&gt;</w:instrText>
      </w:r>
      <w:r w:rsidR="006F7FD7">
        <w:fldChar w:fldCharType="separate"/>
      </w:r>
      <w:r w:rsidR="006F7FD7" w:rsidRPr="006F7FD7">
        <w:rPr>
          <w:noProof/>
          <w:vertAlign w:val="superscript"/>
        </w:rPr>
        <w:t>10</w:t>
      </w:r>
      <w:r w:rsidR="006F7FD7">
        <w:fldChar w:fldCharType="end"/>
      </w:r>
    </w:p>
    <w:p w14:paraId="53D68CA1" w14:textId="01A1EB7B" w:rsidR="00880205" w:rsidRPr="002D1DD7" w:rsidRDefault="00880205">
      <w:r w:rsidRPr="002D1DD7">
        <w:lastRenderedPageBreak/>
        <w:t xml:space="preserve">This indication was approved by the FDA under </w:t>
      </w:r>
      <w:r w:rsidR="000367DE">
        <w:t>A</w:t>
      </w:r>
      <w:r w:rsidRPr="002D1DD7">
        <w:t xml:space="preserve">ccelerated </w:t>
      </w:r>
      <w:r w:rsidR="000367DE">
        <w:t>A</w:t>
      </w:r>
      <w:r w:rsidRPr="002D1DD7">
        <w:t xml:space="preserve">pproval based on </w:t>
      </w:r>
      <w:r w:rsidR="0003702B">
        <w:t>ORR and DoR</w:t>
      </w:r>
      <w:r w:rsidRPr="002D1DD7">
        <w:t xml:space="preserve">. The submission was supported by pooled efficacy and safety results from the first 54 adult patients with unresectable or metastatic solid tumours harbouring an NTRK fusion enrolled across three‐single arm </w:t>
      </w:r>
      <w:r w:rsidR="0003702B">
        <w:t>studies</w:t>
      </w:r>
      <w:r w:rsidRPr="002D1DD7">
        <w:t xml:space="preserve">. All patients were required to have cancer that progressed following effective systemic therapy for their disease, if available, or would have required surgery with significant morbidity for locally advanced disease. </w:t>
      </w:r>
    </w:p>
    <w:p w14:paraId="68DDCCCF" w14:textId="5A770D1C" w:rsidR="00880205" w:rsidRPr="002D1DD7" w:rsidRDefault="00880205" w:rsidP="00880205">
      <w:r w:rsidRPr="002D1DD7">
        <w:t xml:space="preserve">The median age of patients was 55 years. The most common tumours (≥ 5%) were lung </w:t>
      </w:r>
      <w:r w:rsidR="000367DE">
        <w:t xml:space="preserve">cancer </w:t>
      </w:r>
      <w:r w:rsidRPr="002D1DD7">
        <w:t xml:space="preserve">(56%), sarcoma (8%), and colon </w:t>
      </w:r>
      <w:r w:rsidR="000367DE">
        <w:t xml:space="preserve">cancer </w:t>
      </w:r>
      <w:r w:rsidRPr="002D1DD7">
        <w:t>(5%). Ninety‐six percent of patients had metastatic disease and 4% had locally</w:t>
      </w:r>
      <w:r w:rsidR="00D87FD4">
        <w:t>-</w:t>
      </w:r>
      <w:r w:rsidRPr="002D1DD7">
        <w:t>advanced, unresectable disease. All patients had received prior treatment for their cancer, including surgery, radiotherapy, or systemic anti‐neoplastic therapy.</w:t>
      </w:r>
    </w:p>
    <w:p w14:paraId="2007169D" w14:textId="2A254230" w:rsidR="00880205" w:rsidRPr="002D1DD7" w:rsidRDefault="00880205">
      <w:r w:rsidRPr="002D1DD7">
        <w:t>ORR and D</w:t>
      </w:r>
      <w:r w:rsidR="000367DE">
        <w:t>o</w:t>
      </w:r>
      <w:r w:rsidRPr="002D1DD7">
        <w:t>R as assessed by BICR using RECIST v1.1 were the primar</w:t>
      </w:r>
      <w:r w:rsidR="009015BB">
        <w:t>y endpoints. PFS</w:t>
      </w:r>
      <w:r w:rsidRPr="002D1DD7">
        <w:t xml:space="preserve"> as assessed by BICR and </w:t>
      </w:r>
      <w:r w:rsidR="00FD1081">
        <w:t>OS</w:t>
      </w:r>
      <w:r w:rsidRPr="002D1DD7">
        <w:t xml:space="preserve"> were included as secondary endpoints. The effectiveness of entrectinib in paediatric patients 12 years of age and older was established based on extrapolation of data in adult patients with solid tumours harbouring an NTRK gene fusion and pharmacokinetic data in adolescents enrolled in </w:t>
      </w:r>
      <w:r w:rsidR="007E1112">
        <w:t xml:space="preserve">the </w:t>
      </w:r>
      <w:r w:rsidRPr="002D1DD7">
        <w:t>STARTRK‐NG</w:t>
      </w:r>
      <w:r w:rsidR="007E1112">
        <w:t xml:space="preserve"> study</w:t>
      </w:r>
      <w:r w:rsidRPr="002D1DD7">
        <w:t>.</w:t>
      </w:r>
    </w:p>
    <w:p w14:paraId="4AFB50B6" w14:textId="3FFC9D7C" w:rsidR="00880205" w:rsidRPr="002D1DD7" w:rsidRDefault="00880205" w:rsidP="00FD1081">
      <w:r w:rsidRPr="002D1DD7">
        <w:t xml:space="preserve">In the first 54 patients, the ORR was 57% (95% </w:t>
      </w:r>
      <w:r w:rsidR="00D87FD4">
        <w:t>CI</w:t>
      </w:r>
      <w:r w:rsidRPr="002D1DD7">
        <w:t>: 43%</w:t>
      </w:r>
      <w:r w:rsidR="003607E5" w:rsidRPr="002D1DD7">
        <w:t xml:space="preserve"> to</w:t>
      </w:r>
      <w:r w:rsidRPr="002D1DD7">
        <w:t xml:space="preserve"> 71%). This was considered to be clinically meaningful because the results excluded a lower bound of the 95% CI for ORR of 30%. At the time of data cut</w:t>
      </w:r>
      <w:r w:rsidR="00C2720D" w:rsidRPr="002D1DD7">
        <w:t>-</w:t>
      </w:r>
      <w:r w:rsidRPr="002D1DD7">
        <w:t>off (</w:t>
      </w:r>
      <w:r w:rsidR="00C2720D" w:rsidRPr="002D1DD7">
        <w:t>31</w:t>
      </w:r>
      <w:r w:rsidR="00D87FD4" w:rsidRPr="000817BB">
        <w:rPr>
          <w:vertAlign w:val="superscript"/>
        </w:rPr>
        <w:t>st</w:t>
      </w:r>
      <w:r w:rsidR="00D87FD4">
        <w:t xml:space="preserve"> </w:t>
      </w:r>
      <w:r w:rsidR="009015BB">
        <w:t>May 2018), the median Do</w:t>
      </w:r>
      <w:r w:rsidRPr="002D1DD7">
        <w:t xml:space="preserve">R was not reached. Among the 31 responding patients, 55% had a </w:t>
      </w:r>
      <w:r w:rsidR="00DA0F29" w:rsidRPr="002D1DD7">
        <w:t>D</w:t>
      </w:r>
      <w:r w:rsidR="00DA0F29">
        <w:t>o</w:t>
      </w:r>
      <w:r w:rsidR="00DA0F29" w:rsidRPr="002D1DD7">
        <w:t xml:space="preserve">R </w:t>
      </w:r>
      <w:r w:rsidRPr="002D1DD7">
        <w:t xml:space="preserve">of at least 6 months and 39% had a </w:t>
      </w:r>
      <w:r w:rsidR="00DA0F29">
        <w:t xml:space="preserve">DoR </w:t>
      </w:r>
      <w:r w:rsidRPr="002D1DD7">
        <w:t xml:space="preserve">of at least 12 months. </w:t>
      </w:r>
    </w:p>
    <w:p w14:paraId="2654417E" w14:textId="6FB12456" w:rsidR="00880205" w:rsidRPr="002D1DD7" w:rsidRDefault="00880205" w:rsidP="00880205">
      <w:r w:rsidRPr="002D1DD7">
        <w:t>Exploratory ORR results for subgroups defined by tumour type and by NTRK gene fusion partner were presented. Although there was no formal discussion of these results, a general disclaimer was provided noting that the subgroup results should be treated with caution due to the small sample sizes and the single</w:t>
      </w:r>
      <w:r w:rsidR="00FD1081">
        <w:t>-</w:t>
      </w:r>
      <w:r w:rsidRPr="002D1DD7">
        <w:t>arm design.</w:t>
      </w:r>
    </w:p>
    <w:p w14:paraId="09613D6B" w14:textId="00CF09E6" w:rsidR="00880205" w:rsidRPr="002D1DD7" w:rsidRDefault="00880205" w:rsidP="00FD1081">
      <w:r w:rsidRPr="002D1DD7">
        <w:t>Only limited details were reported for secondary endpoints. The estimated median PFS was reported to be 11.2 months (95% CI: 8.0</w:t>
      </w:r>
      <w:r w:rsidR="00C2720D" w:rsidRPr="002D1DD7">
        <w:t xml:space="preserve"> to</w:t>
      </w:r>
      <w:r w:rsidRPr="002D1DD7">
        <w:t xml:space="preserve"> 14.9). Less than 30% of deaths were observed by the clinical cut</w:t>
      </w:r>
      <w:r w:rsidR="00C2720D" w:rsidRPr="002D1DD7">
        <w:t>-</w:t>
      </w:r>
      <w:r w:rsidRPr="002D1DD7">
        <w:t>off date (31</w:t>
      </w:r>
      <w:r w:rsidR="00FD1081" w:rsidRPr="000817BB">
        <w:rPr>
          <w:vertAlign w:val="superscript"/>
        </w:rPr>
        <w:t>st</w:t>
      </w:r>
      <w:r w:rsidR="00FD1081">
        <w:t xml:space="preserve"> </w:t>
      </w:r>
      <w:r w:rsidRPr="002D1DD7">
        <w:t xml:space="preserve">May 2018) </w:t>
      </w:r>
      <w:r w:rsidR="00FD1081">
        <w:t>which</w:t>
      </w:r>
      <w:r w:rsidR="00FD1081" w:rsidRPr="002D1DD7">
        <w:t xml:space="preserve"> </w:t>
      </w:r>
      <w:r w:rsidRPr="002D1DD7">
        <w:t>was considered too immature to</w:t>
      </w:r>
      <w:r w:rsidR="001E21CC" w:rsidRPr="002D1DD7">
        <w:t xml:space="preserve"> be considered</w:t>
      </w:r>
      <w:r w:rsidRPr="002D1DD7">
        <w:t xml:space="preserve"> in the clinical review. </w:t>
      </w:r>
    </w:p>
    <w:p w14:paraId="727DDFA6" w14:textId="4D39F263" w:rsidR="00880205" w:rsidRPr="002D1DD7" w:rsidRDefault="00880205">
      <w:r w:rsidRPr="002D1DD7">
        <w:t>The most serious adverse events reported with entrectinib were</w:t>
      </w:r>
      <w:r w:rsidR="000367DE">
        <w:t>:</w:t>
      </w:r>
      <w:r w:rsidRPr="002D1DD7">
        <w:t xml:space="preserve"> congestive heart failure</w:t>
      </w:r>
      <w:r w:rsidR="009015BB">
        <w:t xml:space="preserve"> (CHF)</w:t>
      </w:r>
      <w:r w:rsidR="000367DE">
        <w:t>;</w:t>
      </w:r>
      <w:r w:rsidR="009015BB">
        <w:t xml:space="preserve"> CNS</w:t>
      </w:r>
      <w:r w:rsidRPr="002D1DD7">
        <w:t xml:space="preserve"> adverse reactions</w:t>
      </w:r>
      <w:r w:rsidR="000367DE">
        <w:t>;</w:t>
      </w:r>
      <w:r w:rsidRPr="002D1DD7">
        <w:t xml:space="preserve"> skeletal fractures</w:t>
      </w:r>
      <w:r w:rsidR="000367DE">
        <w:t>;</w:t>
      </w:r>
      <w:r w:rsidRPr="002D1DD7">
        <w:t xml:space="preserve"> hyperuricemia</w:t>
      </w:r>
      <w:r w:rsidR="000367DE">
        <w:t>;</w:t>
      </w:r>
      <w:r w:rsidRPr="002D1DD7">
        <w:t xml:space="preserve"> hepatotoxicity</w:t>
      </w:r>
      <w:r w:rsidR="000367DE">
        <w:t>;</w:t>
      </w:r>
      <w:r w:rsidRPr="002D1DD7">
        <w:t xml:space="preserve"> QT prolongation</w:t>
      </w:r>
      <w:r w:rsidR="00F43243">
        <w:t>;</w:t>
      </w:r>
      <w:r w:rsidRPr="002D1DD7">
        <w:t xml:space="preserve"> and vision disorders. Although serious in nature, these events were also reported to be manageable and reversible with dose modification or discontinuation of entrectinib. </w:t>
      </w:r>
    </w:p>
    <w:p w14:paraId="61F9E2D5" w14:textId="10431AC3" w:rsidR="00880205" w:rsidRPr="002D1DD7" w:rsidRDefault="00880205" w:rsidP="00880205">
      <w:r w:rsidRPr="002D1DD7">
        <w:t>The FDA drew similar conclusions for entrectinib to their earlier review of larotrectinib</w:t>
      </w:r>
      <w:r w:rsidR="00C2720D" w:rsidRPr="002D1DD7">
        <w:t xml:space="preserve"> (Section </w:t>
      </w:r>
      <w:r w:rsidR="00C2720D" w:rsidRPr="002D1DD7">
        <w:fldChar w:fldCharType="begin"/>
      </w:r>
      <w:r w:rsidR="00C2720D" w:rsidRPr="002D1DD7">
        <w:instrText xml:space="preserve"> REF _Ref27390653 \w \h </w:instrText>
      </w:r>
      <w:r w:rsidR="00C2720D" w:rsidRPr="002D1DD7">
        <w:fldChar w:fldCharType="separate"/>
      </w:r>
      <w:r w:rsidR="00C663A2">
        <w:t>2.3.2</w:t>
      </w:r>
      <w:r w:rsidR="00C2720D" w:rsidRPr="002D1DD7">
        <w:fldChar w:fldCharType="end"/>
      </w:r>
      <w:r w:rsidR="00C2720D" w:rsidRPr="002D1DD7">
        <w:t>)</w:t>
      </w:r>
      <w:r w:rsidRPr="002D1DD7">
        <w:t xml:space="preserve">. While acknowledging that there was uncertainty regarding the magnitude and durability of the </w:t>
      </w:r>
      <w:r w:rsidRPr="002D1DD7">
        <w:lastRenderedPageBreak/>
        <w:t xml:space="preserve">treatment effect of entrectinib in any specific histologic subtype of solid tumours, they concluded that the risk of </w:t>
      </w:r>
      <w:r w:rsidR="000817BB">
        <w:t xml:space="preserve">treatment </w:t>
      </w:r>
      <w:r w:rsidRPr="002D1DD7">
        <w:t>was low</w:t>
      </w:r>
      <w:r w:rsidR="00F43243">
        <w:t>,</w:t>
      </w:r>
      <w:r w:rsidRPr="002D1DD7">
        <w:t xml:space="preserve"> using </w:t>
      </w:r>
      <w:r w:rsidR="000817BB">
        <w:t xml:space="preserve">a </w:t>
      </w:r>
      <w:r w:rsidRPr="002D1DD7">
        <w:t xml:space="preserve">similar rationale to that previously described for larotrectinib. </w:t>
      </w:r>
    </w:p>
    <w:p w14:paraId="4A7FE536" w14:textId="389E2097" w:rsidR="00880205" w:rsidRPr="002D1DD7" w:rsidRDefault="00880205" w:rsidP="00880205">
      <w:r w:rsidRPr="002D1DD7">
        <w:t>Similar post</w:t>
      </w:r>
      <w:r w:rsidR="00C2720D" w:rsidRPr="002D1DD7">
        <w:t>-</w:t>
      </w:r>
      <w:r w:rsidRPr="002D1DD7">
        <w:t xml:space="preserve">marketing requirements for entrectinib </w:t>
      </w:r>
      <w:r w:rsidR="00FD1081">
        <w:t xml:space="preserve">as for larotrectinib </w:t>
      </w:r>
      <w:r w:rsidRPr="002D1DD7">
        <w:t>were also reported. This requires the company to conduct additional single</w:t>
      </w:r>
      <w:r w:rsidR="00FD1081">
        <w:t>-</w:t>
      </w:r>
      <w:r w:rsidRPr="002D1DD7">
        <w:t>arm studies to obtain data to verify and further characterise the clinical benefit of entrectinib, in an adequate number of patients with common histologic tumour types, including colon cancer and melanoma. Additional post</w:t>
      </w:r>
      <w:r w:rsidR="00C2720D" w:rsidRPr="002D1DD7">
        <w:t>-</w:t>
      </w:r>
      <w:r w:rsidRPr="002D1DD7">
        <w:t>marketing requirements also include the conduct of additional studies to further characterise the risks of CHF and skeletal fractures with entrectinib.</w:t>
      </w:r>
    </w:p>
    <w:p w14:paraId="27892EAC" w14:textId="6C17256D" w:rsidR="00880205" w:rsidRPr="002D1DD7" w:rsidRDefault="00880205" w:rsidP="00EC11CD">
      <w:pPr>
        <w:pStyle w:val="Heading2"/>
      </w:pPr>
      <w:bookmarkStart w:id="33" w:name="_Toc33776154"/>
      <w:r w:rsidRPr="002D1DD7">
        <w:t xml:space="preserve">EMA </w:t>
      </w:r>
      <w:r w:rsidR="000367DE">
        <w:t>g</w:t>
      </w:r>
      <w:r w:rsidRPr="002D1DD7">
        <w:t xml:space="preserve">uidance for </w:t>
      </w:r>
      <w:r w:rsidR="00555827">
        <w:t>histology-independent</w:t>
      </w:r>
      <w:r w:rsidRPr="002D1DD7">
        <w:t xml:space="preserve"> products</w:t>
      </w:r>
      <w:bookmarkEnd w:id="33"/>
    </w:p>
    <w:p w14:paraId="54D03F18" w14:textId="5929972D" w:rsidR="00880205" w:rsidRPr="002D1DD7" w:rsidRDefault="00880205" w:rsidP="00880205">
      <w:bookmarkStart w:id="34" w:name="_Hlk25264497"/>
      <w:r w:rsidRPr="002D1DD7">
        <w:t xml:space="preserve">The EMA has not published any guidance specific to the evaluation of </w:t>
      </w:r>
      <w:r w:rsidR="00555827">
        <w:t>histology-independent</w:t>
      </w:r>
      <w:r w:rsidRPr="002D1DD7">
        <w:t xml:space="preserve"> products</w:t>
      </w:r>
      <w:bookmarkEnd w:id="34"/>
      <w:r w:rsidRPr="002D1DD7">
        <w:t>. However, the proceedings of two workshops</w:t>
      </w:r>
      <w:r w:rsidR="006B3ED8" w:rsidRPr="002D1DD7">
        <w:t xml:space="preserve"> were identified in the searches</w:t>
      </w:r>
      <w:r w:rsidRPr="002D1DD7">
        <w:t xml:space="preserve">, one </w:t>
      </w:r>
      <w:r w:rsidR="006B3ED8" w:rsidRPr="002D1DD7">
        <w:t>specifically addressing</w:t>
      </w:r>
      <w:r w:rsidRPr="002D1DD7">
        <w:t xml:space="preserve"> histology-independent indications,</w:t>
      </w:r>
      <w:r w:rsidR="006F7FD7">
        <w:fldChar w:fldCharType="begin"/>
      </w:r>
      <w:r w:rsidR="006F7FD7">
        <w:instrText xml:space="preserve"> ADDIN EN.CITE &lt;EndNote&gt;&lt;Cite&gt;&lt;Author&gt;European Medicines Agency&lt;/Author&gt;&lt;Year&gt;2017&lt;/Year&gt;&lt;RecNum&gt;3519&lt;/RecNum&gt;&lt;DisplayText&gt;&lt;style face="superscript"&gt;12&lt;/style&gt;&lt;/DisplayText&gt;&lt;record&gt;&lt;rec-number&gt;3519&lt;/rec-number&gt;&lt;foreign-keys&gt;&lt;key app="EN" db-id="dwaevxvazfs2f3ewvzmxrd0k0wasw55p2z2w" timestamp="1579606101"&gt;3519&lt;/key&gt;&lt;/foreign-keys&gt;&lt;ref-type name="Web Page"&gt;12&lt;/ref-type&gt;&lt;contributors&gt;&lt;authors&gt;&lt;author&gt;European Medicines Agency,&lt;/author&gt;&lt;/authors&gt;&lt;/contributors&gt;&lt;titles&gt;&lt;title&gt;Workshop on site and histology - Independent indications in oncology&lt;/title&gt;&lt;/titles&gt;&lt;volume&gt;2020&lt;/volume&gt;&lt;number&gt;17th January&lt;/number&gt;&lt;dates&gt;&lt;year&gt;2017&lt;/year&gt;&lt;/dates&gt;&lt;publisher&gt;EMA&lt;/publisher&gt;&lt;urls&gt;&lt;related-urls&gt;&lt;url&gt;https://www.ema.europa.eu/en/events/workshop-site-histology-independent-indications-oncology&lt;/url&gt;&lt;/related-urls&gt;&lt;/urls&gt;&lt;custom4&gt;STEVE&amp;apos;S REFERENCES&lt;/custom4&gt;&lt;/record&gt;&lt;/Cite&gt;&lt;/EndNote&gt;</w:instrText>
      </w:r>
      <w:r w:rsidR="006F7FD7">
        <w:fldChar w:fldCharType="separate"/>
      </w:r>
      <w:r w:rsidR="006F7FD7" w:rsidRPr="006F7FD7">
        <w:rPr>
          <w:noProof/>
          <w:vertAlign w:val="superscript"/>
        </w:rPr>
        <w:t>12</w:t>
      </w:r>
      <w:r w:rsidR="006F7FD7">
        <w:fldChar w:fldCharType="end"/>
      </w:r>
      <w:r w:rsidRPr="002D1DD7">
        <w:t xml:space="preserve"> and a second discussing the use of </w:t>
      </w:r>
      <w:r w:rsidR="004A4474">
        <w:t>single-arm studies</w:t>
      </w:r>
      <w:r w:rsidRPr="002D1DD7">
        <w:t xml:space="preserve"> in oncology</w:t>
      </w:r>
      <w:r w:rsidR="00FD44AA">
        <w:t>.</w:t>
      </w:r>
      <w:r w:rsidR="006F7FD7">
        <w:fldChar w:fldCharType="begin"/>
      </w:r>
      <w:r w:rsidR="006F7FD7">
        <w:instrText xml:space="preserve"> ADDIN EN.CITE &lt;EndNote&gt;&lt;Cite&gt;&lt;Author&gt;European Medicines Agency&lt;/Author&gt;&lt;Year&gt;2016&lt;/Year&gt;&lt;RecNum&gt;3520&lt;/RecNum&gt;&lt;DisplayText&gt;&lt;style face="superscript"&gt;13&lt;/style&gt;&lt;/DisplayText&gt;&lt;record&gt;&lt;rec-number&gt;3520&lt;/rec-number&gt;&lt;foreign-keys&gt;&lt;key app="EN" db-id="dwaevxvazfs2f3ewvzmxrd0k0wasw55p2z2w" timestamp="1579606101"&gt;3520&lt;/key&gt;&lt;/foreign-keys&gt;&lt;ref-type name="Web Page"&gt;12&lt;/ref-type&gt;&lt;contributors&gt;&lt;authors&gt;&lt;author&gt;European Medicines Agency,&lt;/author&gt;&lt;/authors&gt;&lt;/contributors&gt;&lt;titles&gt;&lt;title&gt;Workshop on single-arm trials in oncology&lt;/title&gt;&lt;/titles&gt;&lt;volume&gt;2020&lt;/volume&gt;&lt;number&gt;17th January&lt;/number&gt;&lt;dates&gt;&lt;year&gt;2016&lt;/year&gt;&lt;/dates&gt;&lt;publisher&gt;EMA&lt;/publisher&gt;&lt;urls&gt;&lt;related-urls&gt;&lt;url&gt;https://www.ema.europa.eu/en/events/workshop-single-arm-trials-oncology&lt;/url&gt;&lt;/related-urls&gt;&lt;/urls&gt;&lt;custom4&gt;STEVE&amp;apos;S REFERENCES&lt;/custom4&gt;&lt;/record&gt;&lt;/Cite&gt;&lt;/EndNote&gt;</w:instrText>
      </w:r>
      <w:r w:rsidR="006F7FD7">
        <w:fldChar w:fldCharType="separate"/>
      </w:r>
      <w:r w:rsidR="006F7FD7" w:rsidRPr="006F7FD7">
        <w:rPr>
          <w:noProof/>
          <w:vertAlign w:val="superscript"/>
        </w:rPr>
        <w:t>13</w:t>
      </w:r>
      <w:r w:rsidR="006F7FD7">
        <w:fldChar w:fldCharType="end"/>
      </w:r>
    </w:p>
    <w:p w14:paraId="7535CED8" w14:textId="3BA75839" w:rsidR="00880205" w:rsidRPr="002D1DD7" w:rsidRDefault="003E335D" w:rsidP="0072188D">
      <w:r>
        <w:t>A</w:t>
      </w:r>
      <w:r w:rsidR="00880205" w:rsidRPr="002D1DD7">
        <w:t xml:space="preserve"> revision to the current “Guideline on the evaluation of anticancer medicinal products in man”</w:t>
      </w:r>
      <w:r w:rsidR="006F7FD7">
        <w:fldChar w:fldCharType="begin"/>
      </w:r>
      <w:r w:rsidR="006F7FD7">
        <w:instrText xml:space="preserve"> ADDIN EN.CITE &lt;EndNote&gt;&lt;Cite&gt;&lt;Author&gt;European Medicines Agency&lt;/Author&gt;&lt;Year&gt;2017&lt;/Year&gt;&lt;RecNum&gt;3521&lt;/RecNum&gt;&lt;DisplayText&gt;&lt;style face="superscript"&gt;14&lt;/style&gt;&lt;/DisplayText&gt;&lt;record&gt;&lt;rec-number&gt;3521&lt;/rec-number&gt;&lt;foreign-keys&gt;&lt;key app="EN" db-id="dwaevxvazfs2f3ewvzmxrd0k0wasw55p2z2w" timestamp="1579606101"&gt;3521&lt;/key&gt;&lt;/foreign-keys&gt;&lt;ref-type name="Report"&gt;27&lt;/ref-type&gt;&lt;contributors&gt;&lt;authors&gt;&lt;author&gt;European Medicines Agency,&lt;/author&gt;&lt;/authors&gt;&lt;tertiary-authors&gt;&lt;author&gt;EMA&lt;/author&gt;&lt;/tertiary-authors&gt;&lt;/contributors&gt;&lt;titles&gt;&lt;title&gt;Guideline on the evaluation of anticancer medicinal products in man&lt;/title&gt;&lt;secondary-title&gt;Committee for Medicinal Products for Human Use (CHMP)&lt;/secondary-title&gt;&lt;/titles&gt;&lt;num-vols&gt;EMA/CHMP/205/95 Rev.5&lt;/num-vols&gt;&lt;dates&gt;&lt;year&gt;2017&lt;/year&gt;&lt;/dates&gt;&lt;publisher&gt;EMA&lt;/publisher&gt;&lt;urls&gt;&lt;related-urls&gt;&lt;url&gt;https://www.ema.europa.eu/en/documents/scientific-guideline/guideline-evaluation-anticancer-medicinal-products-man-revision-5_en.pdf&lt;/url&gt;&lt;/related-urls&gt;&lt;/urls&gt;&lt;custom4&gt;STEVE&amp;apos;S REFERENCES&lt;/custom4&gt;&lt;/record&gt;&lt;/Cite&gt;&lt;/EndNote&gt;</w:instrText>
      </w:r>
      <w:r w:rsidR="006F7FD7">
        <w:fldChar w:fldCharType="separate"/>
      </w:r>
      <w:r w:rsidR="006F7FD7" w:rsidRPr="006F7FD7">
        <w:rPr>
          <w:noProof/>
          <w:vertAlign w:val="superscript"/>
        </w:rPr>
        <w:t>14</w:t>
      </w:r>
      <w:r w:rsidR="006F7FD7">
        <w:fldChar w:fldCharType="end"/>
      </w:r>
      <w:r w:rsidR="00880205" w:rsidRPr="002D1DD7">
        <w:t xml:space="preserve"> is currently under consultation</w:t>
      </w:r>
      <w:r w:rsidR="00FD44AA">
        <w:t>.</w:t>
      </w:r>
      <w:r w:rsidR="006F7FD7">
        <w:fldChar w:fldCharType="begin"/>
      </w:r>
      <w:r w:rsidR="006F7FD7">
        <w:instrText xml:space="preserve"> ADDIN EN.CITE &lt;EndNote&gt;&lt;Cite&gt;&lt;Author&gt;European Medicines Agency&lt;/Author&gt;&lt;Year&gt;2018&lt;/Year&gt;&lt;RecNum&gt;3522&lt;/RecNum&gt;&lt;DisplayText&gt;&lt;style face="superscript"&gt;15&lt;/style&gt;&lt;/DisplayText&gt;&lt;record&gt;&lt;rec-number&gt;3522&lt;/rec-number&gt;&lt;foreign-keys&gt;&lt;key app="EN" db-id="dwaevxvazfs2f3ewvzmxrd0k0wasw55p2z2w" timestamp="1579606101"&gt;3522&lt;/key&gt;&lt;/foreign-keys&gt;&lt;ref-type name="Report"&gt;27&lt;/ref-type&gt;&lt;contributors&gt;&lt;authors&gt;&lt;author&gt;European Medicines Agency,&lt;/author&gt;&lt;/authors&gt;&lt;/contributors&gt;&lt;titles&gt;&lt;title&gt;Concept paper on the revision of the guideline on the evaluation of anticancer medicinal products in man&lt;/title&gt;&lt;secondary-title&gt;Committee for Human Medicinal Products (CHMP)&lt;/secondary-title&gt;&lt;/titles&gt;&lt;num-vols&gt;EMA/CHMP/755489/2018&lt;/num-vols&gt;&lt;dates&gt;&lt;year&gt;2018&lt;/year&gt;&lt;/dates&gt;&lt;publisher&gt;EMA&lt;/publisher&gt;&lt;urls&gt;&lt;related-urls&gt;&lt;url&gt;https://www.ema.europa.eu/en/documents/scientific-guideline/concept-paper-revision-guideline-evaluation-anticancer-medicinal-products-man_en.pdf&lt;/url&gt;&lt;/related-urls&gt;&lt;/urls&gt;&lt;custom4&gt;STEVE&amp;apos;S REFERENCES&lt;/custom4&gt;&lt;/record&gt;&lt;/Cite&gt;&lt;/EndNote&gt;</w:instrText>
      </w:r>
      <w:r w:rsidR="006F7FD7">
        <w:fldChar w:fldCharType="separate"/>
      </w:r>
      <w:r w:rsidR="006F7FD7" w:rsidRPr="006F7FD7">
        <w:rPr>
          <w:noProof/>
          <w:vertAlign w:val="superscript"/>
        </w:rPr>
        <w:t>15</w:t>
      </w:r>
      <w:r w:rsidR="006F7FD7">
        <w:fldChar w:fldCharType="end"/>
      </w:r>
      <w:r w:rsidR="00FD44AA">
        <w:t xml:space="preserve"> </w:t>
      </w:r>
      <w:r w:rsidR="00880205" w:rsidRPr="002D1DD7">
        <w:t>The concept paper underlying the revision explicitly states the need to address the use of biomarkers in oncology, which were not covered by the previous guideline. This development recognises the increasingly important role biomarkers have in both defining disease</w:t>
      </w:r>
      <w:r w:rsidR="00E73179" w:rsidRPr="002D1DD7">
        <w:t xml:space="preserve"> </w:t>
      </w:r>
      <w:r w:rsidR="00880205" w:rsidRPr="002D1DD7">
        <w:t xml:space="preserve">and developing treatment strategies. Biomarker-based treatments also have the possibility to span across tumour sites and are </w:t>
      </w:r>
      <w:r w:rsidR="00E73179" w:rsidRPr="002D1DD7">
        <w:t xml:space="preserve">likely to be </w:t>
      </w:r>
      <w:r w:rsidR="00880205" w:rsidRPr="002D1DD7">
        <w:t xml:space="preserve">assessed using innovative study designs </w:t>
      </w:r>
      <w:r w:rsidR="0072188D">
        <w:t>such as</w:t>
      </w:r>
      <w:r w:rsidR="00880205" w:rsidRPr="002D1DD7">
        <w:t xml:space="preserve"> basket and umbrella trials. These </w:t>
      </w:r>
      <w:r w:rsidR="00E73179" w:rsidRPr="002D1DD7">
        <w:t>study designs</w:t>
      </w:r>
      <w:r w:rsidR="00880205" w:rsidRPr="002D1DD7">
        <w:t xml:space="preserve"> were not </w:t>
      </w:r>
      <w:r w:rsidR="00E73179" w:rsidRPr="002D1DD7">
        <w:t>considered</w:t>
      </w:r>
      <w:r w:rsidR="00880205" w:rsidRPr="002D1DD7">
        <w:t xml:space="preserve"> in the current guideline</w:t>
      </w:r>
      <w:r w:rsidR="001E21CC" w:rsidRPr="002D1DD7">
        <w:t>,</w:t>
      </w:r>
      <w:r w:rsidR="006F7FD7">
        <w:fldChar w:fldCharType="begin"/>
      </w:r>
      <w:r w:rsidR="006F7FD7">
        <w:instrText xml:space="preserve"> ADDIN EN.CITE &lt;EndNote&gt;&lt;Cite&gt;&lt;Author&gt;European Medicines Agency&lt;/Author&gt;&lt;Year&gt;2017&lt;/Year&gt;&lt;RecNum&gt;3521&lt;/RecNum&gt;&lt;DisplayText&gt;&lt;style face="superscript"&gt;14&lt;/style&gt;&lt;/DisplayText&gt;&lt;record&gt;&lt;rec-number&gt;3521&lt;/rec-number&gt;&lt;foreign-keys&gt;&lt;key app="EN" db-id="dwaevxvazfs2f3ewvzmxrd0k0wasw55p2z2w" timestamp="1579606101"&gt;3521&lt;/key&gt;&lt;/foreign-keys&gt;&lt;ref-type name="Report"&gt;27&lt;/ref-type&gt;&lt;contributors&gt;&lt;authors&gt;&lt;author&gt;European Medicines Agency,&lt;/author&gt;&lt;/authors&gt;&lt;tertiary-authors&gt;&lt;author&gt;EMA&lt;/author&gt;&lt;/tertiary-authors&gt;&lt;/contributors&gt;&lt;titles&gt;&lt;title&gt;Guideline on the evaluation of anticancer medicinal products in man&lt;/title&gt;&lt;secondary-title&gt;Committee for Medicinal Products for Human Use (CHMP)&lt;/secondary-title&gt;&lt;/titles&gt;&lt;num-vols&gt;EMA/CHMP/205/95 Rev.5&lt;/num-vols&gt;&lt;dates&gt;&lt;year&gt;2017&lt;/year&gt;&lt;/dates&gt;&lt;publisher&gt;EMA&lt;/publisher&gt;&lt;urls&gt;&lt;related-urls&gt;&lt;url&gt;https://www.ema.europa.eu/en/documents/scientific-guideline/guideline-evaluation-anticancer-medicinal-products-man-revision-5_en.pdf&lt;/url&gt;&lt;/related-urls&gt;&lt;/urls&gt;&lt;custom4&gt;STEVE&amp;apos;S REFERENCES&lt;/custom4&gt;&lt;/record&gt;&lt;/Cite&gt;&lt;/EndNote&gt;</w:instrText>
      </w:r>
      <w:r w:rsidR="006F7FD7">
        <w:fldChar w:fldCharType="separate"/>
      </w:r>
      <w:r w:rsidR="006F7FD7" w:rsidRPr="006F7FD7">
        <w:rPr>
          <w:noProof/>
          <w:vertAlign w:val="superscript"/>
        </w:rPr>
        <w:t>14</w:t>
      </w:r>
      <w:r w:rsidR="006F7FD7">
        <w:fldChar w:fldCharType="end"/>
      </w:r>
      <w:r w:rsidR="001E21CC" w:rsidRPr="002D1DD7">
        <w:t xml:space="preserve"> </w:t>
      </w:r>
      <w:r w:rsidR="00880205" w:rsidRPr="002D1DD7">
        <w:t>therefore an update was recommended by the Oncology Working Party. The update will focus on better identifying the role of biomarkers in the development pathway, developing evidence standards in the context of rare cancers</w:t>
      </w:r>
      <w:r w:rsidR="001E21CC" w:rsidRPr="002D1DD7">
        <w:t xml:space="preserve"> </w:t>
      </w:r>
      <w:r w:rsidR="00880205" w:rsidRPr="002D1DD7">
        <w:t>and outlining the main aspects and principles of innovative study design</w:t>
      </w:r>
      <w:r w:rsidR="00E73179" w:rsidRPr="002D1DD7">
        <w:t xml:space="preserve"> </w:t>
      </w:r>
      <w:r w:rsidR="001E21CC" w:rsidRPr="002D1DD7">
        <w:t xml:space="preserve">including the use of </w:t>
      </w:r>
      <w:r w:rsidR="00880205" w:rsidRPr="002D1DD7">
        <w:t>basket trials.</w:t>
      </w:r>
    </w:p>
    <w:p w14:paraId="2C4D3679" w14:textId="77777777" w:rsidR="00880205" w:rsidRPr="002D1DD7" w:rsidRDefault="00880205" w:rsidP="00EC11CD">
      <w:pPr>
        <w:pStyle w:val="Heading2"/>
      </w:pPr>
      <w:bookmarkStart w:id="35" w:name="_Toc33776155"/>
      <w:r w:rsidRPr="002D1DD7">
        <w:t>EMA special approval processes</w:t>
      </w:r>
      <w:bookmarkEnd w:id="35"/>
    </w:p>
    <w:p w14:paraId="1D46B12B" w14:textId="5EB75B5D" w:rsidR="00880205" w:rsidRPr="002D1DD7" w:rsidRDefault="00880205">
      <w:r w:rsidRPr="002D1DD7">
        <w:t xml:space="preserve">Like the FDA, the EMA provides alternative marketing authorisation pathways to cover situations where the nature or quality of the evidence would not be sufficient to </w:t>
      </w:r>
      <w:r w:rsidR="00E73179" w:rsidRPr="002D1DD7">
        <w:t>support</w:t>
      </w:r>
      <w:r w:rsidRPr="002D1DD7">
        <w:t xml:space="preserve"> traditional approval. </w:t>
      </w:r>
      <w:r w:rsidR="00F9693A">
        <w:t>C</w:t>
      </w:r>
      <w:r w:rsidRPr="002D1DD7">
        <w:t xml:space="preserve">onditional </w:t>
      </w:r>
      <w:r w:rsidR="003E335D">
        <w:t>A</w:t>
      </w:r>
      <w:r w:rsidRPr="002D1DD7">
        <w:t>pproval</w:t>
      </w:r>
      <w:r w:rsidR="003E335D">
        <w:t xml:space="preserve"> from EMA </w:t>
      </w:r>
      <w:r w:rsidRPr="002D1DD7">
        <w:t>is a form of conditional marketing authorisation for those medicines, targeting unmet medical needs for serious conditions, with a positive benefit-risk balance but which do not have comprehensive data available. In order to grant conditional approval</w:t>
      </w:r>
      <w:r w:rsidR="00E73179" w:rsidRPr="002D1DD7">
        <w:t>,</w:t>
      </w:r>
      <w:r w:rsidRPr="002D1DD7">
        <w:t xml:space="preserve"> </w:t>
      </w:r>
      <w:r w:rsidR="00BC79D7" w:rsidRPr="002D1DD7">
        <w:t xml:space="preserve">agreement is needed on </w:t>
      </w:r>
      <w:r w:rsidRPr="002D1DD7">
        <w:t xml:space="preserve">additional post-marketing studies to confirm the initial assessment of the benefit-risk balance. This marketing authorisation is valid for 1 year and can be renewed annually following a rolling review, provided the benefit-risk assessment is still </w:t>
      </w:r>
      <w:r w:rsidR="00BC79D7" w:rsidRPr="002D1DD7">
        <w:t xml:space="preserve">considered to be </w:t>
      </w:r>
      <w:r w:rsidRPr="002D1DD7">
        <w:t>positive.</w:t>
      </w:r>
    </w:p>
    <w:p w14:paraId="79DD33A7" w14:textId="3A8E6AB9" w:rsidR="00880205" w:rsidRPr="002D1DD7" w:rsidRDefault="00880205" w:rsidP="00EC11CD">
      <w:pPr>
        <w:pStyle w:val="Heading2"/>
      </w:pPr>
      <w:bookmarkStart w:id="36" w:name="_Ref27662684"/>
      <w:bookmarkStart w:id="37" w:name="_Toc33776156"/>
      <w:r w:rsidRPr="002D1DD7">
        <w:lastRenderedPageBreak/>
        <w:t xml:space="preserve">EMA review of approved </w:t>
      </w:r>
      <w:r w:rsidR="00555827">
        <w:t>histology-independent</w:t>
      </w:r>
      <w:r w:rsidRPr="002D1DD7">
        <w:t xml:space="preserve"> indications.</w:t>
      </w:r>
      <w:bookmarkEnd w:id="36"/>
      <w:bookmarkEnd w:id="37"/>
    </w:p>
    <w:p w14:paraId="361389D3" w14:textId="31E88530" w:rsidR="00880205" w:rsidRPr="002D1DD7" w:rsidRDefault="00880205">
      <w:r w:rsidRPr="002D1DD7">
        <w:t>To date</w:t>
      </w:r>
      <w:r w:rsidR="003D721E">
        <w:t>,</w:t>
      </w:r>
      <w:r w:rsidRPr="002D1DD7">
        <w:t xml:space="preserve"> only one </w:t>
      </w:r>
      <w:r w:rsidR="00555827">
        <w:t>histology-independent</w:t>
      </w:r>
      <w:r w:rsidRPr="002D1DD7">
        <w:t xml:space="preserve"> product has received marketing authorisation in the EU. Larotrectinib (V</w:t>
      </w:r>
      <w:r w:rsidR="00BC79D7" w:rsidRPr="002D1DD7">
        <w:t>itrakvi</w:t>
      </w:r>
      <w:r w:rsidRPr="002D1DD7">
        <w:t xml:space="preserve">, Loxo Oncology Inc. and Bayer) received a conditional marketing authorisation on </w:t>
      </w:r>
      <w:r w:rsidR="003D721E">
        <w:t xml:space="preserve">the </w:t>
      </w:r>
      <w:r w:rsidRPr="002D1DD7">
        <w:t>19</w:t>
      </w:r>
      <w:r w:rsidR="003D721E" w:rsidRPr="0003702B">
        <w:rPr>
          <w:vertAlign w:val="superscript"/>
        </w:rPr>
        <w:t>th</w:t>
      </w:r>
      <w:r w:rsidR="003D721E">
        <w:t xml:space="preserve"> </w:t>
      </w:r>
      <w:r w:rsidRPr="002D1DD7">
        <w:t>September 2019.</w:t>
      </w:r>
      <w:r w:rsidR="006F7FD7">
        <w:fldChar w:fldCharType="begin"/>
      </w:r>
      <w:r w:rsidR="006F7FD7">
        <w:instrText xml:space="preserve"> ADDIN EN.CITE &lt;EndNote&gt;&lt;Cite&gt;&lt;Author&gt;European Medicines Agency&lt;/Author&gt;&lt;Year&gt;2019&lt;/Year&gt;&lt;RecNum&gt;3523&lt;/RecNum&gt;&lt;DisplayText&gt;&lt;style face="superscript"&gt;2&lt;/style&gt;&lt;/DisplayText&gt;&lt;record&gt;&lt;rec-number&gt;3523&lt;/rec-number&gt;&lt;foreign-keys&gt;&lt;key app="EN" db-id="dwaevxvazfs2f3ewvzmxrd0k0wasw55p2z2w" timestamp="1579606101"&gt;3523&lt;/key&gt;&lt;/foreign-keys&gt;&lt;ref-type name="Report"&gt;27&lt;/ref-type&gt;&lt;contributors&gt;&lt;authors&gt;&lt;author&gt;European Medicines Agency,&lt;/author&gt;&lt;/authors&gt;&lt;/contributors&gt;&lt;titles&gt;&lt;title&gt;Assessment report: VITRAKVI. International non-proprietary name: larotrectinib&lt;/title&gt;&lt;secondary-title&gt;Committee for Medicinal Products for Human Use (CHMP)&lt;/secondary-title&gt;&lt;/titles&gt;&lt;num-vols&gt;EMA/CHMP/469135/2019 &lt;/num-vols&gt;&lt;dates&gt;&lt;year&gt;2019&lt;/year&gt;&lt;/dates&gt;&lt;publisher&gt;EMA&lt;/publisher&gt;&lt;urls&gt;&lt;related-urls&gt;&lt;url&gt;https://www.ema.europa.eu/en/documents/assessment-report/vitrakvi-epar-public-assessment-report_en.pdf&lt;/url&gt;&lt;/related-urls&gt;&lt;/urls&gt;&lt;custom4&gt;STEVE&amp;apos;S REFERENCES&lt;/custom4&gt;&lt;/record&gt;&lt;/Cite&gt;&lt;/EndNote&gt;</w:instrText>
      </w:r>
      <w:r w:rsidR="006F7FD7">
        <w:fldChar w:fldCharType="separate"/>
      </w:r>
      <w:r w:rsidR="006F7FD7" w:rsidRPr="006F7FD7">
        <w:rPr>
          <w:noProof/>
          <w:vertAlign w:val="superscript"/>
        </w:rPr>
        <w:t>2</w:t>
      </w:r>
      <w:r w:rsidR="006F7FD7">
        <w:fldChar w:fldCharType="end"/>
      </w:r>
      <w:r w:rsidR="004A3CEA">
        <w:t xml:space="preserve"> </w:t>
      </w:r>
      <w:r w:rsidRPr="002D1DD7">
        <w:t>The authorisati</w:t>
      </w:r>
      <w:r w:rsidR="004A3CEA">
        <w:t>on recommends larotrectinib as</w:t>
      </w:r>
      <w:r w:rsidRPr="002D1DD7">
        <w:t xml:space="preserve"> monotherapy for the treatment of adult and paediatric patients with solid tumours that display a</w:t>
      </w:r>
      <w:r w:rsidR="003D721E">
        <w:t>n</w:t>
      </w:r>
      <w:r w:rsidRPr="002D1DD7">
        <w:t xml:space="preserve"> NTRK gene fusion, who have a disease that is locally advanced, metastatic or where surgical resection is likely to result in severe morbidity, and who have no satisfactory treatment options.</w:t>
      </w:r>
    </w:p>
    <w:p w14:paraId="7E0CFD71" w14:textId="49EEA725" w:rsidR="00BC79D7" w:rsidRPr="002D1DD7" w:rsidRDefault="00880205" w:rsidP="009015BB">
      <w:r w:rsidRPr="002D1DD7">
        <w:t xml:space="preserve">The </w:t>
      </w:r>
      <w:r w:rsidR="0044747A" w:rsidRPr="002D1DD7">
        <w:t xml:space="preserve">EMA review </w:t>
      </w:r>
      <w:r w:rsidRPr="002D1DD7">
        <w:t xml:space="preserve">was supported using several different analysis sets. The Primary Analysis Set (PAS) </w:t>
      </w:r>
      <w:r w:rsidR="0044747A" w:rsidRPr="002D1DD7">
        <w:t>was</w:t>
      </w:r>
      <w:r w:rsidRPr="002D1DD7">
        <w:t xml:space="preserve"> based on the same 55 patients considered in the earlier FDA review</w:t>
      </w:r>
      <w:r w:rsidR="006E5E6C" w:rsidRPr="002D1DD7">
        <w:t xml:space="preserve"> of larotrectinib</w:t>
      </w:r>
      <w:r w:rsidRPr="002D1DD7">
        <w:t xml:space="preserve">. The PAS analysis </w:t>
      </w:r>
      <w:r w:rsidR="005A5141">
        <w:t>wa</w:t>
      </w:r>
      <w:r w:rsidRPr="002D1DD7">
        <w:t xml:space="preserve">s based on a pooled analysis of patients consecutively enrolled from three single-arm </w:t>
      </w:r>
      <w:r w:rsidR="0003702B">
        <w:t>studies</w:t>
      </w:r>
      <w:r w:rsidR="000C3FB3">
        <w:t>.</w:t>
      </w:r>
    </w:p>
    <w:p w14:paraId="1746CAE1" w14:textId="78818510" w:rsidR="00880205" w:rsidRPr="002D1DD7" w:rsidRDefault="00880205" w:rsidP="00880205">
      <w:r w:rsidRPr="002D1DD7">
        <w:t xml:space="preserve">The EMA review identified several concerns regarding the PAS. Firstly, the restriction to the first 55 patients was considered to have been arbitrarily chosen. Secondly, the exclusion of CNS-tumours was considered to introduce a bias in the efficacy estimates. Finally, restricting the analysis to patients who received one or more doses was not considered to accord with the </w:t>
      </w:r>
      <w:r w:rsidR="007A28F6" w:rsidRPr="002D1DD7">
        <w:t>intention</w:t>
      </w:r>
      <w:r w:rsidR="007A28F6">
        <w:t>-</w:t>
      </w:r>
      <w:r w:rsidR="007A28F6" w:rsidRPr="002D1DD7">
        <w:t>to</w:t>
      </w:r>
      <w:r w:rsidR="007A28F6">
        <w:t>-</w:t>
      </w:r>
      <w:r w:rsidR="005C662B" w:rsidRPr="002D1DD7">
        <w:t>treat (</w:t>
      </w:r>
      <w:r w:rsidRPr="002D1DD7">
        <w:t>ITT</w:t>
      </w:r>
      <w:r w:rsidR="005C662B" w:rsidRPr="002D1DD7">
        <w:t>)</w:t>
      </w:r>
      <w:r w:rsidRPr="002D1DD7">
        <w:t xml:space="preserve"> principle. </w:t>
      </w:r>
    </w:p>
    <w:p w14:paraId="11E1CD98" w14:textId="6FA1382B" w:rsidR="00880205" w:rsidRPr="002D1DD7" w:rsidRDefault="00880205">
      <w:r w:rsidRPr="002D1DD7">
        <w:t>Following requests from the CHMP, further analysis sets (ePAS and ePAS2) were submitted which included additional data from an extended follow-up and a larger pooled analysis population. The ePAS (n=73) included all patients who met all PAS eligibility criteria as of 19</w:t>
      </w:r>
      <w:r w:rsidR="004A3CEA" w:rsidRPr="004A3CEA">
        <w:rPr>
          <w:vertAlign w:val="superscript"/>
        </w:rPr>
        <w:t>th</w:t>
      </w:r>
      <w:r w:rsidRPr="002D1DD7">
        <w:t xml:space="preserve"> February 2018 and had central review of tumour response by the IRC. This included an additional 18 patients compared to the PAS (n=55). The ePAS2 (n=93) included all patients who met all PAS eligibility criteria and had either discontinued the study or had at least 6 months follow-up by 30</w:t>
      </w:r>
      <w:r w:rsidR="004A3CEA" w:rsidRPr="004A3CEA">
        <w:rPr>
          <w:vertAlign w:val="superscript"/>
        </w:rPr>
        <w:t>th</w:t>
      </w:r>
      <w:r w:rsidRPr="002D1DD7">
        <w:t xml:space="preserve"> July 2018. This included an </w:t>
      </w:r>
      <w:bookmarkStart w:id="38" w:name="_Hlk25648384"/>
      <w:r w:rsidRPr="002D1DD7">
        <w:t xml:space="preserve">additional 38 patients compared to the PAS (n=55). </w:t>
      </w:r>
      <w:bookmarkEnd w:id="38"/>
      <w:r w:rsidRPr="002D1DD7">
        <w:t>The ePAS2 was the main efficacy analysis set considered in the EMA review.</w:t>
      </w:r>
    </w:p>
    <w:p w14:paraId="1E98E802" w14:textId="12F1E084" w:rsidR="00880205" w:rsidRPr="002D1DD7" w:rsidRDefault="00880205" w:rsidP="00880205">
      <w:r w:rsidRPr="002D1DD7">
        <w:t xml:space="preserve">A further cohort including paediatric and adult patients with primary CNS tumours (n=9) was reported separately. This cohort </w:t>
      </w:r>
      <w:r w:rsidR="00BC79D7" w:rsidRPr="002D1DD7">
        <w:t xml:space="preserve">represented </w:t>
      </w:r>
      <w:r w:rsidRPr="002D1DD7">
        <w:t xml:space="preserve">a </w:t>
      </w:r>
      <w:r w:rsidR="00BC79D7" w:rsidRPr="002D1DD7">
        <w:t>pre-specified exclusion criterion</w:t>
      </w:r>
      <w:r w:rsidRPr="002D1DD7">
        <w:t xml:space="preserve"> from the original PAS analysis</w:t>
      </w:r>
      <w:r w:rsidR="006E5E6C" w:rsidRPr="002D1DD7">
        <w:t>. This</w:t>
      </w:r>
      <w:r w:rsidR="00BC79D7" w:rsidRPr="002D1DD7">
        <w:t xml:space="preserve"> cohort </w:t>
      </w:r>
      <w:r w:rsidRPr="002D1DD7">
        <w:t xml:space="preserve">was considered to have a </w:t>
      </w:r>
      <w:r w:rsidR="006E5E6C" w:rsidRPr="002D1DD7">
        <w:t xml:space="preserve">potentially </w:t>
      </w:r>
      <w:r w:rsidRPr="002D1DD7">
        <w:t>lower likelihood of response compared to the other cohorts given results from earlier animal studies</w:t>
      </w:r>
      <w:r w:rsidR="005C662B" w:rsidRPr="002D1DD7">
        <w:t>,</w:t>
      </w:r>
      <w:r w:rsidRPr="002D1DD7">
        <w:t xml:space="preserve"> indicating low penetration of larotrectinib into CNS tissues. However, the review also acknowledged that CNS penetration in cancer patients taking larotrectinib may be more substantial</w:t>
      </w:r>
      <w:r w:rsidR="009D1F3B">
        <w:t xml:space="preserve"> than suggested by prior evidence.</w:t>
      </w:r>
    </w:p>
    <w:p w14:paraId="0539B50E" w14:textId="48BFB1A3" w:rsidR="00BC79D7" w:rsidRPr="002D1DD7" w:rsidRDefault="00880205" w:rsidP="00880205">
      <w:r w:rsidRPr="002D1DD7">
        <w:t>The primary endpoint considered was ORR by IRC assessment, defined as the proportion of patients with best overall response of CR</w:t>
      </w:r>
      <w:r w:rsidR="006E5E6C" w:rsidRPr="002D1DD7">
        <w:t xml:space="preserve"> or </w:t>
      </w:r>
      <w:r w:rsidRPr="002D1DD7">
        <w:t>PR. Secondary endpoints incl</w:t>
      </w:r>
      <w:r w:rsidR="009015BB">
        <w:t>uded: time to response (TTR), Do</w:t>
      </w:r>
      <w:r w:rsidRPr="002D1DD7">
        <w:t xml:space="preserve">R, PFS </w:t>
      </w:r>
      <w:r w:rsidR="000C27EE" w:rsidRPr="002D1DD7">
        <w:t xml:space="preserve">(including </w:t>
      </w:r>
      <w:r w:rsidRPr="002D1DD7">
        <w:t>PFS rate at 6 and 12 months</w:t>
      </w:r>
      <w:r w:rsidR="000C27EE" w:rsidRPr="002D1DD7">
        <w:t>)</w:t>
      </w:r>
      <w:r w:rsidRPr="002D1DD7">
        <w:t xml:space="preserve"> and OS </w:t>
      </w:r>
      <w:r w:rsidR="000C27EE" w:rsidRPr="002D1DD7">
        <w:t xml:space="preserve">(including </w:t>
      </w:r>
      <w:r w:rsidRPr="002D1DD7">
        <w:t>survival rate at 12 month</w:t>
      </w:r>
      <w:r w:rsidR="000C27EE" w:rsidRPr="002D1DD7">
        <w:t>s).</w:t>
      </w:r>
      <w:r w:rsidR="00BC79D7" w:rsidRPr="002D1DD7">
        <w:t xml:space="preserve"> </w:t>
      </w:r>
    </w:p>
    <w:p w14:paraId="2351C25A" w14:textId="315FD4B8" w:rsidR="00BC79D7" w:rsidRPr="002D1DD7" w:rsidRDefault="00BC79D7">
      <w:r w:rsidRPr="002D1DD7">
        <w:lastRenderedPageBreak/>
        <w:t>In the ePAS2 analysis, the ORR by IRC was 72% (n=67/93, 95% CI: 62</w:t>
      </w:r>
      <w:r w:rsidR="007E1112">
        <w:t>% to</w:t>
      </w:r>
      <w:r w:rsidRPr="002D1DD7">
        <w:t xml:space="preserve"> 81%). The ORR results were </w:t>
      </w:r>
      <w:r w:rsidR="006E5E6C" w:rsidRPr="002D1DD7">
        <w:t xml:space="preserve">considered by the EMA review </w:t>
      </w:r>
      <w:r w:rsidRPr="002D1DD7">
        <w:t>to be outstanding. The median TTR was 1.8 months by IRC (25th, 75th percentiles: 1</w:t>
      </w:r>
      <w:r w:rsidR="009015BB">
        <w:t>.71, 1.94 months). The median Do</w:t>
      </w:r>
      <w:r w:rsidRPr="002D1DD7">
        <w:t xml:space="preserve">R was not estimable. However, 72% of responding patients were reported to have had a </w:t>
      </w:r>
      <w:r w:rsidR="002E230A">
        <w:t xml:space="preserve">DoR </w:t>
      </w:r>
      <w:r w:rsidRPr="002D1DD7">
        <w:t xml:space="preserve">of 6 </w:t>
      </w:r>
      <w:r w:rsidR="009015BB">
        <w:t>months or more, and 42% had a Do</w:t>
      </w:r>
      <w:r w:rsidRPr="002D1DD7">
        <w:t>R of 12 months or more. The review also noted that the percentage of patients with durable responses appeared higher in previously submitted data with shorter follow</w:t>
      </w:r>
      <w:r w:rsidR="000A0341">
        <w:t>-</w:t>
      </w:r>
      <w:r w:rsidRPr="002D1DD7">
        <w:t>up. Concerns were expressed that the difference in results between alternative follow</w:t>
      </w:r>
      <w:r w:rsidR="000A0341">
        <w:t>-</w:t>
      </w:r>
      <w:r w:rsidRPr="002D1DD7">
        <w:t xml:space="preserve">up times indicated that limited early data </w:t>
      </w:r>
      <w:r w:rsidR="006E5E6C" w:rsidRPr="002D1DD7">
        <w:t>might</w:t>
      </w:r>
      <w:r w:rsidRPr="002D1DD7">
        <w:t xml:space="preserve"> overestimate the true treatment effect.</w:t>
      </w:r>
    </w:p>
    <w:p w14:paraId="60BBC6B0" w14:textId="638F1839" w:rsidR="00880205" w:rsidRPr="002D1DD7" w:rsidRDefault="00880205" w:rsidP="00880205">
      <w:r w:rsidRPr="002D1DD7">
        <w:t xml:space="preserve">The EMA review noted that there was substantial heterogeneity across the </w:t>
      </w:r>
      <w:r w:rsidR="00632975">
        <w:t>three</w:t>
      </w:r>
      <w:r w:rsidR="00632975" w:rsidRPr="002D1DD7">
        <w:t xml:space="preserve"> </w:t>
      </w:r>
      <w:r w:rsidRPr="002D1DD7">
        <w:t>separate</w:t>
      </w:r>
      <w:r w:rsidR="002E230A">
        <w:t xml:space="preserve"> </w:t>
      </w:r>
      <w:r w:rsidRPr="002D1DD7">
        <w:t xml:space="preserve">studies and that the primary endpoint was based on a crude proportion of responses. The review also highlighted that sensitivity analyses provided by the </w:t>
      </w:r>
      <w:r w:rsidR="006E5E6C" w:rsidRPr="002D1DD7">
        <w:t>sponsor</w:t>
      </w:r>
      <w:r w:rsidRPr="002D1DD7">
        <w:t xml:space="preserve"> utilising tumour type as a random factor provided slightly lower estimates than the crude proportions. Further </w:t>
      </w:r>
      <w:r w:rsidR="00BC79D7" w:rsidRPr="002D1DD7">
        <w:t>re</w:t>
      </w:r>
      <w:r w:rsidRPr="002D1DD7">
        <w:t>analysis by the EMA involved investigating alternative selections of cohorts from the three studies. These analyses indicated that the crude ORR appeared in the upper end (the 90</w:t>
      </w:r>
      <w:r w:rsidRPr="002D1DD7">
        <w:rPr>
          <w:vertAlign w:val="superscript"/>
        </w:rPr>
        <w:t>th</w:t>
      </w:r>
      <w:r w:rsidRPr="002D1DD7">
        <w:t xml:space="preserve"> percentile) of the distribution of possible estimates, suggesting a possible selection bias. However, the review also noted that a large majority of all possible ORR estimates were above 50% indicating a true effect of a relevant magnitude.</w:t>
      </w:r>
    </w:p>
    <w:p w14:paraId="1A7F8354" w14:textId="27D80ADB" w:rsidR="00880205" w:rsidRPr="002D1DD7" w:rsidRDefault="00880205">
      <w:r w:rsidRPr="002D1DD7">
        <w:t xml:space="preserve">The median PFS was 27.4 months (95% CI: 13.8, </w:t>
      </w:r>
      <w:r w:rsidR="009015BB">
        <w:t xml:space="preserve">not </w:t>
      </w:r>
      <w:r w:rsidR="000E7B35">
        <w:t>estimable [</w:t>
      </w:r>
      <w:r w:rsidRPr="002D1DD7">
        <w:t>NE</w:t>
      </w:r>
      <w:r w:rsidR="000E7B35">
        <w:t>]</w:t>
      </w:r>
      <w:r w:rsidRPr="002D1DD7">
        <w:t>) by IRC. The PFS rate at 6 months was 77%, and the PFS rate at 12 months was 64% (95% CI: 51</w:t>
      </w:r>
      <w:r w:rsidR="00382231" w:rsidRPr="002D1DD7">
        <w:t>% to</w:t>
      </w:r>
      <w:r w:rsidRPr="002D1DD7">
        <w:t xml:space="preserve"> 76%). The </w:t>
      </w:r>
      <w:r w:rsidR="00B5672D" w:rsidRPr="002D1DD7">
        <w:t>median</w:t>
      </w:r>
      <w:r w:rsidR="00B5672D" w:rsidRPr="002D1DD7" w:rsidDel="00B5672D">
        <w:t xml:space="preserve"> </w:t>
      </w:r>
      <w:r w:rsidRPr="002D1DD7">
        <w:t>OS was not reached in the ePAS2 due to the low event</w:t>
      </w:r>
      <w:r w:rsidR="002E230A">
        <w:t xml:space="preserve"> </w:t>
      </w:r>
      <w:r w:rsidRPr="002D1DD7">
        <w:t>rate of 15% (14/93 dead), at a median follow</w:t>
      </w:r>
      <w:r w:rsidR="003B54AA">
        <w:t>-</w:t>
      </w:r>
      <w:r w:rsidRPr="002D1DD7">
        <w:t>up time of 16.7 months. The OS rate at 12 months was 88% (95% CI: 81</w:t>
      </w:r>
      <w:r w:rsidR="00382231" w:rsidRPr="002D1DD7">
        <w:t>% to</w:t>
      </w:r>
      <w:r w:rsidRPr="002D1DD7">
        <w:t xml:space="preserve"> 95%). All 9 patients in the CNS group were noted to still be alive</w:t>
      </w:r>
      <w:r w:rsidR="0041582D">
        <w:t xml:space="preserve"> at the time of the final data cut-off</w:t>
      </w:r>
      <w:r w:rsidRPr="002D1DD7">
        <w:t xml:space="preserve">. </w:t>
      </w:r>
    </w:p>
    <w:p w14:paraId="28DDED48" w14:textId="24B0A462" w:rsidR="00880205" w:rsidRPr="002D1DD7" w:rsidRDefault="00880205" w:rsidP="00880205">
      <w:r w:rsidRPr="002D1DD7">
        <w:t xml:space="preserve">The EMA review highlighted the immaturity of the OS and PFS data. </w:t>
      </w:r>
      <w:r w:rsidR="00BC79D7" w:rsidRPr="002D1DD7">
        <w:t>In addition, w</w:t>
      </w:r>
      <w:r w:rsidRPr="002D1DD7">
        <w:t>hile the</w:t>
      </w:r>
      <w:r w:rsidR="005A5141">
        <w:t xml:space="preserve"> PFS and OS</w:t>
      </w:r>
      <w:r w:rsidRPr="002D1DD7">
        <w:t xml:space="preserve"> data w</w:t>
      </w:r>
      <w:r w:rsidR="002E230A">
        <w:t>ere</w:t>
      </w:r>
      <w:r w:rsidRPr="002D1DD7">
        <w:t xml:space="preserve"> considered important fo</w:t>
      </w:r>
      <w:r w:rsidR="009015BB">
        <w:t>r contextualising the ORR and Do</w:t>
      </w:r>
      <w:r w:rsidRPr="002D1DD7">
        <w:t xml:space="preserve">R results, the pooling of many different types of primary malignancies with </w:t>
      </w:r>
      <w:r w:rsidR="000E7B35">
        <w:t>inherently</w:t>
      </w:r>
      <w:r w:rsidR="000E7B35" w:rsidRPr="002D1DD7">
        <w:t xml:space="preserve"> </w:t>
      </w:r>
      <w:r w:rsidRPr="002D1DD7">
        <w:t>different prognosis, led to a conclusion that the data should be interpreted with caution.</w:t>
      </w:r>
    </w:p>
    <w:p w14:paraId="33C39060" w14:textId="7B2192D3" w:rsidR="00880205" w:rsidRPr="002D1DD7" w:rsidRDefault="00880205" w:rsidP="00880205">
      <w:r w:rsidRPr="002D1DD7">
        <w:t xml:space="preserve">The subgroup analysis </w:t>
      </w:r>
      <w:r w:rsidR="00BC79D7" w:rsidRPr="002D1DD7">
        <w:t xml:space="preserve">reported in the EMA review </w:t>
      </w:r>
      <w:r w:rsidRPr="002D1DD7">
        <w:t xml:space="preserve">included an analysis of ORR by tumour type. The ORR was reported to be highly variable across the studied tumour types, ranging from 0% ORR in </w:t>
      </w:r>
      <w:r w:rsidR="0041582D">
        <w:t>individual p</w:t>
      </w:r>
      <w:r w:rsidRPr="002D1DD7">
        <w:t xml:space="preserve">atients with breast cancer, cholangiocarcinoma and pancreatic cancer to 100% in 4 patients with </w:t>
      </w:r>
      <w:r w:rsidR="00CE76D1">
        <w:t>g</w:t>
      </w:r>
      <w:r w:rsidR="00CE76D1" w:rsidRPr="009021AF">
        <w:t>astrointestinal stromal tumour</w:t>
      </w:r>
      <w:r w:rsidR="00CE76D1" w:rsidRPr="002D1DD7">
        <w:t xml:space="preserve"> </w:t>
      </w:r>
      <w:r w:rsidR="00CE76D1">
        <w:t>(</w:t>
      </w:r>
      <w:r w:rsidRPr="002D1DD7">
        <w:t>GIST</w:t>
      </w:r>
      <w:r w:rsidR="00CE76D1">
        <w:t>)</w:t>
      </w:r>
      <w:r w:rsidRPr="002D1DD7">
        <w:t>. The review indicated that tumour types where NTRK gene fusions are characteristic (or even considered pathognomonic) of the disease, such as IFS</w:t>
      </w:r>
      <w:r w:rsidR="006E5E6C" w:rsidRPr="002D1DD7">
        <w:t xml:space="preserve"> (</w:t>
      </w:r>
      <w:r w:rsidRPr="002D1DD7">
        <w:t xml:space="preserve">n=13), </w:t>
      </w:r>
      <w:r w:rsidR="006E5E6C" w:rsidRPr="002D1DD7">
        <w:t>s</w:t>
      </w:r>
      <w:r w:rsidRPr="002D1DD7">
        <w:t>alivary gland/</w:t>
      </w:r>
      <w:r w:rsidR="005D573F" w:rsidRPr="002D1DD7">
        <w:t xml:space="preserve">mammary analogue secretory carcinoma </w:t>
      </w:r>
      <w:r w:rsidR="005D573F">
        <w:t>(</w:t>
      </w:r>
      <w:r w:rsidRPr="002D1DD7">
        <w:t>MASC</w:t>
      </w:r>
      <w:r w:rsidR="005D573F">
        <w:t>)</w:t>
      </w:r>
      <w:r w:rsidRPr="002D1DD7">
        <w:t xml:space="preserve"> (n=10), and congenital mesoblastic nephroma (n=1), tended to have higher ORR</w:t>
      </w:r>
      <w:r w:rsidR="002E230A">
        <w:t>s</w:t>
      </w:r>
      <w:r w:rsidRPr="002D1DD7">
        <w:t xml:space="preserve"> (92%, 80%, and 100%, respectively). However, the review also concluded that the tumour</w:t>
      </w:r>
      <w:r w:rsidR="002E230A">
        <w:t>-</w:t>
      </w:r>
      <w:r w:rsidRPr="002D1DD7">
        <w:t>specific estimates were not robust due to the small sample sizes of individual subgroups.</w:t>
      </w:r>
      <w:r w:rsidR="006E5E6C" w:rsidRPr="002D1DD7">
        <w:t xml:space="preserve"> </w:t>
      </w:r>
      <w:r w:rsidRPr="002D1DD7">
        <w:t xml:space="preserve">Among the 9 patients with primary CNS tumours, 1 had </w:t>
      </w:r>
      <w:r w:rsidRPr="002D1DD7">
        <w:lastRenderedPageBreak/>
        <w:t>an objective response (PR); the remaining</w:t>
      </w:r>
      <w:r w:rsidR="0086402E">
        <w:t xml:space="preserve"> 8</w:t>
      </w:r>
      <w:r w:rsidRPr="002D1DD7">
        <w:t xml:space="preserve"> had </w:t>
      </w:r>
      <w:r w:rsidR="005A5141">
        <w:t>stable disease</w:t>
      </w:r>
      <w:r w:rsidRPr="002D1DD7">
        <w:t xml:space="preserve"> as best response. </w:t>
      </w:r>
      <w:r w:rsidR="004A3CEA">
        <w:t>Six</w:t>
      </w:r>
      <w:r w:rsidRPr="002D1DD7">
        <w:t xml:space="preserve"> patients were reported to be without progression at last follow-up. The CHMP considered that there was no scientific rationale to exclude previously treated CNS patients with no satisfactory treatment options available, and that the indication should also cover these patients.</w:t>
      </w:r>
    </w:p>
    <w:p w14:paraId="708671D0" w14:textId="12003E1F" w:rsidR="00880205" w:rsidRPr="002D1DD7" w:rsidRDefault="00880205">
      <w:bookmarkStart w:id="39" w:name="_Hlk25319784"/>
      <w:r w:rsidRPr="002D1DD7">
        <w:t xml:space="preserve">A key question considered in the EMA review was whether the available data supported the assumption that NTRK gene mutations are oncogenic driver mutations and that the mechanism of action is independent of tumour histology. This assumption was considered necessary to conclude that larotrectinib would result in clinically relevant activity in tumours expressing NTRK fusion proteins regardless of the tissue of tumour origin. </w:t>
      </w:r>
      <w:bookmarkEnd w:id="39"/>
      <w:r w:rsidRPr="002D1DD7">
        <w:t xml:space="preserve">Additional advice was sought to address this question from the Scientific Advisory Group (SAG) in Oncology, and the EMA Biostatistics </w:t>
      </w:r>
      <w:r w:rsidR="00E92B89">
        <w:t>W</w:t>
      </w:r>
      <w:r w:rsidRPr="002D1DD7">
        <w:t xml:space="preserve">orking </w:t>
      </w:r>
      <w:r w:rsidR="00E92B89">
        <w:t>P</w:t>
      </w:r>
      <w:r w:rsidRPr="002D1DD7">
        <w:t xml:space="preserve">arty (BSWP). </w:t>
      </w:r>
    </w:p>
    <w:p w14:paraId="70C92894" w14:textId="4569BB90" w:rsidR="00880205" w:rsidRPr="002D1DD7" w:rsidRDefault="00880205" w:rsidP="005D573F">
      <w:r w:rsidRPr="002D1DD7">
        <w:t xml:space="preserve">The consensus view of the SAG was that the available data did not support the hypothesis that NTRK gene fusions are universally oncogenic drivers, independent of tumour type/histology and other disease characteristics. The SAG also concluded that the mechanism of action may differ according to histology and other characteristics and the existing data were insufficient to establish activity regardless of tumour type and other characteristics. However, the SAG </w:t>
      </w:r>
      <w:r w:rsidR="006E5E6C" w:rsidRPr="002D1DD7">
        <w:t xml:space="preserve">also </w:t>
      </w:r>
      <w:r w:rsidRPr="002D1DD7">
        <w:t xml:space="preserve">recognised that in some paediatric malignancies, preclinical and clinical data supported NTRK as an oncogenic driver. In addition, fusion genes affecting NTRK 1/2/3 were reported to be highly recurrent in certain rare malignancies. ETV6-NTRK3 was noted to be present in &gt;95% of secretory carcinomas of the breast, MASC of the salivary glands, congenital fibrosarcoma and cellular mesoblastic nephromas. This led one expert to suggest the possibility </w:t>
      </w:r>
      <w:r w:rsidR="0041582D">
        <w:t>to</w:t>
      </w:r>
      <w:r w:rsidR="0041582D" w:rsidRPr="002D1DD7">
        <w:t xml:space="preserve"> </w:t>
      </w:r>
      <w:r w:rsidRPr="002D1DD7">
        <w:t xml:space="preserve">have a </w:t>
      </w:r>
      <w:r w:rsidR="00555827">
        <w:t>histology-independent</w:t>
      </w:r>
      <w:r w:rsidRPr="002D1DD7">
        <w:t xml:space="preserve"> approval for cancers with proven NTRK fusions as oncogenic </w:t>
      </w:r>
      <w:r w:rsidR="00471157" w:rsidRPr="002D1DD7">
        <w:t>‘</w:t>
      </w:r>
      <w:r w:rsidRPr="002D1DD7">
        <w:t>drivers</w:t>
      </w:r>
      <w:r w:rsidR="00471157" w:rsidRPr="002D1DD7">
        <w:t>’</w:t>
      </w:r>
      <w:r w:rsidRPr="002D1DD7">
        <w:t>, provided that NGS could exclude other alterations being significant drivers for tumour progression. However, it was also noted that data do not exist currently to establish the efficacy of such a strategy.</w:t>
      </w:r>
    </w:p>
    <w:p w14:paraId="7026A4E2" w14:textId="24C2E7BC" w:rsidR="00880205" w:rsidRPr="002D1DD7" w:rsidRDefault="00880205" w:rsidP="00880205">
      <w:bookmarkStart w:id="40" w:name="_Hlk25648450"/>
      <w:r w:rsidRPr="002D1DD7">
        <w:t xml:space="preserve">The SAG acknowledged the strong rationale and the available clinical data for several specific tumour types </w:t>
      </w:r>
      <w:r w:rsidR="00AE7239" w:rsidRPr="002D1DD7">
        <w:t>(</w:t>
      </w:r>
      <w:r w:rsidR="006E5E6C" w:rsidRPr="002D1DD7">
        <w:t>IFS</w:t>
      </w:r>
      <w:r w:rsidR="00AE7239" w:rsidRPr="002D1DD7">
        <w:t xml:space="preserve">, salivary gland/MASC and congenital mesoblastic nephroma) </w:t>
      </w:r>
      <w:r w:rsidRPr="002D1DD7">
        <w:t xml:space="preserve">for which NTRK fusions have been established as oncogenic drivers </w:t>
      </w:r>
      <w:r w:rsidR="006E5E6C" w:rsidRPr="002D1DD7">
        <w:t>independent</w:t>
      </w:r>
      <w:r w:rsidRPr="002D1DD7">
        <w:t xml:space="preserve"> of other characteristics. </w:t>
      </w:r>
      <w:r w:rsidR="00AE7239" w:rsidRPr="002D1DD7">
        <w:t>The SAG also noted that larotrectinib has shown important activity in GIST with NTRK after resistance/relapse with imatinib (ORR=5/5) reflecting a likely similar role for NTRK fusions. For these select</w:t>
      </w:r>
      <w:r w:rsidR="00E92B89">
        <w:t>ed</w:t>
      </w:r>
      <w:r w:rsidR="00AE7239" w:rsidRPr="002D1DD7">
        <w:t xml:space="preserve"> conditions, given the strong rationale and the available clinical data, the SAG concluded that efficacy has been established in the absence of available treatments of proven efficacy in terms of convincing clinical efficacy endpoints. </w:t>
      </w:r>
      <w:bookmarkEnd w:id="40"/>
      <w:r w:rsidRPr="002D1DD7">
        <w:t xml:space="preserve">However, for other conditions, the review concluded </w:t>
      </w:r>
      <w:bookmarkStart w:id="41" w:name="_Hlk25153757"/>
      <w:r w:rsidRPr="002D1DD7">
        <w:t>that the role of NTRK fusions</w:t>
      </w:r>
      <w:bookmarkEnd w:id="41"/>
      <w:r w:rsidRPr="002D1DD7">
        <w:t xml:space="preserve"> had not been properly studied and could not be </w:t>
      </w:r>
      <w:r w:rsidR="00EB662A" w:rsidRPr="002D1DD7">
        <w:t>appropriately</w:t>
      </w:r>
      <w:r w:rsidR="00AE7239" w:rsidRPr="002D1DD7">
        <w:t xml:space="preserve"> </w:t>
      </w:r>
      <w:r w:rsidRPr="002D1DD7">
        <w:t>established</w:t>
      </w:r>
      <w:r w:rsidR="00AE7239" w:rsidRPr="002D1DD7">
        <w:t xml:space="preserve"> </w:t>
      </w:r>
      <w:r w:rsidR="006E5E6C" w:rsidRPr="002D1DD7">
        <w:t xml:space="preserve">with existing data </w:t>
      </w:r>
      <w:r w:rsidR="00AE7239" w:rsidRPr="002D1DD7">
        <w:t>given the l</w:t>
      </w:r>
      <w:r w:rsidRPr="002D1DD7">
        <w:t>ack of comprehensive sequencing of tumour tissue prior to treatment initiation</w:t>
      </w:r>
      <w:r w:rsidR="00AE7239" w:rsidRPr="002D1DD7">
        <w:t xml:space="preserve">. </w:t>
      </w:r>
      <w:r w:rsidRPr="002D1DD7">
        <w:t xml:space="preserve">Concerns were also expressed from the SAG regarding the small sample sizes in different tumour types, the </w:t>
      </w:r>
      <w:r w:rsidRPr="002D1DD7">
        <w:lastRenderedPageBreak/>
        <w:t xml:space="preserve">significant heterogeneity observed in terms of </w:t>
      </w:r>
      <w:r w:rsidR="005A5141">
        <w:t>response rates</w:t>
      </w:r>
      <w:r w:rsidRPr="002D1DD7">
        <w:t xml:space="preserve"> and very low ORR observed in different tumour types (ORR=0%</w:t>
      </w:r>
      <w:r w:rsidR="009920EE" w:rsidRPr="002D1DD7">
        <w:t xml:space="preserve"> to </w:t>
      </w:r>
      <w:r w:rsidRPr="002D1DD7">
        <w:t>33%). The low ORR</w:t>
      </w:r>
      <w:r w:rsidR="00AE7239" w:rsidRPr="002D1DD7">
        <w:t>s</w:t>
      </w:r>
      <w:r w:rsidRPr="002D1DD7">
        <w:t xml:space="preserve"> were also noted to be reported </w:t>
      </w:r>
      <w:r w:rsidR="00AE7239" w:rsidRPr="002D1DD7">
        <w:t xml:space="preserve">in </w:t>
      </w:r>
      <w:r w:rsidRPr="002D1DD7">
        <w:t>common tumour types where occurrence of NTRK gene fusion is rare (</w:t>
      </w:r>
      <w:r w:rsidR="00AE7239" w:rsidRPr="002D1DD7">
        <w:t xml:space="preserve">e.g. </w:t>
      </w:r>
      <w:r w:rsidRPr="002D1DD7">
        <w:t xml:space="preserve">lung, colon, </w:t>
      </w:r>
      <w:r w:rsidR="00632975" w:rsidRPr="002D1DD7">
        <w:t>and breast</w:t>
      </w:r>
      <w:r w:rsidRPr="002D1DD7">
        <w:t>).</w:t>
      </w:r>
    </w:p>
    <w:p w14:paraId="15905A54" w14:textId="54157FDB" w:rsidR="00880205" w:rsidRPr="002D1DD7" w:rsidRDefault="00880205" w:rsidP="00880205">
      <w:r w:rsidRPr="002D1DD7">
        <w:t xml:space="preserve">The SAG concluded that neither the available evidence </w:t>
      </w:r>
      <w:r w:rsidR="009920EE" w:rsidRPr="002D1DD7">
        <w:t>n</w:t>
      </w:r>
      <w:r w:rsidRPr="002D1DD7">
        <w:t>or reasonable extrapolations supported the proposed indication to include all solid tumours independently of tumour type. The SAG considered that clinical decisions to use larotrectinib were justified for the rare conditions where existing evidence more clearly supported the role of NTRK fusions as oncogenic drivers. For other conditions, the acceptable safety profile supported use in situations where established alternatives are lacking or, where available alternatives are associated with high morbidity and mortality.</w:t>
      </w:r>
    </w:p>
    <w:p w14:paraId="5DE61577" w14:textId="1715B833" w:rsidR="00880205" w:rsidRPr="002D1DD7" w:rsidRDefault="00880205" w:rsidP="00880205">
      <w:r w:rsidRPr="002D1DD7">
        <w:t>Further to the SAG comments, the CHMP</w:t>
      </w:r>
      <w:r w:rsidR="006E5E6C" w:rsidRPr="002D1DD7">
        <w:t xml:space="preserve"> highlighted</w:t>
      </w:r>
      <w:r w:rsidRPr="002D1DD7">
        <w:t xml:space="preserve"> that a certain degree of heterogeneity in response is unavoidable in the same way as there will be important effect modifiers within any indication. Thus, the critical issue considered by the CHMP was whether the studies were likely to be representative of the treated population once the product is authorised and whether the uncertainties are acceptable given available data and </w:t>
      </w:r>
      <w:bookmarkStart w:id="42" w:name="_Hlk25648269"/>
      <w:r w:rsidRPr="002D1DD7">
        <w:t>the intended use as a last</w:t>
      </w:r>
      <w:r w:rsidR="005D573F">
        <w:t>-</w:t>
      </w:r>
      <w:r w:rsidRPr="002D1DD7">
        <w:t>line treatment in patients without satisfactory treatment options.</w:t>
      </w:r>
      <w:bookmarkEnd w:id="42"/>
    </w:p>
    <w:p w14:paraId="5ED264F9" w14:textId="2A196145" w:rsidR="00880205" w:rsidRPr="002D1DD7" w:rsidRDefault="00880205" w:rsidP="00880205">
      <w:r w:rsidRPr="002D1DD7">
        <w:t>The clinical review concluded that while the efficacy results were outstanding for a late stage disease setting, significant uncertainties remained concerning the robustness and generalisability of these estimates. The review also acknowledged that the results may change in a negative direction as further evidence is generated. However, the magnitude of the current effect estimates was considered of sufficient</w:t>
      </w:r>
      <w:r w:rsidR="00EB662A" w:rsidRPr="002D1DD7">
        <w:t xml:space="preserve"> size</w:t>
      </w:r>
      <w:r w:rsidRPr="002D1DD7">
        <w:t xml:space="preserve"> to support a likely large treatment benefit observed in practice. The review also noted that the interactions between treatment and tumour type required further exploration. </w:t>
      </w:r>
    </w:p>
    <w:p w14:paraId="48789021" w14:textId="339CAFFA" w:rsidR="00880205" w:rsidRPr="002D1DD7" w:rsidRDefault="00AE7239" w:rsidP="00880205">
      <w:r w:rsidRPr="002D1DD7">
        <w:t>T</w:t>
      </w:r>
      <w:r w:rsidR="00880205" w:rsidRPr="002D1DD7">
        <w:t>he available data w</w:t>
      </w:r>
      <w:r w:rsidR="00E92B89">
        <w:t>ere</w:t>
      </w:r>
      <w:r w:rsidR="00880205" w:rsidRPr="002D1DD7">
        <w:t xml:space="preserve"> considered non-comprehensive and a conditional approval was considered appropriate by </w:t>
      </w:r>
      <w:r w:rsidR="00E92B89">
        <w:t xml:space="preserve">the </w:t>
      </w:r>
      <w:r w:rsidR="00880205" w:rsidRPr="002D1DD7">
        <w:t>EMA. The conditional approval was granted based on a positive benefit-risk balance and the requirement that the company provide additional comprehensive data. As part of th</w:t>
      </w:r>
      <w:r w:rsidR="0041582D">
        <w:t>is</w:t>
      </w:r>
      <w:r w:rsidR="00880205" w:rsidRPr="002D1DD7">
        <w:t xml:space="preserve"> requirement, the company is required to submit a prospective cohort of 75 patients as part of study LOXO-TRK-15002 (NAVIGATE), for which at least 1 year of follow-up is available and to perform an overall pooled analysis including the ePAS2/CNS cohort to give increased precision for the estimates of ORR and D</w:t>
      </w:r>
      <w:r w:rsidR="00E92B89">
        <w:t>o</w:t>
      </w:r>
      <w:r w:rsidR="00880205" w:rsidRPr="002D1DD7">
        <w:t>R. In addition, the company</w:t>
      </w:r>
      <w:r w:rsidR="0041582D">
        <w:t xml:space="preserve"> plans</w:t>
      </w:r>
      <w:r w:rsidR="00880205" w:rsidRPr="002D1DD7">
        <w:t xml:space="preserve"> to enrol 200 additional patients in NAVIGATE (LOXO-TRK-15002) and as part of the SCOUT study (LOXO-TRK-15003) within a 36-month period post approval. Eighty patients are planned to be recruited in 4 common tumour types (lung cancer, colorectal cancer, melanoma and non-secretory breast cancer) and 120 in other tumour types. At least 9 (and up to 20) patients will be recruited in each of the 4 common tumour types, permitting a more precise estimate of efficacy in common cancers where NTRK fusions are rare.</w:t>
      </w:r>
    </w:p>
    <w:p w14:paraId="51D0E4DD" w14:textId="30E471A1" w:rsidR="006C74B9" w:rsidRPr="002D1DD7" w:rsidRDefault="006C74B9" w:rsidP="00EC11CD">
      <w:pPr>
        <w:pStyle w:val="Heading2"/>
      </w:pPr>
      <w:bookmarkStart w:id="43" w:name="_Toc33776157"/>
      <w:r w:rsidRPr="002D1DD7">
        <w:lastRenderedPageBreak/>
        <w:t xml:space="preserve">Overview of registered or completed trials for </w:t>
      </w:r>
      <w:r w:rsidR="00555827">
        <w:t>histology-independent</w:t>
      </w:r>
      <w:r w:rsidRPr="002D1DD7">
        <w:t xml:space="preserve"> products in development</w:t>
      </w:r>
      <w:bookmarkEnd w:id="43"/>
    </w:p>
    <w:p w14:paraId="6C9D032C" w14:textId="52FD6EEB" w:rsidR="00C35194" w:rsidRPr="002D1DD7" w:rsidRDefault="00C35194">
      <w:r w:rsidRPr="002D1DD7">
        <w:t xml:space="preserve">Research from NICE suggests that there are approximately 20 technologies currently in development for </w:t>
      </w:r>
      <w:r w:rsidR="00555827">
        <w:t>histology-independent</w:t>
      </w:r>
      <w:r w:rsidRPr="002D1DD7">
        <w:t xml:space="preserve"> indications. We undertook searches of the clinicaltrials.gov website using the list of histology-independent products provided by NICE. Information was extracted for those trials which are more likely to be vehicles for regulatory approval, that is, combined Phase Ib/II, Phase II, and Phase III </w:t>
      </w:r>
      <w:r w:rsidR="00E92B89">
        <w:t>t</w:t>
      </w:r>
      <w:r w:rsidRPr="002D1DD7">
        <w:t xml:space="preserve">rials. The aim of this review was to clarify whether the level of evidence available during the FDA/EMA appraisals of the initial </w:t>
      </w:r>
      <w:r w:rsidR="00555827">
        <w:t>histology-independent</w:t>
      </w:r>
      <w:r w:rsidRPr="002D1DD7">
        <w:t xml:space="preserve"> products is likely to be representative of that of future products in other indications.</w:t>
      </w:r>
    </w:p>
    <w:p w14:paraId="767C4080" w14:textId="521AA59C" w:rsidR="00C952B3" w:rsidRPr="002D1DD7" w:rsidRDefault="00EB662A">
      <w:r w:rsidRPr="002D1DD7">
        <w:t xml:space="preserve">Appendix </w:t>
      </w:r>
      <w:r w:rsidR="0096584E" w:rsidRPr="002D1DD7">
        <w:t>2</w:t>
      </w:r>
      <w:r w:rsidRPr="002D1DD7">
        <w:t xml:space="preserve"> provides a summary of registered or completed </w:t>
      </w:r>
      <w:r w:rsidR="00C952B3" w:rsidRPr="002D1DD7">
        <w:t xml:space="preserve">Phase Ib/II, Phase II, and Phase III trials </w:t>
      </w:r>
      <w:r w:rsidRPr="002D1DD7">
        <w:t>identified using searches of the clinical trials.gov website</w:t>
      </w:r>
      <w:r w:rsidR="00C952B3" w:rsidRPr="002D1DD7">
        <w:t xml:space="preserve">. Of the 20 products </w:t>
      </w:r>
      <w:r w:rsidR="0096584E" w:rsidRPr="002D1DD7">
        <w:t>considered</w:t>
      </w:r>
      <w:r w:rsidR="00C952B3" w:rsidRPr="002D1DD7">
        <w:t>,</w:t>
      </w:r>
      <w:r w:rsidR="0096584E" w:rsidRPr="002D1DD7">
        <w:t xml:space="preserve"> </w:t>
      </w:r>
      <w:r w:rsidR="00C952B3" w:rsidRPr="002D1DD7">
        <w:t xml:space="preserve">3 specific products (pembrolizumab, larotrectinib and entrectinib) </w:t>
      </w:r>
      <w:r w:rsidR="0096584E" w:rsidRPr="002D1DD7">
        <w:t xml:space="preserve">were excluded </w:t>
      </w:r>
      <w:r w:rsidR="00C952B3" w:rsidRPr="002D1DD7">
        <w:t xml:space="preserve">as more detailed evaluations of the regulatory submissions have been summarised </w:t>
      </w:r>
      <w:r w:rsidR="00E92B89">
        <w:t>in previous sections of this chapter</w:t>
      </w:r>
      <w:r w:rsidR="00C952B3" w:rsidRPr="002D1DD7">
        <w:t xml:space="preserve">. Of the remaining 17 products, only 13 had registered trials which were considered potentially suitable for regulatory purposes. A total of 36 relevant trials were identified for these 13 products. 13 of the trials were for one specific drug (olaparib). The products identified included drugs already approved for specific indications (e.g. olaparib) seeking to expand their existing marketing authorisation and novel products which may be seeking an initial approval in a </w:t>
      </w:r>
      <w:r w:rsidR="00555827">
        <w:t>histology-independent</w:t>
      </w:r>
      <w:r w:rsidR="00C952B3" w:rsidRPr="002D1DD7">
        <w:t xml:space="preserve"> context (e.g. </w:t>
      </w:r>
      <w:r w:rsidR="008E0C09" w:rsidRPr="002D1DD7">
        <w:t xml:space="preserve">LOXO-295). </w:t>
      </w:r>
    </w:p>
    <w:p w14:paraId="15C9BB55" w14:textId="20D51209" w:rsidR="006C74B9" w:rsidRPr="002D1DD7" w:rsidRDefault="008E0C09" w:rsidP="005D573F">
      <w:r w:rsidRPr="002D1DD7">
        <w:t>Over 90% (n=33) of the 36 registered trials were single</w:t>
      </w:r>
      <w:r w:rsidR="005D573F">
        <w:t>-</w:t>
      </w:r>
      <w:r w:rsidRPr="002D1DD7">
        <w:t xml:space="preserve">arm studies. ORR was the most common primary endpoint (n=27), although PFS was reported as a primary endpoint in </w:t>
      </w:r>
      <w:r w:rsidR="000E7B35">
        <w:t>four</w:t>
      </w:r>
      <w:r w:rsidRPr="002D1DD7">
        <w:t xml:space="preserve"> studies. </w:t>
      </w:r>
      <w:r w:rsidR="009015BB">
        <w:t>Do</w:t>
      </w:r>
      <w:r w:rsidR="005D573F">
        <w:t>R</w:t>
      </w:r>
      <w:r w:rsidRPr="002D1DD7">
        <w:t xml:space="preserve"> (n=18), PFS (n=28) and OS (n=24) were commonly included as secondary endpoints.  </w:t>
      </w:r>
    </w:p>
    <w:p w14:paraId="708544D5" w14:textId="337D4219" w:rsidR="008E0C09" w:rsidRPr="002D1DD7" w:rsidRDefault="008E0C09" w:rsidP="00880205">
      <w:r w:rsidRPr="002D1DD7">
        <w:t xml:space="preserve">Of the 36 trials, only </w:t>
      </w:r>
      <w:r w:rsidR="008444D7" w:rsidRPr="002D1DD7">
        <w:t xml:space="preserve">3 were formally referred to as basket trials. 19 of the remaining 33 studies (58%) included separate treatment or population cohorts, suggesting that the analyses may explore differences between the separate cohorts. </w:t>
      </w:r>
      <w:r w:rsidR="000E7B35">
        <w:t>T</w:t>
      </w:r>
      <w:r w:rsidR="008444D7" w:rsidRPr="002D1DD7">
        <w:t xml:space="preserve">he remaining studies reported no details on specific cohorts or subgroups that might be considered. </w:t>
      </w:r>
    </w:p>
    <w:p w14:paraId="543E1C80" w14:textId="478902E5" w:rsidR="00880205" w:rsidRPr="002D1DD7" w:rsidRDefault="00880205" w:rsidP="00EC11CD">
      <w:pPr>
        <w:pStyle w:val="Heading2"/>
      </w:pPr>
      <w:bookmarkStart w:id="44" w:name="_Toc33776158"/>
      <w:r w:rsidRPr="002D1DD7">
        <w:t>Summary</w:t>
      </w:r>
      <w:r w:rsidR="00F115CF" w:rsidRPr="002D1DD7">
        <w:t xml:space="preserve"> and implications</w:t>
      </w:r>
      <w:bookmarkEnd w:id="44"/>
    </w:p>
    <w:p w14:paraId="6C159186" w14:textId="6D6000D0" w:rsidR="0055292D" w:rsidRPr="002D1DD7" w:rsidRDefault="008444D7">
      <w:r w:rsidRPr="002D1DD7">
        <w:t xml:space="preserve">The study design and evidence considered by </w:t>
      </w:r>
      <w:r w:rsidR="006D5C38">
        <w:t xml:space="preserve">the </w:t>
      </w:r>
      <w:r w:rsidRPr="002D1DD7">
        <w:t xml:space="preserve">FDA and EMA for the initial approvals of </w:t>
      </w:r>
      <w:r w:rsidR="00555827">
        <w:t>histology-independent</w:t>
      </w:r>
      <w:r w:rsidRPr="002D1DD7">
        <w:t xml:space="preserve"> products appear consistent with the type of evidence that may</w:t>
      </w:r>
      <w:r w:rsidR="006D5C38">
        <w:t xml:space="preserve"> </w:t>
      </w:r>
      <w:r w:rsidRPr="002D1DD7">
        <w:t>be expected for future approvals (e.g. single</w:t>
      </w:r>
      <w:r w:rsidR="006D5C38">
        <w:t>-</w:t>
      </w:r>
      <w:r w:rsidRPr="002D1DD7">
        <w:t xml:space="preserve">arm </w:t>
      </w:r>
      <w:r w:rsidR="00E92B89">
        <w:t xml:space="preserve">studies </w:t>
      </w:r>
      <w:r w:rsidRPr="002D1DD7">
        <w:t xml:space="preserve">with ORR as the primary endpoint). Although the FDA has </w:t>
      </w:r>
      <w:r w:rsidR="0055292D" w:rsidRPr="002D1DD7">
        <w:t xml:space="preserve">now </w:t>
      </w:r>
      <w:r w:rsidRPr="002D1DD7">
        <w:t>issue</w:t>
      </w:r>
      <w:r w:rsidR="0055292D" w:rsidRPr="002D1DD7">
        <w:t>d</w:t>
      </w:r>
      <w:r w:rsidRPr="002D1DD7">
        <w:t xml:space="preserve"> specific guidance concerning the conduct and reporting of basket trials to evaluate a single investigational drug or drug combination in different populations</w:t>
      </w:r>
      <w:r w:rsidR="0055292D" w:rsidRPr="002D1DD7">
        <w:t xml:space="preserve">, the design of many ongoing or recently completed studies clearly pre-date this guidance. Only a small number of the trials were formally referred to as </w:t>
      </w:r>
      <w:r w:rsidR="006D5C38">
        <w:t xml:space="preserve">a </w:t>
      </w:r>
      <w:r w:rsidR="0055292D" w:rsidRPr="002D1DD7">
        <w:t xml:space="preserve">basket trial and there was a lack of clarity in the design of many studies </w:t>
      </w:r>
      <w:r w:rsidR="0055292D" w:rsidRPr="002D1DD7">
        <w:lastRenderedPageBreak/>
        <w:t>concerning whether separate cohorts would be formally considered or not. As a result, it appears likely that the current case</w:t>
      </w:r>
      <w:r w:rsidR="006D5C38">
        <w:t>-</w:t>
      </w:r>
      <w:r w:rsidR="0055292D" w:rsidRPr="002D1DD7">
        <w:t>by</w:t>
      </w:r>
      <w:r w:rsidR="006D5C38">
        <w:t>-</w:t>
      </w:r>
      <w:r w:rsidR="0055292D" w:rsidRPr="002D1DD7">
        <w:t xml:space="preserve">case approach employed by the regulators in determining the appropriateness and quality of the underpinning evidence to support a </w:t>
      </w:r>
      <w:r w:rsidR="00555827">
        <w:t>histology-independent</w:t>
      </w:r>
      <w:r w:rsidR="0055292D" w:rsidRPr="002D1DD7">
        <w:t xml:space="preserve"> approval will continue for the foreseeable future.</w:t>
      </w:r>
    </w:p>
    <w:p w14:paraId="61E95928" w14:textId="2AB54FA3" w:rsidR="00EA24CD" w:rsidRPr="002D1DD7" w:rsidRDefault="0055292D" w:rsidP="006D5C38">
      <w:r w:rsidRPr="002D1DD7">
        <w:t>The central question considered by both the FDA and EMA concern</w:t>
      </w:r>
      <w:r w:rsidR="006E5E6C" w:rsidRPr="002D1DD7">
        <w:t xml:space="preserve">s </w:t>
      </w:r>
      <w:r w:rsidRPr="002D1DD7">
        <w:t xml:space="preserve">the biologic rationale and strength of existing </w:t>
      </w:r>
      <w:r w:rsidR="00EA24CD" w:rsidRPr="002D1DD7">
        <w:t xml:space="preserve">clinical evidence to support the assumption that </w:t>
      </w:r>
      <w:r w:rsidR="006E5E6C" w:rsidRPr="002D1DD7">
        <w:t>a</w:t>
      </w:r>
      <w:r w:rsidR="00EA24CD" w:rsidRPr="002D1DD7">
        <w:t xml:space="preserve"> biomarker</w:t>
      </w:r>
      <w:r w:rsidR="006D5C38">
        <w:t>-</w:t>
      </w:r>
      <w:r w:rsidR="00EA24CD" w:rsidRPr="002D1DD7">
        <w:t xml:space="preserve">defined population (e.g. MSI-H/dMMR </w:t>
      </w:r>
      <w:r w:rsidR="006D5C38">
        <w:t>or</w:t>
      </w:r>
      <w:r w:rsidR="006D5C38" w:rsidRPr="002D1DD7">
        <w:t xml:space="preserve"> </w:t>
      </w:r>
      <w:r w:rsidR="00EA24CD" w:rsidRPr="002D1DD7">
        <w:t xml:space="preserve">NTRK) </w:t>
      </w:r>
      <w:r w:rsidR="006E5E6C" w:rsidRPr="002D1DD7">
        <w:t>is</w:t>
      </w:r>
      <w:r w:rsidR="00EA24CD" w:rsidRPr="002D1DD7">
        <w:t xml:space="preserve"> sufficient to establish clinically relevant activity </w:t>
      </w:r>
      <w:r w:rsidRPr="002D1DD7">
        <w:t xml:space="preserve">independent of tumour histology. </w:t>
      </w:r>
      <w:r w:rsidR="00F52E1B" w:rsidRPr="002D1DD7">
        <w:t xml:space="preserve">Neither the FDA </w:t>
      </w:r>
      <w:r w:rsidR="00383FA3" w:rsidRPr="002D1DD7">
        <w:t>n</w:t>
      </w:r>
      <w:r w:rsidR="00F52E1B" w:rsidRPr="002D1DD7">
        <w:t>or</w:t>
      </w:r>
      <w:r w:rsidR="00BE4CFE">
        <w:t xml:space="preserve"> the</w:t>
      </w:r>
      <w:r w:rsidR="00F52E1B" w:rsidRPr="002D1DD7">
        <w:t xml:space="preserve"> EMA considered that the current evidence base for any of the </w:t>
      </w:r>
      <w:r w:rsidR="00F0594B">
        <w:t>three</w:t>
      </w:r>
      <w:r w:rsidR="00F0594B" w:rsidRPr="002D1DD7">
        <w:t xml:space="preserve"> </w:t>
      </w:r>
      <w:r w:rsidR="00F52E1B" w:rsidRPr="002D1DD7">
        <w:t xml:space="preserve">products was </w:t>
      </w:r>
      <w:r w:rsidR="000E7B35">
        <w:t xml:space="preserve">sufficiently </w:t>
      </w:r>
      <w:r w:rsidR="00B17C5F">
        <w:t>robust</w:t>
      </w:r>
      <w:r w:rsidR="00F52E1B" w:rsidRPr="002D1DD7">
        <w:t xml:space="preserve"> </w:t>
      </w:r>
      <w:r w:rsidR="000E7B35">
        <w:t xml:space="preserve">to </w:t>
      </w:r>
      <w:r w:rsidR="00F52E1B" w:rsidRPr="002D1DD7">
        <w:t xml:space="preserve">establish this. Indeed, both agencies raised important uncertainties regarding the generalisability of the results across all individual histology sites. </w:t>
      </w:r>
      <w:r w:rsidR="009C543A" w:rsidRPr="002D1DD7">
        <w:t xml:space="preserve">However, the magnitude of the effect </w:t>
      </w:r>
      <w:r w:rsidR="00394BAD" w:rsidRPr="002D1DD7">
        <w:t xml:space="preserve">in the overall population </w:t>
      </w:r>
      <w:r w:rsidR="009C543A" w:rsidRPr="002D1DD7">
        <w:t xml:space="preserve">was considered clinically important and the risk </w:t>
      </w:r>
      <w:r w:rsidR="00B17C5F">
        <w:t xml:space="preserve">associated with approving the </w:t>
      </w:r>
      <w:r w:rsidR="000E7B35">
        <w:t>treatment</w:t>
      </w:r>
      <w:r w:rsidR="009C543A" w:rsidRPr="002D1DD7">
        <w:t xml:space="preserve"> in specific tumours was considered to be low due to the strong biologic rationale and the intended approval as a last</w:t>
      </w:r>
      <w:r w:rsidR="006D5C38">
        <w:t>-</w:t>
      </w:r>
      <w:r w:rsidR="009C543A" w:rsidRPr="002D1DD7">
        <w:t>line treatment in patients without satisfactory treatment options.</w:t>
      </w:r>
    </w:p>
    <w:p w14:paraId="38EB137D" w14:textId="570D55D0" w:rsidR="00471157" w:rsidRPr="002D1DD7" w:rsidRDefault="009C543A" w:rsidP="00880205">
      <w:r w:rsidRPr="002D1DD7">
        <w:t xml:space="preserve">It is evident from the FDA and EMA reviews for larotrectinib that the evidence base </w:t>
      </w:r>
      <w:r w:rsidR="00471157" w:rsidRPr="002D1DD7">
        <w:t>is</w:t>
      </w:r>
      <w:r w:rsidRPr="002D1DD7">
        <w:t xml:space="preserve"> rapidly developing over time, such that the later EMA review included an additional </w:t>
      </w:r>
      <w:r w:rsidR="0086402E">
        <w:t>3</w:t>
      </w:r>
      <w:r w:rsidRPr="002D1DD7">
        <w:t>8 patients (n=</w:t>
      </w:r>
      <w:r w:rsidR="000C3FB3">
        <w:t>9</w:t>
      </w:r>
      <w:r w:rsidRPr="002D1DD7">
        <w:t xml:space="preserve">3) compared to the FDA review (n=55). It is also notable that the advice of the SAG to </w:t>
      </w:r>
      <w:r w:rsidR="006D5C38">
        <w:t xml:space="preserve">the </w:t>
      </w:r>
      <w:r w:rsidRPr="002D1DD7">
        <w:t>EMA</w:t>
      </w:r>
      <w:r w:rsidR="00471157" w:rsidRPr="002D1DD7">
        <w:t xml:space="preserve">, based on this larger dataset, </w:t>
      </w:r>
      <w:r w:rsidRPr="002D1DD7">
        <w:t xml:space="preserve">appeared to differentiate the strength of the </w:t>
      </w:r>
      <w:r w:rsidR="00471157" w:rsidRPr="002D1DD7">
        <w:t xml:space="preserve">biological </w:t>
      </w:r>
      <w:r w:rsidRPr="002D1DD7">
        <w:t xml:space="preserve">rationale and </w:t>
      </w:r>
      <w:r w:rsidR="00471157" w:rsidRPr="002D1DD7">
        <w:t xml:space="preserve">the </w:t>
      </w:r>
      <w:r w:rsidRPr="002D1DD7">
        <w:t>available clinical evidence for several specific tumour types</w:t>
      </w:r>
      <w:r w:rsidR="00471157" w:rsidRPr="002D1DD7">
        <w:t>. For a few specific tumour types (</w:t>
      </w:r>
      <w:r w:rsidRPr="002D1DD7">
        <w:t>IFS, salivary gland/MASC and congenital mesoblastic nephroma)</w:t>
      </w:r>
      <w:r w:rsidR="002D0ECB">
        <w:t>,</w:t>
      </w:r>
      <w:r w:rsidRPr="002D1DD7">
        <w:t xml:space="preserve"> </w:t>
      </w:r>
      <w:r w:rsidR="00471157" w:rsidRPr="002D1DD7">
        <w:t xml:space="preserve">the SAG </w:t>
      </w:r>
      <w:r w:rsidRPr="002D1DD7">
        <w:t xml:space="preserve">concluded </w:t>
      </w:r>
      <w:r w:rsidR="00471157" w:rsidRPr="002D1DD7">
        <w:t xml:space="preserve">that </w:t>
      </w:r>
      <w:r w:rsidRPr="002D1DD7">
        <w:t>NTRK fusions ha</w:t>
      </w:r>
      <w:r w:rsidR="00471157" w:rsidRPr="002D1DD7">
        <w:t xml:space="preserve">d been </w:t>
      </w:r>
      <w:r w:rsidRPr="002D1DD7">
        <w:t>established as oncogenic drivers</w:t>
      </w:r>
      <w:r w:rsidR="00471157" w:rsidRPr="002D1DD7">
        <w:t>,</w:t>
      </w:r>
      <w:r w:rsidRPr="002D1DD7">
        <w:t xml:space="preserve"> independent of other characteristics. The SAG also </w:t>
      </w:r>
      <w:r w:rsidR="00471157" w:rsidRPr="002D1DD7">
        <w:t xml:space="preserve">concluded that evidence for </w:t>
      </w:r>
      <w:r w:rsidRPr="002D1DD7">
        <w:t>GIST w</w:t>
      </w:r>
      <w:r w:rsidR="00471157" w:rsidRPr="002D1DD7">
        <w:t xml:space="preserve">as sufficiently strong to support a similar role of NTRK fusions as an oncogenic driver. For these specific tumour types, </w:t>
      </w:r>
      <w:r w:rsidRPr="002D1DD7">
        <w:t>the SAG concluded that efficacy has been established in the absence of available treatments of proven efficacy in terms of convinc</w:t>
      </w:r>
      <w:r w:rsidR="00394BAD" w:rsidRPr="002D1DD7">
        <w:t>ing clinical efficacy endpoints and that clinical decisions to use larotrectinib were justified. For other conditions, the acceptable safety profile supported use in situations where established alternatives are lacking or, where available alternatives are associated with high morbidity and mortality.</w:t>
      </w:r>
    </w:p>
    <w:p w14:paraId="2484BF78" w14:textId="51650434" w:rsidR="00394BAD" w:rsidRPr="002D1DD7" w:rsidRDefault="00471157" w:rsidP="00880205">
      <w:r w:rsidRPr="002D1DD7">
        <w:t xml:space="preserve">Both the FDA and EMA </w:t>
      </w:r>
      <w:r w:rsidR="000C27EE" w:rsidRPr="002D1DD7">
        <w:t xml:space="preserve">reviews ultimately concluded that the evidence for these existing products was not sufficient to support a routine approval for a </w:t>
      </w:r>
      <w:r w:rsidR="00555827">
        <w:t>histology-independent</w:t>
      </w:r>
      <w:r w:rsidR="000C27EE" w:rsidRPr="002D1DD7">
        <w:t xml:space="preserve"> label. </w:t>
      </w:r>
      <w:r w:rsidR="00394BAD" w:rsidRPr="002D1DD7">
        <w:t xml:space="preserve">The further evidential requirements focus on </w:t>
      </w:r>
      <w:r w:rsidR="00F0594B">
        <w:t>three</w:t>
      </w:r>
      <w:r w:rsidR="00F0594B" w:rsidRPr="002D1DD7">
        <w:t xml:space="preserve"> </w:t>
      </w:r>
      <w:r w:rsidR="00394BAD" w:rsidRPr="002D1DD7">
        <w:t xml:space="preserve">specific aspects: (i) increasing the precision for the estimates of ORR and </w:t>
      </w:r>
      <w:r w:rsidR="00F0594B" w:rsidRPr="002D1DD7">
        <w:t>D</w:t>
      </w:r>
      <w:r w:rsidR="00F0594B">
        <w:t>o</w:t>
      </w:r>
      <w:r w:rsidR="00F0594B" w:rsidRPr="002D1DD7">
        <w:t xml:space="preserve">R </w:t>
      </w:r>
      <w:r w:rsidR="00394BAD" w:rsidRPr="002D1DD7">
        <w:t xml:space="preserve">and </w:t>
      </w:r>
      <w:r w:rsidR="000E7B35">
        <w:t xml:space="preserve">extending </w:t>
      </w:r>
      <w:r w:rsidR="00394BAD" w:rsidRPr="002D1DD7">
        <w:t xml:space="preserve">the length of follow-up in the overall population; (ii) generation of new evidence to increase the precision of efficacy in more common cancers where NTRK fusions are rare (e.g. lung, colorectal, melanoma and non-secretory) and where current evidence is sparse; and (iii) the development and validation of a companion diagnostic test. As a result, important new evidence will emerge over time to address some of the key uncertainties identified by </w:t>
      </w:r>
      <w:r w:rsidR="006D5C38">
        <w:t xml:space="preserve">the </w:t>
      </w:r>
      <w:r w:rsidR="00394BAD" w:rsidRPr="002D1DD7">
        <w:t>EMA and FDA.</w:t>
      </w:r>
    </w:p>
    <w:p w14:paraId="4B114206" w14:textId="2B1F967D" w:rsidR="00875D4D" w:rsidRDefault="00394BAD" w:rsidP="00394BAD">
      <w:r w:rsidRPr="002D1DD7">
        <w:lastRenderedPageBreak/>
        <w:t xml:space="preserve">The reviews also highlighted two important challenges that need further consideration. Firstly, the design and conduct of trials to support </w:t>
      </w:r>
      <w:r w:rsidR="00555827">
        <w:t>histology-independent</w:t>
      </w:r>
      <w:r w:rsidRPr="002D1DD7">
        <w:t xml:space="preserve"> products is likely to differ from more conventional products. The use of novel and efficient basket trial designs using master protocols will present additional challenges to NICE in terms of HTA assessment. Hence, the rationale and statistical basis for the design of these studies warrants further consideration. Secondly, the initial evidence supporting the basket trials is likely to be focused on surrogate endpoints such as ORR and </w:t>
      </w:r>
      <w:r w:rsidR="009015BB">
        <w:t>Do</w:t>
      </w:r>
      <w:r w:rsidRPr="002D1DD7">
        <w:t>R. Our reviews show that while data on more policy</w:t>
      </w:r>
      <w:r w:rsidR="00D3143B">
        <w:t>-</w:t>
      </w:r>
      <w:r w:rsidRPr="002D1DD7">
        <w:t xml:space="preserve">relevant outcomes such as PFS and OS are being collected, there are likely to be a number of potential challenges </w:t>
      </w:r>
      <w:r w:rsidR="00625199">
        <w:t xml:space="preserve">regarding their interpretation </w:t>
      </w:r>
      <w:r w:rsidRPr="002D1DD7">
        <w:t xml:space="preserve">in </w:t>
      </w:r>
      <w:r w:rsidR="00625199">
        <w:t>the absence of a comparator arm</w:t>
      </w:r>
      <w:r w:rsidRPr="002D1DD7">
        <w:t xml:space="preserve">, possible bias due to confounding (e.g. receipt of subsequent therapies) and the likely immaturity of these endpoints at the time of initial marketing authorisation. </w:t>
      </w:r>
    </w:p>
    <w:p w14:paraId="78F54BBD" w14:textId="1F88E9B7" w:rsidR="00394BAD" w:rsidRPr="002D1DD7" w:rsidRDefault="00394BAD" w:rsidP="00394BAD">
      <w:r w:rsidRPr="002D1DD7">
        <w:t xml:space="preserve">It is notable that neither the FDA </w:t>
      </w:r>
      <w:r w:rsidR="0080192D" w:rsidRPr="002D1DD7">
        <w:t>n</w:t>
      </w:r>
      <w:r w:rsidRPr="002D1DD7">
        <w:t xml:space="preserve">or </w:t>
      </w:r>
      <w:r w:rsidR="00D3143B">
        <w:t xml:space="preserve">the </w:t>
      </w:r>
      <w:r w:rsidRPr="002D1DD7">
        <w:t>EMA reviews considered that the evidence on PFS or OS was sufficiently robust to draw any meaningful conclusions in relation to these endpoints. Instead, both agencies relied on</w:t>
      </w:r>
      <w:r w:rsidR="009015BB">
        <w:t xml:space="preserve"> the magnitude of the ORR and Do</w:t>
      </w:r>
      <w:r w:rsidRPr="002D1DD7">
        <w:t>R as providing evidence to support a potentially meaningful difference in more policy</w:t>
      </w:r>
      <w:r w:rsidR="00D3143B">
        <w:t>-</w:t>
      </w:r>
      <w:r w:rsidRPr="002D1DD7">
        <w:t>relevant intermediate (e.g. PFS) and final clinical outcomes (e.g. OS) drawing on existing surrogate relationships. Hence, the surrogate relationships between response</w:t>
      </w:r>
      <w:r w:rsidR="00081096" w:rsidRPr="002D1DD7">
        <w:t>-</w:t>
      </w:r>
      <w:r w:rsidR="009015BB">
        <w:t>based outcomes (ORR and Do</w:t>
      </w:r>
      <w:r w:rsidRPr="002D1DD7">
        <w:t>R) are likely to be central to HTA and economic modelling in helping to inform and/or validate longer term extrapolations of PFS and OS due to the likely immaturity of these endpoints.</w:t>
      </w:r>
    </w:p>
    <w:p w14:paraId="050A982C" w14:textId="13FDE09B" w:rsidR="002E149A" w:rsidRDefault="00394BAD" w:rsidP="00394BAD">
      <w:r w:rsidRPr="002D1DD7">
        <w:t xml:space="preserve">The following </w:t>
      </w:r>
      <w:r w:rsidR="0041582D">
        <w:t>chapters</w:t>
      </w:r>
      <w:r w:rsidR="0041582D" w:rsidRPr="002D1DD7">
        <w:t xml:space="preserve"> </w:t>
      </w:r>
      <w:r w:rsidRPr="002D1DD7">
        <w:t xml:space="preserve">attempt to address these challenges by considering in more detail the nature and design of the trials </w:t>
      </w:r>
      <w:r w:rsidR="0080192D" w:rsidRPr="002D1DD7">
        <w:t>(</w:t>
      </w:r>
      <w:r w:rsidR="0041582D">
        <w:t xml:space="preserve">Chapter </w:t>
      </w:r>
      <w:r w:rsidR="0080192D" w:rsidRPr="002D1DD7">
        <w:fldChar w:fldCharType="begin"/>
      </w:r>
      <w:r w:rsidR="0080192D" w:rsidRPr="002D1DD7">
        <w:instrText xml:space="preserve"> REF _Ref27389311 \w \h </w:instrText>
      </w:r>
      <w:r w:rsidR="0080192D" w:rsidRPr="002D1DD7">
        <w:fldChar w:fldCharType="separate"/>
      </w:r>
      <w:r w:rsidR="00C663A2">
        <w:t>3</w:t>
      </w:r>
      <w:r w:rsidR="0080192D" w:rsidRPr="002D1DD7">
        <w:fldChar w:fldCharType="end"/>
      </w:r>
      <w:r w:rsidR="0080192D" w:rsidRPr="002D1DD7">
        <w:t xml:space="preserve">) </w:t>
      </w:r>
      <w:r w:rsidRPr="002D1DD7">
        <w:t>and existing evidence evaluating the use of response</w:t>
      </w:r>
      <w:r w:rsidR="00081096" w:rsidRPr="002D1DD7">
        <w:t>-</w:t>
      </w:r>
      <w:r w:rsidRPr="002D1DD7">
        <w:t>based outcomes as surrogate endpoints for PFS and</w:t>
      </w:r>
      <w:r w:rsidR="00081096" w:rsidRPr="002D1DD7">
        <w:t xml:space="preserve"> </w:t>
      </w:r>
      <w:r w:rsidRPr="002D1DD7">
        <w:t>OS</w:t>
      </w:r>
      <w:r w:rsidR="0080192D" w:rsidRPr="002D1DD7">
        <w:t xml:space="preserve"> (</w:t>
      </w:r>
      <w:r w:rsidR="0041582D">
        <w:t xml:space="preserve">Chapter </w:t>
      </w:r>
      <w:r w:rsidR="0080192D" w:rsidRPr="002D1DD7">
        <w:fldChar w:fldCharType="begin"/>
      </w:r>
      <w:r w:rsidR="0080192D" w:rsidRPr="002D1DD7">
        <w:instrText xml:space="preserve"> REF _Ref27555366 \w \h </w:instrText>
      </w:r>
      <w:r w:rsidR="0080192D" w:rsidRPr="002D1DD7">
        <w:fldChar w:fldCharType="separate"/>
      </w:r>
      <w:r w:rsidR="00C663A2">
        <w:t>4</w:t>
      </w:r>
      <w:r w:rsidR="0080192D" w:rsidRPr="002D1DD7">
        <w:fldChar w:fldCharType="end"/>
      </w:r>
      <w:r w:rsidR="0080192D" w:rsidRPr="002D1DD7">
        <w:t>).</w:t>
      </w:r>
    </w:p>
    <w:p w14:paraId="6E67F9E7" w14:textId="3A5D34FE" w:rsidR="00880205" w:rsidRPr="002D1DD7" w:rsidRDefault="00C35194" w:rsidP="00394BAD">
      <w:r w:rsidRPr="002D1DD7">
        <w:br w:type="page"/>
      </w:r>
    </w:p>
    <w:p w14:paraId="6A6032C5" w14:textId="2B5F0F37" w:rsidR="008B56EC" w:rsidRPr="002D1DD7" w:rsidRDefault="008B56EC" w:rsidP="002E149A">
      <w:pPr>
        <w:pStyle w:val="Heading1"/>
      </w:pPr>
      <w:bookmarkStart w:id="45" w:name="_Ref27389311"/>
      <w:bookmarkStart w:id="46" w:name="_Toc33776159"/>
      <w:r w:rsidRPr="002D1DD7">
        <w:lastRenderedPageBreak/>
        <w:t>A</w:t>
      </w:r>
      <w:r w:rsidR="00931F6A" w:rsidRPr="002D1DD7">
        <w:t>n over</w:t>
      </w:r>
      <w:r w:rsidRPr="002D1DD7">
        <w:t xml:space="preserve">view of key statistical literature addressing the design and analysis of </w:t>
      </w:r>
      <w:r w:rsidR="00555827">
        <w:t>histology-independent</w:t>
      </w:r>
      <w:r w:rsidRPr="002D1DD7">
        <w:t xml:space="preserve"> trials</w:t>
      </w:r>
      <w:bookmarkEnd w:id="45"/>
      <w:bookmarkEnd w:id="46"/>
    </w:p>
    <w:p w14:paraId="1DA4DE37" w14:textId="54DFD5E6" w:rsidR="004B318E" w:rsidRDefault="004B318E" w:rsidP="00E94564">
      <w:r>
        <w:t>The literature on adaptive designs and complex innovative trial designs was reviewed, focussing on trial design and analysis methods proposed for oncology studies and in particular ‘master protocol’ designs proposed to asses</w:t>
      </w:r>
      <w:r w:rsidR="00F0594B">
        <w:t>s</w:t>
      </w:r>
      <w:r>
        <w:t xml:space="preserve"> histology-independent drugs.</w:t>
      </w:r>
    </w:p>
    <w:p w14:paraId="04049D87" w14:textId="42E28433" w:rsidR="004B318E" w:rsidRDefault="004B318E" w:rsidP="00EC11CD">
      <w:pPr>
        <w:pStyle w:val="Heading2"/>
      </w:pPr>
      <w:bookmarkStart w:id="47" w:name="_Toc33776160"/>
      <w:r>
        <w:t>Adaptive phase II studies</w:t>
      </w:r>
      <w:bookmarkEnd w:id="47"/>
    </w:p>
    <w:p w14:paraId="50D7D2F6" w14:textId="03DEA48E" w:rsidR="00B80271" w:rsidRPr="002D1DD7" w:rsidRDefault="00B80271" w:rsidP="00E94564">
      <w:r w:rsidRPr="002D1DD7">
        <w:t xml:space="preserve">The first step in evaluating a novel treatment is to conduct a </w:t>
      </w:r>
      <w:r w:rsidR="00A35F58">
        <w:t>P</w:t>
      </w:r>
      <w:r w:rsidRPr="002D1DD7">
        <w:t>hase II study to determine whether the drug has a sufficient level of disease activity to warrant further investigation. In order to minimise exposure of patients to ineffective drugs, adaptive two-stage designs have been proposed where the second stage of the study is not activated if the first stage shows that the treatment is not effective. The first such design was proposed by Gehan</w:t>
      </w:r>
      <w:r w:rsidR="006F7FD7">
        <w:fldChar w:fldCharType="begin"/>
      </w:r>
      <w:r w:rsidR="000E66DE">
        <w:instrText xml:space="preserve"> ADDIN EN.CITE &lt;EndNote&gt;&lt;Cite&gt;&lt;Author&gt;Gehan&lt;/Author&gt;&lt;Year&gt;1961&lt;/Year&gt;&lt;RecNum&gt;3411&lt;/RecNum&gt;&lt;DisplayText&gt;&lt;style face="superscript"&gt;16&lt;/style&gt;&lt;/DisplayText&gt;&lt;record&gt;&lt;rec-number&gt;3411&lt;/rec-number&gt;&lt;foreign-keys&gt;&lt;key app="EN" db-id="dwaevxvazfs2f3ewvzmxrd0k0wasw55p2z2w" timestamp="1569599389"&gt;3411&lt;/key&gt;&lt;/foreign-keys&gt;&lt;ref-type name="Journal Article"&gt;17&lt;/ref-type&gt;&lt;contributors&gt;&lt;authors&gt;&lt;author&gt;Gehan, Edmund A.&lt;/author&gt;&lt;/authors&gt;&lt;/contributors&gt;&lt;titles&gt;&lt;title&gt;The determination of the number of patients required in a preliminary and a follow-up trial of a new chemotherapeutic agent&lt;/title&gt;&lt;secondary-title&gt;Journal of Chronic Diseases&lt;/secondary-title&gt;&lt;/titles&gt;&lt;periodical&gt;&lt;full-title&gt;Journal of Chronic Diseases&lt;/full-title&gt;&lt;abbr-1&gt;J Chronic Dis&lt;/abbr-1&gt;&lt;/periodical&gt;&lt;pages&gt;346-353&lt;/pages&gt;&lt;volume&gt;13&lt;/volume&gt;&lt;number&gt;4&lt;/number&gt;&lt;dates&gt;&lt;year&gt;1961&lt;/year&gt;&lt;pub-dates&gt;&lt;date&gt;1961/04/01/&lt;/date&gt;&lt;/pub-dates&gt;&lt;/dates&gt;&lt;isbn&gt;0021-9681&lt;/isbn&gt;&lt;urls&gt;&lt;/urls&gt;&lt;electronic-resource-num&gt;https://doi.org/10.1016/0021-9681(61)90060-1&lt;/electronic-resource-num&gt;&lt;research-notes&gt;http://www.sciencedirect.com/science/article/pii/0021968161900601&lt;/research-notes&gt;&lt;/record&gt;&lt;/Cite&gt;&lt;/EndNote&gt;</w:instrText>
      </w:r>
      <w:r w:rsidR="006F7FD7">
        <w:fldChar w:fldCharType="separate"/>
      </w:r>
      <w:r w:rsidR="006F7FD7" w:rsidRPr="006F7FD7">
        <w:rPr>
          <w:noProof/>
          <w:vertAlign w:val="superscript"/>
        </w:rPr>
        <w:t>16</w:t>
      </w:r>
      <w:r w:rsidR="006F7FD7">
        <w:fldChar w:fldCharType="end"/>
      </w:r>
      <w:r w:rsidRPr="002D1DD7">
        <w:t xml:space="preserve"> in 1961, where the first stage enrols 14 patients and if no responses are observed the trial is terminated. If at least one response is observed in stage 1, the second stage of accrual is activated in order to obtain an estimate of the response probability with a pre-specified standard error. Patients from both stages are used in the estimation of the response rate and an implicit 20% threshold for response rates is considered promising for further study. Fleming</w:t>
      </w:r>
      <w:r w:rsidR="006F7FD7">
        <w:fldChar w:fldCharType="begin"/>
      </w:r>
      <w:r w:rsidR="000E66DE">
        <w:instrText xml:space="preserve"> ADDIN EN.CITE &lt;EndNote&gt;&lt;Cite&gt;&lt;Author&gt;Fleming&lt;/Author&gt;&lt;Year&gt;1982&lt;/Year&gt;&lt;RecNum&gt;3409&lt;/RecNum&gt;&lt;DisplayText&gt;&lt;style face="superscript"&gt;17&lt;/style&gt;&lt;/DisplayText&gt;&lt;record&gt;&lt;rec-number&gt;3409&lt;/rec-number&gt;&lt;foreign-keys&gt;&lt;key app="EN" db-id="dwaevxvazfs2f3ewvzmxrd0k0wasw55p2z2w" timestamp="1569599389"&gt;3409&lt;/key&gt;&lt;/foreign-keys&gt;&lt;ref-type name="Journal Article"&gt;17&lt;/ref-type&gt;&lt;contributors&gt;&lt;authors&gt;&lt;author&gt;Fleming, Thomas R.&lt;/author&gt;&lt;/authors&gt;&lt;/contributors&gt;&lt;titles&gt;&lt;title&gt;One-sample multiple testing procedure for Phase II clinical trials&lt;/title&gt;&lt;secondary-title&gt;Biometrics&lt;/secondary-title&gt;&lt;/titles&gt;&lt;periodical&gt;&lt;full-title&gt;Biometrics&lt;/full-title&gt;&lt;abbr-1&gt;Biometrics&lt;/abbr-1&gt;&lt;/periodical&gt;&lt;pages&gt;143-151&lt;/pages&gt;&lt;volume&gt;38&lt;/volume&gt;&lt;number&gt;1&lt;/number&gt;&lt;dates&gt;&lt;year&gt;1982&lt;/year&gt;&lt;/dates&gt;&lt;publisher&gt;[Wiley, International Biometric Society]&lt;/publisher&gt;&lt;isbn&gt;0006341X, 15410420&lt;/isbn&gt;&lt;urls&gt;&lt;/urls&gt;&lt;custom1&gt;Full publication date: Mar., 1982&lt;/custom1&gt;&lt;electronic-resource-num&gt;10.2307/2530297&lt;/electronic-resource-num&gt;&lt;remote-database-name&gt;JSTOR&lt;/remote-database-name&gt;&lt;research-notes&gt;http://www.jstor.org/stable/2530297&lt;/research-notes&gt;&lt;/record&gt;&lt;/Cite&gt;&lt;/EndNote&gt;</w:instrText>
      </w:r>
      <w:r w:rsidR="006F7FD7">
        <w:fldChar w:fldCharType="separate"/>
      </w:r>
      <w:r w:rsidR="006F7FD7" w:rsidRPr="006F7FD7">
        <w:rPr>
          <w:noProof/>
          <w:vertAlign w:val="superscript"/>
        </w:rPr>
        <w:t>17</w:t>
      </w:r>
      <w:r w:rsidR="006F7FD7">
        <w:fldChar w:fldCharType="end"/>
      </w:r>
      <w:r w:rsidRPr="002D1DD7">
        <w:t xml:space="preserve"> also studied multi-stage designs with acceptance (i.e. proceed with study) or rejection (stop) possible at each stage based on pre-specified probabilities: </w:t>
      </w:r>
      <w:r w:rsidRPr="002D1DD7">
        <w:rPr>
          <w:i/>
        </w:rPr>
        <w:t>p</w:t>
      </w:r>
      <w:r w:rsidRPr="002D1DD7">
        <w:rPr>
          <w:vertAlign w:val="subscript"/>
        </w:rPr>
        <w:t>0</w:t>
      </w:r>
      <w:r w:rsidRPr="002D1DD7">
        <w:t xml:space="preserve">, the largest response probability which, if true, would imply that the drug is not sufficiently effective to warrant further investigation; and </w:t>
      </w:r>
      <w:r w:rsidRPr="002D1DD7">
        <w:rPr>
          <w:i/>
        </w:rPr>
        <w:t>p</w:t>
      </w:r>
      <w:r w:rsidRPr="002D1DD7">
        <w:rPr>
          <w:vertAlign w:val="subscript"/>
        </w:rPr>
        <w:t>1</w:t>
      </w:r>
      <w:r w:rsidRPr="002D1DD7">
        <w:t>, the smallest probability which would imply that the treatment has a therapeutic effect worthy of further investigation. The acceptable probabilities of making incorrect decision</w:t>
      </w:r>
      <w:r w:rsidR="00E94564">
        <w:t>s</w:t>
      </w:r>
      <w:r w:rsidRPr="002D1DD7">
        <w:t xml:space="preserve"> (type I and type II errors) are also required. In Fleming's design, early rejection only occurs when interim results are quite extreme which permits final analysis to be unaffected by interim monitoring, but is not always desirable for </w:t>
      </w:r>
      <w:r w:rsidR="0055470C">
        <w:t>P</w:t>
      </w:r>
      <w:r w:rsidRPr="002D1DD7">
        <w:t>hase II trials of agents that are likely to be inactive. Although these designs were popular for many years, they did not optimise sample size or allow for early termination when the drug has low tumour activity, a key ethical concern. This led to the development of Simon’s two-stage design,</w:t>
      </w:r>
      <w:r w:rsidR="006F7FD7">
        <w:fldChar w:fldCharType="begin"/>
      </w:r>
      <w:r w:rsidR="00054FE8">
        <w:instrText xml:space="preserve"> ADDIN EN.CITE &lt;EndNote&gt;&lt;Cite&gt;&lt;Author&gt;Simon&lt;/Author&gt;&lt;Year&gt;1989&lt;/Year&gt;&lt;RecNum&gt;3421&lt;/RecNum&gt;&lt;DisplayText&gt;&lt;style face="superscript"&gt;7&lt;/style&gt;&lt;/DisplayText&gt;&lt;record&gt;&lt;rec-number&gt;3421&lt;/rec-number&gt;&lt;foreign-keys&gt;&lt;key app="EN" db-id="dwaevxvazfs2f3ewvzmxrd0k0wasw55p2z2w" timestamp="1569599389"&gt;3421&lt;/key&gt;&lt;/foreign-keys&gt;&lt;ref-type name="Journal Article"&gt;17&lt;/ref-type&gt;&lt;contributors&gt;&lt;authors&gt;&lt;author&gt;Simon, Richard&lt;/author&gt;&lt;/authors&gt;&lt;/contributors&gt;&lt;titles&gt;&lt;title&gt;Optimal two-stage designs for phase II clinical trials&lt;/title&gt;&lt;secondary-title&gt;Controlled Clinical Trials&lt;/secondary-title&gt;&lt;/titles&gt;&lt;periodical&gt;&lt;full-title&gt;Controlled Clinical Trials&lt;/full-title&gt;&lt;abbr-1&gt;Control Clin Trials&lt;/abbr-1&gt;&lt;/periodical&gt;&lt;pages&gt;1-10&lt;/pages&gt;&lt;volume&gt;10&lt;/volume&gt;&lt;number&gt;1&lt;/number&gt;&lt;keywords&gt;&lt;keyword&gt;clinical trials&lt;/keyword&gt;&lt;keyword&gt;phase II trials&lt;/keyword&gt;&lt;keyword&gt;optimization&lt;/keyword&gt;&lt;/keywords&gt;&lt;dates&gt;&lt;year&gt;1989&lt;/year&gt;&lt;pub-dates&gt;&lt;date&gt;1989/03/01/&lt;/date&gt;&lt;/pub-dates&gt;&lt;/dates&gt;&lt;isbn&gt;0197-2456&lt;/isbn&gt;&lt;urls&gt;&lt;/urls&gt;&lt;electronic-resource-num&gt;https://doi.org/10.1016/0197-2456(89)90015-9&lt;/electronic-resource-num&gt;&lt;research-notes&gt;http://www.sciencedirect.com/science/article/pii/0197245689900159&lt;/research-notes&gt;&lt;/record&gt;&lt;/Cite&gt;&lt;/EndNote&gt;</w:instrText>
      </w:r>
      <w:r w:rsidR="006F7FD7">
        <w:fldChar w:fldCharType="separate"/>
      </w:r>
      <w:r w:rsidR="006F7FD7" w:rsidRPr="006F7FD7">
        <w:rPr>
          <w:noProof/>
          <w:vertAlign w:val="superscript"/>
        </w:rPr>
        <w:t>7</w:t>
      </w:r>
      <w:r w:rsidR="006F7FD7">
        <w:fldChar w:fldCharType="end"/>
      </w:r>
      <w:r w:rsidRPr="002D1DD7">
        <w:t xml:space="preserve"> which </w:t>
      </w:r>
      <w:r w:rsidR="00E94564" w:rsidRPr="002D1DD7">
        <w:t>minimi</w:t>
      </w:r>
      <w:r w:rsidR="00E94564">
        <w:t>s</w:t>
      </w:r>
      <w:r w:rsidR="00E94564" w:rsidRPr="002D1DD7">
        <w:t xml:space="preserve">es </w:t>
      </w:r>
      <w:r w:rsidRPr="002D1DD7">
        <w:t>expected sample size when the true response is less than some pre-determined level. Similar to Fleming’s approach,</w:t>
      </w:r>
      <w:r w:rsidR="006F7FD7">
        <w:fldChar w:fldCharType="begin"/>
      </w:r>
      <w:r w:rsidR="000E66DE">
        <w:instrText xml:space="preserve"> ADDIN EN.CITE &lt;EndNote&gt;&lt;Cite&gt;&lt;Author&gt;Fleming&lt;/Author&gt;&lt;Year&gt;1982&lt;/Year&gt;&lt;RecNum&gt;3409&lt;/RecNum&gt;&lt;DisplayText&gt;&lt;style face="superscript"&gt;17&lt;/style&gt;&lt;/DisplayText&gt;&lt;record&gt;&lt;rec-number&gt;3409&lt;/rec-number&gt;&lt;foreign-keys&gt;&lt;key app="EN" db-id="dwaevxvazfs2f3ewvzmxrd0k0wasw55p2z2w" timestamp="1569599389"&gt;3409&lt;/key&gt;&lt;/foreign-keys&gt;&lt;ref-type name="Journal Article"&gt;17&lt;/ref-type&gt;&lt;contributors&gt;&lt;authors&gt;&lt;author&gt;Fleming, Thomas R.&lt;/author&gt;&lt;/authors&gt;&lt;/contributors&gt;&lt;titles&gt;&lt;title&gt;One-sample multiple testing procedure for Phase II clinical trials&lt;/title&gt;&lt;secondary-title&gt;Biometrics&lt;/secondary-title&gt;&lt;/titles&gt;&lt;periodical&gt;&lt;full-title&gt;Biometrics&lt;/full-title&gt;&lt;abbr-1&gt;Biometrics&lt;/abbr-1&gt;&lt;/periodical&gt;&lt;pages&gt;143-151&lt;/pages&gt;&lt;volume&gt;38&lt;/volume&gt;&lt;number&gt;1&lt;/number&gt;&lt;dates&gt;&lt;year&gt;1982&lt;/year&gt;&lt;/dates&gt;&lt;publisher&gt;[Wiley, International Biometric Society]&lt;/publisher&gt;&lt;isbn&gt;0006341X, 15410420&lt;/isbn&gt;&lt;urls&gt;&lt;/urls&gt;&lt;custom1&gt;Full publication date: Mar., 1982&lt;/custom1&gt;&lt;electronic-resource-num&gt;10.2307/2530297&lt;/electronic-resource-num&gt;&lt;remote-database-name&gt;JSTOR&lt;/remote-database-name&gt;&lt;research-notes&gt;http://www.jstor.org/stable/2530297&lt;/research-notes&gt;&lt;/record&gt;&lt;/Cite&gt;&lt;/EndNote&gt;</w:instrText>
      </w:r>
      <w:r w:rsidR="006F7FD7">
        <w:fldChar w:fldCharType="separate"/>
      </w:r>
      <w:r w:rsidR="006F7FD7" w:rsidRPr="006F7FD7">
        <w:rPr>
          <w:noProof/>
          <w:vertAlign w:val="superscript"/>
        </w:rPr>
        <w:t>17</w:t>
      </w:r>
      <w:r w:rsidR="006F7FD7">
        <w:fldChar w:fldCharType="end"/>
      </w:r>
      <w:r w:rsidRPr="002D1DD7">
        <w:t xml:space="preserve"> investigators pre-specify </w:t>
      </w:r>
      <w:r w:rsidRPr="002D1DD7">
        <w:rPr>
          <w:i/>
        </w:rPr>
        <w:t>p</w:t>
      </w:r>
      <w:r w:rsidRPr="002D1DD7">
        <w:rPr>
          <w:vertAlign w:val="subscript"/>
        </w:rPr>
        <w:t>0</w:t>
      </w:r>
      <w:r w:rsidRPr="002D1DD7">
        <w:t xml:space="preserve">, </w:t>
      </w:r>
      <w:r w:rsidRPr="002D1DD7">
        <w:rPr>
          <w:i/>
        </w:rPr>
        <w:t>p</w:t>
      </w:r>
      <w:r w:rsidRPr="002D1DD7">
        <w:rPr>
          <w:vertAlign w:val="subscript"/>
        </w:rPr>
        <w:t>1</w:t>
      </w:r>
      <w:r w:rsidRPr="002D1DD7">
        <w:t xml:space="preserve"> and acceptable type I and type II error bounds. This is currently one of the most commonly used adaptive designs, and although it can be extended to multiple stages, in practice only 2 stages are usually used. Extensions of Simon’s two-stage design have been proposed to address uncertainty in the expected response </w:t>
      </w:r>
      <w:r w:rsidRPr="002D1DD7">
        <w:rPr>
          <w:i/>
        </w:rPr>
        <w:t>p</w:t>
      </w:r>
      <w:r w:rsidRPr="002D1DD7">
        <w:rPr>
          <w:vertAlign w:val="subscript"/>
        </w:rPr>
        <w:t>1</w:t>
      </w:r>
      <w:r w:rsidRPr="002D1DD7">
        <w:t>; if this is too optimistic, then Simon’s design would reject a potentially promising treatment, whereas if it was too pessimistic, it would require more patients to be recruited than necessary.</w:t>
      </w:r>
      <w:r w:rsidR="006F7FD7">
        <w:fldChar w:fldCharType="begin"/>
      </w:r>
      <w:r w:rsidR="000E66DE">
        <w:instrText xml:space="preserve"> ADDIN EN.CITE &lt;EndNote&gt;&lt;Cite&gt;&lt;Author&gt;Lin&lt;/Author&gt;&lt;Year&gt;2004&lt;/Year&gt;&lt;RecNum&gt;3426&lt;/RecNum&gt;&lt;DisplayText&gt;&lt;style face="superscript"&gt;18&lt;/style&gt;&lt;/DisplayText&gt;&lt;record&gt;&lt;rec-number&gt;3426&lt;/rec-number&gt;&lt;foreign-keys&gt;&lt;key app="EN" db-id="dwaevxvazfs2f3ewvzmxrd0k0wasw55p2z2w" timestamp="1569946753"&gt;3426&lt;/key&gt;&lt;/foreign-keys&gt;&lt;ref-type name="Journal Article"&gt;17&lt;/ref-type&gt;&lt;contributors&gt;&lt;authors&gt;&lt;author&gt;Lin, Yong&lt;/author&gt;&lt;author&gt;Shih, Weichung J.&lt;/author&gt;&lt;/authors&gt;&lt;/contributors&gt;&lt;titles&gt;&lt;title&gt;Adaptive two-stage designs for single-arm phase iia cancer clinical trials&lt;/title&gt;&lt;secondary-title&gt;Biometrics&lt;/secondary-title&gt;&lt;/titles&gt;&lt;periodical&gt;&lt;full-title&gt;Biometrics&lt;/full-title&gt;&lt;abbr-1&gt;Biometrics&lt;/abbr-1&gt;&lt;/periodical&gt;&lt;pages&gt;482-490&lt;/pages&gt;&lt;volume&gt;60&lt;/volume&gt;&lt;number&gt;2&lt;/number&gt;&lt;dates&gt;&lt;year&gt;2004&lt;/year&gt;&lt;/dates&gt;&lt;isbn&gt;0006-341X&lt;/isbn&gt;&lt;urls&gt;&lt;/urls&gt;&lt;electronic-resource-num&gt;10.1111/j.0006-341X.2004.00193.x&lt;/electronic-resource-num&gt;&lt;research-notes&gt;https://onlinelibrary.wiley.com/doi/abs/10.1111/j.0006-341X.2004.00193.x&lt;/research-notes&gt;&lt;/record&gt;&lt;/Cite&gt;&lt;/EndNote&gt;</w:instrText>
      </w:r>
      <w:r w:rsidR="006F7FD7">
        <w:fldChar w:fldCharType="separate"/>
      </w:r>
      <w:r w:rsidR="006F7FD7" w:rsidRPr="006F7FD7">
        <w:rPr>
          <w:noProof/>
          <w:vertAlign w:val="superscript"/>
        </w:rPr>
        <w:t>18</w:t>
      </w:r>
      <w:r w:rsidR="006F7FD7">
        <w:fldChar w:fldCharType="end"/>
      </w:r>
      <w:r w:rsidRPr="002D1DD7">
        <w:t xml:space="preserve"> </w:t>
      </w:r>
    </w:p>
    <w:p w14:paraId="02C50542" w14:textId="08213513" w:rsidR="00B80271" w:rsidRDefault="00B80271" w:rsidP="0055470C">
      <w:r w:rsidRPr="002D1DD7">
        <w:t xml:space="preserve">Bayesian approaches to adaptive </w:t>
      </w:r>
      <w:r w:rsidR="0055470C">
        <w:t>P</w:t>
      </w:r>
      <w:r w:rsidRPr="002D1DD7">
        <w:t>hase II trials have also been proposed,</w:t>
      </w:r>
      <w:r w:rsidR="006F7FD7">
        <w:fldChar w:fldCharType="begin">
          <w:fldData xml:space="preserve">PEVuZE5vdGU+PENpdGU+PEF1dGhvcj5IZXJzb248L0F1dGhvcj48WWVhcj4xOTc5PC9ZZWFyPjxS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</w:fldData>
        </w:fldChar>
      </w:r>
      <w:r w:rsidR="000E66DE">
        <w:instrText xml:space="preserve"> ADDIN EN.CITE </w:instrText>
      </w:r>
      <w:r w:rsidR="000E66DE">
        <w:fldChar w:fldCharType="begin">
          <w:fldData xml:space="preserve">PEVuZE5vdGU+PENpdGU+PEF1dGhvcj5IZXJzb248L0F1dGhvcj48WWVhcj4xOTc5PC9ZZWFyPjxS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19-22</w:t>
      </w:r>
      <w:r w:rsidR="006F7FD7">
        <w:fldChar w:fldCharType="end"/>
      </w:r>
      <w:r w:rsidRPr="002D1DD7">
        <w:t xml:space="preserve"> which terminate the trial early if the predictive probability that the treatment is not sufficiently effective at the maximum sample size is below a pre-specified level</w:t>
      </w:r>
      <w:r w:rsidR="00781494">
        <w:t>;</w:t>
      </w:r>
      <w:r w:rsidRPr="002D1DD7">
        <w:t xml:space="preserve"> provide a posterior distribution for the true response </w:t>
      </w:r>
      <w:r w:rsidRPr="002D1DD7">
        <w:lastRenderedPageBreak/>
        <w:t>probability</w:t>
      </w:r>
      <w:r w:rsidR="00781494">
        <w:t>;</w:t>
      </w:r>
      <w:r w:rsidRPr="002D1DD7">
        <w:t xml:space="preserve"> and allow the calculation that the true probability of response is above a certain value, or </w:t>
      </w:r>
      <w:r w:rsidR="000E7B35">
        <w:t xml:space="preserve">calculate </w:t>
      </w:r>
      <w:r w:rsidRPr="002D1DD7">
        <w:t xml:space="preserve">an interval that has a 95% probability of containing the true response proportion (note that this is not provided by confidence intervals obtained using a frequentist approach). </w:t>
      </w:r>
    </w:p>
    <w:p w14:paraId="54EDD47F" w14:textId="58359479" w:rsidR="004B318E" w:rsidRPr="002D1DD7" w:rsidRDefault="004B318E" w:rsidP="00EC11CD">
      <w:pPr>
        <w:pStyle w:val="Heading2"/>
      </w:pPr>
      <w:bookmarkStart w:id="48" w:name="_Toc33776161"/>
      <w:r>
        <w:t>Master protocol designs</w:t>
      </w:r>
      <w:bookmarkEnd w:id="48"/>
    </w:p>
    <w:p w14:paraId="5B6758F1" w14:textId="3AEB3CC4" w:rsidR="00B80271" w:rsidRPr="002D1DD7" w:rsidRDefault="00B80271" w:rsidP="00B80271">
      <w:r w:rsidRPr="002D1DD7">
        <w:t>Typically</w:t>
      </w:r>
      <w:r w:rsidR="00EC2169">
        <w:t>,</w:t>
      </w:r>
      <w:r w:rsidRPr="002D1DD7">
        <w:t xml:space="preserve"> adaptive </w:t>
      </w:r>
      <w:r w:rsidR="0055470C">
        <w:t>P</w:t>
      </w:r>
      <w:r w:rsidRPr="002D1DD7">
        <w:t xml:space="preserve">hase II oncology studies are conducted separately for each patient subgroup, based on histology or biomarker activity. However, concerns have been raised about the ability of traditional clinical trial designs to facilitate timely access to innovative technologies, due to the increasingly small populations being targeted in oncology trials, where a traditional </w:t>
      </w:r>
      <w:r w:rsidR="0055470C">
        <w:t>P</w:t>
      </w:r>
      <w:r w:rsidRPr="002D1DD7">
        <w:t>hase III study would never be expected to recruit enough individuals to achieve statistical significance</w:t>
      </w:r>
      <w:r w:rsidR="0041582D">
        <w:t xml:space="preserve"> on the primary outcome</w:t>
      </w:r>
      <w:r w:rsidRPr="002D1DD7">
        <w:t xml:space="preserve">. The use of </w:t>
      </w:r>
      <w:r w:rsidR="004549F6">
        <w:t xml:space="preserve">complex innovative trial designs with </w:t>
      </w:r>
      <w:r w:rsidRPr="002D1DD7">
        <w:t>‘master protocols’, and basket trials in particular, has been proposed to accelerate access to innovative targeted technologies and precision medicine.</w:t>
      </w:r>
      <w:r w:rsidR="004549F6">
        <w:t xml:space="preserve"> A consensus statement on their design, conduct and interpretation has recently been published.</w:t>
      </w:r>
      <w:r w:rsidR="006F7FD7">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 </w:instrText>
      </w:r>
      <w:r w:rsidR="000E66DE">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23</w:t>
      </w:r>
      <w:r w:rsidR="006F7FD7">
        <w:fldChar w:fldCharType="end"/>
      </w:r>
      <w:r w:rsidRPr="002D1DD7">
        <w:t xml:space="preserve"> Master protocol trials use a centralised screening platform to identify eligible patients and a common protocol for different sub-studies, which may each focus on patients with specific markers or histologies. The main advantages of master protocols are enhanced patient participation, as more patients are eligible to enter the trial, and a simplification of the trial process since a single protocol is approved for use on multiple sub-studies. Basket trials typically include patients with diverse conditions who share a particular feature or biomarker which can be treated with a single therapy. The key underlying assumption of a basket trial is that the condition depends on the target pathway and that the proposed therapy inhibits this target.</w:t>
      </w:r>
      <w:r w:rsidR="006F7FD7">
        <w:fldChar w:fldCharType="begin"/>
      </w:r>
      <w:r w:rsidR="000E66DE">
        <w:instrText xml:space="preserve"> ADDIN EN.CITE &lt;EndNote&gt;&lt;Cite&gt;&lt;Author&gt;Redig&lt;/Author&gt;&lt;Year&gt;2015&lt;/Year&gt;&lt;RecNum&gt;3431&lt;/RecNum&gt;&lt;DisplayText&gt;&lt;style face="superscript"&gt;24&lt;/style&gt;&lt;/DisplayText&gt;&lt;record&gt;&lt;rec-number&gt;3431&lt;/rec-number&gt;&lt;foreign-keys&gt;&lt;key app="EN" db-id="dwaevxvazfs2f3ewvzmxrd0k0wasw55p2z2w" timestamp="1570003506"&gt;3431&lt;/key&gt;&lt;/foreign-keys&gt;&lt;ref-type name="Journal Article"&gt;17&lt;/ref-type&gt;&lt;contributors&gt;&lt;authors&gt;&lt;author&gt;Redig, Amanda J&lt;/author&gt;&lt;author&gt;Pasi, A. Jänne&lt;/author&gt;&lt;/authors&gt;&lt;/contributors&gt;&lt;titles&gt;&lt;title&gt;Basket trials and the evolution of clinical trial design in an era of genomic medicine&lt;/title&gt;&lt;secondary-title&gt;Journal of Clinical Oncology&lt;/secondary-title&gt;&lt;/titles&gt;&lt;periodical&gt;&lt;full-title&gt;Journal of Clinical Oncology&lt;/full-title&gt;&lt;abbr-1&gt;J Clin Oncol&lt;/abbr-1&gt;&lt;/periodical&gt;&lt;pages&gt;975-977&lt;/pages&gt;&lt;volume&gt;33&lt;/volume&gt;&lt;number&gt;9&lt;/number&gt;&lt;dates&gt;&lt;year&gt;2015&lt;/year&gt;&lt;/dates&gt;&lt;accession-num&gt;25667288&lt;/accession-num&gt;&lt;urls&gt;&lt;/urls&gt;&lt;electronic-resource-num&gt;10.1200/jco.2014.59.8433&lt;/electronic-resource-num&gt;&lt;/record&gt;&lt;/Cite&gt;&lt;/EndNote&gt;</w:instrText>
      </w:r>
      <w:r w:rsidR="006F7FD7">
        <w:fldChar w:fldCharType="separate"/>
      </w:r>
      <w:r w:rsidR="006F7FD7" w:rsidRPr="006F7FD7">
        <w:rPr>
          <w:noProof/>
          <w:vertAlign w:val="superscript"/>
        </w:rPr>
        <w:t>24</w:t>
      </w:r>
      <w:r w:rsidR="006F7FD7">
        <w:fldChar w:fldCharType="end"/>
      </w:r>
      <w:r w:rsidRPr="002D1DD7">
        <w:t xml:space="preserve"> </w:t>
      </w:r>
    </w:p>
    <w:p w14:paraId="26CBF696" w14:textId="7DCC64B5" w:rsidR="00B80271" w:rsidRPr="002D1DD7" w:rsidRDefault="00B80271" w:rsidP="00B80271">
      <w:r w:rsidRPr="002D1DD7">
        <w:t>In oncology, basket trials use a master protocol to define patient eligibility by the presence of a particular biomarker or molecular alteration, regardless of histology. The sub-studies, or baskets, are then defined by a particular histology or other disease</w:t>
      </w:r>
      <w:r w:rsidR="00342706">
        <w:t>-</w:t>
      </w:r>
      <w:r w:rsidRPr="002D1DD7">
        <w:t>specific characteristics, for example</w:t>
      </w:r>
      <w:r w:rsidR="00342706">
        <w:t>,</w:t>
      </w:r>
      <w:r w:rsidRPr="002D1DD7">
        <w:t xml:space="preserve"> mutation type. Because individual patients are recruited independently of tumour location or subtype, they are more likely to be eligible for enrolment.</w:t>
      </w:r>
      <w:r w:rsidR="006F7FD7">
        <w:fldChar w:fldCharType="begin">
          <w:fldData xml:space="preserve">PEVuZE5vdGU+PENpdGU+PEF1dGhvcj5SZW5mcm88L0F1dGhvcj48WWVhcj4yMDE3PC9ZZWFyPjxS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==
</w:fldData>
        </w:fldChar>
      </w:r>
      <w:r w:rsidR="000E66DE">
        <w:instrText xml:space="preserve"> ADDIN EN.CITE </w:instrText>
      </w:r>
      <w:r w:rsidR="000E66DE">
        <w:fldChar w:fldCharType="begin">
          <w:fldData xml:space="preserve">PEVuZE5vdGU+PENpdGU+PEF1dGhvcj5SZW5mcm88L0F1dGhvcj48WWVhcj4yMDE3PC9ZZWFyPjxS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==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24-26</w:t>
      </w:r>
      <w:r w:rsidR="006F7FD7">
        <w:fldChar w:fldCharType="end"/>
      </w:r>
      <w:r w:rsidRPr="002D1DD7">
        <w:t xml:space="preserve"> However, a critical consideration is the heterogeneity in prognosis across the different histologies, therefore standardised response rates, reflecting tumour shrinkage, are typically used instead of survival outcomes such as PFS or OS.</w:t>
      </w:r>
      <w:r w:rsidR="006F7FD7">
        <w:fldChar w:fldCharType="begin"/>
      </w:r>
      <w:r w:rsidR="000E66DE">
        <w:instrText xml:space="preserve"> ADDIN EN.CITE &lt;EndNote&gt;&lt;Cite&gt;&lt;Author&gt;Renfro&lt;/Author&gt;&lt;Year&gt;2018&lt;/Year&gt;&lt;RecNum&gt;3434&lt;/RecNum&gt;&lt;DisplayText&gt;&lt;style face="superscript"&gt;27&lt;/style&gt;&lt;/DisplayText&gt;&lt;record&gt;&lt;rec-number&gt;3434&lt;/rec-number&gt;&lt;foreign-keys&gt;&lt;key app="EN" db-id="dwaevxvazfs2f3ewvzmxrd0k0wasw55p2z2w" timestamp="1570006136"&gt;3434&lt;/key&gt;&lt;/foreign-keys&gt;&lt;ref-type name="Journal Article"&gt;17&lt;/ref-type&gt;&lt;contributors&gt;&lt;authors&gt;&lt;author&gt;Renfro, Lindsay A.&lt;/author&gt;&lt;author&gt;Mandrekar, Sumithra J.&lt;/author&gt;&lt;/authors&gt;&lt;/contributors&gt;&lt;titles&gt;&lt;title&gt;Definitions and statistical properties of master protocols for personalized medicine in oncology&lt;/title&gt;&lt;secondary-title&gt;Journal of Biopharmaceutical Statistics&lt;/secondary-title&gt;&lt;/titles&gt;&lt;periodical&gt;&lt;full-title&gt;Journal of Biopharmaceutical Statistics&lt;/full-title&gt;&lt;abbr-1&gt;J Biopharm Stat&lt;/abbr-1&gt;&lt;/periodical&gt;&lt;pages&gt;217-228&lt;/pages&gt;&lt;volume&gt;28&lt;/volume&gt;&lt;number&gt;2&lt;/number&gt;&lt;dates&gt;&lt;year&gt;2018&lt;/year&gt;&lt;pub-dates&gt;&lt;date&gt;2018/03/04&lt;/date&gt;&lt;/pub-dates&gt;&lt;/dates&gt;&lt;publisher&gt;Taylor &amp;amp; Francis&lt;/publisher&gt;&lt;isbn&gt;1054-3406&lt;/isbn&gt;&lt;urls&gt;&lt;/urls&gt;&lt;electronic-resource-num&gt;10.1080/10543406.2017.1372778&lt;/electronic-resource-num&gt;&lt;research-notes&gt;https://doi.org/10.1080/10543406.2017.1372778&lt;/research-notes&gt;&lt;/record&gt;&lt;/Cite&gt;&lt;/EndNote&gt;</w:instrText>
      </w:r>
      <w:r w:rsidR="006F7FD7">
        <w:fldChar w:fldCharType="separate"/>
      </w:r>
      <w:r w:rsidR="006F7FD7" w:rsidRPr="006F7FD7">
        <w:rPr>
          <w:noProof/>
          <w:vertAlign w:val="superscript"/>
        </w:rPr>
        <w:t>27</w:t>
      </w:r>
      <w:r w:rsidR="006F7FD7">
        <w:fldChar w:fldCharType="end"/>
      </w:r>
      <w:r w:rsidRPr="002D1DD7">
        <w:t xml:space="preserve"> In addition, as the majority of basket trials do not have a control arm, stable disease or survival outcomes would be difficult to interpret unless they were clearly better than what is expected under standard therapy</w:t>
      </w:r>
      <w:r w:rsidR="00121A2F">
        <w:t xml:space="preserve"> for all tumours</w:t>
      </w:r>
      <w:r w:rsidRPr="002D1DD7">
        <w:t>.</w:t>
      </w:r>
      <w:r w:rsidR="006F7FD7">
        <w:fldChar w:fldCharType="begin"/>
      </w:r>
      <w:r w:rsidR="000E66DE">
        <w:instrText xml:space="preserve"> ADDIN EN.CITE &lt;EndNote&gt;&lt;Cite&gt;&lt;Author&gt;Simon&lt;/Author&gt;&lt;Year&gt;2018&lt;/Year&gt;&lt;RecNum&gt;3422&lt;/RecNum&gt;&lt;DisplayText&gt;&lt;style face="superscript"&gt;28&lt;/style&gt;&lt;/DisplayText&gt;&lt;record&gt;&lt;rec-number&gt;3422&lt;/rec-number&gt;&lt;foreign-keys&gt;&lt;key app="EN" db-id="dwaevxvazfs2f3ewvzmxrd0k0wasw55p2z2w" timestamp="1569599389"&gt;3422&lt;/key&gt;&lt;/foreign-keys&gt;&lt;ref-type name="Journal Article"&gt;17&lt;/ref-type&gt;&lt;contributors&gt;&lt;authors&gt;&lt;author&gt;Simon, Richard&lt;/author&gt;&lt;/authors&gt;&lt;/contributors&gt;&lt;titles&gt;&lt;title&gt;New designs for basket clinical trials in oncology&lt;/title&gt;&lt;secondary-title&gt;Journal of Biopharmaceutical Statistics&lt;/secondary-title&gt;&lt;/titles&gt;&lt;periodical&gt;&lt;full-title&gt;Journal of Biopharmaceutical Statistics&lt;/full-title&gt;&lt;abbr-1&gt;J Biopharm Stat&lt;/abbr-1&gt;&lt;/periodical&gt;&lt;pages&gt;245-255&lt;/pages&gt;&lt;volume&gt;28&lt;/volume&gt;&lt;number&gt;2&lt;/number&gt;&lt;dates&gt;&lt;year&gt;2018&lt;/year&gt;&lt;pub-dates&gt;&lt;date&gt;2018/03/04&lt;/date&gt;&lt;/pub-dates&gt;&lt;/dates&gt;&lt;publisher&gt;Taylor &amp;amp; Francis&lt;/publisher&gt;&lt;isbn&gt;1054-3406&lt;/isbn&gt;&lt;urls&gt;&lt;/urls&gt;&lt;electronic-resource-num&gt;10.1080/10543406.2017.1372779&lt;/electronic-resource-num&gt;&lt;research-notes&gt;https://doi.org/10.1080/10543406.2017.1372779&lt;/research-notes&gt;&lt;/record&gt;&lt;/Cite&gt;&lt;/EndNote&gt;</w:instrText>
      </w:r>
      <w:r w:rsidR="006F7FD7">
        <w:fldChar w:fldCharType="separate"/>
      </w:r>
      <w:r w:rsidR="006F7FD7" w:rsidRPr="006F7FD7">
        <w:rPr>
          <w:noProof/>
          <w:vertAlign w:val="superscript"/>
        </w:rPr>
        <w:t>28</w:t>
      </w:r>
      <w:r w:rsidR="006F7FD7">
        <w:fldChar w:fldCharType="end"/>
      </w:r>
      <w:r w:rsidR="0060466F">
        <w:t xml:space="preserve"> </w:t>
      </w:r>
      <w:r w:rsidR="00AA3550">
        <w:t>Therefore, a further crucial assumption in these designs is that response is a sufficient measure of clinical benefit.</w:t>
      </w:r>
    </w:p>
    <w:p w14:paraId="79BFAB96" w14:textId="7C5AD50E" w:rsidR="00B80271" w:rsidRPr="002D1DD7" w:rsidRDefault="00B80271" w:rsidP="00B80271">
      <w:r w:rsidRPr="002D1DD7">
        <w:t>Although designed to improve recruitment, basket trials can still fail to recruit sufficient patients to some or all baskets. For example, the CUSTOM trial</w:t>
      </w:r>
      <w:r w:rsidR="006F7FD7">
        <w:fldChar w:fldCharType="begin"/>
      </w:r>
      <w:r w:rsidR="000E66DE">
        <w:instrText xml:space="preserve"> ADDIN EN.CITE &lt;EndNote&gt;&lt;Cite&gt;&lt;Author&gt;Lopez-Chavez&lt;/Author&gt;&lt;Year&gt;2015&lt;/Year&gt;&lt;RecNum&gt;3432&lt;/RecNum&gt;&lt;DisplayText&gt;&lt;style face="superscript"&gt;29&lt;/style&gt;&lt;/DisplayText&gt;&lt;record&gt;&lt;rec-number&gt;3432&lt;/rec-number&gt;&lt;foreign-keys&gt;&lt;key app="EN" db-id="dwaevxvazfs2f3ewvzmxrd0k0wasw55p2z2w" timestamp="1570003557"&gt;3432&lt;/key&gt;&lt;/foreign-keys&gt;&lt;ref-type name="Journal Article"&gt;17&lt;/ref-type&gt;&lt;contributors&gt;&lt;authors&gt;&lt;author&gt;Ariel Lopez-Chavez&lt;/author&gt;&lt;author&gt;Anish Thomas&lt;/author&gt;&lt;author&gt;Arun Rajan&lt;/author&gt;&lt;author&gt;Mark Raffeld&lt;/author&gt;&lt;author&gt;Betsy Morrow&lt;/author&gt;&lt;author&gt;Ronan Kelly&lt;/author&gt;&lt;author&gt;Corey Allan Carter&lt;/author&gt;&lt;author&gt;Udayan Guha&lt;/author&gt;&lt;author&gt;Keith Killian&lt;/author&gt;&lt;author&gt;Christopher C. Lau&lt;/author&gt;&lt;author&gt;Zied Abdullaev&lt;/author&gt;&lt;author&gt;Liqiang Xi&lt;/author&gt;&lt;author&gt;Svetlana Pack&lt;/author&gt;&lt;author&gt;Paul S. Meltzer&lt;/author&gt;&lt;author&gt;Christopher L. Corless&lt;/author&gt;&lt;author&gt;Alan Sandler&lt;/author&gt;&lt;author&gt;Carol Beadling&lt;/author&gt;&lt;author&gt;Andrea Warrick&lt;/author&gt;&lt;author&gt;David J. Liewehr&lt;/author&gt;&lt;author&gt;Seth M. Steinberg&lt;/author&gt;&lt;author&gt;Arlene Berman&lt;/author&gt;&lt;author&gt;Austin Doyle&lt;/author&gt;&lt;author&gt;Eva Szabo&lt;/author&gt;&lt;author&gt;Yisong Wang&lt;/author&gt;&lt;author&gt;Giuseppe Giaccone&lt;/author&gt;&lt;/authors&gt;&lt;/contributors&gt;&lt;titles&gt;&lt;title&gt;Molecular profiling and targeted therapy for advanced thoracic malignancies: A biomarker-derived, multiarm, multihistology Phase II basket trial&lt;/title&gt;&lt;secondary-title&gt;Journal of Clinical Oncology&lt;/secondary-title&gt;&lt;/titles&gt;&lt;periodical&gt;&lt;full-title&gt;Journal of Clinical Oncology&lt;/full-title&gt;&lt;abbr-1&gt;J Clin Oncol&lt;/abbr-1&gt;&lt;/periodical&gt;&lt;pages&gt;1000-1007&lt;/pages&gt;&lt;volume&gt;33&lt;/volume&gt;&lt;number&gt;9&lt;/number&gt;&lt;dates&gt;&lt;year&gt;2015&lt;/year&gt;&lt;/dates&gt;&lt;accession-num&gt;25667274&lt;/accession-num&gt;&lt;urls&gt;&lt;/urls&gt;&lt;electronic-resource-num&gt;10.1200/jco.2014.58.2007&lt;/electronic-resource-num&gt;&lt;/record&gt;&lt;/Cite&gt;&lt;/EndNote&gt;</w:instrText>
      </w:r>
      <w:r w:rsidR="006F7FD7">
        <w:fldChar w:fldCharType="separate"/>
      </w:r>
      <w:r w:rsidR="006F7FD7" w:rsidRPr="006F7FD7">
        <w:rPr>
          <w:noProof/>
          <w:vertAlign w:val="superscript"/>
        </w:rPr>
        <w:t>29</w:t>
      </w:r>
      <w:r w:rsidR="006F7FD7">
        <w:fldChar w:fldCharType="end"/>
      </w:r>
      <w:r w:rsidRPr="002D1DD7">
        <w:t xml:space="preserve"> failed to recruit enough patients for some baskets covering rare mutations. In addition, because they rely on the assumption that molecular </w:t>
      </w:r>
      <w:r w:rsidRPr="002D1DD7">
        <w:lastRenderedPageBreak/>
        <w:t>profiling is a good predictor of response, they may fail in situations where histological tumour type predicts response better than the biomarkers or mutations defining the baskets.</w:t>
      </w:r>
      <w:r w:rsidR="006F7FD7">
        <w:fldChar w:fldCharType="begin">
          <w:fldData xml:space="preserve">PEVuZE5vdGU+PENpdGU+PEF1dGhvcj5SZW5mcm88L0F1dGhvcj48WWVhcj4yMDE3PC9ZZWFyPjxS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</w:fldData>
        </w:fldChar>
      </w:r>
      <w:r w:rsidR="000E66DE">
        <w:instrText xml:space="preserve"> ADDIN EN.CITE </w:instrText>
      </w:r>
      <w:r w:rsidR="000E66DE">
        <w:fldChar w:fldCharType="begin">
          <w:fldData xml:space="preserve">PEVuZE5vdGU+PENpdGU+PEF1dGhvcj5SZW5mcm88L0F1dGhvcj48WWVhcj4yMDE3PC9ZZWFyPjxS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25, 27, 30</w:t>
      </w:r>
      <w:r w:rsidR="006F7FD7">
        <w:fldChar w:fldCharType="end"/>
      </w:r>
    </w:p>
    <w:p w14:paraId="49268431" w14:textId="7E2F76E0" w:rsidR="00B80271" w:rsidRPr="002D1DD7" w:rsidRDefault="00B80271" w:rsidP="00342706">
      <w:r w:rsidRPr="002D1DD7">
        <w:t>Although advocated as ideal, randomisation to a control arm is rare in basket trials,</w:t>
      </w:r>
      <w:r w:rsidR="006F7FD7">
        <w:fldChar w:fldCharType="begin"/>
      </w:r>
      <w:r w:rsidR="006F7FD7">
        <w:instrText xml:space="preserve"> ADDIN EN.CITE &lt;EndNote&gt;&lt;Cite&gt;&lt;Author&gt;Le Tourneau&lt;/Author&gt;&lt;Year&gt;2015&lt;/Year&gt;&lt;RecNum&gt;3439&lt;/RecNum&gt;&lt;DisplayText&gt;&lt;style face="superscript"&gt;31&lt;/style&gt;&lt;/DisplayText&gt;&lt;record&gt;&lt;rec-number&gt;3439&lt;/rec-number&gt;&lt;foreign-keys&gt;&lt;key app="EN" db-id="dwaevxvazfs2f3ewvzmxrd0k0wasw55p2z2w" timestamp="1570008141"&gt;3439&lt;/key&gt;&lt;/foreign-keys&gt;&lt;ref-type name="Journal Article"&gt;17&lt;/ref-type&gt;&lt;contributors&gt;&lt;authors&gt;&lt;author&gt;Le Tourneau, Christophe&lt;/author&gt;&lt;author&gt;Delord, Jean-Pierre&lt;/author&gt;&lt;author&gt;Gonçalves, Anthony&lt;/author&gt;&lt;author&gt;Gavoille, Céline&lt;/author&gt;&lt;author&gt;Dubot, Coraline&lt;/author&gt;&lt;author&gt;Isambert, Nicolas&lt;/author&gt;&lt;author&gt;Campone, Mario&lt;/author&gt;&lt;author&gt;Trédan, Olivier&lt;/author&gt;&lt;author&gt;Massiani, Marie-Ange&lt;/author&gt;&lt;author&gt;Mauborgne, Cécile&lt;/author&gt;&lt;author&gt;Armanet, Sebastien&lt;/author&gt;&lt;author&gt;Servant, Nicolas&lt;/author&gt;&lt;author&gt;Bièche, Ivan&lt;/author&gt;&lt;author&gt;Bernard, Virginie&lt;/author&gt;&lt;author&gt;Gentien, David&lt;/author&gt;&lt;author&gt;Jezequel, Pascal&lt;/author&gt;&lt;author&gt;Attignon, Valéry&lt;/author&gt;&lt;author&gt;Boyault, Sandrine&lt;/author&gt;&lt;author&gt;Vincent-Salomon, Anne&lt;/author&gt;&lt;author&gt;Servois, Vincent&lt;/author&gt;&lt;author&gt;Sablin, Marie-Paule&lt;/author&gt;&lt;author&gt;Kamal, Maud&lt;/author&gt;&lt;author&gt;Paoletti, Xavier&lt;/author&gt;&lt;/authors&gt;&lt;/contributors&gt;&lt;titles&gt;&lt;title&gt;Molecularly targeted therapy based on tumour molecular profiling versus conventional therapy for advanced cancer (SHIVA): a multicentre, open-label, proof-of-concept, randomised, controlled phase 2 trial&lt;/title&gt;&lt;secondary-title&gt;The Lancet Oncology&lt;/secondary-title&gt;&lt;/titles&gt;&lt;periodical&gt;&lt;full-title&gt;The Lancet Oncology&lt;/full-title&gt;&lt;/periodical&gt;&lt;pages&gt;1324-1334&lt;/pages&gt;&lt;volume&gt;16&lt;/volume&gt;&lt;number&gt;13&lt;/number&gt;&lt;dates&gt;&lt;year&gt;2015&lt;/year&gt;&lt;pub-dates&gt;&lt;date&gt;2015/10/01/&lt;/date&gt;&lt;/pub-dates&gt;&lt;/dates&gt;&lt;isbn&gt;1470-2045&lt;/isbn&gt;&lt;urls&gt;&lt;/urls&gt;&lt;electronic-resource-num&gt;https://doi.org/10.1016/S1470-2045(15)00188-6&lt;/electronic-resource-num&gt;&lt;research-notes&gt;http://www.sciencedirect.com/science/article/pii/S1470204515001886&lt;/research-notes&gt;&lt;/record&gt;&lt;/Cite&gt;&lt;/EndNote&gt;</w:instrText>
      </w:r>
      <w:r w:rsidR="006F7FD7">
        <w:fldChar w:fldCharType="separate"/>
      </w:r>
      <w:r w:rsidR="006F7FD7" w:rsidRPr="006F7FD7">
        <w:rPr>
          <w:noProof/>
          <w:vertAlign w:val="superscript"/>
        </w:rPr>
        <w:t>31</w:t>
      </w:r>
      <w:r w:rsidR="006F7FD7">
        <w:fldChar w:fldCharType="end"/>
      </w:r>
      <w:r w:rsidRPr="002D1DD7">
        <w:t xml:space="preserve"> due to the differences in standard of care across the different tumour types defining the baskets.</w:t>
      </w:r>
      <w:r w:rsidR="006F7FD7">
        <w:fldChar w:fldCharType="begin">
          <w:fldData xml:space="preserve">PEVuZE5vdGU+PENpdGU+PEF1dGhvcj5CbGFnZGVuPC9BdXRob3I+PFllYXI+MjAyMDwvWWVhcj48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=
</w:fldData>
        </w:fldChar>
      </w:r>
      <w:r w:rsidR="000E66DE">
        <w:instrText xml:space="preserve"> ADDIN EN.CITE </w:instrText>
      </w:r>
      <w:r w:rsidR="000E66DE">
        <w:fldChar w:fldCharType="begin">
          <w:fldData xml:space="preserve">PEVuZE5vdGU+PENpdGU+PEF1dGhvcj5CbGFnZGVuPC9BdXRob3I+PFllYXI+MjAyMDwvWWVhcj48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=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23, 25, 28</w:t>
      </w:r>
      <w:r w:rsidR="006F7FD7">
        <w:fldChar w:fldCharType="end"/>
      </w:r>
      <w:r w:rsidRPr="002D1DD7">
        <w:t xml:space="preserve"> Adaptive designs for confirmatory basket trials with concurrent (non-randomised) control groups have been proposed and their challenges and limitations discussed.</w:t>
      </w:r>
      <w:r w:rsidR="006F7FD7">
        <w:fldChar w:fldCharType="begin"/>
      </w:r>
      <w:r w:rsidR="000E66DE">
        <w:instrText xml:space="preserve"> ADDIN EN.CITE &lt;EndNote&gt;&lt;Cite&gt;&lt;Author&gt;Beckman&lt;/Author&gt;&lt;Year&gt;2016&lt;/Year&gt;&lt;RecNum&gt;191&lt;/RecNum&gt;&lt;DisplayText&gt;&lt;style face="superscript"&gt;32&lt;/style&gt;&lt;/DisplayText&gt;&lt;record&gt;&lt;rec-number&gt;191&lt;/rec-number&gt;&lt;foreign-keys&gt;&lt;key app="EN" db-id="dwaevxvazfs2f3ewvzmxrd0k0wasw55p2z2w" timestamp="1557310540"&gt;191&lt;/key&gt;&lt;/foreign-keys&gt;&lt;ref-type name="Journal Article"&gt;17&lt;/ref-type&gt;&lt;contributors&gt;&lt;authors&gt;&lt;author&gt;Beckman, R. A.&lt;/author&gt;&lt;author&gt;Antonijevic, Z.&lt;/author&gt;&lt;author&gt;Kalamegham, R.&lt;/author&gt;&lt;author&gt;Chen, C.&lt;/author&gt;&lt;/authors&gt;&lt;/contributors&gt;&lt;titles&gt;&lt;title&gt;Adaptive design for a confirmatory basket trial in multiple tumor types based on a putative predictive biomarker&lt;/title&gt;&lt;secondary-title&gt;Clinical Pharmacology &amp;amp; Therapeutics&lt;/secondary-title&gt;&lt;short-title&gt;Adaptive Design for a Confirmatory Basket Trial in Multiple Tumor Types Based on a Putative Predictive Biomarker&lt;/short-title&gt;&lt;/titles&gt;&lt;periodical&gt;&lt;full-title&gt;Clinical Pharmacology &amp;amp; Therapeutics&lt;/full-title&gt;&lt;abbr-1&gt;Clin Pharmacol Ther&lt;/abbr-1&gt;&lt;/periodical&gt;&lt;pages&gt;617-625&lt;/pages&gt;&lt;volume&gt;100&lt;/volume&gt;&lt;number&gt;6&lt;/number&gt;&lt;keywords&gt;&lt;keyword&gt;$$exclude abstract KC&lt;/keyword&gt;&lt;keyword&gt;$$background basket trials&lt;/keyword&gt;&lt;keyword&gt;$$Citation search&lt;/keyword&gt;&lt;/keywords&gt;&lt;dates&gt;&lt;year&gt;2016&lt;/year&gt;&lt;pub-dates&gt;&lt;date&gt;Dec&lt;/date&gt;&lt;/pub-dates&gt;&lt;/dates&gt;&lt;isbn&gt;0009-9236&lt;/isbn&gt;&lt;accession-num&gt;WOS:000387809600015&lt;/accession-num&gt;&lt;urls&gt;&lt;/urls&gt;&lt;electronic-resource-num&gt;10.1002/cpt.446&lt;/electronic-resource-num&gt;&lt;research-notes&gt;&lt;style face="underline" font="default" size="100%"&gt;&amp;lt;Go to ISI&amp;gt;://WOS:000387809600015&lt;/style&gt;&lt;/research-notes&gt;&lt;/record&gt;&lt;/Cite&gt;&lt;/EndNote&gt;</w:instrText>
      </w:r>
      <w:r w:rsidR="006F7FD7">
        <w:fldChar w:fldCharType="separate"/>
      </w:r>
      <w:r w:rsidR="006F7FD7" w:rsidRPr="006F7FD7">
        <w:rPr>
          <w:noProof/>
          <w:vertAlign w:val="superscript"/>
        </w:rPr>
        <w:t>32</w:t>
      </w:r>
      <w:r w:rsidR="006F7FD7">
        <w:fldChar w:fldCharType="end"/>
      </w:r>
      <w:r w:rsidRPr="002D1DD7">
        <w:t xml:space="preserve"> However, the lack of a concurrent, randomised, control arm remains a key limitation of these trial design</w:t>
      </w:r>
      <w:r w:rsidR="00342706">
        <w:t>s</w:t>
      </w:r>
      <w:r w:rsidRPr="002D1DD7">
        <w:t xml:space="preserve">, </w:t>
      </w:r>
      <w:r w:rsidR="00342706">
        <w:t xml:space="preserve">and in particular, for the interpretation of such trials in </w:t>
      </w:r>
      <w:r w:rsidRPr="002D1DD7">
        <w:t>HTA</w:t>
      </w:r>
      <w:r w:rsidR="00342706">
        <w:t xml:space="preserve"> processes</w:t>
      </w:r>
      <w:r w:rsidRPr="002D1DD7">
        <w:t>.</w:t>
      </w:r>
      <w:r w:rsidR="006F7FD7">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 </w:instrText>
      </w:r>
      <w:r w:rsidR="000E66DE">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23</w:t>
      </w:r>
      <w:r w:rsidR="006F7FD7">
        <w:fldChar w:fldCharType="end"/>
      </w:r>
    </w:p>
    <w:p w14:paraId="65AA1873" w14:textId="03A54B3A" w:rsidR="00B80271" w:rsidRDefault="00B80271" w:rsidP="00342706">
      <w:r w:rsidRPr="002D1DD7">
        <w:t xml:space="preserve">Non-randomised basket trials are typically exploratory and use similar two-stage designs to traditional </w:t>
      </w:r>
      <w:r w:rsidR="00342706">
        <w:t>P</w:t>
      </w:r>
      <w:r w:rsidRPr="002D1DD7">
        <w:t>hase II clinical trials, with each sub-study (basket) analysed separately. Tumour types expected to have a sufficient frequency of the targeted genomic alteration are enrolled into their own basket while others are enrolled into a combined basket. Typically</w:t>
      </w:r>
      <w:r w:rsidR="007E1112">
        <w:t>,</w:t>
      </w:r>
      <w:r w:rsidRPr="002D1DD7">
        <w:t xml:space="preserve"> these studies are designed so that each basket will recruit a certain number of patients and if a certain pre-specified proportion of these patients respond, then the basket is considered “promising” or successful, and either accrual is expanded, or a separate confirmatory study is planned. If not enough responses are observed, the basket is “pruned” due to low promise of efficacy and recruitment to that basket is stopped. Different designs can be used with varying thresholds for response rates selected depending on the indication and prior expectations of efficacy, and with suitable corrections for false</w:t>
      </w:r>
      <w:r w:rsidR="00342706">
        <w:t>-</w:t>
      </w:r>
      <w:r w:rsidRPr="002D1DD7">
        <w:t>positive rates.</w:t>
      </w:r>
      <w:r w:rsidR="006F7FD7">
        <w:fldChar w:fldCharType="begin"/>
      </w:r>
      <w:r w:rsidR="000E66DE">
        <w:instrText xml:space="preserve"> ADDIN EN.CITE &lt;EndNote&gt;&lt;Cite&gt;&lt;Author&gt;Renfro&lt;/Author&gt;&lt;Year&gt;2018&lt;/Year&gt;&lt;RecNum&gt;3434&lt;/RecNum&gt;&lt;DisplayText&gt;&lt;style face="superscript"&gt;27, 33&lt;/style&gt;&lt;/DisplayText&gt;&lt;record&gt;&lt;rec-number&gt;3434&lt;/rec-number&gt;&lt;foreign-keys&gt;&lt;key app="EN" db-id="dwaevxvazfs2f3ewvzmxrd0k0wasw55p2z2w" timestamp="1570006136"&gt;3434&lt;/key&gt;&lt;/foreign-keys&gt;&lt;ref-type name="Journal Article"&gt;17&lt;/ref-type&gt;&lt;contributors&gt;&lt;authors&gt;&lt;author&gt;Renfro, Lindsay A.&lt;/author&gt;&lt;author&gt;Mandrekar, Sumithra J.&lt;/author&gt;&lt;/authors&gt;&lt;/contributors&gt;&lt;titles&gt;&lt;title&gt;Definitions and statistical properties of master protocols for personalized medicine in oncology&lt;/title&gt;&lt;secondary-title&gt;Journal of Biopharmaceutical Statistics&lt;/secondary-title&gt;&lt;/titles&gt;&lt;periodical&gt;&lt;full-title&gt;Journal of Biopharmaceutical Statistics&lt;/full-title&gt;&lt;abbr-1&gt;J Biopharm Stat&lt;/abbr-1&gt;&lt;/periodical&gt;&lt;pages&gt;217-228&lt;/pages&gt;&lt;volume&gt;28&lt;/volume&gt;&lt;number&gt;2&lt;/number&gt;&lt;dates&gt;&lt;year&gt;2018&lt;/year&gt;&lt;pub-dates&gt;&lt;date&gt;2018/03/04&lt;/date&gt;&lt;/pub-dates&gt;&lt;/dates&gt;&lt;publisher&gt;Taylor &amp;amp; Francis&lt;/publisher&gt;&lt;isbn&gt;1054-3406&lt;/isbn&gt;&lt;urls&gt;&lt;/urls&gt;&lt;electronic-resource-num&gt;10.1080/10543406.2017.1372778&lt;/electronic-resource-num&gt;&lt;research-notes&gt;https://doi.org/10.1080/10543406.2017.1372778&lt;/research-notes&gt;&lt;/record&gt;&lt;/Cite&gt;&lt;Cite&gt;&lt;Author&gt;Antonijevic&lt;/Author&gt;&lt;Year&gt;2019&lt;/Year&gt;&lt;RecNum&gt;3403&lt;/RecNum&gt;&lt;record&gt;&lt;rec-number&gt;3403&lt;/rec-number&gt;&lt;foreign-keys&gt;&lt;key app="EN" db-id="dwaevxvazfs2f3ewvzmxrd0k0wasw55p2z2w" timestamp="1569599388"&gt;3403&lt;/key&gt;&lt;/foreign-keys&gt;&lt;ref-type name="Edited Book"&gt;28&lt;/ref-type&gt;&lt;contributors&gt;&lt;authors&gt;&lt;author&gt;Antonijevic, Z&lt;/author&gt;&lt;author&gt;Beckman, RA&lt;/author&gt;&lt;/authors&gt;&lt;/contributors&gt;&lt;titles&gt;&lt;title&gt;Platform trial designs in drug development: Umbrella trials and basket trials&lt;/title&gt;&lt;/titles&gt;&lt;dates&gt;&lt;year&gt;2019&lt;/year&gt;&lt;/dates&gt;&lt;pub-location&gt;Boca Raton&lt;/pub-location&gt;&lt;publisher&gt;CRD Press&lt;/publisher&gt;&lt;urls&gt;&lt;/urls&gt;&lt;/record&gt;&lt;/Cite&gt;&lt;/EndNote&gt;</w:instrText>
      </w:r>
      <w:r w:rsidR="006F7FD7">
        <w:fldChar w:fldCharType="separate"/>
      </w:r>
      <w:r w:rsidR="006F7FD7" w:rsidRPr="006F7FD7">
        <w:rPr>
          <w:noProof/>
          <w:vertAlign w:val="superscript"/>
        </w:rPr>
        <w:t>27, 33</w:t>
      </w:r>
      <w:r w:rsidR="006F7FD7">
        <w:fldChar w:fldCharType="end"/>
      </w:r>
      <w:r w:rsidRPr="002D1DD7">
        <w:t xml:space="preserve"> </w:t>
      </w:r>
    </w:p>
    <w:p w14:paraId="4A3AEF05" w14:textId="7564AB55" w:rsidR="004B318E" w:rsidRPr="002D1DD7" w:rsidRDefault="004B318E" w:rsidP="00B17C5F">
      <w:pPr>
        <w:pStyle w:val="Heading3"/>
      </w:pPr>
      <w:bookmarkStart w:id="49" w:name="_Ref31550927"/>
      <w:bookmarkStart w:id="50" w:name="_Toc33776162"/>
      <w:r>
        <w:t>Heterogeneity of effect in basket trials</w:t>
      </w:r>
      <w:bookmarkEnd w:id="49"/>
      <w:bookmarkEnd w:id="50"/>
    </w:p>
    <w:p w14:paraId="4978ED03" w14:textId="1EFC1483" w:rsidR="00B80271" w:rsidRPr="002D1DD7" w:rsidRDefault="00B80271" w:rsidP="00B80271">
      <w:r w:rsidRPr="002D1DD7">
        <w:t xml:space="preserve">Heterogeneity of </w:t>
      </w:r>
      <w:r w:rsidR="004B318E">
        <w:t>effect</w:t>
      </w:r>
      <w:r w:rsidR="004B318E" w:rsidRPr="002D1DD7">
        <w:t xml:space="preserve"> </w:t>
      </w:r>
      <w:r w:rsidRPr="002D1DD7">
        <w:t>across different baskets is a key concern. One way to account for this is to analyse each basket separately as if it was an independent study. For example, a basket study of vemurafenib in multiple non</w:t>
      </w:r>
      <w:r w:rsidR="00EC2169">
        <w:t>-</w:t>
      </w:r>
      <w:r w:rsidRPr="002D1DD7">
        <w:t>melanoma cancers with BRAF V600 mutations used an adaptive Simon two-stage design</w:t>
      </w:r>
      <w:r w:rsidR="006F7FD7">
        <w:fldChar w:fldCharType="begin"/>
      </w:r>
      <w:r w:rsidR="000E66DE">
        <w:instrText xml:space="preserve"> ADDIN EN.CITE &lt;EndNote&gt;&lt;Cite&gt;&lt;Author&gt;Lin&lt;/Author&gt;&lt;Year&gt;2004&lt;/Year&gt;&lt;RecNum&gt;3426&lt;/RecNum&gt;&lt;DisplayText&gt;&lt;style face="superscript"&gt;18&lt;/style&gt;&lt;/DisplayText&gt;&lt;record&gt;&lt;rec-number&gt;3426&lt;/rec-number&gt;&lt;foreign-keys&gt;&lt;key app="EN" db-id="dwaevxvazfs2f3ewvzmxrd0k0wasw55p2z2w" timestamp="1569946753"&gt;3426&lt;/key&gt;&lt;/foreign-keys&gt;&lt;ref-type name="Journal Article"&gt;17&lt;/ref-type&gt;&lt;contributors&gt;&lt;authors&gt;&lt;author&gt;Lin, Yong&lt;/author&gt;&lt;author&gt;Shih, Weichung J.&lt;/author&gt;&lt;/authors&gt;&lt;/contributors&gt;&lt;titles&gt;&lt;title&gt;Adaptive two-stage designs for single-arm phase iia cancer clinical trials&lt;/title&gt;&lt;secondary-title&gt;Biometrics&lt;/secondary-title&gt;&lt;/titles&gt;&lt;periodical&gt;&lt;full-title&gt;Biometrics&lt;/full-title&gt;&lt;abbr-1&gt;Biometrics&lt;/abbr-1&gt;&lt;/periodical&gt;&lt;pages&gt;482-490&lt;/pages&gt;&lt;volume&gt;60&lt;/volume&gt;&lt;number&gt;2&lt;/number&gt;&lt;dates&gt;&lt;year&gt;2004&lt;/year&gt;&lt;/dates&gt;&lt;isbn&gt;0006-341X&lt;/isbn&gt;&lt;urls&gt;&lt;/urls&gt;&lt;electronic-resource-num&gt;10.1111/j.0006-341X.2004.00193.x&lt;/electronic-resource-num&gt;&lt;research-notes&gt;https://onlinelibrary.wiley.com/doi/abs/10.1111/j.0006-341X.2004.00193.x&lt;/research-notes&gt;&lt;/record&gt;&lt;/Cite&gt;&lt;/EndNote&gt;</w:instrText>
      </w:r>
      <w:r w:rsidR="006F7FD7">
        <w:fldChar w:fldCharType="separate"/>
      </w:r>
      <w:r w:rsidR="006F7FD7" w:rsidRPr="006F7FD7">
        <w:rPr>
          <w:noProof/>
          <w:vertAlign w:val="superscript"/>
        </w:rPr>
        <w:t>18</w:t>
      </w:r>
      <w:r w:rsidR="006F7FD7">
        <w:fldChar w:fldCharType="end"/>
      </w:r>
      <w:r w:rsidRPr="002D1DD7">
        <w:t xml:space="preserve"> with stopping rules defined independently for each basket, and considered a response rate at week 8 of 15% to be low, a response rate of 45% to be high, and a response rate of 35% to be low but still indicative of efficacy.</w:t>
      </w:r>
      <w:r w:rsidR="006F7FD7">
        <w:fldChar w:fldCharType="begin"/>
      </w:r>
      <w:r w:rsidR="000E66DE">
        <w:instrText xml:space="preserve"> ADDIN EN.CITE &lt;EndNote&gt;&lt;Cite&gt;&lt;Author&gt;Hyman&lt;/Author&gt;&lt;Year&gt;2015&lt;/Year&gt;&lt;RecNum&gt;3415&lt;/RecNum&gt;&lt;DisplayText&gt;&lt;style face="superscript"&gt;30&lt;/style&gt;&lt;/DisplayText&gt;&lt;record&gt;&lt;rec-number&gt;3415&lt;/rec-number&gt;&lt;foreign-keys&gt;&lt;key app="EN" db-id="dwaevxvazfs2f3ewvzmxrd0k0wasw55p2z2w" timestamp="1569599389"&gt;3415&lt;/key&gt;&lt;/foreign-keys&gt;&lt;ref-type name="Journal Article"&gt;17&lt;/ref-type&gt;&lt;contributors&gt;&lt;authors&gt;&lt;author&gt;Hyman, David M.&lt;/author&gt;&lt;author&gt;Puzanov, Igor&lt;/author&gt;&lt;author&gt;Subbiah, Vivek&lt;/author&gt;&lt;author&gt;Faris, Jason E.&lt;/author&gt;&lt;author&gt;Chau, Ian&lt;/author&gt;&lt;author&gt;Blay, Jean-Yves&lt;/author&gt;&lt;author&gt;Wolf, Jürgen&lt;/author&gt;&lt;author&gt;Raje, Noopur S.&lt;/author&gt;&lt;author&gt;Diamond, Eli L.&lt;/author&gt;&lt;author&gt;Hollebecque, Antoine&lt;/author&gt;&lt;author&gt;Gervais, Radj&lt;/author&gt;&lt;author&gt;Elez-Fernandez, Maria Elena&lt;/author&gt;&lt;author&gt;Italiano, Antoine&lt;/author&gt;&lt;author&gt;Hofheinz, Ralf-Dieter&lt;/author&gt;&lt;author&gt;Hidalgo, Manuel&lt;/author&gt;&lt;author&gt;Chan, Emily&lt;/author&gt;&lt;author&gt;Schuler, Martin&lt;/author&gt;&lt;author&gt;Lasserre, Susan Frances&lt;/author&gt;&lt;author&gt;Makrutzki, Martina&lt;/author&gt;&lt;author&gt;Sirzen, Florin&lt;/author&gt;&lt;author&gt;Veronese, Maria Luisa&lt;/author&gt;&lt;author&gt;Tabernero, Josep&lt;/author&gt;&lt;author&gt;Baselga, José&lt;/author&gt;&lt;/authors&gt;&lt;/contributors&gt;&lt;titles&gt;&lt;title&gt;Vemurafenib in multiple nonmelanoma cancers with BRAF V600 mutations&lt;/title&gt;&lt;secondary-title&gt;New England Journal of Medicine&lt;/secondary-title&gt;&lt;/titles&gt;&lt;periodical&gt;&lt;full-title&gt;New England Journal of Medicine&lt;/full-title&gt;&lt;abbr-1&gt;N Engl J Med&lt;/abbr-1&gt;&lt;/periodical&gt;&lt;pages&gt;726-736&lt;/pages&gt;&lt;volume&gt;373&lt;/volume&gt;&lt;number&gt;8&lt;/number&gt;&lt;dates&gt;&lt;year&gt;2015&lt;/year&gt;&lt;/dates&gt;&lt;accession-num&gt;26287849&lt;/accession-num&gt;&lt;urls&gt;&lt;/urls&gt;&lt;electronic-resource-num&gt;10.1056/NEJMoa1502309&lt;/electronic-resource-num&gt;&lt;research-notes&gt;https://www.nejm.org/doi/full/10.1056/NEJMoa1502309&lt;/research-notes&gt;&lt;/record&gt;&lt;/Cite&gt;&lt;/EndNote&gt;</w:instrText>
      </w:r>
      <w:r w:rsidR="006F7FD7">
        <w:fldChar w:fldCharType="separate"/>
      </w:r>
      <w:r w:rsidR="006F7FD7" w:rsidRPr="006F7FD7">
        <w:rPr>
          <w:noProof/>
          <w:vertAlign w:val="superscript"/>
        </w:rPr>
        <w:t>30</w:t>
      </w:r>
      <w:r w:rsidR="006F7FD7">
        <w:fldChar w:fldCharType="end"/>
      </w:r>
      <w:r w:rsidRPr="002D1DD7">
        <w:t xml:space="preserve"> They found that not all tumour types responded homogeneously to treatment with some tumour types not meeting the pre-specified criteria for response. Similarly, the CUSTOM trial</w:t>
      </w:r>
      <w:r w:rsidR="006F7FD7">
        <w:fldChar w:fldCharType="begin"/>
      </w:r>
      <w:r w:rsidR="000E66DE">
        <w:instrText xml:space="preserve"> ADDIN EN.CITE &lt;EndNote&gt;&lt;Cite&gt;&lt;Author&gt;Lopez-Chavez&lt;/Author&gt;&lt;Year&gt;2015&lt;/Year&gt;&lt;RecNum&gt;3432&lt;/RecNum&gt;&lt;DisplayText&gt;&lt;style face="superscript"&gt;29&lt;/style&gt;&lt;/DisplayText&gt;&lt;record&gt;&lt;rec-number&gt;3432&lt;/rec-number&gt;&lt;foreign-keys&gt;&lt;key app="EN" db-id="dwaevxvazfs2f3ewvzmxrd0k0wasw55p2z2w" timestamp="1570003557"&gt;3432&lt;/key&gt;&lt;/foreign-keys&gt;&lt;ref-type name="Journal Article"&gt;17&lt;/ref-type&gt;&lt;contributors&gt;&lt;authors&gt;&lt;author&gt;Ariel Lopez-Chavez&lt;/author&gt;&lt;author&gt;Anish Thomas&lt;/author&gt;&lt;author&gt;Arun Rajan&lt;/author&gt;&lt;author&gt;Mark Raffeld&lt;/author&gt;&lt;author&gt;Betsy Morrow&lt;/author&gt;&lt;author&gt;Ronan Kelly&lt;/author&gt;&lt;author&gt;Corey Allan Carter&lt;/author&gt;&lt;author&gt;Udayan Guha&lt;/author&gt;&lt;author&gt;Keith Killian&lt;/author&gt;&lt;author&gt;Christopher C. Lau&lt;/author&gt;&lt;author&gt;Zied Abdullaev&lt;/author&gt;&lt;author&gt;Liqiang Xi&lt;/author&gt;&lt;author&gt;Svetlana Pack&lt;/author&gt;&lt;author&gt;Paul S. Meltzer&lt;/author&gt;&lt;author&gt;Christopher L. Corless&lt;/author&gt;&lt;author&gt;Alan Sandler&lt;/author&gt;&lt;author&gt;Carol Beadling&lt;/author&gt;&lt;author&gt;Andrea Warrick&lt;/author&gt;&lt;author&gt;David J. Liewehr&lt;/author&gt;&lt;author&gt;Seth M. Steinberg&lt;/author&gt;&lt;author&gt;Arlene Berman&lt;/author&gt;&lt;author&gt;Austin Doyle&lt;/author&gt;&lt;author&gt;Eva Szabo&lt;/author&gt;&lt;author&gt;Yisong Wang&lt;/author&gt;&lt;author&gt;Giuseppe Giaccone&lt;/author&gt;&lt;/authors&gt;&lt;/contributors&gt;&lt;titles&gt;&lt;title&gt;Molecular profiling and targeted therapy for advanced thoracic malignancies: A biomarker-derived, multiarm, multihistology Phase II basket trial&lt;/title&gt;&lt;secondary-title&gt;Journal of Clinical Oncology&lt;/secondary-title&gt;&lt;/titles&gt;&lt;periodical&gt;&lt;full-title&gt;Journal of Clinical Oncology&lt;/full-title&gt;&lt;abbr-1&gt;J Clin Oncol&lt;/abbr-1&gt;&lt;/periodical&gt;&lt;pages&gt;1000-1007&lt;/pages&gt;&lt;volume&gt;33&lt;/volume&gt;&lt;number&gt;9&lt;/number&gt;&lt;dates&gt;&lt;year&gt;2015&lt;/year&gt;&lt;/dates&gt;&lt;accession-num&gt;25667274&lt;/accession-num&gt;&lt;urls&gt;&lt;/urls&gt;&lt;electronic-resource-num&gt;10.1200/jco.2014.58.2007&lt;/electronic-resource-num&gt;&lt;/record&gt;&lt;/Cite&gt;&lt;/EndNote&gt;</w:instrText>
      </w:r>
      <w:r w:rsidR="006F7FD7">
        <w:fldChar w:fldCharType="separate"/>
      </w:r>
      <w:r w:rsidR="006F7FD7" w:rsidRPr="006F7FD7">
        <w:rPr>
          <w:noProof/>
          <w:vertAlign w:val="superscript"/>
        </w:rPr>
        <w:t>29</w:t>
      </w:r>
      <w:r w:rsidR="006F7FD7">
        <w:fldChar w:fldCharType="end"/>
      </w:r>
      <w:r w:rsidRPr="002D1DD7">
        <w:t xml:space="preserve"> used Simon’s optimal two-stage design defining </w:t>
      </w:r>
      <w:r w:rsidRPr="002D1DD7">
        <w:rPr>
          <w:i/>
        </w:rPr>
        <w:t>p</w:t>
      </w:r>
      <w:r w:rsidRPr="002D1DD7">
        <w:rPr>
          <w:vertAlign w:val="subscript"/>
        </w:rPr>
        <w:t>0</w:t>
      </w:r>
      <w:r w:rsidRPr="002D1DD7">
        <w:t xml:space="preserve">=0.3 and </w:t>
      </w:r>
      <w:r w:rsidRPr="002D1DD7">
        <w:rPr>
          <w:i/>
        </w:rPr>
        <w:t>p</w:t>
      </w:r>
      <w:r w:rsidRPr="002D1DD7">
        <w:rPr>
          <w:vertAlign w:val="subscript"/>
        </w:rPr>
        <w:t>1</w:t>
      </w:r>
      <w:r w:rsidRPr="002D1DD7">
        <w:t>=0.6 based on previous literature. The trial aimed to identify tar</w:t>
      </w:r>
      <w:r w:rsidR="009015BB">
        <w:t>gets</w:t>
      </w:r>
      <w:r w:rsidR="0041582D">
        <w:t xml:space="preserve"> for</w:t>
      </w:r>
      <w:r w:rsidR="009015BB">
        <w:t xml:space="preserve"> molecular biomarkers </w:t>
      </w:r>
      <w:r w:rsidR="0041582D">
        <w:t xml:space="preserve">in </w:t>
      </w:r>
      <w:r w:rsidRPr="002D1DD7">
        <w:t xml:space="preserve">NSCLC, small-cell lung cancer </w:t>
      </w:r>
      <w:r w:rsidR="009015BB">
        <w:t xml:space="preserve">(SCLC) </w:t>
      </w:r>
      <w:r w:rsidRPr="002D1DD7">
        <w:t>and thymic malignancies and to simultaneously evaluate five different targeted therapies in each of the three histologies, which resulted in a total of 15 study arms. A high response rate to erlotinib was identified from only 15 NSCLC patients with an</w:t>
      </w:r>
      <w:r w:rsidR="0041582D" w:rsidRPr="0041582D">
        <w:t xml:space="preserve"> </w:t>
      </w:r>
      <w:r w:rsidR="0041582D">
        <w:t>e</w:t>
      </w:r>
      <w:r w:rsidR="0041582D" w:rsidRPr="0041582D">
        <w:t>pi</w:t>
      </w:r>
      <w:r w:rsidR="0060466F">
        <w:t xml:space="preserve">dermal </w:t>
      </w:r>
      <w:r w:rsidR="0041582D" w:rsidRPr="0041582D">
        <w:t>growth factor receptor</w:t>
      </w:r>
      <w:r w:rsidR="0041582D">
        <w:t xml:space="preserve"> (</w:t>
      </w:r>
      <w:r w:rsidRPr="002D1DD7">
        <w:t>EGFR</w:t>
      </w:r>
      <w:r w:rsidR="0041582D">
        <w:t>)</w:t>
      </w:r>
      <w:r w:rsidRPr="002D1DD7">
        <w:t xml:space="preserve"> mutation but another therapy, selumetinib, failed to achieve a promising response in patients with </w:t>
      </w:r>
      <w:r w:rsidR="0060466F" w:rsidRPr="0060466F">
        <w:t xml:space="preserve">Kirsten rat sarcoma viral oncogene homolog </w:t>
      </w:r>
      <w:r w:rsidR="0060466F">
        <w:t>(</w:t>
      </w:r>
      <w:r w:rsidRPr="002D1DD7">
        <w:t>KRAS</w:t>
      </w:r>
      <w:r w:rsidR="0060466F">
        <w:t>)</w:t>
      </w:r>
      <w:r w:rsidRPr="002D1DD7">
        <w:t xml:space="preserve"> mutations.</w:t>
      </w:r>
      <w:r w:rsidR="006F7FD7">
        <w:fldChar w:fldCharType="begin"/>
      </w:r>
      <w:r w:rsidR="000E66DE">
        <w:instrText xml:space="preserve"> ADDIN EN.CITE &lt;EndNote&gt;&lt;Cite&gt;&lt;Author&gt;Lopez-Chavez&lt;/Author&gt;&lt;Year&gt;2015&lt;/Year&gt;&lt;RecNum&gt;3432&lt;/RecNum&gt;&lt;DisplayText&gt;&lt;style face="superscript"&gt;29&lt;/style&gt;&lt;/DisplayText&gt;&lt;record&gt;&lt;rec-number&gt;3432&lt;/rec-number&gt;&lt;foreign-keys&gt;&lt;key app="EN" db-id="dwaevxvazfs2f3ewvzmxrd0k0wasw55p2z2w" timestamp="1570003557"&gt;3432&lt;/key&gt;&lt;/foreign-keys&gt;&lt;ref-type name="Journal Article"&gt;17&lt;/ref-type&gt;&lt;contributors&gt;&lt;authors&gt;&lt;author&gt;Ariel Lopez-Chavez&lt;/author&gt;&lt;author&gt;Anish Thomas&lt;/author&gt;&lt;author&gt;Arun Rajan&lt;/author&gt;&lt;author&gt;Mark Raffeld&lt;/author&gt;&lt;author&gt;Betsy Morrow&lt;/author&gt;&lt;author&gt;Ronan Kelly&lt;/author&gt;&lt;author&gt;Corey Allan Carter&lt;/author&gt;&lt;author&gt;Udayan Guha&lt;/author&gt;&lt;author&gt;Keith Killian&lt;/author&gt;&lt;author&gt;Christopher C. Lau&lt;/author&gt;&lt;author&gt;Zied Abdullaev&lt;/author&gt;&lt;author&gt;Liqiang Xi&lt;/author&gt;&lt;author&gt;Svetlana Pack&lt;/author&gt;&lt;author&gt;Paul S. Meltzer&lt;/author&gt;&lt;author&gt;Christopher L. Corless&lt;/author&gt;&lt;author&gt;Alan Sandler&lt;/author&gt;&lt;author&gt;Carol Beadling&lt;/author&gt;&lt;author&gt;Andrea Warrick&lt;/author&gt;&lt;author&gt;David J. Liewehr&lt;/author&gt;&lt;author&gt;Seth M. Steinberg&lt;/author&gt;&lt;author&gt;Arlene Berman&lt;/author&gt;&lt;author&gt;Austin Doyle&lt;/author&gt;&lt;author&gt;Eva Szabo&lt;/author&gt;&lt;author&gt;Yisong Wang&lt;/author&gt;&lt;author&gt;Giuseppe Giaccone&lt;/author&gt;&lt;/authors&gt;&lt;/contributors&gt;&lt;titles&gt;&lt;title&gt;Molecular profiling and targeted therapy for advanced thoracic malignancies: A biomarker-derived, multiarm, multihistology Phase II basket trial&lt;/title&gt;&lt;secondary-title&gt;Journal of Clinical Oncology&lt;/secondary-title&gt;&lt;/titles&gt;&lt;periodical&gt;&lt;full-title&gt;Journal of Clinical Oncology&lt;/full-title&gt;&lt;abbr-1&gt;J Clin Oncol&lt;/abbr-1&gt;&lt;/periodical&gt;&lt;pages&gt;1000-1007&lt;/pages&gt;&lt;volume&gt;33&lt;/volume&gt;&lt;number&gt;9&lt;/number&gt;&lt;dates&gt;&lt;year&gt;2015&lt;/year&gt;&lt;/dates&gt;&lt;accession-num&gt;25667274&lt;/accession-num&gt;&lt;urls&gt;&lt;/urls&gt;&lt;electronic-resource-num&gt;10.1200/jco.2014.58.2007&lt;/electronic-resource-num&gt;&lt;/record&gt;&lt;/Cite&gt;&lt;/EndNote&gt;</w:instrText>
      </w:r>
      <w:r w:rsidR="006F7FD7">
        <w:fldChar w:fldCharType="separate"/>
      </w:r>
      <w:r w:rsidR="006F7FD7" w:rsidRPr="006F7FD7">
        <w:rPr>
          <w:noProof/>
          <w:vertAlign w:val="superscript"/>
        </w:rPr>
        <w:t>29</w:t>
      </w:r>
      <w:r w:rsidR="006F7FD7">
        <w:fldChar w:fldCharType="end"/>
      </w:r>
    </w:p>
    <w:p w14:paraId="3F2961E2" w14:textId="39CCE5BC" w:rsidR="00B80271" w:rsidRPr="002D1DD7" w:rsidRDefault="00B80271" w:rsidP="00342706">
      <w:r w:rsidRPr="002D1DD7">
        <w:lastRenderedPageBreak/>
        <w:t xml:space="preserve">However, a separate analysis of each basket does not allow for the possibility that some subgroups may react similarly to the drug, particularly if they share a common biomarker which the novel therapy is targeting. By analysing each basket separately, efficiency may be lost by not allowing information gathered from one basket to inform the next, thus increasing the required sample sizes in each basket. In practice, many standard </w:t>
      </w:r>
      <w:r w:rsidR="00342706">
        <w:t>P</w:t>
      </w:r>
      <w:r w:rsidRPr="002D1DD7">
        <w:t xml:space="preserve">hase II designs will ignore potential heterogeneity and pool all patients for analysis, </w:t>
      </w:r>
      <w:r w:rsidR="00342706">
        <w:t xml:space="preserve">which </w:t>
      </w:r>
      <w:r w:rsidRPr="002D1DD7">
        <w:t>in effect</w:t>
      </w:r>
      <w:r w:rsidR="00342706">
        <w:t>,</w:t>
      </w:r>
      <w:r w:rsidRPr="002D1DD7">
        <w:t xml:space="preserve"> </w:t>
      </w:r>
      <w:r w:rsidR="00342706">
        <w:t xml:space="preserve">ignores </w:t>
      </w:r>
      <w:r w:rsidRPr="002D1DD7">
        <w:t xml:space="preserve">the specific basket-defining tumour characteristics (e.g. histology) and </w:t>
      </w:r>
      <w:r w:rsidR="00342706">
        <w:t xml:space="preserve">assumes </w:t>
      </w:r>
      <w:r w:rsidRPr="002D1DD7">
        <w:t>equal efficacy across all baskets.</w:t>
      </w:r>
      <w:r w:rsidR="006F7FD7">
        <w:fldChar w:fldCharType="begin"/>
      </w:r>
      <w:r w:rsidR="006F7FD7">
        <w:instrText xml:space="preserve"> ADDIN EN.CITE &lt;EndNote&gt;&lt;Cite&gt;&lt;Author&gt;Antonijevic&lt;/Author&gt;&lt;Year&gt;2019&lt;/Year&gt;&lt;RecNum&gt;3403&lt;/RecNum&gt;&lt;DisplayText&gt;&lt;style face="superscript"&gt;33&lt;/style&gt;&lt;/DisplayText&gt;&lt;record&gt;&lt;rec-number&gt;3403&lt;/rec-number&gt;&lt;foreign-keys&gt;&lt;key app="EN" db-id="dwaevxvazfs2f3ewvzmxrd0k0wasw55p2z2w" timestamp="1569599388"&gt;3403&lt;/key&gt;&lt;/foreign-keys&gt;&lt;ref-type name="Edited Book"&gt;28&lt;/ref-type&gt;&lt;contributors&gt;&lt;authors&gt;&lt;author&gt;Antonijevic, Z&lt;/author&gt;&lt;author&gt;Beckman, RA&lt;/author&gt;&lt;/authors&gt;&lt;/contributors&gt;&lt;titles&gt;&lt;title&gt;Platform trial designs in drug development: Umbrella trials and basket trials&lt;/title&gt;&lt;/titles&gt;&lt;dates&gt;&lt;year&gt;2019&lt;/year&gt;&lt;/dates&gt;&lt;pub-location&gt;Boca Raton&lt;/pub-location&gt;&lt;publisher&gt;CRD Press&lt;/publisher&gt;&lt;urls&gt;&lt;/urls&gt;&lt;/record&gt;&lt;/Cite&gt;&lt;/EndNote&gt;</w:instrText>
      </w:r>
      <w:r w:rsidR="006F7FD7">
        <w:fldChar w:fldCharType="separate"/>
      </w:r>
      <w:r w:rsidR="006F7FD7" w:rsidRPr="006F7FD7">
        <w:rPr>
          <w:noProof/>
          <w:vertAlign w:val="superscript"/>
        </w:rPr>
        <w:t>33</w:t>
      </w:r>
      <w:r w:rsidR="006F7FD7">
        <w:fldChar w:fldCharType="end"/>
      </w:r>
      <w:r w:rsidRPr="002D1DD7">
        <w:t xml:space="preserve"> If this approach is taken, then trial planning and analysis are similar to a standard </w:t>
      </w:r>
      <w:r w:rsidR="00342706">
        <w:t>P</w:t>
      </w:r>
      <w:r w:rsidRPr="002D1DD7">
        <w:t xml:space="preserve">hase II trial, and </w:t>
      </w:r>
      <w:r w:rsidR="00EC2169">
        <w:t>for example</w:t>
      </w:r>
      <w:r w:rsidRPr="002D1DD7">
        <w:t>, Simon’s two-stage design can be used. Although allowing analysis with a much smaller number of included patients, pooling all patients ignores the potential for heterogeneity across baskets, effectively assuming that it is zero, which can miss treatments that are only active i</w:t>
      </w:r>
      <w:r w:rsidR="002765E8">
        <w:t>n</w:t>
      </w:r>
      <w:r w:rsidRPr="002D1DD7">
        <w:t xml:space="preserve"> some baskets</w:t>
      </w:r>
      <w:r w:rsidR="006F7FD7">
        <w:fldChar w:fldCharType="begin"/>
      </w:r>
      <w:r w:rsidR="000E66DE">
        <w:instrText xml:space="preserve"> ADDIN EN.CITE &lt;EndNote&gt;&lt;Cite&gt;&lt;Author&gt;Freidlin&lt;/Author&gt;&lt;Year&gt;2013&lt;/Year&gt;&lt;RecNum&gt;3410&lt;/RecNum&gt;&lt;DisplayText&gt;&lt;style face="superscript"&gt;34&lt;/style&gt;&lt;/DisplayText&gt;&lt;record&gt;&lt;rec-number&gt;3410&lt;/rec-number&gt;&lt;foreign-keys&gt;&lt;key app="EN" db-id="dwaevxvazfs2f3ewvzmxrd0k0wasw55p2z2w" timestamp="1569599389"&gt;3410&lt;/key&gt;&lt;/foreign-keys&gt;&lt;ref-type name="Journal Article"&gt;17&lt;/ref-type&gt;&lt;contributors&gt;&lt;authors&gt;&lt;author&gt;Freidlin, Boris&lt;/author&gt;&lt;author&gt;Korn, Edward L.&lt;/author&gt;&lt;/authors&gt;&lt;/contributors&gt;&lt;titles&gt;&lt;title&gt;Borrowing information across subgroups in Phase II trials: Is it useful?&lt;/title&gt;&lt;secondary-title&gt;Clinical Cancer Research&lt;/secondary-title&gt;&lt;/titles&gt;&lt;periodical&gt;&lt;full-title&gt;Clinical Cancer Research&lt;/full-title&gt;&lt;abbr-1&gt;Clin Cancer Res&lt;/abbr-1&gt;&lt;/periodical&gt;&lt;pages&gt;1326-34&lt;/pages&gt;&lt;volume&gt;19&lt;/volume&gt;&lt;number&gt;6&lt;/number&gt;&lt;dates&gt;&lt;year&gt;2013&lt;/year&gt;&lt;/dates&gt;&lt;urls&gt;&lt;/urls&gt;&lt;electronic-resource-num&gt;10.1158/1078-0432.CCR-12-1223 %J Clinical Cancer Research&lt;/electronic-resource-num&gt;&lt;research-notes&gt;http://clincancerres.aacrjournals.org/content/clincanres/early/2013/03/04/1078-0432.CCR-12-1223.full.pdf&lt;/research-notes&gt;&lt;/record&gt;&lt;/Cite&gt;&lt;/EndNote&gt;</w:instrText>
      </w:r>
      <w:r w:rsidR="006F7FD7">
        <w:fldChar w:fldCharType="separate"/>
      </w:r>
      <w:r w:rsidR="006F7FD7" w:rsidRPr="006F7FD7">
        <w:rPr>
          <w:noProof/>
          <w:vertAlign w:val="superscript"/>
        </w:rPr>
        <w:t>34</w:t>
      </w:r>
      <w:r w:rsidR="006F7FD7">
        <w:fldChar w:fldCharType="end"/>
      </w:r>
      <w:r w:rsidRPr="002D1DD7">
        <w:t xml:space="preserve"> and </w:t>
      </w:r>
      <w:r w:rsidR="006C598A">
        <w:t xml:space="preserve">can </w:t>
      </w:r>
      <w:r w:rsidRPr="002D1DD7">
        <w:t>lead to large biases in overall estimated effects. In addition, if the drug is truly active or inactive in all baskets, this will be an inefficient design.</w:t>
      </w:r>
      <w:r w:rsidR="006F7FD7">
        <w:fldChar w:fldCharType="begin"/>
      </w:r>
      <w:r w:rsidR="000E66DE">
        <w:instrText xml:space="preserve"> ADDIN EN.CITE &lt;EndNote&gt;&lt;Cite&gt;&lt;Author&gt;Simon&lt;/Author&gt;&lt;Year&gt;2017&lt;/Year&gt;&lt;RecNum&gt;3440&lt;/RecNum&gt;&lt;DisplayText&gt;&lt;style face="superscript"&gt;35, 36&lt;/style&gt;&lt;/DisplayText&gt;&lt;record&gt;&lt;rec-number&gt;3440&lt;/rec-number&gt;&lt;foreign-keys&gt;&lt;key app="EN" db-id="dwaevxvazfs2f3ewvzmxrd0k0wasw55p2z2w" timestamp="1570014273"&gt;3440&lt;/key&gt;&lt;/foreign-keys&gt;&lt;ref-type name="Journal Article"&gt;17&lt;/ref-type&gt;&lt;contributors&gt;&lt;authors&gt;&lt;author&gt;Simon, Richard&lt;/author&gt;&lt;/authors&gt;&lt;/contributors&gt;&lt;titles&gt;&lt;title&gt;Critical review of umbrella, basket, and platform designs for oncology clinical trials&lt;/title&gt;&lt;secondary-title&gt;Clinical Pharmacology &amp;amp; Therapeutics&lt;/secondary-title&gt;&lt;/titles&gt;&lt;periodical&gt;&lt;full-title&gt;Clinical Pharmacology &amp;amp; Therapeutics&lt;/full-title&gt;&lt;abbr-1&gt;Clin Pharmacol Ther&lt;/abbr-1&gt;&lt;/periodical&gt;&lt;pages&gt;934-941&lt;/pages&gt;&lt;volume&gt;102&lt;/volume&gt;&lt;number&gt;6&lt;/number&gt;&lt;dates&gt;&lt;year&gt;2017&lt;/year&gt;&lt;/dates&gt;&lt;isbn&gt;0009-9236&lt;/isbn&gt;&lt;urls&gt;&lt;/urls&gt;&lt;electronic-resource-num&gt;10.1002/cpt.814&lt;/electronic-resource-num&gt;&lt;/record&gt;&lt;/Cite&gt;&lt;Cite&gt;&lt;Author&gt;Simon&lt;/Author&gt;&lt;Year&gt;2019&lt;/Year&gt;&lt;RecNum&gt;3423&lt;/RecNum&gt;&lt;record&gt;&lt;rec-number&gt;3423&lt;/rec-number&gt;&lt;foreign-keys&gt;&lt;key app="EN" db-id="dwaevxvazfs2f3ewvzmxrd0k0wasw55p2z2w" timestamp="1569599389"&gt;3423&lt;/key&gt;&lt;/foreign-keys&gt;&lt;ref-type name="Book Section"&gt;5&lt;/ref-type&gt;&lt;contributors&gt;&lt;authors&gt;&lt;author&gt;Simon, R M&lt;/author&gt;&lt;/authors&gt;&lt;secondary-authors&gt;&lt;author&gt;Antonijevic, Z&lt;/author&gt;&lt;author&gt;Beckman, RA&lt;/author&gt;&lt;/secondary-authors&gt;&lt;/contributors&gt;&lt;titles&gt;&lt;title&gt;Primary site idependent clinical trials in oncology&lt;/title&gt;&lt;secondary-title&gt;Platform trials in drug development: Umbrella trials and basket trials&lt;/secondary-title&gt;&lt;/titles&gt;&lt;pages&gt;167-180&lt;/pages&gt;&lt;section&gt;12&lt;/section&gt;&lt;dates&gt;&lt;year&gt;2019&lt;/year&gt;&lt;/dates&gt;&lt;pub-location&gt;Boca Raton&lt;/pub-location&gt;&lt;publisher&gt;CRC Press&lt;/publisher&gt;&lt;urls&gt;&lt;/urls&gt;&lt;/record&gt;&lt;/Cite&gt;&lt;/EndNote&gt;</w:instrText>
      </w:r>
      <w:r w:rsidR="006F7FD7">
        <w:fldChar w:fldCharType="separate"/>
      </w:r>
      <w:r w:rsidR="006F7FD7" w:rsidRPr="006F7FD7">
        <w:rPr>
          <w:noProof/>
          <w:vertAlign w:val="superscript"/>
        </w:rPr>
        <w:t>35, 36</w:t>
      </w:r>
      <w:r w:rsidR="006F7FD7">
        <w:fldChar w:fldCharType="end"/>
      </w:r>
      <w:r w:rsidRPr="002D1DD7">
        <w:t xml:space="preserve"> </w:t>
      </w:r>
    </w:p>
    <w:p w14:paraId="319CF41E" w14:textId="5859B83B" w:rsidR="00B80271" w:rsidRPr="002D1DD7" w:rsidRDefault="00B80271" w:rsidP="00B80271">
      <w:r w:rsidRPr="002D1DD7">
        <w:t xml:space="preserve">Frequentist adaptive designs for basket studies which try to acknowledge this potential for heterogeneity across baskets have been proposed. In the context of </w:t>
      </w:r>
      <w:r w:rsidR="006C598A">
        <w:t>P</w:t>
      </w:r>
      <w:r w:rsidRPr="002D1DD7">
        <w:t>hase II studies with heterogeneous populations</w:t>
      </w:r>
      <w:r w:rsidR="006C598A">
        <w:t>,</w:t>
      </w:r>
      <w:r w:rsidRPr="002D1DD7">
        <w:t xml:space="preserve"> a design that tests global response across the whole population, whilst allowing a different response for each subgroup, was proposed</w:t>
      </w:r>
      <w:r w:rsidR="00932006">
        <w:t xml:space="preserve"> by London </w:t>
      </w:r>
      <w:r w:rsidR="00932006" w:rsidRPr="00932006">
        <w:rPr>
          <w:i/>
        </w:rPr>
        <w:t>et al</w:t>
      </w:r>
      <w:r w:rsidRPr="002D1DD7">
        <w:t>.</w:t>
      </w:r>
      <w:r w:rsidR="006F7FD7">
        <w:fldChar w:fldCharType="begin"/>
      </w:r>
      <w:r w:rsidR="000E66DE">
        <w:instrText xml:space="preserve"> ADDIN EN.CITE &lt;EndNote&gt;&lt;Cite&gt;&lt;Author&gt;London&lt;/Author&gt;&lt;Year&gt;2005&lt;/Year&gt;&lt;RecNum&gt;3445&lt;/RecNum&gt;&lt;DisplayText&gt;&lt;style face="superscript"&gt;37&lt;/style&gt;&lt;/DisplayText&gt;&lt;record&gt;&lt;rec-number&gt;3445&lt;/rec-number&gt;&lt;foreign-keys&gt;&lt;key app="EN" db-id="dwaevxvazfs2f3ewvzmxrd0k0wasw55p2z2w" timestamp="1570026785"&gt;3445&lt;/key&gt;&lt;/foreign-keys&gt;&lt;ref-type name="Journal Article"&gt;17&lt;/ref-type&gt;&lt;contributors&gt;&lt;authors&gt;&lt;author&gt;London, Wendy B.&lt;/author&gt;&lt;author&gt;Chang, Myron N.&lt;/author&gt;&lt;/authors&gt;&lt;/contributors&gt;&lt;titles&gt;&lt;title&gt;One- and two-stage designs for stratified phase II clinical trials&lt;/title&gt;&lt;secondary-title&gt;Statistics in Medicine&lt;/secondary-title&gt;&lt;/titles&gt;&lt;periodical&gt;&lt;full-title&gt;Statistics in Medicine&lt;/full-title&gt;&lt;abbr-1&gt;Stat Med&lt;/abbr-1&gt;&lt;/periodical&gt;&lt;pages&gt;2597-2611&lt;/pages&gt;&lt;volume&gt;24&lt;/volume&gt;&lt;number&gt;17&lt;/number&gt;&lt;dates&gt;&lt;year&gt;2005&lt;/year&gt;&lt;/dates&gt;&lt;isbn&gt;0277-6715&lt;/isbn&gt;&lt;urls&gt;&lt;/urls&gt;&lt;electronic-resource-num&gt;10.1002/sim.2139&lt;/electronic-resource-num&gt;&lt;research-notes&gt;https://onlinelibrary.wiley.com/doi/abs/10.1002/sim.2139&lt;/research-notes&gt;&lt;/record&gt;&lt;/Cite&gt;&lt;/EndNote&gt;</w:instrText>
      </w:r>
      <w:r w:rsidR="006F7FD7">
        <w:fldChar w:fldCharType="separate"/>
      </w:r>
      <w:r w:rsidR="006F7FD7" w:rsidRPr="006F7FD7">
        <w:rPr>
          <w:noProof/>
          <w:vertAlign w:val="superscript"/>
        </w:rPr>
        <w:t>37</w:t>
      </w:r>
      <w:r w:rsidR="006F7FD7">
        <w:fldChar w:fldCharType="end"/>
      </w:r>
      <w:r w:rsidRPr="002D1DD7">
        <w:t xml:space="preserve"> Simon’s two-stage design was extended to use a more flexible strategy that both tests each subgroup and the combined population, allowing stopping of the trial if either a subgroup or the combined population show futility</w:t>
      </w:r>
      <w:r w:rsidR="00932006">
        <w:t>, i.e. the inability of the study to achieve statistically significant results,</w:t>
      </w:r>
      <w:r w:rsidRPr="002D1DD7">
        <w:t xml:space="preserve"> at pre-specified thresholds (which are not necessarily the same).</w:t>
      </w:r>
      <w:r w:rsidR="006F7FD7">
        <w:fldChar w:fldCharType="begin"/>
      </w:r>
      <w:r w:rsidR="000E66DE">
        <w:instrText xml:space="preserve"> ADDIN EN.CITE &lt;EndNote&gt;&lt;Cite&gt;&lt;Author&gt;LeBlanc&lt;/Author&gt;&lt;Year&gt;2009&lt;/Year&gt;&lt;RecNum&gt;3436&lt;/RecNum&gt;&lt;DisplayText&gt;&lt;style face="superscript"&gt;38&lt;/style&gt;&lt;/DisplayText&gt;&lt;record&gt;&lt;rec-number&gt;3436&lt;/rec-number&gt;&lt;foreign-keys&gt;&lt;key app="EN" db-id="dwaevxvazfs2f3ewvzmxrd0k0wasw55p2z2w" timestamp="1570007419"&gt;3436&lt;/key&gt;&lt;/foreign-keys&gt;&lt;ref-type name="Journal Article"&gt;17&lt;/ref-type&gt;&lt;contributors&gt;&lt;authors&gt;&lt;author&gt;LeBlanc, Michael&lt;/author&gt;&lt;author&gt;Rankin, Cathryn&lt;/author&gt;&lt;author&gt;Crowley, John&lt;/author&gt;&lt;/authors&gt;&lt;/contributors&gt;&lt;titles&gt;&lt;title&gt;Multiple histology Phase II trials&lt;/title&gt;&lt;secondary-title&gt;Clinical Cancer Research&lt;/secondary-title&gt;&lt;/titles&gt;&lt;periodical&gt;&lt;full-title&gt;Clinical Cancer Research&lt;/full-title&gt;&lt;abbr-1&gt;Clin Cancer Res&lt;/abbr-1&gt;&lt;/periodical&gt;&lt;pages&gt;4256-4262&lt;/pages&gt;&lt;volume&gt;15&lt;/volume&gt;&lt;number&gt;13&lt;/number&gt;&lt;dates&gt;&lt;year&gt;2009&lt;/year&gt;&lt;/dates&gt;&lt;urls&gt;&lt;/urls&gt;&lt;electronic-resource-num&gt;10.1158/1078-0432.CCR-08-2069&lt;/electronic-resource-num&gt;&lt;/record&gt;&lt;/Cite&gt;&lt;/EndNote&gt;</w:instrText>
      </w:r>
      <w:r w:rsidR="006F7FD7">
        <w:fldChar w:fldCharType="separate"/>
      </w:r>
      <w:r w:rsidR="006F7FD7" w:rsidRPr="006F7FD7">
        <w:rPr>
          <w:noProof/>
          <w:vertAlign w:val="superscript"/>
        </w:rPr>
        <w:t>38</w:t>
      </w:r>
      <w:r w:rsidR="006F7FD7">
        <w:fldChar w:fldCharType="end"/>
      </w:r>
      <w:r w:rsidRPr="002D1DD7">
        <w:t xml:space="preserve"> Negative results in one subgroup would lead to stopping recruitment in that basket alone, unless the combined response for the whole population was below the acceptable threshold. This design leads to smaller sample sizes than separate analyses of each basket when the drug is inactive across all subgroups, and </w:t>
      </w:r>
      <w:r w:rsidR="00AA3550">
        <w:t xml:space="preserve">to </w:t>
      </w:r>
      <w:r w:rsidRPr="002D1DD7">
        <w:t xml:space="preserve">more power when there is activity in all subgroups. It also retains the individual tests for each subgroup allowing identification of promising baskets. This design requires pre-specification of the expected </w:t>
      </w:r>
      <w:r w:rsidR="00AA3550">
        <w:t>response rates and prevalence in</w:t>
      </w:r>
      <w:r w:rsidRPr="002D1DD7">
        <w:t xml:space="preserve"> each subgroup, in order to specify the expected response rate in the overall population. Although the average prevalence in the clinical population may be known, due to the often small samples recruited, the observed prevalence as the trial enrols patients may be quite different. A design which allows adjusting the rejection values depending on the observed prevalence in the trial was proposed</w:t>
      </w:r>
      <w:r w:rsidR="009927EA">
        <w:t xml:space="preserve"> by Jung </w:t>
      </w:r>
      <w:r w:rsidR="009927EA" w:rsidRPr="009927EA">
        <w:rPr>
          <w:i/>
        </w:rPr>
        <w:t>et al</w:t>
      </w:r>
      <w:r w:rsidRPr="002D1DD7">
        <w:t>.</w:t>
      </w:r>
      <w:r w:rsidR="006F7FD7">
        <w:fldChar w:fldCharType="begin"/>
      </w:r>
      <w:r w:rsidR="000E66DE">
        <w:instrText xml:space="preserve"> ADDIN EN.CITE &lt;EndNote&gt;&lt;Cite&gt;&lt;Author&gt;Jung&lt;/Author&gt;&lt;Year&gt;2012&lt;/Year&gt;&lt;RecNum&gt;3435&lt;/RecNum&gt;&lt;DisplayText&gt;&lt;style face="superscript"&gt;39&lt;/style&gt;&lt;/DisplayText&gt;&lt;record&gt;&lt;rec-number&gt;3435&lt;/rec-number&gt;&lt;foreign-keys&gt;&lt;key app="EN" db-id="dwaevxvazfs2f3ewvzmxrd0k0wasw55p2z2w" timestamp="1570007218"&gt;3435&lt;/key&gt;&lt;/foreign-keys&gt;&lt;ref-type name="Journal Article"&gt;17&lt;/ref-type&gt;&lt;contributors&gt;&lt;authors&gt;&lt;author&gt;Jung, Sin-Ho&lt;/author&gt;&lt;author&gt;Chang, Myron N.&lt;/author&gt;&lt;author&gt;Kang, Sun J.&lt;/author&gt;&lt;/authors&gt;&lt;/contributors&gt;&lt;titles&gt;&lt;title&gt;Phase II cancer clinical trials with heterogeneous patient populations&lt;/title&gt;&lt;secondary-title&gt;Journal of Biopharmaceutical Statistics&lt;/secondary-title&gt;&lt;/titles&gt;&lt;periodical&gt;&lt;full-title&gt;Journal of Biopharmaceutical Statistics&lt;/full-title&gt;&lt;abbr-1&gt;J Biopharm Stat&lt;/abbr-1&gt;&lt;/periodical&gt;&lt;pages&gt;312-328&lt;/pages&gt;&lt;volume&gt;22&lt;/volume&gt;&lt;number&gt;2&lt;/number&gt;&lt;dates&gt;&lt;year&gt;2012&lt;/year&gt;&lt;pub-dates&gt;&lt;date&gt;2012/03/01&lt;/date&gt;&lt;/pub-dates&gt;&lt;/dates&gt;&lt;publisher&gt;Taylor &amp;amp; Francis&lt;/publisher&gt;&lt;isbn&gt;1054-3406&lt;/isbn&gt;&lt;urls&gt;&lt;/urls&gt;&lt;electronic-resource-num&gt;10.1080/10543406.2010.536873&lt;/electronic-resource-num&gt;&lt;research-notes&gt;https://doi.org/10.1080/10543406.2010.536873&lt;/research-notes&gt;&lt;/record&gt;&lt;/Cite&gt;&lt;/EndNote&gt;</w:instrText>
      </w:r>
      <w:r w:rsidR="006F7FD7">
        <w:fldChar w:fldCharType="separate"/>
      </w:r>
      <w:r w:rsidR="006F7FD7" w:rsidRPr="006F7FD7">
        <w:rPr>
          <w:noProof/>
          <w:vertAlign w:val="superscript"/>
        </w:rPr>
        <w:t>39</w:t>
      </w:r>
      <w:r w:rsidR="006F7FD7">
        <w:fldChar w:fldCharType="end"/>
      </w:r>
      <w:r w:rsidRPr="002D1DD7">
        <w:t xml:space="preserve"> </w:t>
      </w:r>
    </w:p>
    <w:p w14:paraId="6D4DF4A5" w14:textId="287E6823" w:rsidR="00B80271" w:rsidRPr="002D1DD7" w:rsidRDefault="00B80271" w:rsidP="00B80271">
      <w:r w:rsidRPr="002D1DD7">
        <w:t xml:space="preserve">Cunanan </w:t>
      </w:r>
      <w:r w:rsidRPr="002D1DD7">
        <w:rPr>
          <w:i/>
        </w:rPr>
        <w:t>et al</w:t>
      </w:r>
      <w:r w:rsidR="006F7FD7">
        <w:fldChar w:fldCharType="begin"/>
      </w:r>
      <w:r w:rsidR="000E66DE">
        <w:instrText xml:space="preserve"> ADDIN EN.CITE &lt;EndNote&gt;&lt;Cite&gt;&lt;Author&gt;Cunanan&lt;/Author&gt;&lt;Year&gt;2017&lt;/Year&gt;&lt;RecNum&gt;3407&lt;/RecNum&gt;&lt;DisplayText&gt;&lt;style face="superscript"&gt;40&lt;/style&gt;&lt;/DisplayText&gt;&lt;record&gt;&lt;rec-number&gt;3407&lt;/rec-number&gt;&lt;foreign-keys&gt;&lt;key app="EN" db-id="dwaevxvazfs2f3ewvzmxrd0k0wasw55p2z2w" timestamp="1569599389"&gt;3407&lt;/key&gt;&lt;/foreign-keys&gt;&lt;ref-type name="Journal Article"&gt;17&lt;/ref-type&gt;&lt;contributors&gt;&lt;authors&gt;&lt;author&gt;Cunanan, Kristen M.&lt;/author&gt;&lt;author&gt;Iasonos, Alexia&lt;/author&gt;&lt;author&gt;Shen, Ronglai&lt;/author&gt;&lt;author&gt;Begg, Colin B.&lt;/author&gt;&lt;author&gt;Gönen, Mithat&lt;/author&gt;&lt;/authors&gt;&lt;/contributors&gt;&lt;titles&gt;&lt;title&gt;An efficient basket trial design&lt;/title&gt;&lt;secondary-title&gt;Statistics in Medicine&lt;/secondary-title&gt;&lt;/titles&gt;&lt;periodical&gt;&lt;full-title&gt;Statistics in Medicine&lt;/full-title&gt;&lt;abbr-1&gt;Stat Med&lt;/abbr-1&gt;&lt;/periodical&gt;&lt;pages&gt;1568-1579&lt;/pages&gt;&lt;volume&gt;36&lt;/volume&gt;&lt;number&gt;10&lt;/number&gt;&lt;dates&gt;&lt;year&gt;2017&lt;/year&gt;&lt;/dates&gt;&lt;isbn&gt;0277-6715&lt;/isbn&gt;&lt;urls&gt;&lt;/urls&gt;&lt;electronic-resource-num&gt;10.1002/sim.7227&lt;/electronic-resource-num&gt;&lt;research-notes&gt;https://onlinelibrary.wiley.com/doi/abs/10.1002/sim.7227&lt;/research-notes&gt;&lt;/record&gt;&lt;/Cite&gt;&lt;/EndNote&gt;</w:instrText>
      </w:r>
      <w:r w:rsidR="006F7FD7">
        <w:fldChar w:fldCharType="separate"/>
      </w:r>
      <w:r w:rsidR="006F7FD7" w:rsidRPr="006F7FD7">
        <w:rPr>
          <w:noProof/>
          <w:vertAlign w:val="superscript"/>
        </w:rPr>
        <w:t>40</w:t>
      </w:r>
      <w:r w:rsidR="006F7FD7">
        <w:fldChar w:fldCharType="end"/>
      </w:r>
      <w:r w:rsidRPr="002D1DD7">
        <w:t xml:space="preserve"> later proposed an efficient study design for the specific scenario of the typical basket trial in oncology, which assesses the homogeneity of the baskets’ response rates at an interim analysis, aggregating the baskets in the second stage (i.e. full borrowing of information) if results suggest effectiveness in all or most baskets, or treating each basket separately (i.e. no borrowing) otherwise. </w:t>
      </w:r>
      <w:r w:rsidRPr="002D1DD7">
        <w:lastRenderedPageBreak/>
        <w:t>Their basic premise is that the design can be made more efficient by aggregating information from separate baskets in which it can be assumed that the drug has similar efficacy, based on an interim analysis. Thus, the second stage of the design could have a much smaller sample size for the same power to demonstrate clinical efficacy. The first stage of the design is based on the parallel, independent two-stage Simon’s design. When each basket has recruited a small number of patients, the heterogeneity in response across baskets is evaluated. If results support the assumption that the drug’s effects are similar across baskets, then either the trial is terminated for futility (if response is low) or a decision is made to continue to the second stage where all baskets will be pooled for analysis. If there is evidence of heterogeneity across baskets, then the trial will continue only for those baskets showing a promising level of response and these will be analysed separately at the end of the trial. This type of design answers the overall question of efficacy in the whole population more efficiently when there is evidence of homogeneity at an interim stage whi</w:t>
      </w:r>
      <w:r w:rsidR="00AA3550">
        <w:t>l</w:t>
      </w:r>
      <w:r w:rsidRPr="002D1DD7">
        <w:t>st also shortening trial duration.</w:t>
      </w:r>
      <w:r w:rsidR="006F7FD7">
        <w:fldChar w:fldCharType="begin"/>
      </w:r>
      <w:r w:rsidR="000E66DE">
        <w:instrText xml:space="preserve"> ADDIN EN.CITE &lt;EndNote&gt;&lt;Cite&gt;&lt;Author&gt;Simon&lt;/Author&gt;&lt;Year&gt;2016&lt;/Year&gt;&lt;RecNum&gt;3442&lt;/RecNum&gt;&lt;DisplayText&gt;&lt;style face="superscript"&gt;41&lt;/style&gt;&lt;/DisplayText&gt;&lt;record&gt;&lt;rec-number&gt;3442&lt;/rec-number&gt;&lt;foreign-keys&gt;&lt;key app="EN" db-id="dwaevxvazfs2f3ewvzmxrd0k0wasw55p2z2w" timestamp="1570019012"&gt;3442&lt;/key&gt;&lt;/foreign-keys&gt;&lt;ref-type name="Journal Article"&gt;17&lt;/ref-type&gt;&lt;contributors&gt;&lt;authors&gt;&lt;author&gt;Simon, Richard&lt;/author&gt;&lt;author&gt;Geyer, Susan&lt;/author&gt;&lt;author&gt;Subramanian, Jyothi&lt;/author&gt;&lt;author&gt;Roychowdhury, Sameek&lt;/author&gt;&lt;/authors&gt;&lt;/contributors&gt;&lt;titles&gt;&lt;title&gt;The Bayesian basket design for genomic variant-driven phase II trials&lt;/title&gt;&lt;secondary-title&gt;Seminars in Oncology&lt;/secondary-title&gt;&lt;/titles&gt;&lt;periodical&gt;&lt;full-title&gt;Seminars in Oncology&lt;/full-title&gt;&lt;abbr-1&gt;Semin Oncol&lt;/abbr-1&gt;&lt;/periodical&gt;&lt;pages&gt;13-18&lt;/pages&gt;&lt;volume&gt;43&lt;/volume&gt;&lt;number&gt;1&lt;/number&gt;&lt;keywords&gt;&lt;keyword&gt;Basket clinical trials&lt;/keyword&gt;&lt;keyword&gt;Genomic clinical trials&lt;/keyword&gt;&lt;keyword&gt;Actionable mutations&lt;/keyword&gt;&lt;/keywords&gt;&lt;dates&gt;&lt;year&gt;2016&lt;/year&gt;&lt;pub-dates&gt;&lt;date&gt;2016/02/01/&lt;/date&gt;&lt;/pub-dates&gt;&lt;/dates&gt;&lt;isbn&gt;0093-7754&lt;/isbn&gt;&lt;urls&gt;&lt;/urls&gt;&lt;electronic-resource-num&gt;https://doi.org/10.1053/j.seminoncol.2016.01.002&lt;/electronic-resource-num&gt;&lt;research-notes&gt;http://www.sciencedirect.com/science/article/pii/S0093775416000038&lt;/research-notes&gt;&lt;/record&gt;&lt;/Cite&gt;&lt;/EndNote&gt;</w:instrText>
      </w:r>
      <w:r w:rsidR="006F7FD7">
        <w:fldChar w:fldCharType="separate"/>
      </w:r>
      <w:r w:rsidR="006F7FD7" w:rsidRPr="006F7FD7">
        <w:rPr>
          <w:noProof/>
          <w:vertAlign w:val="superscript"/>
        </w:rPr>
        <w:t>41</w:t>
      </w:r>
      <w:r w:rsidR="006F7FD7">
        <w:fldChar w:fldCharType="end"/>
      </w:r>
      <w:r w:rsidRPr="002D1DD7">
        <w:t xml:space="preserve"> However, this is at the expense of loss of accuracy at assessing efficacy within each separate basket.</w:t>
      </w:r>
      <w:r w:rsidR="006F7FD7">
        <w:fldChar w:fldCharType="begin"/>
      </w:r>
      <w:r w:rsidR="000E66DE">
        <w:instrText xml:space="preserve"> ADDIN EN.CITE &lt;EndNote&gt;&lt;Cite&gt;&lt;Author&gt;Cunanan&lt;/Author&gt;&lt;Year&gt;2017&lt;/Year&gt;&lt;RecNum&gt;3407&lt;/RecNum&gt;&lt;DisplayText&gt;&lt;style face="superscript"&gt;40&lt;/style&gt;&lt;/DisplayText&gt;&lt;record&gt;&lt;rec-number&gt;3407&lt;/rec-number&gt;&lt;foreign-keys&gt;&lt;key app="EN" db-id="dwaevxvazfs2f3ewvzmxrd0k0wasw55p2z2w" timestamp="1569599389"&gt;3407&lt;/key&gt;&lt;/foreign-keys&gt;&lt;ref-type name="Journal Article"&gt;17&lt;/ref-type&gt;&lt;contributors&gt;&lt;authors&gt;&lt;author&gt;Cunanan, Kristen M.&lt;/author&gt;&lt;author&gt;Iasonos, Alexia&lt;/author&gt;&lt;author&gt;Shen, Ronglai&lt;/author&gt;&lt;author&gt;Begg, Colin B.&lt;/author&gt;&lt;author&gt;Gönen, Mithat&lt;/author&gt;&lt;/authors&gt;&lt;/contributors&gt;&lt;titles&gt;&lt;title&gt;An efficient basket trial design&lt;/title&gt;&lt;secondary-title&gt;Statistics in Medicine&lt;/secondary-title&gt;&lt;/titles&gt;&lt;periodical&gt;&lt;full-title&gt;Statistics in Medicine&lt;/full-title&gt;&lt;abbr-1&gt;Stat Med&lt;/abbr-1&gt;&lt;/periodical&gt;&lt;pages&gt;1568-1579&lt;/pages&gt;&lt;volume&gt;36&lt;/volume&gt;&lt;number&gt;10&lt;/number&gt;&lt;dates&gt;&lt;year&gt;2017&lt;/year&gt;&lt;/dates&gt;&lt;isbn&gt;0277-6715&lt;/isbn&gt;&lt;urls&gt;&lt;/urls&gt;&lt;electronic-resource-num&gt;10.1002/sim.7227&lt;/electronic-resource-num&gt;&lt;research-notes&gt;https://onlinelibrary.wiley.com/doi/abs/10.1002/sim.7227&lt;/research-notes&gt;&lt;/record&gt;&lt;/Cite&gt;&lt;/EndNote&gt;</w:instrText>
      </w:r>
      <w:r w:rsidR="006F7FD7">
        <w:fldChar w:fldCharType="separate"/>
      </w:r>
      <w:r w:rsidR="006F7FD7" w:rsidRPr="006F7FD7">
        <w:rPr>
          <w:noProof/>
          <w:vertAlign w:val="superscript"/>
        </w:rPr>
        <w:t>40</w:t>
      </w:r>
      <w:r w:rsidR="006F7FD7">
        <w:fldChar w:fldCharType="end"/>
      </w:r>
      <w:r w:rsidRPr="002D1DD7">
        <w:t xml:space="preserve"> A different approach to testing, which replaces the question of whether there is response to therapy with the question of whether there are differences by tumour type (i.e. across baskets) has also been proposed.</w:t>
      </w:r>
      <w:r w:rsidR="006F7FD7">
        <w:fldChar w:fldCharType="begin"/>
      </w:r>
      <w:r w:rsidR="000E66DE">
        <w:instrText xml:space="preserve"> ADDIN EN.CITE &lt;EndNote&gt;&lt;Cite&gt;&lt;Author&gt;Palmer&lt;/Author&gt;&lt;Year&gt;2018&lt;/Year&gt;&lt;RecNum&gt;3446&lt;/RecNum&gt;&lt;DisplayText&gt;&lt;style face="superscript"&gt;42&lt;/style&gt;&lt;/DisplayText&gt;&lt;record&gt;&lt;rec-number&gt;3446&lt;/rec-number&gt;&lt;foreign-keys&gt;&lt;key app="EN" db-id="dwaevxvazfs2f3ewvzmxrd0k0wasw55p2z2w" timestamp="1570029849"&gt;3446&lt;/key&gt;&lt;/foreign-keys&gt;&lt;ref-type name="Journal Article"&gt;17&lt;/ref-type&gt;&lt;contributors&gt;&lt;authors&gt;&lt;author&gt;Palmer, Adam C.&lt;/author&gt;&lt;author&gt;Plana, Deborah&lt;/author&gt;&lt;author&gt;Sorger, Peter K.&lt;/author&gt;&lt;/authors&gt;&lt;/contributors&gt;&lt;titles&gt;&lt;title&gt;Comparing the efficacy of cancer therapies between subgroups in basket trials&lt;/title&gt;&lt;secondary-title&gt;bioRxiv&lt;/secondary-title&gt;&lt;/titles&gt;&lt;periodical&gt;&lt;full-title&gt;BioRxiv&lt;/full-title&gt;&lt;/periodical&gt;&lt;pages&gt;401620&lt;/pages&gt;&lt;dates&gt;&lt;year&gt;2018&lt;/year&gt;&lt;/dates&gt;&lt;urls&gt;&lt;/urls&gt;&lt;electronic-resource-num&gt; https://doi.org/10.1101/401620&lt;/electronic-resource-num&gt;&lt;research-notes&gt;https://www.biorxiv.org/content/biorxiv/early/2018/08/28/401620.full.pdf&lt;/research-notes&gt;&lt;/record&gt;&lt;/Cite&gt;&lt;/EndNote&gt;</w:instrText>
      </w:r>
      <w:r w:rsidR="006F7FD7">
        <w:fldChar w:fldCharType="separate"/>
      </w:r>
      <w:r w:rsidR="006F7FD7" w:rsidRPr="006F7FD7">
        <w:rPr>
          <w:noProof/>
          <w:vertAlign w:val="superscript"/>
        </w:rPr>
        <w:t>42</w:t>
      </w:r>
      <w:r w:rsidR="006F7FD7">
        <w:fldChar w:fldCharType="end"/>
      </w:r>
      <w:r w:rsidRPr="002D1DD7">
        <w:t xml:space="preserve"> </w:t>
      </w:r>
    </w:p>
    <w:p w14:paraId="77F5DA39" w14:textId="4DD40CD6" w:rsidR="00B80271" w:rsidRPr="002D1DD7" w:rsidRDefault="00B80271" w:rsidP="00BF52D7">
      <w:pPr>
        <w:rPr>
          <w:rFonts w:cs="Times New Roman"/>
        </w:rPr>
      </w:pPr>
      <w:r w:rsidRPr="002D1DD7">
        <w:t xml:space="preserve">Although acknowledging the potential for heterogeneity, once a decision has been made on whether heterogeneity is present or not, the analysis proceeds as either separate, independent studies for each basket, or as a single, aggregate, study combining all the baskets. Thus, either complete homogeneity or completely unrelated effects is assumed. A less restrictive assumption is that efficacy is similar (rather than equal or completely different) across baskets, with the different histologies not determining a particular ordering of effectiveness </w:t>
      </w:r>
      <w:r w:rsidRPr="002D1DD7">
        <w:rPr>
          <w:i/>
        </w:rPr>
        <w:t>a priori</w:t>
      </w:r>
      <w:r w:rsidRPr="002D1DD7">
        <w:t xml:space="preserve">, </w:t>
      </w:r>
      <w:r w:rsidR="00C30D9F" w:rsidRPr="002D1DD7">
        <w:t>i.e.</w:t>
      </w:r>
      <w:r w:rsidRPr="002D1DD7">
        <w:t xml:space="preserve"> the baskets are exchangeable.</w:t>
      </w:r>
      <w:r w:rsidR="00640005">
        <w:t xml:space="preserve"> </w:t>
      </w:r>
      <w:r w:rsidRPr="002D1DD7">
        <w:t>Bayesian hierarchical models</w:t>
      </w:r>
      <w:r w:rsidR="006F7FD7">
        <w:fldChar w:fldCharType="begin">
          <w:fldData xml:space="preserve">PEVuZE5vdGU+PENpdGU+PEF1dGhvcj5TcGllZ2VsaGFsdGVyPC9BdXRob3I+PFllYXI+MjAwNDwv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</w:fldData>
        </w:fldChar>
      </w:r>
      <w:r w:rsidR="000E66DE">
        <w:instrText xml:space="preserve"> ADDIN EN.CITE </w:instrText>
      </w:r>
      <w:r w:rsidR="000E66DE">
        <w:fldChar w:fldCharType="begin">
          <w:fldData xml:space="preserve">PEVuZE5vdGU+PENpdGU+PEF1dGhvcj5TcGllZ2VsaGFsdGVyPC9BdXRob3I+PFllYXI+MjAwNDwv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</w:fldData>
        </w:fldChar>
      </w:r>
      <w:r w:rsidR="000E66DE">
        <w:instrText xml:space="preserve"> ADDIN EN.CITE.DATA </w:instrText>
      </w:r>
      <w:r w:rsidR="000E66DE">
        <w:fldChar w:fldCharType="end"/>
      </w:r>
      <w:r w:rsidR="006F7FD7">
        <w:fldChar w:fldCharType="separate"/>
      </w:r>
      <w:r w:rsidR="006F7FD7" w:rsidRPr="006F7FD7">
        <w:rPr>
          <w:noProof/>
          <w:vertAlign w:val="superscript"/>
        </w:rPr>
        <w:t>43, 44</w:t>
      </w:r>
      <w:r w:rsidR="006F7FD7">
        <w:fldChar w:fldCharType="end"/>
      </w:r>
      <w:r w:rsidRPr="002D1DD7">
        <w:t xml:space="preserve"> (BHM) are particularly suited for this situation as they estimate the heterogeneity and allow borrowing of information on the </w:t>
      </w:r>
      <w:r w:rsidR="00640005">
        <w:t>effects of the treatment</w:t>
      </w:r>
      <w:r w:rsidRPr="002D1DD7">
        <w:t xml:space="preserve"> across baskets, increasing precision of estimates compared to analysing all baskets separately, whilst reducing the chances of obtaining extreme estimates in baskets with few patients. Thall </w:t>
      </w:r>
      <w:r w:rsidRPr="002D1DD7">
        <w:rPr>
          <w:i/>
        </w:rPr>
        <w:t>et al</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r w:rsidRPr="002D1DD7">
        <w:t xml:space="preserve"> proposed a BHM which produces estimates of efficacy (e.g. probability of response) for each basket that are shrunken towards the mean efficacy (e.g. pooled probability of response) across all baskets. The model is an extension of a Bayesian </w:t>
      </w:r>
      <w:r w:rsidR="00BF52D7">
        <w:t>P</w:t>
      </w:r>
      <w:r w:rsidRPr="002D1DD7">
        <w:t xml:space="preserve">hase II design where the trial is stopped if the posterior probability that the response rate is at least </w:t>
      </w:r>
      <m:oMath>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m:t>
            </m:r>
          </m:sup>
        </m:sSup>
      </m:oMath>
      <w:r w:rsidRPr="002D1DD7">
        <w:t xml:space="preserve"> falls below a pre-specified cut-off and can be applied to both binary and time-to-event data.</w:t>
      </w:r>
      <w:r w:rsidR="006F7FD7">
        <w:fldChar w:fldCharType="begin"/>
      </w:r>
      <w:r w:rsidR="000E66DE">
        <w:instrText xml:space="preserve"> ADDIN EN.CITE &lt;EndNote&gt;&lt;Cite&gt;&lt;Author&gt;Thall&lt;/Author&gt;&lt;Year&gt;1998&lt;/Year&gt;&lt;RecNum&gt;3448&lt;/RecNum&gt;&lt;DisplayText&gt;&lt;style face="superscript"&gt;45&lt;/style&gt;&lt;/DisplayText&gt;&lt;record&gt;&lt;rec-number&gt;3448&lt;/rec-number&gt;&lt;foreign-keys&gt;&lt;key app="EN" db-id="dwaevxvazfs2f3ewvzmxrd0k0wasw55p2z2w" timestamp="1570031173"&gt;3448&lt;/key&gt;&lt;/foreign-keys&gt;&lt;ref-type name="Journal Article"&gt;17&lt;/ref-type&gt;&lt;contributors&gt;&lt;authors&gt;&lt;author&gt;Thall, Peter F.&lt;/author&gt;&lt;author&gt;Sung, Hsi-Guang&lt;/author&gt;&lt;/authors&gt;&lt;/contributors&gt;&lt;titles&gt;&lt;title&gt;Some extensions and applications of a Bayesian strategy for monitoring multiple outcomes in clinical trials&lt;/title&gt;&lt;secondary-title&gt;Statistics in Medicine&lt;/secondary-title&gt;&lt;/titles&gt;&lt;periodical&gt;&lt;full-title&gt;Statistics in Medicine&lt;/full-title&gt;&lt;abbr-1&gt;Stat Med&lt;/abbr-1&gt;&lt;/periodical&gt;&lt;pages&gt;1563-1580&lt;/pages&gt;&lt;volume&gt;17&lt;/volume&gt;&lt;number&gt;14&lt;/number&gt;&lt;dates&gt;&lt;year&gt;1998&lt;/year&gt;&lt;/dates&gt;&lt;isbn&gt;0277-6715&lt;/isbn&gt;&lt;urls&gt;&lt;/urls&gt;&lt;electronic-resource-num&gt;10.1002/(sici)1097-0258(19980730)17:14&amp;lt;1563::Aid-sim873&amp;gt;3.0.Co;2-l&lt;/electronic-resource-num&gt;&lt;research-notes&gt;https://onlinelibrary.wiley.com/doi/abs/10.1002/%28SICI%291097-0258%2819980730%2917%3A14%3C1563%3A%3AAID-SIM873%3E3.0.CO%3B2-L&lt;/research-notes&gt;&lt;/record&gt;&lt;/Cite&gt;&lt;/EndNote&gt;</w:instrText>
      </w:r>
      <w:r w:rsidR="006F7FD7">
        <w:fldChar w:fldCharType="separate"/>
      </w:r>
      <w:r w:rsidR="006F7FD7" w:rsidRPr="006F7FD7">
        <w:rPr>
          <w:noProof/>
          <w:vertAlign w:val="superscript"/>
        </w:rPr>
        <w:t>45</w:t>
      </w:r>
      <w:r w:rsidR="006F7FD7">
        <w:fldChar w:fldCharType="end"/>
      </w:r>
      <w:r w:rsidRPr="002D1DD7">
        <w:t xml:space="preserve"> Each basket is assumed to have a different treatment effect (event probability or event rate) </w:t>
      </w:r>
      <w:r w:rsidR="00640005" w:rsidRPr="00640005">
        <w:rPr>
          <w:rFonts w:cs="Times New Roman"/>
          <w:i/>
        </w:rPr>
        <w:t>θ</w:t>
      </w:r>
      <w:r w:rsidR="00640005" w:rsidRPr="00640005">
        <w:rPr>
          <w:i/>
          <w:vertAlign w:val="subscript"/>
        </w:rPr>
        <w:t>j</w:t>
      </w:r>
      <w:r w:rsidR="00640005">
        <w:t xml:space="preserve"> </w:t>
      </w:r>
      <w:r w:rsidRPr="002D1DD7">
        <w:t xml:space="preserve">and these are assumed exchangeable (i.e. similar) and correlated </w:t>
      </w:r>
      <w:r w:rsidRPr="002D1DD7">
        <w:rPr>
          <w:i/>
        </w:rPr>
        <w:t>a priori</w:t>
      </w:r>
      <w:r w:rsidRPr="002D1DD7">
        <w:t xml:space="preserve">. Specifically it is assumed that the </w:t>
      </w:r>
      <w:r w:rsidR="00640005" w:rsidRPr="00640005">
        <w:rPr>
          <w:rFonts w:cs="Times New Roman"/>
          <w:i/>
        </w:rPr>
        <w:t>θ</w:t>
      </w:r>
      <w:r w:rsidR="00640005" w:rsidRPr="00640005">
        <w:rPr>
          <w:i/>
          <w:vertAlign w:val="subscript"/>
        </w:rPr>
        <w:t>j</w:t>
      </w:r>
      <w:r w:rsidR="00640005">
        <w:t xml:space="preserve"> </w:t>
      </w:r>
      <w:r w:rsidRPr="002D1DD7">
        <w:t xml:space="preserve">follow a BHM, while allowing a separate stopping rule for each basket. Thus, the model will identify subgroups where results are not promising which can be dropped at a subsequent stage. Because the effects are assumed to be correlated across baskets, data </w:t>
      </w:r>
      <w:r w:rsidR="00DB2743" w:rsidRPr="002D1DD7">
        <w:t>f</w:t>
      </w:r>
      <w:r w:rsidR="00DB2743">
        <w:t>ro</w:t>
      </w:r>
      <w:r w:rsidR="00DB2743" w:rsidRPr="002D1DD7">
        <w:t xml:space="preserve">m </w:t>
      </w:r>
      <w:r w:rsidRPr="002D1DD7">
        <w:t xml:space="preserve">each individual basket will provide information on the effects in all the other baskets, so that for example, a </w:t>
      </w:r>
      <w:r w:rsidRPr="002D1DD7">
        <w:lastRenderedPageBreak/>
        <w:t>longer survival time for a patient in a given basket will increase the posterior distributions of all</w:t>
      </w:r>
      <w:r w:rsidR="00C506C2">
        <w:t xml:space="preserve"> </w:t>
      </w:r>
      <w:r w:rsidR="00C506C2" w:rsidRPr="00640005">
        <w:rPr>
          <w:rFonts w:cs="Times New Roman"/>
          <w:i/>
        </w:rPr>
        <w:t>θ</w:t>
      </w:r>
      <w:r w:rsidR="00C506C2" w:rsidRPr="00640005">
        <w:rPr>
          <w:i/>
          <w:vertAlign w:val="subscript"/>
        </w:rPr>
        <w:t>j</w:t>
      </w:r>
      <w:r w:rsidR="00C506C2">
        <w:t>,</w:t>
      </w:r>
      <w:r w:rsidRPr="002D1DD7">
        <w:t xml:space="preserve"> on average. In other words, information is borrowed across baskets, which shrinks the observed effects towards the pooled mean effect. Outputs from the resulting analysis include the posterior distributions for the effect (e.g. response or event rate) in each basket, posterior distributions for the pooled effect across all baskets, as well as the posterior distribution for the heterogeneity across baskets. In addition, a predictive distribution for the effect in a new study sampling baskets from the same overall population, can be calculated to reflect the full degree of uncertainty both due to the sample size and the observed heterogeneity in effects across the observed baskets. A </w:t>
      </w:r>
      <w:r w:rsidR="00BF52D7">
        <w:t>P</w:t>
      </w:r>
      <w:r w:rsidRPr="002D1DD7">
        <w:t>hase II trial of imatinib in 10 histologic subtypes of sarcoma used this design: accrual within a sarcoma subtype would stop if it was unlikely that its response rate was at least 30%.</w:t>
      </w:r>
      <w:r w:rsidR="006F7FD7">
        <w:fldChar w:fldCharType="begin">
          <w:fldData xml:space="preserve">PEVuZE5vdGU+PENpdGU+PEF1dGhvcj5UaGFsbDwvQXV0aG9yPjxZZWFyPjIwMDM8L1llYXI+PFJl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</w:fldData>
        </w:fldChar>
      </w:r>
      <w:r w:rsidR="000E66DE">
        <w:instrText xml:space="preserve"> ADDIN EN.CITE </w:instrText>
      </w:r>
      <w:r w:rsidR="000E66DE">
        <w:fldChar w:fldCharType="begin">
          <w:fldData xml:space="preserve">PEVuZE5vdGU+PENpdGU+PEF1dGhvcj5UaGFsbDwvQXV0aG9yPjxZZWFyPjIwMDM8L1llYXI+PFJl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</w:fldData>
        </w:fldChar>
      </w:r>
      <w:r w:rsidR="000E66DE">
        <w:instrText xml:space="preserve"> ADDIN EN.CITE.DATA </w:instrText>
      </w:r>
      <w:r w:rsidR="000E66DE">
        <w:fldChar w:fldCharType="end"/>
      </w:r>
      <w:r w:rsidR="006F7FD7">
        <w:fldChar w:fldCharType="separate"/>
      </w:r>
      <w:r w:rsidR="006F7FD7" w:rsidRPr="006F7FD7">
        <w:rPr>
          <w:noProof/>
          <w:vertAlign w:val="superscript"/>
        </w:rPr>
        <w:t>34, 44, 46</w:t>
      </w:r>
      <w:r w:rsidR="006F7FD7">
        <w:fldChar w:fldCharType="end"/>
      </w:r>
    </w:p>
    <w:p w14:paraId="2DC1BD23" w14:textId="4D7DA9C9" w:rsidR="00B80271" w:rsidRPr="002D1DD7" w:rsidRDefault="00B80271" w:rsidP="00B80271">
      <w:r w:rsidRPr="002D1DD7">
        <w:t>The BHM was shown to be a better design for a single</w:t>
      </w:r>
      <w:r w:rsidR="00DB2743">
        <w:t>-</w:t>
      </w:r>
      <w:r w:rsidRPr="002D1DD7">
        <w:t>arm, non-randomised trial with a tumour response endpoint, when there is a possibility of different effects i</w:t>
      </w:r>
      <w:r w:rsidR="00DB2743">
        <w:t>n</w:t>
      </w:r>
      <w:r w:rsidRPr="002D1DD7">
        <w:t xml:space="preserve"> different subgroups of patients, when compared to Simon’s optimal two-stage design and to the Bayesian adaptive design with no borrowing.</w:t>
      </w:r>
      <w:r w:rsidR="006F7FD7">
        <w:fldChar w:fldCharType="begin"/>
      </w:r>
      <w:r w:rsidR="000E66DE">
        <w:instrText xml:space="preserve"> ADDIN EN.CITE &lt;EndNote&gt;&lt;Cite&gt;&lt;Author&gt;Berry&lt;/Author&gt;&lt;Year&gt;2013&lt;/Year&gt;&lt;RecNum&gt;3437&lt;/RecNum&gt;&lt;DisplayText&gt;&lt;style face="superscript"&gt;47&lt;/style&gt;&lt;/DisplayText&gt;&lt;record&gt;&lt;rec-number&gt;3437&lt;/rec-number&gt;&lt;foreign-keys&gt;&lt;key app="EN" db-id="dwaevxvazfs2f3ewvzmxrd0k0wasw55p2z2w" timestamp="1570007623"&gt;3437&lt;/key&gt;&lt;/foreign-keys&gt;&lt;ref-type name="Journal Article"&gt;17&lt;/ref-type&gt;&lt;contributors&gt;&lt;authors&gt;&lt;author&gt;Berry, Scott M&lt;/author&gt;&lt;author&gt;Broglio, Kristine R&lt;/author&gt;&lt;author&gt;Groshen, Susan&lt;/author&gt;&lt;author&gt;Berry, Donald A&lt;/author&gt;&lt;/authors&gt;&lt;/contributors&gt;&lt;titles&gt;&lt;title&gt;Bayesian hierarchical modeling of patient subpopulations: Efficient designs of Phase II oncology clinical trials&lt;/title&gt;&lt;secondary-title&gt;Clinical Trials&lt;/secondary-title&gt;&lt;/titles&gt;&lt;periodical&gt;&lt;full-title&gt;Clinical Trials&lt;/full-title&gt;&lt;abbr-1&gt;Clin Trial&lt;/abbr-1&gt;&lt;/periodical&gt;&lt;pages&gt;720-734&lt;/pages&gt;&lt;volume&gt;10&lt;/volume&gt;&lt;number&gt;5&lt;/number&gt;&lt;dates&gt;&lt;year&gt;2013&lt;/year&gt;&lt;/dates&gt;&lt;accession-num&gt;23983156&lt;/accession-num&gt;&lt;urls&gt;&lt;/urls&gt;&lt;electronic-resource-num&gt;10.1177/1740774513497539&lt;/electronic-resource-num&gt;&lt;research-notes&gt;https://journals.sagepub.com/doi/abs/10.1177/1740774513497539&lt;/research-notes&gt;&lt;/record&gt;&lt;/Cite&gt;&lt;/EndNote&gt;</w:instrText>
      </w:r>
      <w:r w:rsidR="006F7FD7">
        <w:fldChar w:fldCharType="separate"/>
      </w:r>
      <w:r w:rsidR="006F7FD7" w:rsidRPr="006F7FD7">
        <w:rPr>
          <w:noProof/>
          <w:vertAlign w:val="superscript"/>
        </w:rPr>
        <w:t>47</w:t>
      </w:r>
      <w:r w:rsidR="006F7FD7">
        <w:fldChar w:fldCharType="end"/>
      </w:r>
      <w:r w:rsidRPr="002D1DD7">
        <w:t xml:space="preserve"> However, the hierarchical borrowing can make it more difficult to find a single basket where the treatment is promising, although it is more likely than the other designs to correctly conclude futility or efficacy.</w:t>
      </w:r>
    </w:p>
    <w:p w14:paraId="7C81A813" w14:textId="125E5F3E" w:rsidR="00B80271" w:rsidRPr="002D1DD7" w:rsidRDefault="00B80271" w:rsidP="00B80271">
      <w:r w:rsidRPr="002D1DD7">
        <w:t>Any borrowing and precision gains from a BHM are only advantageous if the exchangeability assumption is reasonable. An approach for assessing homogeneity at an interim analysis and proceeding with a BHM in the second stage only if efficacy is deemed reasonably homogeneous, has been proposed.</w:t>
      </w:r>
      <w:r w:rsidR="006F7FD7">
        <w:fldChar w:fldCharType="begin"/>
      </w:r>
      <w:r w:rsidR="000E66DE">
        <w:instrText xml:space="preserve"> ADDIN EN.CITE &lt;EndNote&gt;&lt;Cite&gt;&lt;Author&gt;Liu&lt;/Author&gt;&lt;Year&gt;2017&lt;/Year&gt;&lt;RecNum&gt;3453&lt;/RecNum&gt;&lt;DisplayText&gt;&lt;style face="superscript"&gt;48&lt;/style&gt;&lt;/DisplayText&gt;&lt;record&gt;&lt;rec-number&gt;3453&lt;/rec-number&gt;&lt;foreign-keys&gt;&lt;key app="EN" db-id="dwaevxvazfs2f3ewvzmxrd0k0wasw55p2z2w" timestamp="1573232964"&gt;3453&lt;/key&gt;&lt;/foreign-keys&gt;&lt;ref-type name="Journal Article"&gt;17&lt;/ref-type&gt;&lt;contributors&gt;&lt;authors&gt;&lt;author&gt;Liu, Rong&lt;/author&gt;&lt;author&gt;Liu, Zheyu&lt;/author&gt;&lt;author&gt;Ghadessi, Mercedeh&lt;/author&gt;&lt;author&gt;Vonk, Richardus&lt;/author&gt;&lt;/authors&gt;&lt;/contributors&gt;&lt;titles&gt;&lt;title&gt;Increasing the efficiency of oncology basket trials using a Bayesian approach&lt;/title&gt;&lt;secondary-title&gt;Contemporary Clinical Trials&lt;/secondary-title&gt;&lt;/titles&gt;&lt;periodical&gt;&lt;full-title&gt;Contemporary Clinical Trials&lt;/full-title&gt;&lt;abbr-1&gt;Contemp Clin Trials&lt;/abbr-1&gt;&lt;/periodical&gt;&lt;pages&gt;67-72&lt;/pages&gt;&lt;volume&gt;63&lt;/volume&gt;&lt;dates&gt;&lt;year&gt;2017&lt;/year&gt;&lt;/dates&gt;&lt;isbn&gt;1551-7144&lt;/isbn&gt;&lt;urls&gt;&lt;/urls&gt;&lt;electronic-resource-num&gt;https://doi.org/10.1016/j.cct.2017.06.009&lt;/electronic-resource-num&gt;&lt;research-notes&gt;http://www.sciencedirect.com/science/article/pii/S1551714416304608&lt;/research-notes&gt;&lt;/record&gt;&lt;/Cite&gt;&lt;/EndNote&gt;</w:instrText>
      </w:r>
      <w:r w:rsidR="006F7FD7">
        <w:fldChar w:fldCharType="separate"/>
      </w:r>
      <w:r w:rsidR="006F7FD7" w:rsidRPr="006F7FD7">
        <w:rPr>
          <w:noProof/>
          <w:vertAlign w:val="superscript"/>
        </w:rPr>
        <w:t>48</w:t>
      </w:r>
      <w:r w:rsidR="006F7FD7">
        <w:fldChar w:fldCharType="end"/>
      </w:r>
      <w:r w:rsidRPr="002D1DD7">
        <w:t xml:space="preserve"> This approach avoids problems caused by implementing a complete pooling model at the second stage</w:t>
      </w:r>
      <w:r w:rsidR="006F7FD7">
        <w:fldChar w:fldCharType="begin"/>
      </w:r>
      <w:r w:rsidR="000E66DE">
        <w:instrText xml:space="preserve"> ADDIN EN.CITE &lt;EndNote&gt;&lt;Cite&gt;&lt;Author&gt;Cunanan&lt;/Author&gt;&lt;Year&gt;2017&lt;/Year&gt;&lt;RecNum&gt;3407&lt;/RecNum&gt;&lt;DisplayText&gt;&lt;style face="superscript"&gt;40&lt;/style&gt;&lt;/DisplayText&gt;&lt;record&gt;&lt;rec-number&gt;3407&lt;/rec-number&gt;&lt;foreign-keys&gt;&lt;key app="EN" db-id="dwaevxvazfs2f3ewvzmxrd0k0wasw55p2z2w" timestamp="1569599389"&gt;3407&lt;/key&gt;&lt;/foreign-keys&gt;&lt;ref-type name="Journal Article"&gt;17&lt;/ref-type&gt;&lt;contributors&gt;&lt;authors&gt;&lt;author&gt;Cunanan, Kristen M.&lt;/author&gt;&lt;author&gt;Iasonos, Alexia&lt;/author&gt;&lt;author&gt;Shen, Ronglai&lt;/author&gt;&lt;author&gt;Begg, Colin B.&lt;/author&gt;&lt;author&gt;Gönen, Mithat&lt;/author&gt;&lt;/authors&gt;&lt;/contributors&gt;&lt;titles&gt;&lt;title&gt;An efficient basket trial design&lt;/title&gt;&lt;secondary-title&gt;Statistics in Medicine&lt;/secondary-title&gt;&lt;/titles&gt;&lt;periodical&gt;&lt;full-title&gt;Statistics in Medicine&lt;/full-title&gt;&lt;abbr-1&gt;Stat Med&lt;/abbr-1&gt;&lt;/periodical&gt;&lt;pages&gt;1568-1579&lt;/pages&gt;&lt;volume&gt;36&lt;/volume&gt;&lt;number&gt;10&lt;/number&gt;&lt;dates&gt;&lt;year&gt;2017&lt;/year&gt;&lt;/dates&gt;&lt;isbn&gt;0277-6715&lt;/isbn&gt;&lt;urls&gt;&lt;/urls&gt;&lt;electronic-resource-num&gt;10.1002/sim.7227&lt;/electronic-resource-num&gt;&lt;research-notes&gt;https://onlinelibrary.wiley.com/doi/abs/10.1002/sim.7227&lt;/research-notes&gt;&lt;/record&gt;&lt;/Cite&gt;&lt;/EndNote&gt;</w:instrText>
      </w:r>
      <w:r w:rsidR="006F7FD7">
        <w:fldChar w:fldCharType="separate"/>
      </w:r>
      <w:r w:rsidR="006F7FD7" w:rsidRPr="006F7FD7">
        <w:rPr>
          <w:noProof/>
          <w:vertAlign w:val="superscript"/>
        </w:rPr>
        <w:t>40</w:t>
      </w:r>
      <w:r w:rsidR="006F7FD7">
        <w:fldChar w:fldCharType="end"/>
      </w:r>
      <w:r w:rsidRPr="002D1DD7">
        <w:t xml:space="preserve"> or proceeding with a fully exchangeable BHM when there is evidence of outlying baskets.</w:t>
      </w:r>
      <w:r w:rsidR="00065401">
        <w:t xml:space="preserve"> </w:t>
      </w:r>
    </w:p>
    <w:p w14:paraId="1519E23B" w14:textId="3092316D" w:rsidR="00B80271" w:rsidRPr="002D1DD7" w:rsidRDefault="00B80271" w:rsidP="00B80271">
      <w:r w:rsidRPr="002D1DD7">
        <w:t>Hierarchical designs have been criticised when there is insufficient information in the outcome data to determine whether borrowing across subgroups is appropriate.</w:t>
      </w:r>
      <w:r w:rsidR="006F7FD7">
        <w:fldChar w:fldCharType="begin">
          <w:fldData xml:space="preserve">PEVuZE5vdGU+PENpdGU+PEF1dGhvcj5GcmVpZGxpbjwvQXV0aG9yPjxZZWFyPjIwMTM8L1llYXI+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</w:fldData>
        </w:fldChar>
      </w:r>
      <w:r w:rsidR="000E66DE">
        <w:instrText xml:space="preserve"> ADDIN EN.CITE </w:instrText>
      </w:r>
      <w:r w:rsidR="000E66DE">
        <w:fldChar w:fldCharType="begin">
          <w:fldData xml:space="preserve">PEVuZE5vdGU+PENpdGU+PEF1dGhvcj5GcmVpZGxpbjwvQXV0aG9yPjxZZWFyPjIwMTM8L1llYXI+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34, 49</w:t>
      </w:r>
      <w:r w:rsidR="006F7FD7">
        <w:fldChar w:fldCharType="end"/>
      </w:r>
      <w:r w:rsidRPr="002D1DD7">
        <w:t xml:space="preserve"> In addition, unknown between-subgroup heterogeneity, which drives the amount of borrowing, poses a major problem when the number of baskets is small (less than 10</w:t>
      </w:r>
      <w:r w:rsidR="009927EA">
        <w:t>, as a rule of thumb</w:t>
      </w:r>
      <w:r w:rsidR="006124E5">
        <w:t>)</w:t>
      </w:r>
      <w:r w:rsidR="006F7FD7">
        <w:fldChar w:fldCharType="begin"/>
      </w:r>
      <w:r w:rsidR="000E66DE">
        <w:instrText xml:space="preserve"> ADDIN EN.CITE &lt;EndNote&gt;&lt;Cite&gt;&lt;Author&gt;Freidlin&lt;/Author&gt;&lt;Year&gt;2013&lt;/Year&gt;&lt;RecNum&gt;3410&lt;/RecNum&gt;&lt;DisplayText&gt;&lt;style face="superscript"&gt;34&lt;/style&gt;&lt;/DisplayText&gt;&lt;record&gt;&lt;rec-number&gt;3410&lt;/rec-number&gt;&lt;foreign-keys&gt;&lt;key app="EN" db-id="dwaevxvazfs2f3ewvzmxrd0k0wasw55p2z2w" timestamp="1569599389"&gt;3410&lt;/key&gt;&lt;/foreign-keys&gt;&lt;ref-type name="Journal Article"&gt;17&lt;/ref-type&gt;&lt;contributors&gt;&lt;authors&gt;&lt;author&gt;Freidlin, Boris&lt;/author&gt;&lt;author&gt;Korn, Edward L.&lt;/author&gt;&lt;/authors&gt;&lt;/contributors&gt;&lt;titles&gt;&lt;title&gt;Borrowing information across subgroups in Phase II trials: Is it useful?&lt;/title&gt;&lt;secondary-title&gt;Clinical Cancer Research&lt;/secondary-title&gt;&lt;/titles&gt;&lt;periodical&gt;&lt;full-title&gt;Clinical Cancer Research&lt;/full-title&gt;&lt;abbr-1&gt;Clin Cancer Res&lt;/abbr-1&gt;&lt;/periodical&gt;&lt;pages&gt;1326-34&lt;/pages&gt;&lt;volume&gt;19&lt;/volume&gt;&lt;number&gt;6&lt;/number&gt;&lt;dates&gt;&lt;year&gt;2013&lt;/year&gt;&lt;/dates&gt;&lt;urls&gt;&lt;/urls&gt;&lt;electronic-resource-num&gt;10.1158/1078-0432.CCR-12-1223 %J Clinical Cancer Research&lt;/electronic-resource-num&gt;&lt;research-notes&gt;http://clincancerres.aacrjournals.org/content/clincanres/early/2013/03/04/1078-0432.CCR-12-1223.full.pdf&lt;/research-notes&gt;&lt;/record&gt;&lt;/Cite&gt;&lt;/EndNote&gt;</w:instrText>
      </w:r>
      <w:r w:rsidR="006F7FD7">
        <w:fldChar w:fldCharType="separate"/>
      </w:r>
      <w:r w:rsidR="006F7FD7" w:rsidRPr="006F7FD7">
        <w:rPr>
          <w:noProof/>
          <w:vertAlign w:val="superscript"/>
        </w:rPr>
        <w:t>34</w:t>
      </w:r>
      <w:r w:rsidR="006F7FD7">
        <w:fldChar w:fldCharType="end"/>
      </w:r>
      <w:r w:rsidRPr="002D1DD7">
        <w:t>, because it cannot be well inferred from the data and results will be sensitive to model specification, in particular to the specification of the prior distribution for the borrowing parameter.</w:t>
      </w:r>
      <w:r w:rsidR="006F7FD7">
        <w:fldChar w:fldCharType="begin">
          <w:fldData xml:space="preserve">PEVuZE5vdGU+PENpdGU+PEF1dGhvcj5GcmVpZGxpbjwvQXV0aG9yPjxZZWFyPjIwMTM8L1llYXI+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</w:fldData>
        </w:fldChar>
      </w:r>
      <w:r w:rsidR="000E66DE">
        <w:instrText xml:space="preserve"> ADDIN EN.CITE </w:instrText>
      </w:r>
      <w:r w:rsidR="000E66DE">
        <w:fldChar w:fldCharType="begin">
          <w:fldData xml:space="preserve">PEVuZE5vdGU+PENpdGU+PEF1dGhvcj5GcmVpZGxpbjwvQXV0aG9yPjxZZWFyPjIwMTM8L1llYXI+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</w:fldData>
        </w:fldChar>
      </w:r>
      <w:r w:rsidR="000E66DE">
        <w:instrText xml:space="preserve"> ADDIN EN.CITE.DATA </w:instrText>
      </w:r>
      <w:r w:rsidR="000E66DE">
        <w:fldChar w:fldCharType="end"/>
      </w:r>
      <w:r w:rsidR="006F7FD7">
        <w:fldChar w:fldCharType="separate"/>
      </w:r>
      <w:r w:rsidR="006F7FD7" w:rsidRPr="006F7FD7">
        <w:rPr>
          <w:noProof/>
          <w:vertAlign w:val="superscript"/>
        </w:rPr>
        <w:t>34, 50</w:t>
      </w:r>
      <w:r w:rsidR="006F7FD7">
        <w:fldChar w:fldCharType="end"/>
      </w:r>
      <w:r w:rsidRPr="002D1DD7">
        <w:t xml:space="preserve"> Alternatives to complete pooling or borrowing across all baskets have been proposed, which extend the BHM to allow borrowing of information across similar baskets while avoiding too optimistic borrowing for extreme baskets.</w:t>
      </w:r>
      <w:r w:rsidR="006F7FD7">
        <w:fldChar w:fldCharType="begin">
          <w:fldData xml:space="preserve">PEVuZE5vdGU+PENpdGU+PEF1dGhvcj5MZW9uLU5vdmVsbzwvQXV0aG9yPjxZZWFyPjIwMTI8L1ll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</w:fldData>
        </w:fldChar>
      </w:r>
      <w:r w:rsidR="000E66DE">
        <w:instrText xml:space="preserve"> ADDIN EN.CITE </w:instrText>
      </w:r>
      <w:r w:rsidR="000E66DE">
        <w:fldChar w:fldCharType="begin">
          <w:fldData xml:space="preserve">PEVuZE5vdGU+PENpdGU+PEF1dGhvcj5MZW9uLU5vdmVsbzwvQXV0aG9yPjxZZWFyPjIwMTI8L1ll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</w:fldData>
        </w:fldChar>
      </w:r>
      <w:r w:rsidR="000E66DE">
        <w:instrText xml:space="preserve"> ADDIN EN.CITE.DATA </w:instrText>
      </w:r>
      <w:r w:rsidR="000E66DE">
        <w:fldChar w:fldCharType="end"/>
      </w:r>
      <w:r w:rsidR="006F7FD7">
        <w:fldChar w:fldCharType="separate"/>
      </w:r>
      <w:r w:rsidR="006F7FD7" w:rsidRPr="006F7FD7">
        <w:rPr>
          <w:noProof/>
          <w:vertAlign w:val="superscript"/>
        </w:rPr>
        <w:t>49, 51-55</w:t>
      </w:r>
      <w:r w:rsidR="006F7FD7">
        <w:fldChar w:fldCharType="end"/>
      </w:r>
      <w:r w:rsidRPr="002D1DD7">
        <w:t xml:space="preserve"> </w:t>
      </w:r>
    </w:p>
    <w:p w14:paraId="1D08B8B1" w14:textId="66362367" w:rsidR="00B80271" w:rsidRPr="002D1DD7" w:rsidRDefault="00B80271" w:rsidP="00BF52D7">
      <w:r w:rsidRPr="002D1DD7">
        <w:t xml:space="preserve">A model which allows non-exchangeable prior distributions to be specified was proposed for the scenario where it is not expected </w:t>
      </w:r>
      <w:r w:rsidR="00CF07DA" w:rsidRPr="00D16131">
        <w:rPr>
          <w:i/>
        </w:rPr>
        <w:t>a priori</w:t>
      </w:r>
      <w:r w:rsidR="00CF07DA" w:rsidRPr="006124E5">
        <w:rPr>
          <w:iCs/>
        </w:rPr>
        <w:t xml:space="preserve"> </w:t>
      </w:r>
      <w:r w:rsidRPr="002D1DD7">
        <w:t xml:space="preserve">that all subgroups will be exchangeable. For example, some tumour types may be associated with a better or worse prognosis and their response to treatment is expected to differ. Different models can be used to implement this assumption: we can accept that a </w:t>
      </w:r>
      <w:r w:rsidRPr="002D1DD7">
        <w:lastRenderedPageBreak/>
        <w:t>particular tumour characteristic (</w:t>
      </w:r>
      <w:r w:rsidR="00C30D9F" w:rsidRPr="002D1DD7">
        <w:t>e.g.</w:t>
      </w:r>
      <w:r w:rsidRPr="002D1DD7">
        <w:t xml:space="preserve"> prognosis) defines exchangeability so that different categories are formed and exchangeability is only allowed between tumours in the same category (</w:t>
      </w:r>
      <w:r w:rsidR="00C30D9F" w:rsidRPr="002D1DD7">
        <w:t>e.g.</w:t>
      </w:r>
      <w:r w:rsidRPr="002D1DD7">
        <w:t xml:space="preserve"> poor, intermediate, good prognosis), or we can treat the appropriate grouping as a random quantity to be estimated from the data, indexed by a </w:t>
      </w:r>
      <w:r w:rsidR="009927EA">
        <w:t xml:space="preserve">categorical </w:t>
      </w:r>
      <w:r w:rsidRPr="002D1DD7">
        <w:t>covariate of interest (</w:t>
      </w:r>
      <w:r w:rsidR="00C30D9F" w:rsidRPr="002D1DD7">
        <w:t>e.g.</w:t>
      </w:r>
      <w:r w:rsidRPr="002D1DD7">
        <w:t xml:space="preserve"> prognosis).</w:t>
      </w:r>
      <w:r w:rsidR="006F7FD7">
        <w:fldChar w:fldCharType="begin"/>
      </w:r>
      <w:r w:rsidR="000E66DE">
        <w:instrText xml:space="preserve"> ADDIN EN.CITE &lt;EndNote&gt;&lt;Cite&gt;&lt;Author&gt;Leon-Novelo&lt;/Author&gt;&lt;Year&gt;2012&lt;/Year&gt;&lt;RecNum&gt;3449&lt;/RecNum&gt;&lt;DisplayText&gt;&lt;style face="superscript"&gt;51&lt;/style&gt;&lt;/DisplayText&gt;&lt;record&gt;&lt;rec-number&gt;3449&lt;/rec-number&gt;&lt;foreign-keys&gt;&lt;key app="EN" db-id="dwaevxvazfs2f3ewvzmxrd0k0wasw55p2z2w" timestamp="1570035404"&gt;3449&lt;/key&gt;&lt;/foreign-keys&gt;&lt;ref-type name="Journal Article"&gt;17&lt;/ref-type&gt;&lt;contributors&gt;&lt;authors&gt;&lt;author&gt;Leon-Novelo, L. G.&lt;/author&gt;&lt;author&gt;Bekele, B. Nebiyou&lt;/author&gt;&lt;author&gt;Müller, P.&lt;/author&gt;&lt;author&gt;Quintana, F.&lt;/author&gt;&lt;author&gt;Wathen, K.&lt;/author&gt;&lt;/authors&gt;&lt;/contributors&gt;&lt;titles&gt;&lt;title&gt;Borrowing strength with nonexchangeable priors over subpopulations&lt;/title&gt;&lt;secondary-title&gt;Biometrics&lt;/secondary-title&gt;&lt;/titles&gt;&lt;periodical&gt;&lt;full-title&gt;Biometrics&lt;/full-title&gt;&lt;abbr-1&gt;Biometrics&lt;/abbr-1&gt;&lt;/periodical&gt;&lt;pages&gt;550-558&lt;/pages&gt;&lt;volume&gt;68&lt;/volume&gt;&lt;number&gt;2&lt;/number&gt;&lt;dates&gt;&lt;year&gt;2012&lt;/year&gt;&lt;/dates&gt;&lt;isbn&gt;0006-341X&lt;/isbn&gt;&lt;urls&gt;&lt;/urls&gt;&lt;electronic-resource-num&gt;10.1111/j.1541-0420.2011.01693.x&lt;/electronic-resource-num&gt;&lt;research-notes&gt;https://onlinelibrary.wiley.com/doi/abs/10.1111/j.1541-0420.2011.01693.x&lt;/research-notes&gt;&lt;/record&gt;&lt;/Cite&gt;&lt;/EndNote&gt;</w:instrText>
      </w:r>
      <w:r w:rsidR="006F7FD7">
        <w:fldChar w:fldCharType="separate"/>
      </w:r>
      <w:r w:rsidR="006F7FD7" w:rsidRPr="006F7FD7">
        <w:rPr>
          <w:noProof/>
          <w:vertAlign w:val="superscript"/>
        </w:rPr>
        <w:t>51</w:t>
      </w:r>
      <w:r w:rsidR="006F7FD7">
        <w:fldChar w:fldCharType="end"/>
      </w:r>
      <w:r w:rsidRPr="002D1DD7">
        <w:t xml:space="preserve"> Thus</w:t>
      </w:r>
      <w:r w:rsidR="00854E42">
        <w:t>,</w:t>
      </w:r>
      <w:r w:rsidRPr="002D1DD7">
        <w:t xml:space="preserve"> the estimation of the treatment effect for a particular subgroup borrows more strength from other subgroups that, according to the prior beliefs, are more likely to</w:t>
      </w:r>
      <w:r w:rsidR="00854E42">
        <w:t xml:space="preserve"> be</w:t>
      </w:r>
      <w:r w:rsidRPr="002D1DD7">
        <w:t xml:space="preserve"> exchangeable, but the models allows the data to correct any prior beliefs which are not supported by the available data. When there is no </w:t>
      </w:r>
      <w:r w:rsidRPr="002D1DD7">
        <w:rPr>
          <w:i/>
        </w:rPr>
        <w:t>a priori</w:t>
      </w:r>
      <w:r w:rsidRPr="002D1DD7">
        <w:t xml:space="preserve"> information on which subgroups might be exchangeable or not, an exchangeable-nonexchangeable model</w:t>
      </w:r>
      <w:r w:rsidR="006F7FD7">
        <w:fldChar w:fldCharType="begin"/>
      </w:r>
      <w:r w:rsidR="000E66DE">
        <w:instrText xml:space="preserve"> ADDIN EN.CITE &lt;EndNote&gt;&lt;Cite&gt;&lt;Author&gt;Neuenschwander&lt;/Author&gt;&lt;Year&gt;2016&lt;/Year&gt;&lt;RecNum&gt;3418&lt;/RecNum&gt;&lt;DisplayText&gt;&lt;style face="superscript"&gt;49&lt;/style&gt;&lt;/DisplayText&gt;&lt;record&gt;&lt;rec-number&gt;3418&lt;/rec-number&gt;&lt;foreign-keys&gt;&lt;key app="EN" db-id="dwaevxvazfs2f3ewvzmxrd0k0wasw55p2z2w" timestamp="1569599389"&gt;3418&lt;/key&gt;&lt;/foreign-keys&gt;&lt;ref-type name="Journal Article"&gt;17&lt;/ref-type&gt;&lt;contributors&gt;&lt;authors&gt;&lt;author&gt;Neuenschwander, Beat&lt;/author&gt;&lt;author&gt;Wandel, Simon&lt;/author&gt;&lt;author&gt;Roychoudhury, Satrajit&lt;/author&gt;&lt;author&gt;Bailey, Stuart&lt;/author&gt;&lt;/authors&gt;&lt;/contributors&gt;&lt;titles&gt;&lt;title&gt;Robust exchangeability designs for early phase clinical trials with multiple strata&lt;/title&gt;&lt;secondary-title&gt;Pharmaceutical Statistics&lt;/secondary-title&gt;&lt;/titles&gt;&lt;periodical&gt;&lt;full-title&gt;Pharmaceutical Statistics&lt;/full-title&gt;&lt;abbr-1&gt;Pharm Stat&lt;/abbr-1&gt;&lt;/periodical&gt;&lt;pages&gt;123-134&lt;/pages&gt;&lt;volume&gt;15&lt;/volume&gt;&lt;number&gt;2&lt;/number&gt;&lt;dates&gt;&lt;year&gt;2016&lt;/year&gt;&lt;/dates&gt;&lt;isbn&gt;1539-1604&lt;/isbn&gt;&lt;urls&gt;&lt;/urls&gt;&lt;electronic-resource-num&gt;10.1002/pst.1730&lt;/electronic-resource-num&gt;&lt;research-notes&gt;https://onlinelibrary.wiley.com/doi/abs/10.1002/pst.1730&lt;/research-notes&gt;&lt;/record&gt;&lt;/Cite&gt;&lt;/EndNote&gt;</w:instrText>
      </w:r>
      <w:r w:rsidR="006F7FD7">
        <w:fldChar w:fldCharType="separate"/>
      </w:r>
      <w:r w:rsidR="006F7FD7" w:rsidRPr="006F7FD7">
        <w:rPr>
          <w:noProof/>
          <w:vertAlign w:val="superscript"/>
        </w:rPr>
        <w:t>49</w:t>
      </w:r>
      <w:r w:rsidR="006F7FD7">
        <w:fldChar w:fldCharType="end"/>
      </w:r>
      <w:r w:rsidRPr="002D1DD7">
        <w:t xml:space="preserve"> allows for selected special exchangeability patterns specified in the model to be determined by the treatment response data. This model extends the BHM to allow </w:t>
      </w:r>
      <w:r w:rsidR="00065401" w:rsidRPr="00640005">
        <w:rPr>
          <w:rFonts w:cs="Times New Roman"/>
          <w:i/>
        </w:rPr>
        <w:t>θ</w:t>
      </w:r>
      <w:r w:rsidR="00065401" w:rsidRPr="00640005">
        <w:rPr>
          <w:i/>
          <w:vertAlign w:val="subscript"/>
        </w:rPr>
        <w:t>j</w:t>
      </w:r>
      <w:r w:rsidR="00065401">
        <w:t xml:space="preserve"> </w:t>
      </w:r>
      <w:r w:rsidRPr="002D1DD7">
        <w:t xml:space="preserve">to be either exchangeable with some of the other subgroups, or nonexchangeable with any of them, in which case the effect will be estimated independently of all other subgroups. Prior weights for the </w:t>
      </w:r>
      <w:r w:rsidR="00065401" w:rsidRPr="002D1DD7">
        <w:t xml:space="preserve">exchangeable </w:t>
      </w:r>
      <w:r w:rsidRPr="002D1DD7">
        <w:t xml:space="preserve">probability of each subgroup are specified to reflect an </w:t>
      </w:r>
      <w:r w:rsidRPr="002D1DD7">
        <w:rPr>
          <w:i/>
        </w:rPr>
        <w:t>a priori</w:t>
      </w:r>
      <w:r w:rsidRPr="002D1DD7">
        <w:t xml:space="preserve"> belief that a subgroup behaves systematically differently to the others. Essentially</w:t>
      </w:r>
      <w:r w:rsidR="00BF52D7">
        <w:t>,</w:t>
      </w:r>
      <w:r w:rsidRPr="002D1DD7">
        <w:t xml:space="preserve"> the model determines whether some borrowing or no borrowing of information should be carried out across subgroups. Outputs include a global heterogeneity parameter across subgroups and mixture weights which describe the similarity of subgroups in the </w:t>
      </w:r>
      <w:r w:rsidR="00065401" w:rsidRPr="002D1DD7">
        <w:t xml:space="preserve">exchangeable </w:t>
      </w:r>
      <w:r w:rsidRPr="002D1DD7">
        <w:t>component of the model whilst also identifying subgroups which behave differently (i</w:t>
      </w:r>
      <w:r w:rsidR="00AB4C3C">
        <w:t>.</w:t>
      </w:r>
      <w:r w:rsidRPr="002D1DD7">
        <w:t>e</w:t>
      </w:r>
      <w:r w:rsidR="00AB4C3C">
        <w:t>.</w:t>
      </w:r>
      <w:r w:rsidRPr="002D1DD7">
        <w:t xml:space="preserve"> show a low probability of being exchangeable). Although a pooled mean effect for the </w:t>
      </w:r>
      <w:r w:rsidR="00065401" w:rsidRPr="002D1DD7">
        <w:t xml:space="preserve">exchangeable </w:t>
      </w:r>
      <w:r w:rsidRPr="002D1DD7">
        <w:t xml:space="preserve">component of the model can be obtained, focus is on the effects for each individual subgroup, which incorporate different levels of borrowing according to the model. The prior distributions specified for the heterogeneity parameter and for the </w:t>
      </w:r>
      <w:r w:rsidR="00065401">
        <w:t>exchangeability</w:t>
      </w:r>
      <w:r w:rsidR="00065401" w:rsidRPr="002D1DD7">
        <w:t xml:space="preserve"> </w:t>
      </w:r>
      <w:r w:rsidRPr="002D1DD7">
        <w:t xml:space="preserve">weights can influence the results and need to be </w:t>
      </w:r>
      <w:r w:rsidR="00065401" w:rsidRPr="002D1DD7">
        <w:t xml:space="preserve">specified </w:t>
      </w:r>
      <w:r w:rsidRPr="002D1DD7">
        <w:t xml:space="preserve">carefully. The use of this model for trial design requires careful consideration </w:t>
      </w:r>
      <w:r w:rsidR="00BF52D7">
        <w:t xml:space="preserve">of </w:t>
      </w:r>
      <w:r w:rsidRPr="002D1DD7">
        <w:t>the specification of the prior distributions and mixture weight</w:t>
      </w:r>
      <w:r w:rsidR="00932006">
        <w:t>s</w:t>
      </w:r>
      <w:r w:rsidR="00BF52D7">
        <w:t>,</w:t>
      </w:r>
      <w:r w:rsidRPr="002D1DD7">
        <w:t xml:space="preserve"> but has been found to perform well in various scenarios.</w:t>
      </w:r>
      <w:r w:rsidR="006F7FD7">
        <w:fldChar w:fldCharType="begin"/>
      </w:r>
      <w:r w:rsidR="000E66DE">
        <w:instrText xml:space="preserve"> ADDIN EN.CITE &lt;EndNote&gt;&lt;Cite&gt;&lt;Author&gt;Neuenschwander&lt;/Author&gt;&lt;Year&gt;2016&lt;/Year&gt;&lt;RecNum&gt;3418&lt;/RecNum&gt;&lt;DisplayText&gt;&lt;style face="superscript"&gt;49&lt;/style&gt;&lt;/DisplayText&gt;&lt;record&gt;&lt;rec-number&gt;3418&lt;/rec-number&gt;&lt;foreign-keys&gt;&lt;key app="EN" db-id="dwaevxvazfs2f3ewvzmxrd0k0wasw55p2z2w" timestamp="1569599389"&gt;3418&lt;/key&gt;&lt;/foreign-keys&gt;&lt;ref-type name="Journal Article"&gt;17&lt;/ref-type&gt;&lt;contributors&gt;&lt;authors&gt;&lt;author&gt;Neuenschwander, Beat&lt;/author&gt;&lt;author&gt;Wandel, Simon&lt;/author&gt;&lt;author&gt;Roychoudhury, Satrajit&lt;/author&gt;&lt;author&gt;Bailey, Stuart&lt;/author&gt;&lt;/authors&gt;&lt;/contributors&gt;&lt;titles&gt;&lt;title&gt;Robust exchangeability designs for early phase clinical trials with multiple strata&lt;/title&gt;&lt;secondary-title&gt;Pharmaceutical Statistics&lt;/secondary-title&gt;&lt;/titles&gt;&lt;periodical&gt;&lt;full-title&gt;Pharmaceutical Statistics&lt;/full-title&gt;&lt;abbr-1&gt;Pharm Stat&lt;/abbr-1&gt;&lt;/periodical&gt;&lt;pages&gt;123-134&lt;/pages&gt;&lt;volume&gt;15&lt;/volume&gt;&lt;number&gt;2&lt;/number&gt;&lt;dates&gt;&lt;year&gt;2016&lt;/year&gt;&lt;/dates&gt;&lt;isbn&gt;1539-1604&lt;/isbn&gt;&lt;urls&gt;&lt;/urls&gt;&lt;electronic-resource-num&gt;10.1002/pst.1730&lt;/electronic-resource-num&gt;&lt;research-notes&gt;https://onlinelibrary.wiley.com/doi/abs/10.1002/pst.1730&lt;/research-notes&gt;&lt;/record&gt;&lt;/Cite&gt;&lt;/EndNote&gt;</w:instrText>
      </w:r>
      <w:r w:rsidR="006F7FD7">
        <w:fldChar w:fldCharType="separate"/>
      </w:r>
      <w:r w:rsidR="006F7FD7" w:rsidRPr="006F7FD7">
        <w:rPr>
          <w:noProof/>
          <w:vertAlign w:val="superscript"/>
        </w:rPr>
        <w:t>49</w:t>
      </w:r>
      <w:r w:rsidR="006F7FD7">
        <w:fldChar w:fldCharType="end"/>
      </w:r>
      <w:r w:rsidRPr="002D1DD7">
        <w:t xml:space="preserve"> Extensions of these ideas to incorporate more information and thus improve performance of the trial design or simplify computation have been proposed. For example, the Bayesian latent subgroup trial design</w:t>
      </w:r>
      <w:r w:rsidR="006F7FD7">
        <w:fldChar w:fldCharType="begin"/>
      </w:r>
      <w:r w:rsidR="000E66DE">
        <w:instrText xml:space="preserve"> ADDIN EN.CITE &lt;EndNote&gt;&lt;Cite&gt;&lt;Author&gt;Chu&lt;/Author&gt;&lt;Year&gt;2018&lt;/Year&gt;&lt;RecNum&gt;3454&lt;/RecNum&gt;&lt;DisplayText&gt;&lt;style face="superscript"&gt;52&lt;/style&gt;&lt;/DisplayText&gt;&lt;record&gt;&lt;rec-number&gt;3454&lt;/rec-number&gt;&lt;foreign-keys&gt;&lt;key app="EN" db-id="dwaevxvazfs2f3ewvzmxrd0k0wasw55p2z2w" timestamp="1573645566"&gt;3454&lt;/key&gt;&lt;/foreign-keys&gt;&lt;ref-type name="Journal Article"&gt;17&lt;/ref-type&gt;&lt;contributors&gt;&lt;authors&gt;&lt;author&gt;Chu, Yiyi&lt;/author&gt;&lt;author&gt;Yuan, Ying&lt;/author&gt;&lt;/authors&gt;&lt;/contributors&gt;&lt;titles&gt;&lt;title&gt;BLAST: Bayesian latent subgroup design for basket trials accounting for patient heterogeneity&lt;/title&gt;&lt;secondary-title&gt;Journal of the Royal Statistical Society: Series C (Applied Statistics)&lt;/secondary-title&gt;&lt;/titles&gt;&lt;periodical&gt;&lt;full-title&gt;Journal of the Royal Statistical Society: Series C (Applied Statistics)&lt;/full-title&gt;&lt;abbr-1&gt;J R Stat Soc Ser C Appl Stat&lt;/abbr-1&gt;&lt;/periodical&gt;&lt;pages&gt;723-740&lt;/pages&gt;&lt;volume&gt;67&lt;/volume&gt;&lt;number&gt;3&lt;/number&gt;&lt;dates&gt;&lt;year&gt;2018&lt;/year&gt;&lt;/dates&gt;&lt;isbn&gt;0035-9254&lt;/isbn&gt;&lt;urls&gt;&lt;/urls&gt;&lt;electronic-resource-num&gt;10.1111/rssc.12255&lt;/electronic-resource-num&gt;&lt;/record&gt;&lt;/Cite&gt;&lt;/EndNote&gt;</w:instrText>
      </w:r>
      <w:r w:rsidR="006F7FD7">
        <w:fldChar w:fldCharType="separate"/>
      </w:r>
      <w:r w:rsidR="006F7FD7" w:rsidRPr="006F7FD7">
        <w:rPr>
          <w:noProof/>
          <w:vertAlign w:val="superscript"/>
        </w:rPr>
        <w:t>52</w:t>
      </w:r>
      <w:r w:rsidR="006F7FD7">
        <w:fldChar w:fldCharType="end"/>
      </w:r>
      <w:r w:rsidRPr="002D1DD7">
        <w:t xml:space="preserve"> defines different latent subgroups within which more borrowing is allowed by jointly modelling biomarker measurements and treatment responses. This allows grouping of different cancers according to biomarker measurements routinely collected during a trial, effectively using internal trial information to inform the adaptive borrowing which determines the decision to proceed to the next stage. Fujikawa </w:t>
      </w:r>
      <w:r w:rsidRPr="002D1DD7">
        <w:rPr>
          <w:i/>
        </w:rPr>
        <w:t>et al</w:t>
      </w:r>
      <w:r w:rsidR="006F7FD7">
        <w:fldChar w:fldCharType="begin"/>
      </w:r>
      <w:r w:rsidR="000E66DE">
        <w:instrText xml:space="preserve"> ADDIN EN.CITE &lt;EndNote&gt;&lt;Cite&gt;&lt;Author&gt;Fujikawa&lt;/Author&gt;&lt;Year&gt;2019&lt;/Year&gt;&lt;RecNum&gt;3451&lt;/RecNum&gt;&lt;DisplayText&gt;&lt;style face="superscript"&gt;54&lt;/style&gt;&lt;/DisplayText&gt;&lt;record&gt;&lt;rec-number&gt;3451&lt;/rec-number&gt;&lt;foreign-keys&gt;&lt;key app="EN" db-id="dwaevxvazfs2f3ewvzmxrd0k0wasw55p2z2w" timestamp="1573232654"&gt;3451&lt;/key&gt;&lt;/foreign-keys&gt;&lt;ref-type name="Journal Article"&gt;17&lt;/ref-type&gt;&lt;contributors&gt;&lt;authors&gt;&lt;author&gt;Fujikawa, Kei&lt;/author&gt;&lt;author&gt;Teramukai, Satoshi&lt;/author&gt;&lt;author&gt;Yokota, Isao&lt;/author&gt;&lt;author&gt;Daimon, Takashi&lt;/author&gt;&lt;/authors&gt;&lt;/contributors&gt;&lt;titles&gt;&lt;title&gt;A Bayesian basket trial design that borrows information across strata based on the similarity between the posterior distributions of the response probability&lt;/title&gt;&lt;secondary-title&gt;Biometrical Journal&lt;/secondary-title&gt;&lt;/titles&gt;&lt;periodical&gt;&lt;full-title&gt;Biometrical Journal&lt;/full-title&gt;&lt;abbr-1&gt;Biometrical J&lt;/abbr-1&gt;&lt;/periodical&gt;&lt;dates&gt;&lt;year&gt;2019&lt;/year&gt;&lt;/dates&gt;&lt;isbn&gt;0323-3847&lt;/isbn&gt;&lt;urls&gt;&lt;/urls&gt;&lt;electronic-resource-num&gt; https://doi.org/10.1002/bimj.201800404&lt;/electronic-resource-num&gt;&lt;/record&gt;&lt;/Cite&gt;&lt;/EndNote&gt;</w:instrText>
      </w:r>
      <w:r w:rsidR="006F7FD7">
        <w:fldChar w:fldCharType="separate"/>
      </w:r>
      <w:r w:rsidR="006F7FD7" w:rsidRPr="006F7FD7">
        <w:rPr>
          <w:noProof/>
          <w:vertAlign w:val="superscript"/>
        </w:rPr>
        <w:t>54</w:t>
      </w:r>
      <w:r w:rsidR="006F7FD7">
        <w:fldChar w:fldCharType="end"/>
      </w:r>
      <w:r w:rsidRPr="002D1DD7">
        <w:t xml:space="preserve"> proposed a Bayesian basket design which borrows information across the subgroups which have the most similar posterior distributions based on a pre-specified threshold of similarity, which is simple to compute. Decisions can be made at the interim stage to stop or continue with the trial and this design can also determine which subgroups show efficacy in the final analysis</w:t>
      </w:r>
      <w:r w:rsidR="00932006">
        <w:t>, based on pre-defined criteria</w:t>
      </w:r>
      <w:r w:rsidRPr="002D1DD7">
        <w:t xml:space="preserve">. Unlike the fully exchangeable BHM, in these models, obtaining and interpreting predictive distributions of effects is not meaningful, since we can no longer reasonably assume that a new tumour type (subgroup) would </w:t>
      </w:r>
      <w:r w:rsidRPr="002D1DD7">
        <w:lastRenderedPageBreak/>
        <w:t>have been sampled from the same distributions as the observed subgroups, i.e. we cannot assume all subgroups are exchangeable.</w:t>
      </w:r>
    </w:p>
    <w:p w14:paraId="72A22E2C" w14:textId="321ADBDC" w:rsidR="00B80271" w:rsidRPr="002D1DD7" w:rsidRDefault="00B80271" w:rsidP="00BF52D7">
      <w:pPr>
        <w:rPr>
          <w:rFonts w:cs="Times New Roman"/>
          <w:shd w:val="clear" w:color="auto" w:fill="FFFFFF"/>
        </w:rPr>
      </w:pPr>
      <w:r w:rsidRPr="002D1DD7">
        <w:t>Due to the increased number of parameters being estimated, the hierarchical approach may increase uncertainty unnecessarily if response to treatment is indeed homogeneous across all subgroups. Therefore, when there is a strong rationale for expecting a uniform level of response it may be preferable to use a simple pooling of information across subgroups.</w:t>
      </w:r>
      <w:r w:rsidR="006F7FD7">
        <w:fldChar w:fldCharType="begin"/>
      </w:r>
      <w:r w:rsidR="000E66DE">
        <w:instrText xml:space="preserve"> ADDIN EN.CITE &lt;EndNote&gt;&lt;Cite&gt;&lt;Author&gt;Freidlin&lt;/Author&gt;&lt;Year&gt;2013&lt;/Year&gt;&lt;RecNum&gt;3410&lt;/RecNum&gt;&lt;DisplayText&gt;&lt;style face="superscript"&gt;34&lt;/style&gt;&lt;/DisplayText&gt;&lt;record&gt;&lt;rec-number&gt;3410&lt;/rec-number&gt;&lt;foreign-keys&gt;&lt;key app="EN" db-id="dwaevxvazfs2f3ewvzmxrd0k0wasw55p2z2w" timestamp="1569599389"&gt;3410&lt;/key&gt;&lt;/foreign-keys&gt;&lt;ref-type name="Journal Article"&gt;17&lt;/ref-type&gt;&lt;contributors&gt;&lt;authors&gt;&lt;author&gt;Freidlin, Boris&lt;/author&gt;&lt;author&gt;Korn, Edward L.&lt;/author&gt;&lt;/authors&gt;&lt;/contributors&gt;&lt;titles&gt;&lt;title&gt;Borrowing information across subgroups in Phase II trials: Is it useful?&lt;/title&gt;&lt;secondary-title&gt;Clinical Cancer Research&lt;/secondary-title&gt;&lt;/titles&gt;&lt;periodical&gt;&lt;full-title&gt;Clinical Cancer Research&lt;/full-title&gt;&lt;abbr-1&gt;Clin Cancer Res&lt;/abbr-1&gt;&lt;/periodical&gt;&lt;pages&gt;1326-34&lt;/pages&gt;&lt;volume&gt;19&lt;/volume&gt;&lt;number&gt;6&lt;/number&gt;&lt;dates&gt;&lt;year&gt;2013&lt;/year&gt;&lt;/dates&gt;&lt;urls&gt;&lt;/urls&gt;&lt;electronic-resource-num&gt;10.1158/1078-0432.CCR-12-1223 %J Clinical Cancer Research&lt;/electronic-resource-num&gt;&lt;research-notes&gt;http://clincancerres.aacrjournals.org/content/clincanres/early/2013/03/04/1078-0432.CCR-12-1223.full.pdf&lt;/research-notes&gt;&lt;/record&gt;&lt;/Cite&gt;&lt;/EndNote&gt;</w:instrText>
      </w:r>
      <w:r w:rsidR="006F7FD7">
        <w:fldChar w:fldCharType="separate"/>
      </w:r>
      <w:r w:rsidR="006F7FD7" w:rsidRPr="006F7FD7">
        <w:rPr>
          <w:noProof/>
          <w:vertAlign w:val="superscript"/>
        </w:rPr>
        <w:t>34</w:t>
      </w:r>
      <w:r w:rsidR="006F7FD7">
        <w:fldChar w:fldCharType="end"/>
      </w:r>
      <w:r w:rsidRPr="002D1DD7">
        <w:t xml:space="preserve"> However, </w:t>
      </w:r>
      <w:r w:rsidRPr="002D1DD7">
        <w:rPr>
          <w:i/>
        </w:rPr>
        <w:t>a priori</w:t>
      </w:r>
      <w:r w:rsidRPr="002D1DD7">
        <w:t xml:space="preserve"> assumptions of homogeneity in trial design or analysis need to be carefully justified as in most cases, basket trials include patients with very clinically heterogeneous tumour types. In addition, t</w:t>
      </w:r>
      <w:r w:rsidRPr="002D1DD7">
        <w:rPr>
          <w:rFonts w:cs="Times New Roman"/>
          <w:shd w:val="clear" w:color="auto" w:fill="FFFFFF"/>
        </w:rPr>
        <w:t xml:space="preserve">he available empirical evidence does not generally support the assumption of homogeneity of activity of drugs across different histologies. </w:t>
      </w:r>
    </w:p>
    <w:p w14:paraId="66B7672C" w14:textId="70D22B63" w:rsidR="00C35194" w:rsidRDefault="00B80271" w:rsidP="00BF52D7">
      <w:r w:rsidRPr="002D1DD7">
        <w:t xml:space="preserve">Previous basket trials have </w:t>
      </w:r>
      <w:r w:rsidRPr="002D1DD7">
        <w:rPr>
          <w:rFonts w:cs="Times New Roman"/>
          <w:shd w:val="clear" w:color="auto" w:fill="FFFFFF"/>
        </w:rPr>
        <w:t xml:space="preserve">shown heterogeneity in </w:t>
      </w:r>
      <w:r w:rsidR="00FF0638">
        <w:rPr>
          <w:rFonts w:cs="Times New Roman"/>
          <w:shd w:val="clear" w:color="auto" w:fill="FFFFFF"/>
        </w:rPr>
        <w:t xml:space="preserve">the </w:t>
      </w:r>
      <w:r w:rsidRPr="002D1DD7">
        <w:rPr>
          <w:rFonts w:cs="Times New Roman"/>
          <w:shd w:val="clear" w:color="auto" w:fill="FFFFFF"/>
        </w:rPr>
        <w:t xml:space="preserve">effectiveness of agents across tumour types, </w:t>
      </w:r>
      <w:r w:rsidR="00BF52D7">
        <w:rPr>
          <w:rFonts w:cs="Times New Roman"/>
          <w:shd w:val="clear" w:color="auto" w:fill="FFFFFF"/>
        </w:rPr>
        <w:t xml:space="preserve">which lends </w:t>
      </w:r>
      <w:r w:rsidRPr="002D1DD7">
        <w:rPr>
          <w:rFonts w:cs="Times New Roman"/>
          <w:shd w:val="clear" w:color="auto" w:fill="FFFFFF"/>
        </w:rPr>
        <w:t xml:space="preserve">support to the </w:t>
      </w:r>
      <w:r w:rsidRPr="002D1DD7">
        <w:rPr>
          <w:rFonts w:cs="Times New Roman"/>
          <w:i/>
          <w:shd w:val="clear" w:color="auto" w:fill="FFFFFF"/>
        </w:rPr>
        <w:t>a priori</w:t>
      </w:r>
      <w:r w:rsidRPr="002D1DD7">
        <w:rPr>
          <w:rFonts w:cs="Times New Roman"/>
          <w:shd w:val="clear" w:color="auto" w:fill="FFFFFF"/>
        </w:rPr>
        <w:t xml:space="preserve"> assumption that effects may be heterogeneous. A recent trial of vemurafenib in 122 patients with</w:t>
      </w:r>
      <w:r w:rsidR="00065401">
        <w:rPr>
          <w:rFonts w:cs="Times New Roman"/>
          <w:shd w:val="clear" w:color="auto" w:fill="FFFFFF"/>
        </w:rPr>
        <w:t xml:space="preserve"> </w:t>
      </w:r>
      <w:r w:rsidRPr="002D1DD7">
        <w:rPr>
          <w:rFonts w:cs="Times New Roman"/>
          <w:i/>
          <w:iCs/>
          <w:shd w:val="clear" w:color="auto" w:fill="FFFFFF"/>
        </w:rPr>
        <w:t>BRAF</w:t>
      </w:r>
      <w:r w:rsidRPr="002D1DD7">
        <w:rPr>
          <w:rFonts w:cs="Times New Roman"/>
          <w:shd w:val="clear" w:color="auto" w:fill="FFFFFF"/>
        </w:rPr>
        <w:t xml:space="preserve"> V600–mutated cancers across multiple tumour types (including CRC, NSCLC, Erdheim–Chester disease and Langerhans’-cell histiocytosis, primary brain tumours, cholangiocarcinoma, anaplastic thyroid cancer) found evidence of response in some tumour types including NSCLC and Erdheim–Chester disease and Langerhans’-cell histiocytosis, but not in </w:t>
      </w:r>
      <w:r w:rsidR="00FF0638">
        <w:rPr>
          <w:rFonts w:cs="Times New Roman"/>
          <w:shd w:val="clear" w:color="auto" w:fill="FFFFFF"/>
        </w:rPr>
        <w:t>CRC</w:t>
      </w:r>
      <w:r w:rsidRPr="002D1DD7">
        <w:rPr>
          <w:rFonts w:cs="Times New Roman"/>
          <w:shd w:val="clear" w:color="auto" w:fill="FFFFFF"/>
        </w:rPr>
        <w:t>.</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&lt;EndNote&gt;&lt;Cite&gt;&lt;Author&gt;Hyman&lt;/Author&gt;&lt;Year&gt;2015&lt;/Year&gt;&lt;RecNum&gt;3415&lt;/RecNum&gt;&lt;DisplayText&gt;&lt;style face="superscript"&gt;30&lt;/style&gt;&lt;/DisplayText&gt;&lt;record&gt;&lt;rec-number&gt;3415&lt;/rec-number&gt;&lt;foreign-keys&gt;&lt;key app="EN" db-id="dwaevxvazfs2f3ewvzmxrd0k0wasw55p2z2w" timestamp="1569599389"&gt;3415&lt;/key&gt;&lt;/foreign-keys&gt;&lt;ref-type name="Journal Article"&gt;17&lt;/ref-type&gt;&lt;contributors&gt;&lt;authors&gt;&lt;author&gt;Hyman, David M.&lt;/author&gt;&lt;author&gt;Puzanov, Igor&lt;/author&gt;&lt;author&gt;Subbiah, Vivek&lt;/author&gt;&lt;author&gt;Faris, Jason E.&lt;/author&gt;&lt;author&gt;Chau, Ian&lt;/author&gt;&lt;author&gt;Blay, Jean-Yves&lt;/author&gt;&lt;author&gt;Wolf, Jürgen&lt;/author&gt;&lt;author&gt;Raje, Noopur S.&lt;/author&gt;&lt;author&gt;Diamond, Eli L.&lt;/author&gt;&lt;author&gt;Hollebecque, Antoine&lt;/author&gt;&lt;author&gt;Gervais, Radj&lt;/author&gt;&lt;author&gt;Elez-Fernandez, Maria Elena&lt;/author&gt;&lt;author&gt;Italiano, Antoine&lt;/author&gt;&lt;author&gt;Hofheinz, Ralf-Dieter&lt;/author&gt;&lt;author&gt;Hidalgo, Manuel&lt;/author&gt;&lt;author&gt;Chan, Emily&lt;/author&gt;&lt;author&gt;Schuler, Martin&lt;/author&gt;&lt;author&gt;Lasserre, Susan Frances&lt;/author&gt;&lt;author&gt;Makrutzki, Martina&lt;/author&gt;&lt;author&gt;Sirzen, Florin&lt;/author&gt;&lt;author&gt;Veronese, Maria Luisa&lt;/author&gt;&lt;author&gt;Tabernero, Josep&lt;/author&gt;&lt;author&gt;Baselga, José&lt;/author&gt;&lt;/authors&gt;&lt;/contributors&gt;&lt;titles&gt;&lt;title&gt;Vemurafenib in multiple nonmelanoma cancers with BRAF V600 mutations&lt;/title&gt;&lt;secondary-title&gt;New England Journal of Medicine&lt;/secondary-title&gt;&lt;/titles&gt;&lt;periodical&gt;&lt;full-title&gt;New England Journal of Medicine&lt;/full-title&gt;&lt;abbr-1&gt;N Engl J Med&lt;/abbr-1&gt;&lt;/periodical&gt;&lt;pages&gt;726-736&lt;/pages&gt;&lt;volume&gt;373&lt;/volume&gt;&lt;number&gt;8&lt;/number&gt;&lt;dates&gt;&lt;year&gt;2015&lt;/year&gt;&lt;/dates&gt;&lt;accession-num&gt;26287849&lt;/accession-num&gt;&lt;urls&gt;&lt;/urls&gt;&lt;electronic-resource-num&gt;10.1056/NEJMoa1502309&lt;/electronic-resource-num&gt;&lt;research-notes&gt;https://www.nejm.org/doi/full/10.1056/NEJMoa1502309&lt;/research-notes&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30</w:t>
      </w:r>
      <w:r w:rsidR="006F7FD7">
        <w:rPr>
          <w:rFonts w:cs="Times New Roman"/>
          <w:shd w:val="clear" w:color="auto" w:fill="FFFFFF"/>
        </w:rPr>
        <w:fldChar w:fldCharType="end"/>
      </w:r>
      <w:r w:rsidRPr="002D1DD7">
        <w:rPr>
          <w:rFonts w:cs="Times New Roman"/>
          <w:shd w:val="clear" w:color="auto" w:fill="FFFFFF"/>
        </w:rPr>
        <w:t xml:space="preserve"> This heterogeneity in response was also observed in previous separate, independent, studies which showed a positive response to vemurafenib of patients with BRAF</w:t>
      </w:r>
      <w:r w:rsidR="00BF52D7">
        <w:rPr>
          <w:rFonts w:cs="Times New Roman"/>
          <w:shd w:val="clear" w:color="auto" w:fill="FFFFFF"/>
        </w:rPr>
        <w:t>-</w:t>
      </w:r>
      <w:r w:rsidRPr="002D1DD7">
        <w:rPr>
          <w:rFonts w:cs="Times New Roman"/>
          <w:shd w:val="clear" w:color="auto" w:fill="FFFFFF"/>
        </w:rPr>
        <w:t>positive metastatic melanoma</w:t>
      </w:r>
      <w:r w:rsidR="00065401">
        <w:rPr>
          <w:rFonts w:cs="Times New Roman"/>
          <w:shd w:val="clear" w:color="auto" w:fill="FFFFFF"/>
        </w:rPr>
        <w:t>,</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&lt;EndNote&gt;&lt;Cite&gt;&lt;Author&gt;Flaherty&lt;/Author&gt;&lt;Year&gt;2010&lt;/Year&gt;&lt;RecNum&gt;3455&lt;/RecNum&gt;&lt;DisplayText&gt;&lt;style face="superscript"&gt;56&lt;/style&gt;&lt;/DisplayText&gt;&lt;record&gt;&lt;rec-number&gt;3455&lt;/rec-number&gt;&lt;foreign-keys&gt;&lt;key app="EN" db-id="dwaevxvazfs2f3ewvzmxrd0k0wasw55p2z2w" timestamp="1573652020"&gt;3455&lt;/key&gt;&lt;/foreign-keys&gt;&lt;ref-type name="Journal Article"&gt;17&lt;/ref-type&gt;&lt;contributors&gt;&lt;authors&gt;&lt;author&gt;Flaherty, Keith T.&lt;/author&gt;&lt;author&gt;Puzanov, Igor&lt;/author&gt;&lt;author&gt;Kim, Kevin B.&lt;/author&gt;&lt;author&gt;Ribas, Antoni&lt;/author&gt;&lt;author&gt;McArthur, Grant A.&lt;/author&gt;&lt;author&gt;Sosman, Jeffrey A.&lt;/author&gt;&lt;author&gt;O&amp;apos;Dwyer, Peter J.&lt;/author&gt;&lt;author&gt;Lee, Richard J.&lt;/author&gt;&lt;author&gt;Grippo, Joseph F.&lt;/author&gt;&lt;author&gt;Nolop, Keith&lt;/author&gt;&lt;author&gt;Chapman, Paul B.&lt;/author&gt;&lt;/authors&gt;&lt;/contributors&gt;&lt;titles&gt;&lt;title&gt;Inhibition of mutated, activated BRAF in metastatic melanoma&lt;/title&gt;&lt;secondary-title&gt;New England Journal of Medicine&lt;/secondary-title&gt;&lt;/titles&gt;&lt;periodical&gt;&lt;full-title&gt;New England Journal of Medicine&lt;/full-title&gt;&lt;abbr-1&gt;N Engl J Med&lt;/abbr-1&gt;&lt;/periodical&gt;&lt;pages&gt;809-819&lt;/pages&gt;&lt;volume&gt;363&lt;/volume&gt;&lt;number&gt;9&lt;/number&gt;&lt;dates&gt;&lt;year&gt;2010&lt;/year&gt;&lt;/dates&gt;&lt;accession-num&gt;20818844&lt;/accession-num&gt;&lt;urls&gt;&lt;/urls&gt;&lt;electronic-resource-num&gt;10.1056/NEJMoa1002011&lt;/electronic-resource-num&gt;&lt;research-notes&gt;https://www.nejm.org/doi/full/10.1056/NEJMoa1002011&lt;/research-notes&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56</w:t>
      </w:r>
      <w:r w:rsidR="006F7FD7">
        <w:rPr>
          <w:rFonts w:cs="Times New Roman"/>
          <w:shd w:val="clear" w:color="auto" w:fill="FFFFFF"/>
        </w:rPr>
        <w:fldChar w:fldCharType="end"/>
      </w:r>
      <w:r w:rsidRPr="002D1DD7">
        <w:rPr>
          <w:rFonts w:cs="Times New Roman"/>
          <w:shd w:val="clear" w:color="auto" w:fill="FFFFFF"/>
        </w:rPr>
        <w:t xml:space="preserve"> but not in BRAF</w:t>
      </w:r>
      <w:r w:rsidR="00BF52D7">
        <w:rPr>
          <w:rFonts w:cs="Times New Roman"/>
          <w:shd w:val="clear" w:color="auto" w:fill="FFFFFF"/>
        </w:rPr>
        <w:t>-</w:t>
      </w:r>
      <w:r w:rsidRPr="002D1DD7">
        <w:rPr>
          <w:rFonts w:cs="Times New Roman"/>
          <w:shd w:val="clear" w:color="auto" w:fill="FFFFFF"/>
        </w:rPr>
        <w:t>positive colon cancer patients.</w:t>
      </w:r>
      <w:r w:rsidR="006F7FD7">
        <w:rPr>
          <w:rFonts w:cs="Times New Roman"/>
          <w:shd w:val="clear" w:color="auto" w:fill="FFFFFF"/>
        </w:rPr>
        <w:fldChar w:fldCharType="begin"/>
      </w:r>
      <w:r w:rsidR="00054FE8">
        <w:rPr>
          <w:rFonts w:cs="Times New Roman"/>
          <w:shd w:val="clear" w:color="auto" w:fill="FFFFFF"/>
        </w:rPr>
        <w:instrText xml:space="preserve"> ADDIN EN.CITE &lt;EndNote&gt;&lt;Cite&gt;&lt;Author&gt;Prahallad&lt;/Author&gt;&lt;Year&gt;2012&lt;/Year&gt;&lt;RecNum&gt;3456&lt;/RecNum&gt;&lt;DisplayText&gt;&lt;style face="superscript"&gt;57&lt;/style&gt;&lt;/DisplayText&gt;&lt;record&gt;&lt;rec-number&gt;3456&lt;/rec-number&gt;&lt;foreign-keys&gt;&lt;key app="EN" db-id="dwaevxvazfs2f3ewvzmxrd0k0wasw55p2z2w" timestamp="1573652164"&gt;3456&lt;/key&gt;&lt;/foreign-keys&gt;&lt;ref-type name="Journal Article"&gt;17&lt;/ref-type&gt;&lt;contributors&gt;&lt;authors&gt;&lt;author&gt;Prahallad, Anirudh&lt;/author&gt;&lt;author&gt;Sun, Chong&lt;/author&gt;&lt;author&gt;Huang, Sidong&lt;/author&gt;&lt;author&gt;Di Nicolantonio, Federica&lt;/author&gt;&lt;author&gt;Salazar, Ramon&lt;/author&gt;&lt;author&gt;Zecchin, Davide&lt;/author&gt;&lt;author&gt;Beijersbergen, Roderick L.&lt;/author&gt;&lt;author&gt;Bardelli, Alberto&lt;/author&gt;&lt;author&gt;Bernards, René&lt;/author&gt;&lt;/authors&gt;&lt;/contributors&gt;&lt;titles&gt;&lt;title&gt;Unresponsiveness of colon cancer to BRAF(V600E) inhibition through feedback activation of EGFR&lt;/title&gt;&lt;secondary-title&gt;Nature&lt;/secondary-title&gt;&lt;/titles&gt;&lt;periodical&gt;&lt;full-title&gt;Nature&lt;/full-title&gt;&lt;abbr-1&gt;Nature&lt;/abbr-1&gt;&lt;/periodical&gt;&lt;pages&gt;100-103&lt;/pages&gt;&lt;volume&gt;483&lt;/volume&gt;&lt;number&gt;7387&lt;/number&gt;&lt;dates&gt;&lt;year&gt;2012&lt;/year&gt;&lt;/dates&gt;&lt;isbn&gt;1476-4687&lt;/isbn&gt;&lt;accession-num&gt;Prahallad2012&lt;/accession-num&gt;&lt;urls&gt;&lt;/urls&gt;&lt;electronic-resource-num&gt;10.1038/nature10868&lt;/electronic-resource-num&gt;&lt;research-notes&gt;https://doi.org/10.1038/nature10868&lt;/research-notes&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57</w:t>
      </w:r>
      <w:r w:rsidR="006F7FD7">
        <w:rPr>
          <w:rFonts w:cs="Times New Roman"/>
          <w:shd w:val="clear" w:color="auto" w:fill="FFFFFF"/>
        </w:rPr>
        <w:fldChar w:fldCharType="end"/>
      </w:r>
      <w:r w:rsidRPr="002D1DD7">
        <w:rPr>
          <w:rFonts w:cs="Times New Roman"/>
          <w:shd w:val="clear" w:color="auto" w:fill="FFFFFF"/>
        </w:rPr>
        <w:t xml:space="preserve"> A trial of imatinib, a tyrosine kinase inhibitor, that included 196 patients across 40 different subtypes, found evidence of activity of imatinib in only five malignancies.</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&lt;EndNote&gt;&lt;Cite&gt;&lt;Author&gt;Heinrich&lt;/Author&gt;&lt;Year&gt;2008&lt;/Year&gt;&lt;RecNum&gt;3430&lt;/RecNum&gt;&lt;DisplayText&gt;&lt;style face="superscript"&gt;58&lt;/style&gt;&lt;/DisplayText&gt;&lt;record&gt;&lt;rec-number&gt;3430&lt;/rec-number&gt;&lt;foreign-keys&gt;&lt;key app="EN" db-id="dwaevxvazfs2f3ewvzmxrd0k0wasw55p2z2w" timestamp="1569949722"&gt;3430&lt;/key&gt;&lt;/foreign-keys&gt;&lt;ref-type name="Journal Article"&gt;17&lt;/ref-type&gt;&lt;contributors&gt;&lt;authors&gt;&lt;author&gt;Heinrich, Michael C&lt;/author&gt;&lt;author&gt;Joensuu, Heikki&lt;/author&gt;&lt;author&gt;Demetri, George D&lt;/author&gt;&lt;author&gt;Corless, Christopher L&lt;/author&gt;&lt;author&gt;Apperley, Jane&lt;/author&gt;&lt;author&gt;Fletcher, Jonathan A&lt;/author&gt;&lt;author&gt;Soulieres, Denis&lt;/author&gt;&lt;author&gt;Dirnhofer, Stephan&lt;/author&gt;&lt;author&gt;Harlow, Amy&lt;/author&gt;&lt;author&gt;Town, Ajia&lt;/author&gt;&lt;/authors&gt;&lt;/contributors&gt;&lt;titles&gt;&lt;title&gt;Phase II, open-label study evaluating the activity of imatinib in treating life-threatening malignancies known to be associated with imatinib-sensitive tyrosine kinases&lt;/title&gt;&lt;secondary-title&gt;Clinical Cancer Research&lt;/secondary-title&gt;&lt;/titles&gt;&lt;periodical&gt;&lt;full-title&gt;Clinical Cancer Research&lt;/full-title&gt;&lt;abbr-1&gt;Clin Cancer Res&lt;/abbr-1&gt;&lt;/periodical&gt;&lt;pages&gt;2717-2725&lt;/pages&gt;&lt;volume&gt;14&lt;/volume&gt;&lt;number&gt;9&lt;/number&gt;&lt;dates&gt;&lt;year&gt;2008&lt;/year&gt;&lt;/dates&gt;&lt;isbn&gt;1078-0432&lt;/isbn&gt;&lt;urls&gt;&lt;/urls&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58</w:t>
      </w:r>
      <w:r w:rsidR="006F7FD7">
        <w:rPr>
          <w:rFonts w:cs="Times New Roman"/>
          <w:shd w:val="clear" w:color="auto" w:fill="FFFFFF"/>
        </w:rPr>
        <w:fldChar w:fldCharType="end"/>
      </w:r>
      <w:r w:rsidRPr="002D1DD7">
        <w:rPr>
          <w:rFonts w:cs="Times New Roman"/>
          <w:shd w:val="clear" w:color="auto" w:fill="FFFFFF"/>
        </w:rPr>
        <w:t xml:space="preserve"> Another basket trial of imatinib in 10 histologic subtypes of advanced sarcoma concluded that although rare dramatic responses were seen, imatinib was not an active agent in these subtypes, although it had previously shown effectiveness in another subtype of soft tissue sarcoma.</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&lt;EndNote&gt;&lt;Cite&gt;&lt;Author&gt;Chugh&lt;/Author&gt;&lt;Year&gt;2009&lt;/Year&gt;&lt;RecNum&gt;3406&lt;/RecNum&gt;&lt;DisplayText&gt;&lt;style face="superscript"&gt;46&lt;/style&gt;&lt;/DisplayText&gt;&lt;record&gt;&lt;rec-number&gt;3406&lt;/rec-number&gt;&lt;foreign-keys&gt;&lt;key app="EN" db-id="dwaevxvazfs2f3ewvzmxrd0k0wasw55p2z2w" timestamp="1569599389"&gt;3406&lt;/key&gt;&lt;/foreign-keys&gt;&lt;ref-type name="Journal Article"&gt;17&lt;/ref-type&gt;&lt;contributors&gt;&lt;authors&gt;&lt;author&gt;Chugh, Rashmi&lt;/author&gt;&lt;author&gt;Wathen, J. Kyle&lt;/author&gt;&lt;author&gt;Maki, Robert G. &lt;/author&gt;&lt;author&gt;Benjamin, Robert S. &lt;/author&gt;&lt;author&gt;Patel, Shreyaskumar R. &lt;/author&gt;&lt;author&gt;Myers, Paul A. &lt;/author&gt;&lt;author&gt;Priebat, Dennis A. &lt;/author&gt;&lt;author&gt;Reinke, Denise K. &lt;/author&gt;&lt;author&gt;Thomas, Dafydd G. &lt;/author&gt;&lt;author&gt;Keohan, Mary L. &lt;/author&gt;&lt;author&gt;Samuels, Brian L. &lt;/author&gt;&lt;author&gt;Baker, Laurence H. &lt;/author&gt;&lt;/authors&gt;&lt;/contributors&gt;&lt;titles&gt;&lt;title&gt;Phase II multicenter trial of imatinib in 10 histologic subtypes of sarcoma using a Bayesian hierarchical statistical model&lt;/title&gt;&lt;/titles&gt;&lt;pages&gt;3148-3153&lt;/pages&gt;&lt;volume&gt;27&lt;/volume&gt;&lt;number&gt;19&lt;/number&gt;&lt;dates&gt;&lt;year&gt;2009&lt;/year&gt;&lt;/dates&gt;&lt;accession-num&gt;19451433&lt;/accession-num&gt;&lt;urls&gt;&lt;related-urls&gt;&lt;url&gt;https://ascopubs.org/doi/abs/10.1200/JCO.2008.20.5054&lt;/url&gt;&lt;/related-urls&gt;&lt;/urls&gt;&lt;electronic-resource-num&gt;10.1200/jco.2008.20.5054&lt;/electronic-resource-num&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46</w:t>
      </w:r>
      <w:r w:rsidR="006F7FD7">
        <w:rPr>
          <w:rFonts w:cs="Times New Roman"/>
          <w:shd w:val="clear" w:color="auto" w:fill="FFFFFF"/>
        </w:rPr>
        <w:fldChar w:fldCharType="end"/>
      </w:r>
      <w:r w:rsidRPr="002D1DD7">
        <w:rPr>
          <w:rFonts w:cs="Times New Roman"/>
          <w:shd w:val="clear" w:color="auto" w:fill="FFFFFF"/>
        </w:rPr>
        <w:t xml:space="preserve"> Similarly trastuzumab which is known to be effective in the treatment of women with HER2-positive breast cancer</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&lt;EndNote&gt;&lt;Cite&gt;&lt;Author&gt;Hudis&lt;/Author&gt;&lt;Year&gt;2007&lt;/Year&gt;&lt;RecNum&gt;3460&lt;/RecNum&gt;&lt;DisplayText&gt;&lt;style face="superscript"&gt;59&lt;/style&gt;&lt;/DisplayText&gt;&lt;record&gt;&lt;rec-number&gt;3460&lt;/rec-number&gt;&lt;foreign-keys&gt;&lt;key app="EN" db-id="dwaevxvazfs2f3ewvzmxrd0k0wasw55p2z2w" timestamp="1573653830"&gt;3460&lt;/key&gt;&lt;/foreign-keys&gt;&lt;ref-type name="Journal Article"&gt;17&lt;/ref-type&gt;&lt;contributors&gt;&lt;authors&gt;&lt;author&gt;Hudis, Clifford A.&lt;/author&gt;&lt;/authors&gt;&lt;/contributors&gt;&lt;titles&gt;&lt;title&gt;Trastuzumab — mechanism of action and use in clinical practice&lt;/title&gt;&lt;secondary-title&gt;New England Journal of Medicine&lt;/secondary-title&gt;&lt;/titles&gt;&lt;periodical&gt;&lt;full-title&gt;New England Journal of Medicine&lt;/full-title&gt;&lt;abbr-1&gt;N Engl J Med&lt;/abbr-1&gt;&lt;/periodical&gt;&lt;pages&gt;39-51&lt;/pages&gt;&lt;volume&gt;357&lt;/volume&gt;&lt;number&gt;1&lt;/number&gt;&lt;dates&gt;&lt;year&gt;2007&lt;/year&gt;&lt;/dates&gt;&lt;accession-num&gt;17611206&lt;/accession-num&gt;&lt;urls&gt;&lt;/urls&gt;&lt;electronic-resource-num&gt;10.1056/NEJMra043186&lt;/electronic-resource-num&gt;&lt;research-notes&gt;https://www.nejm.org/doi/full/10.1056/NEJMra043186&lt;/research-notes&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59</w:t>
      </w:r>
      <w:r w:rsidR="006F7FD7">
        <w:rPr>
          <w:rFonts w:cs="Times New Roman"/>
          <w:shd w:val="clear" w:color="auto" w:fill="FFFFFF"/>
        </w:rPr>
        <w:fldChar w:fldCharType="end"/>
      </w:r>
      <w:r w:rsidRPr="002D1DD7">
        <w:rPr>
          <w:rFonts w:cs="Times New Roman"/>
          <w:shd w:val="clear" w:color="auto" w:fill="FFFFFF"/>
        </w:rPr>
        <w:t xml:space="preserve"> was not shown to be effective in HER2-positive recurrent endometrial cancer</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&lt;EndNote&gt;&lt;Cite&gt;&lt;Author&gt;Fleming&lt;/Author&gt;&lt;Year&gt;2010&lt;/Year&gt;&lt;RecNum&gt;3458&lt;/RecNum&gt;&lt;DisplayText&gt;&lt;style face="superscript"&gt;60&lt;/style&gt;&lt;/DisplayText&gt;&lt;record&gt;&lt;rec-number&gt;3458&lt;/rec-number&gt;&lt;foreign-keys&gt;&lt;key app="EN" db-id="dwaevxvazfs2f3ewvzmxrd0k0wasw55p2z2w" timestamp="1573653470"&gt;3458&lt;/key&gt;&lt;/foreign-keys&gt;&lt;ref-type name="Journal Article"&gt;17&lt;/ref-type&gt;&lt;contributors&gt;&lt;authors&gt;&lt;author&gt;Fleming, Gini F.&lt;/author&gt;&lt;author&gt;Sill, Michael W.&lt;/author&gt;&lt;author&gt;Darcy, Kathleen M.&lt;/author&gt;&lt;author&gt;McMeekin, D. Scott&lt;/author&gt;&lt;author&gt;Thigpen, J. Tate&lt;/author&gt;&lt;author&gt;Adler, Lisa M.&lt;/author&gt;&lt;author&gt;Berek, Jonathan S.&lt;/author&gt;&lt;author&gt;Chapman, Julia A.&lt;/author&gt;&lt;author&gt;DiSilvestro, Paul A.&lt;/author&gt;&lt;author&gt;Horowitz, Ira R.&lt;/author&gt;&lt;author&gt;Fiorica, James V.&lt;/author&gt;&lt;/authors&gt;&lt;/contributors&gt;&lt;titles&gt;&lt;title&gt;Phase II trial of trastuzumab in women with advanced or recurrent, HER2-positive endometrial carcinoma: A Gynecologic Oncology Group study&lt;/title&gt;&lt;secondary-title&gt;Gynecologic Oncology&lt;/secondary-title&gt;&lt;/titles&gt;&lt;periodical&gt;&lt;full-title&gt;Gynecologic Oncology&lt;/full-title&gt;&lt;abbr-1&gt;Gynecol Oncol&lt;/abbr-1&gt;&lt;/periodical&gt;&lt;pages&gt;15-20&lt;/pages&gt;&lt;volume&gt;116&lt;/volume&gt;&lt;number&gt;1&lt;/number&gt;&lt;keywords&gt;&lt;keyword&gt;Trastuzumab&lt;/keyword&gt;&lt;keyword&gt;HER2-positive endometrial carcinoma&lt;/keyword&gt;&lt;keyword&gt;Gynecologic Oncology Group&lt;/keyword&gt;&lt;/keywords&gt;&lt;dates&gt;&lt;year&gt;2010&lt;/year&gt;&lt;/dates&gt;&lt;isbn&gt;0090-8258&lt;/isbn&gt;&lt;urls&gt;&lt;/urls&gt;&lt;electronic-resource-num&gt;https://doi.org/10.1016/j.ygyno.2009.09.025&lt;/electronic-resource-num&gt;&lt;research-notes&gt;http://www.sciencedirect.com/science/article/pii/S0090825809007240&lt;/research-notes&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60</w:t>
      </w:r>
      <w:r w:rsidR="006F7FD7">
        <w:rPr>
          <w:rFonts w:cs="Times New Roman"/>
          <w:shd w:val="clear" w:color="auto" w:fill="FFFFFF"/>
        </w:rPr>
        <w:fldChar w:fldCharType="end"/>
      </w:r>
      <w:r w:rsidRPr="002D1DD7">
        <w:rPr>
          <w:rFonts w:cs="Times New Roman"/>
          <w:shd w:val="clear" w:color="auto" w:fill="FFFFFF"/>
        </w:rPr>
        <w:t xml:space="preserve"> or HER2-positive non-small-cell lung cancer.</w:t>
      </w:r>
      <w:r w:rsidR="006F7FD7">
        <w:rPr>
          <w:rFonts w:cs="Times New Roman"/>
          <w:shd w:val="clear" w:color="auto" w:fill="FFFFFF"/>
        </w:rPr>
        <w:fldChar w:fldCharType="begin"/>
      </w:r>
      <w:r w:rsidR="000E66DE">
        <w:rPr>
          <w:rFonts w:cs="Times New Roman"/>
          <w:shd w:val="clear" w:color="auto" w:fill="FFFFFF"/>
        </w:rPr>
        <w:instrText xml:space="preserve"> ADDIN EN.CITE &lt;EndNote&gt;&lt;Cite&gt;&lt;Author&gt;Gatzemeier&lt;/Author&gt;&lt;Year&gt;2004&lt;/Year&gt;&lt;RecNum&gt;3459&lt;/RecNum&gt;&lt;DisplayText&gt;&lt;style face="superscript"&gt;61&lt;/style&gt;&lt;/DisplayText&gt;&lt;record&gt;&lt;rec-number&gt;3459&lt;/rec-number&gt;&lt;foreign-keys&gt;&lt;key app="EN" db-id="dwaevxvazfs2f3ewvzmxrd0k0wasw55p2z2w" timestamp="1573653579"&gt;3459&lt;/key&gt;&lt;/foreign-keys&gt;&lt;ref-type name="Journal Article"&gt;17&lt;/ref-type&gt;&lt;contributors&gt;&lt;authors&gt;&lt;author&gt;Gatzemeier, U.&lt;/author&gt;&lt;author&gt;Groth, G.&lt;/author&gt;&lt;author&gt;Butts, C.&lt;/author&gt;&lt;author&gt;Van Zandwijk, N.&lt;/author&gt;&lt;author&gt;Shepherd, F.&lt;/author&gt;&lt;author&gt;Ardizzoni, A.&lt;/author&gt;&lt;author&gt;Barton, C.&lt;/author&gt;&lt;author&gt;Ghahramani, P.&lt;/author&gt;&lt;author&gt;Hirsh, V.&lt;/author&gt;&lt;/authors&gt;&lt;/contributors&gt;&lt;titles&gt;&lt;title&gt;Randomized phase II trial of gemcitabine–cisplatin with or without trastuzumab in HER2-positive non-small-cell lung cancer&lt;/title&gt;&lt;secondary-title&gt;Annals of Oncology&lt;/secondary-title&gt;&lt;/titles&gt;&lt;periodical&gt;&lt;full-title&gt;Annals of Oncology&lt;/full-title&gt;&lt;abbr-1&gt;Ann Oncol&lt;/abbr-1&gt;&lt;/periodical&gt;&lt;pages&gt;19-27&lt;/pages&gt;&lt;volume&gt;15&lt;/volume&gt;&lt;number&gt;1&lt;/number&gt;&lt;dates&gt;&lt;year&gt;2004&lt;/year&gt;&lt;/dates&gt;&lt;isbn&gt;0923-7534&lt;/isbn&gt;&lt;urls&gt;&lt;/urls&gt;&lt;electronic-resource-num&gt;10.1093/annonc/mdh031&lt;/electronic-resource-num&gt;&lt;research-notes&gt;https://doi.org/10.1093/annonc/mdh031&lt;/research-notes&gt;&lt;access-date&gt;11/13/2019&lt;/access-date&gt;&lt;/record&gt;&lt;/Cite&gt;&lt;/EndNote&gt;</w:instrText>
      </w:r>
      <w:r w:rsidR="006F7FD7">
        <w:rPr>
          <w:rFonts w:cs="Times New Roman"/>
          <w:shd w:val="clear" w:color="auto" w:fill="FFFFFF"/>
        </w:rPr>
        <w:fldChar w:fldCharType="separate"/>
      </w:r>
      <w:r w:rsidR="006F7FD7" w:rsidRPr="006F7FD7">
        <w:rPr>
          <w:rFonts w:cs="Times New Roman"/>
          <w:noProof/>
          <w:shd w:val="clear" w:color="auto" w:fill="FFFFFF"/>
          <w:vertAlign w:val="superscript"/>
        </w:rPr>
        <w:t>61</w:t>
      </w:r>
      <w:r w:rsidR="006F7FD7">
        <w:rPr>
          <w:rFonts w:cs="Times New Roman"/>
          <w:shd w:val="clear" w:color="auto" w:fill="FFFFFF"/>
        </w:rPr>
        <w:fldChar w:fldCharType="end"/>
      </w:r>
      <w:r w:rsidRPr="002D1DD7">
        <w:rPr>
          <w:rFonts w:cs="Times New Roman"/>
          <w:shd w:val="clear" w:color="auto" w:fill="FFFFFF"/>
        </w:rPr>
        <w:t xml:space="preserve"> </w:t>
      </w:r>
      <w:r w:rsidRPr="002D1DD7">
        <w:t xml:space="preserve">This evidence suggests that </w:t>
      </w:r>
      <w:r w:rsidR="00FF0638">
        <w:t xml:space="preserve">the </w:t>
      </w:r>
      <w:r w:rsidR="00FF0638" w:rsidRPr="002D1DD7">
        <w:t xml:space="preserve">treatment effects </w:t>
      </w:r>
      <w:r w:rsidR="00FF0638">
        <w:t xml:space="preserve">in </w:t>
      </w:r>
      <w:r w:rsidRPr="002D1DD7">
        <w:t>different cancer types may not</w:t>
      </w:r>
      <w:r w:rsidR="00065401">
        <w:t xml:space="preserve"> in fact</w:t>
      </w:r>
      <w:r w:rsidRPr="002D1DD7">
        <w:t xml:space="preserve"> be </w:t>
      </w:r>
      <w:r w:rsidR="00E25C4B">
        <w:t>exchangeable. T</w:t>
      </w:r>
      <w:r w:rsidRPr="002D1DD7">
        <w:t>herefore, the design of basket trials should allow for the possibility of heterogeneity in treatment effects across tumour types, only opting for a design that assumes homogeneity in very special cases or where data from previous stages clearly supports it.</w:t>
      </w:r>
    </w:p>
    <w:p w14:paraId="76823D2D" w14:textId="48C3E170" w:rsidR="00D61309" w:rsidRDefault="00D61309" w:rsidP="00EC11CD">
      <w:pPr>
        <w:pStyle w:val="Heading2"/>
      </w:pPr>
      <w:bookmarkStart w:id="51" w:name="_Toc33776163"/>
      <w:r>
        <w:t>Summary and implications</w:t>
      </w:r>
      <w:bookmarkEnd w:id="51"/>
    </w:p>
    <w:p w14:paraId="00D28585" w14:textId="55CFB6C6" w:rsidR="00D95364" w:rsidRDefault="00D61309" w:rsidP="00D61309">
      <w:r>
        <w:t>Complex innovative study designs are being used to address multiple clinical questions in an attempt to speed up regulatory approval and access to patients of drugs</w:t>
      </w:r>
      <w:r w:rsidR="004B318E">
        <w:t xml:space="preserve"> with new mechanisms of action</w:t>
      </w:r>
      <w:r>
        <w:t>.</w:t>
      </w:r>
      <w:r w:rsidR="004B318E">
        <w:t xml:space="preserve"> A</w:t>
      </w:r>
      <w:r>
        <w:t>daptive basket trial</w:t>
      </w:r>
      <w:r w:rsidR="00D95364">
        <w:t xml:space="preserve">s are particularly suited </w:t>
      </w:r>
      <w:r w:rsidR="004B318E">
        <w:t xml:space="preserve">to assess efficacy of histology-independent drugs, </w:t>
      </w:r>
      <w:r w:rsidR="00D95364">
        <w:lastRenderedPageBreak/>
        <w:t>although their reliance on surrogate outcomes, small sample sizes and mostly uncontrolled designs pose challenges for HTA.</w:t>
      </w:r>
    </w:p>
    <w:p w14:paraId="24C53845" w14:textId="4FD1B415" w:rsidR="0035312D" w:rsidRDefault="00D95364" w:rsidP="00D61309">
      <w:r>
        <w:t>A</w:t>
      </w:r>
      <w:r w:rsidR="00D61309">
        <w:t xml:space="preserve"> recent consensus statement has provided </w:t>
      </w:r>
      <w:r w:rsidR="00D61309" w:rsidRPr="00D61309">
        <w:t xml:space="preserve">recommendations </w:t>
      </w:r>
      <w:r w:rsidR="00D61309">
        <w:t>for the planning,</w:t>
      </w:r>
      <w:r w:rsidR="00D61309" w:rsidRPr="00D61309">
        <w:t xml:space="preserve"> design and statistical analysis</w:t>
      </w:r>
      <w:r w:rsidR="00D61309">
        <w:t xml:space="preserve"> </w:t>
      </w:r>
      <w:r>
        <w:t xml:space="preserve">of complex study designs including considerations on ensuring their relevance for </w:t>
      </w:r>
      <w:r w:rsidR="00D61309">
        <w:t>HTA.</w:t>
      </w:r>
      <w:r w:rsidR="006F7FD7">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 </w:instrText>
      </w:r>
      <w:r w:rsidR="000E66DE">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23</w:t>
      </w:r>
      <w:r w:rsidR="006F7FD7">
        <w:fldChar w:fldCharType="end"/>
      </w:r>
      <w:r w:rsidR="00D61309">
        <w:t xml:space="preserve"> </w:t>
      </w:r>
      <w:r>
        <w:t xml:space="preserve">These include encouraging comparative randomised studies, ensuring </w:t>
      </w:r>
      <w:r w:rsidR="004B318E">
        <w:t xml:space="preserve">that </w:t>
      </w:r>
      <w:r>
        <w:t>the</w:t>
      </w:r>
      <w:r w:rsidR="00D61309">
        <w:t xml:space="preserve"> </w:t>
      </w:r>
      <w:r w:rsidR="004B318E">
        <w:t xml:space="preserve">primary </w:t>
      </w:r>
      <w:r w:rsidR="00D61309">
        <w:t>outcome, typically a surrogate of the clinical outcome of interest in HTA</w:t>
      </w:r>
      <w:r>
        <w:t>,</w:t>
      </w:r>
      <w:r w:rsidR="00D61309">
        <w:t xml:space="preserve"> </w:t>
      </w:r>
      <w:r>
        <w:t xml:space="preserve">is </w:t>
      </w:r>
      <w:r w:rsidR="00D61309">
        <w:t>likely to adequately predict the clinical outcomes of interest</w:t>
      </w:r>
      <w:r>
        <w:t xml:space="preserve">, and </w:t>
      </w:r>
      <w:r w:rsidR="004B318E">
        <w:t xml:space="preserve">using analysis methods that allow </w:t>
      </w:r>
      <w:r>
        <w:t>borrowing of information across baskets.</w:t>
      </w:r>
      <w:r w:rsidR="006F7FD7">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 </w:instrText>
      </w:r>
      <w:r w:rsidR="000E66DE">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23</w:t>
      </w:r>
      <w:r w:rsidR="006F7FD7">
        <w:fldChar w:fldCharType="end"/>
      </w:r>
      <w:r w:rsidR="00D61309">
        <w:t xml:space="preserve"> </w:t>
      </w:r>
    </w:p>
    <w:p w14:paraId="29430A27" w14:textId="03A53B0B" w:rsidR="00065401" w:rsidRPr="002D1DD7" w:rsidRDefault="0041547C" w:rsidP="00D61309">
      <w:bookmarkStart w:id="52" w:name="_Hlk33168864"/>
      <w:r>
        <w:t>A</w:t>
      </w:r>
      <w:r w:rsidR="00D95364">
        <w:t xml:space="preserve">lthough </w:t>
      </w:r>
      <w:r w:rsidR="0035312D">
        <w:t>it is challenging to determine</w:t>
      </w:r>
      <w:r w:rsidR="00D95364">
        <w:t xml:space="preserve"> the </w:t>
      </w:r>
      <w:r w:rsidR="0035312D">
        <w:t xml:space="preserve">correct </w:t>
      </w:r>
      <w:r w:rsidR="00D95364">
        <w:t>level of borrowing of information (exchangeability) across baskets,</w:t>
      </w:r>
      <w:r w:rsidR="006F7FD7">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 </w:instrText>
      </w:r>
      <w:r w:rsidR="000E66DE">
        <w:fldChar w:fldCharType="begin">
          <w:fldData xml:space="preserve">PEVuZE5vdGU+PENpdGU+PEF1dGhvcj5CbGFnZGVuPC9BdXRob3I+PFllYXI+MjAyMDwvWWVhcj48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23</w:t>
      </w:r>
      <w:r w:rsidR="006F7FD7">
        <w:fldChar w:fldCharType="end"/>
      </w:r>
      <w:r w:rsidR="00D95364">
        <w:t xml:space="preserve"> </w:t>
      </w:r>
      <w:r>
        <w:t xml:space="preserve">the approaches described in Section </w:t>
      </w:r>
      <w:r>
        <w:fldChar w:fldCharType="begin"/>
      </w:r>
      <w:r>
        <w:instrText xml:space="preserve"> REF _Ref31550927 \w \h </w:instrText>
      </w:r>
      <w:r>
        <w:fldChar w:fldCharType="separate"/>
      </w:r>
      <w:r w:rsidR="00C663A2">
        <w:t>3.2.1</w:t>
      </w:r>
      <w:r>
        <w:fldChar w:fldCharType="end"/>
      </w:r>
      <w:r>
        <w:t xml:space="preserve"> </w:t>
      </w:r>
      <w:r w:rsidR="00D95364">
        <w:t>allow the treatment effect in any basket to be informed by the effects in all other baskets</w:t>
      </w:r>
      <w:r w:rsidR="0035312D">
        <w:t xml:space="preserve"> therefore maximising the information available</w:t>
      </w:r>
      <w:r w:rsidR="00D95364">
        <w:t xml:space="preserve">. </w:t>
      </w:r>
      <w:bookmarkEnd w:id="52"/>
      <w:r>
        <w:t xml:space="preserve">Their </w:t>
      </w:r>
      <w:r w:rsidR="00F936AF">
        <w:t xml:space="preserve">interpretation and </w:t>
      </w:r>
      <w:r>
        <w:t>potential use in</w:t>
      </w:r>
      <w:r w:rsidR="00F936AF">
        <w:t xml:space="preserve"> NICE TAs is described in Chapters </w:t>
      </w:r>
      <w:r w:rsidR="00F936AF">
        <w:fldChar w:fldCharType="begin"/>
      </w:r>
      <w:r w:rsidR="00F936AF">
        <w:instrText xml:space="preserve"> REF _Ref27556857 \w \h </w:instrText>
      </w:r>
      <w:r w:rsidR="00F936AF">
        <w:fldChar w:fldCharType="separate"/>
      </w:r>
      <w:r w:rsidR="003E4C2B">
        <w:t>6</w:t>
      </w:r>
      <w:r w:rsidR="00F936AF">
        <w:fldChar w:fldCharType="end"/>
      </w:r>
      <w:r w:rsidR="00F936AF">
        <w:t xml:space="preserve"> and </w:t>
      </w:r>
      <w:r w:rsidR="00F936AF">
        <w:fldChar w:fldCharType="begin"/>
      </w:r>
      <w:r w:rsidR="00F936AF">
        <w:instrText xml:space="preserve"> REF _Ref31551118 \w \h </w:instrText>
      </w:r>
      <w:r w:rsidR="00F936AF">
        <w:fldChar w:fldCharType="separate"/>
      </w:r>
      <w:r w:rsidR="00C663A2">
        <w:t>7</w:t>
      </w:r>
      <w:r w:rsidR="00F936AF">
        <w:fldChar w:fldCharType="end"/>
      </w:r>
      <w:r w:rsidR="00F936AF">
        <w:t>.</w:t>
      </w:r>
    </w:p>
    <w:p w14:paraId="2854F1F8" w14:textId="7DC9DED2" w:rsidR="00B16627" w:rsidRPr="002D1DD7" w:rsidRDefault="00C35194" w:rsidP="00B16627">
      <w:r w:rsidRPr="002D1DD7">
        <w:br w:type="page"/>
      </w:r>
    </w:p>
    <w:p w14:paraId="24FDFF24" w14:textId="0EB2BBE2" w:rsidR="004D053C" w:rsidRPr="002D1DD7" w:rsidRDefault="004D053C" w:rsidP="003E53A2">
      <w:pPr>
        <w:pStyle w:val="Heading1"/>
      </w:pPr>
      <w:bookmarkStart w:id="53" w:name="_Ref27555366"/>
      <w:bookmarkStart w:id="54" w:name="_Toc33776164"/>
      <w:r w:rsidRPr="002D1DD7">
        <w:lastRenderedPageBreak/>
        <w:t>A systematic review to identify published meta-analyses evaluating the use of response rates and duration of response as surrogate endpoints for progression-free and overall survival</w:t>
      </w:r>
      <w:bookmarkEnd w:id="53"/>
      <w:bookmarkEnd w:id="54"/>
    </w:p>
    <w:p w14:paraId="214B4508" w14:textId="77777777" w:rsidR="000514C7" w:rsidRPr="002D1DD7" w:rsidRDefault="000514C7" w:rsidP="00EC11CD">
      <w:pPr>
        <w:pStyle w:val="Heading2"/>
      </w:pPr>
      <w:bookmarkStart w:id="55" w:name="_Toc33776165"/>
      <w:r w:rsidRPr="002D1DD7">
        <w:t>Introduction</w:t>
      </w:r>
      <w:bookmarkEnd w:id="55"/>
      <w:r w:rsidRPr="002D1DD7">
        <w:t xml:space="preserve"> </w:t>
      </w:r>
    </w:p>
    <w:p w14:paraId="5FA41341" w14:textId="7312B8CA" w:rsidR="000514C7" w:rsidRPr="002D1DD7" w:rsidRDefault="000514C7" w:rsidP="007E1112">
      <w:r w:rsidRPr="002D1DD7">
        <w:t xml:space="preserve">It is generally accepted that decisions about the use of new and existing health technologies should ideally be informed by estimates of treatment effects derived from high quality RCTs which measure patient-relevant endpoints over a clinically appropriate timeframe. Such “final” endpoints typically involve the measurement of health benefits and adverse events which reflect aspects of the disease and its treatment which are important to patients (and potentially also their carers) and which relate to </w:t>
      </w:r>
      <w:r w:rsidRPr="00C605AF">
        <w:t>“</w:t>
      </w:r>
      <w:r w:rsidRPr="00D16131">
        <w:rPr>
          <w:i/>
        </w:rPr>
        <w:t>how the patient feels, functions or survives</w:t>
      </w:r>
      <w:r w:rsidRPr="00C605AF">
        <w:t>.”</w:t>
      </w:r>
      <w:r w:rsidR="006F7FD7">
        <w:fldChar w:fldCharType="begin"/>
      </w:r>
      <w:r w:rsidR="000E66DE">
        <w:instrText xml:space="preserve"> ADDIN EN.CITE &lt;EndNote&gt;&lt;Cite&gt;&lt;Author&gt;Fleming TR&lt;/Author&gt;&lt;Year&gt;2012&lt;/Year&gt;&lt;RecNum&gt;3395&lt;/RecNum&gt;&lt;DisplayText&gt;&lt;style face="superscript"&gt;62&lt;/style&gt;&lt;/DisplayText&gt;&lt;record&gt;&lt;rec-number&gt;3395&lt;/rec-number&gt;&lt;foreign-keys&gt;&lt;key app="EN" db-id="dwaevxvazfs2f3ewvzmxrd0k0wasw55p2z2w" timestamp="1568727868"&gt;3395&lt;/key&gt;&lt;/foreign-keys&gt;&lt;ref-type name="Journal Article"&gt;17&lt;/ref-type&gt;&lt;contributors&gt;&lt;authors&gt;&lt;author&gt;Fleming TR, &lt;/author&gt;&lt;author&gt;Powers JH,&lt;/author&gt;&lt;/authors&gt;&lt;/contributors&gt;&lt;titles&gt;&lt;title&gt;Biomarkers and surrogate endpoints in clinical trials&lt;/title&gt;&lt;secondary-title&gt;Statistics in Medicine&lt;/secondary-title&gt;&lt;/titles&gt;&lt;periodical&gt;&lt;full-title&gt;Statistics in Medicine&lt;/full-title&gt;&lt;abbr-1&gt;Stat Med&lt;/abbr-1&gt;&lt;/periodical&gt;&lt;pages&gt;2973-2984&lt;/pages&gt;&lt;volume&gt;31&lt;/volume&gt;&lt;number&gt;25&lt;/number&gt;&lt;dates&gt;&lt;year&gt;2012&lt;/year&gt;&lt;/dates&gt;&lt;urls&gt;&lt;/urls&gt;&lt;/record&gt;&lt;/Cite&gt;&lt;/EndNote&gt;</w:instrText>
      </w:r>
      <w:r w:rsidR="006F7FD7">
        <w:fldChar w:fldCharType="separate"/>
      </w:r>
      <w:r w:rsidR="006F7FD7" w:rsidRPr="006F7FD7">
        <w:rPr>
          <w:noProof/>
          <w:vertAlign w:val="superscript"/>
        </w:rPr>
        <w:t>62</w:t>
      </w:r>
      <w:r w:rsidR="006F7FD7">
        <w:fldChar w:fldCharType="end"/>
      </w:r>
      <w:r w:rsidRPr="002D1DD7">
        <w:t xml:space="preserve"> In the context of evaluating treatments for advanced/metastatic cancer, the key matter of concern is often whether the use of a given heath technology leads to improvements in OS </w:t>
      </w:r>
      <w:r w:rsidR="00001080">
        <w:t>(</w:t>
      </w:r>
      <w:r w:rsidRPr="002D1DD7">
        <w:t>a final endpoint) compared t</w:t>
      </w:r>
      <w:r w:rsidR="00C605AF">
        <w:t>o</w:t>
      </w:r>
      <w:r w:rsidRPr="002D1DD7">
        <w:t xml:space="preserve"> existing standard treatments. However, the estimation of treatment effects on OS may be subject to numerous problems, including: potential confounding resulting from the use of post-progression treatments, insufficient study follow-up resulting in data immaturity, or simply that data on OS have not been collected. In such instances, determining the impact of health technologies becomes more challenging and may rely on the use of other surrogate or intermediate endpoints to estimate treatment effects on final endpoints. These surrogate endpoints are intended to substitute for</w:t>
      </w:r>
      <w:r w:rsidR="00001080">
        <w:t>,</w:t>
      </w:r>
      <w:r w:rsidRPr="002D1DD7">
        <w:t xml:space="preserve"> and predict</w:t>
      </w:r>
      <w:r w:rsidR="00001080">
        <w:t>,</w:t>
      </w:r>
      <w:r w:rsidRPr="002D1DD7">
        <w:t xml:space="preserve"> a final patient-relevant clinical outcome.</w:t>
      </w:r>
      <w:r w:rsidR="006F7FD7">
        <w:fldChar w:fldCharType="begin"/>
      </w:r>
      <w:r w:rsidR="000E66DE">
        <w:instrText xml:space="preserve"> ADDIN EN.CITE &lt;EndNote&gt;&lt;Cite&gt;&lt;Author&gt;Taylor RS&lt;/Author&gt;&lt;Year&gt;2009&lt;/Year&gt;&lt;RecNum&gt;3396&lt;/RecNum&gt;&lt;DisplayText&gt;&lt;style face="superscript"&gt;63&lt;/style&gt;&lt;/DisplayText&gt;&lt;record&gt;&lt;rec-number&gt;3396&lt;/rec-number&gt;&lt;foreign-keys&gt;&lt;key app="EN" db-id="dwaevxvazfs2f3ewvzmxrd0k0wasw55p2z2w" timestamp="1568727869"&gt;3396&lt;/key&gt;&lt;/foreign-keys&gt;&lt;ref-type name="Journal Article"&gt;17&lt;/ref-type&gt;&lt;contributors&gt;&lt;authors&gt;&lt;author&gt;Taylor RS,&lt;/author&gt;&lt;author&gt;Elston J,&lt;/author&gt;&lt;/authors&gt;&lt;/contributors&gt;&lt;titles&gt;&lt;title&gt;The use of surrogate outcomes in model-based cost-effectiveness analyses: a survey of UK Health Technology Assessment reports&lt;/title&gt;&lt;secondary-title&gt;Health Technology Assessment&lt;/secondary-title&gt;&lt;/titles&gt;&lt;periodical&gt;&lt;full-title&gt;Health Technology Assessment&lt;/full-title&gt;&lt;abbr-1&gt;Health Technol Assess&lt;/abbr-1&gt;&lt;/periodical&gt;&lt;pages&gt;1-72&lt;/pages&gt;&lt;volume&gt;13&lt;/volume&gt;&lt;number&gt;8&lt;/number&gt;&lt;dates&gt;&lt;year&gt;2009&lt;/year&gt;&lt;/dates&gt;&lt;urls&gt;&lt;/urls&gt;&lt;/record&gt;&lt;/Cite&gt;&lt;/EndNote&gt;</w:instrText>
      </w:r>
      <w:r w:rsidR="006F7FD7">
        <w:fldChar w:fldCharType="separate"/>
      </w:r>
      <w:r w:rsidR="006F7FD7" w:rsidRPr="006F7FD7">
        <w:rPr>
          <w:noProof/>
          <w:vertAlign w:val="superscript"/>
        </w:rPr>
        <w:t>63</w:t>
      </w:r>
      <w:r w:rsidR="006F7FD7">
        <w:fldChar w:fldCharType="end"/>
      </w:r>
      <w:r w:rsidRPr="002D1DD7">
        <w:t xml:space="preserve"> In terms of advanced/metastatic cancer, potentially relevant surrogate endpoints may vary according to the tumour type and site, but commonly include PFS, time to progression (TTP), and response-based outcomes, which may include </w:t>
      </w:r>
      <w:r w:rsidR="00001080">
        <w:t>O</w:t>
      </w:r>
      <w:r w:rsidRPr="002D1DD7">
        <w:t>RR, CR, PR, very good partial response (VGPR) and DoR. These surrogate endpoints are often considered attractive as they typically require smaller sample sizes, occur faster and are less expensive to collect in clinical trials compared with final outcomes, thereby reducing costs associated with data collection and expediting the time required for bringing new technologies to market.</w:t>
      </w:r>
    </w:p>
    <w:p w14:paraId="35A50226" w14:textId="4BA59817" w:rsidR="000514C7" w:rsidRPr="002D1DD7" w:rsidRDefault="000514C7" w:rsidP="007E1112">
      <w:r w:rsidRPr="002D1DD7">
        <w:t>It has long been recognised that the reliance on surrogates may lead to invalid conclusions regarding the net health effects of technologies, which in turn, have the potential to lead to patient harm</w:t>
      </w:r>
      <w:r w:rsidR="00C605AF">
        <w:t>.</w:t>
      </w:r>
      <w:r w:rsidR="006F7FD7">
        <w:fldChar w:fldCharType="begin"/>
      </w:r>
      <w:r w:rsidR="00054FE8">
        <w:instrText xml:space="preserve"> ADDIN EN.CITE &lt;EndNote&gt;&lt;Cite&gt;&lt;Author&gt;Fleming TR&lt;/Author&gt;&lt;Year&gt;1996&lt;/Year&gt;&lt;RecNum&gt;3397&lt;/RecNum&gt;&lt;DisplayText&gt;&lt;style face="superscript"&gt;64&lt;/style&gt;&lt;/DisplayText&gt;&lt;record&gt;&lt;rec-number&gt;3397&lt;/rec-number&gt;&lt;foreign-keys&gt;&lt;key app="EN" db-id="dwaevxvazfs2f3ewvzmxrd0k0wasw55p2z2w" timestamp="1568727869"&gt;3397&lt;/key&gt;&lt;/foreign-keys&gt;&lt;ref-type name="Journal Article"&gt;17&lt;/ref-type&gt;&lt;contributors&gt;&lt;authors&gt;&lt;author&gt;Fleming TR,&lt;/author&gt;&lt;author&gt;DeMets DL,&lt;/author&gt;&lt;/authors&gt;&lt;/contributors&gt;&lt;titles&gt;&lt;title&gt;Surrogate end points in clinical trials: are we being misled?&lt;/title&gt;&lt;secondary-title&gt;Annals of Internal Medicine&lt;/secondary-title&gt;&lt;/titles&gt;&lt;pages&gt;605-613&lt;/pages&gt;&lt;volume&gt;125&lt;/volume&gt;&lt;number&gt;7&lt;/number&gt;&lt;dates&gt;&lt;year&gt;1996&lt;/year&gt;&lt;/dates&gt;&lt;urls&gt;&lt;/urls&gt;&lt;/record&gt;&lt;/Cite&gt;&lt;/EndNote&gt;</w:instrText>
      </w:r>
      <w:r w:rsidR="006F7FD7">
        <w:fldChar w:fldCharType="separate"/>
      </w:r>
      <w:r w:rsidR="006F7FD7" w:rsidRPr="006F7FD7">
        <w:rPr>
          <w:noProof/>
          <w:vertAlign w:val="superscript"/>
        </w:rPr>
        <w:t>64</w:t>
      </w:r>
      <w:r w:rsidR="006F7FD7">
        <w:fldChar w:fldCharType="end"/>
      </w:r>
      <w:r w:rsidRPr="002D1DD7">
        <w:t xml:space="preserve"> Much of the published literature around the use of surrogate endpoints has focussed on the development and application of frameworks for their validation.</w:t>
      </w:r>
      <w:r w:rsidR="006F7FD7">
        <w:fldChar w:fldCharType="begin"/>
      </w:r>
      <w:r w:rsidR="000E66DE">
        <w:instrText xml:space="preserve"> ADDIN EN.CITE &lt;EndNote&gt;&lt;Cite&gt;&lt;Author&gt;Prentice RL&lt;/Author&gt;&lt;Year&gt;1989&lt;/Year&gt;&lt;RecNum&gt;3398&lt;/RecNum&gt;&lt;DisplayText&gt;&lt;style face="superscript"&gt;65, 66&lt;/style&gt;&lt;/DisplayText&gt;&lt;record&gt;&lt;rec-number&gt;3398&lt;/rec-number&gt;&lt;foreign-keys&gt;&lt;key app="EN" db-id="dwaevxvazfs2f3ewvzmxrd0k0wasw55p2z2w" timestamp="1568727869"&gt;3398&lt;/key&gt;&lt;/foreign-keys&gt;&lt;ref-type name="Journal Article"&gt;17&lt;/ref-type&gt;&lt;contributors&gt;&lt;authors&gt;&lt;author&gt;Prentice RL,&lt;/author&gt;&lt;/authors&gt;&lt;/contributors&gt;&lt;titles&gt;&lt;title&gt;Surrogate endpoints in clinical trials: definition and operational criteria&lt;/title&gt;&lt;secondary-title&gt;Statistics in Medicine&lt;/secondary-title&gt;&lt;/titles&gt;&lt;periodical&gt;&lt;full-title&gt;Statistics in Medicine&lt;/full-title&gt;&lt;abbr-1&gt;Stat Med&lt;/abbr-1&gt;&lt;/periodical&gt;&lt;pages&gt;431-440&lt;/pages&gt;&lt;volume&gt;8&lt;/volume&gt;&lt;number&gt;4&lt;/number&gt;&lt;dates&gt;&lt;year&gt;1989&lt;/year&gt;&lt;/dates&gt;&lt;urls&gt;&lt;/urls&gt;&lt;/record&gt;&lt;/Cite&gt;&lt;Cite&gt;&lt;Author&gt;Buyse M&lt;/Author&gt;&lt;Year&gt;2000&lt;/Year&gt;&lt;RecNum&gt;3399&lt;/RecNum&gt;&lt;record&gt;&lt;rec-number&gt;3399&lt;/rec-number&gt;&lt;foreign-keys&gt;&lt;key app="EN" db-id="dwaevxvazfs2f3ewvzmxrd0k0wasw55p2z2w" timestamp="1568727870"&gt;3399&lt;/key&gt;&lt;/foreign-keys&gt;&lt;ref-type name="Journal Article"&gt;17&lt;/ref-type&gt;&lt;contributors&gt;&lt;authors&gt;&lt;author&gt;Buyse M,&lt;/author&gt;&lt;author&gt;Molenberghs G,&lt;/author&gt;&lt;author&gt;Burzykowski T,&lt;/author&gt;&lt;author&gt;Renard D,&lt;/author&gt;&lt;author&gt;Geys H,&lt;/author&gt;&lt;/authors&gt;&lt;/contributors&gt;&lt;titles&gt;&lt;title&gt;The validation of surrogate endpoints in meta-analyses of randomized experiments&lt;/title&gt;&lt;secondary-title&gt;Biostatistics&lt;/secondary-title&gt;&lt;/titles&gt;&lt;periodical&gt;&lt;full-title&gt;Biostatistics&lt;/full-title&gt;&lt;/periodical&gt;&lt;pages&gt;49-67&lt;/pages&gt;&lt;volume&gt;1&lt;/volume&gt;&lt;number&gt;1&lt;/number&gt;&lt;dates&gt;&lt;year&gt;2000&lt;/year&gt;&lt;/dates&gt;&lt;urls&gt;&lt;/urls&gt;&lt;/record&gt;&lt;/Cite&gt;&lt;/EndNote&gt;</w:instrText>
      </w:r>
      <w:r w:rsidR="006F7FD7">
        <w:fldChar w:fldCharType="separate"/>
      </w:r>
      <w:r w:rsidR="006F7FD7" w:rsidRPr="006F7FD7">
        <w:rPr>
          <w:noProof/>
          <w:vertAlign w:val="superscript"/>
        </w:rPr>
        <w:t>65, 66</w:t>
      </w:r>
      <w:r w:rsidR="006F7FD7">
        <w:fldChar w:fldCharType="end"/>
      </w:r>
      <w:r w:rsidRPr="002D1DD7">
        <w:t xml:space="preserve"> In his seminal paper, Prentice</w:t>
      </w:r>
      <w:r w:rsidR="006F7FD7">
        <w:fldChar w:fldCharType="begin"/>
      </w:r>
      <w:r w:rsidR="000E66DE">
        <w:instrText xml:space="preserve"> ADDIN EN.CITE &lt;EndNote&gt;&lt;Cite&gt;&lt;Author&gt;Prentice RL&lt;/Author&gt;&lt;Year&gt;1989&lt;/Year&gt;&lt;RecNum&gt;3398&lt;/RecNum&gt;&lt;DisplayText&gt;&lt;style face="superscript"&gt;65&lt;/style&gt;&lt;/DisplayText&gt;&lt;record&gt;&lt;rec-number&gt;3398&lt;/rec-number&gt;&lt;foreign-keys&gt;&lt;key app="EN" db-id="dwaevxvazfs2f3ewvzmxrd0k0wasw55p2z2w" timestamp="1568727869"&gt;3398&lt;/key&gt;&lt;/foreign-keys&gt;&lt;ref-type name="Journal Article"&gt;17&lt;/ref-type&gt;&lt;contributors&gt;&lt;authors&gt;&lt;author&gt;Prentice RL,&lt;/author&gt;&lt;/authors&gt;&lt;/contributors&gt;&lt;titles&gt;&lt;title&gt;Surrogate endpoints in clinical trials: definition and operational criteria&lt;/title&gt;&lt;secondary-title&gt;Statistics in Medicine&lt;/secondary-title&gt;&lt;/titles&gt;&lt;periodical&gt;&lt;full-title&gt;Statistics in Medicine&lt;/full-title&gt;&lt;abbr-1&gt;Stat Med&lt;/abbr-1&gt;&lt;/periodical&gt;&lt;pages&gt;431-440&lt;/pages&gt;&lt;volume&gt;8&lt;/volume&gt;&lt;number&gt;4&lt;/number&gt;&lt;dates&gt;&lt;year&gt;1989&lt;/year&gt;&lt;/dates&gt;&lt;urls&gt;&lt;/urls&gt;&lt;/record&gt;&lt;/Cite&gt;&lt;/EndNote&gt;</w:instrText>
      </w:r>
      <w:r w:rsidR="006F7FD7">
        <w:fldChar w:fldCharType="separate"/>
      </w:r>
      <w:r w:rsidR="006F7FD7" w:rsidRPr="006F7FD7">
        <w:rPr>
          <w:noProof/>
          <w:vertAlign w:val="superscript"/>
        </w:rPr>
        <w:t>65</w:t>
      </w:r>
      <w:r w:rsidR="006F7FD7">
        <w:fldChar w:fldCharType="end"/>
      </w:r>
      <w:r w:rsidRPr="002D1DD7">
        <w:t xml:space="preserve"> put forward stringent criteria for the validation of surrogate endpoints in Phase III trials. In general terms, these criteria require that the surrogate endpoint must be a correlate of the net effect of treatment on the final clinical outcome – in other words, there must be a single pathway from the treatment to the true endpoint which is mediated exclusively by the surrogate endpoint.</w:t>
      </w:r>
      <w:r w:rsidR="006F7FD7">
        <w:fldChar w:fldCharType="begin"/>
      </w:r>
      <w:r w:rsidR="000E66DE">
        <w:instrText xml:space="preserve"> ADDIN EN.CITE &lt;EndNote&gt;&lt;Cite&gt;&lt;Author&gt;Heller G&lt;/Author&gt;&lt;Year&gt;2015&lt;/Year&gt;&lt;RecNum&gt;3400&lt;/RecNum&gt;&lt;DisplayText&gt;&lt;style face="superscript"&gt;67&lt;/style&gt;&lt;/DisplayText&gt;&lt;record&gt;&lt;rec-number&gt;3400&lt;/rec-number&gt;&lt;foreign-keys&gt;&lt;key app="EN" db-id="dwaevxvazfs2f3ewvzmxrd0k0wasw55p2z2w" timestamp="1568727870"&gt;3400&lt;/key&gt;&lt;/foreign-keys&gt;&lt;ref-type name="Journal Article"&gt;17&lt;/ref-type&gt;&lt;contributors&gt;&lt;authors&gt;&lt;author&gt;Heller G,&lt;/author&gt;&lt;/authors&gt;&lt;/contributors&gt;&lt;titles&gt;&lt;title&gt;Statistical controversies in clinical research: an initial evaluation of a surrogate end point using a single randomized clinical trial and the Prentice criteria&lt;/title&gt;&lt;secondary-title&gt;Annals of Oncology&lt;/secondary-title&gt;&lt;/titles&gt;&lt;periodical&gt;&lt;full-title&gt;Annals of Oncology&lt;/full-title&gt;&lt;abbr-1&gt;Ann Oncol&lt;/abbr-1&gt;&lt;/periodical&gt;&lt;pages&gt;2012-2016&lt;/pages&gt;&lt;volume&gt;26&lt;/volume&gt;&lt;number&gt;10&lt;/number&gt;&lt;dates&gt;&lt;year&gt;2015&lt;/year&gt;&lt;/dates&gt;&lt;urls&gt;&lt;/urls&gt;&lt;/record&gt;&lt;/Cite&gt;&lt;/EndNote&gt;</w:instrText>
      </w:r>
      <w:r w:rsidR="006F7FD7">
        <w:fldChar w:fldCharType="separate"/>
      </w:r>
      <w:r w:rsidR="006F7FD7" w:rsidRPr="006F7FD7">
        <w:rPr>
          <w:noProof/>
          <w:vertAlign w:val="superscript"/>
        </w:rPr>
        <w:t>67</w:t>
      </w:r>
      <w:r w:rsidR="006F7FD7">
        <w:fldChar w:fldCharType="end"/>
      </w:r>
      <w:r w:rsidRPr="002D1DD7">
        <w:t xml:space="preserve"> Applied surrogate validation studies commonly adopt a meta-analytic (meta-regression) approach based on multiple studies in order to assess whether the apparent relationship between the surrogate and the final endpoint remains </w:t>
      </w:r>
      <w:r w:rsidRPr="002D1DD7">
        <w:lastRenderedPageBreak/>
        <w:t>constant in the presence of various sources of heterogeneity, such as differences in patient population, study design and treatments received.</w:t>
      </w:r>
      <w:r w:rsidR="006F7FD7">
        <w:fldChar w:fldCharType="begin"/>
      </w:r>
      <w:r w:rsidR="006F7FD7">
        <w:instrText xml:space="preserve"> ADDIN EN.CITE &lt;EndNote&gt;&lt;Cite&gt;&lt;Author&gt;Buyse M&lt;/Author&gt;&lt;Year&gt;2000&lt;/Year&gt;&lt;RecNum&gt;3399&lt;/RecNum&gt;&lt;DisplayText&gt;&lt;style face="superscript"&gt;66&lt;/style&gt;&lt;/DisplayText&gt;&lt;record&gt;&lt;rec-number&gt;3399&lt;/rec-number&gt;&lt;foreign-keys&gt;&lt;key app="EN" db-id="dwaevxvazfs2f3ewvzmxrd0k0wasw55p2z2w" timestamp="1568727870"&gt;3399&lt;/key&gt;&lt;/foreign-keys&gt;&lt;ref-type name="Journal Article"&gt;17&lt;/ref-type&gt;&lt;contributors&gt;&lt;authors&gt;&lt;author&gt;Buyse M,&lt;/author&gt;&lt;author&gt;Molenberghs G,&lt;/author&gt;&lt;author&gt;Burzykowski T,&lt;/author&gt;&lt;author&gt;Renard D,&lt;/author&gt;&lt;author&gt;Geys H,&lt;/author&gt;&lt;/authors&gt;&lt;/contributors&gt;&lt;titles&gt;&lt;title&gt;The validation of surrogate endpoints in meta-analyses of randomized experiments&lt;/title&gt;&lt;secondary-title&gt;Biostatistics&lt;/secondary-title&gt;&lt;/titles&gt;&lt;periodical&gt;&lt;full-title&gt;Biostatistics&lt;/full-title&gt;&lt;/periodical&gt;&lt;pages&gt;49-67&lt;/pages&gt;&lt;volume&gt;1&lt;/volume&gt;&lt;number&gt;1&lt;/number&gt;&lt;dates&gt;&lt;year&gt;2000&lt;/year&gt;&lt;/dates&gt;&lt;urls&gt;&lt;/urls&gt;&lt;/record&gt;&lt;/Cite&gt;&lt;/EndNote&gt;</w:instrText>
      </w:r>
      <w:r w:rsidR="006F7FD7">
        <w:fldChar w:fldCharType="separate"/>
      </w:r>
      <w:r w:rsidR="006F7FD7" w:rsidRPr="006F7FD7">
        <w:rPr>
          <w:noProof/>
          <w:vertAlign w:val="superscript"/>
        </w:rPr>
        <w:t>66</w:t>
      </w:r>
      <w:r w:rsidR="006F7FD7">
        <w:fldChar w:fldCharType="end"/>
      </w:r>
    </w:p>
    <w:p w14:paraId="1CB2A8F9" w14:textId="269C3F68" w:rsidR="000514C7" w:rsidRPr="002D1DD7" w:rsidRDefault="000514C7" w:rsidP="007E1112">
      <w:r w:rsidRPr="002D1DD7">
        <w:t xml:space="preserve">Based on the </w:t>
      </w:r>
      <w:r w:rsidR="007E1112" w:rsidRPr="007E1112">
        <w:t xml:space="preserve">National Institutes of Health </w:t>
      </w:r>
      <w:r w:rsidR="007E1112">
        <w:t>(</w:t>
      </w:r>
      <w:r w:rsidRPr="002D1DD7">
        <w:t>NIH</w:t>
      </w:r>
      <w:r w:rsidR="007E1112">
        <w:t xml:space="preserve">) </w:t>
      </w:r>
      <w:r w:rsidRPr="002D1DD7">
        <w:t>Biomarkers Definition Working Group’s preferred terms and definitions</w:t>
      </w:r>
      <w:r w:rsidR="006F7FD7">
        <w:fldChar w:fldCharType="begin"/>
      </w:r>
      <w:r w:rsidR="000E66DE">
        <w:instrText xml:space="preserve"> ADDIN EN.CITE &lt;EndNote&gt;&lt;Cite&gt;&lt;Author&gt;Biomarkers Definitions Working Group&lt;/Author&gt;&lt;Year&gt;2001&lt;/Year&gt;&lt;RecNum&gt;3401&lt;/RecNum&gt;&lt;DisplayText&gt;&lt;style face="superscript"&gt;68&lt;/style&gt;&lt;/DisplayText&gt;&lt;record&gt;&lt;rec-number&gt;3401&lt;/rec-number&gt;&lt;foreign-keys&gt;&lt;key app="EN" db-id="dwaevxvazfs2f3ewvzmxrd0k0wasw55p2z2w" timestamp="1568727871"&gt;3401&lt;/key&gt;&lt;/foreign-keys&gt;&lt;ref-type name="Journal Article"&gt;17&lt;/ref-type&gt;&lt;contributors&gt;&lt;authors&gt;&lt;author&gt;Biomarkers Definitions Working Group,&lt;/author&gt;&lt;/authors&gt;&lt;/contributors&gt;&lt;titles&gt;&lt;title&gt;Biomarkers and surrogate endpoints: preferred definitions and conceptual framework&lt;/title&gt;&lt;secondary-title&gt;Clinical Pharmacology &amp;amp; Therapeutics&lt;/secondary-title&gt;&lt;/titles&gt;&lt;periodical&gt;&lt;full-title&gt;Clinical Pharmacology &amp;amp; Therapeutics&lt;/full-title&gt;&lt;abbr-1&gt;Clin Pharmacol Ther&lt;/abbr-1&gt;&lt;/periodical&gt;&lt;pages&gt;89-95&lt;/pages&gt;&lt;volume&gt;69&lt;/volume&gt;&lt;number&gt;3&lt;/number&gt;&lt;dates&gt;&lt;year&gt;2001&lt;/year&gt;&lt;/dates&gt;&lt;urls&gt;&lt;/urls&gt;&lt;/record&gt;&lt;/Cite&gt;&lt;/EndNote&gt;</w:instrText>
      </w:r>
      <w:r w:rsidR="006F7FD7">
        <w:fldChar w:fldCharType="separate"/>
      </w:r>
      <w:r w:rsidR="006F7FD7" w:rsidRPr="006F7FD7">
        <w:rPr>
          <w:noProof/>
          <w:vertAlign w:val="superscript"/>
        </w:rPr>
        <w:t>68</w:t>
      </w:r>
      <w:r w:rsidR="006F7FD7">
        <w:fldChar w:fldCharType="end"/>
      </w:r>
      <w:r w:rsidRPr="002D1DD7">
        <w:t xml:space="preserve"> and the 2001 JAMA User’s Guide,</w:t>
      </w:r>
      <w:r w:rsidR="006F7FD7">
        <w:fldChar w:fldCharType="begin"/>
      </w:r>
      <w:r w:rsidR="00054FE8">
        <w:instrText xml:space="preserve"> ADDIN EN.CITE &lt;EndNote&gt;&lt;Cite&gt;&lt;Author&gt;Bucher HC&lt;/Author&gt;&lt;Year&gt;1999&lt;/Year&gt;&lt;RecNum&gt;3402&lt;/RecNum&gt;&lt;DisplayText&gt;&lt;style face="superscript"&gt;69&lt;/style&gt;&lt;/DisplayText&gt;&lt;record&gt;&lt;rec-number&gt;3402&lt;/rec-number&gt;&lt;foreign-keys&gt;&lt;key app="EN" db-id="dwaevxvazfs2f3ewvzmxrd0k0wasw55p2z2w" timestamp="1568727871"&gt;3402&lt;/key&gt;&lt;/foreign-keys&gt;&lt;ref-type name="Journal Article"&gt;17&lt;/ref-type&gt;&lt;contributors&gt;&lt;authors&gt;&lt;author&gt;Bucher HC,&lt;/author&gt;&lt;author&gt;Guyatt GH,&lt;/author&gt;&lt;author&gt;Cook DJ,&lt;/author&gt;&lt;author&gt;Holbrook A,&lt;/author&gt;&lt;author&gt;McAlister FA,&lt;/author&gt;&lt;/authors&gt;&lt;/contributors&gt;&lt;titles&gt;&lt;title&gt;Users’ guides to the medical literature: XIX. Applying clinical trial results. A. How to use an article measuring the effect of an intervention on surrogate end points.&lt;/title&gt;&lt;secondary-title&gt;JAMA&lt;/secondary-title&gt;&lt;/titles&gt;&lt;pages&gt;771-778&lt;/pages&gt;&lt;volume&gt;282&lt;/volume&gt;&lt;number&gt;8&lt;/number&gt;&lt;dates&gt;&lt;year&gt;1999&lt;/year&gt;&lt;/dates&gt;&lt;urls&gt;&lt;/urls&gt;&lt;/record&gt;&lt;/Cite&gt;&lt;/EndNote&gt;</w:instrText>
      </w:r>
      <w:r w:rsidR="006F7FD7">
        <w:fldChar w:fldCharType="separate"/>
      </w:r>
      <w:r w:rsidR="006F7FD7" w:rsidRPr="006F7FD7">
        <w:rPr>
          <w:noProof/>
          <w:vertAlign w:val="superscript"/>
        </w:rPr>
        <w:t>69</w:t>
      </w:r>
      <w:r w:rsidR="006F7FD7">
        <w:fldChar w:fldCharType="end"/>
      </w:r>
      <w:r w:rsidRPr="002D1DD7">
        <w:t xml:space="preserve"> Taylor and Elston</w:t>
      </w:r>
      <w:r w:rsidR="006F7FD7">
        <w:fldChar w:fldCharType="begin"/>
      </w:r>
      <w:r w:rsidR="006F7FD7">
        <w:instrText xml:space="preserve"> ADDIN EN.CITE &lt;EndNote&gt;&lt;Cite&gt;&lt;Author&gt;Elston&lt;/Author&gt;&lt;Year&gt;2009&lt;/Year&gt;&lt;RecNum&gt;3393&lt;/RecNum&gt;&lt;DisplayText&gt;&lt;style face="superscript"&gt;70&lt;/style&gt;&lt;/DisplayText&gt;&lt;record&gt;&lt;rec-number&gt;3393&lt;/rec-number&gt;&lt;foreign-keys&gt;&lt;key app="EN" db-id="dwaevxvazfs2f3ewvzmxrd0k0wasw55p2z2w" timestamp="1568727867"&gt;3393&lt;/key&gt;&lt;/foreign-keys&gt;&lt;ref-type name="Journal Article"&gt;17&lt;/ref-type&gt;&lt;contributors&gt;&lt;authors&gt;&lt;author&gt;Elston, J.&lt;/author&gt;&lt;author&gt;Taylor, R. S.&lt;/author&gt;&lt;/authors&gt;&lt;/contributors&gt;&lt;auth-address&gt;Institute of Health Service Research, Peninsula Medical School, Universities of Exeter and Plymouth, Exeter, UK. julian.elston@pms.ac.uk&lt;/auth-address&gt;&lt;titles&gt;&lt;title&gt;Use of surrogate outcomes in cost-effectiveness models: a review of United Kingdom health technology assessment reports&lt;/title&gt;&lt;secondary-title&gt;Int J Technol Assess Health Care&lt;/secondary-title&gt;&lt;/titles&gt;&lt;periodical&gt;&lt;full-title&gt;Int J Technol Assess Health Care&lt;/full-title&gt;&lt;/periodical&gt;&lt;pages&gt;6-13&lt;/pages&gt;&lt;volume&gt;25&lt;/volume&gt;&lt;number&gt;1&lt;/number&gt;&lt;edition&gt;2009/01/08&lt;/edition&gt;&lt;keywords&gt;&lt;keyword&gt;$$background&lt;/keyword&gt;&lt;keyword&gt;*Biomarkers&lt;/keyword&gt;&lt;keyword&gt;Cost-Benefit Analysis&lt;/keyword&gt;&lt;keyword&gt;Health Care Costs&lt;/keyword&gt;&lt;keyword&gt;Humans&lt;/keyword&gt;&lt;keyword&gt;Outcome Assessment (Health Care)/*economics&lt;/keyword&gt;&lt;keyword&gt;Pilot Projects&lt;/keyword&gt;&lt;keyword&gt;United Kingdom&lt;/keyword&gt;&lt;/keywords&gt;&lt;dates&gt;&lt;year&gt;2009&lt;/year&gt;&lt;pub-dates&gt;&lt;date&gt;Jan&lt;/date&gt;&lt;/pub-dates&gt;&lt;/dates&gt;&lt;isbn&gt;0266-4623 (Print)&amp;#xD;0266-4623 (Linking)&lt;/isbn&gt;&lt;accession-num&gt;19126246&lt;/accession-num&gt;&lt;urls&gt;&lt;/urls&gt;&lt;electronic-resource-num&gt;10.1017/S0266462309090023&lt;/electronic-resource-num&gt;&lt;research-notes&gt;https://www.ncbi.nlm.nih.gov/pubmed/19126246&lt;/research-notes&gt;&lt;/record&gt;&lt;/Cite&gt;&lt;/EndNote&gt;</w:instrText>
      </w:r>
      <w:r w:rsidR="006F7FD7">
        <w:fldChar w:fldCharType="separate"/>
      </w:r>
      <w:r w:rsidR="006F7FD7" w:rsidRPr="006F7FD7">
        <w:rPr>
          <w:noProof/>
          <w:vertAlign w:val="superscript"/>
        </w:rPr>
        <w:t>70</w:t>
      </w:r>
      <w:r w:rsidR="006F7FD7">
        <w:fldChar w:fldCharType="end"/>
      </w:r>
      <w:r w:rsidRPr="002D1DD7">
        <w:t xml:space="preserve"> proposed a hierarchy of levels of surrogate validation. Level </w:t>
      </w:r>
      <w:r w:rsidR="008A30DF">
        <w:t>3</w:t>
      </w:r>
      <w:r w:rsidRPr="002D1DD7">
        <w:t xml:space="preserve"> of the hierarchy relates to biological plausibility – this is the weakest form of validation and is typically based on pathophysiological studies and/or an understanding of the disease process. Level 2 requires the presence of a consistent association between the surrogate outcome and the final endpoint; this may be assessed using observational studies or arm-based analyses of trials which have measured both the surrogate and the final outcome. This </w:t>
      </w:r>
      <w:r w:rsidR="008A30DF">
        <w:t xml:space="preserve">level of </w:t>
      </w:r>
      <w:r w:rsidRPr="002D1DD7">
        <w:t xml:space="preserve">validation requires an assessment of the individual-level (absolute) association between endpoints, and is usually undertaken using correlation analysis. Level </w:t>
      </w:r>
      <w:r w:rsidR="008A30DF">
        <w:t>1</w:t>
      </w:r>
      <w:r w:rsidRPr="002D1DD7">
        <w:t xml:space="preserve"> of the hierarchy represents the strongest level of surrogate validation: in order to achieve this level of validation, the treatment effects on the surrogate outcome must correspond to a commensurate treatment effect on the final outcome. Demonstrating this level of validity requires an analysis of correlation in terms of treatment effects between arms based on data from RCTs (sometimes referred to as trial-level association). Other validation frameworks have been proposed to assess the strength of association between surrogate and final endpoints. These include the criteria proposed by the German Institute of Quality and Efficiency in Health Care</w:t>
      </w:r>
      <w:r w:rsidR="006F7FD7">
        <w:fldChar w:fldCharType="begin"/>
      </w:r>
      <w:r w:rsidR="006F7FD7">
        <w:instrText xml:space="preserve"> ADDIN EN.CITE &lt;EndNote&gt;&lt;Cite&gt;&lt;Author&gt;German Institute of Quality and Efficiency in Health Care (IQWiG)&lt;/Author&gt;&lt;Year&gt;2011&lt;/Year&gt;&lt;RecNum&gt;3391&lt;/RecNum&gt;&lt;DisplayText&gt;&lt;style face="superscript"&gt;71&lt;/style&gt;&lt;/DisplayText&gt;&lt;record&gt;&lt;rec-number&gt;3391&lt;/rec-number&gt;&lt;foreign-keys&gt;&lt;key app="EN" db-id="dwaevxvazfs2f3ewvzmxrd0k0wasw55p2z2w" timestamp="1568727866"&gt;3391&lt;/key&gt;&lt;/foreign-keys&gt;&lt;ref-type name="Report"&gt;27&lt;/ref-type&gt;&lt;contributors&gt;&lt;authors&gt;&lt;author&gt;German Institute of Quality and Efficiency in Health Care (IQWiG), &lt;/author&gt;&lt;/authors&gt;&lt;/contributors&gt;&lt;titles&gt;&lt;title&gt;Validity of surrogate endpoints in Oncology&lt;/title&gt;&lt;/titles&gt;&lt;keywords&gt;&lt;keyword&gt;$$background&lt;/keyword&gt;&lt;/keywords&gt;&lt;dates&gt;&lt;year&gt;2011&lt;/year&gt;&lt;/dates&gt;&lt;urls&gt;&lt;/urls&gt;&lt;/record&gt;&lt;/Cite&gt;&lt;/EndNote&gt;</w:instrText>
      </w:r>
      <w:r w:rsidR="006F7FD7">
        <w:fldChar w:fldCharType="separate"/>
      </w:r>
      <w:r w:rsidR="006F7FD7" w:rsidRPr="006F7FD7">
        <w:rPr>
          <w:noProof/>
          <w:vertAlign w:val="superscript"/>
        </w:rPr>
        <w:t>71</w:t>
      </w:r>
      <w:r w:rsidR="006F7FD7">
        <w:fldChar w:fldCharType="end"/>
      </w:r>
      <w:r w:rsidRPr="002D1DD7">
        <w:t xml:space="preserve"> (IQWiG; based on the treatment effect association only) and the Biomarker-Surrogate Evaluation Schema criteria</w: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 </w:instrTex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EN.CITE.DATA </w:instrText>
      </w:r>
      <w:r w:rsidR="006F7FD7">
        <w:fldChar w:fldCharType="end"/>
      </w:r>
      <w:r w:rsidR="006F7FD7">
        <w:fldChar w:fldCharType="separate"/>
      </w:r>
      <w:r w:rsidR="006F7FD7" w:rsidRPr="006F7FD7">
        <w:rPr>
          <w:noProof/>
          <w:vertAlign w:val="superscript"/>
        </w:rPr>
        <w:t>72</w:t>
      </w:r>
      <w:r w:rsidR="006F7FD7">
        <w:fldChar w:fldCharType="end"/>
      </w:r>
      <w:r w:rsidRPr="002D1DD7">
        <w:t xml:space="preserve"> (BSES2; based on both absolute and treatment effect associations). These frameworks differ in terms of the types of analyses and the strength of the relationship required to determine the reliability of the surrogate.</w:t>
      </w:r>
    </w:p>
    <w:p w14:paraId="727DB240" w14:textId="0C4F3A90" w:rsidR="009A03B3" w:rsidRDefault="009A03B3" w:rsidP="003D4532">
      <w:r>
        <w:t xml:space="preserve">The means by which health economic models use information on relationships between surrogate and final endpoints </w:t>
      </w:r>
      <w:r w:rsidR="00E948DB">
        <w:t>differs between appraisals</w:t>
      </w:r>
      <w:r>
        <w:t xml:space="preserve">, but </w:t>
      </w:r>
      <w:r w:rsidR="00E948DB">
        <w:t xml:space="preserve">may </w:t>
      </w:r>
      <w:r>
        <w:t xml:space="preserve">be broadly categorised into two general situations: (i) data are available on both the surrogate and final endpoints from </w:t>
      </w:r>
      <w:r w:rsidR="00E948DB">
        <w:t xml:space="preserve">one or more </w:t>
      </w:r>
      <w:r>
        <w:t xml:space="preserve">studies relating to the technology under consideration, and the relationship between surrogate and final endpoints is not </w:t>
      </w:r>
      <w:r w:rsidR="00E948DB">
        <w:t xml:space="preserve">informed by </w:t>
      </w:r>
      <w:r>
        <w:t>external data</w:t>
      </w:r>
      <w:r w:rsidR="00E948DB">
        <w:t xml:space="preserve"> (and in some instances may not be quantified at all)</w:t>
      </w:r>
      <w:r w:rsidR="00E44848">
        <w:t>;</w:t>
      </w:r>
      <w:r>
        <w:t xml:space="preserve"> and (ii) data are available on the impact of the technology on the surrogate endpoint, but information relating </w:t>
      </w:r>
      <w:r w:rsidR="00E948DB">
        <w:t xml:space="preserve">to </w:t>
      </w:r>
      <w:r>
        <w:t xml:space="preserve">the final endpoint from the same study </w:t>
      </w:r>
      <w:r w:rsidR="00E44848">
        <w:t xml:space="preserve">is </w:t>
      </w:r>
      <w:r>
        <w:t xml:space="preserve">not </w:t>
      </w:r>
      <w:r w:rsidR="00E948DB">
        <w:t xml:space="preserve">available or </w:t>
      </w:r>
      <w:r w:rsidR="00E44848">
        <w:t xml:space="preserve">is </w:t>
      </w:r>
      <w:r w:rsidR="00E948DB">
        <w:t xml:space="preserve">not used </w:t>
      </w:r>
      <w:r>
        <w:t xml:space="preserve">to inform the model </w:t>
      </w:r>
      <w:r w:rsidR="00E44848">
        <w:t>–</w:t>
      </w:r>
      <w:r>
        <w:t xml:space="preserve"> in this case, external data (e.g. meta-regressions and/or other forms of predictive model) may be </w:t>
      </w:r>
      <w:r w:rsidR="00E948DB">
        <w:t xml:space="preserve">required </w:t>
      </w:r>
      <w:r>
        <w:t xml:space="preserve">to quantify the relationship between the surrogate and final endpoint. This review is more relevant to the latter </w:t>
      </w:r>
      <w:r w:rsidR="00E948DB">
        <w:t>situation</w:t>
      </w:r>
      <w:r>
        <w:t xml:space="preserve">, whereby the degree of confidence which can be placed in the results of the model </w:t>
      </w:r>
      <w:r w:rsidR="00E948DB">
        <w:t xml:space="preserve">may </w:t>
      </w:r>
      <w:r>
        <w:t>be</w:t>
      </w:r>
      <w:r w:rsidR="00E948DB">
        <w:t xml:space="preserve"> influenced by judgements about </w:t>
      </w:r>
      <w:r>
        <w:t>whether the surrogate can be considered valid.</w:t>
      </w:r>
    </w:p>
    <w:p w14:paraId="33E70A46" w14:textId="042CE804" w:rsidR="000514C7" w:rsidRDefault="000514C7" w:rsidP="003D4532">
      <w:r w:rsidRPr="002D1DD7">
        <w:t xml:space="preserve">In the context of histology-independent treatments, data on OS, and potentially also other time-to-event outcomes such as PFS, are likely to be immature. Consequently, there may be a need to rely on surrogate outcomes, such as response rate, </w:t>
      </w:r>
      <w:r w:rsidR="008A30DF">
        <w:t xml:space="preserve">using data from external sources, </w:t>
      </w:r>
      <w:r w:rsidRPr="002D1DD7">
        <w:t xml:space="preserve">in order to estimate other </w:t>
      </w:r>
      <w:r w:rsidRPr="002D1DD7">
        <w:lastRenderedPageBreak/>
        <w:t xml:space="preserve">more clinically meaningful final outcomes. This </w:t>
      </w:r>
      <w:r w:rsidR="00C30D9F">
        <w:t>section</w:t>
      </w:r>
      <w:r w:rsidRPr="002D1DD7">
        <w:t xml:space="preserve"> presents a systematic review of response-based outcomes as surrogate</w:t>
      </w:r>
      <w:r w:rsidR="00660387">
        <w:t>s</w:t>
      </w:r>
      <w:r w:rsidRPr="002D1DD7">
        <w:t xml:space="preserve"> for PFS, TTP and OS in advanced or metastatic cancer, across any tumour site. The review focuses on meta-analyses and meta-regressions. Analyses are presented both for absolute associations and treatment effect associations between response-based outcomes and PFS, TTP and/or OS. In addition, the IQWiG and BSES2 criteria are used to </w:t>
      </w:r>
      <w:r w:rsidRPr="002D1DD7">
        <w:rPr>
          <w:rFonts w:eastAsia="Times New Roman"/>
          <w:color w:val="000000"/>
          <w:lang w:eastAsia="en-GB"/>
        </w:rPr>
        <w:t xml:space="preserve">assess </w:t>
      </w:r>
      <w:r w:rsidRPr="002D1DD7">
        <w:t>the strength of association between surrogate and final endpoints. Where data permit, the review also explores the surrogate threshold effect (STE) associated with response-based outcomes: this corresponds to the smallest treatment effect on the surrogate that predicts a non-zero treatment effect on the true endpoint.</w:t>
      </w:r>
      <w:r w:rsidR="00A579CA" w:rsidRPr="002D1DD7">
        <w:fldChar w:fldCharType="begin"/>
      </w:r>
      <w:r w:rsidR="000E66DE">
        <w:instrText xml:space="preserve"> ADDIN EN.CITE &lt;EndNote&gt;&lt;Cite&gt;&lt;Author&gt;Buyse&lt;/Author&gt;&lt;Year&gt;2016&lt;/Year&gt;&lt;RecNum&gt;337&lt;/RecNum&gt;&lt;IDText&gt;$$exclude full text KC&amp;#xD;$$not clinical study&amp;#xD;References Paoletti 2013 meta-analysis in advanced gastric cancer: only PFS to OS so not relevant&lt;/IDText&gt;&lt;DisplayText&gt;&lt;style face="superscript"&gt;73&lt;/style&gt;&lt;/DisplayText&gt;&lt;record&gt;&lt;rec-number&gt;337&lt;/rec-number&gt;&lt;foreign-keys&gt;&lt;key app="EN" db-id="dwaevxvazfs2f3ewvzmxrd0k0wasw55p2z2w" timestamp="1557310569"&gt;337&lt;/key&gt;&lt;/foreign-keys&gt;&lt;ref-type name="Journal Article"&gt;17&lt;/ref-type&gt;&lt;contributors&gt;&lt;authors&gt;&lt;author&gt;Buyse, M.&lt;/author&gt;&lt;author&gt;Molenberghs, G.&lt;/author&gt;&lt;author&gt;Paoletti, X.&lt;/author&gt;&lt;author&gt;Oba, K.&lt;/author&gt;&lt;author&gt;Alonso, A.&lt;/author&gt;&lt;author&gt;Van der Elst, W.&lt;/author&gt;&lt;author&gt;Burzykowski, T.&lt;/author&gt;&lt;/authors&gt;&lt;/contributors&gt;&lt;titles&gt;&lt;title&gt;Statistical evaluation of surrogate endpoints with examples from cancer clinical trials&lt;/title&gt;&lt;secondary-title&gt;Biometrical Journal&lt;/secondary-title&gt;&lt;/titles&gt;&lt;periodical&gt;&lt;full-title&gt;Biometrical Journal&lt;/full-title&gt;&lt;abbr-1&gt;Biometrical J&lt;/abbr-1&gt;&lt;/periodical&gt;&lt;pages&gt;104-132&lt;/pages&gt;&lt;volume&gt;58&lt;/volume&gt;&lt;number&gt;1&lt;/number&gt;&lt;keywords&gt;&lt;keyword&gt;$$include abstract KC&lt;/keyword&gt;&lt;keyword&gt;$$background surrogates&lt;/keyword&gt;&lt;keyword&gt;$$Broad search $$Citation search&lt;/keyword&gt;&lt;/keywords&gt;&lt;dates&gt;&lt;year&gt;2016&lt;/year&gt;&lt;pub-dates&gt;&lt;date&gt;Jan&lt;/date&gt;&lt;/pub-dates&gt;&lt;/dates&gt;&lt;isbn&gt;0323-3847&lt;/isbn&gt;&lt;accession-num&gt;WOS:000367731300008&lt;/accession-num&gt;&lt;label&gt;$$exclude full text KC&amp;#xD;$$not clinical study&amp;#xD;References Paoletti 2013 meta-analysis in advanced gastric cancer: only PFS to OS so not relevant&lt;/label&gt;&lt;urls&gt;&lt;/urls&gt;&lt;electronic-resource-num&gt;10.1002/bimj.201400049&lt;/electronic-resource-num&gt;&lt;research-notes&gt;&lt;style face="underline" font="default" size="100%"&gt;&amp;lt;Go to ISI&amp;gt;://WOS:000367731300008&lt;/style&gt;&lt;/research-notes&gt;&lt;/record&gt;&lt;/Cite&gt;&lt;/EndNote&gt;</w:instrText>
      </w:r>
      <w:r w:rsidR="00A579CA" w:rsidRPr="002D1DD7">
        <w:fldChar w:fldCharType="separate"/>
      </w:r>
      <w:r w:rsidR="003117A9" w:rsidRPr="003117A9">
        <w:rPr>
          <w:noProof/>
          <w:vertAlign w:val="superscript"/>
        </w:rPr>
        <w:t>73</w:t>
      </w:r>
      <w:r w:rsidR="00A579CA" w:rsidRPr="002D1DD7">
        <w:fldChar w:fldCharType="end"/>
      </w:r>
    </w:p>
    <w:p w14:paraId="1553D396" w14:textId="3FE3E63B" w:rsidR="00F65EEC" w:rsidRPr="002D1DD7" w:rsidRDefault="00F65EEC" w:rsidP="003D4532">
      <w:r>
        <w:t xml:space="preserve">Where available, the results of published regression models are also reported; if ORR was deemed to be valid in one or more tumour types, one option would be to use the coefficients from models to quantify the relationship between ORR and PFS/OS. Other approaches </w:t>
      </w:r>
      <w:r w:rsidR="009E6636">
        <w:t xml:space="preserve">for incorporating </w:t>
      </w:r>
      <w:r>
        <w:t xml:space="preserve">surrogate </w:t>
      </w:r>
      <w:r w:rsidR="009E6636">
        <w:t xml:space="preserve">outcomes </w:t>
      </w:r>
      <w:r>
        <w:t>in health economic models are discussed</w:t>
      </w:r>
      <w:r w:rsidR="009E6636">
        <w:t xml:space="preserve"> at the end of the chapter</w:t>
      </w:r>
      <w:r>
        <w:t>.</w:t>
      </w:r>
    </w:p>
    <w:p w14:paraId="09E81E48" w14:textId="223409A6" w:rsidR="00440E43" w:rsidRPr="002D1DD7" w:rsidRDefault="00440E43" w:rsidP="00EC11CD">
      <w:pPr>
        <w:pStyle w:val="Heading2"/>
      </w:pPr>
      <w:bookmarkStart w:id="56" w:name="_Toc33776166"/>
      <w:r w:rsidRPr="002D1DD7">
        <w:t>Methods</w:t>
      </w:r>
      <w:bookmarkEnd w:id="56"/>
    </w:p>
    <w:p w14:paraId="7A05C690" w14:textId="7E9A8B8A" w:rsidR="00716DF9" w:rsidRPr="002D1DD7" w:rsidRDefault="00716DF9" w:rsidP="00E44848">
      <w:pPr>
        <w:pStyle w:val="Heading3"/>
      </w:pPr>
      <w:bookmarkStart w:id="57" w:name="_Toc33776167"/>
      <w:r w:rsidRPr="002D1DD7">
        <w:t>Review question</w:t>
      </w:r>
      <w:bookmarkEnd w:id="57"/>
    </w:p>
    <w:p w14:paraId="4A9F7A1F" w14:textId="77777777" w:rsidR="00716DF9" w:rsidRPr="002D1DD7" w:rsidRDefault="00716DF9" w:rsidP="004809F7">
      <w:r w:rsidRPr="002D1DD7">
        <w:t xml:space="preserve">This </w:t>
      </w:r>
      <w:r w:rsidRPr="002D1DD7">
        <w:rPr>
          <w:rFonts w:eastAsia="Times New Roman"/>
          <w:lang w:eastAsia="en-GB"/>
        </w:rPr>
        <w:t>systematic</w:t>
      </w:r>
      <w:r w:rsidRPr="002D1DD7">
        <w:t xml:space="preserve"> review sought to address the following research question:</w:t>
      </w:r>
      <w:r w:rsidRPr="004809F7">
        <w:rPr>
          <w:i/>
        </w:rPr>
        <w:t xml:space="preserve"> “What is the strength of the association between response outcomes and PFS, TTP or OS across different types of cancer (primarily advanced or metastatic), based on meta-analyses or meta-regression studies assessing the statistical relationship between these outcomes?”</w:t>
      </w:r>
      <w:r w:rsidRPr="002D1DD7">
        <w:t xml:space="preserve"> </w:t>
      </w:r>
    </w:p>
    <w:p w14:paraId="661E06A1" w14:textId="77777777" w:rsidR="00716DF9" w:rsidRPr="002D1DD7" w:rsidRDefault="00716DF9" w:rsidP="00440E43">
      <w:pPr>
        <w:pStyle w:val="Heading3"/>
      </w:pPr>
      <w:bookmarkStart w:id="58" w:name="_Toc33776168"/>
      <w:r w:rsidRPr="002D1DD7">
        <w:t>Inclusion and exclusion criteria</w:t>
      </w:r>
      <w:bookmarkEnd w:id="58"/>
    </w:p>
    <w:p w14:paraId="497F0F57" w14:textId="10FF4A1E" w:rsidR="00716DF9" w:rsidRPr="002D1DD7" w:rsidRDefault="00716DF9" w:rsidP="004809F7">
      <w:r w:rsidRPr="002D1DD7">
        <w:t xml:space="preserve">The inclusion and exclusion criteria for the review are shown in </w:t>
      </w:r>
      <w:r w:rsidRPr="002D1DD7">
        <w:fldChar w:fldCharType="begin"/>
      </w:r>
      <w:r w:rsidRPr="002D1DD7">
        <w:instrText xml:space="preserve"> REF _Ref16507192 \h  \* MERGEFORMAT </w:instrText>
      </w:r>
      <w:r w:rsidRPr="002D1DD7">
        <w:fldChar w:fldCharType="separate"/>
      </w:r>
      <w:r w:rsidR="00C663A2" w:rsidRPr="002D1DD7">
        <w:t xml:space="preserve">Table </w:t>
      </w:r>
      <w:r w:rsidR="00C663A2">
        <w:t>1</w:t>
      </w:r>
      <w:r w:rsidRPr="002D1DD7">
        <w:fldChar w:fldCharType="end"/>
      </w:r>
      <w:r w:rsidRPr="002D1DD7">
        <w:t xml:space="preserve">. Inclusion was restricted to </w:t>
      </w:r>
      <w:r w:rsidR="00FA59DE">
        <w:t xml:space="preserve">articles reporting </w:t>
      </w:r>
      <w:r w:rsidRPr="002D1DD7">
        <w:t xml:space="preserve">meta-analyses and meta-regressions across multiple studies, </w:t>
      </w:r>
      <w:r w:rsidR="00FA59DE">
        <w:t>and</w:t>
      </w:r>
      <w:r w:rsidR="00FA59DE" w:rsidRPr="002D1DD7">
        <w:t xml:space="preserve"> </w:t>
      </w:r>
      <w:r w:rsidRPr="002D1DD7">
        <w:t>report</w:t>
      </w:r>
      <w:r w:rsidR="00FA59DE">
        <w:t>ing</w:t>
      </w:r>
      <w:r w:rsidRPr="002D1DD7">
        <w:t xml:space="preserve"> the strength of association between response outcomes (</w:t>
      </w:r>
      <w:r w:rsidR="00D275EB">
        <w:t>O</w:t>
      </w:r>
      <w:r w:rsidRPr="002D1DD7">
        <w:t>RR, CR, PR, VGPR or DoR) and either PFS, TTP or OS. The included meta-</w:t>
      </w:r>
      <w:r w:rsidR="00FA59DE">
        <w:t>regressions</w:t>
      </w:r>
      <w:r w:rsidR="00FA59DE" w:rsidRPr="002D1DD7">
        <w:t xml:space="preserve"> </w:t>
      </w:r>
      <w:r w:rsidRPr="002D1DD7">
        <w:t>could themselves include RCTs and/or single-arm studies. However, individual reports analysing single trials or single cohorts were excluded. Included meta-analyses could report absolute associations and/or treatment effect associations. These associations had to be reported as a correlation coefficient (e.g. Pearson r or Spearman r</w:t>
      </w:r>
      <w:r w:rsidRPr="002D1DD7">
        <w:rPr>
          <w:vertAlign w:val="subscript"/>
        </w:rPr>
        <w:t>s</w:t>
      </w:r>
      <w:r w:rsidRPr="002D1DD7">
        <w:t>) and/or a coefficient of determination (R</w:t>
      </w:r>
      <w:r w:rsidRPr="002D1DD7">
        <w:rPr>
          <w:vertAlign w:val="superscript"/>
        </w:rPr>
        <w:t>2</w:t>
      </w:r>
      <w:r w:rsidRPr="002D1DD7">
        <w:t>) between relevant outcomes.</w:t>
      </w:r>
    </w:p>
    <w:p w14:paraId="7D5838BD" w14:textId="03DF282E" w:rsidR="00716DF9" w:rsidRPr="002D1DD7" w:rsidRDefault="00716DF9" w:rsidP="00231517">
      <w:pPr>
        <w:rPr>
          <w:rFonts w:asciiTheme="majorBidi" w:hAnsiTheme="majorBidi" w:cstheme="majorBidi"/>
        </w:rPr>
      </w:pPr>
      <w:r w:rsidRPr="002D1DD7">
        <w:t xml:space="preserve">Studies of any cancer and any treatment were included. The review focussed mainly on studies of advanced or metastatic cancers (and/or treatment with palliative intent), as these studies were more likely to report PFS and OS. However, studies reporting relevant outcomes were included even where the stage was not specifically restricted to advanced/metastatic disease for all patients or where this was unclear (this applied particularly to haematological cancers). Studies were excluded if they </w:t>
      </w:r>
      <w:r w:rsidRPr="002D1DD7">
        <w:lastRenderedPageBreak/>
        <w:t>explicitly referred to adjuvant or neo-adjuvant treatment, or treatments which are given with curative intent.</w:t>
      </w:r>
    </w:p>
    <w:p w14:paraId="3C85B700" w14:textId="2C33D4EA" w:rsidR="00716DF9" w:rsidRPr="002D1DD7" w:rsidRDefault="00716DF9" w:rsidP="00E44848">
      <w:pPr>
        <w:pStyle w:val="Caption"/>
        <w:rPr>
          <w:sz w:val="24"/>
          <w:szCs w:val="24"/>
          <w:lang w:eastAsia="en-GB"/>
        </w:rPr>
      </w:pPr>
      <w:bookmarkStart w:id="59" w:name="_Ref16507192"/>
      <w:bookmarkStart w:id="60" w:name="_Toc13832970"/>
      <w:bookmarkStart w:id="61" w:name="_Toc34033515"/>
      <w:r w:rsidRPr="002D1DD7">
        <w:t xml:space="preserve">Table </w:t>
      </w:r>
      <w:r w:rsidR="00C974E5">
        <w:fldChar w:fldCharType="begin"/>
      </w:r>
      <w:r w:rsidR="00C974E5">
        <w:instrText xml:space="preserve"> SEQ Table \* ARABIC </w:instrText>
      </w:r>
      <w:r w:rsidR="00C974E5">
        <w:fldChar w:fldCharType="separate"/>
      </w:r>
      <w:r w:rsidR="00C663A2">
        <w:rPr>
          <w:noProof/>
        </w:rPr>
        <w:t>1</w:t>
      </w:r>
      <w:r w:rsidR="00C974E5">
        <w:rPr>
          <w:noProof/>
        </w:rPr>
        <w:fldChar w:fldCharType="end"/>
      </w:r>
      <w:bookmarkEnd w:id="59"/>
      <w:r w:rsidRPr="002D1DD7">
        <w:t xml:space="preserve">: </w:t>
      </w:r>
      <w:r w:rsidRPr="002D1DD7">
        <w:rPr>
          <w:color w:val="000000"/>
          <w:lang w:eastAsia="en-GB"/>
        </w:rPr>
        <w:t>Inclusion and exclusion criteria</w:t>
      </w:r>
      <w:bookmarkEnd w:id="60"/>
      <w:bookmarkEnd w:id="61"/>
    </w:p>
    <w:tbl>
      <w:tblPr>
        <w:tblStyle w:val="TableGrid"/>
        <w:tblW w:w="9067" w:type="dxa"/>
        <w:tblLook w:val="04A0" w:firstRow="1" w:lastRow="0" w:firstColumn="1" w:lastColumn="0" w:noHBand="0" w:noVBand="1"/>
      </w:tblPr>
      <w:tblGrid>
        <w:gridCol w:w="1413"/>
        <w:gridCol w:w="4961"/>
        <w:gridCol w:w="2693"/>
      </w:tblGrid>
      <w:tr w:rsidR="00716DF9" w:rsidRPr="00E44848" w14:paraId="0868521B" w14:textId="77777777" w:rsidTr="00E44848">
        <w:trPr>
          <w:cantSplit/>
          <w:tblHeader/>
        </w:trPr>
        <w:tc>
          <w:tcPr>
            <w:tcW w:w="1413" w:type="dxa"/>
            <w:vAlign w:val="center"/>
          </w:tcPr>
          <w:p w14:paraId="70CA5D14" w14:textId="77777777" w:rsidR="00716DF9" w:rsidRPr="00E44848" w:rsidRDefault="00716DF9" w:rsidP="00E44848">
            <w:pPr>
              <w:contextualSpacing/>
              <w:rPr>
                <w:rFonts w:asciiTheme="majorBidi" w:hAnsiTheme="majorBidi" w:cstheme="majorBidi"/>
                <w:b/>
                <w:bCs/>
                <w:sz w:val="20"/>
                <w:szCs w:val="20"/>
              </w:rPr>
            </w:pPr>
            <w:r w:rsidRPr="00E44848">
              <w:rPr>
                <w:rFonts w:asciiTheme="majorBidi" w:hAnsiTheme="majorBidi" w:cstheme="majorBidi"/>
                <w:b/>
                <w:bCs/>
                <w:sz w:val="20"/>
                <w:szCs w:val="20"/>
              </w:rPr>
              <w:t>Field</w:t>
            </w:r>
          </w:p>
        </w:tc>
        <w:tc>
          <w:tcPr>
            <w:tcW w:w="4961" w:type="dxa"/>
            <w:vAlign w:val="center"/>
          </w:tcPr>
          <w:p w14:paraId="1E61BF8E" w14:textId="77777777" w:rsidR="00716DF9" w:rsidRPr="00E44848" w:rsidRDefault="00716DF9" w:rsidP="00E44848">
            <w:pPr>
              <w:contextualSpacing/>
              <w:rPr>
                <w:rFonts w:asciiTheme="majorBidi" w:hAnsiTheme="majorBidi" w:cstheme="majorBidi"/>
                <w:b/>
                <w:bCs/>
                <w:sz w:val="20"/>
                <w:szCs w:val="20"/>
              </w:rPr>
            </w:pPr>
            <w:r w:rsidRPr="00E44848">
              <w:rPr>
                <w:rFonts w:asciiTheme="majorBidi" w:hAnsiTheme="majorBidi" w:cstheme="majorBidi"/>
                <w:b/>
                <w:bCs/>
                <w:sz w:val="20"/>
                <w:szCs w:val="20"/>
              </w:rPr>
              <w:t>Inclusion</w:t>
            </w:r>
          </w:p>
        </w:tc>
        <w:tc>
          <w:tcPr>
            <w:tcW w:w="2693" w:type="dxa"/>
            <w:vAlign w:val="center"/>
          </w:tcPr>
          <w:p w14:paraId="26FE64A8" w14:textId="77777777" w:rsidR="00716DF9" w:rsidRPr="00E44848" w:rsidRDefault="00716DF9" w:rsidP="00E44848">
            <w:pPr>
              <w:contextualSpacing/>
              <w:rPr>
                <w:rFonts w:asciiTheme="majorBidi" w:hAnsiTheme="majorBidi" w:cstheme="majorBidi"/>
                <w:b/>
                <w:bCs/>
                <w:sz w:val="20"/>
                <w:szCs w:val="20"/>
              </w:rPr>
            </w:pPr>
            <w:r w:rsidRPr="00E44848">
              <w:rPr>
                <w:rFonts w:asciiTheme="majorBidi" w:hAnsiTheme="majorBidi" w:cstheme="majorBidi"/>
                <w:b/>
                <w:bCs/>
                <w:sz w:val="20"/>
                <w:szCs w:val="20"/>
              </w:rPr>
              <w:t>Exclusion</w:t>
            </w:r>
          </w:p>
        </w:tc>
      </w:tr>
      <w:tr w:rsidR="00716DF9" w:rsidRPr="00E44848" w14:paraId="3A6A0C66" w14:textId="77777777" w:rsidTr="00D16131">
        <w:trPr>
          <w:cantSplit/>
        </w:trPr>
        <w:tc>
          <w:tcPr>
            <w:tcW w:w="1413" w:type="dxa"/>
          </w:tcPr>
          <w:p w14:paraId="25229DD1"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rPr>
              <w:t>Disease area</w:t>
            </w:r>
          </w:p>
        </w:tc>
        <w:tc>
          <w:tcPr>
            <w:tcW w:w="4961" w:type="dxa"/>
          </w:tcPr>
          <w:p w14:paraId="3C0D23C2"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Any cancer</w:t>
            </w:r>
          </w:p>
          <w:p w14:paraId="5F21923B"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Mainly advanced or metastatic cancer, and/or where treatment intent was palliative</w:t>
            </w:r>
          </w:p>
          <w:p w14:paraId="25F3C996"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Also studies reporting relevant outcomes where stage was not restricted to advanced/metastatic or where this was unclear (particularly haematological cancers)</w:t>
            </w:r>
          </w:p>
        </w:tc>
        <w:tc>
          <w:tcPr>
            <w:tcW w:w="2693" w:type="dxa"/>
          </w:tcPr>
          <w:p w14:paraId="14894567"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Treatment with curative intent</w:t>
            </w:r>
          </w:p>
          <w:p w14:paraId="713845F3"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Neo-adjuvant treatment</w:t>
            </w:r>
          </w:p>
          <w:p w14:paraId="16E06AB3"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Adjuvant treatment</w:t>
            </w:r>
          </w:p>
        </w:tc>
      </w:tr>
      <w:tr w:rsidR="00716DF9" w:rsidRPr="00E44848" w14:paraId="68E19C62" w14:textId="77777777" w:rsidTr="00D16131">
        <w:trPr>
          <w:cantSplit/>
        </w:trPr>
        <w:tc>
          <w:tcPr>
            <w:tcW w:w="1413" w:type="dxa"/>
          </w:tcPr>
          <w:p w14:paraId="116A87D0"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rPr>
              <w:t>Surrogate endpoints</w:t>
            </w:r>
          </w:p>
        </w:tc>
        <w:tc>
          <w:tcPr>
            <w:tcW w:w="4961" w:type="dxa"/>
          </w:tcPr>
          <w:p w14:paraId="3EE8F979"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u w:val="single"/>
              </w:rPr>
              <w:t>Response endpoints</w:t>
            </w:r>
            <w:r w:rsidRPr="00E44848">
              <w:rPr>
                <w:rFonts w:asciiTheme="majorBidi" w:hAnsiTheme="majorBidi" w:cstheme="majorBidi"/>
                <w:sz w:val="20"/>
                <w:szCs w:val="20"/>
              </w:rPr>
              <w:t>:</w:t>
            </w:r>
          </w:p>
          <w:p w14:paraId="0AB778AB" w14:textId="720FA8A0" w:rsidR="00716DF9" w:rsidRPr="00E44848" w:rsidRDefault="00D275EB"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Overall r</w:t>
            </w:r>
            <w:r w:rsidR="00716DF9" w:rsidRPr="00E44848">
              <w:rPr>
                <w:rFonts w:asciiTheme="majorBidi" w:hAnsiTheme="majorBidi" w:cstheme="majorBidi"/>
                <w:sz w:val="20"/>
                <w:szCs w:val="20"/>
              </w:rPr>
              <w:t>esponse rate (</w:t>
            </w:r>
            <w:r w:rsidRPr="00E44848">
              <w:rPr>
                <w:rFonts w:asciiTheme="majorBidi" w:hAnsiTheme="majorBidi" w:cstheme="majorBidi"/>
                <w:sz w:val="20"/>
                <w:szCs w:val="20"/>
              </w:rPr>
              <w:t>O</w:t>
            </w:r>
            <w:r w:rsidR="00716DF9" w:rsidRPr="00E44848">
              <w:rPr>
                <w:rFonts w:asciiTheme="majorBidi" w:hAnsiTheme="majorBidi" w:cstheme="majorBidi"/>
                <w:sz w:val="20"/>
                <w:szCs w:val="20"/>
              </w:rPr>
              <w:t>RR = CR+PR)</w:t>
            </w:r>
          </w:p>
          <w:p w14:paraId="3B9CE634"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Complete response (CR)</w:t>
            </w:r>
          </w:p>
          <w:p w14:paraId="0D382792"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Partial response (PR)</w:t>
            </w:r>
          </w:p>
          <w:p w14:paraId="3E52B4E0"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Very good partial response (VGPR)</w:t>
            </w:r>
          </w:p>
          <w:p w14:paraId="05F1CEFE"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Duration of response (DoR)</w:t>
            </w:r>
          </w:p>
        </w:tc>
        <w:tc>
          <w:tcPr>
            <w:tcW w:w="2693" w:type="dxa"/>
          </w:tcPr>
          <w:p w14:paraId="289EA30B"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Other endpoints</w:t>
            </w:r>
          </w:p>
        </w:tc>
      </w:tr>
      <w:tr w:rsidR="00716DF9" w:rsidRPr="00E44848" w14:paraId="1BFCCCA0" w14:textId="77777777" w:rsidTr="00D16131">
        <w:trPr>
          <w:cantSplit/>
        </w:trPr>
        <w:tc>
          <w:tcPr>
            <w:tcW w:w="1413" w:type="dxa"/>
          </w:tcPr>
          <w:p w14:paraId="32394F11"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rPr>
              <w:t>Final endpoints</w:t>
            </w:r>
          </w:p>
        </w:tc>
        <w:tc>
          <w:tcPr>
            <w:tcW w:w="4961" w:type="dxa"/>
          </w:tcPr>
          <w:p w14:paraId="5B9B157E"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Progression-free survival (PFS)</w:t>
            </w:r>
          </w:p>
          <w:p w14:paraId="67946634"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Time to progression (TTP)</w:t>
            </w:r>
          </w:p>
          <w:p w14:paraId="4321B427"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Overall survival (OS)</w:t>
            </w:r>
          </w:p>
        </w:tc>
        <w:tc>
          <w:tcPr>
            <w:tcW w:w="2693" w:type="dxa"/>
          </w:tcPr>
          <w:p w14:paraId="7F091F25"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Other endpoints</w:t>
            </w:r>
          </w:p>
        </w:tc>
      </w:tr>
      <w:tr w:rsidR="00716DF9" w:rsidRPr="00E44848" w14:paraId="2BF20231" w14:textId="77777777" w:rsidTr="00D16131">
        <w:trPr>
          <w:cantSplit/>
        </w:trPr>
        <w:tc>
          <w:tcPr>
            <w:tcW w:w="1413" w:type="dxa"/>
          </w:tcPr>
          <w:p w14:paraId="4C42C51B"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rPr>
              <w:t>Study and data type</w:t>
            </w:r>
          </w:p>
        </w:tc>
        <w:tc>
          <w:tcPr>
            <w:tcW w:w="4961" w:type="dxa"/>
          </w:tcPr>
          <w:p w14:paraId="38907261"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Meta-analyses and meta-regressions across multiple studies</w:t>
            </w:r>
          </w:p>
          <w:p w14:paraId="1880B75A"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Included meta-analyses could include RCTs and/or single-arm studies</w:t>
            </w:r>
          </w:p>
          <w:p w14:paraId="1D06AF72"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Included meta-analyses could use aggregate data (e.g. medians per study arm) and/or individual patient data (IPD)</w:t>
            </w:r>
          </w:p>
        </w:tc>
        <w:tc>
          <w:tcPr>
            <w:tcW w:w="2693" w:type="dxa"/>
          </w:tcPr>
          <w:p w14:paraId="24856149"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Analyses of single trials or single cohorts</w:t>
            </w:r>
          </w:p>
        </w:tc>
      </w:tr>
      <w:tr w:rsidR="00716DF9" w:rsidRPr="00E44848" w14:paraId="22CC4CA2" w14:textId="77777777" w:rsidTr="00D16131">
        <w:trPr>
          <w:cantSplit/>
        </w:trPr>
        <w:tc>
          <w:tcPr>
            <w:tcW w:w="1413" w:type="dxa"/>
          </w:tcPr>
          <w:p w14:paraId="7E4ACF04"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rPr>
              <w:t>Type of analysis reported</w:t>
            </w:r>
          </w:p>
        </w:tc>
        <w:tc>
          <w:tcPr>
            <w:tcW w:w="4961" w:type="dxa"/>
          </w:tcPr>
          <w:p w14:paraId="16F4B5A8"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Studies must report absolute associations and/or treatment effect associations between relevant endpoints (see above)</w:t>
            </w:r>
          </w:p>
          <w:p w14:paraId="44E9A268"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Associations must be expressed as a correlation coefficient (e.g. Pearson r or Spearman r</w:t>
            </w:r>
            <w:r w:rsidRPr="00E44848">
              <w:rPr>
                <w:rFonts w:asciiTheme="majorBidi" w:hAnsiTheme="majorBidi" w:cstheme="majorBidi"/>
                <w:sz w:val="20"/>
                <w:szCs w:val="20"/>
                <w:vertAlign w:val="subscript"/>
              </w:rPr>
              <w:t>s</w:t>
            </w:r>
            <w:r w:rsidRPr="00E44848">
              <w:rPr>
                <w:rFonts w:asciiTheme="majorBidi" w:hAnsiTheme="majorBidi" w:cstheme="majorBidi"/>
                <w:sz w:val="20"/>
                <w:szCs w:val="20"/>
              </w:rPr>
              <w:t>) and/or as a coefficient of determination (R</w:t>
            </w:r>
            <w:r w:rsidRPr="00E44848">
              <w:rPr>
                <w:rFonts w:asciiTheme="majorBidi" w:hAnsiTheme="majorBidi" w:cstheme="majorBidi"/>
                <w:sz w:val="20"/>
                <w:szCs w:val="20"/>
                <w:vertAlign w:val="superscript"/>
              </w:rPr>
              <w:t>2</w:t>
            </w:r>
            <w:r w:rsidRPr="00E44848">
              <w:rPr>
                <w:rFonts w:asciiTheme="majorBidi" w:hAnsiTheme="majorBidi" w:cstheme="majorBidi"/>
                <w:sz w:val="20"/>
                <w:szCs w:val="20"/>
              </w:rPr>
              <w:t>)</w:t>
            </w:r>
          </w:p>
        </w:tc>
        <w:tc>
          <w:tcPr>
            <w:tcW w:w="2693" w:type="dxa"/>
          </w:tcPr>
          <w:p w14:paraId="52084859"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No correlation coefficient or regression R</w:t>
            </w:r>
            <w:r w:rsidRPr="00E44848">
              <w:rPr>
                <w:rFonts w:asciiTheme="majorBidi" w:hAnsiTheme="majorBidi" w:cstheme="majorBidi"/>
                <w:sz w:val="20"/>
                <w:szCs w:val="20"/>
                <w:vertAlign w:val="superscript"/>
              </w:rPr>
              <w:t>2</w:t>
            </w:r>
            <w:r w:rsidRPr="00E44848">
              <w:rPr>
                <w:rFonts w:asciiTheme="majorBidi" w:hAnsiTheme="majorBidi" w:cstheme="majorBidi"/>
                <w:sz w:val="20"/>
                <w:szCs w:val="20"/>
              </w:rPr>
              <w:t xml:space="preserve"> reported</w:t>
            </w:r>
          </w:p>
        </w:tc>
      </w:tr>
      <w:tr w:rsidR="00716DF9" w:rsidRPr="00E44848" w14:paraId="31ADA626" w14:textId="77777777" w:rsidTr="00D16131">
        <w:trPr>
          <w:cantSplit/>
        </w:trPr>
        <w:tc>
          <w:tcPr>
            <w:tcW w:w="1413" w:type="dxa"/>
          </w:tcPr>
          <w:p w14:paraId="12A4B593" w14:textId="77777777" w:rsidR="00716DF9" w:rsidRPr="00E44848" w:rsidRDefault="00716DF9" w:rsidP="00E44848">
            <w:pPr>
              <w:contextualSpacing/>
              <w:rPr>
                <w:rFonts w:asciiTheme="majorBidi" w:hAnsiTheme="majorBidi" w:cstheme="majorBidi"/>
                <w:sz w:val="20"/>
                <w:szCs w:val="20"/>
              </w:rPr>
            </w:pPr>
            <w:r w:rsidRPr="00E44848">
              <w:rPr>
                <w:rFonts w:asciiTheme="majorBidi" w:hAnsiTheme="majorBidi" w:cstheme="majorBidi"/>
                <w:sz w:val="20"/>
                <w:szCs w:val="20"/>
              </w:rPr>
              <w:t>Language</w:t>
            </w:r>
          </w:p>
        </w:tc>
        <w:tc>
          <w:tcPr>
            <w:tcW w:w="4961" w:type="dxa"/>
          </w:tcPr>
          <w:p w14:paraId="53D69042"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English language</w:t>
            </w:r>
          </w:p>
          <w:p w14:paraId="6969153B"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Other language if sufficient detail in English abstract</w:t>
            </w:r>
          </w:p>
        </w:tc>
        <w:tc>
          <w:tcPr>
            <w:tcW w:w="2693" w:type="dxa"/>
          </w:tcPr>
          <w:p w14:paraId="7F606FCA" w14:textId="77777777" w:rsidR="00716DF9" w:rsidRPr="00E44848" w:rsidRDefault="00716DF9" w:rsidP="009A66EC">
            <w:pPr>
              <w:pStyle w:val="ListParagraph"/>
              <w:numPr>
                <w:ilvl w:val="0"/>
                <w:numId w:val="7"/>
              </w:numPr>
              <w:spacing w:before="0" w:after="0"/>
              <w:ind w:left="319"/>
              <w:rPr>
                <w:rFonts w:asciiTheme="majorBidi" w:hAnsiTheme="majorBidi" w:cstheme="majorBidi"/>
                <w:sz w:val="20"/>
                <w:szCs w:val="20"/>
              </w:rPr>
            </w:pPr>
            <w:r w:rsidRPr="00E44848">
              <w:rPr>
                <w:rFonts w:asciiTheme="majorBidi" w:hAnsiTheme="majorBidi" w:cstheme="majorBidi"/>
                <w:sz w:val="20"/>
                <w:szCs w:val="20"/>
              </w:rPr>
              <w:t>Non-English with insufficient detail</w:t>
            </w:r>
          </w:p>
        </w:tc>
      </w:tr>
      <w:tr w:rsidR="00716DF9" w:rsidRPr="00E44848" w14:paraId="3E7AF6DC" w14:textId="77777777" w:rsidTr="00D16131">
        <w:trPr>
          <w:cantSplit/>
        </w:trPr>
        <w:tc>
          <w:tcPr>
            <w:tcW w:w="9067" w:type="dxa"/>
            <w:gridSpan w:val="3"/>
          </w:tcPr>
          <w:p w14:paraId="6DCBCCC1" w14:textId="1EEEB88D" w:rsidR="00716DF9" w:rsidRPr="00E44848" w:rsidRDefault="00716DF9" w:rsidP="00E44848">
            <w:pPr>
              <w:ind w:left="-41"/>
              <w:contextualSpacing/>
              <w:rPr>
                <w:rFonts w:asciiTheme="majorBidi" w:hAnsiTheme="majorBidi" w:cstheme="majorBidi"/>
                <w:sz w:val="20"/>
                <w:szCs w:val="20"/>
              </w:rPr>
            </w:pPr>
            <w:r w:rsidRPr="00E44848">
              <w:rPr>
                <w:rFonts w:asciiTheme="majorBidi" w:hAnsiTheme="majorBidi" w:cstheme="majorBidi"/>
                <w:sz w:val="20"/>
                <w:szCs w:val="20"/>
              </w:rPr>
              <w:t xml:space="preserve">CR, complete response; DoR, duration of response; IPD, individual patient data; OS, overall survival; PFS, progression-free survival; PR, partial response; RCT, randomised controlled trial; </w:t>
            </w:r>
            <w:r w:rsidR="00C144A9" w:rsidRPr="00E44848">
              <w:rPr>
                <w:rFonts w:asciiTheme="majorBidi" w:hAnsiTheme="majorBidi" w:cstheme="majorBidi"/>
                <w:sz w:val="20"/>
                <w:szCs w:val="20"/>
              </w:rPr>
              <w:t>O</w:t>
            </w:r>
            <w:r w:rsidRPr="00E44848">
              <w:rPr>
                <w:rFonts w:asciiTheme="majorBidi" w:hAnsiTheme="majorBidi" w:cstheme="majorBidi"/>
                <w:sz w:val="20"/>
                <w:szCs w:val="20"/>
              </w:rPr>
              <w:t xml:space="preserve">RR, </w:t>
            </w:r>
            <w:r w:rsidR="00C144A9" w:rsidRPr="00E44848">
              <w:rPr>
                <w:rFonts w:asciiTheme="majorBidi" w:hAnsiTheme="majorBidi" w:cstheme="majorBidi"/>
                <w:sz w:val="20"/>
                <w:szCs w:val="20"/>
              </w:rPr>
              <w:t xml:space="preserve">overall </w:t>
            </w:r>
            <w:r w:rsidRPr="00E44848">
              <w:rPr>
                <w:rFonts w:asciiTheme="majorBidi" w:hAnsiTheme="majorBidi" w:cstheme="majorBidi"/>
                <w:sz w:val="20"/>
                <w:szCs w:val="20"/>
              </w:rPr>
              <w:t>response rate; TTP, time to progression; VGPR, very good partial response.</w:t>
            </w:r>
          </w:p>
        </w:tc>
      </w:tr>
    </w:tbl>
    <w:p w14:paraId="0E5D1B62" w14:textId="77777777" w:rsidR="00716DF9" w:rsidRPr="002D1DD7" w:rsidRDefault="00716DF9" w:rsidP="00716DF9">
      <w:pPr>
        <w:jc w:val="both"/>
        <w:rPr>
          <w:rFonts w:asciiTheme="majorBidi" w:hAnsiTheme="majorBidi" w:cstheme="majorBidi"/>
        </w:rPr>
      </w:pPr>
    </w:p>
    <w:p w14:paraId="24F040B1" w14:textId="77777777" w:rsidR="00716DF9" w:rsidRPr="002D1DD7" w:rsidRDefault="00716DF9" w:rsidP="00440E43">
      <w:pPr>
        <w:pStyle w:val="Heading3"/>
      </w:pPr>
      <w:bookmarkStart w:id="62" w:name="_Toc33776169"/>
      <w:r w:rsidRPr="002D1DD7">
        <w:t>Search strategy</w:t>
      </w:r>
      <w:bookmarkEnd w:id="62"/>
    </w:p>
    <w:p w14:paraId="6BF34B41" w14:textId="3E7E68F9" w:rsidR="00716DF9" w:rsidRPr="002D1DD7" w:rsidRDefault="00716DF9" w:rsidP="004809F7">
      <w:r w:rsidRPr="002D1DD7">
        <w:t xml:space="preserve">Five databases (MEDLINE, EMBASE, Web of Science, the Cochrane Database of Systematic Reviews and CINAHL) were searched from inception to March 2019. Search terms included: cancer terms AND response terms AND terms for </w:t>
      </w:r>
      <w:r w:rsidR="006C6898">
        <w:t>PFS</w:t>
      </w:r>
      <w:r w:rsidRPr="002D1DD7">
        <w:t xml:space="preserve">, </w:t>
      </w:r>
      <w:r w:rsidR="006C6898">
        <w:t xml:space="preserve">TTP </w:t>
      </w:r>
      <w:r w:rsidRPr="002D1DD7">
        <w:t xml:space="preserve">and/or </w:t>
      </w:r>
      <w:r w:rsidR="006C6898">
        <w:t>OS</w:t>
      </w:r>
      <w:r w:rsidRPr="002D1DD7">
        <w:t xml:space="preserve"> AND terms for regression, correlation, prediction, association or relationship AND terms for endpoint and/or surrogate. Search results were limited to the English language and to studies undertaken in humans. The MEDLINE search strategy is provided in Appendix </w:t>
      </w:r>
      <w:r w:rsidR="004809F7">
        <w:t>3</w:t>
      </w:r>
      <w:r w:rsidRPr="002D1DD7">
        <w:t>.</w:t>
      </w:r>
    </w:p>
    <w:p w14:paraId="25974A0F" w14:textId="6FAA4B08" w:rsidR="00716DF9" w:rsidRPr="00F3121A" w:rsidRDefault="00716DF9" w:rsidP="004809F7">
      <w:pPr>
        <w:rPr>
          <w:lang w:val="fr-FR"/>
        </w:rPr>
      </w:pPr>
      <w:r w:rsidRPr="004809F7">
        <w:lastRenderedPageBreak/>
        <w:t xml:space="preserve">In addition, a citation search was undertaken based on two existing meta-reviews of surrogate relationships; this identified studies which have cited any of the 48 articles included in the review by Fischer </w:t>
      </w:r>
      <w:r w:rsidRPr="004809F7">
        <w:rPr>
          <w:i/>
          <w:iCs/>
        </w:rPr>
        <w:t>et al</w:t>
      </w:r>
      <w:r w:rsidRPr="004809F7">
        <w:t>. (2016)</w:t>
      </w:r>
      <w:r w:rsidR="006F7FD7">
        <w:fldChar w:fldCharType="begin"/>
      </w:r>
      <w:r w:rsidR="003117A9">
        <w:instrText xml:space="preserve"> ADDIN EN.CITE &lt;EndNote&gt;&lt;Cite&gt;&lt;Author&gt;Fischer&lt;/Author&gt;&lt;Year&gt;2016&lt;/Year&gt;&lt;RecNum&gt;817&lt;/RecNum&gt;&lt;DisplayText&gt;&lt;style face="superscript"&gt;74&lt;/style&gt;&lt;/DisplayText&gt;&lt;record&gt;&lt;rec-number&gt;817&lt;/rec-number&gt;&lt;foreign-keys&gt;&lt;key app="EN" db-id="dwaevxvazfs2f3ewvzmxrd0k0wasw55p2z2w" timestamp="1557310666"&gt;817&lt;/key&gt;&lt;/foreign-keys&gt;&lt;ref-type name="Report"&gt;27&lt;/ref-type&gt;&lt;contributors&gt;&lt;authors&gt;&lt;author&gt;Fischer, Alastair&lt;/author&gt;&lt;author&gt;Hernandez-Villafuerte, Karla&lt;/author&gt;&lt;author&gt;Latimer, Nicholas&lt;/author&gt;&lt;author&gt;Henshall, Christopher&lt;/author&gt;&lt;/authors&gt;&lt;/contributors&gt;&lt;titles&gt;&lt;title&gt;Extrapolation from Progression-Free Survival to Overall Survival in Oncology&lt;/title&gt;&lt;short-title&gt;Extrapolation from Progression-Free Survival to Overall Survival in Oncology&lt;/short-title&gt;&lt;/titles&gt;&lt;keywords&gt;&lt;keyword&gt;$$exclude abstract KC&lt;/keyword&gt;&lt;keyword&gt;$$review&lt;/keyword&gt;&lt;keyword&gt;$$Citation search&lt;/keyword&gt;&lt;/keywords&gt;&lt;dates&gt;&lt;year&gt;2016&lt;/year&gt;&lt;/dates&gt;&lt;publisher&gt;Office of Health Economics&lt;/publisher&gt;&lt;urls&gt;&lt;/urls&gt;&lt;/record&gt;&lt;/Cite&gt;&lt;/EndNote&gt;</w:instrText>
      </w:r>
      <w:r w:rsidR="006F7FD7">
        <w:fldChar w:fldCharType="separate"/>
      </w:r>
      <w:r w:rsidR="003117A9" w:rsidRPr="003117A9">
        <w:rPr>
          <w:noProof/>
          <w:vertAlign w:val="superscript"/>
        </w:rPr>
        <w:t>74</w:t>
      </w:r>
      <w:r w:rsidR="006F7FD7">
        <w:fldChar w:fldCharType="end"/>
      </w:r>
      <w:r w:rsidRPr="004809F7">
        <w:t xml:space="preserve"> and/or any of the 19 articles included in the review by Davis </w:t>
      </w:r>
      <w:r w:rsidRPr="004809F7">
        <w:rPr>
          <w:i/>
          <w:iCs/>
        </w:rPr>
        <w:t>et al</w:t>
      </w:r>
      <w:r w:rsidRPr="004809F7">
        <w:t>. (2012).</w:t>
      </w:r>
      <w:r w:rsidR="006F7FD7">
        <w:fldChar w:fldCharType="begin"/>
      </w:r>
      <w:r w:rsidR="003117A9">
        <w:instrText xml:space="preserve"> ADDIN EN.CITE &lt;EndNote&gt;&lt;Cite&gt;&lt;Author&gt;Davis&lt;/Author&gt;&lt;Year&gt;2012&lt;/Year&gt;&lt;RecNum&gt;3390&lt;/RecNum&gt;&lt;DisplayText&gt;&lt;style face="superscript"&gt;75&lt;/style&gt;&lt;/DisplayText&gt;&lt;record&gt;&lt;rec-number&gt;3390&lt;/rec-number&gt;&lt;foreign-keys&gt;&lt;key app="EN" db-id="dwaevxvazfs2f3ewvzmxrd0k0wasw55p2z2w" timestamp="1568727865"&gt;3390&lt;/key&gt;&lt;/foreign-keys&gt;&lt;ref-type name="Report"&gt;27&lt;/ref-type&gt;&lt;contributors&gt;&lt;authors&gt;&lt;author&gt;Davis, S.&lt;/author&gt;&lt;author&gt;Tappenden, P.&lt;/author&gt;&lt;author&gt;Cantrell, A.&lt;/author&gt;&lt;/authors&gt;&lt;/contributors&gt;&lt;titles&gt;&lt;title&gt;A review of studies examining the relationship between progression-free survival and overall survival in advanced or metastatic cancer&lt;/title&gt;&lt;/titles&gt;&lt;keywords&gt;&lt;keyword&gt;$$background&lt;/keyword&gt;&lt;/keywords&gt;&lt;dates&gt;&lt;year&gt;2012&lt;/year&gt;&lt;/dates&gt;&lt;pub-location&gt;University of Sheffield report for NICE Decision Support Unit&lt;/pub-location&gt;&lt;urls&gt;&lt;/urls&gt;&lt;/record&gt;&lt;/Cite&gt;&lt;/EndNote&gt;</w:instrText>
      </w:r>
      <w:r w:rsidR="006F7FD7">
        <w:fldChar w:fldCharType="separate"/>
      </w:r>
      <w:r w:rsidR="003117A9" w:rsidRPr="003117A9">
        <w:rPr>
          <w:noProof/>
          <w:vertAlign w:val="superscript"/>
        </w:rPr>
        <w:t>75</w:t>
      </w:r>
      <w:r w:rsidR="006F7FD7">
        <w:fldChar w:fldCharType="end"/>
      </w:r>
      <w:r w:rsidRPr="004809F7">
        <w:t xml:space="preserve"> In addition, relevant existing meta-reviews, including Fischer </w:t>
      </w:r>
      <w:r w:rsidRPr="004809F7">
        <w:rPr>
          <w:i/>
          <w:iCs/>
        </w:rPr>
        <w:t>et al</w:t>
      </w:r>
      <w:r w:rsidRPr="004809F7">
        <w:t xml:space="preserve">. </w:t>
      </w:r>
      <w:r w:rsidRPr="00F3121A">
        <w:rPr>
          <w:lang w:val="fr-FR"/>
        </w:rPr>
        <w:t>(2016),</w:t>
      </w:r>
      <w:r w:rsidR="006F7FD7">
        <w:fldChar w:fldCharType="begin"/>
      </w:r>
      <w:r w:rsidR="003117A9" w:rsidRPr="00F3121A">
        <w:rPr>
          <w:lang w:val="fr-FR"/>
        </w:rPr>
        <w:instrText xml:space="preserve"> ADDIN EN.CITE &lt;EndNote&gt;&lt;Cite&gt;&lt;Author&gt;Fischer&lt;/Author&gt;&lt;Year&gt;2016&lt;/Year&gt;&lt;RecNum&gt;817&lt;/RecNum&gt;&lt;DisplayText&gt;&lt;style face="superscript"&gt;74&lt;/style&gt;&lt;/DisplayText&gt;&lt;record&gt;&lt;rec-number&gt;817&lt;/rec-number&gt;&lt;foreign-keys&gt;&lt;key app="EN" db-id="dwaevxvazfs2f3ewvzmxrd0k0wasw55p2z2w" timestamp="1557310666"&gt;817&lt;/key&gt;&lt;/foreign-keys&gt;&lt;ref-type name="Report"&gt;27&lt;/ref-type&gt;&lt;contributors&gt;&lt;authors&gt;&lt;author&gt;Fischer, Alastair&lt;/author&gt;&lt;author&gt;Hernandez-Villafuerte, Karla&lt;/author&gt;&lt;author&gt;Latimer, Nicholas&lt;/author&gt;&lt;author&gt;Henshall, Christopher&lt;/author&gt;&lt;/authors&gt;&lt;/contributors&gt;&lt;titles&gt;&lt;title&gt;Extrapolation from Progression-Free Survival to Overall Survival in Oncology&lt;/title&gt;&lt;short-title&gt;Extrapolation from Progression-Free Survival to Overall Survival in Oncology&lt;/short-title&gt;&lt;/titles&gt;&lt;keywords&gt;&lt;keyword&gt;$$exclude abstract KC&lt;/keyword&gt;&lt;keyword&gt;$$review&lt;/keyword&gt;&lt;keyword&gt;$$Citation search&lt;/keyword&gt;&lt;/keywords&gt;&lt;dates&gt;&lt;year&gt;2016&lt;/year&gt;&lt;/dates&gt;&lt;publisher&gt;Office of Health Economics&lt;/publisher&gt;&lt;urls&gt;&lt;/urls&gt;&lt;/record&gt;&lt;/Cite&gt;&lt;/EndNote&gt;</w:instrText>
      </w:r>
      <w:r w:rsidR="006F7FD7">
        <w:fldChar w:fldCharType="separate"/>
      </w:r>
      <w:r w:rsidR="003117A9" w:rsidRPr="00F3121A">
        <w:rPr>
          <w:noProof/>
          <w:vertAlign w:val="superscript"/>
          <w:lang w:val="fr-FR"/>
        </w:rPr>
        <w:t>74</w:t>
      </w:r>
      <w:r w:rsidR="006F7FD7">
        <w:fldChar w:fldCharType="end"/>
      </w:r>
      <w:r w:rsidRPr="00F3121A">
        <w:rPr>
          <w:lang w:val="fr-FR"/>
        </w:rPr>
        <w:t xml:space="preserve"> Davis </w:t>
      </w:r>
      <w:r w:rsidRPr="00F3121A">
        <w:rPr>
          <w:i/>
          <w:iCs/>
          <w:lang w:val="fr-FR"/>
        </w:rPr>
        <w:t>et al</w:t>
      </w:r>
      <w:r w:rsidRPr="00F3121A">
        <w:rPr>
          <w:lang w:val="fr-FR"/>
        </w:rPr>
        <w:t>. (2012),</w:t>
      </w:r>
      <w:r w:rsidR="006F7FD7">
        <w:fldChar w:fldCharType="begin"/>
      </w:r>
      <w:r w:rsidR="003117A9" w:rsidRPr="00F3121A">
        <w:rPr>
          <w:lang w:val="fr-FR"/>
        </w:rPr>
        <w:instrText xml:space="preserve"> ADDIN EN.CITE &lt;EndNote&gt;&lt;Cite&gt;&lt;Author&gt;Davis&lt;/Author&gt;&lt;Year&gt;2012&lt;/Year&gt;&lt;RecNum&gt;3390&lt;/RecNum&gt;&lt;DisplayText&gt;&lt;style face="superscript"&gt;75&lt;/style&gt;&lt;/DisplayText&gt;&lt;record&gt;&lt;rec-number&gt;3390&lt;/rec-number&gt;&lt;foreign-keys&gt;&lt;key app="EN" db-id="dwaevxvazfs2f3ewvzmxrd0k0wasw55p2z2w" timestamp="1568727865"&gt;3390&lt;/key&gt;&lt;/foreign-keys&gt;&lt;ref-type name="Report"&gt;27&lt;/ref-type&gt;&lt;contributors&gt;&lt;authors&gt;&lt;author&gt;Davis, S.&lt;/author&gt;&lt;author&gt;Tappenden, P.&lt;/author&gt;&lt;author&gt;Cantrell, A.&lt;/author&gt;&lt;/authors&gt;&lt;/contributors&gt;&lt;titles&gt;&lt;title&gt;A review of studies examining the relationship between progression-free survival and overall survival in advanced or metastatic cancer&lt;/title&gt;&lt;/titles&gt;&lt;keywords&gt;&lt;keyword&gt;$$background&lt;/keyword&gt;&lt;/keywords&gt;&lt;dates&gt;&lt;year&gt;2012&lt;/year&gt;&lt;/dates&gt;&lt;pub-location&gt;University of Sheffield report for NICE Decision Support Unit&lt;/pub-location&gt;&lt;urls&gt;&lt;/urls&gt;&lt;/record&gt;&lt;/Cite&gt;&lt;/EndNote&gt;</w:instrText>
      </w:r>
      <w:r w:rsidR="006F7FD7">
        <w:fldChar w:fldCharType="separate"/>
      </w:r>
      <w:r w:rsidR="003117A9" w:rsidRPr="00F3121A">
        <w:rPr>
          <w:noProof/>
          <w:vertAlign w:val="superscript"/>
          <w:lang w:val="fr-FR"/>
        </w:rPr>
        <w:t>75</w:t>
      </w:r>
      <w:r w:rsidR="006F7FD7">
        <w:fldChar w:fldCharType="end"/>
      </w:r>
      <w:r w:rsidRPr="00F3121A">
        <w:rPr>
          <w:lang w:val="fr-FR"/>
        </w:rPr>
        <w:t xml:space="preserve"> Savina </w:t>
      </w:r>
      <w:r w:rsidRPr="00F3121A">
        <w:rPr>
          <w:i/>
          <w:iCs/>
          <w:lang w:val="fr-FR"/>
        </w:rPr>
        <w:t>et al</w:t>
      </w:r>
      <w:r w:rsidRPr="00F3121A">
        <w:rPr>
          <w:lang w:val="fr-FR"/>
        </w:rPr>
        <w:t>. (2018),</w:t>
      </w:r>
      <w:r w:rsidR="003117A9">
        <w:fldChar w:fldCharType="begin"/>
      </w:r>
      <w:r w:rsidR="000E66DE" w:rsidRPr="00354FCE">
        <w:rPr>
          <w:lang w:val="fr-FR"/>
        </w:rPr>
        <w:instrText xml:space="preserve"> ADDIN EN.CITE &lt;EndNote&gt;&lt;Cite&gt;&lt;Author&gt;Savina&lt;/Author&gt;&lt;Year&gt;2018&lt;/Year&gt;&lt;RecNum&gt;2647&lt;/RecNum&gt;&lt;DisplayText&gt;&lt;style face="superscript"&gt;76&lt;/style&gt;&lt;/DisplayText&gt;&lt;record&gt;&lt;rec-number&gt;2647&lt;/rec-number&gt;&lt;foreign-keys&gt;&lt;key app="EN" db-id="dwaevxvazfs2f3ewvzmxrd0k0wasw55p2z2w" timestamp="1557311020"&gt;2647&lt;/key&gt;&lt;/foreign-keys&gt;&lt;ref-type name="Journal Article"&gt;17&lt;/ref-type&gt;&lt;contributors&gt;&lt;authors&gt;&lt;author&gt;Savina, M.&lt;/author&gt;&lt;author&gt;Gourgou, S.&lt;/author&gt;&lt;author&gt;Italiano, A.&lt;/author&gt;&lt;author&gt;Dinart, D.&lt;/author&gt;&lt;author&gt;Rondeau, V.&lt;/author&gt;&lt;author&gt;Penel, N.&lt;/author&gt;&lt;author&gt;Mathoulin-Pelissier, S.&lt;/author&gt;&lt;author&gt;Bellera, C.&lt;/author&gt;&lt;/authors&gt;&lt;/contributors&gt;&lt;titles&gt;&lt;title&gt;Meta-analyses evaluating surrogate endpoints for overall survival in cancer randomized trials: A critical review&lt;/title&gt;&lt;secondary-title&gt;Critical Reviews in Oncology Hematology&lt;/secondary-title&gt;&lt;short-title&gt;Meta-analyses evaluating surrogate endpoints for overall survival in cancer randomized trials: A critical review&lt;/short-title&gt;&lt;/titles&gt;&lt;pages&gt;21-41&lt;/pages&gt;&lt;volume&gt;123&lt;/volume&gt;&lt;keywords&gt;&lt;keyword&gt;$$include abstract PT&lt;/keyword&gt;&lt;keyword&gt;$$background&lt;/keyword&gt;&lt;keyword&gt;$$Citation search&lt;/keyword&gt;&lt;keyword&gt;$$exclude full text PT&lt;/keyword&gt;&lt;keyword&gt;$$secondary publication with no additional data (note which study it relates to)&lt;/keyword&gt;&lt;keyword&gt;$$meta-review&lt;/keyword&gt;&lt;/keywords&gt;&lt;dates&gt;&lt;year&gt;2018&lt;/year&gt;&lt;pub-dates&gt;&lt;date&gt;Mar&lt;/date&gt;&lt;/pub-dates&gt;&lt;/dates&gt;&lt;isbn&gt;1040-8428&lt;/isbn&gt;&lt;accession-num&gt;WOS:000428606400003&lt;/accession-num&gt;&lt;urls&gt;&lt;/urls&gt;&lt;electronic-resource-num&gt;10.1016/j.critrevonc.2017.11.014&lt;/electronic-resource-num&gt;&lt;research-notes&gt;&lt;style face="underline" font="default" size="100%"&gt;&amp;lt;Go to ISI&amp;gt;://WOS:000428606400003&lt;/style&gt;&lt;/research-notes&gt;&lt;/record&gt;&lt;/Cite&gt;&lt;/EndNote&gt;</w:instrText>
      </w:r>
      <w:r w:rsidR="003117A9">
        <w:fldChar w:fldCharType="separate"/>
      </w:r>
      <w:r w:rsidR="003117A9" w:rsidRPr="00F3121A">
        <w:rPr>
          <w:noProof/>
          <w:vertAlign w:val="superscript"/>
          <w:lang w:val="fr-FR"/>
        </w:rPr>
        <w:t>76</w:t>
      </w:r>
      <w:r w:rsidR="003117A9">
        <w:fldChar w:fldCharType="end"/>
      </w:r>
      <w:r w:rsidR="00A579CA" w:rsidRPr="00F3121A">
        <w:rPr>
          <w:lang w:val="fr-FR"/>
        </w:rPr>
        <w:t xml:space="preserve"> </w:t>
      </w:r>
      <w:r w:rsidRPr="00F3121A">
        <w:rPr>
          <w:lang w:val="fr-FR"/>
        </w:rPr>
        <w:t xml:space="preserve">Haslam </w:t>
      </w:r>
      <w:r w:rsidRPr="00F3121A">
        <w:rPr>
          <w:i/>
          <w:iCs/>
          <w:lang w:val="fr-FR"/>
        </w:rPr>
        <w:t>et al</w:t>
      </w:r>
      <w:r w:rsidRPr="00F3121A">
        <w:rPr>
          <w:lang w:val="fr-FR"/>
        </w:rPr>
        <w:t>. (2019)</w:t>
      </w:r>
      <w:r w:rsidR="004809F7" w:rsidRPr="00F3121A">
        <w:rPr>
          <w:lang w:val="fr-FR"/>
        </w:rPr>
        <w:t>,</w:t>
      </w:r>
      <w:r w:rsidR="006F7FD7">
        <w:fldChar w:fldCharType="begin"/>
      </w:r>
      <w:r w:rsidR="000E66DE" w:rsidRPr="00354FCE">
        <w:rPr>
          <w:lang w:val="fr-FR"/>
        </w:rPr>
        <w:instrText xml:space="preserve"> ADDIN EN.CITE &lt;EndNote&gt;&lt;Cite&gt;&lt;Author&gt;Haslam&lt;/Author&gt;&lt;Year&gt;2019&lt;/Year&gt;&lt;RecNum&gt;1126&lt;/RecNum&gt;&lt;DisplayText&gt;&lt;style face="superscript"&gt;77&lt;/style&gt;&lt;/DisplayText&gt;&lt;record&gt;&lt;rec-number&gt;1126&lt;/rec-number&gt;&lt;foreign-keys&gt;&lt;key app="EN" db-id="dwaevxvazfs2f3ewvzmxrd0k0wasw55p2z2w" timestamp="1557310726"&gt;1126&lt;/key&gt;&lt;/foreign-keys&gt;&lt;ref-type name="Journal Article"&gt;17&lt;/ref-type&gt;&lt;contributors&gt;&lt;authors&gt;&lt;author&gt;Haslam, A.&lt;/author&gt;&lt;author&gt;Hey, S. P.&lt;/author&gt;&lt;author&gt;Gill, J.&lt;/author&gt;&lt;author&gt;Prasad, V.&lt;/author&gt;&lt;/authors&gt;&lt;/contributors&gt;&lt;titles&gt;&lt;title&gt;A systematic review of trial-level meta-analyses measuring the strength of association between surrogate end-points and overall survival in oncology&lt;/title&gt;&lt;secondary-title&gt;European Journal of Cancer&lt;/secondary-title&gt;&lt;short-title&gt;A systematic review of trial-level meta-analyses measuring the strength of association between surrogate end-points and overall survival in oncology&lt;/short-title&gt;&lt;/titles&gt;&lt;periodical&gt;&lt;full-title&gt;European Journal of Cancer&lt;/full-title&gt;&lt;abbr-1&gt;Eur J Cancer&lt;/abbr-1&gt;&lt;/periodical&gt;&lt;pages&gt;196-211&lt;/pages&gt;&lt;volume&gt;106&lt;/volume&gt;&lt;keywords&gt;&lt;keyword&gt;$$exclude abstract KC&lt;/keyword&gt;&lt;keyword&gt;$$review&lt;/keyword&gt;&lt;keyword&gt;$$background&lt;/keyword&gt;&lt;keyword&gt;$$Citation search&lt;/keyword&gt;&lt;/keywords&gt;&lt;dates&gt;&lt;year&gt;2019&lt;/year&gt;&lt;pub-dates&gt;&lt;date&gt;Jan&lt;/date&gt;&lt;/pub-dates&gt;&lt;/dates&gt;&lt;isbn&gt;0959-8049&lt;/isbn&gt;&lt;accession-num&gt;WOS:000453243400022&lt;/accession-num&gt;&lt;urls&gt;&lt;/urls&gt;&lt;electronic-resource-num&gt;10.1016/j.ejca.2018.11.012&lt;/electronic-resource-num&gt;&lt;research-notes&gt;&lt;style face="underline" font="default" size="100%"&gt;&amp;lt;Go to ISI&amp;gt;://WOS:000453243400022&lt;/style&gt;&lt;/research-notes&gt;&lt;/record&gt;&lt;/Cite&gt;&lt;/EndNote&gt;</w:instrText>
      </w:r>
      <w:r w:rsidR="006F7FD7">
        <w:fldChar w:fldCharType="separate"/>
      </w:r>
      <w:r w:rsidR="003117A9" w:rsidRPr="00F3121A">
        <w:rPr>
          <w:noProof/>
          <w:vertAlign w:val="superscript"/>
          <w:lang w:val="fr-FR"/>
        </w:rPr>
        <w:t>77</w:t>
      </w:r>
      <w:r w:rsidR="006F7FD7">
        <w:fldChar w:fldCharType="end"/>
      </w:r>
      <w:r w:rsidRPr="00F3121A">
        <w:rPr>
          <w:lang w:val="fr-FR"/>
        </w:rPr>
        <w:t xml:space="preserve"> and any further reviews identified during searching, were checked for relevant studies.</w:t>
      </w:r>
    </w:p>
    <w:p w14:paraId="3800D839" w14:textId="77777777" w:rsidR="00716DF9" w:rsidRPr="002D1DD7" w:rsidRDefault="00716DF9" w:rsidP="00440E43">
      <w:pPr>
        <w:pStyle w:val="Heading3"/>
      </w:pPr>
      <w:bookmarkStart w:id="63" w:name="_Toc33776170"/>
      <w:r w:rsidRPr="002D1DD7">
        <w:t>Study selection process</w:t>
      </w:r>
      <w:bookmarkEnd w:id="63"/>
    </w:p>
    <w:p w14:paraId="1373D415" w14:textId="77777777" w:rsidR="00716DF9" w:rsidRPr="002D1DD7" w:rsidRDefault="00716DF9" w:rsidP="004809F7">
      <w:r w:rsidRPr="002D1DD7">
        <w:t>Titles and abstracts of articles retrieved by the search were examined by one reviewer and a subset were checked by a second reviewer early in the process, followed by a discussion to ensure consistency in the selection decisions. Full texts were examined by one reviewer and a subset were checked by a second reviewer, with any discrepancies resolved through discussion.</w:t>
      </w:r>
    </w:p>
    <w:p w14:paraId="40FF5527" w14:textId="77777777" w:rsidR="00716DF9" w:rsidRPr="002D1DD7" w:rsidRDefault="00716DF9" w:rsidP="00440E43">
      <w:pPr>
        <w:pStyle w:val="Heading3"/>
      </w:pPr>
      <w:bookmarkStart w:id="64" w:name="_Toc33776171"/>
      <w:r w:rsidRPr="002D1DD7">
        <w:t>Data extraction</w:t>
      </w:r>
      <w:bookmarkEnd w:id="64"/>
    </w:p>
    <w:p w14:paraId="1E72836D" w14:textId="360B43B6" w:rsidR="00716DF9" w:rsidRPr="002D1DD7" w:rsidRDefault="00716DF9" w:rsidP="004809F7">
      <w:r w:rsidRPr="002D1DD7">
        <w:t xml:space="preserve">Data were extracted by one reviewer and all data </w:t>
      </w:r>
      <w:r w:rsidR="008F1D92">
        <w:t xml:space="preserve">were </w:t>
      </w:r>
      <w:r w:rsidRPr="002D1DD7">
        <w:t>checked by a second reviewer. The following data were extracted:</w:t>
      </w:r>
    </w:p>
    <w:p w14:paraId="2A28A04D" w14:textId="77777777" w:rsidR="00716DF9" w:rsidRPr="004809F7" w:rsidRDefault="00716DF9" w:rsidP="009A66EC">
      <w:pPr>
        <w:pStyle w:val="ListParagraph"/>
        <w:numPr>
          <w:ilvl w:val="0"/>
          <w:numId w:val="99"/>
        </w:numPr>
        <w:ind w:left="714" w:hanging="357"/>
        <w:rPr>
          <w:lang w:eastAsia="en-GB"/>
        </w:rPr>
      </w:pPr>
      <w:r w:rsidRPr="004809F7">
        <w:rPr>
          <w:lang w:eastAsia="en-GB"/>
        </w:rPr>
        <w:t>Author and date</w:t>
      </w:r>
    </w:p>
    <w:p w14:paraId="739A6A2F" w14:textId="77777777" w:rsidR="00716DF9" w:rsidRPr="004809F7" w:rsidRDefault="00716DF9" w:rsidP="009A66EC">
      <w:pPr>
        <w:pStyle w:val="ListParagraph"/>
        <w:numPr>
          <w:ilvl w:val="0"/>
          <w:numId w:val="99"/>
        </w:numPr>
        <w:ind w:left="714" w:hanging="357"/>
        <w:rPr>
          <w:lang w:eastAsia="en-GB"/>
        </w:rPr>
      </w:pPr>
      <w:r w:rsidRPr="004809F7">
        <w:rPr>
          <w:lang w:eastAsia="en-GB"/>
        </w:rPr>
        <w:t>Cancer type, stage, number of patients, number of included studies, design of included studies (RCT or single-arm; publication dates)</w:t>
      </w:r>
    </w:p>
    <w:p w14:paraId="05E88078" w14:textId="77777777" w:rsidR="00716DF9" w:rsidRPr="004809F7" w:rsidRDefault="00716DF9" w:rsidP="009A66EC">
      <w:pPr>
        <w:pStyle w:val="ListParagraph"/>
        <w:numPr>
          <w:ilvl w:val="0"/>
          <w:numId w:val="99"/>
        </w:numPr>
        <w:ind w:left="714" w:hanging="357"/>
        <w:rPr>
          <w:lang w:eastAsia="en-GB"/>
        </w:rPr>
      </w:pPr>
      <w:r w:rsidRPr="004809F7">
        <w:rPr>
          <w:lang w:eastAsia="en-GB"/>
        </w:rPr>
        <w:t>Treatment type, treatment line, other subgroups as reported</w:t>
      </w:r>
    </w:p>
    <w:p w14:paraId="43952494" w14:textId="021C7FF0" w:rsidR="00716DF9" w:rsidRPr="004809F7" w:rsidRDefault="00716DF9" w:rsidP="009A66EC">
      <w:pPr>
        <w:pStyle w:val="ListParagraph"/>
        <w:numPr>
          <w:ilvl w:val="0"/>
          <w:numId w:val="99"/>
        </w:numPr>
        <w:ind w:left="714" w:hanging="357"/>
        <w:rPr>
          <w:lang w:eastAsia="en-GB"/>
        </w:rPr>
      </w:pPr>
      <w:r w:rsidRPr="004809F7">
        <w:rPr>
          <w:lang w:eastAsia="en-GB"/>
        </w:rPr>
        <w:t xml:space="preserve">Data type (aggregate-level data or </w:t>
      </w:r>
      <w:r w:rsidR="00A13248">
        <w:rPr>
          <w:lang w:eastAsia="en-GB"/>
        </w:rPr>
        <w:t>individual patient data [</w:t>
      </w:r>
      <w:r w:rsidR="008F1D92" w:rsidRPr="004809F7">
        <w:rPr>
          <w:lang w:eastAsia="en-GB"/>
        </w:rPr>
        <w:t>IPD</w:t>
      </w:r>
      <w:r w:rsidR="00A13248">
        <w:rPr>
          <w:lang w:eastAsia="en-GB"/>
        </w:rPr>
        <w:t>]</w:t>
      </w:r>
      <w:r w:rsidRPr="004809F7">
        <w:rPr>
          <w:lang w:eastAsia="en-GB"/>
        </w:rPr>
        <w:t>)</w:t>
      </w:r>
    </w:p>
    <w:p w14:paraId="4BA92951" w14:textId="027D00A2" w:rsidR="00716DF9" w:rsidRPr="004809F7" w:rsidRDefault="00716DF9" w:rsidP="009A66EC">
      <w:pPr>
        <w:pStyle w:val="ListParagraph"/>
        <w:numPr>
          <w:ilvl w:val="0"/>
          <w:numId w:val="99"/>
        </w:numPr>
        <w:ind w:left="714" w:hanging="357"/>
        <w:rPr>
          <w:lang w:eastAsia="en-GB"/>
        </w:rPr>
      </w:pPr>
      <w:r w:rsidRPr="004809F7">
        <w:rPr>
          <w:lang w:eastAsia="en-GB"/>
        </w:rPr>
        <w:t xml:space="preserve">Surrogate and final endpoints analysed (e.g. </w:t>
      </w:r>
      <w:r w:rsidR="00D275EB" w:rsidRPr="004809F7">
        <w:rPr>
          <w:lang w:eastAsia="en-GB"/>
        </w:rPr>
        <w:t>O</w:t>
      </w:r>
      <w:r w:rsidRPr="004809F7">
        <w:rPr>
          <w:lang w:eastAsia="en-GB"/>
        </w:rPr>
        <w:t>RR to OS)</w:t>
      </w:r>
    </w:p>
    <w:p w14:paraId="33A2E351" w14:textId="77777777" w:rsidR="00716DF9" w:rsidRPr="004809F7" w:rsidRDefault="00716DF9" w:rsidP="009A66EC">
      <w:pPr>
        <w:pStyle w:val="ListParagraph"/>
        <w:numPr>
          <w:ilvl w:val="0"/>
          <w:numId w:val="99"/>
        </w:numPr>
        <w:ind w:left="714" w:hanging="357"/>
        <w:rPr>
          <w:lang w:eastAsia="en-GB"/>
        </w:rPr>
      </w:pPr>
      <w:r w:rsidRPr="004809F7">
        <w:rPr>
          <w:lang w:eastAsia="en-GB"/>
        </w:rPr>
        <w:t>Response criteria used, if reported (e.g. RECIST)</w:t>
      </w:r>
    </w:p>
    <w:p w14:paraId="0AF75A91" w14:textId="77777777" w:rsidR="00716DF9" w:rsidRPr="004809F7" w:rsidRDefault="00716DF9" w:rsidP="009A66EC">
      <w:pPr>
        <w:pStyle w:val="ListParagraph"/>
        <w:numPr>
          <w:ilvl w:val="0"/>
          <w:numId w:val="99"/>
        </w:numPr>
        <w:ind w:left="714" w:hanging="357"/>
        <w:rPr>
          <w:lang w:eastAsia="en-GB"/>
        </w:rPr>
      </w:pPr>
      <w:r w:rsidRPr="004809F7">
        <w:rPr>
          <w:lang w:eastAsia="en-GB"/>
        </w:rPr>
        <w:t>Measures of outcomes (e.g. hazard ratio [HR], odds ratio [OR], relative risk (rr) or difference between medians)</w:t>
      </w:r>
    </w:p>
    <w:p w14:paraId="4E5A32BC" w14:textId="6452887A" w:rsidR="00716DF9" w:rsidRPr="004809F7" w:rsidRDefault="00716DF9" w:rsidP="009A66EC">
      <w:pPr>
        <w:pStyle w:val="ListParagraph"/>
        <w:numPr>
          <w:ilvl w:val="0"/>
          <w:numId w:val="99"/>
        </w:numPr>
        <w:ind w:left="714" w:hanging="357"/>
        <w:rPr>
          <w:lang w:eastAsia="en-GB"/>
        </w:rPr>
      </w:pPr>
      <w:r w:rsidRPr="004809F7">
        <w:rPr>
          <w:lang w:eastAsia="en-GB"/>
        </w:rPr>
        <w:t>Statistical methods for correlation and regression, whether weighted, whether adjusted, coefficient reported, e.g. Pearson or Spearman correlation coefficient (</w:t>
      </w:r>
      <w:r w:rsidRPr="004809F7">
        <w:t>r or r</w:t>
      </w:r>
      <w:r w:rsidRPr="004809F7">
        <w:rPr>
          <w:vertAlign w:val="subscript"/>
        </w:rPr>
        <w:t>s</w:t>
      </w:r>
      <w:r w:rsidRPr="004809F7">
        <w:t>)</w:t>
      </w:r>
      <w:r w:rsidRPr="004809F7">
        <w:rPr>
          <w:lang w:eastAsia="en-GB"/>
        </w:rPr>
        <w:t>, regression</w:t>
      </w:r>
      <w:r w:rsidRPr="004809F7">
        <w:t xml:space="preserve"> </w:t>
      </w:r>
      <w:r w:rsidRPr="004809F7">
        <w:rPr>
          <w:lang w:eastAsia="en-GB"/>
        </w:rPr>
        <w:t>coefficient of determination (R</w:t>
      </w:r>
      <w:r w:rsidRPr="004809F7">
        <w:rPr>
          <w:vertAlign w:val="superscript"/>
          <w:lang w:eastAsia="en-GB"/>
        </w:rPr>
        <w:t>2</w:t>
      </w:r>
      <w:r w:rsidRPr="004809F7">
        <w:rPr>
          <w:lang w:eastAsia="en-GB"/>
        </w:rPr>
        <w:t>).</w:t>
      </w:r>
    </w:p>
    <w:p w14:paraId="755929C4" w14:textId="77777777" w:rsidR="00716DF9" w:rsidRPr="004809F7" w:rsidRDefault="00716DF9" w:rsidP="009A66EC">
      <w:pPr>
        <w:pStyle w:val="ListParagraph"/>
        <w:numPr>
          <w:ilvl w:val="0"/>
          <w:numId w:val="99"/>
        </w:numPr>
        <w:ind w:left="714" w:hanging="357"/>
        <w:rPr>
          <w:lang w:eastAsia="en-GB"/>
        </w:rPr>
      </w:pPr>
      <w:r w:rsidRPr="004809F7">
        <w:rPr>
          <w:lang w:eastAsia="en-GB"/>
        </w:rPr>
        <w:t xml:space="preserve">Absolute association results (i.e. between </w:t>
      </w:r>
      <w:r w:rsidRPr="004809F7">
        <w:t xml:space="preserve">absolute values of the surrogate and final endpoints, based on data from individual arms of RCTs or single-arm studies): </w:t>
      </w:r>
      <w:r w:rsidRPr="004809F7">
        <w:rPr>
          <w:lang w:eastAsia="en-GB"/>
        </w:rPr>
        <w:t>correlation coefficient, regression R</w:t>
      </w:r>
      <w:r w:rsidRPr="004809F7">
        <w:rPr>
          <w:vertAlign w:val="superscript"/>
          <w:lang w:eastAsia="en-GB"/>
        </w:rPr>
        <w:t>2</w:t>
      </w:r>
      <w:r w:rsidRPr="004809F7">
        <w:rPr>
          <w:lang w:eastAsia="en-GB"/>
        </w:rPr>
        <w:t>, regression equation</w:t>
      </w:r>
    </w:p>
    <w:p w14:paraId="78A42B60" w14:textId="77777777" w:rsidR="00716DF9" w:rsidRPr="004809F7" w:rsidRDefault="00716DF9" w:rsidP="009A66EC">
      <w:pPr>
        <w:pStyle w:val="ListParagraph"/>
        <w:numPr>
          <w:ilvl w:val="0"/>
          <w:numId w:val="99"/>
        </w:numPr>
        <w:ind w:left="714" w:hanging="357"/>
        <w:rPr>
          <w:lang w:eastAsia="en-GB"/>
        </w:rPr>
      </w:pPr>
      <w:r w:rsidRPr="004809F7">
        <w:rPr>
          <w:lang w:eastAsia="en-GB"/>
        </w:rPr>
        <w:t xml:space="preserve">Treatment effect association results (i.e. between </w:t>
      </w:r>
      <w:r w:rsidRPr="004809F7">
        <w:t>treatment effects for surrogate and final endpoints, based on between-group differences from RCTs</w:t>
      </w:r>
      <w:r w:rsidRPr="004809F7">
        <w:rPr>
          <w:lang w:eastAsia="en-GB"/>
        </w:rPr>
        <w:t>): correlation coefficient, regression R</w:t>
      </w:r>
      <w:r w:rsidRPr="004809F7">
        <w:rPr>
          <w:vertAlign w:val="superscript"/>
          <w:lang w:eastAsia="en-GB"/>
        </w:rPr>
        <w:t>2</w:t>
      </w:r>
      <w:r w:rsidRPr="004809F7">
        <w:rPr>
          <w:lang w:eastAsia="en-GB"/>
        </w:rPr>
        <w:t>, regression equation</w:t>
      </w:r>
    </w:p>
    <w:p w14:paraId="4D2106B9" w14:textId="77777777" w:rsidR="00716DF9" w:rsidRPr="004809F7" w:rsidRDefault="00716DF9" w:rsidP="009A66EC">
      <w:pPr>
        <w:pStyle w:val="ListParagraph"/>
        <w:numPr>
          <w:ilvl w:val="0"/>
          <w:numId w:val="99"/>
        </w:numPr>
        <w:ind w:left="714" w:hanging="357"/>
        <w:rPr>
          <w:lang w:eastAsia="en-GB"/>
        </w:rPr>
      </w:pPr>
      <w:r w:rsidRPr="004809F7">
        <w:rPr>
          <w:lang w:eastAsia="en-GB"/>
        </w:rPr>
        <w:t>Data as above for subgroups</w:t>
      </w:r>
    </w:p>
    <w:p w14:paraId="070BC2FF" w14:textId="01E6174C" w:rsidR="00716DF9" w:rsidRPr="004809F7" w:rsidRDefault="00716DF9" w:rsidP="009A66EC">
      <w:pPr>
        <w:pStyle w:val="ListParagraph"/>
        <w:numPr>
          <w:ilvl w:val="0"/>
          <w:numId w:val="99"/>
        </w:numPr>
        <w:ind w:left="714" w:hanging="357"/>
        <w:rPr>
          <w:lang w:eastAsia="en-GB"/>
        </w:rPr>
      </w:pPr>
      <w:r w:rsidRPr="004809F7">
        <w:lastRenderedPageBreak/>
        <w:t>STE,</w:t>
      </w:r>
      <w:r w:rsidR="003117A9">
        <w:fldChar w:fldCharType="begin"/>
      </w:r>
      <w:r w:rsidR="000E66DE">
        <w:instrText xml:space="preserve"> ADDIN EN.CITE &lt;EndNote&gt;&lt;Cite&gt;&lt;Author&gt;Buyse&lt;/Author&gt;&lt;Year&gt;2016&lt;/Year&gt;&lt;RecNum&gt;337&lt;/RecNum&gt;&lt;DisplayText&gt;&lt;style face="superscript"&gt;73&lt;/style&gt;&lt;/DisplayText&gt;&lt;record&gt;&lt;rec-number&gt;337&lt;/rec-number&gt;&lt;foreign-keys&gt;&lt;key app="EN" db-id="dwaevxvazfs2f3ewvzmxrd0k0wasw55p2z2w" timestamp="1557310569"&gt;337&lt;/key&gt;&lt;/foreign-keys&gt;&lt;ref-type name="Journal Article"&gt;17&lt;/ref-type&gt;&lt;contributors&gt;&lt;authors&gt;&lt;author&gt;Buyse, M.&lt;/author&gt;&lt;author&gt;Molenberghs, G.&lt;/author&gt;&lt;author&gt;Paoletti, X.&lt;/author&gt;&lt;author&gt;Oba, K.&lt;/author&gt;&lt;author&gt;Alonso, A.&lt;/author&gt;&lt;author&gt;Van der Elst, W.&lt;/author&gt;&lt;author&gt;Burzykowski, T.&lt;/author&gt;&lt;/authors&gt;&lt;/contributors&gt;&lt;titles&gt;&lt;title&gt;Statistical evaluation of surrogate endpoints with examples from cancer clinical trials&lt;/title&gt;&lt;secondary-title&gt;Biometrical Journal&lt;/secondary-title&gt;&lt;/titles&gt;&lt;periodical&gt;&lt;full-title&gt;Biometrical Journal&lt;/full-title&gt;&lt;abbr-1&gt;Biometrical J&lt;/abbr-1&gt;&lt;/periodical&gt;&lt;pages&gt;104-132&lt;/pages&gt;&lt;volume&gt;58&lt;/volume&gt;&lt;number&gt;1&lt;/number&gt;&lt;keywords&gt;&lt;keyword&gt;$$include abstract KC&lt;/keyword&gt;&lt;keyword&gt;$$background surrogates&lt;/keyword&gt;&lt;keyword&gt;$$Broad search $$Citation search&lt;/keyword&gt;&lt;/keywords&gt;&lt;dates&gt;&lt;year&gt;2016&lt;/year&gt;&lt;pub-dates&gt;&lt;date&gt;Jan&lt;/date&gt;&lt;/pub-dates&gt;&lt;/dates&gt;&lt;isbn&gt;0323-3847&lt;/isbn&gt;&lt;accession-num&gt;WOS:000367731300008&lt;/accession-num&gt;&lt;label&gt;$$exclude full text KC&amp;#xD;$$not clinical study&amp;#xD;References Paoletti 2013 meta-analysis in advanced gastric cancer: only PFS to OS so not relevant&lt;/label&gt;&lt;urls&gt;&lt;/urls&gt;&lt;electronic-resource-num&gt;10.1002/bimj.201400049&lt;/electronic-resource-num&gt;&lt;research-notes&gt;&lt;style face="underline" font="default" size="100%"&gt;&amp;lt;Go to ISI&amp;gt;://WOS:000367731300008&lt;/style&gt;&lt;/research-notes&gt;&lt;/record&gt;&lt;/Cite&gt;&lt;/EndNote&gt;</w:instrText>
      </w:r>
      <w:r w:rsidR="003117A9">
        <w:fldChar w:fldCharType="separate"/>
      </w:r>
      <w:r w:rsidR="003117A9" w:rsidRPr="003117A9">
        <w:rPr>
          <w:noProof/>
          <w:vertAlign w:val="superscript"/>
        </w:rPr>
        <w:t>73</w:t>
      </w:r>
      <w:r w:rsidR="003117A9">
        <w:fldChar w:fldCharType="end"/>
      </w:r>
      <w:r w:rsidRPr="004809F7">
        <w:t xml:space="preserve"> i.e. the smallest treatment effect on the surrogate that predicts a non-zero treatment effect on the true endpoint</w:t>
      </w:r>
      <w:r w:rsidR="008F1D92" w:rsidRPr="004809F7">
        <w:t>.</w:t>
      </w:r>
    </w:p>
    <w:p w14:paraId="02AFBC75" w14:textId="77777777" w:rsidR="00716DF9" w:rsidRPr="002D1DD7" w:rsidRDefault="00716DF9" w:rsidP="00440E43">
      <w:pPr>
        <w:pStyle w:val="Heading3"/>
      </w:pPr>
      <w:bookmarkStart w:id="65" w:name="_Toc33776172"/>
      <w:r w:rsidRPr="002D1DD7">
        <w:t>Data synthesis</w:t>
      </w:r>
      <w:bookmarkEnd w:id="65"/>
    </w:p>
    <w:p w14:paraId="2ADD861C" w14:textId="7E954D77" w:rsidR="00716DF9" w:rsidRPr="002D1DD7" w:rsidRDefault="00716DF9" w:rsidP="004809F7">
      <w:r w:rsidRPr="002D1DD7">
        <w:t xml:space="preserve">Data were tabulated and described in a narrative synthesis. </w:t>
      </w:r>
      <w:r w:rsidR="00395013">
        <w:t>P</w:t>
      </w:r>
      <w:r w:rsidRPr="002D1DD7">
        <w:t xml:space="preserve">lots were constructed to illustrate the reported associations. </w:t>
      </w:r>
      <w:r w:rsidR="000441FE">
        <w:t>Some of the included meta-regression studies reported multiple subgroup analyses with differing results. Therefore, f</w:t>
      </w:r>
      <w:r w:rsidRPr="002D1DD7">
        <w:t xml:space="preserve">or associations between absolute values of endpoints, the plots show the </w:t>
      </w:r>
      <w:r w:rsidR="000441FE">
        <w:t>range of</w:t>
      </w:r>
      <w:r w:rsidRPr="002D1DD7">
        <w:t xml:space="preserve"> correlation coefficient</w:t>
      </w:r>
      <w:r w:rsidR="000441FE">
        <w:t>s</w:t>
      </w:r>
      <w:r w:rsidRPr="002D1DD7">
        <w:t xml:space="preserve"> per study, </w:t>
      </w:r>
      <w:r w:rsidR="000441FE">
        <w:t>across all</w:t>
      </w:r>
      <w:r w:rsidRPr="002D1DD7">
        <w:t xml:space="preserve"> subgroup analys</w:t>
      </w:r>
      <w:r w:rsidR="000441FE">
        <w:t>e</w:t>
      </w:r>
      <w:r w:rsidRPr="002D1DD7">
        <w:t>s</w:t>
      </w:r>
      <w:r w:rsidR="000441FE">
        <w:t>. Where an included meta-regression study reported on more than one cancer type, these are shown separately on the plots. All types of correlation coefficient were included,</w:t>
      </w:r>
      <w:r w:rsidRPr="002D1DD7">
        <w:t xml:space="preserve"> e.g. Pearson r </w:t>
      </w:r>
      <w:r w:rsidR="000441FE">
        <w:t>and</w:t>
      </w:r>
      <w:r w:rsidR="000441FE" w:rsidRPr="002D1DD7">
        <w:t xml:space="preserve"> </w:t>
      </w:r>
      <w:r w:rsidRPr="002D1DD7">
        <w:t>Spearman r</w:t>
      </w:r>
      <w:r w:rsidRPr="002D1DD7">
        <w:rPr>
          <w:vertAlign w:val="subscript"/>
        </w:rPr>
        <w:t>s</w:t>
      </w:r>
      <w:r w:rsidRPr="002D1DD7">
        <w:t>. If no correlation coefficient was reported, then Pearson r was calculated as the square-root of R</w:t>
      </w:r>
      <w:r w:rsidRPr="002D1DD7">
        <w:rPr>
          <w:vertAlign w:val="superscript"/>
        </w:rPr>
        <w:t>2</w:t>
      </w:r>
      <w:r w:rsidRPr="002D1DD7">
        <w:t>, if available.</w:t>
      </w:r>
    </w:p>
    <w:p w14:paraId="218D5FB0" w14:textId="4EF5A9BB" w:rsidR="00716DF9" w:rsidRPr="002D1DD7" w:rsidRDefault="00716DF9" w:rsidP="004809F7">
      <w:r w:rsidRPr="002D1DD7">
        <w:t xml:space="preserve">For associations between treatment effects, the plots show the </w:t>
      </w:r>
      <w:r w:rsidR="000441FE">
        <w:t>range of</w:t>
      </w:r>
      <w:r w:rsidRPr="002D1DD7">
        <w:t xml:space="preserve"> regression coefficient</w:t>
      </w:r>
      <w:r w:rsidR="000441FE">
        <w:t>s</w:t>
      </w:r>
      <w:r w:rsidRPr="002D1DD7">
        <w:t xml:space="preserve"> of determination (R</w:t>
      </w:r>
      <w:r w:rsidRPr="002D1DD7">
        <w:rPr>
          <w:vertAlign w:val="superscript"/>
        </w:rPr>
        <w:t>2</w:t>
      </w:r>
      <w:r w:rsidRPr="002D1DD7">
        <w:t xml:space="preserve">) per study, </w:t>
      </w:r>
      <w:r w:rsidR="000441FE">
        <w:t>across all</w:t>
      </w:r>
      <w:r w:rsidRPr="002D1DD7">
        <w:t xml:space="preserve"> subgroup analys</w:t>
      </w:r>
      <w:r w:rsidR="000441FE">
        <w:t>e</w:t>
      </w:r>
      <w:r w:rsidRPr="002D1DD7">
        <w:t>s. The plots include both adjusted and unadjusted R</w:t>
      </w:r>
      <w:r w:rsidRPr="002D1DD7">
        <w:rPr>
          <w:vertAlign w:val="superscript"/>
        </w:rPr>
        <w:t>2</w:t>
      </w:r>
      <w:r w:rsidRPr="002D1DD7">
        <w:t xml:space="preserve"> values, as well as values from weighted and unweighted regressions. For studies in which R</w:t>
      </w:r>
      <w:r w:rsidRPr="002D1DD7">
        <w:rPr>
          <w:vertAlign w:val="superscript"/>
        </w:rPr>
        <w:t>2</w:t>
      </w:r>
      <w:r w:rsidRPr="002D1DD7">
        <w:t xml:space="preserve"> was not reported, this was calculated as the square of the Pearson (r) correlation coefficient, if available. R</w:t>
      </w:r>
      <w:r w:rsidRPr="002D1DD7">
        <w:rPr>
          <w:vertAlign w:val="superscript"/>
        </w:rPr>
        <w:t>2</w:t>
      </w:r>
      <w:r w:rsidRPr="002D1DD7">
        <w:t xml:space="preserve"> was not calculated from other correlation coefficients such as Spearman, or where the method of correlation was unclear.</w:t>
      </w:r>
    </w:p>
    <w:p w14:paraId="5E8243D3" w14:textId="77777777" w:rsidR="00716DF9" w:rsidRPr="002D1DD7" w:rsidRDefault="00716DF9" w:rsidP="00440E43">
      <w:pPr>
        <w:pStyle w:val="Heading3"/>
      </w:pPr>
      <w:bookmarkStart w:id="66" w:name="_Toc13832948"/>
      <w:bookmarkStart w:id="67" w:name="_Ref32650249"/>
      <w:bookmarkStart w:id="68" w:name="_Toc33776173"/>
      <w:r w:rsidRPr="002D1DD7">
        <w:t>Scoring the strength of association</w:t>
      </w:r>
      <w:bookmarkEnd w:id="66"/>
      <w:bookmarkEnd w:id="67"/>
      <w:bookmarkEnd w:id="68"/>
    </w:p>
    <w:p w14:paraId="4670D1F7" w14:textId="0A08B371" w:rsidR="00716DF9" w:rsidRPr="002D1DD7" w:rsidRDefault="00716DF9" w:rsidP="004809F7">
      <w:r w:rsidRPr="002D1DD7">
        <w:t>Two separate sets of criteria have been developed to assess the strength of association between endpoints. These include the criteria proposed by IQWiG</w:t>
      </w:r>
      <w:r w:rsidR="006F7FD7">
        <w:fldChar w:fldCharType="begin"/>
      </w:r>
      <w:r w:rsidR="006F7FD7">
        <w:instrText xml:space="preserve"> ADDIN EN.CITE &lt;EndNote&gt;&lt;Cite&gt;&lt;Author&gt;German Institute of Quality and Efficiency in Health Care (IQWiG)&lt;/Author&gt;&lt;Year&gt;2011&lt;/Year&gt;&lt;RecNum&gt;3391&lt;/RecNum&gt;&lt;DisplayText&gt;&lt;style face="superscript"&gt;71&lt;/style&gt;&lt;/DisplayText&gt;&lt;record&gt;&lt;rec-number&gt;3391&lt;/rec-number&gt;&lt;foreign-keys&gt;&lt;key app="EN" db-id="dwaevxvazfs2f3ewvzmxrd0k0wasw55p2z2w" timestamp="1568727866"&gt;3391&lt;/key&gt;&lt;/foreign-keys&gt;&lt;ref-type name="Report"&gt;27&lt;/ref-type&gt;&lt;contributors&gt;&lt;authors&gt;&lt;author&gt;German Institute of Quality and Efficiency in Health Care (IQWiG), &lt;/author&gt;&lt;/authors&gt;&lt;/contributors&gt;&lt;titles&gt;&lt;title&gt;Validity of surrogate endpoints in Oncology&lt;/title&gt;&lt;/titles&gt;&lt;keywords&gt;&lt;keyword&gt;$$background&lt;/keyword&gt;&lt;/keywords&gt;&lt;dates&gt;&lt;year&gt;2011&lt;/year&gt;&lt;/dates&gt;&lt;urls&gt;&lt;/urls&gt;&lt;/record&gt;&lt;/Cite&gt;&lt;/EndNote&gt;</w:instrText>
      </w:r>
      <w:r w:rsidR="006F7FD7">
        <w:fldChar w:fldCharType="separate"/>
      </w:r>
      <w:r w:rsidR="006F7FD7" w:rsidRPr="006F7FD7">
        <w:rPr>
          <w:noProof/>
          <w:vertAlign w:val="superscript"/>
        </w:rPr>
        <w:t>71</w:t>
      </w:r>
      <w:r w:rsidR="006F7FD7">
        <w:fldChar w:fldCharType="end"/>
      </w:r>
      <w:r w:rsidRPr="002D1DD7">
        <w:t xml:space="preserve"> (based on the treatment effect association) and the BSES2 criteria</w: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 </w:instrTex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EN.CITE.DATA </w:instrText>
      </w:r>
      <w:r w:rsidR="006F7FD7">
        <w:fldChar w:fldCharType="end"/>
      </w:r>
      <w:r w:rsidR="006F7FD7">
        <w:fldChar w:fldCharType="separate"/>
      </w:r>
      <w:r w:rsidR="006F7FD7" w:rsidRPr="006F7FD7">
        <w:rPr>
          <w:noProof/>
          <w:vertAlign w:val="superscript"/>
        </w:rPr>
        <w:t>72</w:t>
      </w:r>
      <w:r w:rsidR="006F7FD7">
        <w:fldChar w:fldCharType="end"/>
      </w:r>
      <w:r w:rsidRPr="002D1DD7">
        <w:t xml:space="preserve"> (based on both absolute and treatment effect associations). In this review, both the IQWiG and BSES2 criteria were used to </w:t>
      </w:r>
      <w:r w:rsidRPr="002D1DD7">
        <w:rPr>
          <w:rFonts w:eastAsia="Times New Roman"/>
          <w:lang w:eastAsia="en-GB"/>
        </w:rPr>
        <w:t xml:space="preserve">assess </w:t>
      </w:r>
      <w:r w:rsidRPr="002D1DD7">
        <w:t>the strength of association between surrogate and final endpoints.</w:t>
      </w:r>
    </w:p>
    <w:p w14:paraId="738AF93D" w14:textId="564B60E1" w:rsidR="00C30D9F" w:rsidRPr="002D1DD7" w:rsidRDefault="00716DF9" w:rsidP="004809F7">
      <w:r w:rsidRPr="002D1DD7">
        <w:rPr>
          <w:lang w:eastAsia="en-GB"/>
        </w:rPr>
        <w:t>The IQWiG criteria</w:t>
      </w:r>
      <w:r w:rsidR="006F7FD7">
        <w:rPr>
          <w:lang w:eastAsia="en-GB"/>
        </w:rPr>
        <w:fldChar w:fldCharType="begin"/>
      </w:r>
      <w:r w:rsidR="006F7FD7">
        <w:rPr>
          <w:lang w:eastAsia="en-GB"/>
        </w:rPr>
        <w:instrText xml:space="preserve"> ADDIN EN.CITE &lt;EndNote&gt;&lt;Cite&gt;&lt;Author&gt;German Institute of Quality and Efficiency in Health Care (IQWiG)&lt;/Author&gt;&lt;Year&gt;2011&lt;/Year&gt;&lt;RecNum&gt;3391&lt;/RecNum&gt;&lt;DisplayText&gt;&lt;style face="superscript"&gt;71&lt;/style&gt;&lt;/DisplayText&gt;&lt;record&gt;&lt;rec-number&gt;3391&lt;/rec-number&gt;&lt;foreign-keys&gt;&lt;key app="EN" db-id="dwaevxvazfs2f3ewvzmxrd0k0wasw55p2z2w" timestamp="1568727866"&gt;3391&lt;/key&gt;&lt;/foreign-keys&gt;&lt;ref-type name="Report"&gt;27&lt;/ref-type&gt;&lt;contributors&gt;&lt;authors&gt;&lt;author&gt;German Institute of Quality and Efficiency in Health Care (IQWiG), &lt;/author&gt;&lt;/authors&gt;&lt;/contributors&gt;&lt;titles&gt;&lt;title&gt;Validity of surrogate endpoints in Oncology&lt;/title&gt;&lt;/titles&gt;&lt;keywords&gt;&lt;keyword&gt;$$background&lt;/keyword&gt;&lt;/keywords&gt;&lt;dates&gt;&lt;year&gt;2011&lt;/year&gt;&lt;/dates&gt;&lt;urls&gt;&lt;/urls&gt;&lt;/record&gt;&lt;/Cite&gt;&lt;/EndNote&gt;</w:instrText>
      </w:r>
      <w:r w:rsidR="006F7FD7">
        <w:rPr>
          <w:lang w:eastAsia="en-GB"/>
        </w:rPr>
        <w:fldChar w:fldCharType="separate"/>
      </w:r>
      <w:r w:rsidR="006F7FD7" w:rsidRPr="006F7FD7">
        <w:rPr>
          <w:noProof/>
          <w:vertAlign w:val="superscript"/>
          <w:lang w:eastAsia="en-GB"/>
        </w:rPr>
        <w:t>71</w:t>
      </w:r>
      <w:r w:rsidR="006F7FD7">
        <w:rPr>
          <w:lang w:eastAsia="en-GB"/>
        </w:rPr>
        <w:fldChar w:fldCharType="end"/>
      </w:r>
      <w:r w:rsidRPr="002D1DD7">
        <w:rPr>
          <w:lang w:eastAsia="en-GB"/>
        </w:rPr>
        <w:t xml:space="preserve"> (</w:t>
      </w:r>
      <w:r w:rsidRPr="002D1DD7">
        <w:rPr>
          <w:lang w:eastAsia="en-GB"/>
        </w:rPr>
        <w:fldChar w:fldCharType="begin"/>
      </w:r>
      <w:r w:rsidRPr="002D1DD7">
        <w:rPr>
          <w:lang w:eastAsia="en-GB"/>
        </w:rPr>
        <w:instrText xml:space="preserve"> REF _Ref13510254 \h  \* MERGEFORMAT </w:instrText>
      </w:r>
      <w:r w:rsidRPr="002D1DD7">
        <w:rPr>
          <w:lang w:eastAsia="en-GB"/>
        </w:rPr>
      </w:r>
      <w:r w:rsidRPr="002D1DD7">
        <w:rPr>
          <w:lang w:eastAsia="en-GB"/>
        </w:rPr>
        <w:fldChar w:fldCharType="separate"/>
      </w:r>
      <w:r w:rsidR="00C663A2" w:rsidRPr="002D1DD7">
        <w:t xml:space="preserve">Table </w:t>
      </w:r>
      <w:r w:rsidR="00C663A2">
        <w:t>2</w:t>
      </w:r>
      <w:r w:rsidRPr="002D1DD7">
        <w:rPr>
          <w:lang w:eastAsia="en-GB"/>
        </w:rPr>
        <w:fldChar w:fldCharType="end"/>
      </w:r>
      <w:r w:rsidRPr="002D1DD7">
        <w:rPr>
          <w:lang w:eastAsia="en-GB"/>
        </w:rPr>
        <w:t>) are based on the correlation coefficient (r) for the treatment effect association. Where r was not reported, it was calculated as the square-root of R</w:t>
      </w:r>
      <w:r w:rsidRPr="002D1DD7">
        <w:rPr>
          <w:vertAlign w:val="superscript"/>
          <w:lang w:eastAsia="en-GB"/>
        </w:rPr>
        <w:t>2</w:t>
      </w:r>
      <w:r w:rsidRPr="002D1DD7">
        <w:rPr>
          <w:lang w:eastAsia="en-GB"/>
        </w:rPr>
        <w:t xml:space="preserve">, if available. Some slight modifications were made to the IQWiG scoring criteria, because the </w:t>
      </w:r>
      <w:r w:rsidRPr="002D1DD7">
        <w:t xml:space="preserve">medium score bracket was not clearly defined (see </w:t>
      </w:r>
      <w:r w:rsidRPr="002D1DD7">
        <w:fldChar w:fldCharType="begin"/>
      </w:r>
      <w:r w:rsidRPr="002D1DD7">
        <w:instrText xml:space="preserve"> REF _Ref13510254 \h  \* MERGEFORMAT </w:instrText>
      </w:r>
      <w:r w:rsidRPr="002D1DD7">
        <w:fldChar w:fldCharType="separate"/>
      </w:r>
      <w:r w:rsidR="00C663A2" w:rsidRPr="002D1DD7">
        <w:t xml:space="preserve">Table </w:t>
      </w:r>
      <w:r w:rsidR="00C663A2">
        <w:t>2</w:t>
      </w:r>
      <w:r w:rsidRPr="002D1DD7">
        <w:fldChar w:fldCharType="end"/>
      </w:r>
      <w:r w:rsidRPr="002D1DD7">
        <w:t>)</w:t>
      </w:r>
      <w:r w:rsidR="002704FB">
        <w:t xml:space="preserve">; these modifications were based on the approach used in the previous review by Savina </w:t>
      </w:r>
      <w:r w:rsidR="002704FB" w:rsidRPr="00D16131">
        <w:rPr>
          <w:i/>
          <w:iCs/>
        </w:rPr>
        <w:t>et al</w:t>
      </w:r>
      <w:r w:rsidR="002704FB">
        <w:t>.</w:t>
      </w:r>
      <w:r w:rsidR="003117A9">
        <w:fldChar w:fldCharType="begin"/>
      </w:r>
      <w:r w:rsidR="000E66DE">
        <w:instrText xml:space="preserve"> ADDIN EN.CITE &lt;EndNote&gt;&lt;Cite&gt;&lt;Author&gt;Savina&lt;/Author&gt;&lt;Year&gt;2018&lt;/Year&gt;&lt;RecNum&gt;2647&lt;/RecNum&gt;&lt;DisplayText&gt;&lt;style face="superscript"&gt;76&lt;/style&gt;&lt;/DisplayText&gt;&lt;record&gt;&lt;rec-number&gt;2647&lt;/rec-number&gt;&lt;foreign-keys&gt;&lt;key app="EN" db-id="dwaevxvazfs2f3ewvzmxrd0k0wasw55p2z2w" timestamp="1557311020"&gt;2647&lt;/key&gt;&lt;/foreign-keys&gt;&lt;ref-type name="Journal Article"&gt;17&lt;/ref-type&gt;&lt;contributors&gt;&lt;authors&gt;&lt;author&gt;Savina, M.&lt;/author&gt;&lt;author&gt;Gourgou, S.&lt;/author&gt;&lt;author&gt;Italiano, A.&lt;/author&gt;&lt;author&gt;Dinart, D.&lt;/author&gt;&lt;author&gt;Rondeau, V.&lt;/author&gt;&lt;author&gt;Penel, N.&lt;/author&gt;&lt;author&gt;Mathoulin-Pelissier, S.&lt;/author&gt;&lt;author&gt;Bellera, C.&lt;/author&gt;&lt;/authors&gt;&lt;/contributors&gt;&lt;titles&gt;&lt;title&gt;Meta-analyses evaluating surrogate endpoints for overall survival in cancer randomized trials: A critical review&lt;/title&gt;&lt;secondary-title&gt;Critical Reviews in Oncology Hematology&lt;/secondary-title&gt;&lt;short-title&gt;Meta-analyses evaluating surrogate endpoints for overall survival in cancer randomized trials: A critical review&lt;/short-title&gt;&lt;/titles&gt;&lt;pages&gt;21-41&lt;/pages&gt;&lt;volume&gt;123&lt;/volume&gt;&lt;keywords&gt;&lt;keyword&gt;$$include abstract PT&lt;/keyword&gt;&lt;keyword&gt;$$background&lt;/keyword&gt;&lt;keyword&gt;$$Citation search&lt;/keyword&gt;&lt;keyword&gt;$$exclude full text PT&lt;/keyword&gt;&lt;keyword&gt;$$secondary publication with no additional data (note which study it relates to)&lt;/keyword&gt;&lt;keyword&gt;$$meta-review&lt;/keyword&gt;&lt;/keywords&gt;&lt;dates&gt;&lt;year&gt;2018&lt;/year&gt;&lt;pub-dates&gt;&lt;date&gt;Mar&lt;/date&gt;&lt;/pub-dates&gt;&lt;/dates&gt;&lt;isbn&gt;1040-8428&lt;/isbn&gt;&lt;accession-num&gt;WOS:000428606400003&lt;/accession-num&gt;&lt;urls&gt;&lt;/urls&gt;&lt;electronic-resource-num&gt;10.1016/j.critrevonc.2017.11.014&lt;/electronic-resource-num&gt;&lt;research-notes&gt;&lt;style face="underline" font="default" size="100%"&gt;&amp;lt;Go to ISI&amp;gt;://WOS:000428606400003&lt;/style&gt;&lt;/research-notes&gt;&lt;/record&gt;&lt;/Cite&gt;&lt;/EndNote&gt;</w:instrText>
      </w:r>
      <w:r w:rsidR="003117A9">
        <w:fldChar w:fldCharType="separate"/>
      </w:r>
      <w:r w:rsidR="003117A9" w:rsidRPr="003117A9">
        <w:rPr>
          <w:noProof/>
          <w:vertAlign w:val="superscript"/>
        </w:rPr>
        <w:t>76</w:t>
      </w:r>
      <w:r w:rsidR="003117A9">
        <w:fldChar w:fldCharType="end"/>
      </w:r>
      <w:r w:rsidRPr="002D1DD7">
        <w:t xml:space="preserve"> The IQWiG score was generated based on the magnitude of r, irrespective of its sign (i.e. a negative correlation could generate a high score).</w:t>
      </w:r>
    </w:p>
    <w:p w14:paraId="4E29110D" w14:textId="6C8DFB6E" w:rsidR="00716DF9" w:rsidRPr="002D1DD7" w:rsidRDefault="00716DF9" w:rsidP="004809F7">
      <w:pPr>
        <w:pStyle w:val="Caption"/>
      </w:pPr>
      <w:bookmarkStart w:id="69" w:name="_Ref13510254"/>
      <w:bookmarkStart w:id="70" w:name="_Toc13832972"/>
      <w:bookmarkStart w:id="71" w:name="_Toc34033516"/>
      <w:r w:rsidRPr="002D1DD7">
        <w:t xml:space="preserve">Table </w:t>
      </w:r>
      <w:r w:rsidR="00C974E5">
        <w:fldChar w:fldCharType="begin"/>
      </w:r>
      <w:r w:rsidR="00C974E5">
        <w:instrText xml:space="preserve"> SEQ Table \* ARABIC </w:instrText>
      </w:r>
      <w:r w:rsidR="00C974E5">
        <w:fldChar w:fldCharType="separate"/>
      </w:r>
      <w:r w:rsidR="00C663A2">
        <w:rPr>
          <w:noProof/>
        </w:rPr>
        <w:t>2</w:t>
      </w:r>
      <w:r w:rsidR="00C974E5">
        <w:rPr>
          <w:noProof/>
        </w:rPr>
        <w:fldChar w:fldCharType="end"/>
      </w:r>
      <w:bookmarkEnd w:id="69"/>
      <w:r w:rsidRPr="002D1DD7">
        <w:t>: IQWiG scoring criteria</w:t>
      </w:r>
      <w:bookmarkEnd w:id="70"/>
      <w:r w:rsidR="00195E79">
        <w:fldChar w:fldCharType="begin"/>
      </w:r>
      <w:r w:rsidR="00195E79">
        <w:instrText xml:space="preserve"> ADDIN EN.CITE &lt;EndNote&gt;&lt;Cite&gt;&lt;Author&gt;German Institute of Quality and Efficiency in Health Care (IQWiG)&lt;/Author&gt;&lt;Year&gt;2011&lt;/Year&gt;&lt;RecNum&gt;3391&lt;/RecNum&gt;&lt;DisplayText&gt;&lt;style face="superscript"&gt;71&lt;/style&gt;&lt;/DisplayText&gt;&lt;record&gt;&lt;rec-number&gt;3391&lt;/rec-number&gt;&lt;foreign-keys&gt;&lt;key app="EN" db-id="dwaevxvazfs2f3ewvzmxrd0k0wasw55p2z2w" timestamp="1568727866"&gt;3391&lt;/key&gt;&lt;/foreign-keys&gt;&lt;ref-type name="Report"&gt;27&lt;/ref-type&gt;&lt;contributors&gt;&lt;authors&gt;&lt;author&gt;German Institute of Quality and Efficiency in Health Care (IQWiG), &lt;/author&gt;&lt;/authors&gt;&lt;/contributors&gt;&lt;titles&gt;&lt;title&gt;Validity of surrogate endpoints in Oncology&lt;/title&gt;&lt;/titles&gt;&lt;keywords&gt;&lt;keyword&gt;$$background&lt;/keyword&gt;&lt;/keywords&gt;&lt;dates&gt;&lt;year&gt;2011&lt;/year&gt;&lt;/dates&gt;&lt;urls&gt;&lt;/urls&gt;&lt;/record&gt;&lt;/Cite&gt;&lt;/EndNote&gt;</w:instrText>
      </w:r>
      <w:r w:rsidR="00195E79">
        <w:fldChar w:fldCharType="separate"/>
      </w:r>
      <w:r w:rsidR="00195E79" w:rsidRPr="00195E79">
        <w:rPr>
          <w:noProof/>
          <w:vertAlign w:val="superscript"/>
        </w:rPr>
        <w:t>71</w:t>
      </w:r>
      <w:bookmarkEnd w:id="71"/>
      <w:r w:rsidR="00195E79">
        <w:fldChar w:fldCharType="end"/>
      </w:r>
    </w:p>
    <w:tbl>
      <w:tblPr>
        <w:tblW w:w="9062" w:type="dxa"/>
        <w:tblCellMar>
          <w:top w:w="15" w:type="dxa"/>
          <w:left w:w="15" w:type="dxa"/>
          <w:bottom w:w="15" w:type="dxa"/>
          <w:right w:w="15" w:type="dxa"/>
        </w:tblCellMar>
        <w:tblLook w:val="04A0" w:firstRow="1" w:lastRow="0" w:firstColumn="1" w:lastColumn="0" w:noHBand="0" w:noVBand="1"/>
      </w:tblPr>
      <w:tblGrid>
        <w:gridCol w:w="1550"/>
        <w:gridCol w:w="7512"/>
      </w:tblGrid>
      <w:tr w:rsidR="00716DF9" w:rsidRPr="004809F7" w14:paraId="3ACF5133" w14:textId="77777777" w:rsidTr="00716DF9">
        <w:trPr>
          <w:trHeight w:val="20"/>
        </w:trPr>
        <w:tc>
          <w:tcPr>
            <w:tcW w:w="15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18800DF2" w14:textId="77777777" w:rsidR="00716DF9" w:rsidRPr="004809F7" w:rsidRDefault="00716DF9" w:rsidP="004809F7">
            <w:pPr>
              <w:spacing w:after="0" w:line="240" w:lineRule="auto"/>
              <w:contextualSpacing/>
              <w:rPr>
                <w:rFonts w:asciiTheme="majorBidi" w:eastAsia="Times New Roman" w:hAnsiTheme="majorBidi" w:cstheme="majorBidi"/>
                <w:b/>
                <w:sz w:val="20"/>
                <w:szCs w:val="20"/>
                <w:lang w:eastAsia="en-GB"/>
              </w:rPr>
            </w:pPr>
            <w:r w:rsidRPr="004809F7">
              <w:rPr>
                <w:rFonts w:asciiTheme="majorBidi" w:eastAsia="Times New Roman" w:hAnsiTheme="majorBidi" w:cstheme="majorBidi"/>
                <w:b/>
                <w:color w:val="000000"/>
                <w:sz w:val="20"/>
                <w:szCs w:val="20"/>
                <w:lang w:eastAsia="en-GB"/>
              </w:rPr>
              <w:t>IQWiG Score</w:t>
            </w:r>
          </w:p>
        </w:tc>
        <w:tc>
          <w:tcPr>
            <w:tcW w:w="75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3A3B7D0" w14:textId="77777777" w:rsidR="00716DF9" w:rsidRPr="004809F7" w:rsidRDefault="00716DF9" w:rsidP="004809F7">
            <w:pPr>
              <w:spacing w:after="0" w:line="240" w:lineRule="auto"/>
              <w:contextualSpacing/>
              <w:rPr>
                <w:rFonts w:asciiTheme="majorBidi" w:eastAsia="Times New Roman" w:hAnsiTheme="majorBidi" w:cstheme="majorBidi"/>
                <w:b/>
                <w:sz w:val="20"/>
                <w:szCs w:val="20"/>
                <w:lang w:eastAsia="en-GB"/>
              </w:rPr>
            </w:pPr>
            <w:r w:rsidRPr="004809F7">
              <w:rPr>
                <w:rFonts w:asciiTheme="majorBidi" w:eastAsia="Times New Roman" w:hAnsiTheme="majorBidi" w:cstheme="majorBidi"/>
                <w:b/>
                <w:color w:val="000000"/>
                <w:sz w:val="20"/>
                <w:szCs w:val="20"/>
                <w:lang w:eastAsia="en-GB"/>
              </w:rPr>
              <w:t>Criteria (based on r for treatment-effect association)*</w:t>
            </w:r>
          </w:p>
        </w:tc>
      </w:tr>
      <w:tr w:rsidR="00716DF9" w:rsidRPr="004809F7" w14:paraId="23A2D5DF" w14:textId="77777777" w:rsidTr="00716DF9">
        <w:tc>
          <w:tcPr>
            <w:tcW w:w="15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E6AD291" w14:textId="77777777" w:rsidR="00716DF9" w:rsidRPr="004809F7" w:rsidRDefault="00716DF9" w:rsidP="004809F7">
            <w:pPr>
              <w:spacing w:after="0" w:line="240" w:lineRule="auto"/>
              <w:contextualSpacing/>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High</w:t>
            </w:r>
          </w:p>
        </w:tc>
        <w:tc>
          <w:tcPr>
            <w:tcW w:w="75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31CD1A1" w14:textId="77777777" w:rsidR="00716DF9" w:rsidRPr="004809F7" w:rsidRDefault="00716DF9" w:rsidP="004809F7">
            <w:pPr>
              <w:spacing w:after="0" w:line="240" w:lineRule="auto"/>
              <w:contextualSpacing/>
              <w:jc w:val="both"/>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Lower confidence interval of r is ≥ 0.85</w:t>
            </w:r>
          </w:p>
        </w:tc>
      </w:tr>
      <w:tr w:rsidR="00716DF9" w:rsidRPr="004809F7" w14:paraId="66DC60FF" w14:textId="77777777" w:rsidTr="00716DF9">
        <w:tc>
          <w:tcPr>
            <w:tcW w:w="15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8F39152" w14:textId="77777777" w:rsidR="00716DF9" w:rsidRPr="004809F7" w:rsidRDefault="00716DF9" w:rsidP="004809F7">
            <w:pPr>
              <w:spacing w:after="0" w:line="240" w:lineRule="auto"/>
              <w:contextualSpacing/>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lastRenderedPageBreak/>
              <w:t>Medium+</w:t>
            </w:r>
          </w:p>
        </w:tc>
        <w:tc>
          <w:tcPr>
            <w:tcW w:w="75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31AD14D" w14:textId="77777777" w:rsidR="00716DF9" w:rsidRPr="004809F7" w:rsidRDefault="00716DF9" w:rsidP="004809F7">
            <w:pPr>
              <w:spacing w:after="0" w:line="240" w:lineRule="auto"/>
              <w:contextualSpacing/>
              <w:jc w:val="both"/>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 xml:space="preserve">r ≥ 0.85 with no reported confidence interval </w:t>
            </w:r>
            <w:r w:rsidRPr="004809F7">
              <w:rPr>
                <w:rFonts w:asciiTheme="majorBidi" w:eastAsia="Times New Roman" w:hAnsiTheme="majorBidi" w:cstheme="majorBidi"/>
                <w:b/>
                <w:bCs/>
                <w:color w:val="000000"/>
                <w:sz w:val="20"/>
                <w:szCs w:val="20"/>
                <w:lang w:eastAsia="en-GB"/>
              </w:rPr>
              <w:t>or</w:t>
            </w:r>
            <w:r w:rsidRPr="004809F7">
              <w:rPr>
                <w:rFonts w:asciiTheme="majorBidi" w:eastAsia="Times New Roman" w:hAnsiTheme="majorBidi" w:cstheme="majorBidi"/>
                <w:color w:val="000000"/>
                <w:sz w:val="20"/>
                <w:szCs w:val="20"/>
                <w:lang w:eastAsia="en-GB"/>
              </w:rPr>
              <w:t xml:space="preserve"> r ≥ 0.85 with wide confidence intervals (lower limit &lt;0.85) </w:t>
            </w:r>
          </w:p>
        </w:tc>
      </w:tr>
      <w:tr w:rsidR="00716DF9" w:rsidRPr="004809F7" w14:paraId="09B7655B" w14:textId="77777777" w:rsidTr="00716DF9">
        <w:trPr>
          <w:trHeight w:val="18"/>
        </w:trPr>
        <w:tc>
          <w:tcPr>
            <w:tcW w:w="15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F81F160" w14:textId="77777777" w:rsidR="00716DF9" w:rsidRPr="004809F7" w:rsidRDefault="00716DF9" w:rsidP="004809F7">
            <w:pPr>
              <w:spacing w:after="0" w:line="240" w:lineRule="auto"/>
              <w:contextualSpacing/>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Medium</w:t>
            </w:r>
          </w:p>
        </w:tc>
        <w:tc>
          <w:tcPr>
            <w:tcW w:w="75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715C871" w14:textId="77777777" w:rsidR="00716DF9" w:rsidRPr="004809F7" w:rsidRDefault="00716DF9" w:rsidP="004809F7">
            <w:pPr>
              <w:spacing w:after="0" w:line="240" w:lineRule="auto"/>
              <w:contextualSpacing/>
              <w:jc w:val="both"/>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 xml:space="preserve">0.85 &gt; r ≥ 0.7 and upper confidence interval of r is ≥ 0.7 and lower confidence interval of r is &lt; 0.85, </w:t>
            </w:r>
            <w:r w:rsidRPr="004809F7">
              <w:rPr>
                <w:rFonts w:asciiTheme="majorBidi" w:eastAsia="Times New Roman" w:hAnsiTheme="majorBidi" w:cstheme="majorBidi"/>
                <w:b/>
                <w:bCs/>
                <w:color w:val="000000"/>
                <w:sz w:val="20"/>
                <w:szCs w:val="20"/>
                <w:lang w:eastAsia="en-GB"/>
              </w:rPr>
              <w:t>or</w:t>
            </w:r>
            <w:r w:rsidRPr="004809F7">
              <w:rPr>
                <w:rFonts w:asciiTheme="majorBidi" w:eastAsia="Times New Roman" w:hAnsiTheme="majorBidi" w:cstheme="majorBidi"/>
                <w:color w:val="000000"/>
                <w:sz w:val="20"/>
                <w:szCs w:val="20"/>
                <w:lang w:eastAsia="en-GB"/>
              </w:rPr>
              <w:t xml:space="preserve"> 0.85 &gt; r ≥ 0.7 with no reported confidence interval</w:t>
            </w:r>
          </w:p>
        </w:tc>
      </w:tr>
      <w:tr w:rsidR="00716DF9" w:rsidRPr="004809F7" w14:paraId="16F850D4" w14:textId="77777777" w:rsidTr="00716DF9">
        <w:tc>
          <w:tcPr>
            <w:tcW w:w="15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5BB8006A" w14:textId="77777777" w:rsidR="00716DF9" w:rsidRPr="004809F7" w:rsidRDefault="00716DF9" w:rsidP="004809F7">
            <w:pPr>
              <w:spacing w:after="0" w:line="240" w:lineRule="auto"/>
              <w:contextualSpacing/>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Low</w:t>
            </w:r>
          </w:p>
        </w:tc>
        <w:tc>
          <w:tcPr>
            <w:tcW w:w="75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CF4D0BA" w14:textId="77777777" w:rsidR="00716DF9" w:rsidRPr="004809F7" w:rsidRDefault="00716DF9" w:rsidP="004809F7">
            <w:pPr>
              <w:keepNext/>
              <w:spacing w:after="0" w:line="240" w:lineRule="auto"/>
              <w:contextualSpacing/>
              <w:jc w:val="both"/>
              <w:rPr>
                <w:rFonts w:asciiTheme="majorBidi" w:eastAsia="Times New Roman" w:hAnsiTheme="majorBidi" w:cstheme="majorBidi"/>
                <w:sz w:val="20"/>
                <w:szCs w:val="20"/>
                <w:lang w:eastAsia="en-GB"/>
              </w:rPr>
            </w:pPr>
            <w:r w:rsidRPr="004809F7">
              <w:rPr>
                <w:rFonts w:asciiTheme="majorBidi" w:eastAsia="Times New Roman" w:hAnsiTheme="majorBidi" w:cstheme="majorBidi"/>
                <w:color w:val="000000"/>
                <w:sz w:val="20"/>
                <w:szCs w:val="20"/>
                <w:lang w:eastAsia="en-GB"/>
              </w:rPr>
              <w:t xml:space="preserve">Upper confidence interval of r is &lt; 0.7 </w:t>
            </w:r>
            <w:r w:rsidRPr="004809F7">
              <w:rPr>
                <w:rFonts w:asciiTheme="majorBidi" w:eastAsia="Times New Roman" w:hAnsiTheme="majorBidi" w:cstheme="majorBidi"/>
                <w:b/>
                <w:bCs/>
                <w:color w:val="000000"/>
                <w:sz w:val="20"/>
                <w:szCs w:val="20"/>
                <w:lang w:eastAsia="en-GB"/>
              </w:rPr>
              <w:t>or</w:t>
            </w:r>
            <w:r w:rsidRPr="004809F7">
              <w:rPr>
                <w:rFonts w:asciiTheme="majorBidi" w:eastAsia="Times New Roman" w:hAnsiTheme="majorBidi" w:cstheme="majorBidi"/>
                <w:color w:val="000000"/>
                <w:sz w:val="20"/>
                <w:szCs w:val="20"/>
                <w:lang w:eastAsia="en-GB"/>
              </w:rPr>
              <w:t xml:space="preserve"> </w:t>
            </w:r>
            <w:r w:rsidRPr="004809F7">
              <w:rPr>
                <w:rFonts w:asciiTheme="majorBidi" w:hAnsiTheme="majorBidi" w:cstheme="majorBidi"/>
                <w:sz w:val="20"/>
                <w:szCs w:val="20"/>
              </w:rPr>
              <w:t xml:space="preserve">r &lt; 0.7 </w:t>
            </w:r>
            <w:r w:rsidRPr="004809F7">
              <w:rPr>
                <w:rFonts w:asciiTheme="majorBidi" w:eastAsia="Times New Roman" w:hAnsiTheme="majorBidi" w:cstheme="majorBidi"/>
                <w:color w:val="000000"/>
                <w:sz w:val="20"/>
                <w:szCs w:val="20"/>
                <w:lang w:eastAsia="en-GB"/>
              </w:rPr>
              <w:t>with no reported confidence interval</w:t>
            </w:r>
          </w:p>
        </w:tc>
      </w:tr>
      <w:tr w:rsidR="00716DF9" w:rsidRPr="004809F7" w14:paraId="766EB6B9" w14:textId="77777777" w:rsidTr="00716DF9">
        <w:tc>
          <w:tcPr>
            <w:tcW w:w="9062"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41A603" w14:textId="77777777" w:rsidR="00716DF9" w:rsidRPr="004809F7" w:rsidRDefault="00716DF9" w:rsidP="004809F7">
            <w:pPr>
              <w:keepNext/>
              <w:spacing w:after="0" w:line="240" w:lineRule="auto"/>
              <w:contextualSpacing/>
              <w:jc w:val="both"/>
              <w:rPr>
                <w:rFonts w:asciiTheme="majorBidi" w:hAnsiTheme="majorBidi" w:cstheme="majorBidi"/>
                <w:sz w:val="20"/>
                <w:szCs w:val="20"/>
              </w:rPr>
            </w:pPr>
            <w:r w:rsidRPr="004809F7">
              <w:rPr>
                <w:rFonts w:asciiTheme="majorBidi" w:hAnsiTheme="majorBidi" w:cstheme="majorBidi"/>
                <w:sz w:val="20"/>
                <w:szCs w:val="20"/>
              </w:rPr>
              <w:t>Notes:</w:t>
            </w:r>
          </w:p>
          <w:p w14:paraId="248AA87E" w14:textId="719FAB70" w:rsidR="00716DF9" w:rsidRPr="004809F7" w:rsidRDefault="00716DF9" w:rsidP="000E66DE">
            <w:pPr>
              <w:keepNext/>
              <w:spacing w:after="0" w:line="240" w:lineRule="auto"/>
              <w:contextualSpacing/>
              <w:jc w:val="both"/>
              <w:rPr>
                <w:rFonts w:asciiTheme="majorBidi" w:eastAsia="Times New Roman" w:hAnsiTheme="majorBidi" w:cstheme="majorBidi"/>
                <w:color w:val="000000"/>
                <w:sz w:val="20"/>
                <w:szCs w:val="20"/>
                <w:lang w:eastAsia="en-GB"/>
              </w:rPr>
            </w:pPr>
            <w:r w:rsidRPr="004809F7">
              <w:rPr>
                <w:rFonts w:asciiTheme="majorBidi" w:hAnsiTheme="majorBidi" w:cstheme="majorBidi"/>
                <w:sz w:val="20"/>
                <w:szCs w:val="20"/>
              </w:rPr>
              <w:t>*r is defined as any correlation parameter for the treatment-effect association, e.g. Pearson, Spearman, Kendall's Tau. Where no correlation parameter was reported, if a univariate regression was performed and an R</w:t>
            </w:r>
            <w:r w:rsidRPr="004809F7">
              <w:rPr>
                <w:rFonts w:asciiTheme="majorBidi" w:hAnsiTheme="majorBidi" w:cstheme="majorBidi"/>
                <w:sz w:val="20"/>
                <w:szCs w:val="20"/>
                <w:vertAlign w:val="superscript"/>
              </w:rPr>
              <w:t>2</w:t>
            </w:r>
            <w:r w:rsidRPr="004809F7">
              <w:rPr>
                <w:rFonts w:asciiTheme="majorBidi" w:hAnsiTheme="majorBidi" w:cstheme="majorBidi"/>
                <w:sz w:val="20"/>
                <w:szCs w:val="20"/>
              </w:rPr>
              <w:t xml:space="preserve"> value attained, then r (Pearson correlation coefficient) was calculated as the square-root of R</w:t>
            </w:r>
            <w:r w:rsidRPr="004809F7">
              <w:rPr>
                <w:rFonts w:asciiTheme="majorBidi" w:hAnsiTheme="majorBidi" w:cstheme="majorBidi"/>
                <w:sz w:val="20"/>
                <w:szCs w:val="20"/>
                <w:vertAlign w:val="superscript"/>
              </w:rPr>
              <w:t>2</w:t>
            </w:r>
            <w:r w:rsidRPr="004809F7">
              <w:rPr>
                <w:rFonts w:asciiTheme="majorBidi" w:hAnsiTheme="majorBidi" w:cstheme="majorBidi"/>
                <w:sz w:val="20"/>
                <w:szCs w:val="20"/>
              </w:rPr>
              <w:t>. The reported r could be for any treatment effect estimate (hazard ratio, difference in medians, etc.); where more than one was reported, relative estimates (e.g. hazard ratio, odds ratio) were used in preference to difference in medians.</w:t>
            </w:r>
            <w:r w:rsidR="00395013" w:rsidRPr="004809F7">
              <w:rPr>
                <w:rFonts w:asciiTheme="majorBidi" w:hAnsiTheme="majorBidi" w:cstheme="majorBidi"/>
                <w:sz w:val="20"/>
                <w:szCs w:val="20"/>
              </w:rPr>
              <w:t xml:space="preserve"> The Medium+ category was based on the approach used in Savina </w:t>
            </w:r>
            <w:r w:rsidR="00395013" w:rsidRPr="004809F7">
              <w:rPr>
                <w:rFonts w:asciiTheme="majorBidi" w:hAnsiTheme="majorBidi" w:cstheme="majorBidi"/>
                <w:i/>
                <w:iCs/>
                <w:sz w:val="20"/>
                <w:szCs w:val="20"/>
              </w:rPr>
              <w:t>et al</w:t>
            </w:r>
            <w:r w:rsidR="00395013" w:rsidRPr="004809F7">
              <w:rPr>
                <w:rFonts w:asciiTheme="majorBidi" w:hAnsiTheme="majorBidi" w:cstheme="majorBidi"/>
                <w:sz w:val="20"/>
                <w:szCs w:val="20"/>
              </w:rPr>
              <w:t>.</w:t>
            </w:r>
            <w:r w:rsidR="003117A9">
              <w:rPr>
                <w:rFonts w:asciiTheme="majorBidi" w:hAnsiTheme="majorBidi" w:cstheme="majorBidi"/>
                <w:sz w:val="20"/>
                <w:szCs w:val="20"/>
              </w:rPr>
              <w:fldChar w:fldCharType="begin"/>
            </w:r>
            <w:r w:rsidR="000E66DE">
              <w:rPr>
                <w:rFonts w:asciiTheme="majorBidi" w:hAnsiTheme="majorBidi" w:cstheme="majorBidi"/>
                <w:sz w:val="20"/>
                <w:szCs w:val="20"/>
              </w:rPr>
              <w:instrText xml:space="preserve"> ADDIN EN.CITE &lt;EndNote&gt;&lt;Cite&gt;&lt;Author&gt;Savina&lt;/Author&gt;&lt;Year&gt;2018&lt;/Year&gt;&lt;RecNum&gt;2647&lt;/RecNum&gt;&lt;DisplayText&gt;&lt;style face="superscript"&gt;76&lt;/style&gt;&lt;/DisplayText&gt;&lt;record&gt;&lt;rec-number&gt;2647&lt;/rec-number&gt;&lt;foreign-keys&gt;&lt;key app="EN" db-id="dwaevxvazfs2f3ewvzmxrd0k0wasw55p2z2w" timestamp="1557311020"&gt;2647&lt;/key&gt;&lt;/foreign-keys&gt;&lt;ref-type name="Journal Article"&gt;17&lt;/ref-type&gt;&lt;contributors&gt;&lt;authors&gt;&lt;author&gt;Savina, M.&lt;/author&gt;&lt;author&gt;Gourgou, S.&lt;/author&gt;&lt;author&gt;Italiano, A.&lt;/author&gt;&lt;author&gt;Dinart, D.&lt;/author&gt;&lt;author&gt;Rondeau, V.&lt;/author&gt;&lt;author&gt;Penel, N.&lt;/author&gt;&lt;author&gt;Mathoulin-Pelissier, S.&lt;/author&gt;&lt;author&gt;Bellera, C.&lt;/author&gt;&lt;/authors&gt;&lt;/contributors&gt;&lt;titles&gt;&lt;title&gt;Meta-analyses evaluating surrogate endpoints for overall survival in cancer randomized trials: A critical review&lt;/title&gt;&lt;secondary-title&gt;Critical Reviews in Oncology Hematology&lt;/secondary-title&gt;&lt;short-title&gt;Meta-analyses evaluating surrogate endpoints for overall survival in cancer randomized trials: A critical review&lt;/short-title&gt;&lt;/titles&gt;&lt;pages&gt;21-41&lt;/pages&gt;&lt;volume&gt;123&lt;/volume&gt;&lt;keywords&gt;&lt;keyword&gt;$$include abstract PT&lt;/keyword&gt;&lt;keyword&gt;$$background&lt;/keyword&gt;&lt;keyword&gt;$$Citation search&lt;/keyword&gt;&lt;keyword&gt;$$exclude full text PT&lt;/keyword&gt;&lt;keyword&gt;$$secondary publication with no additional data (note which study it relates to)&lt;/keyword&gt;&lt;keyword&gt;$$meta-review&lt;/keyword&gt;&lt;/keywords&gt;&lt;dates&gt;&lt;year&gt;2018&lt;/year&gt;&lt;pub-dates&gt;&lt;date&gt;Mar&lt;/date&gt;&lt;/pub-dates&gt;&lt;/dates&gt;&lt;isbn&gt;1040-8428&lt;/isbn&gt;&lt;accession-num&gt;WOS:000428606400003&lt;/accession-num&gt;&lt;urls&gt;&lt;/urls&gt;&lt;electronic-resource-num&gt;10.1016/j.critrevonc.2017.11.014&lt;/electronic-resource-num&gt;&lt;research-notes&gt;&lt;style face="underline" font="default" size="100%"&gt;&amp;lt;Go to ISI&amp;gt;://WOS:000428606400003&lt;/style&gt;&lt;/research-notes&gt;&lt;/record&gt;&lt;/Cite&gt;&lt;/EndNote&gt;</w:instrText>
            </w:r>
            <w:r w:rsidR="003117A9">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76</w:t>
            </w:r>
            <w:r w:rsidR="003117A9">
              <w:rPr>
                <w:rFonts w:asciiTheme="majorBidi" w:hAnsiTheme="majorBidi" w:cstheme="majorBidi"/>
                <w:sz w:val="20"/>
                <w:szCs w:val="20"/>
              </w:rPr>
              <w:fldChar w:fldCharType="end"/>
            </w:r>
          </w:p>
        </w:tc>
      </w:tr>
    </w:tbl>
    <w:p w14:paraId="1064C5F4" w14:textId="2D6F5912" w:rsidR="00716DF9" w:rsidRDefault="00716DF9" w:rsidP="00716DF9">
      <w:pPr>
        <w:rPr>
          <w:rFonts w:asciiTheme="majorBidi" w:hAnsiTheme="majorBidi" w:cstheme="majorBidi"/>
        </w:rPr>
      </w:pPr>
    </w:p>
    <w:p w14:paraId="3E97849D" w14:textId="56B8E602" w:rsidR="003A7BD0" w:rsidRDefault="000E7A3C">
      <w:pPr>
        <w:rPr>
          <w:rFonts w:asciiTheme="majorBidi" w:hAnsiTheme="majorBidi" w:cstheme="majorBidi"/>
        </w:rPr>
      </w:pPr>
      <w:r w:rsidRPr="002D1DD7">
        <w:t>The BSES2 criteria</w: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 </w:instrTex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EN.CITE.DATA </w:instrText>
      </w:r>
      <w:r w:rsidR="006F7FD7">
        <w:fldChar w:fldCharType="end"/>
      </w:r>
      <w:r w:rsidR="006F7FD7">
        <w:fldChar w:fldCharType="separate"/>
      </w:r>
      <w:r w:rsidR="006F7FD7" w:rsidRPr="006F7FD7">
        <w:rPr>
          <w:noProof/>
          <w:vertAlign w:val="superscript"/>
        </w:rPr>
        <w:t>72</w:t>
      </w:r>
      <w:r w:rsidR="006F7FD7">
        <w:fldChar w:fldCharType="end"/>
      </w:r>
      <w:r w:rsidRPr="002D1DD7">
        <w:t xml:space="preserve"> (</w:t>
      </w:r>
      <w:r w:rsidRPr="002D1DD7">
        <w:fldChar w:fldCharType="begin"/>
      </w:r>
      <w:r w:rsidRPr="002D1DD7">
        <w:instrText xml:space="preserve"> REF _Ref13510290 \h  \* MERGEFORMAT </w:instrText>
      </w:r>
      <w:r w:rsidRPr="002D1DD7">
        <w:fldChar w:fldCharType="separate"/>
      </w:r>
      <w:r w:rsidR="00C663A2" w:rsidRPr="002D1DD7">
        <w:t xml:space="preserve">Table </w:t>
      </w:r>
      <w:r w:rsidR="00C663A2">
        <w:t>3</w:t>
      </w:r>
      <w:r w:rsidRPr="002D1DD7">
        <w:fldChar w:fldCharType="end"/>
      </w:r>
      <w:r w:rsidRPr="002D1DD7">
        <w:t>) require R</w:t>
      </w:r>
      <w:r w:rsidRPr="002D1DD7">
        <w:rPr>
          <w:vertAlign w:val="superscript"/>
        </w:rPr>
        <w:t>2</w:t>
      </w:r>
      <w:r w:rsidRPr="002D1DD7">
        <w:t xml:space="preserve"> values for both the individual and treatment effect associations. </w:t>
      </w:r>
      <w:r w:rsidRPr="002D1DD7">
        <w:rPr>
          <w:rFonts w:eastAsia="Times New Roman"/>
          <w:lang w:eastAsia="en-GB"/>
        </w:rPr>
        <w:t xml:space="preserve">Where </w:t>
      </w:r>
      <w:r w:rsidRPr="002D1DD7">
        <w:t>R</w:t>
      </w:r>
      <w:r w:rsidRPr="002D1DD7">
        <w:rPr>
          <w:vertAlign w:val="superscript"/>
        </w:rPr>
        <w:t>2</w:t>
      </w:r>
      <w:r w:rsidRPr="002D1DD7">
        <w:rPr>
          <w:rFonts w:eastAsia="Times New Roman"/>
          <w:lang w:eastAsia="en-GB"/>
        </w:rPr>
        <w:t xml:space="preserve"> was not reported, it was calculated as the square of r, if available. BSES2 criteria w</w:t>
      </w:r>
      <w:r w:rsidRPr="002D1DD7">
        <w:t xml:space="preserve">ere used as an adaptation from the original BSES criteria, as described in Savina </w:t>
      </w:r>
      <w:r w:rsidRPr="002D1DD7">
        <w:rPr>
          <w:i/>
          <w:iCs/>
        </w:rPr>
        <w:t>et al</w:t>
      </w:r>
      <w:r w:rsidRPr="002D1DD7">
        <w:t>. (2018).</w:t>
      </w:r>
      <w:r w:rsidR="003117A9">
        <w:fldChar w:fldCharType="begin"/>
      </w:r>
      <w:r w:rsidR="000E66DE">
        <w:instrText xml:space="preserve"> ADDIN EN.CITE &lt;EndNote&gt;&lt;Cite&gt;&lt;Author&gt;Savina&lt;/Author&gt;&lt;Year&gt;2018&lt;/Year&gt;&lt;RecNum&gt;2647&lt;/RecNum&gt;&lt;DisplayText&gt;&lt;style face="superscript"&gt;76&lt;/style&gt;&lt;/DisplayText&gt;&lt;record&gt;&lt;rec-number&gt;2647&lt;/rec-number&gt;&lt;foreign-keys&gt;&lt;key app="EN" db-id="dwaevxvazfs2f3ewvzmxrd0k0wasw55p2z2w" timestamp="1557311020"&gt;2647&lt;/key&gt;&lt;/foreign-keys&gt;&lt;ref-type name="Journal Article"&gt;17&lt;/ref-type&gt;&lt;contributors&gt;&lt;authors&gt;&lt;author&gt;Savina, M.&lt;/author&gt;&lt;author&gt;Gourgou, S.&lt;/author&gt;&lt;author&gt;Italiano, A.&lt;/author&gt;&lt;author&gt;Dinart, D.&lt;/author&gt;&lt;author&gt;Rondeau, V.&lt;/author&gt;&lt;author&gt;Penel, N.&lt;/author&gt;&lt;author&gt;Mathoulin-Pelissier, S.&lt;/author&gt;&lt;author&gt;Bellera, C.&lt;/author&gt;&lt;/authors&gt;&lt;/contributors&gt;&lt;titles&gt;&lt;title&gt;Meta-analyses evaluating surrogate endpoints for overall survival in cancer randomized trials: A critical review&lt;/title&gt;&lt;secondary-title&gt;Critical Reviews in Oncology Hematology&lt;/secondary-title&gt;&lt;short-title&gt;Meta-analyses evaluating surrogate endpoints for overall survival in cancer randomized trials: A critical review&lt;/short-title&gt;&lt;/titles&gt;&lt;pages&gt;21-41&lt;/pages&gt;&lt;volume&gt;123&lt;/volume&gt;&lt;keywords&gt;&lt;keyword&gt;$$include abstract PT&lt;/keyword&gt;&lt;keyword&gt;$$background&lt;/keyword&gt;&lt;keyword&gt;$$Citation search&lt;/keyword&gt;&lt;keyword&gt;$$exclude full text PT&lt;/keyword&gt;&lt;keyword&gt;$$secondary publication with no additional data (note which study it relates to)&lt;/keyword&gt;&lt;keyword&gt;$$meta-review&lt;/keyword&gt;&lt;/keywords&gt;&lt;dates&gt;&lt;year&gt;2018&lt;/year&gt;&lt;pub-dates&gt;&lt;date&gt;Mar&lt;/date&gt;&lt;/pub-dates&gt;&lt;/dates&gt;&lt;isbn&gt;1040-8428&lt;/isbn&gt;&lt;accession-num&gt;WOS:000428606400003&lt;/accession-num&gt;&lt;urls&gt;&lt;/urls&gt;&lt;electronic-resource-num&gt;10.1016/j.critrevonc.2017.11.014&lt;/electronic-resource-num&gt;&lt;research-notes&gt;&lt;style face="underline" font="default" size="100%"&gt;&amp;lt;Go to ISI&amp;gt;://WOS:000428606400003&lt;/style&gt;&lt;/research-notes&gt;&lt;/record&gt;&lt;/Cite&gt;&lt;/EndNote&gt;</w:instrText>
      </w:r>
      <w:r w:rsidR="003117A9">
        <w:fldChar w:fldCharType="separate"/>
      </w:r>
      <w:r w:rsidR="003117A9" w:rsidRPr="003117A9">
        <w:rPr>
          <w:noProof/>
          <w:vertAlign w:val="superscript"/>
        </w:rPr>
        <w:t>76</w:t>
      </w:r>
      <w:r w:rsidR="003117A9">
        <w:fldChar w:fldCharType="end"/>
      </w:r>
      <w:r w:rsidRPr="002D1DD7">
        <w:t xml:space="preserve"> The original BSES criteria require R</w:t>
      </w:r>
      <w:r w:rsidRPr="002D1DD7">
        <w:rPr>
          <w:vertAlign w:val="superscript"/>
        </w:rPr>
        <w:t>2</w:t>
      </w:r>
      <w:r w:rsidRPr="002D1DD7">
        <w:t xml:space="preserve"> for both individual and treatment effect associations </w:t>
      </w:r>
      <w:r w:rsidRPr="002D1DD7">
        <w:rPr>
          <w:u w:val="single"/>
        </w:rPr>
        <w:t>and</w:t>
      </w:r>
      <w:r w:rsidRPr="002D1DD7">
        <w:t xml:space="preserve"> a value for the STE. Since so few articles report STE, this review used BSES2, which does not require the STE.</w:t>
      </w:r>
    </w:p>
    <w:p w14:paraId="050AE71A" w14:textId="227E3EB4" w:rsidR="00716DF9" w:rsidRPr="002D1DD7" w:rsidRDefault="00716DF9" w:rsidP="004809F7">
      <w:pPr>
        <w:pStyle w:val="Caption"/>
      </w:pPr>
      <w:bookmarkStart w:id="72" w:name="_Ref13510290"/>
      <w:bookmarkStart w:id="73" w:name="_Toc13832973"/>
      <w:bookmarkStart w:id="74" w:name="_Toc34033517"/>
      <w:r w:rsidRPr="002D1DD7">
        <w:t xml:space="preserve">Table </w:t>
      </w:r>
      <w:r w:rsidR="00C974E5">
        <w:fldChar w:fldCharType="begin"/>
      </w:r>
      <w:r w:rsidR="00C974E5">
        <w:instrText xml:space="preserve"> SEQ Table \* ARABIC </w:instrText>
      </w:r>
      <w:r w:rsidR="00C974E5">
        <w:fldChar w:fldCharType="separate"/>
      </w:r>
      <w:r w:rsidR="00C663A2">
        <w:rPr>
          <w:noProof/>
        </w:rPr>
        <w:t>3</w:t>
      </w:r>
      <w:r w:rsidR="00C974E5">
        <w:rPr>
          <w:noProof/>
        </w:rPr>
        <w:fldChar w:fldCharType="end"/>
      </w:r>
      <w:bookmarkEnd w:id="72"/>
      <w:r w:rsidRPr="002D1DD7">
        <w:t>: BSES2 scoring criteria</w:t>
      </w:r>
      <w:bookmarkEnd w:id="73"/>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 </w:instrText>
      </w:r>
      <w:r w:rsidR="006F7FD7">
        <w:fldChar w:fldCharType="begin">
          <w:fldData xml:space="preserve">PEVuZE5vdGU+PENpdGU+PEF1dGhvcj5MYXNzZXJlPC9BdXRob3I+PFllYXI+MjAxMjwvWWVhcj48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</w:fldData>
        </w:fldChar>
      </w:r>
      <w:r w:rsidR="006F7FD7">
        <w:instrText xml:space="preserve"> ADDIN EN.CITE.DATA </w:instrText>
      </w:r>
      <w:r w:rsidR="006F7FD7">
        <w:fldChar w:fldCharType="end"/>
      </w:r>
      <w:r w:rsidR="006F7FD7">
        <w:fldChar w:fldCharType="separate"/>
      </w:r>
      <w:r w:rsidR="006F7FD7" w:rsidRPr="006F7FD7">
        <w:rPr>
          <w:noProof/>
          <w:vertAlign w:val="superscript"/>
        </w:rPr>
        <w:t>72</w:t>
      </w:r>
      <w:bookmarkEnd w:id="74"/>
      <w:r w:rsidR="006F7FD7">
        <w:fldChar w:fldCharType="end"/>
      </w:r>
    </w:p>
    <w:tbl>
      <w:tblPr>
        <w:tblW w:w="9062" w:type="dxa"/>
        <w:tblCellMar>
          <w:top w:w="15" w:type="dxa"/>
          <w:left w:w="15" w:type="dxa"/>
          <w:bottom w:w="15" w:type="dxa"/>
          <w:right w:w="15" w:type="dxa"/>
        </w:tblCellMar>
        <w:tblLook w:val="04A0" w:firstRow="1" w:lastRow="0" w:firstColumn="1" w:lastColumn="0" w:noHBand="0" w:noVBand="1"/>
      </w:tblPr>
      <w:tblGrid>
        <w:gridCol w:w="1310"/>
        <w:gridCol w:w="7752"/>
      </w:tblGrid>
      <w:tr w:rsidR="00716DF9" w:rsidRPr="002D1DD7" w14:paraId="0D2805DA" w14:textId="77777777" w:rsidTr="00716DF9">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E509289" w14:textId="77777777" w:rsidR="00716DF9" w:rsidRPr="002D1DD7" w:rsidRDefault="00716DF9" w:rsidP="00716DF9">
            <w:pPr>
              <w:spacing w:after="0" w:line="240" w:lineRule="auto"/>
              <w:rPr>
                <w:rFonts w:asciiTheme="majorBidi" w:hAnsiTheme="majorBidi" w:cstheme="majorBidi"/>
                <w:b/>
              </w:rPr>
            </w:pPr>
            <w:r w:rsidRPr="002D1DD7">
              <w:rPr>
                <w:rFonts w:asciiTheme="majorBidi" w:hAnsiTheme="majorBidi" w:cstheme="majorBidi"/>
                <w:b/>
              </w:rPr>
              <w:t>BSES2 score</w:t>
            </w:r>
          </w:p>
        </w:tc>
        <w:tc>
          <w:tcPr>
            <w:tcW w:w="77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44124D30" w14:textId="77777777" w:rsidR="00716DF9" w:rsidRPr="002D1DD7" w:rsidRDefault="00716DF9" w:rsidP="00716DF9">
            <w:pPr>
              <w:spacing w:after="0" w:line="240" w:lineRule="auto"/>
              <w:rPr>
                <w:rFonts w:asciiTheme="majorBidi" w:hAnsiTheme="majorBidi" w:cstheme="majorBidi"/>
                <w:b/>
              </w:rPr>
            </w:pPr>
            <w:r w:rsidRPr="002D1DD7">
              <w:rPr>
                <w:rFonts w:asciiTheme="majorBidi" w:hAnsiTheme="majorBidi" w:cstheme="majorBidi"/>
                <w:b/>
              </w:rPr>
              <w:t>Criteria (based on R</w:t>
            </w:r>
            <w:r w:rsidRPr="002D1DD7">
              <w:rPr>
                <w:rFonts w:asciiTheme="majorBidi" w:hAnsiTheme="majorBidi" w:cstheme="majorBidi"/>
                <w:b/>
                <w:vertAlign w:val="superscript"/>
              </w:rPr>
              <w:t>2</w:t>
            </w:r>
            <w:r w:rsidRPr="002D1DD7">
              <w:rPr>
                <w:rFonts w:asciiTheme="majorBidi" w:hAnsiTheme="majorBidi" w:cstheme="majorBidi"/>
                <w:b/>
              </w:rPr>
              <w:t xml:space="preserve"> for both treatment effect and individual-level associations)*</w:t>
            </w:r>
          </w:p>
        </w:tc>
      </w:tr>
      <w:tr w:rsidR="00716DF9" w:rsidRPr="002D1DD7" w14:paraId="7B145D3E" w14:textId="77777777" w:rsidTr="00716DF9">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537546C0"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Excellent</w:t>
            </w:r>
          </w:p>
        </w:tc>
        <w:tc>
          <w:tcPr>
            <w:tcW w:w="77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55280353"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R</w:t>
            </w:r>
            <w:r w:rsidRPr="002D1DD7">
              <w:rPr>
                <w:rFonts w:asciiTheme="majorBidi" w:hAnsiTheme="majorBidi" w:cstheme="majorBidi"/>
                <w:vertAlign w:val="superscript"/>
              </w:rPr>
              <w:t>2</w:t>
            </w:r>
            <w:r w:rsidRPr="002D1DD7">
              <w:rPr>
                <w:rFonts w:asciiTheme="majorBidi" w:hAnsiTheme="majorBidi" w:cstheme="majorBidi"/>
              </w:rPr>
              <w:t xml:space="preserve"> (treatment effect) ≥ 0.6 and R</w:t>
            </w:r>
            <w:r w:rsidRPr="002D1DD7">
              <w:rPr>
                <w:rFonts w:asciiTheme="majorBidi" w:hAnsiTheme="majorBidi" w:cstheme="majorBidi"/>
                <w:vertAlign w:val="superscript"/>
              </w:rPr>
              <w:t>2</w:t>
            </w:r>
            <w:r w:rsidRPr="002D1DD7">
              <w:rPr>
                <w:rFonts w:asciiTheme="majorBidi" w:hAnsiTheme="majorBidi" w:cstheme="majorBidi"/>
              </w:rPr>
              <w:t xml:space="preserve"> (</w:t>
            </w:r>
            <w:r w:rsidRPr="002D1DD7">
              <w:rPr>
                <w:rFonts w:asciiTheme="majorBidi" w:hAnsiTheme="majorBidi" w:cstheme="majorBidi"/>
                <w:bCs/>
              </w:rPr>
              <w:t>absolute</w:t>
            </w:r>
            <w:r w:rsidRPr="002D1DD7">
              <w:rPr>
                <w:rFonts w:asciiTheme="majorBidi" w:hAnsiTheme="majorBidi" w:cstheme="majorBidi"/>
              </w:rPr>
              <w:t>) ≥ 0.6</w:t>
            </w:r>
          </w:p>
        </w:tc>
      </w:tr>
      <w:tr w:rsidR="00716DF9" w:rsidRPr="002D1DD7" w14:paraId="5DCBE66C" w14:textId="77777777" w:rsidTr="00716DF9">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574A0869"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Good</w:t>
            </w:r>
          </w:p>
        </w:tc>
        <w:tc>
          <w:tcPr>
            <w:tcW w:w="77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4E318BC5"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R</w:t>
            </w:r>
            <w:r w:rsidRPr="002D1DD7">
              <w:rPr>
                <w:rFonts w:asciiTheme="majorBidi" w:hAnsiTheme="majorBidi" w:cstheme="majorBidi"/>
                <w:vertAlign w:val="superscript"/>
              </w:rPr>
              <w:t>2</w:t>
            </w:r>
            <w:r w:rsidRPr="002D1DD7">
              <w:rPr>
                <w:rFonts w:asciiTheme="majorBidi" w:hAnsiTheme="majorBidi" w:cstheme="majorBidi"/>
              </w:rPr>
              <w:t xml:space="preserve"> (treatment effect) ≥ 0.4 and R</w:t>
            </w:r>
            <w:r w:rsidRPr="002D1DD7">
              <w:rPr>
                <w:rFonts w:asciiTheme="majorBidi" w:hAnsiTheme="majorBidi" w:cstheme="majorBidi"/>
                <w:vertAlign w:val="superscript"/>
              </w:rPr>
              <w:t>2</w:t>
            </w:r>
            <w:r w:rsidRPr="002D1DD7">
              <w:rPr>
                <w:rFonts w:asciiTheme="majorBidi" w:hAnsiTheme="majorBidi" w:cstheme="majorBidi"/>
              </w:rPr>
              <w:t xml:space="preserve"> (</w:t>
            </w:r>
            <w:r w:rsidRPr="002D1DD7">
              <w:rPr>
                <w:rFonts w:asciiTheme="majorBidi" w:hAnsiTheme="majorBidi" w:cstheme="majorBidi"/>
                <w:bCs/>
              </w:rPr>
              <w:t>absolute</w:t>
            </w:r>
            <w:r w:rsidRPr="002D1DD7">
              <w:rPr>
                <w:rFonts w:asciiTheme="majorBidi" w:hAnsiTheme="majorBidi" w:cstheme="majorBidi"/>
              </w:rPr>
              <w:t>) ≥ 0.4</w:t>
            </w:r>
          </w:p>
        </w:tc>
      </w:tr>
      <w:tr w:rsidR="00716DF9" w:rsidRPr="002D1DD7" w14:paraId="01875955" w14:textId="77777777" w:rsidTr="00716DF9">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2539F9D"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Fair</w:t>
            </w:r>
          </w:p>
        </w:tc>
        <w:tc>
          <w:tcPr>
            <w:tcW w:w="77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D1F36D6"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R</w:t>
            </w:r>
            <w:r w:rsidRPr="002D1DD7">
              <w:rPr>
                <w:rFonts w:asciiTheme="majorBidi" w:hAnsiTheme="majorBidi" w:cstheme="majorBidi"/>
                <w:vertAlign w:val="superscript"/>
              </w:rPr>
              <w:t>2</w:t>
            </w:r>
            <w:r w:rsidRPr="002D1DD7">
              <w:rPr>
                <w:rFonts w:asciiTheme="majorBidi" w:hAnsiTheme="majorBidi" w:cstheme="majorBidi"/>
              </w:rPr>
              <w:t xml:space="preserve"> (treatment effect) ≥ 0.2 and R</w:t>
            </w:r>
            <w:r w:rsidRPr="002D1DD7">
              <w:rPr>
                <w:rFonts w:asciiTheme="majorBidi" w:hAnsiTheme="majorBidi" w:cstheme="majorBidi"/>
                <w:vertAlign w:val="superscript"/>
              </w:rPr>
              <w:t>2</w:t>
            </w:r>
            <w:r w:rsidRPr="002D1DD7">
              <w:rPr>
                <w:rFonts w:asciiTheme="majorBidi" w:hAnsiTheme="majorBidi" w:cstheme="majorBidi"/>
              </w:rPr>
              <w:t xml:space="preserve"> (</w:t>
            </w:r>
            <w:r w:rsidRPr="002D1DD7">
              <w:rPr>
                <w:rFonts w:asciiTheme="majorBidi" w:hAnsiTheme="majorBidi" w:cstheme="majorBidi"/>
                <w:bCs/>
              </w:rPr>
              <w:t>absolute</w:t>
            </w:r>
            <w:r w:rsidRPr="002D1DD7">
              <w:rPr>
                <w:rFonts w:asciiTheme="majorBidi" w:hAnsiTheme="majorBidi" w:cstheme="majorBidi"/>
              </w:rPr>
              <w:t>) ≥ 0.2</w:t>
            </w:r>
          </w:p>
        </w:tc>
      </w:tr>
      <w:tr w:rsidR="00716DF9" w:rsidRPr="002D1DD7" w14:paraId="57249C64" w14:textId="77777777" w:rsidTr="00716DF9">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407ABE16"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Poor</w:t>
            </w:r>
          </w:p>
        </w:tc>
        <w:tc>
          <w:tcPr>
            <w:tcW w:w="77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FDB3247" w14:textId="77777777" w:rsidR="00716DF9" w:rsidRPr="002D1DD7" w:rsidRDefault="00716DF9" w:rsidP="00716DF9">
            <w:pPr>
              <w:spacing w:after="0" w:line="240" w:lineRule="auto"/>
              <w:rPr>
                <w:rFonts w:asciiTheme="majorBidi" w:hAnsiTheme="majorBidi" w:cstheme="majorBidi"/>
              </w:rPr>
            </w:pPr>
            <w:r w:rsidRPr="002D1DD7">
              <w:rPr>
                <w:rFonts w:asciiTheme="majorBidi" w:hAnsiTheme="majorBidi" w:cstheme="majorBidi"/>
              </w:rPr>
              <w:t>R</w:t>
            </w:r>
            <w:r w:rsidRPr="002D1DD7">
              <w:rPr>
                <w:rFonts w:asciiTheme="majorBidi" w:hAnsiTheme="majorBidi" w:cstheme="majorBidi"/>
                <w:vertAlign w:val="superscript"/>
              </w:rPr>
              <w:t>2</w:t>
            </w:r>
            <w:r w:rsidRPr="002D1DD7">
              <w:rPr>
                <w:rFonts w:asciiTheme="majorBidi" w:hAnsiTheme="majorBidi" w:cstheme="majorBidi"/>
              </w:rPr>
              <w:t xml:space="preserve"> (treatment effect) &lt; 0.2 and/or R</w:t>
            </w:r>
            <w:r w:rsidRPr="002D1DD7">
              <w:rPr>
                <w:rFonts w:asciiTheme="majorBidi" w:hAnsiTheme="majorBidi" w:cstheme="majorBidi"/>
                <w:vertAlign w:val="superscript"/>
              </w:rPr>
              <w:t>2</w:t>
            </w:r>
            <w:r w:rsidRPr="002D1DD7">
              <w:rPr>
                <w:rFonts w:asciiTheme="majorBidi" w:hAnsiTheme="majorBidi" w:cstheme="majorBidi"/>
              </w:rPr>
              <w:t xml:space="preserve"> (</w:t>
            </w:r>
            <w:r w:rsidRPr="002D1DD7">
              <w:rPr>
                <w:rFonts w:asciiTheme="majorBidi" w:hAnsiTheme="majorBidi" w:cstheme="majorBidi"/>
                <w:bCs/>
              </w:rPr>
              <w:t>absolute</w:t>
            </w:r>
            <w:r w:rsidRPr="002D1DD7">
              <w:rPr>
                <w:rFonts w:asciiTheme="majorBidi" w:hAnsiTheme="majorBidi" w:cstheme="majorBidi"/>
              </w:rPr>
              <w:t>) &lt; 0.2</w:t>
            </w:r>
          </w:p>
        </w:tc>
      </w:tr>
      <w:tr w:rsidR="00716DF9" w:rsidRPr="002D1DD7" w14:paraId="00AA135A" w14:textId="77777777" w:rsidTr="00716DF9">
        <w:tc>
          <w:tcPr>
            <w:tcW w:w="9062"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29096EC" w14:textId="77777777" w:rsidR="00716DF9" w:rsidRPr="002D1DD7" w:rsidRDefault="00716DF9" w:rsidP="00716DF9">
            <w:pPr>
              <w:spacing w:after="0" w:line="240" w:lineRule="auto"/>
              <w:rPr>
                <w:rFonts w:asciiTheme="majorBidi" w:hAnsiTheme="majorBidi" w:cstheme="majorBidi"/>
                <w:sz w:val="20"/>
                <w:szCs w:val="20"/>
              </w:rPr>
            </w:pPr>
            <w:r w:rsidRPr="002D1DD7">
              <w:rPr>
                <w:rFonts w:asciiTheme="majorBidi" w:hAnsiTheme="majorBidi" w:cstheme="majorBidi"/>
                <w:sz w:val="20"/>
                <w:szCs w:val="20"/>
              </w:rPr>
              <w:t>Notes:</w:t>
            </w:r>
          </w:p>
          <w:p w14:paraId="6FFAB978" w14:textId="77777777" w:rsidR="00716DF9" w:rsidRPr="002D1DD7" w:rsidRDefault="00716DF9" w:rsidP="00716DF9">
            <w:pPr>
              <w:spacing w:after="0" w:line="240" w:lineRule="auto"/>
              <w:rPr>
                <w:rFonts w:asciiTheme="majorBidi" w:hAnsiTheme="majorBidi" w:cstheme="majorBidi"/>
                <w:sz w:val="20"/>
                <w:szCs w:val="20"/>
              </w:rPr>
            </w:pPr>
            <w:r w:rsidRPr="002D1DD7">
              <w:rPr>
                <w:rFonts w:asciiTheme="majorBidi" w:hAnsiTheme="majorBidi" w:cstheme="majorBidi"/>
                <w:sz w:val="20"/>
                <w:szCs w:val="20"/>
              </w:rPr>
              <w:t>* R</w:t>
            </w:r>
            <w:r w:rsidRPr="002D1DD7">
              <w:rPr>
                <w:rFonts w:asciiTheme="majorBidi" w:hAnsiTheme="majorBidi" w:cstheme="majorBidi"/>
                <w:sz w:val="20"/>
                <w:szCs w:val="20"/>
                <w:vertAlign w:val="superscript"/>
              </w:rPr>
              <w:t>2</w:t>
            </w:r>
            <w:r w:rsidRPr="002D1DD7">
              <w:rPr>
                <w:rFonts w:asciiTheme="majorBidi" w:hAnsiTheme="majorBidi" w:cstheme="majorBidi"/>
                <w:sz w:val="20"/>
                <w:szCs w:val="20"/>
              </w:rPr>
              <w:t xml:space="preserve"> is the coefficient of determination for a regression analysis. Where R</w:t>
            </w:r>
            <w:r w:rsidRPr="002D1DD7">
              <w:rPr>
                <w:rFonts w:asciiTheme="majorBidi" w:hAnsiTheme="majorBidi" w:cstheme="majorBidi"/>
                <w:sz w:val="20"/>
                <w:szCs w:val="20"/>
                <w:vertAlign w:val="superscript"/>
              </w:rPr>
              <w:t>2</w:t>
            </w:r>
            <w:r w:rsidRPr="002D1DD7">
              <w:rPr>
                <w:rFonts w:asciiTheme="majorBidi" w:hAnsiTheme="majorBidi" w:cstheme="majorBidi"/>
                <w:sz w:val="20"/>
                <w:szCs w:val="20"/>
              </w:rPr>
              <w:t xml:space="preserve"> was not reported, it was calculated as the square of the Pearson correlation coefficient (r), if available. The reported R</w:t>
            </w:r>
            <w:r w:rsidRPr="002D1DD7">
              <w:rPr>
                <w:rFonts w:asciiTheme="majorBidi" w:hAnsiTheme="majorBidi" w:cstheme="majorBidi"/>
                <w:sz w:val="20"/>
                <w:szCs w:val="20"/>
                <w:vertAlign w:val="superscript"/>
              </w:rPr>
              <w:t>2</w:t>
            </w:r>
            <w:r w:rsidRPr="002D1DD7">
              <w:rPr>
                <w:rFonts w:asciiTheme="majorBidi" w:hAnsiTheme="majorBidi" w:cstheme="majorBidi"/>
                <w:sz w:val="20"/>
                <w:szCs w:val="20"/>
              </w:rPr>
              <w:t xml:space="preserve"> could be for any treatment effect estimate (hazard ratio, difference in medians, etc.); where more than one was reported, relative estimates (e.g. hazard ratio, odds ratio) were used in preference to difference in medians.</w:t>
            </w:r>
          </w:p>
        </w:tc>
      </w:tr>
    </w:tbl>
    <w:p w14:paraId="17B526C2" w14:textId="77777777" w:rsidR="00716DF9" w:rsidRPr="002D1DD7" w:rsidRDefault="00716DF9" w:rsidP="00716DF9">
      <w:pPr>
        <w:jc w:val="both"/>
        <w:rPr>
          <w:rFonts w:asciiTheme="majorBidi" w:hAnsiTheme="majorBidi" w:cstheme="majorBidi"/>
        </w:rPr>
      </w:pPr>
    </w:p>
    <w:p w14:paraId="64294F2E" w14:textId="77777777" w:rsidR="00716DF9" w:rsidRPr="002D1DD7" w:rsidRDefault="00716DF9" w:rsidP="00EC11CD">
      <w:pPr>
        <w:pStyle w:val="Heading2"/>
      </w:pPr>
      <w:bookmarkStart w:id="75" w:name="_Toc33776174"/>
      <w:r w:rsidRPr="002D1DD7">
        <w:t>Results</w:t>
      </w:r>
      <w:bookmarkEnd w:id="75"/>
    </w:p>
    <w:p w14:paraId="1FCF75C9" w14:textId="77777777" w:rsidR="00716DF9" w:rsidRPr="002D1DD7" w:rsidRDefault="00716DF9" w:rsidP="00223273">
      <w:pPr>
        <w:pStyle w:val="Heading3"/>
      </w:pPr>
      <w:bookmarkStart w:id="76" w:name="_Toc13832951"/>
      <w:bookmarkStart w:id="77" w:name="_Toc33776175"/>
      <w:r w:rsidRPr="002D1DD7">
        <w:t>Number of included studies</w:t>
      </w:r>
      <w:bookmarkEnd w:id="76"/>
      <w:bookmarkEnd w:id="77"/>
    </w:p>
    <w:p w14:paraId="74E6688C" w14:textId="09F55127" w:rsidR="00716DF9" w:rsidRPr="002D1DD7" w:rsidRDefault="00716DF9" w:rsidP="003D4532">
      <w:pPr>
        <w:rPr>
          <w:lang w:eastAsia="en-GB"/>
        </w:rPr>
      </w:pPr>
      <w:r w:rsidRPr="002D1DD7">
        <w:rPr>
          <w:lang w:eastAsia="en-GB"/>
        </w:rPr>
        <w:t xml:space="preserve">The literature search generated </w:t>
      </w:r>
      <w:r w:rsidRPr="002D1DD7">
        <w:t xml:space="preserve">2,829 </w:t>
      </w:r>
      <w:r w:rsidRPr="002D1DD7">
        <w:rPr>
          <w:lang w:eastAsia="en-GB"/>
        </w:rPr>
        <w:t>citations (</w:t>
      </w:r>
      <w:r w:rsidRPr="002D1DD7">
        <w:rPr>
          <w:lang w:eastAsia="en-GB"/>
        </w:rPr>
        <w:fldChar w:fldCharType="begin"/>
      </w:r>
      <w:r w:rsidRPr="002D1DD7">
        <w:rPr>
          <w:lang w:eastAsia="en-GB"/>
        </w:rPr>
        <w:instrText xml:space="preserve"> REF _Ref13510384 \h  \* MERGEFORMAT </w:instrText>
      </w:r>
      <w:r w:rsidRPr="002D1DD7">
        <w:rPr>
          <w:lang w:eastAsia="en-GB"/>
        </w:rPr>
      </w:r>
      <w:r w:rsidRPr="002D1DD7">
        <w:rPr>
          <w:lang w:eastAsia="en-GB"/>
        </w:rPr>
        <w:fldChar w:fldCharType="separate"/>
      </w:r>
      <w:r w:rsidR="00C663A2" w:rsidRPr="002D1DD7">
        <w:t xml:space="preserve">Figure </w:t>
      </w:r>
      <w:r w:rsidR="00C663A2">
        <w:t>1</w:t>
      </w:r>
      <w:r w:rsidRPr="002D1DD7">
        <w:rPr>
          <w:lang w:eastAsia="en-GB"/>
        </w:rPr>
        <w:fldChar w:fldCharType="end"/>
      </w:r>
      <w:r w:rsidRPr="002D1DD7">
        <w:rPr>
          <w:lang w:eastAsia="en-GB"/>
        </w:rPr>
        <w:t xml:space="preserve">), of which 2,630 were excluded during the review of titles and abstracts. </w:t>
      </w:r>
      <w:r w:rsidR="00A579CA" w:rsidRPr="002D1DD7">
        <w:rPr>
          <w:lang w:eastAsia="en-GB"/>
        </w:rPr>
        <w:t>In total, 64 references to 63 studies were included in the review.</w:t>
      </w:r>
      <w:r w:rsidR="00A579CA" w:rsidRPr="002D1DD7">
        <w:rPr>
          <w:lang w:eastAsia="en-GB"/>
        </w:rPr>
        <w:fldChar w:fldCharType="begin">
          <w:fldData xml:space="preserve">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IG9mIFRleGFzIE1EIEFuZGVyc29uIENhbmNlciBDZW50ZXIsIEhvdXN0b24sIFRYLjwvYXV0aC1h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V1M9TiZhbXA7UEFHRT1mdWxsdGV4dCZhbXA7RD1tZWQxMCZhbXA7QU49MjM3MzY3NDI8L3N0eWxl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LzQ0U0ZELzQ0U0ZEX3NlcnZpY2VzX3BhZ2U/c2lkPU9WSUQ6bWVkbGluZSZhbXA7aWQ9cG1pZDoy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ZGxpbmUmYW1wO2lkPXBtaWQ6MjgzOTU4OTYmYW1wO2lkPWRvaToxMC4xMDE2JTJGai55Z3luby4y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bXA7TkVXUz1OJmFtcDtQQUdFPWZ1bGx0ZXh0JmFtcDtEPW1lZDkmYW1wO0FOPTIzMzAzMjE0PC9z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aWQ6MjMzMDMyMTQmYW1wO2lkPWRvaToxMC4xMTU4JTJGMTA3OC0wNDMyLkNDUi0xMi0yNTAyJmFt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RT1mdWxsdGV4dCZhbXA7RD1lbWV4YiZhbXA7QU49NjI1ODU5MDA5PC9zdHlsZT48L3Jlc2VhcmNo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LW5vdGVzPjwvcmVjb3JkPjwvQ2l0ZT48Q2l0ZT48QXV0aG9yPldpbGtlcnNvbjwvQXV0aG9yPjxZ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YW1wO1BBR0U9ZnVsbHRleHQmYW1wO0Q9bWVkNiZhbXA7QU49MTk4MjYzNTc8L3N0eWxlPjxzdHls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</w:fldData>
        </w:fldChar>
      </w:r>
      <w:r w:rsidR="000E66DE">
        <w:rPr>
          <w:lang w:eastAsia="en-GB"/>
        </w:rPr>
        <w:instrText xml:space="preserve"> ADDIN EN.CITE </w:instrText>
      </w:r>
      <w:r w:rsidR="000E66DE">
        <w:rPr>
          <w:lang w:eastAsia="en-GB"/>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ZXh0PjxzdHlsZSBmYWNlPSJzdXBlcnNjcmlwdCI+NzgtMTQxPC9zdHlsZT48L0Rpc3BsYXlUZXh0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ZnVsbHRleHQmYW1wO0Q9bWVkMTMmYW1wO0FOPTI5MjYwNjIyJiN4RDtodHRwOi8vcmVzb2x2ZXIu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YW1wO05FV1M9TiZhbXA7UEFHRT1mdWxsdGV4dCZhbXA7RD1tZWQ2JmFtcDtBTj0xODQyMTA1MCYj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TkVXUz1OJmFtcDtQQUdFPWZ1bGx0ZXh0JmFtcDtEPW1lZDEyJmFtcDtBTj0yNjc3NjA5OCYjeEQ7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==
</w:fldData>
        </w:fldChar>
      </w:r>
      <w:r w:rsidR="000E66DE">
        <w:rPr>
          <w:lang w:eastAsia="en-GB"/>
        </w:rPr>
        <w:instrText xml:space="preserve"> ADDIN EN.CITE.DATA </w:instrText>
      </w:r>
      <w:r w:rsidR="000E66DE">
        <w:rPr>
          <w:lang w:eastAsia="en-GB"/>
        </w:rPr>
      </w:r>
      <w:r w:rsidR="000E66DE">
        <w:rPr>
          <w:lang w:eastAsia="en-GB"/>
        </w:rPr>
        <w:fldChar w:fldCharType="end"/>
      </w:r>
      <w:r w:rsidR="000E66DE">
        <w:rPr>
          <w:lang w:eastAsia="en-GB"/>
        </w:rPr>
        <w:fldChar w:fldCharType="begin">
          <w:fldData xml:space="preserve">ZGF0YWJhc2UtbmFtZT48cmVtb3RlLWRhdGFiYXNlLXByb3ZpZGVyPk92aWQgVGVjaG5vbG9naWVz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PVkmYW1wO05FV1M9TiZhbXA7UEFHRT1mdWxsdGV4dCZhbXA7RD1tZWQxMiZhbXA7QU49MjcxMDgw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U0M9WSZhbXA7TkVXUz1OJmFtcDtQQUdFPWZ1bGx0ZXh0JmFtcDtEPW1lZDcmYW1wO0FOPTIwOTYw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RVdTPU4mYW1wO1BBR0U9ZnVsbHRleHQmYW1wO0Q9bWVkMTEmYW1wO0FOPTI1MDE3Mzc5JiN4RDto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TkVXUz1OJmFtcDtQQUdFPWZ1bGx0ZXh0JmFtcDtEPW1lZDEzJmFtcDtBTj0yOTMwNDk0NiYjeEQ7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==
</w:fldData>
        </w:fldChar>
      </w:r>
      <w:r w:rsidR="000E66DE">
        <w:rPr>
          <w:lang w:eastAsia="en-GB"/>
        </w:rPr>
        <w:instrText xml:space="preserve"> ADDIN EN.CITE.DATA </w:instrText>
      </w:r>
      <w:r w:rsidR="000E66DE">
        <w:rPr>
          <w:lang w:eastAsia="en-GB"/>
        </w:rPr>
      </w:r>
      <w:r w:rsidR="000E66DE">
        <w:rPr>
          <w:lang w:eastAsia="en-GB"/>
        </w:rPr>
        <w:fldChar w:fldCharType="end"/>
      </w:r>
      <w:r w:rsidR="000E66DE">
        <w:rPr>
          <w:lang w:eastAsia="en-GB"/>
        </w:rPr>
        <w:fldChar w:fldCharType="begin">
          <w:fldData xml:space="preserve">PjxrZXl3b3Jkcz48a2V5d29yZD4kJGluY2x1ZGUgYWJzdHJhY3QgS0M8L2tleXdvcmQ+PGtleXdv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RVdTPU4mYW1wO1BBR0U9ZnVsbHRleHQmYW1wO0Q9bWVkNSZhbXA7QU49MTY4NzM0MzUmI3hEO2h0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TiZhbXA7UEFHRT1mdWxsdGV4dCZhbXA7RD1tZWQ3JmFtcDtBTj0yMTI2NjUxOTwvcmVzZWFyY2gt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==
</w:fldData>
        </w:fldChar>
      </w:r>
      <w:r w:rsidR="000E66DE">
        <w:rPr>
          <w:lang w:eastAsia="en-GB"/>
        </w:rPr>
        <w:instrText xml:space="preserve"> ADDIN EN.CITE.DATA </w:instrText>
      </w:r>
      <w:r w:rsidR="000E66DE">
        <w:rPr>
          <w:lang w:eastAsia="en-GB"/>
        </w:rPr>
      </w:r>
      <w:r w:rsidR="000E66DE">
        <w:rPr>
          <w:lang w:eastAsia="en-GB"/>
        </w:rPr>
        <w:fldChar w:fldCharType="end"/>
      </w:r>
      <w:r w:rsidR="000E66DE">
        <w:rPr>
          <w:lang w:eastAsia="en-GB"/>
        </w:rPr>
        <w:fldChar w:fldCharType="begin">
          <w:fldData xml:space="preserve">IiBmb250PSJkZWZhdWx0IiBzaXplPSIxMDAlIj5odHRwOi8vb3ZpZHNwLm92aWQuY29tL292aWR3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bXA7TkVXUz1OJmFtcDtQQUdFPWZ1bGx0ZXh0JmFtcDtEPW1lZDEyJmFtcDtBTj0yNzAzMTg0ODwv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bWlkOjI3MDMxODQ4JmFtcDtpZD1kb2k6MTAuMTAzOCUyRmJqYy4yMDE2LjgzJmFtcDtpc3NuPTAw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dWxsdGV4dCZhbXA7RD1tZWQxMiZhbXA7QU49MjcxNzg5ODM8L3N0eWxlPjxzdHlsZSBmYWNlPSJu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cnZpY2VzX3BhZ2U/c2lkPU9WSUQ6bWVkbGluZSZhbXA7aWQ9cG1pZDoyNzE3ODk4MyZhbXA7aWQ9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YW1wO1BBR0U9ZnVsbHRleHQmYW1wO0Q9ZW1leGEmYW1wO0FOPTYyNTI4ODg4MTwvc3R5bGU+PC9y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O0NTQz1ZJmFtcDtORVdTPU4mYW1wO1BBR0U9ZnVsbHRleHQmYW1wO0Q9bWVkMTAmYW1wO0FOPTI0
MjcxMzEzPC9zdHlsZT48c3R5bGUgZmFjZT0ibm9ybWFsIiBmb250PSJkZWZhdWx0IiBzaXplPSIx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YW1wO2lkPXBtaWQ6MjQyNzEzMTMmYW1wO2lkPWRvaToxMC4xMDA3JTJGczEyMDMyLTAxMy0wNzc2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TiZhbXA7UEFHRT1mdWxsdGV4dCZhbXA7RD1lbWV4YiZhbXA7QU49NjIyMzI1NzUzPC9zdHlsZT48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ZD48L0NpdGU+PENpdGU+PEF1dGhvcj5TZWtpbmU8L0F1dGhvcj48WWVhcj4xOTk5PC9ZZWFyPjxS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==
</w:fldData>
        </w:fldChar>
      </w:r>
      <w:r w:rsidR="000E66DE">
        <w:rPr>
          <w:lang w:eastAsia="en-GB"/>
        </w:rPr>
        <w:instrText xml:space="preserve"> ADDIN EN.CITE.DATA </w:instrText>
      </w:r>
      <w:r w:rsidR="000E66DE">
        <w:rPr>
          <w:lang w:eastAsia="en-GB"/>
        </w:rPr>
      </w:r>
      <w:r w:rsidR="000E66DE">
        <w:rPr>
          <w:lang w:eastAsia="en-GB"/>
        </w:rPr>
        <w:fldChar w:fldCharType="end"/>
      </w:r>
      <w:r w:rsidR="000E66DE">
        <w:rPr>
          <w:lang w:eastAsia="en-GB"/>
        </w:rPr>
        <w:fldChar w:fldCharType="begin">
          <w:fldData xml:space="preserve">b3I+PGF1dGhvcj5IaWRkZW1hbm4sIFcuPC9hdXRob3I+PGF1dGhvcj5NYXJjdXMsIFIuPC9hdXRo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dXN0b24sIFRYLiYjeEQ7SGVyb2xkLCBNaWNoYWVsLiBRaWFuIFNoaSBhbmQgRGFuaWVsIEouIFNh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dXN0b24sIFRYLiYjeEQ7Rm93bGVyLCBOYXRoYW4gSC4gUWlhbiBTaGkgYW5kIERhbmllbCBKLiBT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==
</w:fldData>
        </w:fldChar>
      </w:r>
      <w:r w:rsidR="000E66DE">
        <w:rPr>
          <w:lang w:eastAsia="en-GB"/>
        </w:rPr>
        <w:instrText xml:space="preserve"> ADDIN EN.CITE.DATA </w:instrText>
      </w:r>
      <w:r w:rsidR="000E66DE">
        <w:rPr>
          <w:lang w:eastAsia="en-GB"/>
        </w:rPr>
      </w:r>
      <w:r w:rsidR="000E66DE">
        <w:rPr>
          <w:lang w:eastAsia="en-GB"/>
        </w:rPr>
        <w:fldChar w:fldCharType="end"/>
      </w:r>
      <w:r w:rsidR="000E66DE">
        <w:rPr>
          <w:lang w:eastAsia="en-GB"/>
        </w:rPr>
        <w:fldChar w:fldCharType="begin">
          <w:fldData xml:space="preserve">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IG9mIFRleGFzIE1EIEFuZGVyc29uIENhbmNlciBDZW50ZXIsIEhvdXN0b24sIFRYLjwvYXV0aC1h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V1M9TiZhbXA7UEFHRT1mdWxsdGV4dCZhbXA7RD1tZWQxMCZhbXA7QU49MjM3MzY3NDI8L3N0eWxl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LzQ0U0ZELzQ0U0ZEX3NlcnZpY2VzX3BhZ2U/c2lkPU9WSUQ6bWVkbGluZSZhbXA7aWQ9cG1pZDoy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ZGxpbmUmYW1wO2lkPXBtaWQ6MjgzOTU4OTYmYW1wO2lkPWRvaToxMC4xMDE2JTJGai55Z3luby4y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bXA7TkVXUz1OJmFtcDtQQUdFPWZ1bGx0ZXh0JmFtcDtEPW1lZDkmYW1wO0FOPTIzMzAzMjE0PC9z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aWQ6MjMzMDMyMTQmYW1wO2lkPWRvaToxMC4xMTU4JTJGMTA3OC0wNDMyLkNDUi0xMi0yNTAyJmFt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RT1mdWxsdGV4dCZhbXA7RD1lbWV4YiZhbXA7QU49NjI1ODU5MDA5PC9zdHlsZT48L3Jlc2VhcmNo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LW5vdGVzPjwvcmVjb3JkPjwvQ2l0ZT48Q2l0ZT48QXV0aG9yPldpbGtlcnNvbjwvQXV0aG9yPjxZ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YW1wO1BBR0U9ZnVsbHRleHQmYW1wO0Q9bWVkNiZhbXA7QU49MTk4MjYzNTc8L3N0eWxlPjxzdHls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</w:fldData>
        </w:fldChar>
      </w:r>
      <w:r w:rsidR="000E66DE">
        <w:rPr>
          <w:lang w:eastAsia="en-GB"/>
        </w:rPr>
        <w:instrText xml:space="preserve"> ADDIN EN.CITE.DATA </w:instrText>
      </w:r>
      <w:r w:rsidR="000E66DE">
        <w:rPr>
          <w:lang w:eastAsia="en-GB"/>
        </w:rPr>
      </w:r>
      <w:r w:rsidR="000E66DE">
        <w:rPr>
          <w:lang w:eastAsia="en-GB"/>
        </w:rPr>
        <w:fldChar w:fldCharType="end"/>
      </w:r>
      <w:r w:rsidR="00A579CA" w:rsidRPr="002D1DD7">
        <w:rPr>
          <w:lang w:eastAsia="en-GB"/>
        </w:rPr>
      </w:r>
      <w:r w:rsidR="00A579CA" w:rsidRPr="002D1DD7">
        <w:rPr>
          <w:lang w:eastAsia="en-GB"/>
        </w:rPr>
        <w:fldChar w:fldCharType="separate"/>
      </w:r>
      <w:r w:rsidR="003117A9" w:rsidRPr="003117A9">
        <w:rPr>
          <w:noProof/>
          <w:vertAlign w:val="superscript"/>
          <w:lang w:eastAsia="en-GB"/>
        </w:rPr>
        <w:t>78-141</w:t>
      </w:r>
      <w:r w:rsidR="00A579CA" w:rsidRPr="002D1DD7">
        <w:rPr>
          <w:lang w:eastAsia="en-GB"/>
        </w:rPr>
        <w:fldChar w:fldCharType="end"/>
      </w:r>
      <w:r w:rsidR="00A579CA" w:rsidRPr="002D1DD7">
        <w:rPr>
          <w:lang w:eastAsia="en-GB"/>
        </w:rPr>
        <w:t xml:space="preserve"> </w:t>
      </w:r>
      <w:r w:rsidRPr="002D1DD7">
        <w:rPr>
          <w:lang w:eastAsia="en-GB"/>
        </w:rPr>
        <w:t xml:space="preserve">Study characteristics for the 63 included studies are shown in Appendix </w:t>
      </w:r>
      <w:r w:rsidR="004809F7">
        <w:rPr>
          <w:lang w:eastAsia="en-GB"/>
        </w:rPr>
        <w:t>4</w:t>
      </w:r>
      <w:r w:rsidRPr="002D1DD7">
        <w:rPr>
          <w:lang w:eastAsia="en-GB"/>
        </w:rPr>
        <w:t xml:space="preserve">. Detailed results of included </w:t>
      </w:r>
      <w:r w:rsidRPr="002D1DD7">
        <w:rPr>
          <w:lang w:eastAsia="en-GB"/>
        </w:rPr>
        <w:lastRenderedPageBreak/>
        <w:t xml:space="preserve">studies are shown in Appendices </w:t>
      </w:r>
      <w:r w:rsidR="004809F7">
        <w:rPr>
          <w:lang w:eastAsia="en-GB"/>
        </w:rPr>
        <w:t>5</w:t>
      </w:r>
      <w:r w:rsidR="004809F7" w:rsidRPr="002D1DD7">
        <w:rPr>
          <w:lang w:eastAsia="en-GB"/>
        </w:rPr>
        <w:t xml:space="preserve"> </w:t>
      </w:r>
      <w:r w:rsidRPr="002D1DD7">
        <w:rPr>
          <w:lang w:eastAsia="en-GB"/>
        </w:rPr>
        <w:t xml:space="preserve">and </w:t>
      </w:r>
      <w:r w:rsidR="004809F7">
        <w:rPr>
          <w:lang w:eastAsia="en-GB"/>
        </w:rPr>
        <w:t>6</w:t>
      </w:r>
      <w:r w:rsidRPr="002D1DD7">
        <w:rPr>
          <w:lang w:eastAsia="en-GB"/>
        </w:rPr>
        <w:t xml:space="preserve">. Studies excluded at the full-text stage, with reasons for exclusion, are listed in Appendix </w:t>
      </w:r>
      <w:r w:rsidR="004809F7">
        <w:rPr>
          <w:lang w:eastAsia="en-GB"/>
        </w:rPr>
        <w:t>7</w:t>
      </w:r>
      <w:r w:rsidRPr="002D1DD7">
        <w:rPr>
          <w:lang w:eastAsia="en-GB"/>
        </w:rPr>
        <w:t>.</w:t>
      </w:r>
    </w:p>
    <w:p w14:paraId="4645BC78" w14:textId="77777777" w:rsidR="00716DF9" w:rsidRPr="002D1DD7" w:rsidRDefault="00716DF9" w:rsidP="00716DF9">
      <w:pPr>
        <w:spacing w:after="0"/>
        <w:jc w:val="both"/>
        <w:rPr>
          <w:rFonts w:asciiTheme="majorBidi" w:eastAsia="Times New Roman" w:hAnsiTheme="majorBidi" w:cstheme="majorBidi"/>
          <w:lang w:eastAsia="en-GB"/>
        </w:rPr>
      </w:pPr>
    </w:p>
    <w:p w14:paraId="7C5C19F0" w14:textId="764EA7BE" w:rsidR="00716DF9" w:rsidRPr="002D1DD7" w:rsidRDefault="00716DF9" w:rsidP="004809F7">
      <w:pPr>
        <w:pStyle w:val="Caption"/>
        <w:rPr>
          <w:rFonts w:eastAsia="Times New Roman"/>
          <w:color w:val="000000"/>
          <w:lang w:eastAsia="en-GB"/>
        </w:rPr>
      </w:pPr>
      <w:bookmarkStart w:id="78" w:name="_Ref13510384"/>
      <w:bookmarkStart w:id="79" w:name="_Toc13832976"/>
      <w:bookmarkStart w:id="80" w:name="_Toc34033561"/>
      <w:r w:rsidRPr="002D1DD7">
        <w:t xml:space="preserve">Figure </w:t>
      </w:r>
      <w:r w:rsidR="00C974E5">
        <w:fldChar w:fldCharType="begin"/>
      </w:r>
      <w:r w:rsidR="00C974E5">
        <w:instrText xml:space="preserve"> SEQ Figure \* ARABIC </w:instrText>
      </w:r>
      <w:r w:rsidR="00C974E5">
        <w:fldChar w:fldCharType="separate"/>
      </w:r>
      <w:r w:rsidR="00C663A2">
        <w:rPr>
          <w:noProof/>
        </w:rPr>
        <w:t>1</w:t>
      </w:r>
      <w:r w:rsidR="00C974E5">
        <w:rPr>
          <w:noProof/>
        </w:rPr>
        <w:fldChar w:fldCharType="end"/>
      </w:r>
      <w:bookmarkEnd w:id="78"/>
      <w:r w:rsidRPr="002D1DD7">
        <w:t>: PRISMA flow diagram for study inclusion</w:t>
      </w:r>
      <w:bookmarkEnd w:id="79"/>
      <w:bookmarkEnd w:id="80"/>
    </w:p>
    <w:p w14:paraId="745BFDED" w14:textId="6160E9A3" w:rsidR="00716DF9" w:rsidRPr="002D1DD7" w:rsidRDefault="009C302F" w:rsidP="009C302F">
      <w:pPr>
        <w:contextualSpacing/>
        <w:jc w:val="both"/>
        <w:rPr>
          <w:rFonts w:asciiTheme="majorBidi" w:eastAsia="Times New Roman" w:hAnsiTheme="majorBidi" w:cstheme="majorBidi"/>
          <w:color w:val="000000"/>
          <w:lang w:eastAsia="en-GB"/>
        </w:rPr>
      </w:pPr>
      <w:r w:rsidRPr="002D1DD7">
        <w:rPr>
          <w:rFonts w:eastAsia="Times New Roman" w:cs="Times New Roman"/>
          <w:noProof/>
          <w:color w:val="000000"/>
          <w:lang w:eastAsia="en-GB"/>
        </w:rPr>
        <mc:AlternateContent>
          <mc:Choice Requires="wpg">
            <w:drawing>
              <wp:inline distT="0" distB="0" distL="0" distR="0" wp14:anchorId="5DEFF1AC" wp14:editId="2CD311E9">
                <wp:extent cx="5691600" cy="4644928"/>
                <wp:effectExtent l="0" t="0" r="23495" b="22860"/>
                <wp:docPr id="4" name="Group 4"/>
                <wp:cNvGraphicFramePr/>
                <a:graphic xmlns:a="http://schemas.openxmlformats.org/drawingml/2006/main">
                  <a:graphicData uri="http://schemas.microsoft.com/office/word/2010/wordprocessingGroup">
                    <wpg:wgp>
                      <wpg:cNvGrpSpPr/>
                      <wpg:grpSpPr>
                        <a:xfrm>
                          <a:off x="0" y="0"/>
                          <a:ext cx="5691600" cy="4644928"/>
                          <a:chOff x="0" y="0"/>
                          <a:chExt cx="5690878" cy="4473286"/>
                        </a:xfrm>
                      </wpg:grpSpPr>
                      <wps:wsp>
                        <wps:cNvPr id="14" name="Rectangle 14"/>
                        <wps:cNvSpPr>
                          <a:spLocks noChangeArrowheads="1"/>
                        </wps:cNvSpPr>
                        <wps:spPr bwMode="auto">
                          <a:xfrm>
                            <a:off x="926275" y="1330036"/>
                            <a:ext cx="1847850" cy="447675"/>
                          </a:xfrm>
                          <a:prstGeom prst="rect">
                            <a:avLst/>
                          </a:prstGeom>
                          <a:noFill/>
                          <a:ln w="9525">
                            <a:solidFill>
                              <a:srgbClr val="000000"/>
                            </a:solidFill>
                            <a:miter lim="800000"/>
                            <a:headEnd/>
                            <a:tailEnd/>
                          </a:ln>
                        </wps:spPr>
                        <wps:txbx>
                          <w:txbxContent>
                            <w:p w14:paraId="66884493" w14:textId="6B69326C"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Total</w:t>
                              </w:r>
                              <w:r>
                                <w:rPr>
                                  <w:rFonts w:cs="Times New Roman"/>
                                  <w:sz w:val="20"/>
                                  <w:szCs w:val="20"/>
                                </w:rPr>
                                <w:t xml:space="preserve"> </w:t>
                              </w:r>
                              <w:r w:rsidRPr="009C302F">
                                <w:rPr>
                                  <w:rFonts w:cs="Times New Roman"/>
                                  <w:sz w:val="20"/>
                                  <w:szCs w:val="20"/>
                                </w:rPr>
                                <w:t>references identified</w:t>
                              </w:r>
                              <w:r w:rsidRPr="009C302F">
                                <w:rPr>
                                  <w:rFonts w:cs="Times New Roman"/>
                                  <w:sz w:val="20"/>
                                  <w:szCs w:val="20"/>
                                </w:rPr>
                                <w:br/>
                                <w:t>(n = 2,829)</w:t>
                              </w:r>
                            </w:p>
                          </w:txbxContent>
                        </wps:txbx>
                        <wps:bodyPr rot="0" vert="horz" wrap="square" lIns="36000" tIns="36000" rIns="36000" bIns="36000" anchor="t" anchorCtr="0" upright="1">
                          <a:noAutofit/>
                        </wps:bodyPr>
                      </wps:wsp>
                      <wps:wsp>
                        <wps:cNvPr id="24" name="Rectangle 24"/>
                        <wps:cNvSpPr>
                          <a:spLocks noChangeArrowheads="1"/>
                        </wps:cNvSpPr>
                        <wps:spPr bwMode="auto">
                          <a:xfrm>
                            <a:off x="3360661" y="1650452"/>
                            <a:ext cx="1638300" cy="571500"/>
                          </a:xfrm>
                          <a:prstGeom prst="rect">
                            <a:avLst/>
                          </a:prstGeom>
                          <a:noFill/>
                          <a:ln w="9525">
                            <a:solidFill>
                              <a:srgbClr val="000000"/>
                            </a:solidFill>
                            <a:miter lim="800000"/>
                            <a:headEnd/>
                            <a:tailEnd/>
                          </a:ln>
                        </wps:spPr>
                        <wps:txbx>
                          <w:txbxContent>
                            <w:p w14:paraId="14BB9B9D"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References excluded at title/abstract stage</w:t>
                              </w:r>
                              <w:r w:rsidRPr="009C302F">
                                <w:rPr>
                                  <w:rFonts w:cs="Times New Roman"/>
                                  <w:sz w:val="20"/>
                                  <w:szCs w:val="20"/>
                                </w:rPr>
                                <w:br/>
                                <w:t>(n = 2,630)</w:t>
                              </w:r>
                            </w:p>
                          </w:txbxContent>
                        </wps:txbx>
                        <wps:bodyPr rot="0" vert="horz" wrap="square" lIns="36000" tIns="36000" rIns="36000" bIns="36000" anchor="t" anchorCtr="0" upright="1">
                          <a:noAutofit/>
                        </wps:bodyPr>
                      </wps:wsp>
                      <wps:wsp>
                        <wps:cNvPr id="27" name="Rectangle 27"/>
                        <wps:cNvSpPr>
                          <a:spLocks noChangeArrowheads="1"/>
                        </wps:cNvSpPr>
                        <wps:spPr bwMode="auto">
                          <a:xfrm>
                            <a:off x="2861953" y="2505693"/>
                            <a:ext cx="2828925" cy="1733550"/>
                          </a:xfrm>
                          <a:prstGeom prst="rect">
                            <a:avLst/>
                          </a:prstGeom>
                          <a:noFill/>
                          <a:ln w="9525">
                            <a:solidFill>
                              <a:srgbClr val="000000"/>
                            </a:solidFill>
                            <a:miter lim="800000"/>
                            <a:headEnd/>
                            <a:tailEnd/>
                          </a:ln>
                        </wps:spPr>
                        <wps:txbx>
                          <w:txbxContent>
                            <w:p w14:paraId="7C4D9233" w14:textId="77777777" w:rsidR="00054FE8" w:rsidRPr="009C302F" w:rsidRDefault="00054FE8" w:rsidP="009C302F">
                              <w:pPr>
                                <w:spacing w:after="120" w:line="240" w:lineRule="auto"/>
                                <w:jc w:val="center"/>
                                <w:rPr>
                                  <w:rFonts w:cs="Times New Roman"/>
                                  <w:sz w:val="20"/>
                                  <w:szCs w:val="20"/>
                                </w:rPr>
                              </w:pPr>
                              <w:r w:rsidRPr="009C302F">
                                <w:rPr>
                                  <w:rFonts w:cs="Times New Roman"/>
                                  <w:sz w:val="20"/>
                                  <w:szCs w:val="20"/>
                                </w:rPr>
                                <w:t>Full-text references excluded (n = 135):</w:t>
                              </w:r>
                            </w:p>
                            <w:p w14:paraId="46EEA943" w14:textId="3E4951EB" w:rsidR="00054FE8" w:rsidRPr="009C302F" w:rsidRDefault="00054FE8" w:rsidP="009C302F">
                              <w:pPr>
                                <w:spacing w:line="240" w:lineRule="auto"/>
                                <w:contextualSpacing/>
                                <w:rPr>
                                  <w:rFonts w:cs="Times New Roman"/>
                                  <w:sz w:val="20"/>
                                  <w:szCs w:val="20"/>
                                </w:rPr>
                              </w:pPr>
                              <w:r w:rsidRPr="009C302F">
                                <w:rPr>
                                  <w:rFonts w:cs="Times New Roman"/>
                                  <w:sz w:val="20"/>
                                  <w:szCs w:val="20"/>
                                </w:rPr>
                                <w:t>Not clinical study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4)</w:t>
                              </w:r>
                            </w:p>
                            <w:p w14:paraId="4CE03732" w14:textId="2C81370F" w:rsidR="00054FE8" w:rsidRPr="009C302F" w:rsidRDefault="00054FE8" w:rsidP="009C302F">
                              <w:pPr>
                                <w:spacing w:line="240" w:lineRule="auto"/>
                                <w:contextualSpacing/>
                                <w:rPr>
                                  <w:rFonts w:cs="Times New Roman"/>
                                  <w:sz w:val="20"/>
                                  <w:szCs w:val="20"/>
                                </w:rPr>
                              </w:pPr>
                              <w:r w:rsidRPr="009C302F">
                                <w:rPr>
                                  <w:rFonts w:cs="Times New Roman"/>
                                  <w:sz w:val="20"/>
                                  <w:szCs w:val="20"/>
                                </w:rPr>
                                <w:t>Not meta-analysis of multiple studies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28)</w:t>
                              </w:r>
                            </w:p>
                            <w:p w14:paraId="50B25A6C" w14:textId="5D2FBA7D" w:rsidR="00054FE8" w:rsidRPr="009C302F" w:rsidRDefault="00054FE8" w:rsidP="009C302F">
                              <w:pPr>
                                <w:spacing w:line="240" w:lineRule="auto"/>
                                <w:contextualSpacing/>
                                <w:rPr>
                                  <w:rFonts w:cs="Times New Roman"/>
                                  <w:sz w:val="20"/>
                                  <w:szCs w:val="20"/>
                                </w:rPr>
                              </w:pPr>
                              <w:r w:rsidRPr="009C302F">
                                <w:rPr>
                                  <w:rFonts w:cs="Times New Roman"/>
                                  <w:sz w:val="20"/>
                                  <w:szCs w:val="20"/>
                                </w:rPr>
                                <w:t>Neo-adjuvant or adjuvant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10)</w:t>
                              </w:r>
                            </w:p>
                            <w:p w14:paraId="6543B23B" w14:textId="19C0147B" w:rsidR="00054FE8" w:rsidRPr="009C302F" w:rsidRDefault="00054FE8" w:rsidP="009C302F">
                              <w:pPr>
                                <w:spacing w:line="240" w:lineRule="auto"/>
                                <w:contextualSpacing/>
                                <w:rPr>
                                  <w:rFonts w:cs="Times New Roman"/>
                                  <w:sz w:val="20"/>
                                  <w:szCs w:val="20"/>
                                </w:rPr>
                              </w:pPr>
                              <w:r w:rsidRPr="009C302F">
                                <w:rPr>
                                  <w:rFonts w:cs="Times New Roman"/>
                                  <w:sz w:val="20"/>
                                  <w:szCs w:val="20"/>
                                </w:rPr>
                                <w:t xml:space="preserve">No relevant outcomes </w:t>
                              </w:r>
                              <w:r w:rsidRPr="009C302F">
                                <w:rPr>
                                  <w:rFonts w:cs="Times New Roman"/>
                                  <w:sz w:val="20"/>
                                  <w:szCs w:val="20"/>
                                </w:rPr>
                                <w:tab/>
                                <w:t>(n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67)</w:t>
                              </w:r>
                            </w:p>
                            <w:p w14:paraId="711968D5" w14:textId="0622D333" w:rsidR="00054FE8" w:rsidRPr="009C302F" w:rsidRDefault="00054FE8" w:rsidP="009C302F">
                              <w:pPr>
                                <w:spacing w:line="240" w:lineRule="auto"/>
                                <w:contextualSpacing/>
                                <w:rPr>
                                  <w:rFonts w:cs="Times New Roman"/>
                                  <w:sz w:val="20"/>
                                  <w:szCs w:val="20"/>
                                </w:rPr>
                              </w:pPr>
                              <w:r w:rsidRPr="009C302F">
                                <w:rPr>
                                  <w:rFonts w:cs="Times New Roman"/>
                                  <w:sz w:val="20"/>
                                  <w:szCs w:val="20"/>
                                </w:rPr>
                                <w:t>No correlation coefficient or R2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13)</w:t>
                              </w:r>
                            </w:p>
                            <w:p w14:paraId="76D7A6B1" w14:textId="7A6F7505" w:rsidR="00054FE8" w:rsidRPr="009C302F" w:rsidRDefault="00054FE8" w:rsidP="009C302F">
                              <w:pPr>
                                <w:spacing w:line="240" w:lineRule="auto"/>
                                <w:contextualSpacing/>
                                <w:rPr>
                                  <w:rFonts w:cs="Times New Roman"/>
                                  <w:sz w:val="20"/>
                                  <w:szCs w:val="20"/>
                                </w:rPr>
                              </w:pPr>
                              <w:r w:rsidRPr="009C302F">
                                <w:rPr>
                                  <w:rFonts w:cs="Times New Roman"/>
                                  <w:sz w:val="20"/>
                                  <w:szCs w:val="20"/>
                                </w:rPr>
                                <w:t>Secondary publication, no additional data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10)</w:t>
                              </w:r>
                            </w:p>
                            <w:p w14:paraId="4A22C31F" w14:textId="39912823" w:rsidR="00054FE8" w:rsidRPr="009C302F" w:rsidRDefault="00054FE8" w:rsidP="009C302F">
                              <w:pPr>
                                <w:spacing w:line="240" w:lineRule="auto"/>
                                <w:contextualSpacing/>
                                <w:rPr>
                                  <w:rFonts w:cs="Times New Roman"/>
                                  <w:sz w:val="20"/>
                                  <w:szCs w:val="20"/>
                                </w:rPr>
                              </w:pPr>
                              <w:r w:rsidRPr="009C302F">
                                <w:rPr>
                                  <w:rFonts w:cs="Times New Roman"/>
                                  <w:sz w:val="20"/>
                                  <w:szCs w:val="20"/>
                                </w:rPr>
                                <w:t>Insufficient data reported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w:t>
                              </w:r>
                            </w:p>
                            <w:p w14:paraId="32A4489D" w14:textId="3228FDFA" w:rsidR="00054FE8" w:rsidRPr="009C302F" w:rsidRDefault="00054FE8" w:rsidP="009C302F">
                              <w:pPr>
                                <w:spacing w:line="240" w:lineRule="auto"/>
                                <w:contextualSpacing/>
                                <w:rPr>
                                  <w:rFonts w:cs="Times New Roman"/>
                                  <w:sz w:val="20"/>
                                  <w:szCs w:val="20"/>
                                </w:rPr>
                              </w:pPr>
                              <w:r w:rsidRPr="009C302F">
                                <w:rPr>
                                  <w:rFonts w:cs="Times New Roman"/>
                                  <w:sz w:val="20"/>
                                  <w:szCs w:val="20"/>
                                </w:rPr>
                                <w:t>Non-English and insufficient detail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w:t>
                              </w:r>
                            </w:p>
                            <w:p w14:paraId="63828C65" w14:textId="4EF48CFF" w:rsidR="00054FE8" w:rsidRPr="009C302F" w:rsidRDefault="00054FE8" w:rsidP="009C302F">
                              <w:pPr>
                                <w:spacing w:line="240" w:lineRule="auto"/>
                                <w:contextualSpacing/>
                                <w:rPr>
                                  <w:rFonts w:cs="Times New Roman"/>
                                  <w:sz w:val="20"/>
                                  <w:szCs w:val="20"/>
                                </w:rPr>
                              </w:pPr>
                              <w:r w:rsidRPr="009C302F">
                                <w:rPr>
                                  <w:rFonts w:cs="Times New Roman"/>
                                  <w:sz w:val="20"/>
                                  <w:szCs w:val="20"/>
                                </w:rPr>
                                <w:t>Not available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w:t>
                              </w:r>
                            </w:p>
                          </w:txbxContent>
                        </wps:txbx>
                        <wps:bodyPr rot="0" vert="horz" wrap="square" lIns="36000" tIns="36000" rIns="36000" bIns="36000" anchor="t" anchorCtr="0" upright="1">
                          <a:noAutofit/>
                        </wps:bodyPr>
                      </wps:wsp>
                      <wps:wsp>
                        <wps:cNvPr id="30" name="Rectangle 30"/>
                        <wps:cNvSpPr>
                          <a:spLocks noChangeArrowheads="1"/>
                        </wps:cNvSpPr>
                        <wps:spPr bwMode="auto">
                          <a:xfrm>
                            <a:off x="700644" y="4073236"/>
                            <a:ext cx="2076450" cy="400050"/>
                          </a:xfrm>
                          <a:prstGeom prst="rect">
                            <a:avLst/>
                          </a:prstGeom>
                          <a:noFill/>
                          <a:ln w="9525">
                            <a:solidFill>
                              <a:srgbClr val="000000"/>
                            </a:solidFill>
                            <a:miter lim="800000"/>
                            <a:headEnd/>
                            <a:tailEnd/>
                          </a:ln>
                        </wps:spPr>
                        <wps:txbx>
                          <w:txbxContent>
                            <w:p w14:paraId="2250E4F8" w14:textId="77777777" w:rsidR="00054FE8" w:rsidRPr="009C302F" w:rsidRDefault="00054FE8" w:rsidP="003A7BD0">
                              <w:pPr>
                                <w:spacing w:before="0" w:after="0" w:line="240" w:lineRule="auto"/>
                                <w:contextualSpacing/>
                                <w:jc w:val="center"/>
                                <w:rPr>
                                  <w:rFonts w:cs="Times New Roman"/>
                                  <w:sz w:val="20"/>
                                  <w:szCs w:val="20"/>
                                </w:rPr>
                              </w:pPr>
                              <w:r w:rsidRPr="009C302F">
                                <w:rPr>
                                  <w:rFonts w:cs="Times New Roman"/>
                                  <w:sz w:val="20"/>
                                  <w:szCs w:val="20"/>
                                </w:rPr>
                                <w:t>Included in systematic review</w:t>
                              </w:r>
                            </w:p>
                            <w:p w14:paraId="146CD59D" w14:textId="77777777" w:rsidR="00054FE8" w:rsidRPr="009C302F" w:rsidRDefault="00054FE8" w:rsidP="003A7BD0">
                              <w:pPr>
                                <w:spacing w:before="0"/>
                                <w:contextualSpacing/>
                                <w:jc w:val="center"/>
                                <w:rPr>
                                  <w:rFonts w:cs="Times New Roman"/>
                                  <w:sz w:val="20"/>
                                  <w:szCs w:val="20"/>
                                </w:rPr>
                              </w:pPr>
                              <w:r w:rsidRPr="009C302F">
                                <w:rPr>
                                  <w:rFonts w:cs="Times New Roman"/>
                                  <w:sz w:val="20"/>
                                  <w:szCs w:val="20"/>
                                </w:rPr>
                                <w:t>(n = 64 references to 63 studies)</w:t>
                              </w:r>
                            </w:p>
                          </w:txbxContent>
                        </wps:txbx>
                        <wps:bodyPr rot="0" vert="horz" wrap="square" lIns="36000" tIns="36000" rIns="36000" bIns="36000" anchor="t" anchorCtr="0" upright="1">
                          <a:noAutofit/>
                        </wps:bodyPr>
                      </wps:wsp>
                      <wps:wsp>
                        <wps:cNvPr id="11" name="Rectangle 11"/>
                        <wps:cNvSpPr>
                          <a:spLocks noChangeArrowheads="1"/>
                        </wps:cNvSpPr>
                        <wps:spPr bwMode="auto">
                          <a:xfrm>
                            <a:off x="0" y="0"/>
                            <a:ext cx="1733550" cy="1080654"/>
                          </a:xfrm>
                          <a:prstGeom prst="rect">
                            <a:avLst/>
                          </a:prstGeom>
                          <a:noFill/>
                          <a:ln w="9525">
                            <a:solidFill>
                              <a:srgbClr val="000000"/>
                            </a:solidFill>
                            <a:miter lim="800000"/>
                            <a:headEnd/>
                            <a:tailEnd/>
                          </a:ln>
                        </wps:spPr>
                        <wps:txbx>
                          <w:txbxContent>
                            <w:p w14:paraId="2E4BA182"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References identified from database searches</w:t>
                              </w:r>
                              <w:r w:rsidRPr="009C302F">
                                <w:rPr>
                                  <w:rFonts w:cs="Times New Roman"/>
                                  <w:sz w:val="20"/>
                                  <w:szCs w:val="20"/>
                                </w:rPr>
                                <w:br/>
                                <w:t>(n = 2,822)</w:t>
                              </w:r>
                            </w:p>
                            <w:p w14:paraId="267FB7EB" w14:textId="110FD557"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Keyword search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1102)</w:t>
                              </w:r>
                            </w:p>
                            <w:p w14:paraId="0CBF74FC" w14:textId="57B4DCDC"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Citation search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1759)</w:t>
                              </w:r>
                            </w:p>
                            <w:p w14:paraId="27F7AD62" w14:textId="3B2C1EB6"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Both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39)</w:t>
                              </w:r>
                            </w:p>
                          </w:txbxContent>
                        </wps:txbx>
                        <wps:bodyPr rot="0" vert="horz" wrap="square" lIns="36000" tIns="36000" rIns="36000" bIns="36000" anchor="t" anchorCtr="0" upright="1">
                          <a:noAutofit/>
                        </wps:bodyPr>
                      </wps:wsp>
                      <wps:wsp>
                        <wps:cNvPr id="12" name="Rectangle 12"/>
                        <wps:cNvSpPr>
                          <a:spLocks noChangeArrowheads="1"/>
                        </wps:cNvSpPr>
                        <wps:spPr bwMode="auto">
                          <a:xfrm>
                            <a:off x="2280062" y="0"/>
                            <a:ext cx="1847850" cy="1092529"/>
                          </a:xfrm>
                          <a:prstGeom prst="rect">
                            <a:avLst/>
                          </a:prstGeom>
                          <a:noFill/>
                          <a:ln w="9525">
                            <a:solidFill>
                              <a:srgbClr val="000000"/>
                            </a:solidFill>
                            <a:miter lim="800000"/>
                            <a:headEnd/>
                            <a:tailEnd/>
                          </a:ln>
                        </wps:spPr>
                        <wps:txbx>
                          <w:txbxContent>
                            <w:p w14:paraId="63C3472A"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References identified from other sources e.g. other reviews (n = 7)</w:t>
                              </w:r>
                            </w:p>
                            <w:p w14:paraId="558E09CC" w14:textId="1437E5A4"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From previous reviews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5)</w:t>
                              </w:r>
                            </w:p>
                            <w:p w14:paraId="451AB465" w14:textId="06C4CB77"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Chance find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2)</w:t>
                              </w:r>
                            </w:p>
                          </w:txbxContent>
                        </wps:txbx>
                        <wps:bodyPr rot="0" vert="horz" wrap="square" lIns="36000" tIns="36000" rIns="36000" bIns="36000" anchor="t" anchorCtr="0" upright="1">
                          <a:noAutofit/>
                        </wps:bodyPr>
                      </wps:wsp>
                      <wps:wsp>
                        <wps:cNvPr id="15" name="Straight Arrow Connector 15"/>
                        <wps:cNvCnPr>
                          <a:cxnSpLocks noChangeShapeType="1"/>
                        </wps:cNvCnPr>
                        <wps:spPr bwMode="auto">
                          <a:xfrm>
                            <a:off x="866899" y="1092530"/>
                            <a:ext cx="542925" cy="238125"/>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 name="Straight Arrow Connector 17"/>
                        <wps:cNvCnPr>
                          <a:cxnSpLocks noChangeShapeType="1"/>
                        </wps:cNvCnPr>
                        <wps:spPr bwMode="auto">
                          <a:xfrm flipH="1">
                            <a:off x="2280062" y="1092530"/>
                            <a:ext cx="828675" cy="238125"/>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Rectangle 20"/>
                        <wps:cNvSpPr>
                          <a:spLocks noChangeArrowheads="1"/>
                        </wps:cNvSpPr>
                        <wps:spPr bwMode="auto">
                          <a:xfrm>
                            <a:off x="1056904" y="2149433"/>
                            <a:ext cx="1638300" cy="438150"/>
                          </a:xfrm>
                          <a:prstGeom prst="rect">
                            <a:avLst/>
                          </a:prstGeom>
                          <a:noFill/>
                          <a:ln w="9525">
                            <a:solidFill>
                              <a:srgbClr val="000000"/>
                            </a:solidFill>
                            <a:miter lim="800000"/>
                            <a:headEnd/>
                            <a:tailEnd/>
                          </a:ln>
                        </wps:spPr>
                        <wps:txbx>
                          <w:txbxContent>
                            <w:p w14:paraId="2C876600"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Full-text references screened</w:t>
                              </w:r>
                              <w:r w:rsidRPr="009C302F">
                                <w:rPr>
                                  <w:rFonts w:cs="Times New Roman"/>
                                  <w:sz w:val="20"/>
                                  <w:szCs w:val="20"/>
                                </w:rPr>
                                <w:br/>
                                <w:t>(n = 199)</w:t>
                              </w:r>
                            </w:p>
                          </w:txbxContent>
                        </wps:txbx>
                        <wps:bodyPr rot="0" vert="horz" wrap="square" lIns="36000" tIns="36000" rIns="36000" bIns="36000" anchor="t" anchorCtr="0" upright="1">
                          <a:noAutofit/>
                        </wps:bodyPr>
                      </wps:wsp>
                      <wps:wsp>
                        <wps:cNvPr id="9" name="Straight Arrow Connector 9"/>
                        <wps:cNvCnPr/>
                        <wps:spPr>
                          <a:xfrm>
                            <a:off x="1793174" y="1900052"/>
                            <a:ext cx="158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 name="Straight Arrow Connector 3"/>
                        <wps:cNvCnPr/>
                        <wps:spPr>
                          <a:xfrm>
                            <a:off x="1781299" y="1781298"/>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8" name="Straight Arrow Connector 8"/>
                        <wps:cNvCnPr/>
                        <wps:spPr>
                          <a:xfrm>
                            <a:off x="1781299" y="2588820"/>
                            <a:ext cx="0" cy="1485900"/>
                          </a:xfrm>
                          <a:prstGeom prst="straightConnector1">
                            <a:avLst/>
                          </a:prstGeom>
                          <a:noFill/>
                          <a:ln w="6350" cap="flat" cmpd="sng" algn="ctr">
                            <a:solidFill>
                              <a:sysClr val="windowText" lastClr="000000"/>
                            </a:solidFill>
                            <a:prstDash val="solid"/>
                            <a:miter lim="800000"/>
                            <a:tailEnd type="triangle"/>
                          </a:ln>
                          <a:effectLst/>
                        </wps:spPr>
                        <wps:bodyPr/>
                      </wps:wsp>
                      <wps:wsp>
                        <wps:cNvPr id="2" name="Straight Arrow Connector 2"/>
                        <wps:cNvCnPr/>
                        <wps:spPr>
                          <a:xfrm>
                            <a:off x="1781299" y="3289465"/>
                            <a:ext cx="1080000"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5DEFF1AC" id="Group 4" o:spid="_x0000_s1026" style="width:448.15pt;height:365.75pt;mso-position-horizontal-relative:char;mso-position-vertical-relative:line" coordsize="56908,4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">
                <v:rect id="Rectangle 14" o:spid="_x0000_s1027" style="position:absolute;left:9262;top:13300;width:1847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" filled="f">
                  <v:textbox inset="1mm,1mm,1mm,1mm">
                    <w:txbxContent>
                      <w:p w14:paraId="66884493" w14:textId="6B69326C"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Total</w:t>
                        </w:r>
                        <w:r>
                          <w:rPr>
                            <w:rFonts w:cs="Times New Roman"/>
                            <w:sz w:val="20"/>
                            <w:szCs w:val="20"/>
                          </w:rPr>
                          <w:t xml:space="preserve"> </w:t>
                        </w:r>
                        <w:r w:rsidRPr="009C302F">
                          <w:rPr>
                            <w:rFonts w:cs="Times New Roman"/>
                            <w:sz w:val="20"/>
                            <w:szCs w:val="20"/>
                          </w:rPr>
                          <w:t>references identified</w:t>
                        </w:r>
                        <w:r w:rsidRPr="009C302F">
                          <w:rPr>
                            <w:rFonts w:cs="Times New Roman"/>
                            <w:sz w:val="20"/>
                            <w:szCs w:val="20"/>
                          </w:rPr>
                          <w:br/>
                          <w:t>(n = 2,829)</w:t>
                        </w:r>
                      </w:p>
                    </w:txbxContent>
                  </v:textbox>
                </v:rect>
                <v:rect id="Rectangle 24" o:spid="_x0000_s1028" style="position:absolute;left:33606;top:16504;width:1638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" filled="f">
                  <v:textbox inset="1mm,1mm,1mm,1mm">
                    <w:txbxContent>
                      <w:p w14:paraId="14BB9B9D"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References excluded at title/abstract stage</w:t>
                        </w:r>
                        <w:r w:rsidRPr="009C302F">
                          <w:rPr>
                            <w:rFonts w:cs="Times New Roman"/>
                            <w:sz w:val="20"/>
                            <w:szCs w:val="20"/>
                          </w:rPr>
                          <w:br/>
                          <w:t>(n = 2,630)</w:t>
                        </w:r>
                      </w:p>
                    </w:txbxContent>
                  </v:textbox>
                </v:rect>
                <v:rect id="Rectangle 27" o:spid="_x0000_s1029" style="position:absolute;left:28619;top:25056;width:28289;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" filled="f">
                  <v:textbox inset="1mm,1mm,1mm,1mm">
                    <w:txbxContent>
                      <w:p w14:paraId="7C4D9233" w14:textId="77777777" w:rsidR="00054FE8" w:rsidRPr="009C302F" w:rsidRDefault="00054FE8" w:rsidP="009C302F">
                        <w:pPr>
                          <w:spacing w:after="120" w:line="240" w:lineRule="auto"/>
                          <w:jc w:val="center"/>
                          <w:rPr>
                            <w:rFonts w:cs="Times New Roman"/>
                            <w:sz w:val="20"/>
                            <w:szCs w:val="20"/>
                          </w:rPr>
                        </w:pPr>
                        <w:r w:rsidRPr="009C302F">
                          <w:rPr>
                            <w:rFonts w:cs="Times New Roman"/>
                            <w:sz w:val="20"/>
                            <w:szCs w:val="20"/>
                          </w:rPr>
                          <w:t>Full-text references excluded (n = 135):</w:t>
                        </w:r>
                      </w:p>
                      <w:p w14:paraId="46EEA943" w14:textId="3E4951EB" w:rsidR="00054FE8" w:rsidRPr="009C302F" w:rsidRDefault="00054FE8" w:rsidP="009C302F">
                        <w:pPr>
                          <w:spacing w:line="240" w:lineRule="auto"/>
                          <w:contextualSpacing/>
                          <w:rPr>
                            <w:rFonts w:cs="Times New Roman"/>
                            <w:sz w:val="20"/>
                            <w:szCs w:val="20"/>
                          </w:rPr>
                        </w:pPr>
                        <w:r w:rsidRPr="009C302F">
                          <w:rPr>
                            <w:rFonts w:cs="Times New Roman"/>
                            <w:sz w:val="20"/>
                            <w:szCs w:val="20"/>
                          </w:rPr>
                          <w:t>Not clinical study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4)</w:t>
                        </w:r>
                      </w:p>
                      <w:p w14:paraId="4CE03732" w14:textId="2C81370F" w:rsidR="00054FE8" w:rsidRPr="009C302F" w:rsidRDefault="00054FE8" w:rsidP="009C302F">
                        <w:pPr>
                          <w:spacing w:line="240" w:lineRule="auto"/>
                          <w:contextualSpacing/>
                          <w:rPr>
                            <w:rFonts w:cs="Times New Roman"/>
                            <w:sz w:val="20"/>
                            <w:szCs w:val="20"/>
                          </w:rPr>
                        </w:pPr>
                        <w:r w:rsidRPr="009C302F">
                          <w:rPr>
                            <w:rFonts w:cs="Times New Roman"/>
                            <w:sz w:val="20"/>
                            <w:szCs w:val="20"/>
                          </w:rPr>
                          <w:t>Not meta-analysis of multiple studies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28)</w:t>
                        </w:r>
                      </w:p>
                      <w:p w14:paraId="50B25A6C" w14:textId="5D2FBA7D" w:rsidR="00054FE8" w:rsidRPr="009C302F" w:rsidRDefault="00054FE8" w:rsidP="009C302F">
                        <w:pPr>
                          <w:spacing w:line="240" w:lineRule="auto"/>
                          <w:contextualSpacing/>
                          <w:rPr>
                            <w:rFonts w:cs="Times New Roman"/>
                            <w:sz w:val="20"/>
                            <w:szCs w:val="20"/>
                          </w:rPr>
                        </w:pPr>
                        <w:r w:rsidRPr="009C302F">
                          <w:rPr>
                            <w:rFonts w:cs="Times New Roman"/>
                            <w:sz w:val="20"/>
                            <w:szCs w:val="20"/>
                          </w:rPr>
                          <w:t>Neo-adjuvant or adjuvant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10)</w:t>
                        </w:r>
                      </w:p>
                      <w:p w14:paraId="6543B23B" w14:textId="19C0147B" w:rsidR="00054FE8" w:rsidRPr="009C302F" w:rsidRDefault="00054FE8" w:rsidP="009C302F">
                        <w:pPr>
                          <w:spacing w:line="240" w:lineRule="auto"/>
                          <w:contextualSpacing/>
                          <w:rPr>
                            <w:rFonts w:cs="Times New Roman"/>
                            <w:sz w:val="20"/>
                            <w:szCs w:val="20"/>
                          </w:rPr>
                        </w:pPr>
                        <w:r w:rsidRPr="009C302F">
                          <w:rPr>
                            <w:rFonts w:cs="Times New Roman"/>
                            <w:sz w:val="20"/>
                            <w:szCs w:val="20"/>
                          </w:rPr>
                          <w:t xml:space="preserve">No relevant outcomes </w:t>
                        </w:r>
                        <w:r w:rsidRPr="009C302F">
                          <w:rPr>
                            <w:rFonts w:cs="Times New Roman"/>
                            <w:sz w:val="20"/>
                            <w:szCs w:val="20"/>
                          </w:rPr>
                          <w:tab/>
                          <w:t>(n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67)</w:t>
                        </w:r>
                      </w:p>
                      <w:p w14:paraId="711968D5" w14:textId="0622D333" w:rsidR="00054FE8" w:rsidRPr="009C302F" w:rsidRDefault="00054FE8" w:rsidP="009C302F">
                        <w:pPr>
                          <w:spacing w:line="240" w:lineRule="auto"/>
                          <w:contextualSpacing/>
                          <w:rPr>
                            <w:rFonts w:cs="Times New Roman"/>
                            <w:sz w:val="20"/>
                            <w:szCs w:val="20"/>
                          </w:rPr>
                        </w:pPr>
                        <w:r w:rsidRPr="009C302F">
                          <w:rPr>
                            <w:rFonts w:cs="Times New Roman"/>
                            <w:sz w:val="20"/>
                            <w:szCs w:val="20"/>
                          </w:rPr>
                          <w:t>No correlation coefficient or R2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13)</w:t>
                        </w:r>
                      </w:p>
                      <w:p w14:paraId="76D7A6B1" w14:textId="7A6F7505" w:rsidR="00054FE8" w:rsidRPr="009C302F" w:rsidRDefault="00054FE8" w:rsidP="009C302F">
                        <w:pPr>
                          <w:spacing w:line="240" w:lineRule="auto"/>
                          <w:contextualSpacing/>
                          <w:rPr>
                            <w:rFonts w:cs="Times New Roman"/>
                            <w:sz w:val="20"/>
                            <w:szCs w:val="20"/>
                          </w:rPr>
                        </w:pPr>
                        <w:r w:rsidRPr="009C302F">
                          <w:rPr>
                            <w:rFonts w:cs="Times New Roman"/>
                            <w:sz w:val="20"/>
                            <w:szCs w:val="20"/>
                          </w:rPr>
                          <w:t>Secondary publication, no additional data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10)</w:t>
                        </w:r>
                      </w:p>
                      <w:p w14:paraId="4A22C31F" w14:textId="39912823" w:rsidR="00054FE8" w:rsidRPr="009C302F" w:rsidRDefault="00054FE8" w:rsidP="009C302F">
                        <w:pPr>
                          <w:spacing w:line="240" w:lineRule="auto"/>
                          <w:contextualSpacing/>
                          <w:rPr>
                            <w:rFonts w:cs="Times New Roman"/>
                            <w:sz w:val="20"/>
                            <w:szCs w:val="20"/>
                          </w:rPr>
                        </w:pPr>
                        <w:r w:rsidRPr="009C302F">
                          <w:rPr>
                            <w:rFonts w:cs="Times New Roman"/>
                            <w:sz w:val="20"/>
                            <w:szCs w:val="20"/>
                          </w:rPr>
                          <w:t>Insufficient data reported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w:t>
                        </w:r>
                      </w:p>
                      <w:p w14:paraId="32A4489D" w14:textId="3228FDFA" w:rsidR="00054FE8" w:rsidRPr="009C302F" w:rsidRDefault="00054FE8" w:rsidP="009C302F">
                        <w:pPr>
                          <w:spacing w:line="240" w:lineRule="auto"/>
                          <w:contextualSpacing/>
                          <w:rPr>
                            <w:rFonts w:cs="Times New Roman"/>
                            <w:sz w:val="20"/>
                            <w:szCs w:val="20"/>
                          </w:rPr>
                        </w:pPr>
                        <w:r w:rsidRPr="009C302F">
                          <w:rPr>
                            <w:rFonts w:cs="Times New Roman"/>
                            <w:sz w:val="20"/>
                            <w:szCs w:val="20"/>
                          </w:rPr>
                          <w:t>Non-English and insufficient detail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w:t>
                        </w:r>
                      </w:p>
                      <w:p w14:paraId="63828C65" w14:textId="4EF48CFF" w:rsidR="00054FE8" w:rsidRPr="009C302F" w:rsidRDefault="00054FE8" w:rsidP="009C302F">
                        <w:pPr>
                          <w:spacing w:line="240" w:lineRule="auto"/>
                          <w:contextualSpacing/>
                          <w:rPr>
                            <w:rFonts w:cs="Times New Roman"/>
                            <w:sz w:val="20"/>
                            <w:szCs w:val="20"/>
                          </w:rPr>
                        </w:pPr>
                        <w:r w:rsidRPr="009C302F">
                          <w:rPr>
                            <w:rFonts w:cs="Times New Roman"/>
                            <w:sz w:val="20"/>
                            <w:szCs w:val="20"/>
                          </w:rPr>
                          <w:t>Not available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w:t>
                        </w:r>
                      </w:p>
                    </w:txbxContent>
                  </v:textbox>
                </v:rect>
                <v:rect id="Rectangle 30" o:spid="_x0000_s1030" style="position:absolute;left:7006;top:40732;width:207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" filled="f">
                  <v:textbox inset="1mm,1mm,1mm,1mm">
                    <w:txbxContent>
                      <w:p w14:paraId="2250E4F8" w14:textId="77777777" w:rsidR="00054FE8" w:rsidRPr="009C302F" w:rsidRDefault="00054FE8" w:rsidP="003A7BD0">
                        <w:pPr>
                          <w:spacing w:before="0" w:after="0" w:line="240" w:lineRule="auto"/>
                          <w:contextualSpacing/>
                          <w:jc w:val="center"/>
                          <w:rPr>
                            <w:rFonts w:cs="Times New Roman"/>
                            <w:sz w:val="20"/>
                            <w:szCs w:val="20"/>
                          </w:rPr>
                        </w:pPr>
                        <w:r w:rsidRPr="009C302F">
                          <w:rPr>
                            <w:rFonts w:cs="Times New Roman"/>
                            <w:sz w:val="20"/>
                            <w:szCs w:val="20"/>
                          </w:rPr>
                          <w:t>Included in systematic review</w:t>
                        </w:r>
                      </w:p>
                      <w:p w14:paraId="146CD59D" w14:textId="77777777" w:rsidR="00054FE8" w:rsidRPr="009C302F" w:rsidRDefault="00054FE8" w:rsidP="003A7BD0">
                        <w:pPr>
                          <w:spacing w:before="0"/>
                          <w:contextualSpacing/>
                          <w:jc w:val="center"/>
                          <w:rPr>
                            <w:rFonts w:cs="Times New Roman"/>
                            <w:sz w:val="20"/>
                            <w:szCs w:val="20"/>
                          </w:rPr>
                        </w:pPr>
                        <w:r w:rsidRPr="009C302F">
                          <w:rPr>
                            <w:rFonts w:cs="Times New Roman"/>
                            <w:sz w:val="20"/>
                            <w:szCs w:val="20"/>
                          </w:rPr>
                          <w:t>(n = 64 references to 63 studies)</w:t>
                        </w:r>
                      </w:p>
                    </w:txbxContent>
                  </v:textbox>
                </v:rect>
                <v:rect id="Rectangle 11" o:spid="_x0000_s1031" style="position:absolute;width:17335;height:10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" filled="f">
                  <v:textbox inset="1mm,1mm,1mm,1mm">
                    <w:txbxContent>
                      <w:p w14:paraId="2E4BA182"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References identified from database searches</w:t>
                        </w:r>
                        <w:r w:rsidRPr="009C302F">
                          <w:rPr>
                            <w:rFonts w:cs="Times New Roman"/>
                            <w:sz w:val="20"/>
                            <w:szCs w:val="20"/>
                          </w:rPr>
                          <w:br/>
                          <w:t>(n = 2,822)</w:t>
                        </w:r>
                      </w:p>
                      <w:p w14:paraId="267FB7EB" w14:textId="110FD557"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Keyword search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1102)</w:t>
                        </w:r>
                      </w:p>
                      <w:p w14:paraId="0CBF74FC" w14:textId="57B4DCDC"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Citation search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1759)</w:t>
                        </w:r>
                      </w:p>
                      <w:p w14:paraId="27F7AD62" w14:textId="3B2C1EB6"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Both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39)</w:t>
                        </w:r>
                      </w:p>
                    </w:txbxContent>
                  </v:textbox>
                </v:rect>
                <v:rect id="Rectangle 12" o:spid="_x0000_s1032" style="position:absolute;left:22800;width:18479;height:10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" filled="f">
                  <v:textbox inset="1mm,1mm,1mm,1mm">
                    <w:txbxContent>
                      <w:p w14:paraId="63C3472A"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References identified from other sources e.g. other reviews (n = 7)</w:t>
                        </w:r>
                      </w:p>
                      <w:p w14:paraId="558E09CC" w14:textId="1437E5A4"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From previous reviews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5)</w:t>
                        </w:r>
                      </w:p>
                      <w:p w14:paraId="451AB465" w14:textId="06C4CB77" w:rsidR="00054FE8" w:rsidRPr="009C302F" w:rsidRDefault="00054FE8" w:rsidP="009C302F">
                        <w:pPr>
                          <w:spacing w:after="0" w:line="240" w:lineRule="auto"/>
                          <w:contextualSpacing/>
                          <w:rPr>
                            <w:rFonts w:cs="Times New Roman"/>
                            <w:sz w:val="20"/>
                            <w:szCs w:val="20"/>
                          </w:rPr>
                        </w:pPr>
                        <w:r w:rsidRPr="009C302F">
                          <w:rPr>
                            <w:rFonts w:cs="Times New Roman"/>
                            <w:sz w:val="20"/>
                            <w:szCs w:val="20"/>
                          </w:rPr>
                          <w:t>- Chance find (n</w:t>
                        </w:r>
                        <w:r>
                          <w:rPr>
                            <w:rFonts w:cs="Times New Roman"/>
                            <w:sz w:val="20"/>
                            <w:szCs w:val="20"/>
                          </w:rPr>
                          <w:t xml:space="preserve"> </w:t>
                        </w:r>
                        <w:r w:rsidRPr="009C302F">
                          <w:rPr>
                            <w:rFonts w:cs="Times New Roman"/>
                            <w:sz w:val="20"/>
                            <w:szCs w:val="20"/>
                          </w:rPr>
                          <w:t>=</w:t>
                        </w:r>
                        <w:r>
                          <w:rPr>
                            <w:rFonts w:cs="Times New Roman"/>
                            <w:sz w:val="20"/>
                            <w:szCs w:val="20"/>
                          </w:rPr>
                          <w:t xml:space="preserve"> </w:t>
                        </w:r>
                        <w:r w:rsidRPr="009C302F">
                          <w:rPr>
                            <w:rFonts w:cs="Times New Roman"/>
                            <w:sz w:val="20"/>
                            <w:szCs w:val="20"/>
                          </w:rPr>
                          <w:t>2)</w:t>
                        </w:r>
                      </w:p>
                    </w:txbxContent>
                  </v:textbox>
                </v:rect>
                <v:shapetype id="_x0000_t32" coordsize="21600,21600" o:spt="32" o:oned="t" path="m,l21600,21600e" filled="f">
                  <v:path arrowok="t" fillok="f" o:connecttype="none"/>
                  <o:lock v:ext="edit" shapetype="t"/>
                </v:shapetype>
                <v:shape id="Straight Arrow Connector 15" o:spid="_x0000_s1033" type="#_x0000_t32" style="position:absolute;left:8668;top:10925;width:543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" strokeweight=".5pt">
                  <v:stroke endarrow="block"/>
                  <v:shadow color="#ccc"/>
                </v:shape>
                <v:shape id="Straight Arrow Connector 17" o:spid="_x0000_s1034" type="#_x0000_t32" style="position:absolute;left:22800;top:10925;width:8287;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" strokeweight=".5pt">
                  <v:stroke endarrow="block"/>
                  <v:shadow color="#ccc"/>
                </v:shape>
                <v:rect id="Rectangle 20" o:spid="_x0000_s1035" style="position:absolute;left:10569;top:21494;width:1638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" filled="f">
                  <v:textbox inset="1mm,1mm,1mm,1mm">
                    <w:txbxContent>
                      <w:p w14:paraId="2C876600" w14:textId="77777777" w:rsidR="00054FE8" w:rsidRPr="009C302F" w:rsidRDefault="00054FE8" w:rsidP="009C302F">
                        <w:pPr>
                          <w:spacing w:line="240" w:lineRule="auto"/>
                          <w:contextualSpacing/>
                          <w:jc w:val="center"/>
                          <w:rPr>
                            <w:rFonts w:cs="Times New Roman"/>
                            <w:sz w:val="20"/>
                            <w:szCs w:val="20"/>
                          </w:rPr>
                        </w:pPr>
                        <w:r w:rsidRPr="009C302F">
                          <w:rPr>
                            <w:rFonts w:cs="Times New Roman"/>
                            <w:sz w:val="20"/>
                            <w:szCs w:val="20"/>
                          </w:rPr>
                          <w:t>Full-text references screened</w:t>
                        </w:r>
                        <w:r w:rsidRPr="009C302F">
                          <w:rPr>
                            <w:rFonts w:cs="Times New Roman"/>
                            <w:sz w:val="20"/>
                            <w:szCs w:val="20"/>
                          </w:rPr>
                          <w:br/>
                          <w:t>(n = 199)</w:t>
                        </w:r>
                      </w:p>
                    </w:txbxContent>
                  </v:textbox>
                </v:rect>
                <v:shape id="Straight Arrow Connector 9" o:spid="_x0000_s1036" type="#_x0000_t32" style="position:absolute;left:17931;top:19000;width:15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" strokecolor="windowText" strokeweight=".5pt">
                  <v:stroke endarrow="block" joinstyle="miter"/>
                </v:shape>
                <v:shape id="Straight Arrow Connector 3" o:spid="_x0000_s1037" type="#_x0000_t32" style="position:absolute;left:17812;top:17812;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" strokecolor="windowText" strokeweight=".5pt">
                  <v:stroke endarrow="block" joinstyle="miter"/>
                </v:shape>
                <v:shape id="Straight Arrow Connector 8" o:spid="_x0000_s1038" type="#_x0000_t32" style="position:absolute;left:17812;top:25888;width:0;height:1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" strokecolor="windowText" strokeweight=".5pt">
                  <v:stroke endarrow="block" joinstyle="miter"/>
                </v:shape>
                <v:shape id="Straight Arrow Connector 2" o:spid="_x0000_s1039" type="#_x0000_t32" style="position:absolute;left:17812;top:32894;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" strokecolor="windowText" strokeweight=".5pt">
                  <v:stroke endarrow="block" joinstyle="miter"/>
                </v:shape>
                <w10:anchorlock/>
              </v:group>
            </w:pict>
          </mc:Fallback>
        </mc:AlternateContent>
      </w:r>
    </w:p>
    <w:p w14:paraId="0829631D" w14:textId="77777777" w:rsidR="00716DF9" w:rsidRPr="002D1DD7" w:rsidRDefault="00716DF9" w:rsidP="00716DF9">
      <w:pPr>
        <w:jc w:val="both"/>
        <w:rPr>
          <w:rFonts w:asciiTheme="majorBidi" w:eastAsia="Times New Roman" w:hAnsiTheme="majorBidi" w:cstheme="majorBidi"/>
          <w:color w:val="000000"/>
          <w:lang w:eastAsia="en-GB"/>
        </w:rPr>
      </w:pPr>
    </w:p>
    <w:p w14:paraId="36CC064F" w14:textId="77777777" w:rsidR="00716DF9" w:rsidRPr="002D1DD7" w:rsidRDefault="00716DF9" w:rsidP="009904DB">
      <w:pPr>
        <w:pStyle w:val="Heading3"/>
      </w:pPr>
      <w:bookmarkStart w:id="81" w:name="_Toc13832953"/>
      <w:bookmarkStart w:id="82" w:name="_Toc33776176"/>
      <w:r w:rsidRPr="002D1DD7">
        <w:t>Characteristics of included studies</w:t>
      </w:r>
      <w:bookmarkEnd w:id="81"/>
      <w:bookmarkEnd w:id="82"/>
    </w:p>
    <w:p w14:paraId="3C93546B" w14:textId="2E8EFBB2" w:rsidR="00716DF9" w:rsidRPr="002D1DD7" w:rsidRDefault="00716DF9" w:rsidP="00BD64B8">
      <w:pPr>
        <w:rPr>
          <w:lang w:eastAsia="en-GB"/>
        </w:rPr>
      </w:pPr>
      <w:r w:rsidRPr="002D1DD7">
        <w:rPr>
          <w:lang w:eastAsia="en-GB"/>
        </w:rPr>
        <w:t xml:space="preserve">Full details of study characteristics for the 63 included studies are shown in Appendix </w:t>
      </w:r>
      <w:r w:rsidR="004809F7">
        <w:rPr>
          <w:lang w:eastAsia="en-GB"/>
        </w:rPr>
        <w:t>4</w:t>
      </w:r>
      <w:r w:rsidRPr="002D1DD7">
        <w:rPr>
          <w:lang w:eastAsia="en-GB"/>
        </w:rPr>
        <w:t xml:space="preserve"> </w:t>
      </w:r>
      <w:r w:rsidR="00A579CA" w:rsidRPr="002D1DD7">
        <w:rPr>
          <w:lang w:eastAsia="en-GB"/>
        </w:rPr>
        <w:t>(note that 8 references</w:t>
      </w:r>
      <w:r w:rsidR="00A579CA" w:rsidRPr="002D1DD7">
        <w:rPr>
          <w:lang w:eastAsia="en-GB"/>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eHQ+PHN0eWxlIGZhY2U9InN1cGVyc2NyaXB0Ij43OCwgMTA2LCAxMDgsIDEyNSwgMTI3LCAxMzcs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TkVXUz1OJmFtcDtQQUdFPWZ1bGx0ZXh0JmFtcDtEPW1lZDUmYW1wO0FOPTE2OTQ1NzY5JiN4RDto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PVkmYW1wO05FV1M9TiZhbXA7UEFHRT1mdWxsdGV4dCZhbXA7RD1tZWQxMyZhbXA7QU49MjkyNjA2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YW1wO1BBR0U9ZnVsbHRleHQmYW1wO0Q9bWVkNiZhbXA7QU49MTk4MjYzNTU8L3N0eWxlPjxzdHls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</w:fldData>
        </w:fldChar>
      </w:r>
      <w:r w:rsidR="000E66DE">
        <w:rPr>
          <w:lang w:eastAsia="en-GB"/>
        </w:rPr>
        <w:instrText xml:space="preserve"> ADDIN EN.CITE </w:instrText>
      </w:r>
      <w:r w:rsidR="000E66DE">
        <w:rPr>
          <w:lang w:eastAsia="en-GB"/>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eHQ+PHN0eWxlIGZhY2U9InN1cGVyc2NyaXB0Ij43OCwgMTA2LCAxMDgsIDEyNSwgMTI3LCAxMzcs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TkVXUz1OJmFtcDtQQUdFPWZ1bGx0ZXh0JmFtcDtEPW1lZDUmYW1wO0FOPTE2OTQ1NzY5JiN4RDto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PVkmYW1wO05FV1M9TiZhbXA7UEFHRT1mdWxsdGV4dCZhbXA7RD1tZWQxMyZhbXA7QU49MjkyNjA2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YW1wO1BBR0U9ZnVsbHRleHQmYW1wO0Q9bWVkNiZhbXA7QU49MTk4MjYzNTU8L3N0eWxlPjxzdHls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</w:fldData>
        </w:fldChar>
      </w:r>
      <w:r w:rsidR="000E66DE">
        <w:rPr>
          <w:lang w:eastAsia="en-GB"/>
        </w:rPr>
        <w:instrText xml:space="preserve"> ADDIN EN.CITE.DATA </w:instrText>
      </w:r>
      <w:r w:rsidR="000E66DE">
        <w:rPr>
          <w:lang w:eastAsia="en-GB"/>
        </w:rPr>
      </w:r>
      <w:r w:rsidR="000E66DE">
        <w:rPr>
          <w:lang w:eastAsia="en-GB"/>
        </w:rPr>
        <w:fldChar w:fldCharType="end"/>
      </w:r>
      <w:r w:rsidR="00A579CA" w:rsidRPr="002D1DD7">
        <w:rPr>
          <w:lang w:eastAsia="en-GB"/>
        </w:rPr>
      </w:r>
      <w:r w:rsidR="00A579CA" w:rsidRPr="002D1DD7">
        <w:rPr>
          <w:lang w:eastAsia="en-GB"/>
        </w:rPr>
        <w:fldChar w:fldCharType="separate"/>
      </w:r>
      <w:r w:rsidR="003117A9" w:rsidRPr="003117A9">
        <w:rPr>
          <w:noProof/>
          <w:vertAlign w:val="superscript"/>
          <w:lang w:eastAsia="en-GB"/>
        </w:rPr>
        <w:t>78, 106, 108, 125, 127, 137, 138, 141</w:t>
      </w:r>
      <w:r w:rsidR="00A579CA" w:rsidRPr="002D1DD7">
        <w:rPr>
          <w:lang w:eastAsia="en-GB"/>
        </w:rPr>
        <w:fldChar w:fldCharType="end"/>
      </w:r>
      <w:r w:rsidR="00A579CA" w:rsidRPr="002D1DD7">
        <w:rPr>
          <w:lang w:eastAsia="en-GB"/>
        </w:rPr>
        <w:t xml:space="preserve"> appear on more than one row as they report on more than one cancer type)</w:t>
      </w:r>
      <w:r w:rsidRPr="002D1DD7">
        <w:rPr>
          <w:lang w:eastAsia="en-GB"/>
        </w:rPr>
        <w:t>.</w:t>
      </w:r>
    </w:p>
    <w:p w14:paraId="7B1A6B94" w14:textId="77777777" w:rsidR="00716DF9" w:rsidRPr="002D1DD7" w:rsidRDefault="00716DF9" w:rsidP="00223273">
      <w:pPr>
        <w:pStyle w:val="Heading4"/>
        <w:rPr>
          <w:rFonts w:eastAsia="Times New Roman"/>
          <w:lang w:eastAsia="en-GB"/>
        </w:rPr>
      </w:pPr>
      <w:bookmarkStart w:id="83" w:name="_Toc33776177"/>
      <w:r w:rsidRPr="002D1DD7">
        <w:rPr>
          <w:rFonts w:eastAsia="Times New Roman"/>
          <w:lang w:eastAsia="en-GB"/>
        </w:rPr>
        <w:t>Surrogate relationships, cancer types and treatments</w:t>
      </w:r>
      <w:bookmarkEnd w:id="83"/>
    </w:p>
    <w:p w14:paraId="2B0E72BE" w14:textId="443A2DEA" w:rsidR="00716DF9" w:rsidRPr="002D1DD7" w:rsidRDefault="00716DF9" w:rsidP="00BD64B8">
      <w:pPr>
        <w:rPr>
          <w:lang w:eastAsia="en-GB"/>
        </w:rPr>
      </w:pPr>
      <w:r w:rsidRPr="002D1DD7">
        <w:rPr>
          <w:lang w:eastAsia="en-GB"/>
        </w:rPr>
        <w:t xml:space="preserve">A summary of surrogate relationships, cancer types and treatments is provided in </w:t>
      </w:r>
      <w:r w:rsidRPr="002D1DD7">
        <w:rPr>
          <w:lang w:eastAsia="en-GB"/>
        </w:rPr>
        <w:fldChar w:fldCharType="begin"/>
      </w:r>
      <w:r w:rsidRPr="002D1DD7">
        <w:rPr>
          <w:lang w:eastAsia="en-GB"/>
        </w:rPr>
        <w:instrText xml:space="preserve"> REF _Ref19000446 \h  \* MERGEFORMAT </w:instrText>
      </w:r>
      <w:r w:rsidRPr="002D1DD7">
        <w:rPr>
          <w:lang w:eastAsia="en-GB"/>
        </w:rPr>
      </w:r>
      <w:r w:rsidRPr="002D1DD7">
        <w:rPr>
          <w:lang w:eastAsia="en-GB"/>
        </w:rPr>
        <w:fldChar w:fldCharType="separate"/>
      </w:r>
      <w:r w:rsidR="00C663A2" w:rsidRPr="002D1DD7">
        <w:t xml:space="preserve">Table </w:t>
      </w:r>
      <w:r w:rsidR="00C663A2">
        <w:t>4</w:t>
      </w:r>
      <w:r w:rsidRPr="002D1DD7">
        <w:rPr>
          <w:lang w:eastAsia="en-GB"/>
        </w:rPr>
        <w:fldChar w:fldCharType="end"/>
      </w:r>
      <w:r w:rsidRPr="002D1DD7">
        <w:rPr>
          <w:lang w:eastAsia="en-GB"/>
        </w:rPr>
        <w:t xml:space="preserve">. The most commonly reported surrogate relationships were </w:t>
      </w:r>
      <w:r w:rsidR="00B80A44">
        <w:rPr>
          <w:lang w:eastAsia="en-GB"/>
        </w:rPr>
        <w:t>O</w:t>
      </w:r>
      <w:r w:rsidRPr="002D1DD7">
        <w:rPr>
          <w:lang w:eastAsia="en-GB"/>
        </w:rPr>
        <w:t xml:space="preserve">RR to OS (57 studies), </w:t>
      </w:r>
      <w:r w:rsidR="00B80A44">
        <w:rPr>
          <w:lang w:eastAsia="en-GB"/>
        </w:rPr>
        <w:t>O</w:t>
      </w:r>
      <w:r w:rsidRPr="002D1DD7">
        <w:rPr>
          <w:lang w:eastAsia="en-GB"/>
        </w:rPr>
        <w:t>RR to PFS (22 studies), CR to OS (8 studies) and CR to PFS (7 studies). Other response outcomes (DoR, PR, VGPR/CR) were only reported in 1-2 studies each.</w:t>
      </w:r>
    </w:p>
    <w:p w14:paraId="1F127C29" w14:textId="564A3B2C" w:rsidR="00716DF9" w:rsidRPr="002D1DD7" w:rsidRDefault="00716DF9" w:rsidP="00A13248">
      <w:pPr>
        <w:rPr>
          <w:lang w:eastAsia="en-GB"/>
        </w:rPr>
      </w:pPr>
      <w:r w:rsidRPr="002D1DD7">
        <w:rPr>
          <w:lang w:eastAsia="en-GB"/>
        </w:rPr>
        <w:lastRenderedPageBreak/>
        <w:t>Twenty different cancer types were analysed (</w:t>
      </w:r>
      <w:r w:rsidRPr="002D1DD7">
        <w:rPr>
          <w:lang w:eastAsia="en-GB"/>
        </w:rPr>
        <w:fldChar w:fldCharType="begin"/>
      </w:r>
      <w:r w:rsidRPr="002D1DD7">
        <w:rPr>
          <w:lang w:eastAsia="en-GB"/>
        </w:rPr>
        <w:instrText xml:space="preserve"> REF _Ref19000446 \h  \* MERGEFORMAT </w:instrText>
      </w:r>
      <w:r w:rsidRPr="002D1DD7">
        <w:rPr>
          <w:lang w:eastAsia="en-GB"/>
        </w:rPr>
      </w:r>
      <w:r w:rsidRPr="002D1DD7">
        <w:rPr>
          <w:lang w:eastAsia="en-GB"/>
        </w:rPr>
        <w:fldChar w:fldCharType="separate"/>
      </w:r>
      <w:r w:rsidR="00C663A2" w:rsidRPr="002D1DD7">
        <w:t xml:space="preserve">Table </w:t>
      </w:r>
      <w:r w:rsidR="00C663A2">
        <w:t>4</w:t>
      </w:r>
      <w:r w:rsidRPr="002D1DD7">
        <w:rPr>
          <w:lang w:eastAsia="en-GB"/>
        </w:rPr>
        <w:fldChar w:fldCharType="end"/>
      </w:r>
      <w:r w:rsidRPr="002D1DD7">
        <w:rPr>
          <w:lang w:eastAsia="en-GB"/>
        </w:rPr>
        <w:t xml:space="preserve">), the most common being NSCLC (16 studies), </w:t>
      </w:r>
      <w:r w:rsidR="00B80A44">
        <w:rPr>
          <w:lang w:eastAsia="en-GB"/>
        </w:rPr>
        <w:t>CRC</w:t>
      </w:r>
      <w:r w:rsidRPr="002D1DD7">
        <w:rPr>
          <w:lang w:eastAsia="en-GB"/>
        </w:rPr>
        <w:t xml:space="preserve"> (10 studies), various solid tumours (8 studies) and breast cancer (5 studies). Disease stage was advanced/metastatic in 43 studies and unclear in 9 studies (</w:t>
      </w:r>
      <w:r w:rsidRPr="002D1DD7">
        <w:rPr>
          <w:lang w:eastAsia="en-GB"/>
        </w:rPr>
        <w:fldChar w:fldCharType="begin"/>
      </w:r>
      <w:r w:rsidRPr="002D1DD7">
        <w:rPr>
          <w:lang w:eastAsia="en-GB"/>
        </w:rPr>
        <w:instrText xml:space="preserve"> REF _Ref19000446 \h  \* MERGEFORMAT </w:instrText>
      </w:r>
      <w:r w:rsidRPr="002D1DD7">
        <w:rPr>
          <w:lang w:eastAsia="en-GB"/>
        </w:rPr>
      </w:r>
      <w:r w:rsidRPr="002D1DD7">
        <w:rPr>
          <w:lang w:eastAsia="en-GB"/>
        </w:rPr>
        <w:fldChar w:fldCharType="separate"/>
      </w:r>
      <w:r w:rsidR="00C663A2" w:rsidRPr="002D1DD7">
        <w:t xml:space="preserve">Table </w:t>
      </w:r>
      <w:r w:rsidR="00C663A2">
        <w:t>4</w:t>
      </w:r>
      <w:r w:rsidRPr="002D1DD7">
        <w:rPr>
          <w:lang w:eastAsia="en-GB"/>
        </w:rPr>
        <w:fldChar w:fldCharType="end"/>
      </w:r>
      <w:r w:rsidRPr="002D1DD7">
        <w:rPr>
          <w:lang w:eastAsia="en-GB"/>
        </w:rPr>
        <w:t>), while the remainder (11 studies) gave other descriptions mostly indicating advanced, extensive or recurrent disease. Treatment was first-line in 23 studies, later lines or combinations of lines in 32 studies, and not reported in 8 studies. Treatment type was chemotherapy in 21 studies, immune checkpoint inhibitors in 9 studies, targeted therapy in 8 studies, and various other treatment combinations in the remainder.</w:t>
      </w:r>
    </w:p>
    <w:p w14:paraId="2332009F" w14:textId="77777777" w:rsidR="00716DF9" w:rsidRPr="002D1DD7" w:rsidRDefault="00716DF9" w:rsidP="00223273">
      <w:pPr>
        <w:pStyle w:val="Heading4"/>
        <w:rPr>
          <w:rFonts w:eastAsia="Times New Roman"/>
          <w:lang w:eastAsia="en-GB"/>
        </w:rPr>
      </w:pPr>
      <w:bookmarkStart w:id="84" w:name="_Toc33776178"/>
      <w:r w:rsidRPr="002D1DD7">
        <w:rPr>
          <w:rFonts w:eastAsia="Times New Roman"/>
          <w:lang w:eastAsia="en-GB"/>
        </w:rPr>
        <w:t>Data types reported</w:t>
      </w:r>
      <w:bookmarkEnd w:id="84"/>
    </w:p>
    <w:p w14:paraId="504E916D" w14:textId="1F4E3F38" w:rsidR="00716DF9" w:rsidRPr="002D1DD7" w:rsidRDefault="00716DF9" w:rsidP="00A13248">
      <w:pPr>
        <w:rPr>
          <w:lang w:eastAsia="en-GB"/>
        </w:rPr>
      </w:pPr>
      <w:r w:rsidRPr="002D1DD7">
        <w:rPr>
          <w:lang w:eastAsia="en-GB"/>
        </w:rPr>
        <w:fldChar w:fldCharType="begin"/>
      </w:r>
      <w:r w:rsidRPr="002D1DD7">
        <w:rPr>
          <w:lang w:eastAsia="en-GB"/>
        </w:rPr>
        <w:instrText xml:space="preserve"> REF _Ref19001312 \h  \* MERGEFORMAT </w:instrText>
      </w:r>
      <w:r w:rsidRPr="002D1DD7">
        <w:rPr>
          <w:lang w:eastAsia="en-GB"/>
        </w:rPr>
      </w:r>
      <w:r w:rsidRPr="002D1DD7">
        <w:rPr>
          <w:lang w:eastAsia="en-GB"/>
        </w:rPr>
        <w:fldChar w:fldCharType="separate"/>
      </w:r>
      <w:r w:rsidR="00C663A2" w:rsidRPr="002D1DD7">
        <w:t xml:space="preserve">Table </w:t>
      </w:r>
      <w:r w:rsidR="00C663A2">
        <w:t>5</w:t>
      </w:r>
      <w:r w:rsidRPr="002D1DD7">
        <w:rPr>
          <w:lang w:eastAsia="en-GB"/>
        </w:rPr>
        <w:fldChar w:fldCharType="end"/>
      </w:r>
      <w:r w:rsidRPr="002D1DD7">
        <w:rPr>
          <w:lang w:eastAsia="en-GB"/>
        </w:rPr>
        <w:t xml:space="preserve"> summarises the data types reported in the included meta-regressions. The various meta-regressions included between 4 and 191 primary studies and between 407 and 44,125 patients each. The majority of meta-regressions (N=44) included only RCTs, while 17 included both RCTs and single-arm studies and 2 included only single-arm studies. Most meta-regressions (N=58) analysed aggregate data (e.g. medians or other summary measure per study arm), whilst 5 analysed IPD. Across all meta-regressions, 32 reported absolute (individual-level) associations, 38 reported treatment effect (trial-level) associations, and only 4 reported the STE.</w:t>
      </w:r>
    </w:p>
    <w:p w14:paraId="0C6F8C8E" w14:textId="0BA0C363" w:rsidR="00716DF9" w:rsidRPr="002D1DD7" w:rsidRDefault="00716DF9" w:rsidP="00716DF9">
      <w:pPr>
        <w:spacing w:after="0"/>
        <w:jc w:val="both"/>
        <w:rPr>
          <w:rFonts w:asciiTheme="majorBidi" w:eastAsia="Times New Roman" w:hAnsiTheme="majorBidi" w:cstheme="majorBidi"/>
          <w:lang w:eastAsia="en-GB"/>
        </w:rPr>
      </w:pPr>
    </w:p>
    <w:p w14:paraId="31745F18" w14:textId="77777777" w:rsidR="00223273" w:rsidRPr="002D1DD7" w:rsidRDefault="00223273" w:rsidP="00716DF9">
      <w:pPr>
        <w:spacing w:after="0"/>
        <w:jc w:val="both"/>
        <w:rPr>
          <w:rFonts w:asciiTheme="majorBidi" w:eastAsia="Times New Roman" w:hAnsiTheme="majorBidi" w:cstheme="majorBidi"/>
          <w:lang w:eastAsia="en-GB"/>
        </w:rPr>
      </w:pPr>
    </w:p>
    <w:p w14:paraId="2E6FE9A5" w14:textId="77777777" w:rsidR="00716DF9" w:rsidRPr="002D1DD7" w:rsidRDefault="00716DF9" w:rsidP="00716DF9">
      <w:pPr>
        <w:spacing w:after="0"/>
        <w:jc w:val="both"/>
        <w:rPr>
          <w:rFonts w:asciiTheme="majorBidi" w:eastAsia="Times New Roman" w:hAnsiTheme="majorBidi" w:cstheme="majorBidi"/>
          <w:lang w:eastAsia="en-GB"/>
        </w:rPr>
        <w:sectPr w:rsidR="00716DF9" w:rsidRPr="002D1DD7">
          <w:headerReference w:type="default" r:id="rId9"/>
          <w:footerReference w:type="default" r:id="rId10"/>
          <w:pgSz w:w="11906" w:h="16838"/>
          <w:pgMar w:top="1440" w:right="1440" w:bottom="1440" w:left="1440" w:header="708" w:footer="708" w:gutter="0"/>
          <w:cols w:space="708"/>
          <w:docGrid w:linePitch="360"/>
        </w:sectPr>
      </w:pPr>
    </w:p>
    <w:p w14:paraId="1663326A" w14:textId="4B4ADF85" w:rsidR="00716DF9" w:rsidRPr="002D1DD7" w:rsidRDefault="00716DF9" w:rsidP="00A13248">
      <w:pPr>
        <w:pStyle w:val="Caption"/>
        <w:rPr>
          <w:rFonts w:eastAsia="Times New Roman"/>
          <w:lang w:eastAsia="en-GB"/>
        </w:rPr>
      </w:pPr>
      <w:bookmarkStart w:id="85" w:name="_Ref19000446"/>
      <w:bookmarkStart w:id="86" w:name="_Toc34033518"/>
      <w:r w:rsidRPr="002D1DD7">
        <w:lastRenderedPageBreak/>
        <w:t xml:space="preserve">Table </w:t>
      </w:r>
      <w:r w:rsidR="00C974E5">
        <w:fldChar w:fldCharType="begin"/>
      </w:r>
      <w:r w:rsidR="00C974E5">
        <w:instrText xml:space="preserve"> SEQ Table \* ARABIC </w:instrText>
      </w:r>
      <w:r w:rsidR="00C974E5">
        <w:fldChar w:fldCharType="separate"/>
      </w:r>
      <w:r w:rsidR="00C663A2">
        <w:rPr>
          <w:noProof/>
        </w:rPr>
        <w:t>4</w:t>
      </w:r>
      <w:r w:rsidR="00C974E5">
        <w:rPr>
          <w:noProof/>
        </w:rPr>
        <w:fldChar w:fldCharType="end"/>
      </w:r>
      <w:bookmarkEnd w:id="85"/>
      <w:r w:rsidRPr="002D1DD7">
        <w:t>: Study characteristics: Surrogate relationships, cancer types and treatments</w:t>
      </w:r>
      <w:bookmarkEnd w:id="86"/>
    </w:p>
    <w:tbl>
      <w:tblPr>
        <w:tblStyle w:val="TableGrid"/>
        <w:tblW w:w="11605" w:type="dxa"/>
        <w:tblLook w:val="04A0" w:firstRow="1" w:lastRow="0" w:firstColumn="1" w:lastColumn="0" w:noHBand="0" w:noVBand="1"/>
      </w:tblPr>
      <w:tblGrid>
        <w:gridCol w:w="1560"/>
        <w:gridCol w:w="426"/>
        <w:gridCol w:w="1785"/>
        <w:gridCol w:w="483"/>
        <w:gridCol w:w="2551"/>
        <w:gridCol w:w="406"/>
        <w:gridCol w:w="1701"/>
        <w:gridCol w:w="425"/>
        <w:gridCol w:w="1843"/>
        <w:gridCol w:w="425"/>
      </w:tblGrid>
      <w:tr w:rsidR="00716DF9" w:rsidRPr="00A13248" w14:paraId="3E47707E" w14:textId="77777777" w:rsidTr="00716DF9">
        <w:trPr>
          <w:cantSplit/>
          <w:tblHeader/>
        </w:trPr>
        <w:tc>
          <w:tcPr>
            <w:tcW w:w="1560" w:type="dxa"/>
            <w:tcMar>
              <w:left w:w="28" w:type="dxa"/>
              <w:right w:w="28" w:type="dxa"/>
            </w:tcMar>
          </w:tcPr>
          <w:p w14:paraId="7691CD51"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Surrogate relationship</w:t>
            </w:r>
          </w:p>
        </w:tc>
        <w:tc>
          <w:tcPr>
            <w:tcW w:w="426" w:type="dxa"/>
            <w:tcMar>
              <w:left w:w="28" w:type="dxa"/>
              <w:right w:w="28" w:type="dxa"/>
            </w:tcMar>
          </w:tcPr>
          <w:p w14:paraId="527EA133"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N</w:t>
            </w:r>
          </w:p>
        </w:tc>
        <w:tc>
          <w:tcPr>
            <w:tcW w:w="1785" w:type="dxa"/>
            <w:tcMar>
              <w:left w:w="28" w:type="dxa"/>
              <w:right w:w="28" w:type="dxa"/>
            </w:tcMar>
          </w:tcPr>
          <w:p w14:paraId="5EFAF645"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Cancer type</w:t>
            </w:r>
          </w:p>
        </w:tc>
        <w:tc>
          <w:tcPr>
            <w:tcW w:w="483" w:type="dxa"/>
            <w:tcMar>
              <w:left w:w="28" w:type="dxa"/>
              <w:right w:w="28" w:type="dxa"/>
            </w:tcMar>
          </w:tcPr>
          <w:p w14:paraId="5CC69F9D"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N</w:t>
            </w:r>
          </w:p>
        </w:tc>
        <w:tc>
          <w:tcPr>
            <w:tcW w:w="2551" w:type="dxa"/>
            <w:tcMar>
              <w:left w:w="28" w:type="dxa"/>
              <w:right w:w="28" w:type="dxa"/>
            </w:tcMar>
          </w:tcPr>
          <w:p w14:paraId="4AE62F1D"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Disease stage</w:t>
            </w:r>
          </w:p>
        </w:tc>
        <w:tc>
          <w:tcPr>
            <w:tcW w:w="406" w:type="dxa"/>
            <w:tcMar>
              <w:left w:w="28" w:type="dxa"/>
              <w:right w:w="28" w:type="dxa"/>
            </w:tcMar>
          </w:tcPr>
          <w:p w14:paraId="7BAA46A5"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N</w:t>
            </w:r>
          </w:p>
        </w:tc>
        <w:tc>
          <w:tcPr>
            <w:tcW w:w="1701" w:type="dxa"/>
            <w:tcMar>
              <w:left w:w="28" w:type="dxa"/>
              <w:right w:w="28" w:type="dxa"/>
            </w:tcMar>
          </w:tcPr>
          <w:p w14:paraId="4E652359"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Line of treatment</w:t>
            </w:r>
          </w:p>
        </w:tc>
        <w:tc>
          <w:tcPr>
            <w:tcW w:w="425" w:type="dxa"/>
            <w:tcMar>
              <w:left w:w="28" w:type="dxa"/>
              <w:right w:w="28" w:type="dxa"/>
            </w:tcMar>
          </w:tcPr>
          <w:p w14:paraId="1909ED78"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N</w:t>
            </w:r>
          </w:p>
        </w:tc>
        <w:tc>
          <w:tcPr>
            <w:tcW w:w="1843" w:type="dxa"/>
            <w:tcMar>
              <w:left w:w="28" w:type="dxa"/>
              <w:right w:w="28" w:type="dxa"/>
            </w:tcMar>
          </w:tcPr>
          <w:p w14:paraId="2CE7C9CB"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Treatment type</w:t>
            </w:r>
          </w:p>
        </w:tc>
        <w:tc>
          <w:tcPr>
            <w:tcW w:w="425" w:type="dxa"/>
            <w:tcMar>
              <w:left w:w="28" w:type="dxa"/>
              <w:right w:w="28" w:type="dxa"/>
            </w:tcMar>
          </w:tcPr>
          <w:p w14:paraId="5335493C" w14:textId="77777777" w:rsidR="00716DF9" w:rsidRPr="00A13248" w:rsidRDefault="00716DF9" w:rsidP="00716DF9">
            <w:pPr>
              <w:rPr>
                <w:rFonts w:eastAsia="Times New Roman" w:cs="Times New Roman"/>
                <w:b/>
                <w:bCs/>
                <w:sz w:val="20"/>
                <w:szCs w:val="20"/>
                <w:lang w:eastAsia="en-GB"/>
              </w:rPr>
            </w:pPr>
            <w:r w:rsidRPr="00A13248">
              <w:rPr>
                <w:rFonts w:eastAsia="Times New Roman" w:cs="Times New Roman"/>
                <w:b/>
                <w:bCs/>
                <w:sz w:val="20"/>
                <w:szCs w:val="20"/>
                <w:lang w:eastAsia="en-GB"/>
              </w:rPr>
              <w:t>N</w:t>
            </w:r>
          </w:p>
        </w:tc>
      </w:tr>
      <w:tr w:rsidR="00716DF9" w:rsidRPr="00A13248" w14:paraId="619E2EFD" w14:textId="77777777" w:rsidTr="00716DF9">
        <w:trPr>
          <w:cantSplit/>
        </w:trPr>
        <w:tc>
          <w:tcPr>
            <w:tcW w:w="1560" w:type="dxa"/>
            <w:tcMar>
              <w:left w:w="28" w:type="dxa"/>
              <w:right w:w="28" w:type="dxa"/>
            </w:tcMar>
          </w:tcPr>
          <w:p w14:paraId="55B3689D" w14:textId="1F925CC1" w:rsidR="00716DF9" w:rsidRPr="00A13248" w:rsidRDefault="00650E8D" w:rsidP="00716DF9">
            <w:pPr>
              <w:ind w:left="108" w:hanging="108"/>
              <w:rPr>
                <w:rFonts w:eastAsia="Times New Roman" w:cs="Times New Roman"/>
                <w:sz w:val="20"/>
                <w:szCs w:val="20"/>
                <w:lang w:eastAsia="en-GB"/>
              </w:rPr>
            </w:pPr>
            <w:r w:rsidRPr="00A13248">
              <w:rPr>
                <w:rFonts w:eastAsia="Times New Roman" w:cs="Times New Roman"/>
                <w:sz w:val="20"/>
                <w:szCs w:val="20"/>
                <w:lang w:eastAsia="en-GB"/>
              </w:rPr>
              <w:t>O</w:t>
            </w:r>
            <w:r w:rsidR="00716DF9" w:rsidRPr="00A13248">
              <w:rPr>
                <w:rFonts w:eastAsia="Times New Roman" w:cs="Times New Roman"/>
                <w:sz w:val="20"/>
                <w:szCs w:val="20"/>
                <w:lang w:eastAsia="en-GB"/>
              </w:rPr>
              <w:t>RR to OS</w:t>
            </w:r>
          </w:p>
          <w:p w14:paraId="5EC13CE1" w14:textId="68CFAE4C" w:rsidR="00716DF9" w:rsidRPr="00A13248" w:rsidRDefault="00650E8D" w:rsidP="00716DF9">
            <w:pPr>
              <w:ind w:left="108" w:hanging="108"/>
              <w:rPr>
                <w:rFonts w:eastAsia="Times New Roman" w:cs="Times New Roman"/>
                <w:sz w:val="20"/>
                <w:szCs w:val="20"/>
                <w:lang w:eastAsia="en-GB"/>
              </w:rPr>
            </w:pPr>
            <w:r w:rsidRPr="00A13248">
              <w:rPr>
                <w:rFonts w:eastAsia="Times New Roman" w:cs="Times New Roman"/>
                <w:sz w:val="20"/>
                <w:szCs w:val="20"/>
                <w:lang w:eastAsia="en-GB"/>
              </w:rPr>
              <w:t>O</w:t>
            </w:r>
            <w:r w:rsidR="00716DF9" w:rsidRPr="00A13248">
              <w:rPr>
                <w:rFonts w:eastAsia="Times New Roman" w:cs="Times New Roman"/>
                <w:sz w:val="20"/>
                <w:szCs w:val="20"/>
                <w:lang w:eastAsia="en-GB"/>
              </w:rPr>
              <w:t>RR to PFS</w:t>
            </w:r>
          </w:p>
          <w:p w14:paraId="36496885" w14:textId="77777777" w:rsidR="00716DF9" w:rsidRPr="00A13248" w:rsidRDefault="00716DF9" w:rsidP="00716DF9">
            <w:pPr>
              <w:ind w:left="108" w:hanging="108"/>
              <w:rPr>
                <w:rFonts w:cs="Times New Roman"/>
                <w:sz w:val="20"/>
                <w:szCs w:val="20"/>
              </w:rPr>
            </w:pPr>
            <w:r w:rsidRPr="00A13248">
              <w:rPr>
                <w:rFonts w:cs="Times New Roman"/>
                <w:sz w:val="20"/>
                <w:szCs w:val="20"/>
              </w:rPr>
              <w:t>CR to OS</w:t>
            </w:r>
          </w:p>
          <w:p w14:paraId="393B758E" w14:textId="77777777" w:rsidR="00716DF9" w:rsidRPr="00A13248" w:rsidRDefault="00716DF9" w:rsidP="00716DF9">
            <w:pPr>
              <w:ind w:left="108" w:hanging="108"/>
              <w:rPr>
                <w:rFonts w:cs="Times New Roman"/>
                <w:sz w:val="20"/>
                <w:szCs w:val="20"/>
              </w:rPr>
            </w:pPr>
            <w:r w:rsidRPr="00A13248">
              <w:rPr>
                <w:rFonts w:cs="Times New Roman"/>
                <w:sz w:val="20"/>
                <w:szCs w:val="20"/>
              </w:rPr>
              <w:t>CR to PFS</w:t>
            </w:r>
          </w:p>
          <w:p w14:paraId="3919AE1D" w14:textId="77777777" w:rsidR="00716DF9" w:rsidRPr="00A13248" w:rsidRDefault="00716DF9" w:rsidP="00716DF9">
            <w:pPr>
              <w:ind w:left="108" w:hanging="108"/>
              <w:rPr>
                <w:rFonts w:cs="Times New Roman"/>
                <w:sz w:val="20"/>
                <w:szCs w:val="20"/>
              </w:rPr>
            </w:pPr>
            <w:r w:rsidRPr="00A13248">
              <w:rPr>
                <w:rFonts w:cs="Times New Roman"/>
                <w:sz w:val="20"/>
                <w:szCs w:val="20"/>
              </w:rPr>
              <w:t>DoR to OS</w:t>
            </w:r>
          </w:p>
          <w:p w14:paraId="29396D19" w14:textId="44B2F7DC" w:rsidR="00716DF9" w:rsidRPr="00A13248" w:rsidRDefault="00650E8D" w:rsidP="00716DF9">
            <w:pPr>
              <w:ind w:left="108" w:hanging="108"/>
              <w:rPr>
                <w:rFonts w:cs="Times New Roman"/>
                <w:sz w:val="20"/>
                <w:szCs w:val="20"/>
              </w:rPr>
            </w:pPr>
            <w:r w:rsidRPr="00A13248">
              <w:rPr>
                <w:rFonts w:cs="Times New Roman"/>
                <w:sz w:val="20"/>
                <w:szCs w:val="20"/>
              </w:rPr>
              <w:t>O</w:t>
            </w:r>
            <w:r w:rsidR="00716DF9" w:rsidRPr="00A13248">
              <w:rPr>
                <w:rFonts w:cs="Times New Roman"/>
                <w:sz w:val="20"/>
                <w:szCs w:val="20"/>
              </w:rPr>
              <w:t>RR to TTP</w:t>
            </w:r>
          </w:p>
          <w:p w14:paraId="1B1B1467" w14:textId="77777777" w:rsidR="00716DF9" w:rsidRPr="00A13248" w:rsidRDefault="00716DF9" w:rsidP="00716DF9">
            <w:pPr>
              <w:ind w:left="108" w:hanging="108"/>
              <w:rPr>
                <w:rFonts w:cs="Times New Roman"/>
                <w:sz w:val="20"/>
                <w:szCs w:val="20"/>
              </w:rPr>
            </w:pPr>
            <w:r w:rsidRPr="00A13248">
              <w:rPr>
                <w:rFonts w:cs="Times New Roman"/>
                <w:sz w:val="20"/>
                <w:szCs w:val="20"/>
              </w:rPr>
              <w:t>PR to PFS</w:t>
            </w:r>
          </w:p>
          <w:p w14:paraId="78EA6F5C" w14:textId="77777777" w:rsidR="00716DF9" w:rsidRPr="00A13248" w:rsidRDefault="00716DF9" w:rsidP="00716DF9">
            <w:pPr>
              <w:ind w:left="108" w:hanging="108"/>
              <w:rPr>
                <w:rFonts w:cs="Times New Roman"/>
                <w:sz w:val="20"/>
                <w:szCs w:val="20"/>
              </w:rPr>
            </w:pPr>
            <w:r w:rsidRPr="00A13248">
              <w:rPr>
                <w:rFonts w:cs="Times New Roman"/>
                <w:sz w:val="20"/>
                <w:szCs w:val="20"/>
              </w:rPr>
              <w:t>PR to OS</w:t>
            </w:r>
          </w:p>
          <w:p w14:paraId="54BF0240" w14:textId="77777777" w:rsidR="00716DF9" w:rsidRPr="00A13248" w:rsidRDefault="00716DF9" w:rsidP="00716DF9">
            <w:pPr>
              <w:ind w:left="108" w:hanging="108"/>
              <w:rPr>
                <w:rFonts w:cs="Times New Roman"/>
                <w:sz w:val="20"/>
                <w:szCs w:val="20"/>
              </w:rPr>
            </w:pPr>
            <w:r w:rsidRPr="00A13248">
              <w:rPr>
                <w:rFonts w:cs="Times New Roman"/>
                <w:sz w:val="20"/>
                <w:szCs w:val="20"/>
              </w:rPr>
              <w:t>VGPR/CR to PFS</w:t>
            </w:r>
          </w:p>
          <w:p w14:paraId="3EC62565" w14:textId="77777777" w:rsidR="00716DF9" w:rsidRPr="00A13248" w:rsidRDefault="00716DF9" w:rsidP="00716DF9">
            <w:pPr>
              <w:ind w:left="108" w:hanging="108"/>
              <w:rPr>
                <w:rFonts w:eastAsia="Times New Roman" w:cs="Times New Roman"/>
                <w:sz w:val="20"/>
                <w:szCs w:val="20"/>
                <w:lang w:eastAsia="en-GB"/>
              </w:rPr>
            </w:pPr>
            <w:r w:rsidRPr="00A13248">
              <w:rPr>
                <w:rFonts w:cs="Times New Roman"/>
                <w:sz w:val="20"/>
                <w:szCs w:val="20"/>
              </w:rPr>
              <w:t>DoR to PFS</w:t>
            </w:r>
          </w:p>
        </w:tc>
        <w:tc>
          <w:tcPr>
            <w:tcW w:w="426" w:type="dxa"/>
            <w:tcMar>
              <w:left w:w="28" w:type="dxa"/>
              <w:right w:w="28" w:type="dxa"/>
            </w:tcMar>
          </w:tcPr>
          <w:p w14:paraId="52956CDB"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57</w:t>
            </w:r>
          </w:p>
          <w:p w14:paraId="497DED3E"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22</w:t>
            </w:r>
          </w:p>
          <w:p w14:paraId="7F033BA3"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8</w:t>
            </w:r>
          </w:p>
          <w:p w14:paraId="3A13CD6F"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7</w:t>
            </w:r>
          </w:p>
          <w:p w14:paraId="24BCE07C"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2</w:t>
            </w:r>
          </w:p>
          <w:p w14:paraId="7CFCC19F"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1</w:t>
            </w:r>
          </w:p>
          <w:p w14:paraId="079CE308"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1</w:t>
            </w:r>
          </w:p>
          <w:p w14:paraId="28BE5D89"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1</w:t>
            </w:r>
          </w:p>
          <w:p w14:paraId="2A170A04" w14:textId="77777777" w:rsidR="00716DF9" w:rsidRPr="00A13248" w:rsidRDefault="00716DF9" w:rsidP="00716DF9">
            <w:pPr>
              <w:rPr>
                <w:rFonts w:eastAsia="Times New Roman" w:cs="Times New Roman"/>
                <w:sz w:val="20"/>
                <w:szCs w:val="20"/>
                <w:lang w:eastAsia="en-GB"/>
              </w:rPr>
            </w:pPr>
            <w:r w:rsidRPr="00A13248">
              <w:rPr>
                <w:rFonts w:eastAsia="Times New Roman" w:cs="Times New Roman"/>
                <w:sz w:val="20"/>
                <w:szCs w:val="20"/>
                <w:lang w:eastAsia="en-GB"/>
              </w:rPr>
              <w:t>1</w:t>
            </w:r>
          </w:p>
          <w:p w14:paraId="50E80C9A"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lang w:eastAsia="en-GB"/>
              </w:rPr>
              <w:t>1</w:t>
            </w:r>
          </w:p>
        </w:tc>
        <w:tc>
          <w:tcPr>
            <w:tcW w:w="1785" w:type="dxa"/>
            <w:tcMar>
              <w:left w:w="28" w:type="dxa"/>
              <w:right w:w="28" w:type="dxa"/>
            </w:tcMar>
          </w:tcPr>
          <w:p w14:paraId="71383EEB"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Lung (NSCLC)</w:t>
            </w:r>
          </w:p>
          <w:p w14:paraId="15D2A872"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Colorectal</w:t>
            </w:r>
          </w:p>
          <w:p w14:paraId="4D94E69E"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Various solid</w:t>
            </w:r>
          </w:p>
          <w:p w14:paraId="646026FE"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Breast</w:t>
            </w:r>
          </w:p>
          <w:p w14:paraId="57C4D82E"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NHL</w:t>
            </w:r>
          </w:p>
          <w:p w14:paraId="35A64ADB"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Lung (SCLC)</w:t>
            </w:r>
          </w:p>
          <w:p w14:paraId="47928DD9"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Ovarian</w:t>
            </w:r>
          </w:p>
          <w:p w14:paraId="5C5892F3"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Pancreatic</w:t>
            </w:r>
          </w:p>
          <w:p w14:paraId="4D0A5B4E"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Renal cell</w:t>
            </w:r>
          </w:p>
          <w:p w14:paraId="215D8FD0"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Gastric</w:t>
            </w:r>
          </w:p>
          <w:p w14:paraId="1D62D530"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Neuroendocrine</w:t>
            </w:r>
          </w:p>
          <w:p w14:paraId="739955DF"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Soft tissue sarcoma</w:t>
            </w:r>
          </w:p>
          <w:p w14:paraId="5C803822"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lang w:eastAsia="en-GB"/>
              </w:rPr>
              <w:t>Urothelial</w:t>
            </w:r>
          </w:p>
          <w:p w14:paraId="3DF64E63" w14:textId="77777777" w:rsidR="00716DF9" w:rsidRPr="00A13248" w:rsidRDefault="00716DF9" w:rsidP="00716DF9">
            <w:pPr>
              <w:ind w:left="106" w:hanging="106"/>
              <w:rPr>
                <w:rFonts w:eastAsia="Times New Roman" w:cs="Times New Roman"/>
                <w:sz w:val="20"/>
                <w:szCs w:val="20"/>
              </w:rPr>
            </w:pPr>
            <w:r w:rsidRPr="00A13248">
              <w:rPr>
                <w:rFonts w:eastAsia="Times New Roman" w:cs="Times New Roman"/>
                <w:sz w:val="20"/>
                <w:szCs w:val="20"/>
              </w:rPr>
              <w:t>AML</w:t>
            </w:r>
          </w:p>
          <w:p w14:paraId="2D2A043B"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Biliary tract</w:t>
            </w:r>
          </w:p>
          <w:p w14:paraId="3FF12439"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Gastroesophageal</w:t>
            </w:r>
          </w:p>
          <w:p w14:paraId="210781EA"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Glioblastoma</w:t>
            </w:r>
          </w:p>
          <w:p w14:paraId="380FB45E"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Multiple myeloma</w:t>
            </w:r>
          </w:p>
          <w:p w14:paraId="4D874321"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Prostate</w:t>
            </w:r>
          </w:p>
          <w:p w14:paraId="59271FAE" w14:textId="77777777" w:rsidR="00716DF9" w:rsidRPr="00A13248" w:rsidRDefault="00716DF9" w:rsidP="00716DF9">
            <w:pPr>
              <w:ind w:left="106" w:hanging="106"/>
              <w:rPr>
                <w:rFonts w:eastAsia="Times New Roman" w:cs="Times New Roman"/>
                <w:sz w:val="20"/>
                <w:szCs w:val="20"/>
                <w:lang w:eastAsia="en-GB"/>
              </w:rPr>
            </w:pPr>
            <w:r w:rsidRPr="00A13248">
              <w:rPr>
                <w:rFonts w:eastAsia="Times New Roman" w:cs="Times New Roman"/>
                <w:sz w:val="20"/>
                <w:szCs w:val="20"/>
                <w:lang w:eastAsia="en-GB"/>
              </w:rPr>
              <w:t>Unknown primary</w:t>
            </w:r>
          </w:p>
        </w:tc>
        <w:tc>
          <w:tcPr>
            <w:tcW w:w="483" w:type="dxa"/>
            <w:tcMar>
              <w:left w:w="28" w:type="dxa"/>
              <w:right w:w="28" w:type="dxa"/>
            </w:tcMar>
          </w:tcPr>
          <w:p w14:paraId="4CF7361E"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16</w:t>
            </w:r>
          </w:p>
          <w:p w14:paraId="42E409EB"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10</w:t>
            </w:r>
          </w:p>
          <w:p w14:paraId="415D613A"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8</w:t>
            </w:r>
          </w:p>
          <w:p w14:paraId="3667B447"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5</w:t>
            </w:r>
          </w:p>
          <w:p w14:paraId="437BE933"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4</w:t>
            </w:r>
          </w:p>
          <w:p w14:paraId="03AE2877"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3</w:t>
            </w:r>
          </w:p>
          <w:p w14:paraId="4B531607"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3</w:t>
            </w:r>
          </w:p>
          <w:p w14:paraId="4D80D83E"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3</w:t>
            </w:r>
          </w:p>
          <w:p w14:paraId="62F4AA39"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3</w:t>
            </w:r>
          </w:p>
          <w:p w14:paraId="5F333588"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4A9980AA"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7DE9E6ED"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114D04E4"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52C15CCB"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5F11B9E7"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4615AACF"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4846A383"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58FBAA09"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49B7061E"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0D72877D"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tc>
        <w:tc>
          <w:tcPr>
            <w:tcW w:w="2551" w:type="dxa"/>
            <w:tcMar>
              <w:left w:w="28" w:type="dxa"/>
              <w:right w:w="28" w:type="dxa"/>
            </w:tcMar>
          </w:tcPr>
          <w:p w14:paraId="7DC49109" w14:textId="77777777" w:rsidR="00716DF9" w:rsidRPr="00A13248" w:rsidRDefault="00716DF9" w:rsidP="00716DF9">
            <w:pPr>
              <w:ind w:left="132" w:hanging="132"/>
              <w:rPr>
                <w:rFonts w:eastAsia="Times New Roman" w:cs="Times New Roman"/>
                <w:sz w:val="20"/>
                <w:szCs w:val="20"/>
              </w:rPr>
            </w:pPr>
            <w:r w:rsidRPr="00A13248">
              <w:rPr>
                <w:rFonts w:eastAsia="Times New Roman" w:cs="Times New Roman"/>
                <w:sz w:val="20"/>
                <w:szCs w:val="20"/>
              </w:rPr>
              <w:t>Advanced/metastatic</w:t>
            </w:r>
          </w:p>
          <w:p w14:paraId="78FD032C"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Unclear</w:t>
            </w:r>
          </w:p>
          <w:p w14:paraId="1D6FA766"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Advanced, locally advanced, unresectable or metastatic</w:t>
            </w:r>
          </w:p>
          <w:p w14:paraId="5F75A3A2"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Extensive disease</w:t>
            </w:r>
          </w:p>
          <w:p w14:paraId="3F1364CE"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Limited or extensive disease</w:t>
            </w:r>
          </w:p>
          <w:p w14:paraId="660EFC57"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Advanced or recurrent</w:t>
            </w:r>
          </w:p>
          <w:p w14:paraId="67F376B6"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Advanced, locally advanced or recurrent</w:t>
            </w:r>
          </w:p>
          <w:p w14:paraId="021E0D8C"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Relapsed / refractory</w:t>
            </w:r>
          </w:p>
          <w:p w14:paraId="55FA56C6"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Most stage III/IV</w:t>
            </w:r>
          </w:p>
          <w:p w14:paraId="7FDFDC7E" w14:textId="77777777" w:rsidR="00716DF9" w:rsidRPr="00A13248" w:rsidRDefault="00716DF9" w:rsidP="00716DF9">
            <w:pPr>
              <w:ind w:left="132" w:hanging="132"/>
              <w:rPr>
                <w:rFonts w:eastAsia="Times New Roman" w:cs="Times New Roman"/>
                <w:sz w:val="20"/>
                <w:szCs w:val="20"/>
                <w:lang w:eastAsia="en-GB"/>
              </w:rPr>
            </w:pPr>
            <w:r w:rsidRPr="00A13248">
              <w:rPr>
                <w:rFonts w:eastAsia="Times New Roman" w:cs="Times New Roman"/>
                <w:sz w:val="20"/>
                <w:szCs w:val="20"/>
                <w:lang w:eastAsia="en-GB"/>
              </w:rPr>
              <w:t>Recurrent / platinum-resistant</w:t>
            </w:r>
          </w:p>
          <w:p w14:paraId="4A1ADA90" w14:textId="77777777" w:rsidR="00716DF9" w:rsidRPr="00A13248" w:rsidRDefault="00716DF9" w:rsidP="00716DF9">
            <w:pPr>
              <w:ind w:left="132" w:hanging="132"/>
              <w:rPr>
                <w:rFonts w:eastAsia="Times New Roman" w:cs="Times New Roman"/>
                <w:sz w:val="20"/>
                <w:szCs w:val="20"/>
              </w:rPr>
            </w:pPr>
            <w:r w:rsidRPr="00A13248">
              <w:rPr>
                <w:rFonts w:eastAsia="Times New Roman" w:cs="Times New Roman"/>
                <w:sz w:val="20"/>
                <w:szCs w:val="20"/>
                <w:lang w:eastAsia="en-GB"/>
              </w:rPr>
              <w:t>Various</w:t>
            </w:r>
          </w:p>
        </w:tc>
        <w:tc>
          <w:tcPr>
            <w:tcW w:w="406" w:type="dxa"/>
            <w:tcMar>
              <w:left w:w="28" w:type="dxa"/>
              <w:right w:w="28" w:type="dxa"/>
            </w:tcMar>
          </w:tcPr>
          <w:p w14:paraId="033FABD8"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43</w:t>
            </w:r>
          </w:p>
          <w:p w14:paraId="3CB035AA"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9</w:t>
            </w:r>
          </w:p>
          <w:p w14:paraId="4F079D71"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722FCAFE" w14:textId="77777777" w:rsidR="00716DF9" w:rsidRPr="00A13248" w:rsidRDefault="00716DF9" w:rsidP="00716DF9">
            <w:pPr>
              <w:rPr>
                <w:rFonts w:eastAsia="Times New Roman" w:cs="Times New Roman"/>
                <w:sz w:val="20"/>
                <w:szCs w:val="20"/>
              </w:rPr>
            </w:pPr>
          </w:p>
          <w:p w14:paraId="2E8B7566"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37239F19"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6C9B6223"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2010D3AD"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40954A2C" w14:textId="77777777" w:rsidR="00716DF9" w:rsidRPr="00A13248" w:rsidRDefault="00716DF9" w:rsidP="00716DF9">
            <w:pPr>
              <w:rPr>
                <w:rFonts w:eastAsia="Times New Roman" w:cs="Times New Roman"/>
                <w:sz w:val="20"/>
                <w:szCs w:val="20"/>
              </w:rPr>
            </w:pPr>
          </w:p>
          <w:p w14:paraId="3A4B47E9"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75128BE2"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638D5FED"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41A5E6A2"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tc>
        <w:tc>
          <w:tcPr>
            <w:tcW w:w="1701" w:type="dxa"/>
            <w:tcMar>
              <w:left w:w="28" w:type="dxa"/>
              <w:right w:w="28" w:type="dxa"/>
            </w:tcMar>
          </w:tcPr>
          <w:p w14:paraId="148D9F09" w14:textId="77777777" w:rsidR="00716DF9" w:rsidRPr="00A13248" w:rsidRDefault="00716DF9" w:rsidP="00716DF9">
            <w:pPr>
              <w:ind w:left="122" w:hanging="122"/>
              <w:rPr>
                <w:rFonts w:eastAsia="Times New Roman" w:cs="Times New Roman"/>
                <w:sz w:val="20"/>
                <w:szCs w:val="20"/>
                <w:lang w:eastAsia="en-GB"/>
              </w:rPr>
            </w:pPr>
            <w:r w:rsidRPr="00A13248">
              <w:rPr>
                <w:rFonts w:eastAsia="Times New Roman" w:cs="Times New Roman"/>
                <w:sz w:val="20"/>
                <w:szCs w:val="20"/>
                <w:lang w:eastAsia="en-GB"/>
              </w:rPr>
              <w:t>1st</w:t>
            </w:r>
          </w:p>
          <w:p w14:paraId="181AC901" w14:textId="77777777" w:rsidR="00716DF9" w:rsidRPr="00A13248" w:rsidRDefault="00716DF9" w:rsidP="00716DF9">
            <w:pPr>
              <w:ind w:left="122" w:hanging="122"/>
              <w:rPr>
                <w:rFonts w:eastAsia="Times New Roman" w:cs="Times New Roman"/>
                <w:sz w:val="20"/>
                <w:szCs w:val="20"/>
                <w:lang w:eastAsia="en-GB"/>
              </w:rPr>
            </w:pPr>
            <w:r w:rsidRPr="00A13248">
              <w:rPr>
                <w:rFonts w:eastAsia="Times New Roman" w:cs="Times New Roman"/>
                <w:sz w:val="20"/>
                <w:szCs w:val="20"/>
                <w:lang w:eastAsia="en-GB"/>
              </w:rPr>
              <w:t>All / various</w:t>
            </w:r>
          </w:p>
          <w:p w14:paraId="569DEFB2" w14:textId="77777777" w:rsidR="00716DF9" w:rsidRPr="00A13248" w:rsidRDefault="00716DF9" w:rsidP="00716DF9">
            <w:pPr>
              <w:ind w:left="122" w:hanging="122"/>
              <w:rPr>
                <w:rFonts w:eastAsia="Times New Roman" w:cs="Times New Roman"/>
                <w:sz w:val="20"/>
                <w:szCs w:val="20"/>
                <w:lang w:eastAsia="en-GB"/>
              </w:rPr>
            </w:pPr>
            <w:r w:rsidRPr="00A13248">
              <w:rPr>
                <w:rFonts w:eastAsia="Times New Roman" w:cs="Times New Roman"/>
                <w:sz w:val="20"/>
                <w:szCs w:val="20"/>
                <w:lang w:eastAsia="en-GB"/>
              </w:rPr>
              <w:t>NR</w:t>
            </w:r>
          </w:p>
          <w:p w14:paraId="040172AF" w14:textId="77777777" w:rsidR="00716DF9" w:rsidRPr="00A13248" w:rsidRDefault="00716DF9" w:rsidP="00716DF9">
            <w:pPr>
              <w:ind w:left="122" w:hanging="122"/>
              <w:rPr>
                <w:rFonts w:eastAsia="Times New Roman" w:cs="Times New Roman"/>
                <w:sz w:val="20"/>
                <w:szCs w:val="20"/>
              </w:rPr>
            </w:pPr>
            <w:r w:rsidRPr="00A13248">
              <w:rPr>
                <w:rFonts w:eastAsia="Times New Roman" w:cs="Times New Roman"/>
                <w:sz w:val="20"/>
                <w:szCs w:val="20"/>
              </w:rPr>
              <w:t>1st + 2nd</w:t>
            </w:r>
          </w:p>
          <w:p w14:paraId="46995015" w14:textId="77777777" w:rsidR="00716DF9" w:rsidRPr="00A13248" w:rsidRDefault="00716DF9" w:rsidP="00716DF9">
            <w:pPr>
              <w:ind w:left="122" w:hanging="122"/>
              <w:rPr>
                <w:rFonts w:eastAsia="Times New Roman" w:cs="Times New Roman"/>
                <w:sz w:val="20"/>
                <w:szCs w:val="20"/>
              </w:rPr>
            </w:pPr>
            <w:r w:rsidRPr="00A13248">
              <w:rPr>
                <w:rFonts w:eastAsia="Times New Roman" w:cs="Times New Roman"/>
                <w:sz w:val="20"/>
                <w:szCs w:val="20"/>
              </w:rPr>
              <w:t>2nd</w:t>
            </w:r>
          </w:p>
          <w:p w14:paraId="02A20B6D" w14:textId="77777777" w:rsidR="00716DF9" w:rsidRPr="00A13248" w:rsidRDefault="00716DF9" w:rsidP="00716DF9">
            <w:pPr>
              <w:ind w:left="122" w:hanging="122"/>
              <w:rPr>
                <w:rFonts w:eastAsia="Times New Roman" w:cs="Times New Roman"/>
                <w:sz w:val="20"/>
                <w:szCs w:val="20"/>
                <w:lang w:eastAsia="en-GB"/>
              </w:rPr>
            </w:pPr>
            <w:r w:rsidRPr="00A13248">
              <w:rPr>
                <w:rFonts w:eastAsia="Times New Roman" w:cs="Times New Roman"/>
                <w:sz w:val="20"/>
                <w:szCs w:val="20"/>
                <w:lang w:eastAsia="en-GB"/>
              </w:rPr>
              <w:t>2nd + subsequent</w:t>
            </w:r>
          </w:p>
          <w:p w14:paraId="1D9D0740" w14:textId="77777777" w:rsidR="00716DF9" w:rsidRPr="00A13248" w:rsidRDefault="00716DF9" w:rsidP="00716DF9">
            <w:pPr>
              <w:ind w:left="122" w:hanging="122"/>
              <w:rPr>
                <w:rFonts w:eastAsia="Times New Roman" w:cs="Times New Roman"/>
                <w:sz w:val="20"/>
                <w:szCs w:val="20"/>
                <w:lang w:eastAsia="en-GB"/>
              </w:rPr>
            </w:pPr>
            <w:r w:rsidRPr="00A13248">
              <w:rPr>
                <w:rFonts w:eastAsia="Times New Roman" w:cs="Times New Roman"/>
                <w:sz w:val="20"/>
                <w:szCs w:val="20"/>
                <w:lang w:eastAsia="en-GB"/>
              </w:rPr>
              <w:t>2nd + 3rd</w:t>
            </w:r>
          </w:p>
          <w:p w14:paraId="2C2BF400" w14:textId="77777777" w:rsidR="00716DF9" w:rsidRPr="00A13248" w:rsidRDefault="00716DF9" w:rsidP="00716DF9">
            <w:pPr>
              <w:rPr>
                <w:rFonts w:eastAsia="Times New Roman" w:cs="Times New Roman"/>
                <w:sz w:val="20"/>
                <w:szCs w:val="20"/>
              </w:rPr>
            </w:pPr>
          </w:p>
        </w:tc>
        <w:tc>
          <w:tcPr>
            <w:tcW w:w="425" w:type="dxa"/>
            <w:tcMar>
              <w:left w:w="28" w:type="dxa"/>
              <w:right w:w="28" w:type="dxa"/>
            </w:tcMar>
          </w:tcPr>
          <w:p w14:paraId="2D3C7500"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23</w:t>
            </w:r>
          </w:p>
          <w:p w14:paraId="0361420B"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18</w:t>
            </w:r>
          </w:p>
          <w:p w14:paraId="452F4696"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8</w:t>
            </w:r>
          </w:p>
          <w:p w14:paraId="41B3B0E0"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5</w:t>
            </w:r>
          </w:p>
          <w:p w14:paraId="259546B0"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4</w:t>
            </w:r>
          </w:p>
          <w:p w14:paraId="6AC58216"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3</w:t>
            </w:r>
          </w:p>
          <w:p w14:paraId="361C7004"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tc>
        <w:tc>
          <w:tcPr>
            <w:tcW w:w="1843" w:type="dxa"/>
            <w:tcMar>
              <w:left w:w="28" w:type="dxa"/>
              <w:right w:w="28" w:type="dxa"/>
            </w:tcMar>
          </w:tcPr>
          <w:p w14:paraId="7C022430"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w:t>
            </w:r>
          </w:p>
          <w:p w14:paraId="7933445D"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Immune checkpoint inhibitors</w:t>
            </w:r>
          </w:p>
          <w:p w14:paraId="3ED29899"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Targeted</w:t>
            </w:r>
          </w:p>
          <w:p w14:paraId="30350651"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Various</w:t>
            </w:r>
          </w:p>
          <w:p w14:paraId="7D401801"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Systemic</w:t>
            </w:r>
          </w:p>
          <w:p w14:paraId="1EE5E29D"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 or targeted</w:t>
            </w:r>
          </w:p>
          <w:p w14:paraId="74336B70"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 immune or targeted</w:t>
            </w:r>
          </w:p>
          <w:p w14:paraId="73AD8FAF"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NR</w:t>
            </w:r>
          </w:p>
          <w:p w14:paraId="646E3145"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 + targeted</w:t>
            </w:r>
          </w:p>
          <w:p w14:paraId="72651847"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 or immune</w:t>
            </w:r>
          </w:p>
          <w:p w14:paraId="2B61516F"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 hormonal + targeted</w:t>
            </w:r>
          </w:p>
          <w:p w14:paraId="4F7DC9B1"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Chemo or biologic</w:t>
            </w:r>
          </w:p>
          <w:p w14:paraId="27AF7840"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Cytokine or targeted</w:t>
            </w:r>
          </w:p>
          <w:p w14:paraId="11A4E6C6" w14:textId="77777777" w:rsidR="00716DF9" w:rsidRPr="00A13248" w:rsidRDefault="00716DF9" w:rsidP="00716DF9">
            <w:pPr>
              <w:ind w:left="110" w:hanging="110"/>
              <w:rPr>
                <w:rFonts w:eastAsia="Times New Roman" w:cs="Times New Roman"/>
                <w:sz w:val="20"/>
                <w:szCs w:val="20"/>
                <w:lang w:eastAsia="en-GB"/>
              </w:rPr>
            </w:pPr>
            <w:r w:rsidRPr="00A13248">
              <w:rPr>
                <w:rFonts w:eastAsia="Times New Roman" w:cs="Times New Roman"/>
                <w:sz w:val="20"/>
                <w:szCs w:val="20"/>
                <w:lang w:eastAsia="en-GB"/>
              </w:rPr>
              <w:t>Gemcitabine + chemo or targeted</w:t>
            </w:r>
          </w:p>
          <w:p w14:paraId="7E360441" w14:textId="77777777" w:rsidR="00716DF9" w:rsidRPr="00A13248" w:rsidRDefault="00716DF9" w:rsidP="00716DF9">
            <w:pPr>
              <w:ind w:left="110" w:hanging="110"/>
              <w:rPr>
                <w:rFonts w:eastAsia="Times New Roman" w:cs="Times New Roman"/>
                <w:sz w:val="20"/>
                <w:szCs w:val="20"/>
              </w:rPr>
            </w:pPr>
            <w:r w:rsidRPr="00A13248">
              <w:rPr>
                <w:rFonts w:eastAsia="Times New Roman" w:cs="Times New Roman"/>
                <w:sz w:val="20"/>
                <w:szCs w:val="20"/>
                <w:lang w:eastAsia="en-GB"/>
              </w:rPr>
              <w:t>Bevacizumab + chemo</w:t>
            </w:r>
          </w:p>
        </w:tc>
        <w:tc>
          <w:tcPr>
            <w:tcW w:w="425" w:type="dxa"/>
            <w:tcMar>
              <w:left w:w="28" w:type="dxa"/>
              <w:right w:w="28" w:type="dxa"/>
            </w:tcMar>
          </w:tcPr>
          <w:p w14:paraId="794E3901"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21</w:t>
            </w:r>
          </w:p>
          <w:p w14:paraId="48EDE442"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9</w:t>
            </w:r>
          </w:p>
          <w:p w14:paraId="695A8C6B" w14:textId="77777777" w:rsidR="00716DF9" w:rsidRPr="00A13248" w:rsidRDefault="00716DF9" w:rsidP="00716DF9">
            <w:pPr>
              <w:rPr>
                <w:rFonts w:eastAsia="Times New Roman" w:cs="Times New Roman"/>
                <w:sz w:val="20"/>
                <w:szCs w:val="20"/>
              </w:rPr>
            </w:pPr>
          </w:p>
          <w:p w14:paraId="51C9D9E9"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8</w:t>
            </w:r>
          </w:p>
          <w:p w14:paraId="47B98ED8"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7</w:t>
            </w:r>
          </w:p>
          <w:p w14:paraId="34A9CE16"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5</w:t>
            </w:r>
          </w:p>
          <w:p w14:paraId="7153DEC2"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3</w:t>
            </w:r>
          </w:p>
          <w:p w14:paraId="39959E3B"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2</w:t>
            </w:r>
          </w:p>
          <w:p w14:paraId="3BE40AAF" w14:textId="77777777" w:rsidR="00716DF9" w:rsidRPr="00A13248" w:rsidRDefault="00716DF9" w:rsidP="00716DF9">
            <w:pPr>
              <w:rPr>
                <w:rFonts w:eastAsia="Times New Roman" w:cs="Times New Roman"/>
                <w:sz w:val="20"/>
                <w:szCs w:val="20"/>
              </w:rPr>
            </w:pPr>
          </w:p>
          <w:p w14:paraId="367ABFD4"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1E1E0335"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006DBDE8"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0D1B22DC"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65150087" w14:textId="77777777" w:rsidR="00716DF9" w:rsidRPr="00A13248" w:rsidRDefault="00716DF9" w:rsidP="00716DF9">
            <w:pPr>
              <w:rPr>
                <w:rFonts w:eastAsia="Times New Roman" w:cs="Times New Roman"/>
                <w:sz w:val="20"/>
                <w:szCs w:val="20"/>
              </w:rPr>
            </w:pPr>
          </w:p>
          <w:p w14:paraId="71C21FA2"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3F447141"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3FB99791"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p w14:paraId="4DF85E0E" w14:textId="77777777" w:rsidR="00716DF9" w:rsidRPr="00A13248" w:rsidRDefault="00716DF9" w:rsidP="00716DF9">
            <w:pPr>
              <w:rPr>
                <w:rFonts w:eastAsia="Times New Roman" w:cs="Times New Roman"/>
                <w:sz w:val="20"/>
                <w:szCs w:val="20"/>
              </w:rPr>
            </w:pPr>
          </w:p>
          <w:p w14:paraId="4C3D2AC2"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1</w:t>
            </w:r>
          </w:p>
        </w:tc>
      </w:tr>
      <w:tr w:rsidR="00716DF9" w:rsidRPr="00A13248" w14:paraId="68E53D01" w14:textId="77777777" w:rsidTr="00716DF9">
        <w:trPr>
          <w:cantSplit/>
        </w:trPr>
        <w:tc>
          <w:tcPr>
            <w:tcW w:w="11605" w:type="dxa"/>
            <w:gridSpan w:val="10"/>
            <w:tcMar>
              <w:left w:w="28" w:type="dxa"/>
              <w:right w:w="28" w:type="dxa"/>
            </w:tcMar>
          </w:tcPr>
          <w:p w14:paraId="0C7D89F0" w14:textId="77777777" w:rsidR="00716DF9" w:rsidRPr="00A13248" w:rsidRDefault="00716DF9" w:rsidP="00716DF9">
            <w:pPr>
              <w:rPr>
                <w:rFonts w:eastAsia="Times New Roman" w:cs="Times New Roman"/>
                <w:sz w:val="20"/>
                <w:szCs w:val="20"/>
              </w:rPr>
            </w:pPr>
            <w:r w:rsidRPr="00A13248">
              <w:rPr>
                <w:rFonts w:eastAsia="Times New Roman" w:cs="Times New Roman"/>
                <w:sz w:val="20"/>
                <w:szCs w:val="20"/>
              </w:rPr>
              <w:t>Note: Ns may sum to more than total number of studies (N=63) as some studies reported more than one surrogate relationship or cancer type.</w:t>
            </w:r>
          </w:p>
          <w:p w14:paraId="4721707D" w14:textId="31AF68EB" w:rsidR="00716DF9" w:rsidRPr="00A13248" w:rsidRDefault="00716DF9" w:rsidP="00E944DE">
            <w:pPr>
              <w:rPr>
                <w:rFonts w:eastAsia="Times New Roman" w:cs="Times New Roman"/>
                <w:sz w:val="20"/>
                <w:szCs w:val="20"/>
              </w:rPr>
            </w:pPr>
            <w:r w:rsidRPr="00A13248">
              <w:rPr>
                <w:rFonts w:cs="Times New Roman"/>
                <w:sz w:val="20"/>
                <w:szCs w:val="20"/>
              </w:rPr>
              <w:t xml:space="preserve">AML, acute myeloid leukaemia; chemo, chemotherapy; CR, complete response; DoR, duration of response; immune, immunotherapy; NR, not reported; NSCLC, non-small cell lung cancer; </w:t>
            </w:r>
            <w:r w:rsidR="00E944DE" w:rsidRPr="00A13248">
              <w:rPr>
                <w:rFonts w:cs="Times New Roman"/>
                <w:sz w:val="20"/>
                <w:szCs w:val="20"/>
              </w:rPr>
              <w:t xml:space="preserve">ORR, overall response rate; </w:t>
            </w:r>
            <w:r w:rsidRPr="00A13248">
              <w:rPr>
                <w:rFonts w:cs="Times New Roman"/>
                <w:sz w:val="20"/>
                <w:szCs w:val="20"/>
              </w:rPr>
              <w:t>OS, overall survival; PFS, progression-free survival; PR, partial response; SCLC, small cell lung cancer; TTP, time to progression; VGPR, very good partial response.</w:t>
            </w:r>
          </w:p>
        </w:tc>
      </w:tr>
    </w:tbl>
    <w:p w14:paraId="3D624826" w14:textId="77777777" w:rsidR="00716DF9" w:rsidRPr="002D1DD7" w:rsidRDefault="00716DF9" w:rsidP="00716DF9">
      <w:pPr>
        <w:spacing w:after="0"/>
        <w:jc w:val="both"/>
        <w:rPr>
          <w:rFonts w:asciiTheme="majorBidi" w:eastAsia="Times New Roman" w:hAnsiTheme="majorBidi" w:cstheme="majorBidi"/>
          <w:sz w:val="20"/>
          <w:szCs w:val="20"/>
          <w:lang w:eastAsia="en-GB"/>
        </w:rPr>
      </w:pPr>
    </w:p>
    <w:p w14:paraId="7E76AC26" w14:textId="526587DB" w:rsidR="00716DF9" w:rsidRPr="002D1DD7" w:rsidRDefault="00716DF9" w:rsidP="00A13248">
      <w:pPr>
        <w:pStyle w:val="Caption"/>
        <w:rPr>
          <w:rFonts w:eastAsia="Times New Roman"/>
          <w:lang w:eastAsia="en-GB"/>
        </w:rPr>
      </w:pPr>
      <w:bookmarkStart w:id="87" w:name="_Ref19001312"/>
      <w:bookmarkStart w:id="88" w:name="_Toc34033519"/>
      <w:r w:rsidRPr="002D1DD7">
        <w:lastRenderedPageBreak/>
        <w:t xml:space="preserve">Table </w:t>
      </w:r>
      <w:r w:rsidR="00C974E5">
        <w:fldChar w:fldCharType="begin"/>
      </w:r>
      <w:r w:rsidR="00C974E5">
        <w:instrText xml:space="preserve"> SEQ Table \* ARABIC </w:instrText>
      </w:r>
      <w:r w:rsidR="00C974E5">
        <w:fldChar w:fldCharType="separate"/>
      </w:r>
      <w:r w:rsidR="00C663A2">
        <w:rPr>
          <w:noProof/>
        </w:rPr>
        <w:t>5</w:t>
      </w:r>
      <w:r w:rsidR="00C974E5">
        <w:rPr>
          <w:noProof/>
        </w:rPr>
        <w:fldChar w:fldCharType="end"/>
      </w:r>
      <w:bookmarkEnd w:id="87"/>
      <w:r w:rsidRPr="002D1DD7">
        <w:t>: Study characteristics: Data types</w:t>
      </w:r>
      <w:bookmarkEnd w:id="88"/>
    </w:p>
    <w:tbl>
      <w:tblPr>
        <w:tblStyle w:val="TableGrid"/>
        <w:tblW w:w="10207" w:type="dxa"/>
        <w:tblLook w:val="04A0" w:firstRow="1" w:lastRow="0" w:firstColumn="1" w:lastColumn="0" w:noHBand="0" w:noVBand="1"/>
      </w:tblPr>
      <w:tblGrid>
        <w:gridCol w:w="1843"/>
        <w:gridCol w:w="1527"/>
        <w:gridCol w:w="1915"/>
        <w:gridCol w:w="1236"/>
        <w:gridCol w:w="1135"/>
        <w:gridCol w:w="1559"/>
        <w:gridCol w:w="992"/>
      </w:tblGrid>
      <w:tr w:rsidR="00716DF9" w:rsidRPr="002D1DD7" w14:paraId="0CC36276" w14:textId="77777777" w:rsidTr="00716DF9">
        <w:trPr>
          <w:cantSplit/>
          <w:tblHeader/>
        </w:trPr>
        <w:tc>
          <w:tcPr>
            <w:tcW w:w="1843" w:type="dxa"/>
            <w:tcMar>
              <w:left w:w="28" w:type="dxa"/>
              <w:right w:w="28" w:type="dxa"/>
            </w:tcMar>
          </w:tcPr>
          <w:p w14:paraId="29B71F8C"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N primary studies per meta-regression (range)</w:t>
            </w:r>
          </w:p>
        </w:tc>
        <w:tc>
          <w:tcPr>
            <w:tcW w:w="1527" w:type="dxa"/>
            <w:tcMar>
              <w:left w:w="28" w:type="dxa"/>
              <w:right w:w="28" w:type="dxa"/>
            </w:tcMar>
          </w:tcPr>
          <w:p w14:paraId="71420D81"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N patients per meta-regression (range)</w:t>
            </w:r>
          </w:p>
        </w:tc>
        <w:tc>
          <w:tcPr>
            <w:tcW w:w="1915" w:type="dxa"/>
            <w:tcMar>
              <w:left w:w="28" w:type="dxa"/>
              <w:right w:w="28" w:type="dxa"/>
            </w:tcMar>
          </w:tcPr>
          <w:p w14:paraId="0E0D114A"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Included study types per meta-regression</w:t>
            </w:r>
          </w:p>
        </w:tc>
        <w:tc>
          <w:tcPr>
            <w:tcW w:w="1236" w:type="dxa"/>
            <w:tcMar>
              <w:left w:w="28" w:type="dxa"/>
              <w:right w:w="28" w:type="dxa"/>
            </w:tcMar>
          </w:tcPr>
          <w:p w14:paraId="265D0E70"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Data types</w:t>
            </w:r>
          </w:p>
        </w:tc>
        <w:tc>
          <w:tcPr>
            <w:tcW w:w="1135" w:type="dxa"/>
            <w:tcMar>
              <w:left w:w="28" w:type="dxa"/>
              <w:right w:w="28" w:type="dxa"/>
            </w:tcMar>
          </w:tcPr>
          <w:p w14:paraId="5AFFAE43"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Absolute association reported?</w:t>
            </w:r>
          </w:p>
        </w:tc>
        <w:tc>
          <w:tcPr>
            <w:tcW w:w="1559" w:type="dxa"/>
            <w:tcMar>
              <w:left w:w="28" w:type="dxa"/>
              <w:right w:w="28" w:type="dxa"/>
            </w:tcMar>
          </w:tcPr>
          <w:p w14:paraId="1DCD166F"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Treatment effect association reported?</w:t>
            </w:r>
          </w:p>
        </w:tc>
        <w:tc>
          <w:tcPr>
            <w:tcW w:w="992" w:type="dxa"/>
            <w:tcMar>
              <w:left w:w="28" w:type="dxa"/>
              <w:right w:w="28" w:type="dxa"/>
            </w:tcMar>
          </w:tcPr>
          <w:p w14:paraId="5FE26ED9" w14:textId="77777777" w:rsidR="00716DF9" w:rsidRPr="002D1DD7" w:rsidRDefault="00716DF9" w:rsidP="00716DF9">
            <w:pPr>
              <w:rPr>
                <w:rFonts w:asciiTheme="majorBidi" w:eastAsia="Times New Roman" w:hAnsiTheme="majorBidi" w:cstheme="majorBidi"/>
                <w:b/>
                <w:bCs/>
                <w:sz w:val="20"/>
                <w:szCs w:val="20"/>
                <w:lang w:eastAsia="en-GB"/>
              </w:rPr>
            </w:pPr>
            <w:r w:rsidRPr="002D1DD7">
              <w:rPr>
                <w:rFonts w:asciiTheme="majorBidi" w:eastAsia="Times New Roman" w:hAnsiTheme="majorBidi" w:cstheme="majorBidi"/>
                <w:b/>
                <w:bCs/>
                <w:sz w:val="20"/>
                <w:szCs w:val="20"/>
                <w:lang w:eastAsia="en-GB"/>
              </w:rPr>
              <w:t>STE reported?</w:t>
            </w:r>
          </w:p>
        </w:tc>
      </w:tr>
      <w:tr w:rsidR="00716DF9" w:rsidRPr="002D1DD7" w14:paraId="5CCB84B2" w14:textId="77777777" w:rsidTr="00716DF9">
        <w:trPr>
          <w:cantSplit/>
        </w:trPr>
        <w:tc>
          <w:tcPr>
            <w:tcW w:w="1843" w:type="dxa"/>
            <w:tcMar>
              <w:left w:w="28" w:type="dxa"/>
              <w:right w:w="28" w:type="dxa"/>
            </w:tcMar>
          </w:tcPr>
          <w:p w14:paraId="3EA5045C"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4 to 191</w:t>
            </w:r>
          </w:p>
        </w:tc>
        <w:tc>
          <w:tcPr>
            <w:tcW w:w="1527" w:type="dxa"/>
            <w:tcMar>
              <w:left w:w="28" w:type="dxa"/>
              <w:right w:w="28" w:type="dxa"/>
            </w:tcMar>
          </w:tcPr>
          <w:p w14:paraId="5BA51FCD"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407 to 44,125</w:t>
            </w:r>
          </w:p>
        </w:tc>
        <w:tc>
          <w:tcPr>
            <w:tcW w:w="1915" w:type="dxa"/>
            <w:tcMar>
              <w:left w:w="28" w:type="dxa"/>
              <w:right w:w="28" w:type="dxa"/>
            </w:tcMar>
          </w:tcPr>
          <w:p w14:paraId="68C1E844" w14:textId="77777777" w:rsidR="00716DF9" w:rsidRPr="002D1DD7" w:rsidRDefault="00716DF9" w:rsidP="00716DF9">
            <w:pPr>
              <w:tabs>
                <w:tab w:val="left" w:pos="895"/>
              </w:tabs>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RCT only</w:t>
            </w:r>
            <w:r w:rsidRPr="002D1DD7">
              <w:rPr>
                <w:rFonts w:asciiTheme="majorBidi" w:eastAsia="Times New Roman" w:hAnsiTheme="majorBidi" w:cstheme="majorBidi"/>
                <w:sz w:val="20"/>
                <w:szCs w:val="20"/>
                <w:lang w:eastAsia="en-GB"/>
              </w:rPr>
              <w:tab/>
              <w:t>(N=44)</w:t>
            </w:r>
          </w:p>
          <w:p w14:paraId="71F86F03" w14:textId="77777777" w:rsidR="00716DF9" w:rsidRPr="002D1DD7" w:rsidRDefault="00716DF9" w:rsidP="00716DF9">
            <w:pPr>
              <w:tabs>
                <w:tab w:val="left" w:pos="895"/>
              </w:tabs>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RCT+SA</w:t>
            </w:r>
            <w:r w:rsidRPr="002D1DD7">
              <w:rPr>
                <w:rFonts w:asciiTheme="majorBidi" w:eastAsia="Times New Roman" w:hAnsiTheme="majorBidi" w:cstheme="majorBidi"/>
                <w:sz w:val="20"/>
                <w:szCs w:val="20"/>
                <w:lang w:eastAsia="en-GB"/>
              </w:rPr>
              <w:tab/>
              <w:t>(N=17)</w:t>
            </w:r>
          </w:p>
          <w:p w14:paraId="62C7BF06" w14:textId="77777777" w:rsidR="00716DF9" w:rsidRPr="002D1DD7" w:rsidRDefault="00716DF9" w:rsidP="00716DF9">
            <w:pPr>
              <w:tabs>
                <w:tab w:val="left" w:pos="895"/>
              </w:tabs>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SA only</w:t>
            </w:r>
            <w:r w:rsidRPr="002D1DD7">
              <w:rPr>
                <w:rFonts w:asciiTheme="majorBidi" w:eastAsia="Times New Roman" w:hAnsiTheme="majorBidi" w:cstheme="majorBidi"/>
                <w:sz w:val="20"/>
                <w:szCs w:val="20"/>
                <w:lang w:eastAsia="en-GB"/>
              </w:rPr>
              <w:tab/>
              <w:t>(N=2)</w:t>
            </w:r>
          </w:p>
        </w:tc>
        <w:tc>
          <w:tcPr>
            <w:tcW w:w="1236" w:type="dxa"/>
            <w:tcMar>
              <w:left w:w="28" w:type="dxa"/>
              <w:right w:w="28" w:type="dxa"/>
            </w:tcMar>
          </w:tcPr>
          <w:p w14:paraId="23F8299D"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AD  (N=58)</w:t>
            </w:r>
          </w:p>
          <w:p w14:paraId="02613D1D"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IPD  (N=5)</w:t>
            </w:r>
          </w:p>
        </w:tc>
        <w:tc>
          <w:tcPr>
            <w:tcW w:w="1135" w:type="dxa"/>
            <w:tcMar>
              <w:left w:w="28" w:type="dxa"/>
              <w:right w:w="28" w:type="dxa"/>
            </w:tcMar>
          </w:tcPr>
          <w:p w14:paraId="6772232D"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N=32</w:t>
            </w:r>
          </w:p>
        </w:tc>
        <w:tc>
          <w:tcPr>
            <w:tcW w:w="1559" w:type="dxa"/>
            <w:tcMar>
              <w:left w:w="28" w:type="dxa"/>
              <w:right w:w="28" w:type="dxa"/>
            </w:tcMar>
          </w:tcPr>
          <w:p w14:paraId="20BC648C"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N=38</w:t>
            </w:r>
          </w:p>
        </w:tc>
        <w:tc>
          <w:tcPr>
            <w:tcW w:w="992" w:type="dxa"/>
            <w:tcMar>
              <w:left w:w="28" w:type="dxa"/>
              <w:right w:w="28" w:type="dxa"/>
            </w:tcMar>
          </w:tcPr>
          <w:p w14:paraId="766A0840"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eastAsia="Times New Roman" w:hAnsiTheme="majorBidi" w:cstheme="majorBidi"/>
                <w:sz w:val="20"/>
                <w:szCs w:val="20"/>
                <w:lang w:eastAsia="en-GB"/>
              </w:rPr>
              <w:t>N=4</w:t>
            </w:r>
          </w:p>
        </w:tc>
      </w:tr>
      <w:tr w:rsidR="00716DF9" w:rsidRPr="002D1DD7" w14:paraId="7184172B" w14:textId="77777777" w:rsidTr="00716DF9">
        <w:trPr>
          <w:cantSplit/>
        </w:trPr>
        <w:tc>
          <w:tcPr>
            <w:tcW w:w="10207" w:type="dxa"/>
            <w:gridSpan w:val="7"/>
            <w:tcMar>
              <w:left w:w="28" w:type="dxa"/>
              <w:right w:w="28" w:type="dxa"/>
            </w:tcMar>
          </w:tcPr>
          <w:p w14:paraId="06AE8DD7" w14:textId="77777777" w:rsidR="00716DF9" w:rsidRPr="002D1DD7" w:rsidRDefault="00716DF9" w:rsidP="00716DF9">
            <w:pPr>
              <w:rPr>
                <w:rFonts w:asciiTheme="majorBidi" w:eastAsia="Times New Roman" w:hAnsiTheme="majorBidi" w:cstheme="majorBidi"/>
                <w:sz w:val="20"/>
                <w:szCs w:val="20"/>
                <w:lang w:eastAsia="en-GB"/>
              </w:rPr>
            </w:pPr>
            <w:r w:rsidRPr="002D1DD7">
              <w:rPr>
                <w:rFonts w:asciiTheme="majorBidi" w:hAnsiTheme="majorBidi" w:cstheme="majorBidi"/>
                <w:sz w:val="20"/>
                <w:szCs w:val="20"/>
              </w:rPr>
              <w:t>AD, aggregate data; IPD, individual patient data; RCT, randomised controlled trials; SA, single-arm studies; STE, surrogate threshold effect.</w:t>
            </w:r>
          </w:p>
        </w:tc>
      </w:tr>
    </w:tbl>
    <w:p w14:paraId="7379B0F3" w14:textId="77777777" w:rsidR="00716DF9" w:rsidRPr="002D1DD7" w:rsidRDefault="00716DF9" w:rsidP="00716DF9">
      <w:pPr>
        <w:spacing w:after="0"/>
        <w:jc w:val="both"/>
        <w:rPr>
          <w:rFonts w:asciiTheme="majorBidi" w:eastAsia="Times New Roman" w:hAnsiTheme="majorBidi" w:cstheme="majorBidi"/>
          <w:lang w:eastAsia="en-GB"/>
        </w:rPr>
        <w:sectPr w:rsidR="00716DF9" w:rsidRPr="002D1DD7" w:rsidSect="00716DF9">
          <w:pgSz w:w="16838" w:h="11906" w:orient="landscape"/>
          <w:pgMar w:top="1440" w:right="1440" w:bottom="1440" w:left="1440" w:header="708" w:footer="708" w:gutter="0"/>
          <w:cols w:space="708"/>
          <w:docGrid w:linePitch="360"/>
        </w:sectPr>
      </w:pPr>
    </w:p>
    <w:p w14:paraId="1E863C83" w14:textId="77777777" w:rsidR="00716DF9" w:rsidRPr="002D1DD7" w:rsidRDefault="00716DF9" w:rsidP="00223273">
      <w:pPr>
        <w:pStyle w:val="Heading3"/>
      </w:pPr>
      <w:bookmarkStart w:id="89" w:name="_Toc33776179"/>
      <w:r w:rsidRPr="002D1DD7">
        <w:lastRenderedPageBreak/>
        <w:t>Results of included studies</w:t>
      </w:r>
      <w:bookmarkEnd w:id="89"/>
    </w:p>
    <w:p w14:paraId="1ECC262A" w14:textId="77777777" w:rsidR="00716DF9" w:rsidRPr="002D1DD7" w:rsidRDefault="00716DF9" w:rsidP="00223273">
      <w:pPr>
        <w:pStyle w:val="Heading4"/>
      </w:pPr>
      <w:bookmarkStart w:id="90" w:name="_Toc33776180"/>
      <w:r w:rsidRPr="002D1DD7">
        <w:t>Absolute (individual-level) correlation and regression</w:t>
      </w:r>
      <w:bookmarkEnd w:id="90"/>
    </w:p>
    <w:p w14:paraId="18E0D20E" w14:textId="30FC30C4" w:rsidR="00716DF9" w:rsidRPr="002D1DD7" w:rsidRDefault="00716DF9" w:rsidP="00A13248">
      <w:r w:rsidRPr="002D1DD7">
        <w:t xml:space="preserve">The </w:t>
      </w:r>
      <w:r w:rsidR="002D65F3">
        <w:t>range of</w:t>
      </w:r>
      <w:r w:rsidRPr="002D1DD7">
        <w:t xml:space="preserve"> </w:t>
      </w:r>
      <w:r w:rsidR="00660708">
        <w:rPr>
          <w:rFonts w:eastAsia="Times New Roman"/>
          <w:lang w:eastAsia="en-GB"/>
        </w:rPr>
        <w:t>a</w:t>
      </w:r>
      <w:r w:rsidR="00660708" w:rsidRPr="002D1DD7">
        <w:rPr>
          <w:rFonts w:eastAsia="Times New Roman"/>
          <w:lang w:eastAsia="en-GB"/>
        </w:rPr>
        <w:t xml:space="preserve">bsolute (individual-level) </w:t>
      </w:r>
      <w:r w:rsidRPr="002D1DD7">
        <w:t xml:space="preserve">correlation coefficients reported in each </w:t>
      </w:r>
      <w:r w:rsidR="00E05082">
        <w:t xml:space="preserve">meta-regression </w:t>
      </w:r>
      <w:r w:rsidR="002D65F3">
        <w:t>is</w:t>
      </w:r>
      <w:r w:rsidR="002D65F3" w:rsidRPr="002D1DD7">
        <w:t xml:space="preserve"> </w:t>
      </w:r>
      <w:r w:rsidRPr="002D1DD7">
        <w:t xml:space="preserve">summarised in </w:t>
      </w:r>
      <w:r w:rsidRPr="002D1DD7">
        <w:fldChar w:fldCharType="begin"/>
      </w:r>
      <w:r w:rsidRPr="002D1DD7">
        <w:instrText xml:space="preserve"> REF _Ref19004059 \h  \* MERGEFORMAT </w:instrText>
      </w:r>
      <w:r w:rsidRPr="002D1DD7">
        <w:fldChar w:fldCharType="separate"/>
      </w:r>
      <w:r w:rsidR="00C663A2" w:rsidRPr="002D1DD7">
        <w:t xml:space="preserve">Table </w:t>
      </w:r>
      <w:r w:rsidR="00C663A2">
        <w:t>6</w:t>
      </w:r>
      <w:r w:rsidRPr="002D1DD7">
        <w:fldChar w:fldCharType="end"/>
      </w:r>
      <w:r w:rsidRPr="002D1DD7">
        <w:t xml:space="preserve"> and illustrated in </w:t>
      </w:r>
      <w:r w:rsidRPr="002D1DD7">
        <w:fldChar w:fldCharType="begin"/>
      </w:r>
      <w:r w:rsidRPr="002D1DD7">
        <w:instrText xml:space="preserve"> REF _Ref16785223 \h  \* MERGEFORMAT </w:instrText>
      </w:r>
      <w:r w:rsidRPr="002D1DD7">
        <w:fldChar w:fldCharType="separate"/>
      </w:r>
      <w:r w:rsidR="00C663A2" w:rsidRPr="002D1DD7">
        <w:t xml:space="preserve">Figure </w:t>
      </w:r>
      <w:r w:rsidR="00C663A2">
        <w:t>2</w:t>
      </w:r>
      <w:r w:rsidRPr="002D1DD7">
        <w:fldChar w:fldCharType="end"/>
      </w:r>
      <w:r w:rsidRPr="002D1DD7">
        <w:t xml:space="preserve"> </w:t>
      </w:r>
      <w:r w:rsidRPr="002D1DD7">
        <w:rPr>
          <w:rFonts w:eastAsia="Times New Roman"/>
          <w:lang w:eastAsia="en-GB"/>
        </w:rPr>
        <w:t xml:space="preserve">(for the association between </w:t>
      </w:r>
      <w:r w:rsidR="002D65F3">
        <w:rPr>
          <w:rFonts w:eastAsia="Times New Roman"/>
          <w:lang w:eastAsia="en-GB"/>
        </w:rPr>
        <w:t>O</w:t>
      </w:r>
      <w:r w:rsidRPr="002D1DD7">
        <w:rPr>
          <w:rFonts w:eastAsia="Times New Roman"/>
          <w:lang w:eastAsia="en-GB"/>
        </w:rPr>
        <w:t xml:space="preserve">RR and PFS) and </w:t>
      </w:r>
      <w:r w:rsidRPr="002D1DD7">
        <w:rPr>
          <w:rFonts w:eastAsia="Times New Roman"/>
          <w:lang w:eastAsia="en-GB"/>
        </w:rPr>
        <w:fldChar w:fldCharType="begin"/>
      </w:r>
      <w:r w:rsidRPr="002D1DD7">
        <w:rPr>
          <w:rFonts w:eastAsia="Times New Roman"/>
          <w:lang w:eastAsia="en-GB"/>
        </w:rPr>
        <w:instrText xml:space="preserve"> REF _Ref16785232 \h  \* MERGEFORMAT </w:instrText>
      </w:r>
      <w:r w:rsidRPr="002D1DD7">
        <w:rPr>
          <w:rFonts w:eastAsia="Times New Roman"/>
          <w:lang w:eastAsia="en-GB"/>
        </w:rPr>
      </w:r>
      <w:r w:rsidRPr="002D1DD7">
        <w:rPr>
          <w:rFonts w:eastAsia="Times New Roman"/>
          <w:lang w:eastAsia="en-GB"/>
        </w:rPr>
        <w:fldChar w:fldCharType="separate"/>
      </w:r>
      <w:r w:rsidR="00C663A2" w:rsidRPr="002D1DD7">
        <w:t xml:space="preserve">Figure </w:t>
      </w:r>
      <w:r w:rsidR="00C663A2">
        <w:t>3</w:t>
      </w:r>
      <w:r w:rsidRPr="002D1DD7">
        <w:rPr>
          <w:rFonts w:eastAsia="Times New Roman"/>
          <w:lang w:eastAsia="en-GB"/>
        </w:rPr>
        <w:fldChar w:fldCharType="end"/>
      </w:r>
      <w:r w:rsidRPr="002D1DD7">
        <w:rPr>
          <w:rFonts w:eastAsia="Times New Roman"/>
          <w:lang w:eastAsia="en-GB"/>
        </w:rPr>
        <w:t xml:space="preserve"> </w:t>
      </w:r>
      <w:r w:rsidRPr="002D1DD7">
        <w:t xml:space="preserve">(for the association between </w:t>
      </w:r>
      <w:r w:rsidR="002D65F3">
        <w:t>O</w:t>
      </w:r>
      <w:r w:rsidRPr="002D1DD7">
        <w:t>RR and OS).</w:t>
      </w:r>
      <w:r w:rsidR="00660708">
        <w:t xml:space="preserve"> Each horizontal row in the plots illustrates the range of correlation coefficients across all subgroup analyses within a single meta-regression study. </w:t>
      </w:r>
      <w:r w:rsidR="002D65F3">
        <w:t xml:space="preserve">Where an included </w:t>
      </w:r>
      <w:r w:rsidR="00660708">
        <w:t xml:space="preserve">meta-regression </w:t>
      </w:r>
      <w:r w:rsidR="002D65F3">
        <w:t>reported on more than one cancer type, these are shown separately on the plots.</w:t>
      </w:r>
      <w:r w:rsidR="007E147C">
        <w:t xml:space="preserve"> </w:t>
      </w:r>
      <w:r w:rsidR="00660708">
        <w:t xml:space="preserve">It is worth noting that the meta-regressions varied both in terms of the number of included primary studies (shown as N on the plots) and in terms of the treatment type, line of treatment and precise clinical population; all these details are provided in Appendix </w:t>
      </w:r>
      <w:r w:rsidR="00A13248">
        <w:t>5</w:t>
      </w:r>
      <w:r w:rsidR="00660708">
        <w:t xml:space="preserve">, together with correlation coefficients for all individual subgroup analyses. </w:t>
      </w:r>
    </w:p>
    <w:p w14:paraId="574776B8" w14:textId="141AB448" w:rsidR="00716DF9" w:rsidRPr="002D1DD7" w:rsidRDefault="00B80A44" w:rsidP="00A114EA">
      <w:r>
        <w:rPr>
          <w:b/>
          <w:bCs/>
        </w:rPr>
        <w:t>O</w:t>
      </w:r>
      <w:r w:rsidR="00716DF9" w:rsidRPr="002D1DD7">
        <w:rPr>
          <w:b/>
          <w:bCs/>
        </w:rPr>
        <w:t>RR and PFS (or TTP):</w:t>
      </w:r>
      <w:r w:rsidR="00716DF9" w:rsidRPr="002D1DD7">
        <w:t xml:space="preserve"> The </w:t>
      </w:r>
      <w:r w:rsidR="002D65F3">
        <w:t>reported</w:t>
      </w:r>
      <w:r w:rsidR="00716DF9" w:rsidRPr="002D1DD7">
        <w:t xml:space="preserve"> correlation coefficient</w:t>
      </w:r>
      <w:r w:rsidR="002D65F3">
        <w:t>s</w:t>
      </w:r>
      <w:r w:rsidR="00716DF9" w:rsidRPr="002D1DD7">
        <w:t xml:space="preserve"> (Pearson r or Spearman r</w:t>
      </w:r>
      <w:r w:rsidR="00716DF9" w:rsidRPr="002D1DD7">
        <w:rPr>
          <w:vertAlign w:val="subscript"/>
        </w:rPr>
        <w:t>s</w:t>
      </w:r>
      <w:r w:rsidR="00716DF9" w:rsidRPr="002D1DD7">
        <w:t xml:space="preserve">) between absolute </w:t>
      </w:r>
      <w:r>
        <w:t>O</w:t>
      </w:r>
      <w:r w:rsidR="00716DF9" w:rsidRPr="002D1DD7">
        <w:t xml:space="preserve">RR and PFS ranged from </w:t>
      </w:r>
      <w:r w:rsidR="002D65F3">
        <w:t>-0.72</w:t>
      </w:r>
      <w:r w:rsidR="00716DF9" w:rsidRPr="002D1DD7">
        <w:t xml:space="preserve"> to 0.96, based on</w:t>
      </w:r>
      <w:r w:rsidR="002D65F3" w:rsidRPr="002D65F3">
        <w:t xml:space="preserve"> </w:t>
      </w:r>
      <w:r w:rsidR="002D65F3">
        <w:t>multiple analyses within</w:t>
      </w:r>
      <w:r w:rsidR="00716DF9" w:rsidRPr="002D1DD7">
        <w:t xml:space="preserve"> 1</w:t>
      </w:r>
      <w:r w:rsidR="002D65F3">
        <w:t>2</w:t>
      </w:r>
      <w:r w:rsidR="00716DF9" w:rsidRPr="002D1DD7">
        <w:t xml:space="preserve"> studies</w:t>
      </w:r>
      <w:r w:rsidR="002D65F3">
        <w:t xml:space="preserve"> across </w:t>
      </w:r>
      <w:r w:rsidR="00A114EA">
        <w:rPr>
          <w:rFonts w:asciiTheme="majorBidi" w:hAnsiTheme="majorBidi" w:cstheme="majorBidi"/>
        </w:rPr>
        <w:t>10 cancer types</w:t>
      </w:r>
      <w:r w:rsidR="00A114EA" w:rsidRPr="002D1DD7">
        <w:rPr>
          <w:rFonts w:asciiTheme="majorBidi" w:hAnsiTheme="majorBidi" w:cstheme="majorBidi"/>
        </w:rPr>
        <w:fldChar w:fldCharType="begin"/>
      </w:r>
      <w:r w:rsidR="000E66DE">
        <w:rPr>
          <w:rFonts w:asciiTheme="majorBidi" w:hAnsiTheme="majorBidi" w:cstheme="majorBidi"/>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00A114EA"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104</w:t>
      </w:r>
      <w:r w:rsidR="00A114EA" w:rsidRPr="002D1DD7">
        <w:rPr>
          <w:rFonts w:asciiTheme="majorBidi" w:hAnsiTheme="majorBidi" w:cstheme="majorBidi"/>
        </w:rPr>
        <w:fldChar w:fldCharType="end"/>
      </w:r>
      <w:r w:rsidR="00A114EA" w:rsidRPr="00BE75AC">
        <w:rPr>
          <w:rFonts w:asciiTheme="majorBidi" w:hAnsiTheme="majorBidi" w:cstheme="majorBidi"/>
          <w:vertAlign w:val="superscript"/>
        </w:rPr>
        <w:t>,</w:t>
      </w:r>
      <w:r w:rsidR="00D9077A">
        <w:rPr>
          <w:rFonts w:asciiTheme="majorBidi" w:hAnsiTheme="majorBidi" w:cstheme="majorBidi"/>
          <w:vertAlign w:val="superscript"/>
        </w:rPr>
        <w:t xml:space="preserve"> </w:t>
      </w:r>
      <w:r w:rsidR="00A114EA" w:rsidRPr="002D1DD7">
        <w:rPr>
          <w:rFonts w:asciiTheme="majorBidi" w:hAnsiTheme="majorBidi" w:cstheme="majorBidi"/>
        </w:rPr>
        <w:fldChar w:fldCharType="begin">
          <w:fldData xml:space="preserve">PEVuZE5vdGU+PENpdGU+PEF1dGhvcj5SaXRjaGllPC9BdXRob3I+PFllYXI+MjAxODwvWWVhcj48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Y2VzX3BhZ2U/c2lkPU9WSUQ6bWVkbGluZSZhbXA7aWQ9cG1pZDoxOTgyNjM1NSZhbXA7aWQ9ZG9p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PUpTJmFtcDtDU0M9WSZhbXA7TkVXUz1OJmFtcDtQQUdFPWZ1bGx0ZXh0JmFtcDtEPW1lZDkmYW1w
O0FOPTI0MDk1NjM5PC9zdHlsZT48c3R5bGUgZmFjZT0ibm9ybWFsIiBmb250PSJkZWZhdWx0IiBz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ZGxpbmUmYW1wO2lkPXBtaWQ6MjQwOTU2MzkmYW1wO2lkPWRvaToxMC4xMDE2JTJGai5jbGdjLjIw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PXBtaWQ6MjQ0ODUyMzEmYW1wO2lkPWRvaToxMC4xMDE2JTJGai5jbGxjLjIwMTMuMTIuMDAxJmFt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O05FV1M9TiZhbXA7UEFHRT1mdWxsdGV4dCZhbXA7RD1tZWQxMCZhbXA7QU49MjQ3OTM2MjI8L3N0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ZDoyNDc5MzYyMiZhbXA7aWQ9ZG9pOjEwLjE2ODQlMkZiZGMuMjAxNC4xOTM0JmFtcDtpc3NuPTAw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PEVuZE5vdGU+PENpdGU+PEF1dGhvcj5SaXRjaGllPC9BdXRob3I+PFllYXI+MjAxODwvWWVhcj48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Y2VzX3BhZ2U/c2lkPU9WSUQ6bWVkbGluZSZhbXA7aWQ9cG1pZDoxOTgyNjM1NSZhbXA7aWQ9ZG9p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PUpTJmFtcDtDU0M9WSZhbXA7TkVXUz1OJmFtcDtQQUdFPWZ1bGx0ZXh0JmFtcDtEPW1lZDkmYW1w
O0FOPTI0MDk1NjM5PC9zdHlsZT48c3R5bGUgZmFjZT0ibm9ybWFsIiBmb250PSJkZWZhdWx0IiBz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ZGxpbmUmYW1wO2lkPXBtaWQ6MjQwOTU2MzkmYW1wO2lkPWRvaToxMC4xMDE2JTJGai5jbGdjLjIw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PXBtaWQ6MjQ0ODUyMzEmYW1wO2lkPWRvaToxMC4xMDE2JTJGai5jbGxjLjIwMTMuMTIuMDAxJmFt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O05FV1M9TiZhbXA7UEFHRT1mdWxsdGV4dCZhbXA7RD1tZWQxMCZhbXA7QU49MjQ3OTM2MjI8L3N0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ZDoyNDc5MzYyMiZhbXA7aWQ9ZG9pOjEwLjE2ODQlMkZiZGMuMjAxNC4xOTM0JmFtcDtpc3NuPTAw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A114EA" w:rsidRPr="002D1DD7">
        <w:rPr>
          <w:rFonts w:asciiTheme="majorBidi" w:hAnsiTheme="majorBidi" w:cstheme="majorBidi"/>
        </w:rPr>
      </w:r>
      <w:r w:rsidR="00A114EA"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105, 112, 114, 115, 119, 122, 123, 125, 126, 132, 138</w:t>
      </w:r>
      <w:r w:rsidR="00A114EA" w:rsidRPr="002D1DD7">
        <w:rPr>
          <w:rFonts w:asciiTheme="majorBidi" w:hAnsiTheme="majorBidi" w:cstheme="majorBidi"/>
        </w:rPr>
        <w:fldChar w:fldCharType="end"/>
      </w:r>
      <w:r w:rsidR="00A114EA" w:rsidRPr="002D1DD7">
        <w:rPr>
          <w:rFonts w:asciiTheme="majorBidi" w:hAnsiTheme="majorBidi" w:cstheme="majorBidi"/>
        </w:rPr>
        <w:t xml:space="preserve"> </w:t>
      </w:r>
      <w:r w:rsidR="00716DF9" w:rsidRPr="002D1DD7">
        <w:t>(</w:t>
      </w:r>
      <w:r w:rsidR="00716DF9" w:rsidRPr="002D1DD7">
        <w:fldChar w:fldCharType="begin"/>
      </w:r>
      <w:r w:rsidR="00716DF9" w:rsidRPr="002D1DD7">
        <w:instrText xml:space="preserve"> REF _Ref16785223 \h  \* MERGEFORMAT </w:instrText>
      </w:r>
      <w:r w:rsidR="00716DF9" w:rsidRPr="002D1DD7">
        <w:fldChar w:fldCharType="separate"/>
      </w:r>
      <w:r w:rsidR="00C663A2" w:rsidRPr="002D1DD7">
        <w:t xml:space="preserve">Figure </w:t>
      </w:r>
      <w:r w:rsidR="00C663A2">
        <w:t>2</w:t>
      </w:r>
      <w:r w:rsidR="00716DF9" w:rsidRPr="002D1DD7">
        <w:fldChar w:fldCharType="end"/>
      </w:r>
      <w:r w:rsidR="00716DF9" w:rsidRPr="002D1DD7">
        <w:t xml:space="preserve"> and </w:t>
      </w:r>
      <w:r w:rsidR="00716DF9" w:rsidRPr="002D1DD7">
        <w:fldChar w:fldCharType="begin"/>
      </w:r>
      <w:r w:rsidR="00716DF9" w:rsidRPr="002D1DD7">
        <w:instrText xml:space="preserve"> REF _Ref19004059 \h  \* MERGEFORMAT </w:instrText>
      </w:r>
      <w:r w:rsidR="00716DF9" w:rsidRPr="002D1DD7">
        <w:fldChar w:fldCharType="separate"/>
      </w:r>
      <w:r w:rsidR="00C663A2" w:rsidRPr="002D1DD7">
        <w:t xml:space="preserve">Table </w:t>
      </w:r>
      <w:r w:rsidR="00C663A2">
        <w:t>6</w:t>
      </w:r>
      <w:r w:rsidR="00716DF9" w:rsidRPr="002D1DD7">
        <w:fldChar w:fldCharType="end"/>
      </w:r>
      <w:r w:rsidR="00716DF9" w:rsidRPr="002D1DD7">
        <w:t xml:space="preserve">; full details in </w:t>
      </w:r>
      <w:r w:rsidR="00716DF9" w:rsidRPr="002D1DD7">
        <w:rPr>
          <w:rFonts w:eastAsia="Times New Roman"/>
          <w:lang w:eastAsia="en-GB"/>
        </w:rPr>
        <w:t xml:space="preserve">Appendix </w:t>
      </w:r>
      <w:r w:rsidR="00A13248">
        <w:rPr>
          <w:rFonts w:eastAsia="Times New Roman"/>
          <w:lang w:eastAsia="en-GB"/>
        </w:rPr>
        <w:t>5</w:t>
      </w:r>
      <w:r w:rsidR="00716DF9" w:rsidRPr="002D1DD7">
        <w:t xml:space="preserve">). </w:t>
      </w:r>
      <w:r w:rsidR="00402A3F">
        <w:t xml:space="preserve">Across those studies which report only a single analysis, the correlation coefficient was generally above 0.60; however, some estimates were lower. </w:t>
      </w:r>
      <w:r w:rsidR="00716DF9" w:rsidRPr="002D1DD7">
        <w:t xml:space="preserve">Confidence intervals </w:t>
      </w:r>
      <w:r w:rsidR="00402A3F">
        <w:t xml:space="preserve">around the correlation coefficients </w:t>
      </w:r>
      <w:r w:rsidR="00716DF9" w:rsidRPr="002D1DD7">
        <w:t>were rarely reported</w:t>
      </w:r>
      <w:r w:rsidR="00402A3F">
        <w:t xml:space="preserve"> (not shown in the plot, see Appendix </w:t>
      </w:r>
      <w:r w:rsidR="00A13248">
        <w:t>5</w:t>
      </w:r>
      <w:r w:rsidR="00402A3F">
        <w:t>)</w:t>
      </w:r>
      <w:r w:rsidR="00716DF9" w:rsidRPr="002D1DD7">
        <w:t xml:space="preserve">. </w:t>
      </w:r>
      <w:r w:rsidR="00660708">
        <w:t>F</w:t>
      </w:r>
      <w:r w:rsidR="007E147C">
        <w:t>ew separate meta-regressions reported on the same tumour site</w:t>
      </w:r>
      <w:r w:rsidR="00660708">
        <w:t>,</w:t>
      </w:r>
      <w:r w:rsidR="007E147C">
        <w:t xml:space="preserve"> hence it is difficult to assess whether ORR </w:t>
      </w:r>
      <w:r w:rsidR="00660708">
        <w:t xml:space="preserve">may be </w:t>
      </w:r>
      <w:r w:rsidR="007E147C">
        <w:t xml:space="preserve">a </w:t>
      </w:r>
      <w:r w:rsidR="00660708">
        <w:t xml:space="preserve">more reliable </w:t>
      </w:r>
      <w:r w:rsidR="007E147C">
        <w:t>surrogate in certain cancer types</w:t>
      </w:r>
      <w:r w:rsidR="00660708">
        <w:t xml:space="preserve"> than others</w:t>
      </w:r>
      <w:r w:rsidR="007E147C">
        <w:t xml:space="preserve">. </w:t>
      </w:r>
      <w:r w:rsidR="00716DF9" w:rsidRPr="002D1DD7">
        <w:t xml:space="preserve">One study reported on </w:t>
      </w:r>
      <w:r w:rsidR="0002192C">
        <w:t>O</w:t>
      </w:r>
      <w:r w:rsidR="00716DF9" w:rsidRPr="002D1DD7">
        <w:t>RR and TTP (gastric cancer; correlation r</w:t>
      </w:r>
      <w:r w:rsidR="00716DF9" w:rsidRPr="002D1DD7">
        <w:rPr>
          <w:vertAlign w:val="subscript"/>
        </w:rPr>
        <w:t>s</w:t>
      </w:r>
      <w:r w:rsidR="00716DF9" w:rsidRPr="002D1DD7">
        <w:t xml:space="preserve"> = </w:t>
      </w:r>
      <w:r w:rsidR="0002192C">
        <w:t xml:space="preserve">0.41 to </w:t>
      </w:r>
      <w:r w:rsidR="00716DF9" w:rsidRPr="002D1DD7">
        <w:t>0.56</w:t>
      </w:r>
      <w:r w:rsidR="0002192C" w:rsidRPr="0002192C">
        <w:t xml:space="preserve"> </w:t>
      </w:r>
      <w:r w:rsidR="0002192C">
        <w:t>across subgroup analyses</w:t>
      </w:r>
      <w:r w:rsidR="007E147C">
        <w:t>, not shown on the plot</w:t>
      </w:r>
      <w:r w:rsidR="00716DF9" w:rsidRPr="002D1DD7">
        <w:t>).</w:t>
      </w:r>
      <w:r w:rsidR="006F7FD7">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instrText xml:space="preserve"> ADDIN EN.CITE </w:instrText>
      </w:r>
      <w:r w:rsidR="000E66DE">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instrText xml:space="preserve"> ADDIN EN.CITE.DATA </w:instrText>
      </w:r>
      <w:r w:rsidR="000E66DE">
        <w:fldChar w:fldCharType="end"/>
      </w:r>
      <w:r w:rsidR="006F7FD7">
        <w:fldChar w:fldCharType="separate"/>
      </w:r>
      <w:r w:rsidR="003117A9" w:rsidRPr="003117A9">
        <w:rPr>
          <w:noProof/>
          <w:vertAlign w:val="superscript"/>
        </w:rPr>
        <w:t>102</w:t>
      </w:r>
      <w:r w:rsidR="006F7FD7">
        <w:fldChar w:fldCharType="end"/>
      </w:r>
      <w:r w:rsidR="007E147C">
        <w:t xml:space="preserve"> </w:t>
      </w:r>
    </w:p>
    <w:p w14:paraId="4E56D361" w14:textId="23E93338" w:rsidR="00716DF9" w:rsidRPr="002D1DD7" w:rsidRDefault="00B80A44" w:rsidP="00E001C5">
      <w:r>
        <w:rPr>
          <w:b/>
          <w:bCs/>
        </w:rPr>
        <w:t>O</w:t>
      </w:r>
      <w:r w:rsidR="00716DF9" w:rsidRPr="002D1DD7">
        <w:rPr>
          <w:b/>
          <w:bCs/>
        </w:rPr>
        <w:t>RR and OS:</w:t>
      </w:r>
      <w:r w:rsidR="00716DF9" w:rsidRPr="002D1DD7">
        <w:t xml:space="preserve"> The </w:t>
      </w:r>
      <w:r w:rsidR="007A4AAA">
        <w:t>reported</w:t>
      </w:r>
      <w:r w:rsidR="00716DF9" w:rsidRPr="002D1DD7">
        <w:t xml:space="preserve"> correlation coefficient</w:t>
      </w:r>
      <w:r w:rsidR="007A4AAA">
        <w:t>s</w:t>
      </w:r>
      <w:r w:rsidR="00716DF9" w:rsidRPr="002D1DD7">
        <w:t xml:space="preserve"> between absolute </w:t>
      </w:r>
      <w:r>
        <w:t>O</w:t>
      </w:r>
      <w:r w:rsidR="00716DF9" w:rsidRPr="002D1DD7">
        <w:t xml:space="preserve">RR and OS ranged from </w:t>
      </w:r>
      <w:r w:rsidR="00A13248">
        <w:noBreakHyphen/>
      </w:r>
      <w:r w:rsidR="00716DF9" w:rsidRPr="002D1DD7">
        <w:t>0.</w:t>
      </w:r>
      <w:r w:rsidR="007A4AAA">
        <w:t>40</w:t>
      </w:r>
      <w:r w:rsidR="00716DF9" w:rsidRPr="002D1DD7">
        <w:t xml:space="preserve"> to 1.00, based on 2</w:t>
      </w:r>
      <w:r w:rsidR="007A4AAA">
        <w:t>7</w:t>
      </w:r>
      <w:r w:rsidR="00716DF9" w:rsidRPr="002D1DD7">
        <w:t xml:space="preserve"> studies across </w:t>
      </w:r>
      <w:r w:rsidR="00E001C5" w:rsidRPr="002D1DD7">
        <w:rPr>
          <w:rFonts w:asciiTheme="majorBidi" w:hAnsiTheme="majorBidi" w:cstheme="majorBidi"/>
        </w:rPr>
        <w:t>1</w:t>
      </w:r>
      <w:r w:rsidR="00E001C5">
        <w:rPr>
          <w:rFonts w:asciiTheme="majorBidi" w:hAnsiTheme="majorBidi" w:cstheme="majorBidi"/>
        </w:rPr>
        <w:t>5</w:t>
      </w:r>
      <w:r w:rsidR="00E001C5" w:rsidRPr="002D1DD7">
        <w:rPr>
          <w:rFonts w:asciiTheme="majorBidi" w:hAnsiTheme="majorBidi" w:cstheme="majorBidi"/>
        </w:rPr>
        <w:t xml:space="preserve"> cancer types</w:t>
      </w:r>
      <w:r w:rsidR="00E001C5" w:rsidRPr="0075241B">
        <w:rPr>
          <w:rFonts w:asciiTheme="majorBidi" w:hAnsiTheme="majorBidi" w:cstheme="majorBidi"/>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hAnsiTheme="majorBidi" w:cstheme="majorBidi"/>
        </w:rPr>
        <w:instrText xml:space="preserve"> ADDIN EN.CITE </w:instrText>
      </w:r>
      <w:r w:rsidR="003117A9">
        <w:rPr>
          <w:rFonts w:asciiTheme="majorBidi" w:hAnsiTheme="majorBidi" w:cstheme="majorBidi"/>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hAnsiTheme="majorBidi" w:cstheme="majorBidi"/>
        </w:rPr>
        <w:instrText xml:space="preserve"> ADDIN EN.CITE.DATA </w:instrText>
      </w:r>
      <w:r w:rsidR="003117A9">
        <w:rPr>
          <w:rFonts w:asciiTheme="majorBidi" w:hAnsiTheme="majorBidi" w:cstheme="majorBidi"/>
        </w:rPr>
      </w:r>
      <w:r w:rsidR="003117A9">
        <w:rPr>
          <w:rFonts w:asciiTheme="majorBidi" w:hAnsiTheme="majorBidi" w:cstheme="majorBidi"/>
        </w:rPr>
        <w:fldChar w:fldCharType="end"/>
      </w:r>
      <w:r w:rsidR="00E001C5" w:rsidRPr="0075241B">
        <w:rPr>
          <w:rFonts w:asciiTheme="majorBidi" w:hAnsiTheme="majorBidi" w:cstheme="majorBidi"/>
        </w:rPr>
      </w:r>
      <w:r w:rsidR="00E001C5" w:rsidRPr="0075241B">
        <w:rPr>
          <w:rFonts w:asciiTheme="majorBidi" w:hAnsiTheme="majorBidi" w:cstheme="majorBidi"/>
        </w:rPr>
        <w:fldChar w:fldCharType="separate"/>
      </w:r>
      <w:r w:rsidR="003117A9" w:rsidRPr="003117A9">
        <w:rPr>
          <w:rFonts w:asciiTheme="majorBidi" w:hAnsiTheme="majorBidi" w:cstheme="majorBidi"/>
          <w:noProof/>
          <w:vertAlign w:val="superscript"/>
        </w:rPr>
        <w:t>78</w:t>
      </w:r>
      <w:r w:rsidR="00E001C5" w:rsidRPr="0075241B">
        <w:rPr>
          <w:rFonts w:asciiTheme="majorBidi" w:hAnsiTheme="majorBidi" w:cstheme="majorBidi"/>
        </w:rPr>
        <w:fldChar w:fldCharType="end"/>
      </w:r>
      <w:r w:rsidR="00E001C5" w:rsidRPr="0075241B">
        <w:rPr>
          <w:rFonts w:asciiTheme="majorBidi" w:hAnsiTheme="majorBidi" w:cstheme="majorBidi"/>
          <w:vertAlign w:val="superscript"/>
        </w:rPr>
        <w:t>,</w:t>
      </w:r>
      <w:r w:rsidR="00D9077A">
        <w:rPr>
          <w:rFonts w:asciiTheme="majorBidi" w:hAnsiTheme="majorBidi" w:cstheme="majorBidi"/>
          <w:vertAlign w:val="superscript"/>
        </w:rPr>
        <w:t xml:space="preserve"> </w:t>
      </w:r>
      <w:r w:rsidR="00E001C5" w:rsidRPr="0075241B">
        <w:rPr>
          <w:rFonts w:asciiTheme="majorBidi" w:hAnsiTheme="majorBidi" w:cstheme="majorBidi"/>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75241B">
        <w:rPr>
          <w:rFonts w:asciiTheme="majorBidi" w:hAnsiTheme="majorBidi" w:cstheme="majorBidi"/>
        </w:rPr>
      </w:r>
      <w:r w:rsidR="00E001C5" w:rsidRPr="0075241B">
        <w:rPr>
          <w:rFonts w:asciiTheme="majorBidi" w:hAnsiTheme="majorBidi" w:cstheme="majorBidi"/>
        </w:rPr>
        <w:fldChar w:fldCharType="separate"/>
      </w:r>
      <w:r w:rsidR="003117A9" w:rsidRPr="003117A9">
        <w:rPr>
          <w:rFonts w:asciiTheme="majorBidi" w:hAnsiTheme="majorBidi" w:cstheme="majorBidi"/>
          <w:noProof/>
          <w:vertAlign w:val="superscript"/>
        </w:rPr>
        <w:t>103</w:t>
      </w:r>
      <w:r w:rsidR="00E001C5" w:rsidRPr="0075241B">
        <w:rPr>
          <w:rFonts w:asciiTheme="majorBidi" w:hAnsiTheme="majorBidi" w:cstheme="majorBidi"/>
        </w:rPr>
        <w:fldChar w:fldCharType="end"/>
      </w:r>
      <w:r w:rsidR="00E001C5">
        <w:rPr>
          <w:rFonts w:asciiTheme="majorBidi" w:hAnsiTheme="majorBidi" w:cstheme="majorBidi"/>
          <w:vertAlign w:val="superscript"/>
        </w:rPr>
        <w:t>,</w:t>
      </w:r>
      <w:r w:rsidR="00D9077A">
        <w:rPr>
          <w:rFonts w:asciiTheme="majorBidi" w:hAnsiTheme="majorBidi" w:cstheme="majorBidi"/>
          <w:vertAlign w:val="superscript"/>
        </w:rPr>
        <w:t xml:space="preserve"> </w:t>
      </w:r>
      <w:r w:rsidR="00E001C5" w:rsidRPr="002D1DD7">
        <w:rPr>
          <w:rFonts w:asciiTheme="majorBidi" w:hAnsiTheme="majorBidi" w:cstheme="majorBidi"/>
        </w:rPr>
        <w:fldChar w:fldCharType="begin">
          <w:fldData xml:space="preserve">PjxhdXRoLWFkZHJlc3M+SWNoaWthd2EsIFcuIERlcGFydG1lbnQgb2YgQ2xpbmljYWwgT25jb2xv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WSZhbXA7TkVXUz1OJmFtcDtQQUdFPWZ1bGx0ZXh0JmFtcDtEPWVtZXhhJmFtcDtBTj0yMDAxMjg4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bXA7TkVXUz1OJmFtcDtQQUdFPWZ1bGx0ZXh0JmFtcDtEPW1lZDEyJmFtcDtBTj0yNzQ1MTAyMCYj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bWlkOjI0MDk1NjM5JmFtcDtpZD1kb2k6MTAuMTAxNiUyRmouY2xnYy4yMDEzLjA3LjAxMiZhbXA7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TiZhbXA7UEFHRT1mdWxsdGV4dCZhbXA7RD1tZWQxMCZhbXA7QU49MjQyMjAyMjAmI3hEO2h0dHA6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RD1tZWQxMCZhbXA7QU49MjQ0ODUyMzE8L3N0eWxlPjxzdHlsZSBmYWNlPSJub3JtYWwiIGZvbnQ9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c2lkPU9WSUQ6bWVkbGluZSZhbXA7aWQ9cG1pZDoyNDQ4NTIzMSZhbXA7aWQ9ZG9pOjEwLjEwMTYl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Q1NDPVkmYW1wO05FV1M9TiZhbXA7UEFHRT1mdWxsdGV4dCZhbXA7RD1tZWQxMCZhbXA7QU49MjQz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bXA7TkVXUz1OJmFtcDtQQUdFPWZ1bGx0ZXh0JmFtcDtEPW1lZDEwJmFtcDtBTj0yNDc5MzYyMjwv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bWlkOjI0NzkzNjIyJmFtcDtpZD1kb2k6MTAuMTY4NCUyRmJkYy4yMDE0LjE5MzQmYW1wO2lzc249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PEVuZE5vdGU+PENpdGU+PEF1dGhvcj5SaXRjaGllPC9BdXRob3I+PFllYXI+MjAxODwvWWVhcj48
UmVjTnVtPjI1MzY8L1JlY051bT48SURUZXh0PiQkaW5jbHVkZSBmdWxsIHRleHQgUFQ8L0lEVGV4
dD48RGlzcGxheVRleHQ+PHN0eWxlIGZhY2U9InN1cGVyc2NyaXB0Ij43OSwgODAsIDk1LCA5Nywg
OTgsIDEwMiwgMTA1LCAxMDktMTEyLCAxMTktMTI2LCAxMjgsIDEzMC0xMzIsIDEzNSwgMTM4PC9z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Y29yZD48L0NpdGU+PENpdGU+PEF1dGhvcj5MaTwvQXV0aG9yPjxZZWFyPjIwMTI8L1llYXI+PFJl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bXA7TkVXUz1OJmFtcDtQQUdFPWZ1bGx0ZXh0JmFtcDtEPW1lZDgmYW1wO0FOPTIyNzYzNjQ2PC9z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aWQ6MjI3NjM2NDYmYW1wO2lkPWRvaToxMC4xMDA3JTJGczAwNDMyLTAxMi0xMjc4LXomYW1wO2lz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PVkmYW1wO05FV1M9TiZhbXA7UEFHRT1mdWxsdGV4dCZhbXA7RD1tZWQ1JmFtcDtBTj0xNzg3NjAx
MDwvc3R5bGU+PHN0eWxlIGZhY2U9Im5vcm1hbCIgZm9udD0iZGVmYXVsdCIgc2l6ZT0iMTAwJSI+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ZD1wbWlkOjE3ODc2MDEwJmFtcDtpZD1kb2k6MTAuMTIwMCUyRkpDTy4yMDA2LjA4LjE5MzUmYW1w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==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0E66DE">
        <w:rPr>
          <w:rFonts w:asciiTheme="majorBidi" w:hAnsiTheme="majorBidi" w:cstheme="majorBidi"/>
        </w:rPr>
        <w:fldChar w:fldCharType="begin">
          <w:fldData xml:space="preserve">PjxhdXRoLWFkZHJlc3M+SWNoaWthd2EsIFcuIERlcGFydG1lbnQgb2YgQ2xpbmljYWwgT25jb2xv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WSZhbXA7TkVXUz1OJmFtcDtQQUdFPWZ1bGx0ZXh0JmFtcDtEPWVtZXhhJmFtcDtBTj0yMDAxMjg4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bXA7TkVXUz1OJmFtcDtQQUdFPWZ1bGx0ZXh0JmFtcDtEPW1lZDEyJmFtcDtBTj0yNzQ1MTAyMCYj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bWlkOjI0MDk1NjM5JmFtcDtpZD1kb2k6MTAuMTAxNiUyRmouY2xnYy4yMDEzLjA3LjAxMiZhbXA7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TiZhbXA7UEFHRT1mdWxsdGV4dCZhbXA7RD1tZWQxMCZhbXA7QU49MjQyMjAyMjAmI3hEO2h0dHA6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RD1tZWQxMCZhbXA7QU49MjQ0ODUyMzE8L3N0eWxlPjxzdHlsZSBmYWNlPSJub3JtYWwiIGZvbnQ9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c2lkPU9WSUQ6bWVkbGluZSZhbXA7aWQ9cG1pZDoyNDQ4NTIzMSZhbXA7aWQ9ZG9pOjEwLjEwMTYl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Q1NDPVkmYW1wO05FV1M9TiZhbXA7UEFHRT1mdWxsdGV4dCZhbXA7RD1tZWQxMCZhbXA7QU49MjQz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bXA7TkVXUz1OJmFtcDtQQUdFPWZ1bGx0ZXh0JmFtcDtEPW1lZDEwJmFtcDtBTj0yNDc5MzYyMjwv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bWlkOjI0NzkzNjIyJmFtcDtpZD1kb2k6MTAuMTY4NCUyRmJkYy4yMDE0LjE5MzQmYW1wO2lzc249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79, 80, 95, 97, 98, 102, 105, 109-112, 119-126, 128, 130-132, 135, 138</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w:t>
      </w:r>
      <w:r w:rsidR="00716DF9" w:rsidRPr="002D1DD7">
        <w:t>(</w:t>
      </w:r>
      <w:r w:rsidR="00716DF9" w:rsidRPr="002D1DD7">
        <w:fldChar w:fldCharType="begin"/>
      </w:r>
      <w:r w:rsidR="00716DF9" w:rsidRPr="002D1DD7">
        <w:instrText xml:space="preserve"> REF _Ref16785232 \h  \* MERGEFORMAT </w:instrText>
      </w:r>
      <w:r w:rsidR="00716DF9" w:rsidRPr="002D1DD7">
        <w:fldChar w:fldCharType="separate"/>
      </w:r>
      <w:r w:rsidR="00C663A2" w:rsidRPr="002D1DD7">
        <w:t xml:space="preserve">Figure </w:t>
      </w:r>
      <w:r w:rsidR="00C663A2">
        <w:t>3</w:t>
      </w:r>
      <w:r w:rsidR="00716DF9" w:rsidRPr="002D1DD7">
        <w:fldChar w:fldCharType="end"/>
      </w:r>
      <w:r w:rsidR="00716DF9" w:rsidRPr="002D1DD7">
        <w:t xml:space="preserve"> and </w:t>
      </w:r>
      <w:r w:rsidR="00716DF9" w:rsidRPr="002D1DD7">
        <w:fldChar w:fldCharType="begin"/>
      </w:r>
      <w:r w:rsidR="00716DF9" w:rsidRPr="002D1DD7">
        <w:instrText xml:space="preserve"> REF _Ref19004059 \h  \* MERGEFORMAT </w:instrText>
      </w:r>
      <w:r w:rsidR="00716DF9" w:rsidRPr="002D1DD7">
        <w:fldChar w:fldCharType="separate"/>
      </w:r>
      <w:r w:rsidR="00C663A2" w:rsidRPr="002D1DD7">
        <w:t xml:space="preserve">Table </w:t>
      </w:r>
      <w:r w:rsidR="00C663A2">
        <w:t>6</w:t>
      </w:r>
      <w:r w:rsidR="00716DF9" w:rsidRPr="002D1DD7">
        <w:fldChar w:fldCharType="end"/>
      </w:r>
      <w:r w:rsidR="00716DF9" w:rsidRPr="002D1DD7">
        <w:t xml:space="preserve">; full details in </w:t>
      </w:r>
      <w:r w:rsidR="00716DF9" w:rsidRPr="002D1DD7">
        <w:rPr>
          <w:rFonts w:eastAsia="Times New Roman"/>
          <w:lang w:eastAsia="en-GB"/>
        </w:rPr>
        <w:t xml:space="preserve">Appendix </w:t>
      </w:r>
      <w:r w:rsidR="00A13248">
        <w:rPr>
          <w:rFonts w:eastAsia="Times New Roman"/>
          <w:lang w:eastAsia="en-GB"/>
        </w:rPr>
        <w:t>5</w:t>
      </w:r>
      <w:r w:rsidR="00716DF9" w:rsidRPr="002D1DD7">
        <w:t>). Confidence intervals</w:t>
      </w:r>
      <w:r w:rsidR="00660708">
        <w:t xml:space="preserve"> around the correlation coefficients</w:t>
      </w:r>
      <w:r w:rsidR="00716DF9" w:rsidRPr="002D1DD7">
        <w:t>, where reported, were generally fairly wide</w:t>
      </w:r>
      <w:r w:rsidR="00660708">
        <w:t xml:space="preserve"> (not shown in the plot)</w:t>
      </w:r>
      <w:r w:rsidR="00716DF9" w:rsidRPr="002D1DD7">
        <w:t xml:space="preserve">. </w:t>
      </w:r>
      <w:r w:rsidR="00660708">
        <w:t xml:space="preserve">The majority of correlation coefficients were above 0.40; however, </w:t>
      </w:r>
      <w:r w:rsidR="00FE46F0">
        <w:t xml:space="preserve">several estimates were lower. The correlation coefficients reported from multiple analyses within the same study, and those reported across separate studies, did not suggest a </w:t>
      </w:r>
      <w:r w:rsidR="00FE46F0" w:rsidRPr="002D1DD7">
        <w:t xml:space="preserve">clear pattern </w:t>
      </w:r>
      <w:r w:rsidR="00FE46F0">
        <w:t xml:space="preserve">by </w:t>
      </w:r>
      <w:r w:rsidR="00FE46F0" w:rsidRPr="002D1DD7">
        <w:t xml:space="preserve">cancer type. </w:t>
      </w:r>
    </w:p>
    <w:p w14:paraId="1092D151" w14:textId="04CF58B5" w:rsidR="00716DF9" w:rsidRPr="002D1DD7" w:rsidRDefault="00716DF9" w:rsidP="00A13248">
      <w:r w:rsidRPr="002D1DD7">
        <w:rPr>
          <w:b/>
          <w:bCs/>
        </w:rPr>
        <w:t>CR and PFS or OS:</w:t>
      </w:r>
      <w:r w:rsidRPr="002D1DD7">
        <w:t xml:space="preserve"> The correlation coefficients between absolute CR and PFS in two studies of small-cell lung cancer (SCLC)</w:t>
      </w:r>
      <w:r w:rsidR="006F7FD7">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 </w:instrText>
      </w:r>
      <w:r w:rsidR="000E66DE">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EN.CITE.DATA </w:instrText>
      </w:r>
      <w:r w:rsidR="000E66DE">
        <w:fldChar w:fldCharType="end"/>
      </w:r>
      <w:r w:rsidR="006F7FD7">
        <w:fldChar w:fldCharType="separate"/>
      </w:r>
      <w:r w:rsidR="003117A9" w:rsidRPr="003117A9">
        <w:rPr>
          <w:noProof/>
          <w:vertAlign w:val="superscript"/>
        </w:rPr>
        <w:t>119</w:t>
      </w:r>
      <w:r w:rsidR="006F7FD7">
        <w:fldChar w:fldCharType="end"/>
      </w:r>
      <w:r w:rsidRPr="002D1DD7">
        <w:t xml:space="preserve"> and non-Hodgkin’s lymphoma (NHL)</w:t>
      </w:r>
      <w:r w:rsidR="006F7FD7">
        <w:fldChar w:fldCharType="begin"/>
      </w:r>
      <w:r w:rsidR="000E66DE">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006F7FD7">
        <w:fldChar w:fldCharType="separate"/>
      </w:r>
      <w:r w:rsidR="003117A9" w:rsidRPr="003117A9">
        <w:rPr>
          <w:noProof/>
          <w:vertAlign w:val="superscript"/>
        </w:rPr>
        <w:t>141</w:t>
      </w:r>
      <w:r w:rsidR="006F7FD7">
        <w:fldChar w:fldCharType="end"/>
      </w:r>
      <w:r w:rsidRPr="002D1DD7">
        <w:t xml:space="preserve"> </w:t>
      </w:r>
      <w:r w:rsidR="007A4AAA">
        <w:t>ranged from</w:t>
      </w:r>
      <w:r w:rsidR="007A4AAA" w:rsidRPr="002D1DD7">
        <w:t xml:space="preserve"> </w:t>
      </w:r>
      <w:r w:rsidRPr="002D1DD7">
        <w:t>0.</w:t>
      </w:r>
      <w:r w:rsidR="007A4AAA">
        <w:t>22</w:t>
      </w:r>
      <w:r w:rsidRPr="002D1DD7">
        <w:t xml:space="preserve"> </w:t>
      </w:r>
      <w:r w:rsidR="007A4AAA">
        <w:t>to</w:t>
      </w:r>
      <w:r w:rsidR="007A4AAA" w:rsidRPr="002D1DD7">
        <w:t xml:space="preserve"> </w:t>
      </w:r>
      <w:r w:rsidRPr="002D1DD7">
        <w:t xml:space="preserve">0.83, while the correlation coefficients between absolute CR and OS ranged from </w:t>
      </w:r>
      <w:r w:rsidR="00A13248">
        <w:noBreakHyphen/>
      </w:r>
      <w:r w:rsidRPr="002D1DD7">
        <w:t>0.</w:t>
      </w:r>
      <w:r w:rsidR="007A4AAA">
        <w:t>04</w:t>
      </w:r>
      <w:r w:rsidRPr="002D1DD7">
        <w:t xml:space="preserve"> to 0.62, based on 3 studies of NSCLC,</w:t>
      </w:r>
      <w:r w:rsidR="006F7FD7">
        <w:fldChar w:fldCharType="begin"/>
      </w:r>
      <w:r w:rsidR="000E66DE">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006F7FD7">
        <w:fldChar w:fldCharType="separate"/>
      </w:r>
      <w:r w:rsidR="003117A9" w:rsidRPr="003117A9">
        <w:rPr>
          <w:noProof/>
          <w:vertAlign w:val="superscript"/>
        </w:rPr>
        <w:t>109</w:t>
      </w:r>
      <w:r w:rsidR="006F7FD7">
        <w:fldChar w:fldCharType="end"/>
      </w:r>
      <w:r w:rsidRPr="002D1DD7">
        <w:t xml:space="preserve"> SCLC</w:t>
      </w:r>
      <w:r w:rsidR="006F7FD7">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 </w:instrText>
      </w:r>
      <w:r w:rsidR="000E66DE">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EN.CITE.DATA </w:instrText>
      </w:r>
      <w:r w:rsidR="000E66DE">
        <w:fldChar w:fldCharType="end"/>
      </w:r>
      <w:r w:rsidR="006F7FD7">
        <w:fldChar w:fldCharType="separate"/>
      </w:r>
      <w:r w:rsidR="003117A9" w:rsidRPr="003117A9">
        <w:rPr>
          <w:noProof/>
          <w:vertAlign w:val="superscript"/>
        </w:rPr>
        <w:t>119</w:t>
      </w:r>
      <w:r w:rsidR="006F7FD7">
        <w:fldChar w:fldCharType="end"/>
      </w:r>
      <w:r w:rsidRPr="002D1DD7">
        <w:t xml:space="preserve"> and gastroesophageal cancer</w:t>
      </w:r>
      <w:r w:rsidR="006F7FD7">
        <w:fldChar w:fldCharType="begin"/>
      </w:r>
      <w:r w:rsidR="000E66DE">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006F7FD7">
        <w:fldChar w:fldCharType="separate"/>
      </w:r>
      <w:r w:rsidR="003117A9" w:rsidRPr="003117A9">
        <w:rPr>
          <w:noProof/>
          <w:vertAlign w:val="superscript"/>
        </w:rPr>
        <w:t>121</w:t>
      </w:r>
      <w:r w:rsidR="006F7FD7">
        <w:fldChar w:fldCharType="end"/>
      </w:r>
      <w:r w:rsidRPr="002D1DD7">
        <w:t xml:space="preserve"> (</w:t>
      </w:r>
      <w:r w:rsidRPr="002D1DD7">
        <w:fldChar w:fldCharType="begin"/>
      </w:r>
      <w:r w:rsidRPr="002D1DD7">
        <w:instrText xml:space="preserve"> REF _Ref19004059 \h  \* MERGEFORMAT </w:instrText>
      </w:r>
      <w:r w:rsidRPr="002D1DD7">
        <w:fldChar w:fldCharType="separate"/>
      </w:r>
      <w:r w:rsidR="00C663A2" w:rsidRPr="002D1DD7">
        <w:t xml:space="preserve">Table </w:t>
      </w:r>
      <w:r w:rsidR="00C663A2">
        <w:t>6</w:t>
      </w:r>
      <w:r w:rsidRPr="002D1DD7">
        <w:fldChar w:fldCharType="end"/>
      </w:r>
      <w:r w:rsidRPr="002D1DD7">
        <w:t xml:space="preserve">; full details in </w:t>
      </w:r>
      <w:r w:rsidRPr="002D1DD7">
        <w:rPr>
          <w:rFonts w:eastAsia="Times New Roman"/>
          <w:lang w:eastAsia="en-GB"/>
        </w:rPr>
        <w:t xml:space="preserve">Appendix </w:t>
      </w:r>
      <w:r w:rsidR="00A13248">
        <w:rPr>
          <w:rFonts w:eastAsia="Times New Roman"/>
          <w:lang w:eastAsia="en-GB"/>
        </w:rPr>
        <w:t>5</w:t>
      </w:r>
      <w:r w:rsidRPr="002D1DD7">
        <w:t>).</w:t>
      </w:r>
      <w:r w:rsidR="00660708">
        <w:t xml:space="preserve"> </w:t>
      </w:r>
    </w:p>
    <w:p w14:paraId="79E84273" w14:textId="1845BAD3" w:rsidR="00716DF9" w:rsidRPr="002D1DD7" w:rsidRDefault="00716DF9" w:rsidP="00A13248">
      <w:r w:rsidRPr="002D1DD7">
        <w:rPr>
          <w:b/>
          <w:bCs/>
        </w:rPr>
        <w:t>PR and PFS or OS:</w:t>
      </w:r>
      <w:r w:rsidRPr="002D1DD7">
        <w:t xml:space="preserve"> The correlation coefficient between absolute PR and PFS </w:t>
      </w:r>
      <w:r w:rsidR="007A4AAA">
        <w:t>ranged from</w:t>
      </w:r>
      <w:r w:rsidR="007A4AAA" w:rsidRPr="002D1DD7">
        <w:t xml:space="preserve"> </w:t>
      </w:r>
      <w:r w:rsidR="007A4AAA">
        <w:t xml:space="preserve">0.35 to </w:t>
      </w:r>
      <w:r w:rsidRPr="002D1DD7">
        <w:t xml:space="preserve">0.70 </w:t>
      </w:r>
      <w:r w:rsidR="007A4AAA">
        <w:t>across subgroup analyses with</w:t>
      </w:r>
      <w:r w:rsidRPr="002D1DD7">
        <w:t>in one study of SCLC,</w:t>
      </w:r>
      <w:r w:rsidR="006F7FD7">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 </w:instrText>
      </w:r>
      <w:r w:rsidR="000E66DE">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EN.CITE.DATA </w:instrText>
      </w:r>
      <w:r w:rsidR="000E66DE">
        <w:fldChar w:fldCharType="end"/>
      </w:r>
      <w:r w:rsidR="006F7FD7">
        <w:fldChar w:fldCharType="separate"/>
      </w:r>
      <w:r w:rsidR="003117A9" w:rsidRPr="003117A9">
        <w:rPr>
          <w:noProof/>
          <w:vertAlign w:val="superscript"/>
        </w:rPr>
        <w:t>119</w:t>
      </w:r>
      <w:r w:rsidR="006F7FD7">
        <w:fldChar w:fldCharType="end"/>
      </w:r>
      <w:r w:rsidRPr="002D1DD7">
        <w:t xml:space="preserve"> while the highest correlation coefficient </w:t>
      </w:r>
      <w:r w:rsidRPr="002D1DD7">
        <w:lastRenderedPageBreak/>
        <w:t xml:space="preserve">between absolute PR and OS </w:t>
      </w:r>
      <w:r w:rsidR="007A4AAA">
        <w:t>ranged from 0.29 to</w:t>
      </w:r>
      <w:r w:rsidR="007A4AAA" w:rsidRPr="002D1DD7">
        <w:t xml:space="preserve"> </w:t>
      </w:r>
      <w:r w:rsidRPr="002D1DD7">
        <w:t xml:space="preserve">0.66 </w:t>
      </w:r>
      <w:r w:rsidR="007A4AAA">
        <w:t xml:space="preserve">in </w:t>
      </w:r>
      <w:r w:rsidRPr="002D1DD7">
        <w:t>the same study</w:t>
      </w:r>
      <w:r w:rsidR="006F7FD7">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 </w:instrText>
      </w:r>
      <w:r w:rsidR="000E66DE">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instrText xml:space="preserve"> ADDIN EN.CITE.DATA </w:instrText>
      </w:r>
      <w:r w:rsidR="000E66DE">
        <w:fldChar w:fldCharType="end"/>
      </w:r>
      <w:r w:rsidR="006F7FD7">
        <w:fldChar w:fldCharType="separate"/>
      </w:r>
      <w:r w:rsidR="003117A9" w:rsidRPr="003117A9">
        <w:rPr>
          <w:noProof/>
          <w:vertAlign w:val="superscript"/>
        </w:rPr>
        <w:t>119</w:t>
      </w:r>
      <w:r w:rsidR="006F7FD7">
        <w:fldChar w:fldCharType="end"/>
      </w:r>
      <w:r w:rsidRPr="002D1DD7">
        <w:t xml:space="preserve"> (</w:t>
      </w:r>
      <w:r w:rsidRPr="002D1DD7">
        <w:fldChar w:fldCharType="begin"/>
      </w:r>
      <w:r w:rsidRPr="002D1DD7">
        <w:instrText xml:space="preserve"> REF _Ref19004059 \h  \* MERGEFORMAT </w:instrText>
      </w:r>
      <w:r w:rsidRPr="002D1DD7">
        <w:fldChar w:fldCharType="separate"/>
      </w:r>
      <w:r w:rsidR="00C663A2" w:rsidRPr="002D1DD7">
        <w:t xml:space="preserve">Table </w:t>
      </w:r>
      <w:r w:rsidR="00C663A2">
        <w:t>6</w:t>
      </w:r>
      <w:r w:rsidRPr="002D1DD7">
        <w:fldChar w:fldCharType="end"/>
      </w:r>
      <w:r w:rsidRPr="002D1DD7">
        <w:t xml:space="preserve">; full details in </w:t>
      </w:r>
      <w:r w:rsidRPr="002D1DD7">
        <w:rPr>
          <w:rFonts w:eastAsia="Times New Roman"/>
          <w:lang w:eastAsia="en-GB"/>
        </w:rPr>
        <w:t xml:space="preserve">Appendix </w:t>
      </w:r>
      <w:r w:rsidR="00A13248">
        <w:rPr>
          <w:rFonts w:eastAsia="Times New Roman"/>
          <w:lang w:eastAsia="en-GB"/>
        </w:rPr>
        <w:t>5</w:t>
      </w:r>
      <w:r w:rsidRPr="002D1DD7">
        <w:t>).</w:t>
      </w:r>
    </w:p>
    <w:p w14:paraId="67FC5D29" w14:textId="50B66149" w:rsidR="00716DF9" w:rsidRPr="002D1DD7" w:rsidRDefault="00716DF9" w:rsidP="00231517">
      <w:pPr>
        <w:rPr>
          <w:rFonts w:asciiTheme="majorBidi" w:eastAsia="Times New Roman" w:hAnsiTheme="majorBidi" w:cstheme="majorBidi"/>
          <w:lang w:eastAsia="en-GB"/>
        </w:rPr>
      </w:pPr>
      <w:r w:rsidRPr="002D1DD7">
        <w:rPr>
          <w:b/>
          <w:bCs/>
          <w:lang w:eastAsia="en-GB"/>
        </w:rPr>
        <w:t>DoR and PFS or OS:</w:t>
      </w:r>
      <w:r w:rsidRPr="002D1DD7">
        <w:rPr>
          <w:lang w:eastAsia="en-GB"/>
        </w:rPr>
        <w:t xml:space="preserve"> No studies reported on the absolute association between DoR and PFS or OS.</w:t>
      </w:r>
    </w:p>
    <w:p w14:paraId="578EDDB0" w14:textId="2BE7F90B" w:rsidR="00716DF9" w:rsidRPr="002D1DD7" w:rsidRDefault="00716DF9" w:rsidP="00A13248">
      <w:pPr>
        <w:pStyle w:val="Caption"/>
      </w:pPr>
      <w:bookmarkStart w:id="91" w:name="_Ref19004059"/>
      <w:bookmarkStart w:id="92" w:name="_Toc34033520"/>
      <w:r w:rsidRPr="002D1DD7">
        <w:t xml:space="preserve">Table </w:t>
      </w:r>
      <w:r w:rsidR="00C974E5">
        <w:fldChar w:fldCharType="begin"/>
      </w:r>
      <w:r w:rsidR="00C974E5">
        <w:instrText xml:space="preserve"> SEQ Table \* ARABIC </w:instrText>
      </w:r>
      <w:r w:rsidR="00C974E5">
        <w:fldChar w:fldCharType="separate"/>
      </w:r>
      <w:r w:rsidR="00C9471F">
        <w:rPr>
          <w:noProof/>
        </w:rPr>
        <w:t>6</w:t>
      </w:r>
      <w:r w:rsidR="00C974E5">
        <w:rPr>
          <w:noProof/>
        </w:rPr>
        <w:fldChar w:fldCharType="end"/>
      </w:r>
      <w:bookmarkEnd w:id="91"/>
      <w:r w:rsidRPr="002D1DD7">
        <w:t>: Summary of absolute (individual-level) correlations per study</w:t>
      </w:r>
      <w:bookmarkEnd w:id="92"/>
    </w:p>
    <w:tbl>
      <w:tblPr>
        <w:tblStyle w:val="TableGrid"/>
        <w:tblW w:w="9067" w:type="dxa"/>
        <w:tblInd w:w="-15" w:type="dxa"/>
        <w:tblLayout w:type="fixed"/>
        <w:tblLook w:val="04A0" w:firstRow="1" w:lastRow="0" w:firstColumn="1" w:lastColumn="0" w:noHBand="0" w:noVBand="1"/>
      </w:tblPr>
      <w:tblGrid>
        <w:gridCol w:w="1711"/>
        <w:gridCol w:w="985"/>
        <w:gridCol w:w="3412"/>
        <w:gridCol w:w="1821"/>
        <w:gridCol w:w="1138"/>
      </w:tblGrid>
      <w:tr w:rsidR="00716DF9" w:rsidRPr="00A13248" w14:paraId="2E7936DD" w14:textId="77777777" w:rsidTr="00716DF9">
        <w:tc>
          <w:tcPr>
            <w:tcW w:w="1711" w:type="dxa"/>
            <w:tcMar>
              <w:left w:w="28" w:type="dxa"/>
              <w:right w:w="28" w:type="dxa"/>
            </w:tcMar>
          </w:tcPr>
          <w:p w14:paraId="1EDB8314" w14:textId="77777777" w:rsidR="00716DF9" w:rsidRPr="00A13248" w:rsidRDefault="00716DF9" w:rsidP="00A13248">
            <w:pPr>
              <w:contextualSpacing/>
              <w:rPr>
                <w:rFonts w:cs="Times New Roman"/>
                <w:b/>
                <w:bCs/>
                <w:sz w:val="20"/>
                <w:szCs w:val="20"/>
              </w:rPr>
            </w:pPr>
            <w:r w:rsidRPr="00A13248">
              <w:rPr>
                <w:rFonts w:cs="Times New Roman"/>
                <w:b/>
                <w:bCs/>
                <w:sz w:val="20"/>
                <w:szCs w:val="20"/>
              </w:rPr>
              <w:t>Surrogate relationship</w:t>
            </w:r>
          </w:p>
        </w:tc>
        <w:tc>
          <w:tcPr>
            <w:tcW w:w="985" w:type="dxa"/>
            <w:tcMar>
              <w:left w:w="28" w:type="dxa"/>
              <w:right w:w="28" w:type="dxa"/>
            </w:tcMar>
          </w:tcPr>
          <w:p w14:paraId="66405D72" w14:textId="77777777" w:rsidR="00716DF9" w:rsidRPr="00A13248" w:rsidRDefault="00716DF9" w:rsidP="00A13248">
            <w:pPr>
              <w:contextualSpacing/>
              <w:rPr>
                <w:rFonts w:cs="Times New Roman"/>
                <w:b/>
                <w:bCs/>
                <w:sz w:val="20"/>
                <w:szCs w:val="20"/>
              </w:rPr>
            </w:pPr>
            <w:r w:rsidRPr="00A13248">
              <w:rPr>
                <w:rFonts w:cs="Times New Roman"/>
                <w:b/>
                <w:bCs/>
                <w:sz w:val="20"/>
                <w:szCs w:val="20"/>
              </w:rPr>
              <w:t>N studies</w:t>
            </w:r>
          </w:p>
        </w:tc>
        <w:tc>
          <w:tcPr>
            <w:tcW w:w="3412" w:type="dxa"/>
          </w:tcPr>
          <w:p w14:paraId="4E4DCDAF" w14:textId="77777777" w:rsidR="00716DF9" w:rsidRPr="00A13248" w:rsidRDefault="00716DF9" w:rsidP="00A13248">
            <w:pPr>
              <w:contextualSpacing/>
              <w:rPr>
                <w:rFonts w:cs="Times New Roman"/>
                <w:b/>
                <w:bCs/>
                <w:sz w:val="20"/>
                <w:szCs w:val="20"/>
              </w:rPr>
            </w:pPr>
            <w:r w:rsidRPr="00A13248">
              <w:rPr>
                <w:rFonts w:cs="Times New Roman"/>
                <w:b/>
                <w:bCs/>
                <w:sz w:val="20"/>
                <w:szCs w:val="20"/>
              </w:rPr>
              <w:t>Cancer types and refs</w:t>
            </w:r>
          </w:p>
        </w:tc>
        <w:tc>
          <w:tcPr>
            <w:tcW w:w="1821" w:type="dxa"/>
            <w:tcMar>
              <w:left w:w="28" w:type="dxa"/>
              <w:right w:w="28" w:type="dxa"/>
            </w:tcMar>
          </w:tcPr>
          <w:p w14:paraId="19D8824D" w14:textId="2CFAA365" w:rsidR="00716DF9" w:rsidRPr="00A13248" w:rsidRDefault="007A4AAA" w:rsidP="00A13248">
            <w:pPr>
              <w:contextualSpacing/>
              <w:rPr>
                <w:rFonts w:cs="Times New Roman"/>
                <w:b/>
                <w:bCs/>
                <w:sz w:val="20"/>
                <w:szCs w:val="20"/>
              </w:rPr>
            </w:pPr>
            <w:r w:rsidRPr="00A13248">
              <w:rPr>
                <w:rFonts w:cs="Times New Roman"/>
                <w:b/>
                <w:bCs/>
                <w:sz w:val="20"/>
                <w:szCs w:val="20"/>
              </w:rPr>
              <w:t xml:space="preserve">Range of </w:t>
            </w:r>
            <w:r w:rsidR="00716DF9" w:rsidRPr="00A13248">
              <w:rPr>
                <w:rFonts w:cs="Times New Roman"/>
                <w:b/>
                <w:bCs/>
                <w:sz w:val="20"/>
                <w:szCs w:val="20"/>
              </w:rPr>
              <w:t>r or r</w:t>
            </w:r>
            <w:r w:rsidR="00716DF9" w:rsidRPr="00A13248">
              <w:rPr>
                <w:rFonts w:cs="Times New Roman"/>
                <w:b/>
                <w:bCs/>
                <w:sz w:val="20"/>
                <w:szCs w:val="20"/>
                <w:vertAlign w:val="subscript"/>
              </w:rPr>
              <w:t>s</w:t>
            </w:r>
            <w:r w:rsidR="00716DF9" w:rsidRPr="00A13248">
              <w:rPr>
                <w:rFonts w:cs="Times New Roman"/>
                <w:b/>
                <w:bCs/>
                <w:sz w:val="20"/>
                <w:szCs w:val="20"/>
              </w:rPr>
              <w:t xml:space="preserve"> </w:t>
            </w:r>
            <w:r w:rsidRPr="00A13248">
              <w:rPr>
                <w:rFonts w:cs="Times New Roman"/>
                <w:b/>
                <w:bCs/>
                <w:sz w:val="20"/>
                <w:szCs w:val="20"/>
              </w:rPr>
              <w:t xml:space="preserve">across </w:t>
            </w:r>
            <w:r w:rsidR="00716DF9" w:rsidRPr="00A13248">
              <w:rPr>
                <w:rFonts w:cs="Times New Roman"/>
                <w:b/>
                <w:bCs/>
                <w:sz w:val="20"/>
                <w:szCs w:val="20"/>
              </w:rPr>
              <w:t>stud</w:t>
            </w:r>
            <w:r w:rsidRPr="00A13248">
              <w:rPr>
                <w:rFonts w:cs="Times New Roman"/>
                <w:b/>
                <w:bCs/>
                <w:sz w:val="20"/>
                <w:szCs w:val="20"/>
              </w:rPr>
              <w:t>ies and subgroup analyses</w:t>
            </w:r>
          </w:p>
        </w:tc>
        <w:tc>
          <w:tcPr>
            <w:tcW w:w="1138" w:type="dxa"/>
            <w:tcMar>
              <w:left w:w="28" w:type="dxa"/>
              <w:right w:w="28" w:type="dxa"/>
            </w:tcMar>
          </w:tcPr>
          <w:p w14:paraId="220B81A4" w14:textId="77777777" w:rsidR="00716DF9" w:rsidRPr="00A13248" w:rsidRDefault="00716DF9" w:rsidP="00A13248">
            <w:pPr>
              <w:contextualSpacing/>
              <w:rPr>
                <w:rFonts w:cs="Times New Roman"/>
                <w:b/>
                <w:bCs/>
                <w:sz w:val="20"/>
                <w:szCs w:val="20"/>
              </w:rPr>
            </w:pPr>
            <w:r w:rsidRPr="00A13248">
              <w:rPr>
                <w:rFonts w:cs="Times New Roman"/>
                <w:b/>
                <w:bCs/>
                <w:sz w:val="20"/>
                <w:szCs w:val="20"/>
              </w:rPr>
              <w:t>Further detail</w:t>
            </w:r>
          </w:p>
        </w:tc>
      </w:tr>
      <w:tr w:rsidR="00E001C5" w:rsidRPr="00A13248" w14:paraId="5F4C353A" w14:textId="77777777" w:rsidTr="00716DF9">
        <w:tc>
          <w:tcPr>
            <w:tcW w:w="1711" w:type="dxa"/>
            <w:tcMar>
              <w:left w:w="28" w:type="dxa"/>
              <w:right w:w="28" w:type="dxa"/>
            </w:tcMar>
          </w:tcPr>
          <w:p w14:paraId="7B3A7E4B" w14:textId="63D4D81D" w:rsidR="00E001C5" w:rsidRPr="00A13248" w:rsidRDefault="00E001C5" w:rsidP="00E001C5">
            <w:pPr>
              <w:contextualSpacing/>
              <w:rPr>
                <w:rFonts w:cs="Times New Roman"/>
                <w:b/>
                <w:bCs/>
                <w:sz w:val="20"/>
                <w:szCs w:val="20"/>
              </w:rPr>
            </w:pPr>
            <w:r w:rsidRPr="00A13248">
              <w:rPr>
                <w:rFonts w:cs="Times New Roman"/>
                <w:b/>
                <w:bCs/>
                <w:sz w:val="20"/>
                <w:szCs w:val="20"/>
              </w:rPr>
              <w:t>ORR to PFS</w:t>
            </w:r>
          </w:p>
        </w:tc>
        <w:tc>
          <w:tcPr>
            <w:tcW w:w="985" w:type="dxa"/>
            <w:tcMar>
              <w:left w:w="28" w:type="dxa"/>
              <w:right w:w="28" w:type="dxa"/>
            </w:tcMar>
          </w:tcPr>
          <w:p w14:paraId="272F89BF" w14:textId="7674306C" w:rsidR="00E001C5" w:rsidRPr="00A13248" w:rsidRDefault="00E001C5" w:rsidP="00E001C5">
            <w:pPr>
              <w:contextualSpacing/>
              <w:rPr>
                <w:rFonts w:cs="Times New Roman"/>
                <w:sz w:val="20"/>
                <w:szCs w:val="20"/>
              </w:rPr>
            </w:pPr>
            <w:r w:rsidRPr="00A13248">
              <w:rPr>
                <w:rFonts w:cs="Times New Roman"/>
                <w:sz w:val="20"/>
                <w:szCs w:val="20"/>
              </w:rPr>
              <w:t>12</w:t>
            </w:r>
          </w:p>
        </w:tc>
        <w:tc>
          <w:tcPr>
            <w:tcW w:w="3412" w:type="dxa"/>
          </w:tcPr>
          <w:p w14:paraId="33971420" w14:textId="2F46EA62" w:rsidR="00E001C5" w:rsidRPr="00A13248" w:rsidRDefault="00E001C5" w:rsidP="000E66DE">
            <w:pPr>
              <w:contextualSpacing/>
              <w:rPr>
                <w:rFonts w:cs="Times New Roman"/>
                <w:sz w:val="20"/>
                <w:szCs w:val="20"/>
              </w:rPr>
            </w:pPr>
            <w:r w:rsidRPr="002D1DD7">
              <w:rPr>
                <w:rFonts w:asciiTheme="majorBidi" w:hAnsiTheme="majorBidi" w:cstheme="majorBidi"/>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dD48RGlzcGxheVRleHQ+PHN0eWxlIGZhY2U9InN1cGVyc2NyaXB0Ij4xMDUsIDEyNSwgMTM4PC9z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Y29yZD48L0NpdGU+PENpdGU+PEF1dGhvcj5WaWRhdXJyZTwvQXV0aG9yPjxZZWFyPjIwMDk8L1ll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V1M9TiZhbXA7UEFHRT1mdWxsdGV4dCZhbXA7RD1tZWQ2JmFtcDtBTj0xOTgyNjM1NTwvc3R5bGU+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dD48RGlzcGxheVRleHQ+PHN0eWxlIGZhY2U9InN1cGVyc2NyaXB0Ij4xMDUsIDEyNSwgMTM4PC9z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Y29yZD48L0NpdGU+PENpdGU+PEF1dGhvcj5WaWRhdXJyZTwvQXV0aG9yPjxZZWFyPjIwMDk8L1ll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V1M9TiZhbXA7UEFHRT1mdWxsdGV4dCZhbXA7RD1tZWQ2JmFtcDtBTj0xOTgyNjM1NTwvc3R5bGU+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105, 125, 138</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ovarian,</w:t>
            </w:r>
            <w:r w:rsidRPr="002D1DD7">
              <w:rPr>
                <w:rFonts w:asciiTheme="majorBidi" w:eastAsia="Times New Roman" w:hAnsiTheme="majorBidi" w:cstheme="majorBidi"/>
                <w:color w:val="000000"/>
                <w:sz w:val="20"/>
                <w:szCs w:val="20"/>
              </w:rPr>
              <w:fldChar w:fldCharType="begin">
                <w:fldData xml:space="preserve">PEVuZE5vdGU+PENpdGU+PEF1dGhvcj5Sb3NlPC9BdXRob3I+PFllYXI+MjAxMDwvWWVhcj48UmVj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TiZhbXA7UEFHRT1mdWxsdGV4dCZhbXA7RD1tZWQxMyZhbXA7QU49MjgzOTU4OTY8L3N0eWxlPjxz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U0ZELzQ0U0ZEX3NlcnZpY2VzX3BhZ2U/c2lkPU9WSUQ6bWVkbGluZSZhbXA7aWQ9cG1pZDoyODM5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PEVuZE5vdGU+PENpdGU+PEF1dGhvcj5Sb3NlPC9BdXRob3I+PFllYXI+MjAxMDwvWWVhcj48UmVj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TiZhbXA7UEFHRT1mdWxsdGV4dCZhbXA7RD1tZWQxMyZhbXA7QU49MjgzOTU4OTY8L3N0eWxlPjxz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U0ZELzQ0U0ZEX3NlcnZpY2VzX3BhZ2U/c2lkPU9WSUQ6bWVkbGluZSZhbXA7aWQ9cG1pZDoyODM5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126, 132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RCC,</w:t>
            </w:r>
            <w:r w:rsidRPr="002D1DD7">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123</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NHL,</w:t>
            </w:r>
            <w:r w:rsidRPr="002D1DD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114</w:t>
            </w:r>
            <w:r w:rsidRPr="002D1DD7">
              <w:rPr>
                <w:rFonts w:asciiTheme="majorBidi" w:eastAsia="Times New Roman" w:hAnsiTheme="majorBidi" w:cstheme="majorBidi"/>
                <w:sz w:val="20"/>
                <w:szCs w:val="20"/>
              </w:rPr>
              <w:fldChar w:fldCharType="end"/>
            </w:r>
            <w:r w:rsidRPr="002D1DD7">
              <w:rPr>
                <w:rFonts w:asciiTheme="majorBidi" w:hAnsiTheme="majorBidi" w:cstheme="majorBidi"/>
                <w:sz w:val="20"/>
                <w:szCs w:val="20"/>
              </w:rPr>
              <w:t xml:space="preserve"> 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MM,</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115</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CRC,</w:t>
            </w:r>
            <w:r w:rsidRPr="002D1DD7">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 </w:instrText>
            </w:r>
            <w:r w:rsidR="00054FE8">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EN.CITE.DATA </w:instrText>
            </w:r>
            <w:r w:rsidR="00054FE8">
              <w:rPr>
                <w:rFonts w:asciiTheme="majorBidi" w:eastAsia="Times New Roman" w:hAnsiTheme="majorBidi" w:cstheme="majorBidi"/>
                <w:color w:val="000000"/>
                <w:sz w:val="20"/>
                <w:szCs w:val="20"/>
              </w:rPr>
            </w:r>
            <w:r w:rsidR="00054FE8">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CUP</w:t>
            </w:r>
            <w:r>
              <w:rPr>
                <w:rFonts w:asciiTheme="majorBidi" w:hAnsiTheme="majorBidi" w:cstheme="majorBidi"/>
                <w:sz w:val="20"/>
                <w:szCs w:val="20"/>
              </w:rPr>
              <w:t>,</w:t>
            </w:r>
            <w:r w:rsidRPr="002D1DD7">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122</w:t>
            </w:r>
            <w:r w:rsidRPr="002D1DD7">
              <w:rPr>
                <w:rFonts w:asciiTheme="majorBidi" w:eastAsia="Times New Roman" w:hAnsiTheme="majorBidi" w:cstheme="majorBidi"/>
                <w:color w:val="000000"/>
                <w:sz w:val="20"/>
                <w:szCs w:val="20"/>
              </w:rPr>
              <w:fldChar w:fldCharType="end"/>
            </w:r>
            <w:r>
              <w:rPr>
                <w:rFonts w:asciiTheme="majorBidi" w:eastAsia="Times New Roman" w:hAnsiTheme="majorBidi" w:cstheme="majorBidi"/>
                <w:color w:val="000000"/>
                <w:sz w:val="20"/>
                <w:szCs w:val="20"/>
              </w:rPr>
              <w:t xml:space="preserve"> </w:t>
            </w:r>
            <w:r w:rsidRPr="002D1DD7">
              <w:rPr>
                <w:rFonts w:asciiTheme="majorBidi" w:hAnsiTheme="majorBidi" w:cstheme="majorBidi"/>
                <w:sz w:val="20"/>
                <w:szCs w:val="20"/>
              </w:rPr>
              <w:t xml:space="preserve"> NET</w:t>
            </w:r>
            <w:r w:rsidR="007B2FB4">
              <w:rPr>
                <w:rFonts w:asciiTheme="majorBidi" w:hAnsiTheme="majorBidi" w:cstheme="majorBidi"/>
                <w:sz w:val="20"/>
                <w:szCs w:val="20"/>
              </w:rPr>
              <w:t>,</w:t>
            </w:r>
            <w:r w:rsidRPr="002D1DD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104</w:t>
            </w:r>
            <w:r w:rsidRPr="002D1DD7">
              <w:rPr>
                <w:rFonts w:asciiTheme="majorBidi" w:eastAsia="Times New Roman" w:hAnsiTheme="majorBidi" w:cstheme="majorBidi"/>
                <w:sz w:val="20"/>
                <w:szCs w:val="20"/>
              </w:rPr>
              <w:fldChar w:fldCharType="end"/>
            </w:r>
            <w:r w:rsidR="007B2FB4">
              <w:rPr>
                <w:rFonts w:asciiTheme="majorBidi" w:eastAsia="Times New Roman" w:hAnsiTheme="majorBidi" w:cstheme="majorBidi"/>
                <w:sz w:val="20"/>
                <w:szCs w:val="20"/>
              </w:rPr>
              <w:t xml:space="preserve"> various</w:t>
            </w:r>
            <w:r w:rsidR="00CB2733">
              <w:rPr>
                <w:rFonts w:asciiTheme="majorBidi" w:eastAsia="Times New Roman" w:hAnsiTheme="majorBidi" w:cstheme="majorBidi"/>
                <w:sz w:val="20"/>
                <w:szCs w:val="20"/>
              </w:rPr>
              <w:fldChar w:fldCharType="begin">
                <w:fldData xml:space="preserve">PEVuZE5vdGU+PENpdGU+PEF1dGhvcj5WaWRhdXJyZTwvQXV0aG9yPjxZZWFyPjIwMDk8L1llYXI+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WSZhbXA7TkVXUz1OJmFtcDtQQUdFPWZ1bGx0ZXh0JmFtcDtEPW1lZDYmYW1wO0FOPTE5ODI2MzU1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PXBtaWQ6MTk4MjYzNTUmYW1wO2lkPWRvaToxMC4xMDk3JTJGUFBPLjBiMDEzZTMxODFiOWQzN2Im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PEVuZE5vdGU+PENpdGU+PEF1dGhvcj5WaWRhdXJyZTwvQXV0aG9yPjxZZWFyPjIwMDk8L1llYXI+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WSZhbXA7TkVXUz1OJmFtcDtQQUdFPWZ1bGx0ZXh0JmFtcDtEPW1lZDYmYW1wO0FOPTE5ODI2MzU1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PXBtaWQ6MTk4MjYzNTUmYW1wO2lkPWRvaToxMC4xMDk3JTJGUFBPLjBiMDEzZTMxODFiOWQzN2Im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00CB2733">
              <w:rPr>
                <w:rFonts w:asciiTheme="majorBidi" w:eastAsia="Times New Roman" w:hAnsiTheme="majorBidi" w:cstheme="majorBidi"/>
                <w:sz w:val="20"/>
                <w:szCs w:val="20"/>
              </w:rPr>
            </w:r>
            <w:r w:rsidR="00CB2733">
              <w:rPr>
                <w:rFonts w:asciiTheme="majorBidi" w:eastAsia="Times New Roman" w:hAnsiTheme="majorBidi" w:cstheme="majorBidi"/>
                <w:sz w:val="20"/>
                <w:szCs w:val="20"/>
              </w:rPr>
              <w:fldChar w:fldCharType="separate"/>
            </w:r>
            <w:r w:rsidR="00CB2733" w:rsidRPr="00CB2733">
              <w:rPr>
                <w:rFonts w:asciiTheme="majorBidi" w:eastAsia="Times New Roman" w:hAnsiTheme="majorBidi" w:cstheme="majorBidi"/>
                <w:noProof/>
                <w:sz w:val="20"/>
                <w:szCs w:val="20"/>
                <w:vertAlign w:val="superscript"/>
              </w:rPr>
              <w:t>138</w:t>
            </w:r>
            <w:r w:rsidR="00CB2733">
              <w:rPr>
                <w:rFonts w:asciiTheme="majorBidi" w:eastAsia="Times New Roman" w:hAnsiTheme="majorBidi" w:cstheme="majorBidi"/>
                <w:sz w:val="20"/>
                <w:szCs w:val="20"/>
              </w:rPr>
              <w:fldChar w:fldCharType="end"/>
            </w:r>
            <w:r w:rsidR="007B2FB4">
              <w:rPr>
                <w:rFonts w:asciiTheme="majorBidi" w:eastAsia="Times New Roman" w:hAnsiTheme="majorBidi" w:cstheme="majorBidi"/>
                <w:sz w:val="20"/>
                <w:szCs w:val="20"/>
              </w:rPr>
              <w:t xml:space="preserve"> </w:t>
            </w:r>
          </w:p>
        </w:tc>
        <w:tc>
          <w:tcPr>
            <w:tcW w:w="1821" w:type="dxa"/>
            <w:tcMar>
              <w:left w:w="28" w:type="dxa"/>
              <w:right w:w="28" w:type="dxa"/>
            </w:tcMar>
          </w:tcPr>
          <w:p w14:paraId="378A6994" w14:textId="4F72E61D" w:rsidR="00E001C5" w:rsidRPr="00A13248" w:rsidRDefault="00E001C5" w:rsidP="000E66DE">
            <w:pPr>
              <w:contextualSpacing/>
              <w:rPr>
                <w:rFonts w:cs="Times New Roman"/>
                <w:sz w:val="20"/>
                <w:szCs w:val="20"/>
              </w:rPr>
            </w:pPr>
            <w:r w:rsidRPr="002D1DD7">
              <w:rPr>
                <w:rFonts w:asciiTheme="majorBidi" w:hAnsiTheme="majorBidi" w:cstheme="majorBidi"/>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dD48RGlzcGxheVRleHQ+PHN0eWxlIGZhY2U9InN1cGVyc2NyaXB0Ij4xMDUsIDEyNSwgMTM4PC9z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Y29yZD48L0NpdGU+PENpdGU+PEF1dGhvcj5WaWRhdXJyZTwvQXV0aG9yPjxZZWFyPjIwMDk8L1ll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V1M9TiZhbXA7UEFHRT1mdWxsdGV4dCZhbXA7RD1tZWQ2JmFtcDtBTj0xOTgyNjM1NTwvc3R5bGU+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dD48RGlzcGxheVRleHQ+PHN0eWxlIGZhY2U9InN1cGVyc2NyaXB0Ij4xMDUsIDEyNSwgMTM4PC9z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Y29yZD48L0NpdGU+PENpdGU+PEF1dGhvcj5WaWRhdXJyZTwvQXV0aG9yPjxZZWFyPjIwMDk8L1ll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V1M9TiZhbXA7UEFHRT1mdWxsdGV4dCZhbXA7RD1tZWQ2JmFtcDtBTj0xOTgyNjM1NTwvc3R5bGU+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105, 125, 138</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ovarian,</w:t>
            </w:r>
            <w:r w:rsidRPr="002D1DD7">
              <w:rPr>
                <w:rFonts w:asciiTheme="majorBidi" w:eastAsia="Times New Roman" w:hAnsiTheme="majorBidi" w:cstheme="majorBidi"/>
                <w:color w:val="000000"/>
                <w:sz w:val="20"/>
                <w:szCs w:val="20"/>
              </w:rPr>
              <w:fldChar w:fldCharType="begin">
                <w:fldData xml:space="preserve">PEVuZE5vdGU+PENpdGU+PEF1dGhvcj5Sb3NlPC9BdXRob3I+PFllYXI+MjAxMDwvWWVhcj48UmVj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TiZhbXA7UEFHRT1mdWxsdGV4dCZhbXA7RD1tZWQxMyZhbXA7QU49MjgzOTU4OTY8L3N0eWxlPjxz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U0ZELzQ0U0ZEX3NlcnZpY2VzX3BhZ2U/c2lkPU9WSUQ6bWVkbGluZSZhbXA7aWQ9cG1pZDoyODM5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PEVuZE5vdGU+PENpdGU+PEF1dGhvcj5Sb3NlPC9BdXRob3I+PFllYXI+MjAxMDwvWWVhcj48UmVj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TiZhbXA7UEFHRT1mdWxsdGV4dCZhbXA7RD1tZWQxMyZhbXA7QU49MjgzOTU4OTY8L3N0eWxlPjxz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U0ZELzQ0U0ZEX3NlcnZpY2VzX3BhZ2U/c2lkPU9WSUQ6bWVkbGluZSZhbXA7aWQ9cG1pZDoyODM5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126, 132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RCC,</w:t>
            </w:r>
            <w:r w:rsidRPr="002D1DD7">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123</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NHL,</w:t>
            </w:r>
            <w:r w:rsidRPr="002D1DD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114</w:t>
            </w:r>
            <w:r w:rsidRPr="002D1DD7">
              <w:rPr>
                <w:rFonts w:asciiTheme="majorBidi" w:eastAsia="Times New Roman" w:hAnsiTheme="majorBidi" w:cstheme="majorBidi"/>
                <w:sz w:val="20"/>
                <w:szCs w:val="20"/>
              </w:rPr>
              <w:fldChar w:fldCharType="end"/>
            </w:r>
            <w:r w:rsidRPr="002D1DD7">
              <w:rPr>
                <w:rFonts w:asciiTheme="majorBidi" w:hAnsiTheme="majorBidi" w:cstheme="majorBidi"/>
                <w:sz w:val="20"/>
                <w:szCs w:val="20"/>
              </w:rPr>
              <w:t xml:space="preserve"> 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MM,</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115</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CRC,</w:t>
            </w:r>
            <w:r w:rsidRPr="002D1DD7">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 </w:instrText>
            </w:r>
            <w:r w:rsidR="00054FE8">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EN.CITE.DATA </w:instrText>
            </w:r>
            <w:r w:rsidR="00054FE8">
              <w:rPr>
                <w:rFonts w:asciiTheme="majorBidi" w:eastAsia="Times New Roman" w:hAnsiTheme="majorBidi" w:cstheme="majorBidi"/>
                <w:color w:val="000000"/>
                <w:sz w:val="20"/>
                <w:szCs w:val="20"/>
              </w:rPr>
            </w:r>
            <w:r w:rsidR="00054FE8">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CUP</w:t>
            </w:r>
            <w:r>
              <w:rPr>
                <w:rFonts w:asciiTheme="majorBidi" w:hAnsiTheme="majorBidi" w:cstheme="majorBidi"/>
                <w:sz w:val="20"/>
                <w:szCs w:val="20"/>
              </w:rPr>
              <w:t>,</w:t>
            </w:r>
            <w:r w:rsidRPr="002D1DD7">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122</w:t>
            </w:r>
            <w:r w:rsidRPr="002D1DD7">
              <w:rPr>
                <w:rFonts w:asciiTheme="majorBidi" w:eastAsia="Times New Roman" w:hAnsiTheme="majorBidi" w:cstheme="majorBidi"/>
                <w:color w:val="000000"/>
                <w:sz w:val="20"/>
                <w:szCs w:val="20"/>
              </w:rPr>
              <w:fldChar w:fldCharType="end"/>
            </w:r>
            <w:r>
              <w:rPr>
                <w:rFonts w:asciiTheme="majorBidi" w:eastAsia="Times New Roman" w:hAnsiTheme="majorBidi" w:cstheme="majorBidi"/>
                <w:color w:val="000000"/>
                <w:sz w:val="20"/>
                <w:szCs w:val="20"/>
              </w:rPr>
              <w:t xml:space="preserve"> </w:t>
            </w:r>
            <w:r w:rsidRPr="002D1DD7">
              <w:rPr>
                <w:rFonts w:asciiTheme="majorBidi" w:hAnsiTheme="majorBidi" w:cstheme="majorBidi"/>
                <w:sz w:val="20"/>
                <w:szCs w:val="20"/>
              </w:rPr>
              <w:t xml:space="preserve"> NET</w:t>
            </w:r>
            <w:r w:rsidRPr="002D1DD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104</w:t>
            </w:r>
            <w:r w:rsidRPr="002D1DD7">
              <w:rPr>
                <w:rFonts w:asciiTheme="majorBidi" w:eastAsia="Times New Roman" w:hAnsiTheme="majorBidi" w:cstheme="majorBidi"/>
                <w:sz w:val="20"/>
                <w:szCs w:val="20"/>
              </w:rPr>
              <w:fldChar w:fldCharType="end"/>
            </w:r>
          </w:p>
        </w:tc>
        <w:tc>
          <w:tcPr>
            <w:tcW w:w="1138" w:type="dxa"/>
            <w:tcMar>
              <w:left w:w="28" w:type="dxa"/>
              <w:right w:w="28" w:type="dxa"/>
            </w:tcMar>
          </w:tcPr>
          <w:p w14:paraId="4B8C4552" w14:textId="3705012D" w:rsidR="00E001C5" w:rsidRPr="00A13248" w:rsidRDefault="00E001C5" w:rsidP="000E66DE">
            <w:pPr>
              <w:contextualSpacing/>
              <w:rPr>
                <w:rFonts w:cs="Times New Roman"/>
                <w:sz w:val="20"/>
                <w:szCs w:val="20"/>
              </w:rPr>
            </w:pPr>
            <w:r w:rsidRPr="002D1DD7">
              <w:rPr>
                <w:rFonts w:asciiTheme="majorBidi" w:hAnsiTheme="majorBidi" w:cstheme="majorBidi"/>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dD48RGlzcGxheVRleHQ+PHN0eWxlIGZhY2U9InN1cGVyc2NyaXB0Ij4xMDUsIDEyNSwgMTM4PC9z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Y29yZD48L0NpdGU+PENpdGU+PEF1dGhvcj5WaWRhdXJyZTwvQXV0aG9yPjxZZWFyPjIwMDk8L1ll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V1M9TiZhbXA7UEFHRT1mdWxsdGV4dCZhbXA7RD1tZWQ2JmFtcDtBTj0xOTgyNjM1NTwvc3R5bGU+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dD48RGlzcGxheVRleHQ+PHN0eWxlIGZhY2U9InN1cGVyc2NyaXB0Ij4xMDUsIDEyNSwgMTM4PC9z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bXA7RD1lbWV4YiZhbXA7QU49NjIyMzI1NzUzPC9zdHlsZT48L3Jlc2VhcmNoLW5vdGVzPjwvcmVj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Y29yZD48L0NpdGU+PENpdGU+PEF1dGhvcj5WaWRhdXJyZTwvQXV0aG9yPjxZZWFyPjIwMDk8L1ll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V1M9TiZhbXA7UEFHRT1mdWxsdGV4dCZhbXA7RD1tZWQ2JmFtcDtBTj0xOTgyNjM1NTwvc3R5bGU+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105, 125, 138</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ovarian,</w:t>
            </w:r>
            <w:r w:rsidRPr="002D1DD7">
              <w:rPr>
                <w:rFonts w:asciiTheme="majorBidi" w:eastAsia="Times New Roman" w:hAnsiTheme="majorBidi" w:cstheme="majorBidi"/>
                <w:color w:val="000000"/>
                <w:sz w:val="20"/>
                <w:szCs w:val="20"/>
              </w:rPr>
              <w:fldChar w:fldCharType="begin">
                <w:fldData xml:space="preserve">PEVuZE5vdGU+PENpdGU+PEF1dGhvcj5Sb3NlPC9BdXRob3I+PFllYXI+MjAxMDwvWWVhcj48UmVj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TiZhbXA7UEFHRT1mdWxsdGV4dCZhbXA7RD1tZWQxMyZhbXA7QU49MjgzOTU4OTY8L3N0eWxlPjxz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U0ZELzQ0U0ZEX3NlcnZpY2VzX3BhZ2U/c2lkPU9WSUQ6bWVkbGluZSZhbXA7aWQ9cG1pZDoyODM5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PEVuZE5vdGU+PENpdGU+PEF1dGhvcj5Sb3NlPC9BdXRob3I+PFllYXI+MjAxMDwvWWVhcj48UmVj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TiZhbXA7UEFHRT1mdWxsdGV4dCZhbXA7RD1tZWQxMyZhbXA7QU49MjgzOTU4OTY8L3N0eWxlPjxz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U0ZELzQ0U0ZEX3NlcnZpY2VzX3BhZ2U/c2lkPU9WSUQ6bWVkbGluZSZhbXA7aWQ9cG1pZDoyODM5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126, 132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RCC,</w:t>
            </w:r>
            <w:r w:rsidRPr="002D1DD7">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123</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NHL,</w:t>
            </w:r>
            <w:r w:rsidRPr="002D1DD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114</w:t>
            </w:r>
            <w:r w:rsidRPr="002D1DD7">
              <w:rPr>
                <w:rFonts w:asciiTheme="majorBidi" w:eastAsia="Times New Roman" w:hAnsiTheme="majorBidi" w:cstheme="majorBidi"/>
                <w:sz w:val="20"/>
                <w:szCs w:val="20"/>
              </w:rPr>
              <w:fldChar w:fldCharType="end"/>
            </w:r>
            <w:r w:rsidRPr="002D1DD7">
              <w:rPr>
                <w:rFonts w:asciiTheme="majorBidi" w:hAnsiTheme="majorBidi" w:cstheme="majorBidi"/>
                <w:sz w:val="20"/>
                <w:szCs w:val="20"/>
              </w:rPr>
              <w:t xml:space="preserve"> 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MM,</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115</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CRC,</w:t>
            </w:r>
            <w:r w:rsidRPr="002D1DD7">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 </w:instrText>
            </w:r>
            <w:r w:rsidR="00054FE8">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EN.CITE.DATA </w:instrText>
            </w:r>
            <w:r w:rsidR="00054FE8">
              <w:rPr>
                <w:rFonts w:asciiTheme="majorBidi" w:eastAsia="Times New Roman" w:hAnsiTheme="majorBidi" w:cstheme="majorBidi"/>
                <w:color w:val="000000"/>
                <w:sz w:val="20"/>
                <w:szCs w:val="20"/>
              </w:rPr>
            </w:r>
            <w:r w:rsidR="00054FE8">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CUP</w:t>
            </w:r>
            <w:r>
              <w:rPr>
                <w:rFonts w:asciiTheme="majorBidi" w:hAnsiTheme="majorBidi" w:cstheme="majorBidi"/>
                <w:sz w:val="20"/>
                <w:szCs w:val="20"/>
              </w:rPr>
              <w:t>,</w:t>
            </w:r>
            <w:r w:rsidRPr="002D1DD7">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122</w:t>
            </w:r>
            <w:r w:rsidRPr="002D1DD7">
              <w:rPr>
                <w:rFonts w:asciiTheme="majorBidi" w:eastAsia="Times New Roman" w:hAnsiTheme="majorBidi" w:cstheme="majorBidi"/>
                <w:color w:val="000000"/>
                <w:sz w:val="20"/>
                <w:szCs w:val="20"/>
              </w:rPr>
              <w:fldChar w:fldCharType="end"/>
            </w:r>
            <w:r>
              <w:rPr>
                <w:rFonts w:asciiTheme="majorBidi" w:eastAsia="Times New Roman" w:hAnsiTheme="majorBidi" w:cstheme="majorBidi"/>
                <w:color w:val="000000"/>
                <w:sz w:val="20"/>
                <w:szCs w:val="20"/>
              </w:rPr>
              <w:t xml:space="preserve"> </w:t>
            </w:r>
            <w:r w:rsidRPr="002D1DD7">
              <w:rPr>
                <w:rFonts w:asciiTheme="majorBidi" w:hAnsiTheme="majorBidi" w:cstheme="majorBidi"/>
                <w:sz w:val="20"/>
                <w:szCs w:val="20"/>
              </w:rPr>
              <w:t xml:space="preserve"> NET</w:t>
            </w:r>
            <w:r w:rsidRPr="002D1DD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104</w:t>
            </w:r>
            <w:r w:rsidRPr="002D1DD7">
              <w:rPr>
                <w:rFonts w:asciiTheme="majorBidi" w:eastAsia="Times New Roman" w:hAnsiTheme="majorBidi" w:cstheme="majorBidi"/>
                <w:sz w:val="20"/>
                <w:szCs w:val="20"/>
              </w:rPr>
              <w:fldChar w:fldCharType="end"/>
            </w:r>
          </w:p>
        </w:tc>
      </w:tr>
      <w:tr w:rsidR="00E001C5" w:rsidRPr="00A13248" w14:paraId="6151FD34" w14:textId="77777777" w:rsidTr="00716DF9">
        <w:tc>
          <w:tcPr>
            <w:tcW w:w="1711" w:type="dxa"/>
            <w:tcMar>
              <w:left w:w="28" w:type="dxa"/>
              <w:right w:w="28" w:type="dxa"/>
            </w:tcMar>
          </w:tcPr>
          <w:p w14:paraId="09A2D521" w14:textId="5FC22A43" w:rsidR="00E001C5" w:rsidRPr="00A13248" w:rsidRDefault="00E001C5" w:rsidP="00E001C5">
            <w:pPr>
              <w:contextualSpacing/>
              <w:rPr>
                <w:rFonts w:cs="Times New Roman"/>
                <w:b/>
                <w:bCs/>
                <w:sz w:val="20"/>
                <w:szCs w:val="20"/>
              </w:rPr>
            </w:pPr>
            <w:r w:rsidRPr="00A13248">
              <w:rPr>
                <w:rFonts w:cs="Times New Roman"/>
                <w:b/>
                <w:bCs/>
                <w:sz w:val="20"/>
                <w:szCs w:val="20"/>
              </w:rPr>
              <w:t>ORR to TTP</w:t>
            </w:r>
          </w:p>
        </w:tc>
        <w:tc>
          <w:tcPr>
            <w:tcW w:w="985" w:type="dxa"/>
            <w:tcMar>
              <w:left w:w="28" w:type="dxa"/>
              <w:right w:w="28" w:type="dxa"/>
            </w:tcMar>
          </w:tcPr>
          <w:p w14:paraId="46D70B69" w14:textId="77777777" w:rsidR="00E001C5" w:rsidRPr="00A13248" w:rsidRDefault="00E001C5" w:rsidP="00E001C5">
            <w:pPr>
              <w:contextualSpacing/>
              <w:rPr>
                <w:rFonts w:cs="Times New Roman"/>
                <w:sz w:val="20"/>
                <w:szCs w:val="20"/>
              </w:rPr>
            </w:pPr>
            <w:r w:rsidRPr="00A13248">
              <w:rPr>
                <w:rFonts w:cs="Times New Roman"/>
                <w:sz w:val="20"/>
                <w:szCs w:val="20"/>
              </w:rPr>
              <w:t>1</w:t>
            </w:r>
          </w:p>
        </w:tc>
        <w:tc>
          <w:tcPr>
            <w:tcW w:w="3412" w:type="dxa"/>
          </w:tcPr>
          <w:p w14:paraId="42DD8C5E" w14:textId="4F0439DF" w:rsidR="00E001C5" w:rsidRPr="00A13248" w:rsidRDefault="00E001C5" w:rsidP="000E66DE">
            <w:pPr>
              <w:contextualSpacing/>
              <w:rPr>
                <w:rFonts w:cs="Times New Roman"/>
                <w:sz w:val="20"/>
                <w:szCs w:val="20"/>
              </w:rPr>
            </w:pPr>
            <w:r w:rsidRPr="002D1DD7">
              <w:rPr>
                <w:rFonts w:asciiTheme="majorBidi" w:hAnsiTheme="majorBidi" w:cstheme="majorBidi"/>
                <w:sz w:val="20"/>
                <w:szCs w:val="20"/>
              </w:rPr>
              <w:t>Gastric</w:t>
            </w:r>
            <w:r w:rsidRPr="002D1DD7">
              <w:rPr>
                <w:rFonts w:asciiTheme="majorBidi" w:hAnsiTheme="majorBidi" w:cstheme="majorBidi"/>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hAnsiTheme="majorBidi" w:cstheme="majorBidi"/>
                <w:sz w:val="20"/>
                <w:szCs w:val="20"/>
              </w:rPr>
              <w:instrText xml:space="preserve"> ADDIN EN.CITE </w:instrText>
            </w:r>
            <w:r w:rsidR="000E66DE">
              <w:rPr>
                <w:rFonts w:asciiTheme="majorBidi" w:hAnsiTheme="majorBidi" w:cstheme="majorBidi"/>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hAnsiTheme="majorBidi" w:cstheme="majorBidi"/>
                <w:sz w:val="20"/>
                <w:szCs w:val="20"/>
              </w:rPr>
              <w:instrText xml:space="preserve"> ADDIN EN.CITE.DATA </w:instrText>
            </w:r>
            <w:r w:rsidR="000E66DE">
              <w:rPr>
                <w:rFonts w:asciiTheme="majorBidi" w:hAnsiTheme="majorBidi" w:cstheme="majorBidi"/>
                <w:sz w:val="20"/>
                <w:szCs w:val="20"/>
              </w:rPr>
            </w:r>
            <w:r w:rsidR="000E66DE">
              <w:rPr>
                <w:rFonts w:asciiTheme="majorBidi" w:hAnsiTheme="majorBidi" w:cstheme="majorBidi"/>
                <w:sz w:val="20"/>
                <w:szCs w:val="20"/>
              </w:rPr>
              <w:fldChar w:fldCharType="end"/>
            </w:r>
            <w:r w:rsidRPr="002D1DD7">
              <w:rPr>
                <w:rFonts w:asciiTheme="majorBidi" w:hAnsiTheme="majorBidi" w:cstheme="majorBidi"/>
                <w:sz w:val="20"/>
                <w:szCs w:val="20"/>
              </w:rPr>
            </w:r>
            <w:r w:rsidRPr="002D1DD7">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102</w:t>
            </w:r>
            <w:r w:rsidRPr="002D1DD7">
              <w:rPr>
                <w:rFonts w:asciiTheme="majorBidi" w:hAnsiTheme="majorBidi" w:cstheme="majorBidi"/>
                <w:sz w:val="20"/>
                <w:szCs w:val="20"/>
              </w:rPr>
              <w:fldChar w:fldCharType="end"/>
            </w:r>
          </w:p>
        </w:tc>
        <w:tc>
          <w:tcPr>
            <w:tcW w:w="1821" w:type="dxa"/>
            <w:tcMar>
              <w:left w:w="28" w:type="dxa"/>
              <w:right w:w="28" w:type="dxa"/>
            </w:tcMar>
          </w:tcPr>
          <w:p w14:paraId="485EC817" w14:textId="621E78DA" w:rsidR="00E001C5" w:rsidRPr="00A13248" w:rsidRDefault="00E001C5" w:rsidP="000E66DE">
            <w:pPr>
              <w:contextualSpacing/>
              <w:rPr>
                <w:rFonts w:cs="Times New Roman"/>
                <w:sz w:val="20"/>
                <w:szCs w:val="20"/>
              </w:rPr>
            </w:pPr>
            <w:r w:rsidRPr="002D1DD7">
              <w:rPr>
                <w:rFonts w:asciiTheme="majorBidi" w:hAnsiTheme="majorBidi" w:cstheme="majorBidi"/>
                <w:sz w:val="20"/>
                <w:szCs w:val="20"/>
              </w:rPr>
              <w:t>Gastric</w:t>
            </w:r>
            <w:r w:rsidRPr="002D1DD7">
              <w:rPr>
                <w:rFonts w:asciiTheme="majorBidi" w:hAnsiTheme="majorBidi" w:cstheme="majorBidi"/>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hAnsiTheme="majorBidi" w:cstheme="majorBidi"/>
                <w:sz w:val="20"/>
                <w:szCs w:val="20"/>
              </w:rPr>
              <w:instrText xml:space="preserve"> ADDIN EN.CITE </w:instrText>
            </w:r>
            <w:r w:rsidR="000E66DE">
              <w:rPr>
                <w:rFonts w:asciiTheme="majorBidi" w:hAnsiTheme="majorBidi" w:cstheme="majorBidi"/>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hAnsiTheme="majorBidi" w:cstheme="majorBidi"/>
                <w:sz w:val="20"/>
                <w:szCs w:val="20"/>
              </w:rPr>
              <w:instrText xml:space="preserve"> ADDIN EN.CITE.DATA </w:instrText>
            </w:r>
            <w:r w:rsidR="000E66DE">
              <w:rPr>
                <w:rFonts w:asciiTheme="majorBidi" w:hAnsiTheme="majorBidi" w:cstheme="majorBidi"/>
                <w:sz w:val="20"/>
                <w:szCs w:val="20"/>
              </w:rPr>
            </w:r>
            <w:r w:rsidR="000E66DE">
              <w:rPr>
                <w:rFonts w:asciiTheme="majorBidi" w:hAnsiTheme="majorBidi" w:cstheme="majorBidi"/>
                <w:sz w:val="20"/>
                <w:szCs w:val="20"/>
              </w:rPr>
              <w:fldChar w:fldCharType="end"/>
            </w:r>
            <w:r w:rsidRPr="002D1DD7">
              <w:rPr>
                <w:rFonts w:asciiTheme="majorBidi" w:hAnsiTheme="majorBidi" w:cstheme="majorBidi"/>
                <w:sz w:val="20"/>
                <w:szCs w:val="20"/>
              </w:rPr>
            </w:r>
            <w:r w:rsidRPr="002D1DD7">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102</w:t>
            </w:r>
            <w:r w:rsidRPr="002D1DD7">
              <w:rPr>
                <w:rFonts w:asciiTheme="majorBidi" w:hAnsiTheme="majorBidi" w:cstheme="majorBidi"/>
                <w:sz w:val="20"/>
                <w:szCs w:val="20"/>
              </w:rPr>
              <w:fldChar w:fldCharType="end"/>
            </w:r>
          </w:p>
        </w:tc>
        <w:tc>
          <w:tcPr>
            <w:tcW w:w="1138" w:type="dxa"/>
            <w:tcMar>
              <w:left w:w="28" w:type="dxa"/>
              <w:right w:w="28" w:type="dxa"/>
            </w:tcMar>
          </w:tcPr>
          <w:p w14:paraId="772F014E" w14:textId="3932E0A3" w:rsidR="00E001C5" w:rsidRPr="00A13248" w:rsidRDefault="00E001C5" w:rsidP="000E66DE">
            <w:pPr>
              <w:contextualSpacing/>
              <w:rPr>
                <w:rFonts w:cs="Times New Roman"/>
                <w:sz w:val="20"/>
                <w:szCs w:val="20"/>
              </w:rPr>
            </w:pPr>
            <w:r w:rsidRPr="002D1DD7">
              <w:rPr>
                <w:rFonts w:asciiTheme="majorBidi" w:hAnsiTheme="majorBidi" w:cstheme="majorBidi"/>
                <w:sz w:val="20"/>
                <w:szCs w:val="20"/>
              </w:rPr>
              <w:t>Gastric</w:t>
            </w:r>
            <w:r w:rsidRPr="002D1DD7">
              <w:rPr>
                <w:rFonts w:asciiTheme="majorBidi" w:hAnsiTheme="majorBidi" w:cstheme="majorBidi"/>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hAnsiTheme="majorBidi" w:cstheme="majorBidi"/>
                <w:sz w:val="20"/>
                <w:szCs w:val="20"/>
              </w:rPr>
              <w:instrText xml:space="preserve"> ADDIN EN.CITE </w:instrText>
            </w:r>
            <w:r w:rsidR="000E66DE">
              <w:rPr>
                <w:rFonts w:asciiTheme="majorBidi" w:hAnsiTheme="majorBidi" w:cstheme="majorBidi"/>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hAnsiTheme="majorBidi" w:cstheme="majorBidi"/>
                <w:sz w:val="20"/>
                <w:szCs w:val="20"/>
              </w:rPr>
              <w:instrText xml:space="preserve"> ADDIN EN.CITE.DATA </w:instrText>
            </w:r>
            <w:r w:rsidR="000E66DE">
              <w:rPr>
                <w:rFonts w:asciiTheme="majorBidi" w:hAnsiTheme="majorBidi" w:cstheme="majorBidi"/>
                <w:sz w:val="20"/>
                <w:szCs w:val="20"/>
              </w:rPr>
            </w:r>
            <w:r w:rsidR="000E66DE">
              <w:rPr>
                <w:rFonts w:asciiTheme="majorBidi" w:hAnsiTheme="majorBidi" w:cstheme="majorBidi"/>
                <w:sz w:val="20"/>
                <w:szCs w:val="20"/>
              </w:rPr>
              <w:fldChar w:fldCharType="end"/>
            </w:r>
            <w:r w:rsidRPr="002D1DD7">
              <w:rPr>
                <w:rFonts w:asciiTheme="majorBidi" w:hAnsiTheme="majorBidi" w:cstheme="majorBidi"/>
                <w:sz w:val="20"/>
                <w:szCs w:val="20"/>
              </w:rPr>
            </w:r>
            <w:r w:rsidRPr="002D1DD7">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102</w:t>
            </w:r>
            <w:r w:rsidRPr="002D1DD7">
              <w:rPr>
                <w:rFonts w:asciiTheme="majorBidi" w:hAnsiTheme="majorBidi" w:cstheme="majorBidi"/>
                <w:sz w:val="20"/>
                <w:szCs w:val="20"/>
              </w:rPr>
              <w:fldChar w:fldCharType="end"/>
            </w:r>
          </w:p>
        </w:tc>
      </w:tr>
      <w:tr w:rsidR="00E001C5" w:rsidRPr="00A13248" w14:paraId="31872179" w14:textId="77777777" w:rsidTr="00716DF9">
        <w:tc>
          <w:tcPr>
            <w:tcW w:w="1711" w:type="dxa"/>
            <w:tcMar>
              <w:left w:w="28" w:type="dxa"/>
              <w:right w:w="28" w:type="dxa"/>
            </w:tcMar>
          </w:tcPr>
          <w:p w14:paraId="216B9513" w14:textId="247AC99F" w:rsidR="00E001C5" w:rsidRPr="00A13248" w:rsidRDefault="00E001C5" w:rsidP="00E001C5">
            <w:pPr>
              <w:contextualSpacing/>
              <w:rPr>
                <w:rFonts w:cs="Times New Roman"/>
                <w:b/>
                <w:bCs/>
                <w:sz w:val="20"/>
                <w:szCs w:val="20"/>
              </w:rPr>
            </w:pPr>
            <w:r w:rsidRPr="00A13248">
              <w:rPr>
                <w:rFonts w:cs="Times New Roman"/>
                <w:b/>
                <w:bCs/>
                <w:sz w:val="20"/>
                <w:szCs w:val="20"/>
              </w:rPr>
              <w:t>ORR to OS</w:t>
            </w:r>
          </w:p>
        </w:tc>
        <w:tc>
          <w:tcPr>
            <w:tcW w:w="985" w:type="dxa"/>
            <w:tcMar>
              <w:left w:w="28" w:type="dxa"/>
              <w:right w:w="28" w:type="dxa"/>
            </w:tcMar>
          </w:tcPr>
          <w:p w14:paraId="5C58CC1F" w14:textId="20D44A83" w:rsidR="00E001C5" w:rsidRPr="00A13248" w:rsidRDefault="00E001C5" w:rsidP="00E001C5">
            <w:pPr>
              <w:contextualSpacing/>
              <w:rPr>
                <w:rFonts w:cs="Times New Roman"/>
                <w:sz w:val="20"/>
                <w:szCs w:val="20"/>
              </w:rPr>
            </w:pPr>
            <w:r w:rsidRPr="00A13248">
              <w:rPr>
                <w:rFonts w:cs="Times New Roman"/>
                <w:sz w:val="20"/>
                <w:szCs w:val="20"/>
              </w:rPr>
              <w:t>27</w:t>
            </w:r>
          </w:p>
        </w:tc>
        <w:tc>
          <w:tcPr>
            <w:tcW w:w="3412" w:type="dxa"/>
          </w:tcPr>
          <w:p w14:paraId="51431BF5" w14:textId="1EA124F5"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dD48RGlzcGxheVRleHQ+PHN0eWxlIGZhY2U9InN1cGVyc2NyaXB0Ij4xMDUsIDEwOSwgMTEwLCAx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UEFHRT1mdWxsdGV4dCZhbXA7RD1lbWV4YiZhbXA7QU49NjIyMzI1NzUzPC9zdHlsZT48L3Jlc2Vh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PUpTJmFtcDtDU0M9WSZhbXA7TkVXUz1OJmFtcDtQQUdFPWZ1bGx0ZXh0JmFtcDtEPW1lZDgmYW1w
O0FOPTIyNzYzNjQ2PC9zdHlsZT48c3R5bGUgZmFjZT0ibm9ybWFsIiBmb250PSJkZWZhdWx0IiBz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ZGxpbmUmYW1wO2lkPXBtaWQ6MjI3NjM2NDYmYW1wO2lkPWRvaToxMC4xMDA3JTJGczAwNDMyLTAx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dWxsdGV4dCZhbXA7RD1tZWQxMiZhbXA7QU49Mjc0OTY2NTA8L3N0eWxlPjxzdHlsZSBmYWNlPSJu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cnZpY2VzX3BhZ2U/c2lkPU9WSUQ6bWVkbGluZSZhbXA7aWQ9cG1pZDoyNzQ5NjY1MCZhbXA7aWQ9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dD48RGlzcGxheVRleHQ+PHN0eWxlIGZhY2U9InN1cGVyc2NyaXB0Ij4xMDUsIDEwOSwgMTEwLCAx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UEFHRT1mdWxsdGV4dCZhbXA7RD1lbWV4YiZhbXA7QU49NjIyMzI1NzUzPC9zdHlsZT48L3Jlc2Vh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PUpTJmFtcDtDU0M9WSZhbXA7TkVXUz1OJmFtcDtQQUdFPWZ1bGx0ZXh0JmFtcDtEPW1lZDgmYW1w
O0FOPTIyNzYzNjQ2PC9zdHlsZT48c3R5bGUgZmFjZT0ibm9ybWFsIiBmb250PSJkZWZhdWx0IiBz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ZGxpbmUmYW1wO2lkPXBtaWQ6MjI3NjM2NDYmYW1wO2lkPWRvaToxMC4xMDA3JTJGczAwNDMyLTAx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dWxsdGV4dCZhbXA7RD1tZWQxMiZhbXA7QU49Mjc0OTY2NTA8L3N0eWxlPjxzdHlsZSBmYWNlPSJu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cnZpY2VzX3BhZ2U/c2lkPU9WSUQ6bWVkbGluZSZhbXA7aWQ9cG1pZDoyNzQ5NjY1MCZhbXA7aWQ9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105, 109, 110, 125, 128, 131</w:t>
            </w:r>
            <w:r w:rsidRPr="002D1DD7">
              <w:rPr>
                <w:rFonts w:asciiTheme="majorBidi" w:eastAsia="Times New Roman" w:hAnsiTheme="majorBidi" w:cstheme="majorBidi"/>
                <w:color w:val="000000"/>
                <w:sz w:val="20"/>
                <w:szCs w:val="20"/>
              </w:rPr>
              <w:fldChar w:fldCharType="end"/>
            </w:r>
            <w:r>
              <w:rPr>
                <w:rFonts w:asciiTheme="majorBidi" w:eastAsia="Times New Roman" w:hAnsiTheme="majorBidi" w:cstheme="majorBidi"/>
                <w:color w:val="000000"/>
                <w:sz w:val="20"/>
                <w:szCs w:val="20"/>
                <w:vertAlign w:val="superscript"/>
              </w:rPr>
              <w:t>,</w:t>
            </w:r>
            <w:r w:rsidRPr="00910AC7">
              <w:rPr>
                <w:rFonts w:asciiTheme="majorBidi" w:eastAsia="Times New Roman" w:hAnsiTheme="majorBidi" w:cstheme="majorBidi"/>
                <w:sz w:val="20"/>
                <w:szCs w:val="20"/>
                <w:vertAlign w:val="superscript"/>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asciiTheme="majorBidi" w:eastAsia="Times New Roman" w:hAnsiTheme="majorBidi" w:cstheme="majorBidi"/>
                <w:sz w:val="20"/>
                <w:szCs w:val="20"/>
                <w:vertAlign w:val="superscript"/>
              </w:rPr>
              <w:instrText xml:space="preserve"> ADDIN EN.CITE </w:instrText>
            </w:r>
            <w:r w:rsidR="000E66DE">
              <w:rPr>
                <w:rFonts w:asciiTheme="majorBidi" w:eastAsia="Times New Roman" w:hAnsiTheme="majorBidi" w:cstheme="majorBidi"/>
                <w:sz w:val="20"/>
                <w:szCs w:val="20"/>
                <w:vertAlign w:val="superscript"/>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asciiTheme="majorBidi" w:eastAsia="Times New Roman" w:hAnsiTheme="majorBidi" w:cstheme="majorBidi"/>
                <w:sz w:val="20"/>
                <w:szCs w:val="20"/>
                <w:vertAlign w:val="superscript"/>
              </w:rPr>
              <w:instrText xml:space="preserve"> ADDIN EN.CITE.DATA </w:instrText>
            </w:r>
            <w:r w:rsidR="000E66DE">
              <w:rPr>
                <w:rFonts w:asciiTheme="majorBidi" w:eastAsia="Times New Roman" w:hAnsiTheme="majorBidi" w:cstheme="majorBidi"/>
                <w:sz w:val="20"/>
                <w:szCs w:val="20"/>
                <w:vertAlign w:val="superscript"/>
              </w:rPr>
            </w:r>
            <w:r w:rsidR="000E66DE">
              <w:rPr>
                <w:rFonts w:asciiTheme="majorBidi" w:eastAsia="Times New Roman" w:hAnsiTheme="majorBidi" w:cstheme="majorBidi"/>
                <w:sz w:val="20"/>
                <w:szCs w:val="20"/>
                <w:vertAlign w:val="superscript"/>
              </w:rPr>
              <w:fldChar w:fldCharType="end"/>
            </w:r>
            <w:r w:rsidRPr="00910AC7">
              <w:rPr>
                <w:rFonts w:asciiTheme="majorBidi" w:eastAsia="Times New Roman" w:hAnsiTheme="majorBidi" w:cstheme="majorBidi"/>
                <w:sz w:val="20"/>
                <w:szCs w:val="20"/>
                <w:vertAlign w:val="superscript"/>
              </w:rPr>
            </w:r>
            <w:r w:rsidRPr="00910AC7">
              <w:rPr>
                <w:rFonts w:asciiTheme="majorBidi" w:eastAsia="Times New Roman" w:hAnsiTheme="majorBidi" w:cstheme="majorBidi"/>
                <w:sz w:val="20"/>
                <w:szCs w:val="20"/>
                <w:vertAlign w:val="superscript"/>
              </w:rPr>
              <w:fldChar w:fldCharType="separate"/>
            </w:r>
            <w:r w:rsidR="003117A9">
              <w:rPr>
                <w:rFonts w:asciiTheme="majorBidi" w:eastAsia="Times New Roman" w:hAnsiTheme="majorBidi" w:cstheme="majorBidi"/>
                <w:noProof/>
                <w:sz w:val="20"/>
                <w:szCs w:val="20"/>
                <w:vertAlign w:val="superscript"/>
              </w:rPr>
              <w:t>138</w:t>
            </w:r>
            <w:r w:rsidRPr="00910AC7">
              <w:rPr>
                <w:rFonts w:asciiTheme="majorBidi" w:eastAsia="Times New Roman" w:hAnsiTheme="majorBidi" w:cstheme="majorBidi"/>
                <w:sz w:val="20"/>
                <w:szCs w:val="20"/>
                <w:vertAlign w:val="superscript"/>
              </w:rPr>
              <w:fldChar w:fldCharType="end"/>
            </w:r>
            <w:r w:rsidRPr="002D1DD7">
              <w:rPr>
                <w:rFonts w:asciiTheme="majorBidi" w:eastAsia="Times New Roman" w:hAnsiTheme="majorBidi" w:cstheme="majorBidi"/>
                <w:sz w:val="20"/>
                <w:szCs w:val="20"/>
              </w:rPr>
              <w:t xml:space="preserve"> CRC,</w:t>
            </w:r>
            <w:r w:rsidRPr="002D1DD7">
              <w:rPr>
                <w:rFonts w:asciiTheme="majorBidi" w:eastAsia="Times New Roman" w:hAnsiTheme="majorBidi" w:cstheme="majorBidi"/>
                <w:sz w:val="20"/>
                <w:szCs w:val="20"/>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ZXJzY3JpcHQiPjk1LCAxMTIsIDEzNTwvc3R5bGU+PC9EaXNwbGF5VGV4dD48cmVjb3JkPjxyZWMt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bXA7TkVXUz1OJmFtcDtQQUdFPWZ1bGx0ZXh0JmFtcDtEPW1lZDExJmFtcDtBTj0yNTAxNzM3OSYj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dGV4dCZhbXA7RD1tZWQ1JmFtcDtBTj0xNzg3NjAxMDwvc3R5bGU+PHN0eWxlIGZhY2U9Im5vcm1h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ZXNfcGFnZT9zaWQ9T1ZJRDptZWRsaW5lJmFtcDtpZD1wbWlkOjE3ODc2MDEwJmFtcDtpZD1kb2k6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bXA7TkVXUz1OJmFtcDtQQUdFPWZ1bGx0ZXh0JmFtcDtEPW1lZDQmYW1wO0FOPTExMzkxNTgyPC9z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aWQ6MTEzOTE1ODImYW1wO2lkPWRvaTomYW1wO2lzc249MDAwOC01NDNYJmFtcDtpc2JuPSZhbXA7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ZXJzY3JpcHQiPjk1LCAxMTIsIDEzNTwvc3R5bGU+PC9EaXNwbGF5VGV4dD48cmVjb3JkPjxyZWMt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bXA7TkVXUz1OJmFtcDtQQUdFPWZ1bGx0ZXh0JmFtcDtEPW1lZDExJmFtcDtBTj0yNTAxNzM3OSYj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dGV4dCZhbXA7RD1tZWQ1JmFtcDtBTj0xNzg3NjAxMDwvc3R5bGU+PHN0eWxlIGZhY2U9Im5vcm1h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ZXNfcGFnZT9zaWQ9T1ZJRDptZWRsaW5lJmFtcDtpZD1wbWlkOjE3ODc2MDEwJmFtcDtpZD1kb2k6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bXA7TkVXUz1OJmFtcDtQQUdFPWZ1bGx0ZXh0JmFtcDtEPW1lZDQmYW1wO0FOPTExMzkxNTgyPC9z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aWQ6MTEzOTE1ODImYW1wO2lkPWRvaTomYW1wO2lzc249MDAwOC01NDNYJmFtcDtpc2JuPSZhbXA7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95, 112, 135</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color w:val="000000"/>
                <w:sz w:val="20"/>
                <w:szCs w:val="20"/>
              </w:rPr>
              <w:t xml:space="preserve"> ovarian,</w:t>
            </w:r>
            <w:r w:rsidRPr="002D1DD7">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dXBlcnNjcmlwdCI+MTI2LCAxMzI8L3N0eWxlPjwvRGlzcGxheVRleHQ+PHJlY29yZD48cmVjLW51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O0NTQz1ZJmFtcDtORVdTPU4mYW1wO1BBR0U9ZnVsbHRleHQmYW1wO0Q9bWVkMTMmYW1wO0FOPTI4
Mzk1ODk2PC9zdHlsZT48c3R5bGUgZmFjZT0ibm9ybWFsIiBmb250PSJkZWZhdWx0IiBzaXplPSIx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YW1wO2lkPXBtaWQ6MjgzOTU4OTYmYW1wO2lkPWRvaToxMC4xMDE2JTJGai55Z3luby4yMDE3LjAz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dXBlcnNjcmlwdCI+MTI2LCAxMzI8L3N0eWxlPjwvRGlzcGxheVRleHQ+PHJlY29yZD48cmVjLW51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O0NTQz1ZJmFtcDtORVdTPU4mYW1wO1BBR0U9ZnVsbHRleHQmYW1wO0Q9bWVkMTMmYW1wO0FOPTI4
Mzk1ODk2PC9zdHlsZT48c3R5bGUgZmFjZT0ibm9ybWFsIiBmb250PSJkZWZhdWx0IiBzaXplPSIx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YW1wO2lkPXBtaWQ6MjgzOTU4OTYmYW1wO2lkPWRvaToxMC4xMDE2JTJGai55Z3luby4yMDE3LjAz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126, 132</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breast,</w:t>
            </w:r>
            <w:r w:rsidRPr="002D1DD7">
              <w:rPr>
                <w:rFonts w:asciiTheme="majorBidi" w:eastAsia="Times New Roman" w:hAnsiTheme="majorBidi" w:cstheme="majorBidi"/>
                <w:color w:val="000000"/>
                <w:sz w:val="20"/>
                <w:szCs w:val="20"/>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ZSBmYWNlPSJzdXBlcnNjcmlwdCI+MTExLCAxMjQ8L3N0eWxlPjwvRGlzcGxheVRleHQ+PHJlY29y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PUpTJmFtcDtDU0M9WSZhbXA7TkVXUz1OJmFtcDtQQUdFPWZ1bGx0ZXh0JmFtcDtEPW1lZDEyJmFt
cDtBTj0yNjg3NDk3NDwvc3R5bGU+PHN0eWxlIGZhY2U9Im5vcm1hbCIgZm9udD0iZGVmYXVsdCIg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ZWRsaW5lJmFtcDtpZD1wbWlkOjI2ODc0OTc0JmFtcDtpZD1kb2k6MTAuMTAxNiUyRmouYnVsY2Fu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RD1tZWQxMCZhbXA7QU49MjQyNzEzMTM8L3N0eWxlPjxzdHlsZSBmYWNlPSJub3JtYWwiIGZvbnQ9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c2lkPU9WSUQ6bWVkbGluZSZhbXA7aWQ9cG1pZDoyNDI3MTMxMyZhbXA7aWQ9ZG9pOjEwLjEwMDcl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ZSBmYWNlPSJzdXBlcnNjcmlwdCI+MTExLCAxMjQ8L3N0eWxlPjwvRGlzcGxheVRleHQ+PHJlY29y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PUpTJmFtcDtDU0M9WSZhbXA7TkVXUz1OJmFtcDtQQUdFPWZ1bGx0ZXh0JmFtcDtEPW1lZDEyJmFt
cDtBTj0yNjg3NDk3NDwvc3R5bGU+PHN0eWxlIGZhY2U9Im5vcm1hbCIgZm9udD0iZGVmYXVsdCIg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ZWRsaW5lJmFtcDtpZD1wbWlkOjI2ODc0OTc0JmFtcDtpZD1kb2k6MTAuMTAxNiUyRmouYnVsY2Fu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RD1tZWQxMCZhbXA7QU49MjQyNzEzMTM8L3N0eWxlPjxzdHlsZSBmYWNlPSJub3JtYWwiIGZvbnQ9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c2lkPU9WSUQ6bWVkbGluZSZhbXA7aWQ9cG1pZDoyNDI3MTMxMyZhbXA7aWQ9ZG9pOjEwLjEwMDcl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111, 124</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gastric,</w:t>
            </w:r>
            <w:r w:rsidRPr="002D1DD7">
              <w:rPr>
                <w:rFonts w:asciiTheme="majorBidi" w:eastAsia="Times New Roman" w:hAnsiTheme="majorBidi" w:cstheme="majorBidi"/>
                <w:color w:val="000000"/>
                <w:sz w:val="20"/>
                <w:szCs w:val="20"/>
              </w:rPr>
              <w:fldChar w:fldCharType="begin">
                <w:fldData xml:space="preserve">PEVuZE5vdGU+PENpdGU+PEF1dGhvcj5TaGl0YXJhPC9BdXRob3I+PFllYXI+MjAxNDwvWWVhcj48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UEFHRT1mdWxsdGV4dCZhbXA7RD1tZWQxMCZhbXA7QU49MjM3MzY3NDI8L3N0eWxlPjxzdHlsZSBm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U0ZEX3NlcnZpY2VzX3BhZ2U/c2lkPU9WSUQ6bWVkbGluZSZhbXA7aWQ9cG1pZDoyMzczNjc0MiZh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ZnVsbHRleHQmYW1wO0Q9bWVkNSZhbXA7QU49MTY4NzM0MzUmI3hEO2h0dHA6Ly9yZXNvbHZlci5z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PEVuZE5vdGU+PENpdGU+PEF1dGhvcj5TaGl0YXJhPC9BdXRob3I+PFllYXI+MjAxNDwvWWVhcj48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UEFHRT1mdWxsdGV4dCZhbXA7RD1tZWQxMCZhbXA7QU49MjM3MzY3NDI8L3N0eWxlPjxzdHlsZSBm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U0ZEX3NlcnZpY2VzX3BhZ2U/c2lkPU9WSUQ6bWVkbGluZSZhbXA7aWQ9cG1pZDoyMzczNjc0MiZh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ZnVsbHRleHQmYW1wO0Q9bWVkNSZhbXA7QU49MTY4NzM0MzUmI3hEO2h0dHA6Ly9yZXNvbHZlci5z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102, 130</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various,</w:t>
            </w:r>
            <w:r w:rsidRPr="00910AC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910AC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125</w:t>
            </w:r>
            <w:r w:rsidRPr="00910AC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color w:val="000000"/>
                <w:sz w:val="20"/>
                <w:szCs w:val="20"/>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MjAsIDEzODwvc3R5bGU+PC9EaXNwbGF5VGV4dD48cmVjb3JkPjxyZWMtbnVtYmVyPjMwNDM8L3Jl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PVkmYW1wO05FV1M9TiZhbXA7UEFHRT1mdWxsdGV4dCZhbXA7RD1tZWQ2JmFtcDtBTj0xOTgyNjM1
NTwvc3R5bGU+PHN0eWxlIGZhY2U9Im5vcm1hbCIgZm9udD0iZGVmYXVsdCIgc2l6ZT0iMTAwJSI+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ZD1wbWlkOjE5ODI2MzU1JmFtcDtpZD1kb2k6MTAuMTA5NyUyRlBQTy4wYjAxM2UzMTgxYjlkMzdi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V1M9TiZhbXA7UEFHRT1mdWxsdGV4dCZhbXA7RD1lbWV4YSZhbXA7QU49MjAwMTI4ODAzNTwvc3R5
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MjAsIDEzODwvc3R5bGU+PC9EaXNwbGF5VGV4dD48cmVjb3JkPjxyZWMtbnVtYmVyPjMwNDM8L3Jl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PVkmYW1wO05FV1M9TiZhbXA7UEFHRT1mdWxsdGV4dCZhbXA7RD1tZWQ2JmFtcDtBTj0xOTgyNjM1
NTwvc3R5bGU+PHN0eWxlIGZhY2U9Im5vcm1hbCIgZm9udD0iZGVmYXVsdCIgc2l6ZT0iMTAwJSI+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ZD1wbWlkOjE5ODI2MzU1JmFtcDtpZD1kb2k6MTAuMTA5NyUyRlBQTy4wYjAxM2UzMTgxYjlkMzdi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V1M9TiZhbXA7UEFHRT1mdWxsdGV4dCZhbXA7RD1lbWV4YSZhbXA7QU49MjAwMTI4ODAzNTwvc3R5
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120, 138</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w:t>
            </w:r>
            <w:r w:rsidRPr="002D1DD7">
              <w:rPr>
                <w:rFonts w:asciiTheme="majorBidi" w:eastAsia="Times New Roman" w:hAnsiTheme="majorBidi" w:cstheme="majorBidi"/>
                <w:sz w:val="20"/>
                <w:szCs w:val="20"/>
              </w:rPr>
              <w:t>pancreatic,</w:t>
            </w:r>
            <w:r w:rsidRPr="002D1DD7">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97</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RCC,</w:t>
            </w:r>
            <w:r w:rsidRPr="002D1DD7">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78</w:t>
            </w:r>
            <w:r w:rsidRPr="002D1DD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123</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gastroesophageal,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121</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urothelial,</w:t>
            </w:r>
            <w:r w:rsidRPr="002D1DD7">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78</w:t>
            </w:r>
            <w:r w:rsidRPr="002D1DD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sz w:val="20"/>
                <w:szCs w:val="20"/>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79</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AML,</w:t>
            </w:r>
            <w:r w:rsidRPr="002D1DD7">
              <w:rPr>
                <w:rFonts w:asciiTheme="majorBidi" w:eastAsia="Times New Roman" w:hAnsiTheme="majorBidi" w:cstheme="majorBidi"/>
                <w:sz w:val="20"/>
                <w:szCs w:val="20"/>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80</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glioblastoma,</w:t>
            </w:r>
            <w:r w:rsidRPr="002D1DD7">
              <w:rPr>
                <w:rFonts w:asciiTheme="majorBidi" w:eastAsia="Times New Roman" w:hAnsiTheme="majorBidi" w:cstheme="majorBidi"/>
                <w:sz w:val="20"/>
                <w:szCs w:val="20"/>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98</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hAnsiTheme="majorBidi" w:cstheme="majorBidi"/>
                <w:sz w:val="20"/>
                <w:szCs w:val="20"/>
              </w:rPr>
              <w:t>CUP</w:t>
            </w:r>
            <w:r>
              <w:rPr>
                <w:rFonts w:asciiTheme="majorBidi" w:hAnsiTheme="majorBidi" w:cstheme="majorBidi"/>
                <w:sz w:val="20"/>
                <w:szCs w:val="20"/>
              </w:rPr>
              <w:t>,</w:t>
            </w:r>
            <w:r w:rsidRPr="002D1DD7">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NET</w:t>
            </w:r>
            <w:r w:rsidRPr="002D1DD7">
              <w:rPr>
                <w:rFonts w:asciiTheme="majorBidi" w:eastAsia="Times New Roman" w:hAnsiTheme="majorBidi" w:cstheme="majorBidi"/>
                <w:sz w:val="20"/>
                <w:szCs w:val="20"/>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103</w:t>
            </w:r>
            <w:r w:rsidRPr="002D1DD7">
              <w:rPr>
                <w:rFonts w:asciiTheme="majorBidi" w:eastAsia="Times New Roman" w:hAnsiTheme="majorBidi" w:cstheme="majorBidi"/>
                <w:sz w:val="20"/>
                <w:szCs w:val="20"/>
              </w:rPr>
              <w:fldChar w:fldCharType="end"/>
            </w:r>
          </w:p>
        </w:tc>
        <w:tc>
          <w:tcPr>
            <w:tcW w:w="1821" w:type="dxa"/>
            <w:tcMar>
              <w:left w:w="28" w:type="dxa"/>
              <w:right w:w="28" w:type="dxa"/>
            </w:tcMar>
          </w:tcPr>
          <w:p w14:paraId="70D7A737" w14:textId="1C81F27E" w:rsidR="00E001C5" w:rsidRPr="00A13248" w:rsidRDefault="00E001C5" w:rsidP="000E66DE">
            <w:pPr>
              <w:contextualSpacing/>
              <w:rPr>
                <w:rFonts w:cs="Times New Roman"/>
                <w:sz w:val="20"/>
                <w:szCs w:val="20"/>
              </w:rPr>
            </w:pPr>
            <w:r w:rsidRPr="002D1DD7">
              <w:rPr>
                <w:rFonts w:asciiTheme="majorBidi" w:hAnsiTheme="majorBidi" w:cstheme="majorBidi"/>
                <w:b/>
                <w:bCs/>
                <w:sz w:val="20"/>
                <w:szCs w:val="20"/>
              </w:rPr>
              <w:t>Pos:</w:t>
            </w:r>
            <w:r w:rsidRPr="002D1DD7">
              <w:rPr>
                <w:rFonts w:asciiTheme="majorBidi" w:hAnsiTheme="majorBidi" w:cstheme="majorBidi"/>
                <w:sz w:val="20"/>
                <w:szCs w:val="20"/>
              </w:rPr>
              <w:t xml:space="preserve"> </w:t>
            </w: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dD48RGlzcGxheVRleHQ+PHN0eWxlIGZhY2U9InN1cGVyc2NyaXB0Ij4xMDUsIDEwOSwgMTEwLCAx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UEFHRT1mdWxsdGV4dCZhbXA7RD1lbWV4YiZhbXA7QU49NjIyMzI1NzUzPC9zdHlsZT48L3Jlc2Vh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PUpTJmFtcDtDU0M9WSZhbXA7TkVXUz1OJmFtcDtQQUdFPWZ1bGx0ZXh0JmFtcDtEPW1lZDgmYW1w
O0FOPTIyNzYzNjQ2PC9zdHlsZT48c3R5bGUgZmFjZT0ibm9ybWFsIiBmb250PSJkZWZhdWx0IiBz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ZGxpbmUmYW1wO2lkPXBtaWQ6MjI3NjM2NDYmYW1wO2lkPWRvaToxMC4xMDA3JTJGczAwNDMyLTAx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dWxsdGV4dCZhbXA7RD1tZWQxMiZhbXA7QU49Mjc0OTY2NTA8L3N0eWxlPjxzdHlsZSBmYWNlPSJu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cnZpY2VzX3BhZ2U/c2lkPU9WSUQ6bWVkbGluZSZhbXA7aWQ9cG1pZDoyNzQ5NjY1MCZhbXA7aWQ9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dD48RGlzcGxheVRleHQ+PHN0eWxlIGZhY2U9InN1cGVyc2NyaXB0Ij4xMDUsIDEwOSwgMTEwLCAx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UEFHRT1mdWxsdGV4dCZhbXA7RD1lbWV4YiZhbXA7QU49NjIyMzI1NzUzPC9zdHlsZT48L3Jlc2Vh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PUpTJmFtcDtDU0M9WSZhbXA7TkVXUz1OJmFtcDtQQUdFPWZ1bGx0ZXh0JmFtcDtEPW1lZDgmYW1w
O0FOPTIyNzYzNjQ2PC9zdHlsZT48c3R5bGUgZmFjZT0ibm9ybWFsIiBmb250PSJkZWZhdWx0IiBz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ZGxpbmUmYW1wO2lkPXBtaWQ6MjI3NjM2NDYmYW1wO2lkPWRvaToxMC4xMDA3JTJGczAwNDMyLTAx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dWxsdGV4dCZhbXA7RD1tZWQxMiZhbXA7QU49Mjc0OTY2NTA8L3N0eWxlPjxzdHlsZSBmYWNlPSJu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cnZpY2VzX3BhZ2U/c2lkPU9WSUQ6bWVkbGluZSZhbXA7aWQ9cG1pZDoyNzQ5NjY1MCZhbXA7aWQ9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105, 109, 110, 125, 128, 131</w:t>
            </w:r>
            <w:r w:rsidRPr="002D1DD7">
              <w:rPr>
                <w:rFonts w:asciiTheme="majorBidi" w:eastAsia="Times New Roman" w:hAnsiTheme="majorBidi" w:cstheme="majorBidi"/>
                <w:color w:val="000000"/>
                <w:sz w:val="20"/>
                <w:szCs w:val="20"/>
              </w:rPr>
              <w:fldChar w:fldCharType="end"/>
            </w:r>
            <w:r>
              <w:rPr>
                <w:rFonts w:asciiTheme="majorBidi" w:eastAsia="Times New Roman" w:hAnsiTheme="majorBidi" w:cstheme="majorBidi"/>
                <w:color w:val="000000"/>
                <w:sz w:val="20"/>
                <w:szCs w:val="20"/>
                <w:vertAlign w:val="superscript"/>
              </w:rPr>
              <w:t>,</w:t>
            </w:r>
            <w:r w:rsidRPr="00910AC7">
              <w:rPr>
                <w:rFonts w:asciiTheme="majorBidi" w:eastAsia="Times New Roman" w:hAnsiTheme="majorBidi" w:cstheme="majorBidi"/>
                <w:sz w:val="20"/>
                <w:szCs w:val="20"/>
                <w:vertAlign w:val="superscript"/>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asciiTheme="majorBidi" w:eastAsia="Times New Roman" w:hAnsiTheme="majorBidi" w:cstheme="majorBidi"/>
                <w:sz w:val="20"/>
                <w:szCs w:val="20"/>
                <w:vertAlign w:val="superscript"/>
              </w:rPr>
              <w:instrText xml:space="preserve"> ADDIN EN.CITE </w:instrText>
            </w:r>
            <w:r w:rsidR="000E66DE">
              <w:rPr>
                <w:rFonts w:asciiTheme="majorBidi" w:eastAsia="Times New Roman" w:hAnsiTheme="majorBidi" w:cstheme="majorBidi"/>
                <w:sz w:val="20"/>
                <w:szCs w:val="20"/>
                <w:vertAlign w:val="superscript"/>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asciiTheme="majorBidi" w:eastAsia="Times New Roman" w:hAnsiTheme="majorBidi" w:cstheme="majorBidi"/>
                <w:sz w:val="20"/>
                <w:szCs w:val="20"/>
                <w:vertAlign w:val="superscript"/>
              </w:rPr>
              <w:instrText xml:space="preserve"> ADDIN EN.CITE.DATA </w:instrText>
            </w:r>
            <w:r w:rsidR="000E66DE">
              <w:rPr>
                <w:rFonts w:asciiTheme="majorBidi" w:eastAsia="Times New Roman" w:hAnsiTheme="majorBidi" w:cstheme="majorBidi"/>
                <w:sz w:val="20"/>
                <w:szCs w:val="20"/>
                <w:vertAlign w:val="superscript"/>
              </w:rPr>
            </w:r>
            <w:r w:rsidR="000E66DE">
              <w:rPr>
                <w:rFonts w:asciiTheme="majorBidi" w:eastAsia="Times New Roman" w:hAnsiTheme="majorBidi" w:cstheme="majorBidi"/>
                <w:sz w:val="20"/>
                <w:szCs w:val="20"/>
                <w:vertAlign w:val="superscript"/>
              </w:rPr>
              <w:fldChar w:fldCharType="end"/>
            </w:r>
            <w:r w:rsidRPr="00910AC7">
              <w:rPr>
                <w:rFonts w:asciiTheme="majorBidi" w:eastAsia="Times New Roman" w:hAnsiTheme="majorBidi" w:cstheme="majorBidi"/>
                <w:sz w:val="20"/>
                <w:szCs w:val="20"/>
                <w:vertAlign w:val="superscript"/>
              </w:rPr>
            </w:r>
            <w:r w:rsidRPr="00910AC7">
              <w:rPr>
                <w:rFonts w:asciiTheme="majorBidi" w:eastAsia="Times New Roman" w:hAnsiTheme="majorBidi" w:cstheme="majorBidi"/>
                <w:sz w:val="20"/>
                <w:szCs w:val="20"/>
                <w:vertAlign w:val="superscript"/>
              </w:rPr>
              <w:fldChar w:fldCharType="separate"/>
            </w:r>
            <w:r w:rsidR="003117A9">
              <w:rPr>
                <w:rFonts w:asciiTheme="majorBidi" w:eastAsia="Times New Roman" w:hAnsiTheme="majorBidi" w:cstheme="majorBidi"/>
                <w:noProof/>
                <w:sz w:val="20"/>
                <w:szCs w:val="20"/>
                <w:vertAlign w:val="superscript"/>
              </w:rPr>
              <w:t>138</w:t>
            </w:r>
            <w:r w:rsidRPr="00910AC7">
              <w:rPr>
                <w:rFonts w:asciiTheme="majorBidi" w:eastAsia="Times New Roman" w:hAnsiTheme="majorBidi" w:cstheme="majorBidi"/>
                <w:sz w:val="20"/>
                <w:szCs w:val="20"/>
                <w:vertAlign w:val="superscript"/>
              </w:rPr>
              <w:fldChar w:fldCharType="end"/>
            </w:r>
            <w:r w:rsidRPr="002D1DD7">
              <w:rPr>
                <w:rFonts w:asciiTheme="majorBidi" w:eastAsia="Times New Roman" w:hAnsiTheme="majorBidi" w:cstheme="majorBidi"/>
                <w:sz w:val="20"/>
                <w:szCs w:val="20"/>
              </w:rPr>
              <w:t xml:space="preserve"> CRC,</w:t>
            </w:r>
            <w:r w:rsidRPr="002D1DD7">
              <w:rPr>
                <w:rFonts w:asciiTheme="majorBidi" w:eastAsia="Times New Roman" w:hAnsiTheme="majorBidi" w:cstheme="majorBidi"/>
                <w:sz w:val="20"/>
                <w:szCs w:val="20"/>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ZXJzY3JpcHQiPjk1LCAxMTIsIDEzNTwvc3R5bGU+PC9EaXNwbGF5VGV4dD48cmVjb3JkPjxyZWMt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bXA7TkVXUz1OJmFtcDtQQUdFPWZ1bGx0ZXh0JmFtcDtEPW1lZDExJmFtcDtBTj0yNTAxNzM3OSYj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dGV4dCZhbXA7RD1tZWQ1JmFtcDtBTj0xNzg3NjAxMDwvc3R5bGU+PHN0eWxlIGZhY2U9Im5vcm1h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ZXNfcGFnZT9zaWQ9T1ZJRDptZWRsaW5lJmFtcDtpZD1wbWlkOjE3ODc2MDEwJmFtcDtpZD1kb2k6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bXA7TkVXUz1OJmFtcDtQQUdFPWZ1bGx0ZXh0JmFtcDtEPW1lZDQmYW1wO0FOPTExMzkxNTgyPC9z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aWQ6MTEzOTE1ODImYW1wO2lkPWRvaTomYW1wO2lzc249MDAwOC01NDNYJmFtcDtpc2JuPSZhbXA7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ZXJzY3JpcHQiPjk1LCAxMTIsIDEzNTwvc3R5bGU+PC9EaXNwbGF5VGV4dD48cmVjb3JkPjxyZWMt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bXA7TkVXUz1OJmFtcDtQQUdFPWZ1bGx0ZXh0JmFtcDtEPW1lZDExJmFtcDtBTj0yNTAxNzM3OSYj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dGV4dCZhbXA7RD1tZWQ1JmFtcDtBTj0xNzg3NjAxMDwvc3R5bGU+PHN0eWxlIGZhY2U9Im5vcm1h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ZXNfcGFnZT9zaWQ9T1ZJRDptZWRsaW5lJmFtcDtpZD1wbWlkOjE3ODc2MDEwJmFtcDtpZD1kb2k6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bXA7TkVXUz1OJmFtcDtQQUdFPWZ1bGx0ZXh0JmFtcDtEPW1lZDQmYW1wO0FOPTExMzkxNTgyPC9z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aWQ6MTEzOTE1ODImYW1wO2lkPWRvaTomYW1wO2lzc249MDAwOC01NDNYJmFtcDtpc2JuPSZhbXA7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95, 112, 135</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color w:val="000000"/>
                <w:sz w:val="20"/>
                <w:szCs w:val="20"/>
              </w:rPr>
              <w:t xml:space="preserve"> ovarian,</w:t>
            </w:r>
            <w:r w:rsidRPr="002D1DD7">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dXBlcnNjcmlwdCI+MTI2LCAxMzI8L3N0eWxlPjwvRGlzcGxheVRleHQ+PHJlY29yZD48cmVjLW51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O0NTQz1ZJmFtcDtORVdTPU4mYW1wO1BBR0U9ZnVsbHRleHQmYW1wO0Q9bWVkMTMmYW1wO0FOPTI4
Mzk1ODk2PC9zdHlsZT48c3R5bGUgZmFjZT0ibm9ybWFsIiBmb250PSJkZWZhdWx0IiBzaXplPSIx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YW1wO2lkPXBtaWQ6MjgzOTU4OTYmYW1wO2lkPWRvaToxMC4xMDE2JTJGai55Z3luby4yMDE3LjAz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dXBlcnNjcmlwdCI+MTI2LCAxMzI8L3N0eWxlPjwvRGlzcGxheVRleHQ+PHJlY29yZD48cmVjLW51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O0NTQz1ZJmFtcDtORVdTPU4mYW1wO1BBR0U9ZnVsbHRleHQmYW1wO0Q9bWVkMTMmYW1wO0FOPTI4
Mzk1ODk2PC9zdHlsZT48c3R5bGUgZmFjZT0ibm9ybWFsIiBmb250PSJkZWZhdWx0IiBzaXplPSIx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YW1wO2lkPXBtaWQ6MjgzOTU4OTYmYW1wO2lkPWRvaToxMC4xMDE2JTJGai55Z3luby4yMDE3LjAz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126, 132</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breast,</w:t>
            </w:r>
            <w:r w:rsidRPr="002D1DD7">
              <w:rPr>
                <w:rFonts w:asciiTheme="majorBidi" w:eastAsia="Times New Roman" w:hAnsiTheme="majorBidi" w:cstheme="majorBidi"/>
                <w:color w:val="000000"/>
                <w:sz w:val="20"/>
                <w:szCs w:val="20"/>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ZSBmYWNlPSJzdXBlcnNjcmlwdCI+MTExLCAxMjQ8L3N0eWxlPjwvRGlzcGxheVRleHQ+PHJlY29y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PUpTJmFtcDtDU0M9WSZhbXA7TkVXUz1OJmFtcDtQQUdFPWZ1bGx0ZXh0JmFtcDtEPW1lZDEyJmFt
cDtBTj0yNjg3NDk3NDwvc3R5bGU+PHN0eWxlIGZhY2U9Im5vcm1hbCIgZm9udD0iZGVmYXVsdCIg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ZWRsaW5lJmFtcDtpZD1wbWlkOjI2ODc0OTc0JmFtcDtpZD1kb2k6MTAuMTAxNiUyRmouYnVsY2Fu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RD1tZWQxMCZhbXA7QU49MjQyNzEzMTM8L3N0eWxlPjxzdHlsZSBmYWNlPSJub3JtYWwiIGZvbnQ9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c2lkPU9WSUQ6bWVkbGluZSZhbXA7aWQ9cG1pZDoyNDI3MTMxMyZhbXA7aWQ9ZG9pOjEwLjEwMDcl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ZSBmYWNlPSJzdXBlcnNjcmlwdCI+MTExLCAxMjQ8L3N0eWxlPjwvRGlzcGxheVRleHQ+PHJlY29y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PUpTJmFtcDtDU0M9WSZhbXA7TkVXUz1OJmFtcDtQQUdFPWZ1bGx0ZXh0JmFtcDtEPW1lZDEyJmFt
cDtBTj0yNjg3NDk3NDwvc3R5bGU+PHN0eWxlIGZhY2U9Im5vcm1hbCIgZm9udD0iZGVmYXVsdCIg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ZWRsaW5lJmFtcDtpZD1wbWlkOjI2ODc0OTc0JmFtcDtpZD1kb2k6MTAuMTAxNiUyRmouYnVsY2Fu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RD1tZWQxMCZhbXA7QU49MjQyNzEzMTM8L3N0eWxlPjxzdHlsZSBmYWNlPSJub3JtYWwiIGZvbnQ9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c2lkPU9WSUQ6bWVkbGluZSZhbXA7aWQ9cG1pZDoyNDI3MTMxMyZhbXA7aWQ9ZG9pOjEwLjEwMDcl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111, 124</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gastric,</w:t>
            </w:r>
            <w:r w:rsidRPr="002D1DD7">
              <w:rPr>
                <w:rFonts w:asciiTheme="majorBidi" w:eastAsia="Times New Roman" w:hAnsiTheme="majorBidi" w:cstheme="majorBidi"/>
                <w:color w:val="000000"/>
                <w:sz w:val="20"/>
                <w:szCs w:val="20"/>
              </w:rPr>
              <w:fldChar w:fldCharType="begin">
                <w:fldData xml:space="preserve">PEVuZE5vdGU+PENpdGU+PEF1dGhvcj5TaGl0YXJhPC9BdXRob3I+PFllYXI+MjAxNDwvWWVhcj48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UEFHRT1mdWxsdGV4dCZhbXA7RD1tZWQxMCZhbXA7QU49MjM3MzY3NDI8L3N0eWxlPjxzdHlsZSBm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U0ZEX3NlcnZpY2VzX3BhZ2U/c2lkPU9WSUQ6bWVkbGluZSZhbXA7aWQ9cG1pZDoyMzczNjc0MiZh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ZnVsbHRleHQmYW1wO0Q9bWVkNSZhbXA7QU49MTY4NzM0MzUmI3hEO2h0dHA6Ly9yZXNvbHZlci5z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PEVuZE5vdGU+PENpdGU+PEF1dGhvcj5TaGl0YXJhPC9BdXRob3I+PFllYXI+MjAxNDwvWWVhcj48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UEFHRT1mdWxsdGV4dCZhbXA7RD1tZWQxMCZhbXA7QU49MjM3MzY3NDI8L3N0eWxlPjxzdHlsZSBm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U0ZEX3NlcnZpY2VzX3BhZ2U/c2lkPU9WSUQ6bWVkbGluZSZhbXA7aWQ9cG1pZDoyMzczNjc0MiZh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ZnVsbHRleHQmYW1wO0Q9bWVkNSZhbXA7QU49MTY4NzM0MzUmI3hEO2h0dHA6Ly9yZXNvbHZlci5z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102, 130</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various,</w:t>
            </w:r>
            <w:r w:rsidRPr="00910AC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910AC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125</w:t>
            </w:r>
            <w:r w:rsidRPr="00910AC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color w:val="000000"/>
                <w:sz w:val="20"/>
                <w:szCs w:val="20"/>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MjAsIDEzODwvc3R5bGU+PC9EaXNwbGF5VGV4dD48cmVjb3JkPjxyZWMtbnVtYmVyPjMwNDM8L3Jl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PVkmYW1wO05FV1M9TiZhbXA7UEFHRT1mdWxsdGV4dCZhbXA7RD1tZWQ2JmFtcDtBTj0xOTgyNjM1
NTwvc3R5bGU+PHN0eWxlIGZhY2U9Im5vcm1hbCIgZm9udD0iZGVmYXVsdCIgc2l6ZT0iMTAwJSI+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ZD1wbWlkOjE5ODI2MzU1JmFtcDtpZD1kb2k6MTAuMTA5NyUyRlBQTy4wYjAxM2UzMTgxYjlkMzdi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V1M9TiZhbXA7UEFHRT1mdWxsdGV4dCZhbXA7RD1lbWV4YSZhbXA7QU49MjAwMTI4ODAzNTwvc3R5
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MjAsIDEzODwvc3R5bGU+PC9EaXNwbGF5VGV4dD48cmVjb3JkPjxyZWMtbnVtYmVyPjMwNDM8L3Jl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PVkmYW1wO05FV1M9TiZhbXA7UEFHRT1mdWxsdGV4dCZhbXA7RD1tZWQ2JmFtcDtBTj0xOTgyNjM1
NTwvc3R5bGU+PHN0eWxlIGZhY2U9Im5vcm1hbCIgZm9udD0iZGVmYXVsdCIgc2l6ZT0iMTAwJSI+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ZD1wbWlkOjE5ODI2MzU1JmFtcDtpZD1kb2k6MTAuMTA5NyUyRlBQTy4wYjAxM2UzMTgxYjlkMzdi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V1M9TiZhbXA7UEFHRT1mdWxsdGV4dCZhbXA7RD1lbWV4YSZhbXA7QU49MjAwMTI4ODAzNTwvc3R5
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120, 138</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w:t>
            </w:r>
            <w:r w:rsidRPr="002D1DD7">
              <w:rPr>
                <w:rFonts w:asciiTheme="majorBidi" w:eastAsia="Times New Roman" w:hAnsiTheme="majorBidi" w:cstheme="majorBidi"/>
                <w:sz w:val="20"/>
                <w:szCs w:val="20"/>
              </w:rPr>
              <w:t>pancreatic,</w:t>
            </w:r>
            <w:r w:rsidRPr="002D1DD7">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97</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RCC,</w:t>
            </w:r>
            <w:r w:rsidRPr="002D1DD7">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78</w:t>
            </w:r>
            <w:r w:rsidRPr="002D1DD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123</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gastroesophageal,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121</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urothelial,</w:t>
            </w:r>
            <w:r w:rsidRPr="002D1DD7">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78</w:t>
            </w:r>
            <w:r w:rsidRPr="002D1DD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sz w:val="20"/>
                <w:szCs w:val="20"/>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79</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AML,</w:t>
            </w:r>
            <w:r w:rsidRPr="002D1DD7">
              <w:rPr>
                <w:rFonts w:asciiTheme="majorBidi" w:eastAsia="Times New Roman" w:hAnsiTheme="majorBidi" w:cstheme="majorBidi"/>
                <w:sz w:val="20"/>
                <w:szCs w:val="20"/>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80</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glioblastoma,</w:t>
            </w:r>
            <w:r w:rsidRPr="002D1DD7">
              <w:rPr>
                <w:rFonts w:asciiTheme="majorBidi" w:eastAsia="Times New Roman" w:hAnsiTheme="majorBidi" w:cstheme="majorBidi"/>
                <w:sz w:val="20"/>
                <w:szCs w:val="20"/>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98</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hAnsiTheme="majorBidi" w:cstheme="majorBidi"/>
                <w:sz w:val="20"/>
                <w:szCs w:val="20"/>
              </w:rPr>
              <w:t>CUP</w:t>
            </w:r>
            <w:r>
              <w:rPr>
                <w:rFonts w:asciiTheme="majorBidi" w:hAnsiTheme="majorBidi" w:cstheme="majorBidi"/>
                <w:sz w:val="20"/>
                <w:szCs w:val="20"/>
              </w:rPr>
              <w:t>,</w:t>
            </w:r>
            <w:r w:rsidRPr="002D1DD7">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NET</w:t>
            </w:r>
            <w:r w:rsidRPr="002D1DD7">
              <w:rPr>
                <w:rFonts w:asciiTheme="majorBidi" w:eastAsia="Times New Roman" w:hAnsiTheme="majorBidi" w:cstheme="majorBidi"/>
                <w:sz w:val="20"/>
                <w:szCs w:val="20"/>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103</w:t>
            </w:r>
            <w:r w:rsidRPr="002D1DD7">
              <w:rPr>
                <w:rFonts w:asciiTheme="majorBidi" w:eastAsia="Times New Roman" w:hAnsiTheme="majorBidi" w:cstheme="majorBidi"/>
                <w:sz w:val="20"/>
                <w:szCs w:val="20"/>
              </w:rPr>
              <w:fldChar w:fldCharType="end"/>
            </w:r>
          </w:p>
        </w:tc>
        <w:tc>
          <w:tcPr>
            <w:tcW w:w="1138" w:type="dxa"/>
            <w:tcMar>
              <w:left w:w="28" w:type="dxa"/>
              <w:right w:w="28" w:type="dxa"/>
            </w:tcMar>
          </w:tcPr>
          <w:p w14:paraId="7EF90022" w14:textId="6B1AAA99" w:rsidR="00E001C5" w:rsidRPr="00A13248" w:rsidRDefault="00E001C5" w:rsidP="000E66DE">
            <w:pPr>
              <w:contextualSpacing/>
              <w:rPr>
                <w:rFonts w:cs="Times New Roman"/>
                <w:sz w:val="20"/>
                <w:szCs w:val="20"/>
              </w:rPr>
            </w:pPr>
            <w:r w:rsidRPr="002D1DD7">
              <w:rPr>
                <w:rFonts w:asciiTheme="majorBidi" w:hAnsiTheme="majorBidi" w:cstheme="majorBidi"/>
                <w:b/>
                <w:bCs/>
                <w:sz w:val="20"/>
                <w:szCs w:val="20"/>
              </w:rPr>
              <w:t>Pos:</w:t>
            </w:r>
            <w:r w:rsidRPr="002D1DD7">
              <w:rPr>
                <w:rFonts w:asciiTheme="majorBidi" w:hAnsiTheme="majorBidi" w:cstheme="majorBidi"/>
                <w:sz w:val="20"/>
                <w:szCs w:val="20"/>
              </w:rPr>
              <w:t xml:space="preserve"> </w:t>
            </w: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dD48RGlzcGxheVRleHQ+PHN0eWxlIGZhY2U9InN1cGVyc2NyaXB0Ij4xMDUsIDEwOSwgMTEwLCAx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UEFHRT1mdWxsdGV4dCZhbXA7RD1lbWV4YiZhbXA7QU49NjIyMzI1NzUzPC9zdHlsZT48L3Jlc2Vh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PUpTJmFtcDtDU0M9WSZhbXA7TkVXUz1OJmFtcDtQQUdFPWZ1bGx0ZXh0JmFtcDtEPW1lZDgmYW1w
O0FOPTIyNzYzNjQ2PC9zdHlsZT48c3R5bGUgZmFjZT0ibm9ybWFsIiBmb250PSJkZWZhdWx0IiBz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ZGxpbmUmYW1wO2lkPXBtaWQ6MjI3NjM2NDYmYW1wO2lkPWRvaToxMC4xMDA3JTJGczAwNDMyLTAx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dWxsdGV4dCZhbXA7RD1tZWQxMiZhbXA7QU49Mjc0OTY2NTA8L3N0eWxlPjxzdHlsZSBmYWNlPSJu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cnZpY2VzX3BhZ2U/c2lkPU9WSUQ6bWVkbGluZSZhbXA7aWQ9cG1pZDoyNzQ5NjY1MCZhbXA7aWQ9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PEVuZE5vdGU+PENpdGU+PEF1dGhvcj5SaXRjaGllPC9BdXRob3I+PFllYXI+MjAxODwvWWVhcj48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UEFHRT1mdWxsdGV4dCZhbXA7RD1lbWV4YiZhbXA7QU49NjIyMzI1NzUzPC9zdHlsZT48L3Jlc2Vh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PUpTJmFtcDtDU0M9WSZhbXA7TkVXUz1OJmFtcDtQQUdFPWZ1bGx0ZXh0JmFtcDtEPW1lZDgmYW1w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dWxsdGV4dCZhbXA7RD1tZWQxMiZhbXA7QU49Mjc0OTY2NTA8L3N0eWxlPjxzdHlsZSBmYWNlPSJu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cnZpY2VzX3BhZ2U/c2lkPU9WSUQ6bWVkbGluZSZhbXA7aWQ9cG1pZDoyNzQ5NjY1MCZhbXA7aWQ9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105, 109, 110, 125, 128, 131</w:t>
            </w:r>
            <w:r w:rsidRPr="002D1DD7">
              <w:rPr>
                <w:rFonts w:asciiTheme="majorBidi" w:eastAsia="Times New Roman" w:hAnsiTheme="majorBidi" w:cstheme="majorBidi"/>
                <w:color w:val="000000"/>
                <w:sz w:val="20"/>
                <w:szCs w:val="20"/>
              </w:rPr>
              <w:fldChar w:fldCharType="end"/>
            </w:r>
            <w:r>
              <w:rPr>
                <w:rFonts w:asciiTheme="majorBidi" w:eastAsia="Times New Roman" w:hAnsiTheme="majorBidi" w:cstheme="majorBidi"/>
                <w:color w:val="000000"/>
                <w:sz w:val="20"/>
                <w:szCs w:val="20"/>
                <w:vertAlign w:val="superscript"/>
              </w:rPr>
              <w:t>,</w:t>
            </w:r>
            <w:r w:rsidRPr="00910AC7">
              <w:rPr>
                <w:rFonts w:asciiTheme="majorBidi" w:eastAsia="Times New Roman" w:hAnsiTheme="majorBidi" w:cstheme="majorBidi"/>
                <w:sz w:val="20"/>
                <w:szCs w:val="20"/>
                <w:vertAlign w:val="superscript"/>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asciiTheme="majorBidi" w:eastAsia="Times New Roman" w:hAnsiTheme="majorBidi" w:cstheme="majorBidi"/>
                <w:sz w:val="20"/>
                <w:szCs w:val="20"/>
                <w:vertAlign w:val="superscript"/>
              </w:rPr>
              <w:instrText xml:space="preserve"> ADDIN EN.CITE </w:instrText>
            </w:r>
            <w:r w:rsidR="000E66DE">
              <w:rPr>
                <w:rFonts w:asciiTheme="majorBidi" w:eastAsia="Times New Roman" w:hAnsiTheme="majorBidi" w:cstheme="majorBidi"/>
                <w:sz w:val="20"/>
                <w:szCs w:val="20"/>
                <w:vertAlign w:val="superscript"/>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asciiTheme="majorBidi" w:eastAsia="Times New Roman" w:hAnsiTheme="majorBidi" w:cstheme="majorBidi"/>
                <w:sz w:val="20"/>
                <w:szCs w:val="20"/>
                <w:vertAlign w:val="superscript"/>
              </w:rPr>
              <w:instrText xml:space="preserve"> ADDIN EN.CITE.DATA </w:instrText>
            </w:r>
            <w:r w:rsidR="000E66DE">
              <w:rPr>
                <w:rFonts w:asciiTheme="majorBidi" w:eastAsia="Times New Roman" w:hAnsiTheme="majorBidi" w:cstheme="majorBidi"/>
                <w:sz w:val="20"/>
                <w:szCs w:val="20"/>
                <w:vertAlign w:val="superscript"/>
              </w:rPr>
            </w:r>
            <w:r w:rsidR="000E66DE">
              <w:rPr>
                <w:rFonts w:asciiTheme="majorBidi" w:eastAsia="Times New Roman" w:hAnsiTheme="majorBidi" w:cstheme="majorBidi"/>
                <w:sz w:val="20"/>
                <w:szCs w:val="20"/>
                <w:vertAlign w:val="superscript"/>
              </w:rPr>
              <w:fldChar w:fldCharType="end"/>
            </w:r>
            <w:r w:rsidRPr="00910AC7">
              <w:rPr>
                <w:rFonts w:asciiTheme="majorBidi" w:eastAsia="Times New Roman" w:hAnsiTheme="majorBidi" w:cstheme="majorBidi"/>
                <w:sz w:val="20"/>
                <w:szCs w:val="20"/>
                <w:vertAlign w:val="superscript"/>
              </w:rPr>
            </w:r>
            <w:r w:rsidRPr="00910AC7">
              <w:rPr>
                <w:rFonts w:asciiTheme="majorBidi" w:eastAsia="Times New Roman" w:hAnsiTheme="majorBidi" w:cstheme="majorBidi"/>
                <w:sz w:val="20"/>
                <w:szCs w:val="20"/>
                <w:vertAlign w:val="superscript"/>
              </w:rPr>
              <w:fldChar w:fldCharType="separate"/>
            </w:r>
            <w:r w:rsidR="003117A9">
              <w:rPr>
                <w:rFonts w:asciiTheme="majorBidi" w:eastAsia="Times New Roman" w:hAnsiTheme="majorBidi" w:cstheme="majorBidi"/>
                <w:noProof/>
                <w:sz w:val="20"/>
                <w:szCs w:val="20"/>
                <w:vertAlign w:val="superscript"/>
              </w:rPr>
              <w:t>138</w:t>
            </w:r>
            <w:r w:rsidRPr="00910AC7">
              <w:rPr>
                <w:rFonts w:asciiTheme="majorBidi" w:eastAsia="Times New Roman" w:hAnsiTheme="majorBidi" w:cstheme="majorBidi"/>
                <w:sz w:val="20"/>
                <w:szCs w:val="20"/>
                <w:vertAlign w:val="superscript"/>
              </w:rPr>
              <w:fldChar w:fldCharType="end"/>
            </w:r>
            <w:r w:rsidRPr="002D1DD7">
              <w:rPr>
                <w:rFonts w:asciiTheme="majorBidi" w:eastAsia="Times New Roman" w:hAnsiTheme="majorBidi" w:cstheme="majorBidi"/>
                <w:sz w:val="20"/>
                <w:szCs w:val="20"/>
              </w:rPr>
              <w:t xml:space="preserve"> CRC,</w:t>
            </w:r>
            <w:r w:rsidRPr="002D1DD7">
              <w:rPr>
                <w:rFonts w:asciiTheme="majorBidi" w:eastAsia="Times New Roman" w:hAnsiTheme="majorBidi" w:cstheme="majorBidi"/>
                <w:sz w:val="20"/>
                <w:szCs w:val="20"/>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ZXJzY3JpcHQiPjk1LCAxMTIsIDEzNTwvc3R5bGU+PC9EaXNwbGF5VGV4dD48cmVjb3JkPjxyZWMt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bXA7TkVXUz1OJmFtcDtQQUdFPWZ1bGx0ZXh0JmFtcDtEPW1lZDExJmFtcDtBTj0yNTAxNzM3OSYj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dGV4dCZhbXA7RD1tZWQ1JmFtcDtBTj0xNzg3NjAxMDwvc3R5bGU+PHN0eWxlIGZhY2U9Im5vcm1h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ZXNfcGFnZT9zaWQ9T1ZJRDptZWRsaW5lJmFtcDtpZD1wbWlkOjE3ODc2MDEwJmFtcDtpZD1kb2k6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bXA7TkVXUz1OJmFtcDtQQUdFPWZ1bGx0ZXh0JmFtcDtEPW1lZDQmYW1wO0FOPTExMzkxNTgyPC9z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aWQ6MTEzOTE1ODImYW1wO2lkPWRvaTomYW1wO2lzc249MDAwOC01NDNYJmFtcDtpc2JuPSZhbXA7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ZXJzY3JpcHQiPjk1LCAxMTIsIDEzNTwvc3R5bGU+PC9EaXNwbGF5VGV4dD48cmVjb3JkPjxyZWMt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dGV4dCZhbXA7RD1tZWQ1JmFtcDtBTj0xNzg3NjAxMDwvc3R5bGU+PHN0eWxlIGZhY2U9Im5vcm1h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ZXNfcGFnZT9zaWQ9T1ZJRDptZWRsaW5lJmFtcDtpZD1wbWlkOjE3ODc2MDEwJmFtcDtpZD1kb2k6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bXA7TkVXUz1OJmFtcDtQQUdFPWZ1bGx0ZXh0JmFtcDtEPW1lZDQmYW1wO0FOPTExMzkxNTgyPC9z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aWQ6MTEzOTE1ODImYW1wO2lkPWRvaTomYW1wO2lzc249MDAwOC01NDNYJmFtcDtpc2JuPSZhbXA7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95, 112, 135</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color w:val="000000"/>
                <w:sz w:val="20"/>
                <w:szCs w:val="20"/>
              </w:rPr>
              <w:t xml:space="preserve"> ovarian,</w:t>
            </w:r>
            <w:r w:rsidRPr="002D1DD7">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dXBlcnNjcmlwdCI+MTI2LCAxMzI8L3N0eWxlPjwvRGlzcGxheVRleHQ+PHJlY29yZD48cmVjLW51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O0NTQz1ZJmFtcDtORVdTPU4mYW1wO1BBR0U9ZnVsbHRleHQmYW1wO0Q9bWVkMTMmYW1wO0FOPTI4
Mzk1ODk2PC9zdHlsZT48c3R5bGUgZmFjZT0ibm9ybWFsIiBmb250PSJkZWZhdWx0IiBzaXplPSIx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YW1wO2lkPXBtaWQ6MjgzOTU4OTYmYW1wO2lkPWRvaToxMC4xMDE2JTJGai55Z3luby4yMDE3LjAz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dXBlcnNjcmlwdCI+MTI2LCAxMzI8L3N0eWxlPjwvRGlzcGxheVRleHQ+PHJlY29yZD48cmVjLW51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O0NTQz1ZJmFtcDtORVdTPU4mYW1wO1BBR0U9ZnVsbHRleHQmYW1wO0Q9bWVkMTMmYW1wO0FOPTI4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126, 132</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breast,</w:t>
            </w:r>
            <w:r w:rsidRPr="002D1DD7">
              <w:rPr>
                <w:rFonts w:asciiTheme="majorBidi" w:eastAsia="Times New Roman" w:hAnsiTheme="majorBidi" w:cstheme="majorBidi"/>
                <w:color w:val="000000"/>
                <w:sz w:val="20"/>
                <w:szCs w:val="20"/>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ZSBmYWNlPSJzdXBlcnNjcmlwdCI+MTExLCAxMjQ8L3N0eWxlPjwvRGlzcGxheVRleHQ+PHJlY29y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PUpTJmFtcDtDU0M9WSZhbXA7TkVXUz1OJmFtcDtQQUdFPWZ1bGx0ZXh0JmFtcDtEPW1lZDEyJmFt
cDtBTj0yNjg3NDk3NDwvc3R5bGU+PHN0eWxlIGZhY2U9Im5vcm1hbCIgZm9udD0iZGVmYXVsdCIg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ZWRsaW5lJmFtcDtpZD1wbWlkOjI2ODc0OTc0JmFtcDtpZD1kb2k6MTAuMTAxNiUyRmouYnVsY2Fu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RD1tZWQxMCZhbXA7QU49MjQyNzEzMTM8L3N0eWxlPjxzdHlsZSBmYWNlPSJub3JtYWwiIGZvbnQ9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c2lkPU9WSUQ6bWVkbGluZSZhbXA7aWQ9cG1pZDoyNDI3MTMxMyZhbXA7aWQ9ZG9pOjEwLjEwMDcl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ZSBmYWNlPSJzdXBlcnNjcmlwdCI+MTExLCAxMjQ8L3N0eWxlPjwvRGlzcGxheVRleHQ+PHJlY29y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PUpTJmFtcDtDU0M9WSZhbXA7TkVXUz1OJmFtcDtQQUdFPWZ1bGx0ZXh0JmFtcDtEPW1lZDEyJmFt
cDtBTj0yNjg3NDk3NDwvc3R5bGU+PHN0eWxlIGZhY2U9Im5vcm1hbCIgZm9udD0iZGVmYXVsdCIg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ZWRsaW5lJmFtcDtpZD1wbWlkOjI2ODc0OTc0JmFtcDtpZD1kb2k6MTAuMTAxNiUyRmouYnVsY2Fu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111, 124</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gastric,</w:t>
            </w:r>
            <w:r w:rsidRPr="002D1DD7">
              <w:rPr>
                <w:rFonts w:asciiTheme="majorBidi" w:eastAsia="Times New Roman" w:hAnsiTheme="majorBidi" w:cstheme="majorBidi"/>
                <w:color w:val="000000"/>
                <w:sz w:val="20"/>
                <w:szCs w:val="20"/>
              </w:rPr>
              <w:fldChar w:fldCharType="begin">
                <w:fldData xml:space="preserve">PEVuZE5vdGU+PENpdGU+PEF1dGhvcj5TaGl0YXJhPC9BdXRob3I+PFllYXI+MjAxNDwvWWVhcj48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UEFHRT1mdWxsdGV4dCZhbXA7RD1tZWQxMCZhbXA7QU49MjM3MzY3NDI8L3N0eWxlPjxzdHlsZSBm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U0ZEX3NlcnZpY2VzX3BhZ2U/c2lkPU9WSUQ6bWVkbGluZSZhbXA7aWQ9cG1pZDoyMzczNjc0MiZh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ZnVsbHRleHQmYW1wO0Q9bWVkNSZhbXA7QU49MTY4NzM0MzUmI3hEO2h0dHA6Ly9yZXNvbHZlci5z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PEVuZE5vdGU+PENpdGU+PEF1dGhvcj5TaGl0YXJhPC9BdXRob3I+PFllYXI+MjAxNDwvWWVhcj48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U0ZEX3NlcnZpY2VzX3BhZ2U/c2lkPU9WSUQ6bWVkbGluZSZhbXA7aWQ9cG1pZDoyMzczNjc0MiZh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102, 130</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various,</w:t>
            </w:r>
            <w:r w:rsidRPr="00910AC7">
              <w:rPr>
                <w:rFonts w:asciiTheme="majorBidi" w:eastAsia="Times New Roman" w:hAnsiTheme="majorBidi" w:cstheme="majorBidi"/>
                <w:sz w:val="20"/>
                <w:szCs w:val="20"/>
              </w:rPr>
              <w:fldChar w:fldCharType="begin"/>
            </w:r>
            <w:r w:rsidR="000E66DE">
              <w:rPr>
                <w:rFonts w:asciiTheme="majorBidi" w:eastAsia="Times New Roman" w:hAnsiTheme="majorBidi" w:cstheme="majorBidi"/>
                <w:sz w:val="20"/>
                <w:szCs w:val="20"/>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910AC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125</w:t>
            </w:r>
            <w:r w:rsidRPr="00910AC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color w:val="000000"/>
                <w:sz w:val="20"/>
                <w:szCs w:val="20"/>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MjAsIDEzODwvc3R5bGU+PC9EaXNwbGF5VGV4dD48cmVjb3JkPjxyZWMtbnVtYmVyPjMwNDM8L3Jl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PVkmYW1wO05FV1M9TiZhbXA7UEFHRT1mdWxsdGV4dCZhbXA7RD1tZWQ2JmFtcDtBTj0xOTgyNjM1
NTwvc3R5bGU+PHN0eWxlIGZhY2U9Im5vcm1hbCIgZm9udD0iZGVmYXVsdCIgc2l6ZT0iMTAwJSI+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ZD1wbWlkOjE5ODI2MzU1JmFtcDtpZD1kb2k6MTAuMTA5NyUyRlBQTy4wYjAxM2UzMTgxYjlkMzdi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V1M9TiZhbXA7UEFHRT1mdWxsdGV4dCZhbXA7RD1lbWV4YSZhbXA7QU49MjAwMTI4ODAzNTwvc3R5
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MjAsIDEzODwvc3R5bGU+PC9EaXNwbGF5VGV4dD48cmVjb3JkPjxyZWMtbnVtYmVyPjMwNDM8L3Jl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PVkmYW1wO05FV1M9TiZhbXA7UEFHRT1mdWxsdGV4dCZhbXA7RD1tZWQ2JmFtcDtBTj0xOTgyNjM1
NTwvc3R5bGU+PHN0eWxlIGZhY2U9Im5vcm1hbCIgZm9udD0iZGVmYXVsdCIgc2l6ZT0iMTAwJSI+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ZD1wbWlkOjE5ODI2MzU1JmFtcDtpZD1kb2k6MTAuMTA5NyUyRlBQTy4wYjAxM2UzMTgxYjlkMzdi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V1M9TiZhbXA7UEFHRT1mdWxsdGV4dCZhbXA7RD1lbWV4YSZhbXA7QU49MjAwMTI4ODAzNTwvc3R5
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120, 138</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w:t>
            </w:r>
            <w:r w:rsidRPr="002D1DD7">
              <w:rPr>
                <w:rFonts w:asciiTheme="majorBidi" w:eastAsia="Times New Roman" w:hAnsiTheme="majorBidi" w:cstheme="majorBidi"/>
                <w:sz w:val="20"/>
                <w:szCs w:val="20"/>
              </w:rPr>
              <w:t>pancreatic,</w:t>
            </w:r>
            <w:r w:rsidRPr="002D1DD7">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97</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RCC,</w:t>
            </w:r>
            <w:r w:rsidRPr="002D1DD7">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78</w:t>
            </w:r>
            <w:r w:rsidRPr="002D1DD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123</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gastroesophageal,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121</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urothelial,</w:t>
            </w:r>
            <w:r w:rsidRPr="002D1DD7">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78</w:t>
            </w:r>
            <w:r w:rsidRPr="002D1DD7">
              <w:rPr>
                <w:rFonts w:asciiTheme="majorBidi" w:eastAsia="Times New Roman" w:hAnsiTheme="majorBidi" w:cstheme="majorBidi"/>
                <w:sz w:val="20"/>
                <w:szCs w:val="20"/>
              </w:rPr>
              <w:fldChar w:fldCharType="end"/>
            </w:r>
            <w:r>
              <w:rPr>
                <w:rFonts w:asciiTheme="majorBidi" w:eastAsia="Times New Roman" w:hAnsiTheme="majorBidi" w:cstheme="majorBidi"/>
                <w:sz w:val="20"/>
                <w:szCs w:val="20"/>
                <w:vertAlign w:val="superscript"/>
              </w:rPr>
              <w:t>,</w:t>
            </w:r>
            <w:r w:rsidRPr="002D1DD7">
              <w:rPr>
                <w:rFonts w:asciiTheme="majorBidi" w:eastAsia="Times New Roman" w:hAnsiTheme="majorBidi" w:cstheme="majorBidi"/>
                <w:sz w:val="20"/>
                <w:szCs w:val="20"/>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79</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AML,</w:t>
            </w:r>
            <w:r w:rsidRPr="002D1DD7">
              <w:rPr>
                <w:rFonts w:asciiTheme="majorBidi" w:eastAsia="Times New Roman" w:hAnsiTheme="majorBidi" w:cstheme="majorBidi"/>
                <w:sz w:val="20"/>
                <w:szCs w:val="20"/>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80</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glioblastoma,</w:t>
            </w:r>
            <w:r w:rsidRPr="002D1DD7">
              <w:rPr>
                <w:rFonts w:asciiTheme="majorBidi" w:eastAsia="Times New Roman" w:hAnsiTheme="majorBidi" w:cstheme="majorBidi"/>
                <w:sz w:val="20"/>
                <w:szCs w:val="20"/>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asciiTheme="majorBidi" w:eastAsia="Times New Roman" w:hAnsiTheme="majorBidi" w:cstheme="majorBidi"/>
                <w:sz w:val="20"/>
                <w:szCs w:val="20"/>
              </w:rPr>
              <w:instrText xml:space="preserve"> ADDIN EN.CITE </w:instrText>
            </w:r>
            <w:r w:rsidR="003117A9">
              <w:rPr>
                <w:rFonts w:asciiTheme="majorBidi" w:eastAsia="Times New Roman" w:hAnsiTheme="majorBidi" w:cstheme="majorBidi"/>
                <w:sz w:val="20"/>
                <w:szCs w:val="20"/>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asciiTheme="majorBidi" w:eastAsia="Times New Roman" w:hAnsiTheme="majorBidi" w:cstheme="majorBidi"/>
                <w:sz w:val="20"/>
                <w:szCs w:val="20"/>
              </w:rPr>
              <w:instrText xml:space="preserve"> ADDIN EN.CITE.DATA </w:instrText>
            </w:r>
            <w:r w:rsidR="003117A9">
              <w:rPr>
                <w:rFonts w:asciiTheme="majorBidi" w:eastAsia="Times New Roman" w:hAnsiTheme="majorBidi" w:cstheme="majorBidi"/>
                <w:sz w:val="20"/>
                <w:szCs w:val="20"/>
              </w:rPr>
            </w:r>
            <w:r w:rsidR="003117A9">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98</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hAnsiTheme="majorBidi" w:cstheme="majorBidi"/>
                <w:sz w:val="20"/>
                <w:szCs w:val="20"/>
              </w:rPr>
              <w:t>CUP</w:t>
            </w:r>
            <w:r>
              <w:rPr>
                <w:rFonts w:asciiTheme="majorBidi" w:hAnsiTheme="majorBidi" w:cstheme="majorBidi"/>
                <w:sz w:val="20"/>
                <w:szCs w:val="20"/>
              </w:rPr>
              <w:t>,</w:t>
            </w:r>
            <w:r w:rsidRPr="002D1DD7">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122</w:t>
            </w:r>
            <w:r w:rsidRPr="002D1DD7">
              <w:rPr>
                <w:rFonts w:asciiTheme="majorBidi" w:eastAsia="Times New Roman" w:hAnsiTheme="majorBidi" w:cstheme="majorBidi"/>
                <w:color w:val="000000"/>
                <w:sz w:val="20"/>
                <w:szCs w:val="20"/>
              </w:rPr>
              <w:fldChar w:fldCharType="end"/>
            </w:r>
            <w:r w:rsidRPr="002D1DD7">
              <w:rPr>
                <w:rFonts w:asciiTheme="majorBidi" w:hAnsiTheme="majorBidi" w:cstheme="majorBidi"/>
                <w:sz w:val="20"/>
                <w:szCs w:val="20"/>
              </w:rPr>
              <w:t xml:space="preserve"> NET</w:t>
            </w:r>
            <w:r w:rsidRPr="002D1DD7">
              <w:rPr>
                <w:rFonts w:asciiTheme="majorBidi" w:eastAsia="Times New Roman" w:hAnsiTheme="majorBidi" w:cstheme="majorBidi"/>
                <w:sz w:val="20"/>
                <w:szCs w:val="20"/>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103</w:t>
            </w:r>
            <w:r w:rsidRPr="002D1DD7">
              <w:rPr>
                <w:rFonts w:asciiTheme="majorBidi" w:eastAsia="Times New Roman" w:hAnsiTheme="majorBidi" w:cstheme="majorBidi"/>
                <w:sz w:val="20"/>
                <w:szCs w:val="20"/>
              </w:rPr>
              <w:fldChar w:fldCharType="end"/>
            </w:r>
          </w:p>
        </w:tc>
      </w:tr>
      <w:tr w:rsidR="00E001C5" w:rsidRPr="00A13248" w14:paraId="772FA64E" w14:textId="77777777" w:rsidTr="00716DF9">
        <w:tc>
          <w:tcPr>
            <w:tcW w:w="1711" w:type="dxa"/>
            <w:tcMar>
              <w:left w:w="28" w:type="dxa"/>
              <w:right w:w="28" w:type="dxa"/>
            </w:tcMar>
          </w:tcPr>
          <w:p w14:paraId="281BE205" w14:textId="77777777" w:rsidR="00E001C5" w:rsidRPr="00A13248" w:rsidRDefault="00E001C5" w:rsidP="00E001C5">
            <w:pPr>
              <w:contextualSpacing/>
              <w:rPr>
                <w:rFonts w:cs="Times New Roman"/>
                <w:b/>
                <w:bCs/>
                <w:sz w:val="20"/>
                <w:szCs w:val="20"/>
              </w:rPr>
            </w:pPr>
            <w:r w:rsidRPr="00A13248">
              <w:rPr>
                <w:rFonts w:cs="Times New Roman"/>
                <w:b/>
                <w:bCs/>
                <w:sz w:val="20"/>
                <w:szCs w:val="20"/>
              </w:rPr>
              <w:t>CR to PFS</w:t>
            </w:r>
          </w:p>
        </w:tc>
        <w:tc>
          <w:tcPr>
            <w:tcW w:w="985" w:type="dxa"/>
            <w:tcMar>
              <w:left w:w="28" w:type="dxa"/>
              <w:right w:w="28" w:type="dxa"/>
            </w:tcMar>
          </w:tcPr>
          <w:p w14:paraId="50BAA318" w14:textId="4CFED8FB" w:rsidR="00E001C5" w:rsidRPr="00A13248" w:rsidRDefault="00E001C5" w:rsidP="00E001C5">
            <w:pPr>
              <w:contextualSpacing/>
              <w:rPr>
                <w:rFonts w:cs="Times New Roman"/>
                <w:sz w:val="20"/>
                <w:szCs w:val="20"/>
              </w:rPr>
            </w:pPr>
            <w:r w:rsidRPr="00A13248">
              <w:rPr>
                <w:rFonts w:cs="Times New Roman"/>
                <w:sz w:val="20"/>
                <w:szCs w:val="20"/>
              </w:rPr>
              <w:t>2</w:t>
            </w:r>
          </w:p>
        </w:tc>
        <w:tc>
          <w:tcPr>
            <w:tcW w:w="3412" w:type="dxa"/>
          </w:tcPr>
          <w:p w14:paraId="230FC249" w14:textId="5A4ACDF2"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NHL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141</w:t>
            </w:r>
            <w:r w:rsidRPr="002D1DD7">
              <w:rPr>
                <w:rFonts w:asciiTheme="majorBidi" w:eastAsia="Times New Roman" w:hAnsiTheme="majorBidi" w:cstheme="majorBidi"/>
                <w:color w:val="000000"/>
                <w:sz w:val="20"/>
                <w:szCs w:val="20"/>
              </w:rPr>
              <w:fldChar w:fldCharType="end"/>
            </w:r>
          </w:p>
        </w:tc>
        <w:tc>
          <w:tcPr>
            <w:tcW w:w="1821" w:type="dxa"/>
            <w:tcMar>
              <w:left w:w="28" w:type="dxa"/>
              <w:right w:w="28" w:type="dxa"/>
            </w:tcMar>
          </w:tcPr>
          <w:p w14:paraId="2E9D39F2" w14:textId="213E14DD"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NHL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141</w:t>
            </w:r>
            <w:r w:rsidRPr="002D1DD7">
              <w:rPr>
                <w:rFonts w:asciiTheme="majorBidi" w:eastAsia="Times New Roman" w:hAnsiTheme="majorBidi" w:cstheme="majorBidi"/>
                <w:color w:val="000000"/>
                <w:sz w:val="20"/>
                <w:szCs w:val="20"/>
              </w:rPr>
              <w:fldChar w:fldCharType="end"/>
            </w:r>
          </w:p>
        </w:tc>
        <w:tc>
          <w:tcPr>
            <w:tcW w:w="1138" w:type="dxa"/>
            <w:tcMar>
              <w:left w:w="28" w:type="dxa"/>
              <w:right w:w="28" w:type="dxa"/>
            </w:tcMar>
          </w:tcPr>
          <w:p w14:paraId="60C4C111" w14:textId="2C23BE30" w:rsidR="00E001C5" w:rsidRPr="00A13248" w:rsidRDefault="00E001C5" w:rsidP="000E66DE">
            <w:pPr>
              <w:contextualSpacing/>
              <w:rPr>
                <w:rFonts w:eastAsia="Times New Roman" w:cs="Times New Roman"/>
                <w:color w:val="000000"/>
                <w:sz w:val="20"/>
                <w:szCs w:val="20"/>
                <w:lang w:eastAsia="en-GB"/>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NHL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141</w:t>
            </w:r>
            <w:r w:rsidRPr="002D1DD7">
              <w:rPr>
                <w:rFonts w:asciiTheme="majorBidi" w:eastAsia="Times New Roman" w:hAnsiTheme="majorBidi" w:cstheme="majorBidi"/>
                <w:color w:val="000000"/>
                <w:sz w:val="20"/>
                <w:szCs w:val="20"/>
              </w:rPr>
              <w:fldChar w:fldCharType="end"/>
            </w:r>
          </w:p>
        </w:tc>
      </w:tr>
      <w:tr w:rsidR="00E001C5" w:rsidRPr="00A13248" w14:paraId="2818C409" w14:textId="77777777" w:rsidTr="00716DF9">
        <w:tc>
          <w:tcPr>
            <w:tcW w:w="1711" w:type="dxa"/>
            <w:tcMar>
              <w:left w:w="28" w:type="dxa"/>
              <w:right w:w="28" w:type="dxa"/>
            </w:tcMar>
          </w:tcPr>
          <w:p w14:paraId="7A0BE536" w14:textId="77777777" w:rsidR="00E001C5" w:rsidRPr="00A13248" w:rsidRDefault="00E001C5" w:rsidP="00E001C5">
            <w:pPr>
              <w:contextualSpacing/>
              <w:rPr>
                <w:rFonts w:cs="Times New Roman"/>
                <w:b/>
                <w:bCs/>
                <w:sz w:val="20"/>
                <w:szCs w:val="20"/>
              </w:rPr>
            </w:pPr>
            <w:r w:rsidRPr="00A13248">
              <w:rPr>
                <w:rFonts w:cs="Times New Roman"/>
                <w:b/>
                <w:bCs/>
                <w:sz w:val="20"/>
                <w:szCs w:val="20"/>
              </w:rPr>
              <w:t>CR to OS</w:t>
            </w:r>
          </w:p>
        </w:tc>
        <w:tc>
          <w:tcPr>
            <w:tcW w:w="985" w:type="dxa"/>
            <w:tcMar>
              <w:left w:w="28" w:type="dxa"/>
              <w:right w:w="28" w:type="dxa"/>
            </w:tcMar>
          </w:tcPr>
          <w:p w14:paraId="35653198" w14:textId="172AAB42" w:rsidR="00E001C5" w:rsidRPr="00A13248" w:rsidRDefault="00E001C5" w:rsidP="00E001C5">
            <w:pPr>
              <w:contextualSpacing/>
              <w:rPr>
                <w:rFonts w:cs="Times New Roman"/>
                <w:sz w:val="20"/>
                <w:szCs w:val="20"/>
              </w:rPr>
            </w:pPr>
            <w:r w:rsidRPr="00A13248">
              <w:rPr>
                <w:rFonts w:cs="Times New Roman"/>
                <w:sz w:val="20"/>
                <w:szCs w:val="20"/>
              </w:rPr>
              <w:t>3</w:t>
            </w:r>
          </w:p>
        </w:tc>
        <w:tc>
          <w:tcPr>
            <w:tcW w:w="3412" w:type="dxa"/>
          </w:tcPr>
          <w:p w14:paraId="062C5A21" w14:textId="7E060339"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gastroesophageal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121</w:t>
            </w:r>
            <w:r w:rsidRPr="002D1DD7">
              <w:rPr>
                <w:rFonts w:asciiTheme="majorBidi" w:eastAsia="Times New Roman" w:hAnsiTheme="majorBidi" w:cstheme="majorBidi"/>
                <w:color w:val="000000"/>
                <w:sz w:val="20"/>
                <w:szCs w:val="20"/>
              </w:rPr>
              <w:fldChar w:fldCharType="end"/>
            </w:r>
          </w:p>
        </w:tc>
        <w:tc>
          <w:tcPr>
            <w:tcW w:w="1821" w:type="dxa"/>
            <w:tcMar>
              <w:left w:w="28" w:type="dxa"/>
              <w:right w:w="28" w:type="dxa"/>
            </w:tcMar>
          </w:tcPr>
          <w:p w14:paraId="6E8A6985" w14:textId="2ECEA0A0"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gastroesophageal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121</w:t>
            </w:r>
            <w:r w:rsidRPr="002D1DD7">
              <w:rPr>
                <w:rFonts w:asciiTheme="majorBidi" w:eastAsia="Times New Roman" w:hAnsiTheme="majorBidi" w:cstheme="majorBidi"/>
                <w:color w:val="000000"/>
                <w:sz w:val="20"/>
                <w:szCs w:val="20"/>
              </w:rPr>
              <w:fldChar w:fldCharType="end"/>
            </w:r>
          </w:p>
        </w:tc>
        <w:tc>
          <w:tcPr>
            <w:tcW w:w="1138" w:type="dxa"/>
            <w:tcMar>
              <w:left w:w="28" w:type="dxa"/>
              <w:right w:w="28" w:type="dxa"/>
            </w:tcMar>
          </w:tcPr>
          <w:p w14:paraId="4EFF02BC" w14:textId="5819BB07" w:rsidR="00E001C5" w:rsidRPr="00A13248" w:rsidRDefault="00E001C5" w:rsidP="000E66DE">
            <w:pPr>
              <w:contextualSpacing/>
              <w:rPr>
                <w:rFonts w:eastAsia="Times New Roman" w:cs="Times New Roman"/>
                <w:color w:val="000000"/>
                <w:sz w:val="20"/>
                <w:szCs w:val="20"/>
                <w:lang w:eastAsia="en-GB"/>
              </w:rPr>
            </w:pP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gastroesophageal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121</w:t>
            </w:r>
            <w:r w:rsidRPr="002D1DD7">
              <w:rPr>
                <w:rFonts w:asciiTheme="majorBidi" w:eastAsia="Times New Roman" w:hAnsiTheme="majorBidi" w:cstheme="majorBidi"/>
                <w:color w:val="000000"/>
                <w:sz w:val="20"/>
                <w:szCs w:val="20"/>
              </w:rPr>
              <w:fldChar w:fldCharType="end"/>
            </w:r>
          </w:p>
        </w:tc>
      </w:tr>
      <w:tr w:rsidR="00E001C5" w:rsidRPr="00A13248" w14:paraId="68C043B1" w14:textId="77777777" w:rsidTr="00716DF9">
        <w:tc>
          <w:tcPr>
            <w:tcW w:w="1711" w:type="dxa"/>
            <w:tcMar>
              <w:left w:w="28" w:type="dxa"/>
              <w:right w:w="28" w:type="dxa"/>
            </w:tcMar>
          </w:tcPr>
          <w:p w14:paraId="592549A9" w14:textId="77777777" w:rsidR="00E001C5" w:rsidRPr="00A13248" w:rsidRDefault="00E001C5" w:rsidP="00E001C5">
            <w:pPr>
              <w:contextualSpacing/>
              <w:rPr>
                <w:rFonts w:cs="Times New Roman"/>
                <w:b/>
                <w:bCs/>
                <w:sz w:val="20"/>
                <w:szCs w:val="20"/>
              </w:rPr>
            </w:pPr>
            <w:r w:rsidRPr="00A13248">
              <w:rPr>
                <w:rFonts w:cs="Times New Roman"/>
                <w:b/>
                <w:bCs/>
                <w:sz w:val="20"/>
                <w:szCs w:val="20"/>
              </w:rPr>
              <w:t>PR to PFS</w:t>
            </w:r>
          </w:p>
        </w:tc>
        <w:tc>
          <w:tcPr>
            <w:tcW w:w="985" w:type="dxa"/>
            <w:tcMar>
              <w:left w:w="28" w:type="dxa"/>
              <w:right w:w="28" w:type="dxa"/>
            </w:tcMar>
          </w:tcPr>
          <w:p w14:paraId="0687C1AC" w14:textId="4A0F65BA" w:rsidR="00E001C5" w:rsidRPr="00A13248" w:rsidRDefault="00E001C5" w:rsidP="00E001C5">
            <w:pPr>
              <w:contextualSpacing/>
              <w:rPr>
                <w:rFonts w:cs="Times New Roman"/>
                <w:sz w:val="20"/>
                <w:szCs w:val="20"/>
              </w:rPr>
            </w:pPr>
            <w:r w:rsidRPr="00A13248">
              <w:rPr>
                <w:rFonts w:cs="Times New Roman"/>
                <w:sz w:val="20"/>
                <w:szCs w:val="20"/>
              </w:rPr>
              <w:t>1</w:t>
            </w:r>
          </w:p>
        </w:tc>
        <w:tc>
          <w:tcPr>
            <w:tcW w:w="3412" w:type="dxa"/>
          </w:tcPr>
          <w:p w14:paraId="211D9ED4" w14:textId="06E5C26D"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p>
        </w:tc>
        <w:tc>
          <w:tcPr>
            <w:tcW w:w="1821" w:type="dxa"/>
            <w:tcMar>
              <w:left w:w="28" w:type="dxa"/>
              <w:right w:w="28" w:type="dxa"/>
            </w:tcMar>
          </w:tcPr>
          <w:p w14:paraId="0862FF77" w14:textId="723B51BF"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p>
        </w:tc>
        <w:tc>
          <w:tcPr>
            <w:tcW w:w="1138" w:type="dxa"/>
            <w:tcMar>
              <w:left w:w="28" w:type="dxa"/>
              <w:right w:w="28" w:type="dxa"/>
            </w:tcMar>
          </w:tcPr>
          <w:p w14:paraId="58EF208A" w14:textId="4BA91339"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p>
        </w:tc>
      </w:tr>
      <w:tr w:rsidR="00E001C5" w:rsidRPr="00A13248" w14:paraId="1B6BF8B7" w14:textId="77777777" w:rsidTr="00716DF9">
        <w:tc>
          <w:tcPr>
            <w:tcW w:w="1711" w:type="dxa"/>
            <w:tcMar>
              <w:left w:w="28" w:type="dxa"/>
              <w:right w:w="28" w:type="dxa"/>
            </w:tcMar>
          </w:tcPr>
          <w:p w14:paraId="32F1DD48" w14:textId="77777777" w:rsidR="00E001C5" w:rsidRPr="00A13248" w:rsidRDefault="00E001C5" w:rsidP="00E001C5">
            <w:pPr>
              <w:contextualSpacing/>
              <w:rPr>
                <w:rFonts w:cs="Times New Roman"/>
                <w:b/>
                <w:bCs/>
                <w:sz w:val="20"/>
                <w:szCs w:val="20"/>
              </w:rPr>
            </w:pPr>
            <w:r w:rsidRPr="00A13248">
              <w:rPr>
                <w:rFonts w:cs="Times New Roman"/>
                <w:b/>
                <w:bCs/>
                <w:sz w:val="20"/>
                <w:szCs w:val="20"/>
              </w:rPr>
              <w:t>PR to OS</w:t>
            </w:r>
          </w:p>
        </w:tc>
        <w:tc>
          <w:tcPr>
            <w:tcW w:w="985" w:type="dxa"/>
            <w:tcMar>
              <w:left w:w="28" w:type="dxa"/>
              <w:right w:w="28" w:type="dxa"/>
            </w:tcMar>
          </w:tcPr>
          <w:p w14:paraId="03C2CFED" w14:textId="7077D4A3" w:rsidR="00E001C5" w:rsidRPr="00A13248" w:rsidRDefault="00E001C5" w:rsidP="00E001C5">
            <w:pPr>
              <w:contextualSpacing/>
              <w:rPr>
                <w:rFonts w:cs="Times New Roman"/>
                <w:sz w:val="20"/>
                <w:szCs w:val="20"/>
              </w:rPr>
            </w:pPr>
            <w:r w:rsidRPr="00A13248">
              <w:rPr>
                <w:rFonts w:cs="Times New Roman"/>
                <w:sz w:val="20"/>
                <w:szCs w:val="20"/>
              </w:rPr>
              <w:t>1</w:t>
            </w:r>
          </w:p>
        </w:tc>
        <w:tc>
          <w:tcPr>
            <w:tcW w:w="3412" w:type="dxa"/>
          </w:tcPr>
          <w:p w14:paraId="63AF767C" w14:textId="1490F808"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p>
        </w:tc>
        <w:tc>
          <w:tcPr>
            <w:tcW w:w="1821" w:type="dxa"/>
            <w:tcMar>
              <w:left w:w="28" w:type="dxa"/>
              <w:right w:w="28" w:type="dxa"/>
            </w:tcMar>
          </w:tcPr>
          <w:p w14:paraId="5D616683" w14:textId="089F422F"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p>
        </w:tc>
        <w:tc>
          <w:tcPr>
            <w:tcW w:w="1138" w:type="dxa"/>
            <w:tcMar>
              <w:left w:w="28" w:type="dxa"/>
              <w:right w:w="28" w:type="dxa"/>
            </w:tcMar>
          </w:tcPr>
          <w:p w14:paraId="7CA685E7" w14:textId="42502008" w:rsidR="00E001C5" w:rsidRPr="00A13248" w:rsidRDefault="00E001C5" w:rsidP="000E66DE">
            <w:pPr>
              <w:contextualSpacing/>
              <w:rPr>
                <w:rFonts w:cs="Times New Roman"/>
                <w:sz w:val="20"/>
                <w:szCs w:val="20"/>
              </w:rPr>
            </w:pPr>
            <w:r w:rsidRPr="002D1DD7">
              <w:rPr>
                <w:rFonts w:asciiTheme="majorBidi" w:eastAsia="Times New Roman" w:hAnsiTheme="majorBidi" w:cstheme="majorBidi"/>
                <w:color w:val="000000"/>
                <w:sz w:val="20"/>
                <w:szCs w:val="20"/>
              </w:rPr>
              <w:t>SCLC</w:t>
            </w:r>
            <w:r w:rsidRPr="002D1DD7">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119</w:t>
            </w:r>
            <w:r w:rsidRPr="002D1DD7">
              <w:rPr>
                <w:rFonts w:asciiTheme="majorBidi" w:eastAsia="Times New Roman" w:hAnsiTheme="majorBidi" w:cstheme="majorBidi"/>
                <w:color w:val="000000"/>
                <w:sz w:val="20"/>
                <w:szCs w:val="20"/>
              </w:rPr>
              <w:fldChar w:fldCharType="end"/>
            </w:r>
          </w:p>
        </w:tc>
      </w:tr>
      <w:tr w:rsidR="00716DF9" w:rsidRPr="00A13248" w14:paraId="4D87E8F3" w14:textId="77777777" w:rsidTr="00716DF9">
        <w:tc>
          <w:tcPr>
            <w:tcW w:w="1711" w:type="dxa"/>
            <w:tcMar>
              <w:left w:w="28" w:type="dxa"/>
              <w:right w:w="28" w:type="dxa"/>
            </w:tcMar>
          </w:tcPr>
          <w:p w14:paraId="18313975" w14:textId="77777777" w:rsidR="00716DF9" w:rsidRPr="00A13248" w:rsidRDefault="00716DF9" w:rsidP="00A13248">
            <w:pPr>
              <w:contextualSpacing/>
              <w:rPr>
                <w:rFonts w:cs="Times New Roman"/>
                <w:b/>
                <w:bCs/>
                <w:sz w:val="20"/>
                <w:szCs w:val="20"/>
              </w:rPr>
            </w:pPr>
            <w:r w:rsidRPr="00A13248">
              <w:rPr>
                <w:rFonts w:cs="Times New Roman"/>
                <w:b/>
                <w:bCs/>
                <w:sz w:val="20"/>
                <w:szCs w:val="20"/>
              </w:rPr>
              <w:t>VGPR/CR to PFS</w:t>
            </w:r>
          </w:p>
        </w:tc>
        <w:tc>
          <w:tcPr>
            <w:tcW w:w="985" w:type="dxa"/>
            <w:tcMar>
              <w:left w:w="28" w:type="dxa"/>
              <w:right w:w="28" w:type="dxa"/>
            </w:tcMar>
          </w:tcPr>
          <w:p w14:paraId="33760117" w14:textId="77777777" w:rsidR="00716DF9" w:rsidRPr="00A13248" w:rsidRDefault="00716DF9" w:rsidP="00A13248">
            <w:pPr>
              <w:contextualSpacing/>
              <w:rPr>
                <w:rFonts w:cs="Times New Roman"/>
                <w:sz w:val="20"/>
                <w:szCs w:val="20"/>
              </w:rPr>
            </w:pPr>
            <w:r w:rsidRPr="00A13248">
              <w:rPr>
                <w:rFonts w:cs="Times New Roman"/>
                <w:sz w:val="20"/>
                <w:szCs w:val="20"/>
              </w:rPr>
              <w:t>0</w:t>
            </w:r>
          </w:p>
        </w:tc>
        <w:tc>
          <w:tcPr>
            <w:tcW w:w="3412" w:type="dxa"/>
          </w:tcPr>
          <w:p w14:paraId="5114A30D" w14:textId="77777777" w:rsidR="00716DF9" w:rsidRPr="00A13248" w:rsidRDefault="00716DF9" w:rsidP="00A13248">
            <w:pPr>
              <w:contextualSpacing/>
              <w:rPr>
                <w:rFonts w:cs="Times New Roman"/>
                <w:sz w:val="20"/>
                <w:szCs w:val="20"/>
              </w:rPr>
            </w:pPr>
          </w:p>
        </w:tc>
        <w:tc>
          <w:tcPr>
            <w:tcW w:w="1821" w:type="dxa"/>
            <w:tcMar>
              <w:left w:w="28" w:type="dxa"/>
              <w:right w:w="28" w:type="dxa"/>
            </w:tcMar>
          </w:tcPr>
          <w:p w14:paraId="1FBFFF71" w14:textId="77777777" w:rsidR="00716DF9" w:rsidRPr="00A13248" w:rsidRDefault="00716DF9" w:rsidP="00A13248">
            <w:pPr>
              <w:contextualSpacing/>
              <w:rPr>
                <w:rFonts w:cs="Times New Roman"/>
                <w:sz w:val="20"/>
                <w:szCs w:val="20"/>
                <w:vertAlign w:val="superscript"/>
              </w:rPr>
            </w:pPr>
            <w:r w:rsidRPr="00A13248">
              <w:rPr>
                <w:rFonts w:cs="Times New Roman"/>
                <w:sz w:val="20"/>
                <w:szCs w:val="20"/>
              </w:rPr>
              <w:t>(see footnote)*</w:t>
            </w:r>
          </w:p>
        </w:tc>
        <w:tc>
          <w:tcPr>
            <w:tcW w:w="1138" w:type="dxa"/>
            <w:tcMar>
              <w:left w:w="28" w:type="dxa"/>
              <w:right w:w="28" w:type="dxa"/>
            </w:tcMar>
          </w:tcPr>
          <w:p w14:paraId="23B76419" w14:textId="07B9A272" w:rsidR="00716DF9" w:rsidRPr="00A13248" w:rsidRDefault="00716DF9" w:rsidP="00A13248">
            <w:pPr>
              <w:contextualSpacing/>
              <w:rPr>
                <w:rFonts w:cs="Times New Roman"/>
                <w:sz w:val="20"/>
                <w:szCs w:val="20"/>
              </w:rPr>
            </w:pPr>
            <w:r w:rsidRPr="00A13248">
              <w:rPr>
                <w:rFonts w:cs="Times New Roman"/>
                <w:sz w:val="20"/>
                <w:szCs w:val="20"/>
              </w:rPr>
              <w:t xml:space="preserve">Appendix </w:t>
            </w:r>
            <w:r w:rsidR="000454FD">
              <w:rPr>
                <w:rFonts w:cs="Times New Roman"/>
                <w:sz w:val="20"/>
                <w:szCs w:val="20"/>
              </w:rPr>
              <w:t>5</w:t>
            </w:r>
          </w:p>
        </w:tc>
      </w:tr>
      <w:tr w:rsidR="00716DF9" w:rsidRPr="00A13248" w14:paraId="59E9232E" w14:textId="77777777" w:rsidTr="00716DF9">
        <w:tc>
          <w:tcPr>
            <w:tcW w:w="1711" w:type="dxa"/>
            <w:tcMar>
              <w:left w:w="28" w:type="dxa"/>
              <w:right w:w="28" w:type="dxa"/>
            </w:tcMar>
          </w:tcPr>
          <w:p w14:paraId="72009242" w14:textId="77777777" w:rsidR="00716DF9" w:rsidRPr="00A13248" w:rsidRDefault="00716DF9" w:rsidP="00A13248">
            <w:pPr>
              <w:contextualSpacing/>
              <w:rPr>
                <w:rFonts w:cs="Times New Roman"/>
                <w:b/>
                <w:bCs/>
                <w:sz w:val="20"/>
                <w:szCs w:val="20"/>
              </w:rPr>
            </w:pPr>
            <w:r w:rsidRPr="00A13248">
              <w:rPr>
                <w:rFonts w:cs="Times New Roman"/>
                <w:b/>
                <w:bCs/>
                <w:sz w:val="20"/>
                <w:szCs w:val="20"/>
              </w:rPr>
              <w:t>DoR to PFS</w:t>
            </w:r>
          </w:p>
        </w:tc>
        <w:tc>
          <w:tcPr>
            <w:tcW w:w="985" w:type="dxa"/>
            <w:tcMar>
              <w:left w:w="28" w:type="dxa"/>
              <w:right w:w="28" w:type="dxa"/>
            </w:tcMar>
          </w:tcPr>
          <w:p w14:paraId="1AF7E1F8" w14:textId="77777777" w:rsidR="00716DF9" w:rsidRPr="00A13248" w:rsidRDefault="00716DF9" w:rsidP="00A13248">
            <w:pPr>
              <w:contextualSpacing/>
              <w:rPr>
                <w:rFonts w:cs="Times New Roman"/>
                <w:sz w:val="20"/>
                <w:szCs w:val="20"/>
              </w:rPr>
            </w:pPr>
            <w:r w:rsidRPr="00A13248">
              <w:rPr>
                <w:rFonts w:cs="Times New Roman"/>
                <w:sz w:val="20"/>
                <w:szCs w:val="20"/>
              </w:rPr>
              <w:t>0</w:t>
            </w:r>
          </w:p>
        </w:tc>
        <w:tc>
          <w:tcPr>
            <w:tcW w:w="3412" w:type="dxa"/>
          </w:tcPr>
          <w:p w14:paraId="32A4A177" w14:textId="77777777" w:rsidR="00716DF9" w:rsidRPr="00A13248" w:rsidRDefault="00716DF9" w:rsidP="00A13248">
            <w:pPr>
              <w:contextualSpacing/>
              <w:rPr>
                <w:rFonts w:cs="Times New Roman"/>
                <w:sz w:val="20"/>
                <w:szCs w:val="20"/>
              </w:rPr>
            </w:pPr>
          </w:p>
        </w:tc>
        <w:tc>
          <w:tcPr>
            <w:tcW w:w="1821" w:type="dxa"/>
            <w:tcMar>
              <w:left w:w="28" w:type="dxa"/>
              <w:right w:w="28" w:type="dxa"/>
            </w:tcMar>
          </w:tcPr>
          <w:p w14:paraId="70D318CF" w14:textId="77777777" w:rsidR="00716DF9" w:rsidRPr="00A13248" w:rsidRDefault="00716DF9" w:rsidP="00A13248">
            <w:pPr>
              <w:contextualSpacing/>
              <w:rPr>
                <w:rFonts w:cs="Times New Roman"/>
                <w:sz w:val="20"/>
                <w:szCs w:val="20"/>
              </w:rPr>
            </w:pPr>
            <w:r w:rsidRPr="00A13248">
              <w:rPr>
                <w:rFonts w:cs="Times New Roman"/>
                <w:sz w:val="20"/>
                <w:szCs w:val="20"/>
              </w:rPr>
              <w:t>-</w:t>
            </w:r>
          </w:p>
        </w:tc>
        <w:tc>
          <w:tcPr>
            <w:tcW w:w="1138" w:type="dxa"/>
            <w:tcMar>
              <w:left w:w="28" w:type="dxa"/>
              <w:right w:w="28" w:type="dxa"/>
            </w:tcMar>
          </w:tcPr>
          <w:p w14:paraId="6D6BC172" w14:textId="77777777" w:rsidR="00716DF9" w:rsidRPr="00A13248" w:rsidRDefault="00716DF9" w:rsidP="00A13248">
            <w:pPr>
              <w:contextualSpacing/>
              <w:rPr>
                <w:rFonts w:cs="Times New Roman"/>
                <w:sz w:val="20"/>
                <w:szCs w:val="20"/>
              </w:rPr>
            </w:pPr>
            <w:r w:rsidRPr="00A13248">
              <w:rPr>
                <w:rFonts w:cs="Times New Roman"/>
                <w:sz w:val="20"/>
                <w:szCs w:val="20"/>
              </w:rPr>
              <w:t>-</w:t>
            </w:r>
          </w:p>
        </w:tc>
      </w:tr>
      <w:tr w:rsidR="00716DF9" w:rsidRPr="00A13248" w14:paraId="5E82FCD6" w14:textId="77777777" w:rsidTr="00716DF9">
        <w:tc>
          <w:tcPr>
            <w:tcW w:w="1711" w:type="dxa"/>
            <w:tcMar>
              <w:left w:w="28" w:type="dxa"/>
              <w:right w:w="28" w:type="dxa"/>
            </w:tcMar>
          </w:tcPr>
          <w:p w14:paraId="5FF783C9" w14:textId="77777777" w:rsidR="00716DF9" w:rsidRPr="00A13248" w:rsidRDefault="00716DF9" w:rsidP="00A13248">
            <w:pPr>
              <w:contextualSpacing/>
              <w:rPr>
                <w:rFonts w:cs="Times New Roman"/>
                <w:b/>
                <w:bCs/>
                <w:sz w:val="20"/>
                <w:szCs w:val="20"/>
              </w:rPr>
            </w:pPr>
            <w:r w:rsidRPr="00A13248">
              <w:rPr>
                <w:rFonts w:cs="Times New Roman"/>
                <w:b/>
                <w:bCs/>
                <w:sz w:val="20"/>
                <w:szCs w:val="20"/>
              </w:rPr>
              <w:t>DoR to OS</w:t>
            </w:r>
          </w:p>
        </w:tc>
        <w:tc>
          <w:tcPr>
            <w:tcW w:w="985" w:type="dxa"/>
            <w:tcMar>
              <w:left w:w="28" w:type="dxa"/>
              <w:right w:w="28" w:type="dxa"/>
            </w:tcMar>
          </w:tcPr>
          <w:p w14:paraId="35879B53" w14:textId="77777777" w:rsidR="00716DF9" w:rsidRPr="00A13248" w:rsidRDefault="00716DF9" w:rsidP="00A13248">
            <w:pPr>
              <w:contextualSpacing/>
              <w:rPr>
                <w:rFonts w:cs="Times New Roman"/>
                <w:sz w:val="20"/>
                <w:szCs w:val="20"/>
              </w:rPr>
            </w:pPr>
            <w:r w:rsidRPr="00A13248">
              <w:rPr>
                <w:rFonts w:cs="Times New Roman"/>
                <w:sz w:val="20"/>
                <w:szCs w:val="20"/>
              </w:rPr>
              <w:t>0</w:t>
            </w:r>
          </w:p>
        </w:tc>
        <w:tc>
          <w:tcPr>
            <w:tcW w:w="3412" w:type="dxa"/>
          </w:tcPr>
          <w:p w14:paraId="2E5E88CF" w14:textId="77777777" w:rsidR="00716DF9" w:rsidRPr="00A13248" w:rsidRDefault="00716DF9" w:rsidP="00A13248">
            <w:pPr>
              <w:contextualSpacing/>
              <w:rPr>
                <w:rFonts w:cs="Times New Roman"/>
                <w:sz w:val="20"/>
                <w:szCs w:val="20"/>
              </w:rPr>
            </w:pPr>
          </w:p>
        </w:tc>
        <w:tc>
          <w:tcPr>
            <w:tcW w:w="1821" w:type="dxa"/>
            <w:tcMar>
              <w:left w:w="28" w:type="dxa"/>
              <w:right w:w="28" w:type="dxa"/>
            </w:tcMar>
          </w:tcPr>
          <w:p w14:paraId="7BB335E0" w14:textId="77777777" w:rsidR="00716DF9" w:rsidRPr="00A13248" w:rsidRDefault="00716DF9" w:rsidP="00A13248">
            <w:pPr>
              <w:contextualSpacing/>
              <w:rPr>
                <w:rFonts w:cs="Times New Roman"/>
                <w:sz w:val="20"/>
                <w:szCs w:val="20"/>
              </w:rPr>
            </w:pPr>
            <w:r w:rsidRPr="00A13248">
              <w:rPr>
                <w:rFonts w:cs="Times New Roman"/>
                <w:sz w:val="20"/>
                <w:szCs w:val="20"/>
              </w:rPr>
              <w:t>-</w:t>
            </w:r>
          </w:p>
        </w:tc>
        <w:tc>
          <w:tcPr>
            <w:tcW w:w="1138" w:type="dxa"/>
            <w:tcMar>
              <w:left w:w="28" w:type="dxa"/>
              <w:right w:w="28" w:type="dxa"/>
            </w:tcMar>
          </w:tcPr>
          <w:p w14:paraId="2526D9EC" w14:textId="77777777" w:rsidR="00716DF9" w:rsidRPr="00A13248" w:rsidRDefault="00716DF9" w:rsidP="00A13248">
            <w:pPr>
              <w:contextualSpacing/>
              <w:rPr>
                <w:rFonts w:cs="Times New Roman"/>
                <w:sz w:val="20"/>
                <w:szCs w:val="20"/>
              </w:rPr>
            </w:pPr>
            <w:r w:rsidRPr="00A13248">
              <w:rPr>
                <w:rFonts w:cs="Times New Roman"/>
                <w:sz w:val="20"/>
                <w:szCs w:val="20"/>
              </w:rPr>
              <w:t>-</w:t>
            </w:r>
          </w:p>
        </w:tc>
      </w:tr>
      <w:tr w:rsidR="00716DF9" w:rsidRPr="00A13248" w14:paraId="37500C39" w14:textId="77777777" w:rsidTr="00716DF9">
        <w:tc>
          <w:tcPr>
            <w:tcW w:w="9067" w:type="dxa"/>
            <w:gridSpan w:val="5"/>
            <w:tcMar>
              <w:left w:w="28" w:type="dxa"/>
              <w:right w:w="28" w:type="dxa"/>
            </w:tcMar>
          </w:tcPr>
          <w:p w14:paraId="622A903B" w14:textId="24FF6296" w:rsidR="00716DF9" w:rsidRPr="00E001C5" w:rsidRDefault="00716DF9" w:rsidP="00A13248">
            <w:pPr>
              <w:rPr>
                <w:rFonts w:asciiTheme="majorBidi" w:hAnsiTheme="majorBidi" w:cstheme="majorBidi"/>
                <w:sz w:val="20"/>
                <w:szCs w:val="20"/>
              </w:rPr>
            </w:pPr>
            <w:r w:rsidRPr="00A13248">
              <w:rPr>
                <w:rFonts w:cs="Times New Roman"/>
                <w:sz w:val="20"/>
                <w:szCs w:val="20"/>
              </w:rPr>
              <w:lastRenderedPageBreak/>
              <w:t xml:space="preserve">Notes: Further detail on all studies and outcomes is shown in Appendix </w:t>
            </w:r>
            <w:r w:rsidR="000454FD">
              <w:rPr>
                <w:rFonts w:cs="Times New Roman"/>
                <w:sz w:val="20"/>
                <w:szCs w:val="20"/>
              </w:rPr>
              <w:t>5</w:t>
            </w:r>
            <w:r w:rsidRPr="00A13248">
              <w:rPr>
                <w:rFonts w:cs="Times New Roman"/>
                <w:sz w:val="20"/>
                <w:szCs w:val="20"/>
              </w:rPr>
              <w:t xml:space="preserve">. N studies per outcome may vary from </w:t>
            </w:r>
            <w:r w:rsidRPr="00A13248">
              <w:rPr>
                <w:rFonts w:cs="Times New Roman"/>
                <w:sz w:val="20"/>
                <w:szCs w:val="20"/>
              </w:rPr>
              <w:fldChar w:fldCharType="begin"/>
            </w:r>
            <w:r w:rsidRPr="00A13248">
              <w:rPr>
                <w:rFonts w:cs="Times New Roman"/>
                <w:sz w:val="20"/>
                <w:szCs w:val="20"/>
              </w:rPr>
              <w:instrText xml:space="preserve"> REF _Ref19000446 \h  \* MERGEFORMAT </w:instrText>
            </w:r>
            <w:r w:rsidRPr="00A13248">
              <w:rPr>
                <w:rFonts w:cs="Times New Roman"/>
                <w:sz w:val="20"/>
                <w:szCs w:val="20"/>
              </w:rPr>
            </w:r>
            <w:r w:rsidRPr="00A13248">
              <w:rPr>
                <w:rFonts w:cs="Times New Roman"/>
                <w:sz w:val="20"/>
                <w:szCs w:val="20"/>
              </w:rPr>
              <w:fldChar w:fldCharType="separate"/>
            </w:r>
            <w:r w:rsidR="00C663A2" w:rsidRPr="00C663A2">
              <w:rPr>
                <w:rFonts w:cs="Times New Roman"/>
                <w:sz w:val="20"/>
                <w:szCs w:val="20"/>
              </w:rPr>
              <w:t>Table 4</w:t>
            </w:r>
            <w:r w:rsidRPr="00A13248">
              <w:rPr>
                <w:rFonts w:cs="Times New Roman"/>
                <w:sz w:val="20"/>
                <w:szCs w:val="20"/>
              </w:rPr>
              <w:fldChar w:fldCharType="end"/>
            </w:r>
            <w:r w:rsidRPr="00A13248">
              <w:rPr>
                <w:rFonts w:cs="Times New Roman"/>
                <w:sz w:val="20"/>
                <w:szCs w:val="20"/>
              </w:rPr>
              <w:t xml:space="preserve"> since not all data in correct format. *One study of MM reported VGPR/CR to PFS as adjusted R</w:t>
            </w:r>
            <w:r w:rsidRPr="00A13248">
              <w:rPr>
                <w:rFonts w:cs="Times New Roman"/>
                <w:sz w:val="20"/>
                <w:szCs w:val="20"/>
                <w:vertAlign w:val="superscript"/>
              </w:rPr>
              <w:t>2</w:t>
            </w:r>
            <w:r w:rsidRPr="00A13248">
              <w:rPr>
                <w:rFonts w:cs="Times New Roman"/>
                <w:sz w:val="20"/>
                <w:szCs w:val="20"/>
              </w:rPr>
              <w:t>=0.64 but this could not be converted to r</w:t>
            </w:r>
            <w:r w:rsidR="004C5B4B" w:rsidRPr="00A13248">
              <w:rPr>
                <w:rFonts w:cs="Times New Roman"/>
                <w:sz w:val="20"/>
                <w:szCs w:val="20"/>
              </w:rPr>
              <w:t xml:space="preserve"> because it was adjusted</w:t>
            </w:r>
            <w:r w:rsidRPr="00A13248">
              <w:rPr>
                <w:rFonts w:cs="Times New Roman"/>
                <w:sz w:val="20"/>
                <w:szCs w:val="20"/>
              </w:rPr>
              <w:t>.</w:t>
            </w:r>
            <w:r w:rsidR="00E001C5" w:rsidRPr="002D1DD7">
              <w:rPr>
                <w:rFonts w:asciiTheme="majorBidi" w:hAnsiTheme="majorBidi" w:cstheme="majorBidi"/>
                <w:sz w:val="20"/>
                <w:szCs w:val="20"/>
              </w:rPr>
              <w:fldChar w:fldCharType="begin"/>
            </w:r>
            <w:r w:rsidR="000E66DE">
              <w:rPr>
                <w:rFonts w:asciiTheme="majorBidi" w:hAnsiTheme="majorBidi" w:cstheme="majorBidi"/>
                <w:sz w:val="20"/>
                <w:szCs w:val="20"/>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00E001C5" w:rsidRPr="002D1DD7">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115</w:t>
            </w:r>
            <w:r w:rsidR="00E001C5" w:rsidRPr="002D1DD7">
              <w:rPr>
                <w:rFonts w:asciiTheme="majorBidi" w:hAnsiTheme="majorBidi" w:cstheme="majorBidi"/>
                <w:sz w:val="20"/>
                <w:szCs w:val="20"/>
              </w:rPr>
              <w:fldChar w:fldCharType="end"/>
            </w:r>
          </w:p>
          <w:p w14:paraId="15EC1641" w14:textId="77777777" w:rsidR="00716DF9" w:rsidRPr="00A13248" w:rsidRDefault="00716DF9" w:rsidP="00A13248">
            <w:pPr>
              <w:contextualSpacing/>
              <w:rPr>
                <w:rFonts w:cs="Times New Roman"/>
                <w:sz w:val="20"/>
                <w:szCs w:val="20"/>
              </w:rPr>
            </w:pPr>
          </w:p>
          <w:p w14:paraId="1D1E87E5" w14:textId="38135E7B" w:rsidR="00716DF9" w:rsidRPr="00A13248" w:rsidRDefault="00716DF9" w:rsidP="00A13248">
            <w:pPr>
              <w:contextualSpacing/>
              <w:rPr>
                <w:rFonts w:cs="Times New Roman"/>
                <w:sz w:val="20"/>
                <w:szCs w:val="20"/>
              </w:rPr>
            </w:pPr>
            <w:r w:rsidRPr="00A13248">
              <w:rPr>
                <w:rFonts w:cs="Times New Roman"/>
                <w:sz w:val="20"/>
                <w:szCs w:val="20"/>
              </w:rPr>
              <w:t xml:space="preserve">AML, acute myeloid leukaemia; CR, complete response; CRC, colorectal cancer; CUP, cancer of unknown primary; DoR, duration of response; MM, multiple myeloma; NET, neuroendocrine tumour; NHL, non-Hodgkin’s lymphoma; NSCLC, non-small cell lung cancer; </w:t>
            </w:r>
            <w:r w:rsidR="00E944DE" w:rsidRPr="00A13248">
              <w:rPr>
                <w:rFonts w:cs="Times New Roman"/>
                <w:sz w:val="20"/>
                <w:szCs w:val="20"/>
              </w:rPr>
              <w:t xml:space="preserve">ORR, overall response rate; </w:t>
            </w:r>
            <w:r w:rsidRPr="00A13248">
              <w:rPr>
                <w:rFonts w:cs="Times New Roman"/>
                <w:sz w:val="20"/>
                <w:szCs w:val="20"/>
              </w:rPr>
              <w:t>OS, overall survival; PFS, progression-free survival; PR, partial response; RCC, renal cell carcinoma; SCLC, small cell lung cancer; TTP, time to progression; VGPR, very good partial response.</w:t>
            </w:r>
          </w:p>
        </w:tc>
      </w:tr>
    </w:tbl>
    <w:p w14:paraId="14F1AABF" w14:textId="77777777" w:rsidR="00716DF9" w:rsidRPr="002D1DD7" w:rsidRDefault="00716DF9" w:rsidP="00716DF9">
      <w:pPr>
        <w:spacing w:after="0"/>
        <w:jc w:val="both"/>
        <w:rPr>
          <w:rFonts w:asciiTheme="majorBidi" w:hAnsiTheme="majorBidi" w:cstheme="majorBidi"/>
        </w:rPr>
      </w:pPr>
    </w:p>
    <w:p w14:paraId="1630122B" w14:textId="77777777" w:rsidR="00716DF9" w:rsidRPr="002D1DD7" w:rsidRDefault="00716DF9" w:rsidP="00716DF9">
      <w:pPr>
        <w:spacing w:after="0"/>
        <w:jc w:val="both"/>
        <w:rPr>
          <w:rFonts w:asciiTheme="majorBidi" w:hAnsiTheme="majorBidi" w:cstheme="majorBidi"/>
        </w:rPr>
        <w:sectPr w:rsidR="00716DF9" w:rsidRPr="002D1DD7">
          <w:pgSz w:w="11906" w:h="16838"/>
          <w:pgMar w:top="1440" w:right="1440" w:bottom="1440" w:left="1440" w:header="708" w:footer="708" w:gutter="0"/>
          <w:cols w:space="708"/>
          <w:docGrid w:linePitch="360"/>
        </w:sectPr>
      </w:pPr>
    </w:p>
    <w:p w14:paraId="4D35B89D" w14:textId="429CD258" w:rsidR="00716DF9" w:rsidRPr="002D1DD7" w:rsidRDefault="00716DF9" w:rsidP="00A13248">
      <w:pPr>
        <w:pStyle w:val="Caption"/>
        <w:rPr>
          <w:lang w:eastAsia="en-GB"/>
        </w:rPr>
      </w:pPr>
      <w:bookmarkStart w:id="93" w:name="_Ref16785223"/>
      <w:bookmarkStart w:id="94" w:name="_Toc34033562"/>
      <w:r w:rsidRPr="002D1DD7">
        <w:lastRenderedPageBreak/>
        <w:t xml:space="preserve">Figure </w:t>
      </w:r>
      <w:r w:rsidR="00C974E5">
        <w:fldChar w:fldCharType="begin"/>
      </w:r>
      <w:r w:rsidR="00C974E5">
        <w:instrText xml:space="preserve"> SEQ Figure \* ARABIC </w:instrText>
      </w:r>
      <w:r w:rsidR="00C974E5">
        <w:fldChar w:fldCharType="separate"/>
      </w:r>
      <w:r w:rsidR="00C663A2">
        <w:rPr>
          <w:noProof/>
        </w:rPr>
        <w:t>2</w:t>
      </w:r>
      <w:r w:rsidR="00C974E5">
        <w:rPr>
          <w:noProof/>
        </w:rPr>
        <w:fldChar w:fldCharType="end"/>
      </w:r>
      <w:bookmarkEnd w:id="93"/>
      <w:r w:rsidRPr="002D1DD7">
        <w:rPr>
          <w:lang w:eastAsia="en-GB"/>
        </w:rPr>
        <w:t>: Correlation (r or r</w:t>
      </w:r>
      <w:r w:rsidRPr="002D1DD7">
        <w:rPr>
          <w:vertAlign w:val="subscript"/>
          <w:lang w:eastAsia="en-GB"/>
        </w:rPr>
        <w:t>s</w:t>
      </w:r>
      <w:r w:rsidRPr="002D1DD7">
        <w:rPr>
          <w:lang w:eastAsia="en-GB"/>
        </w:rPr>
        <w:t xml:space="preserve">) between absolute </w:t>
      </w:r>
      <w:r w:rsidRPr="002D1DD7">
        <w:t xml:space="preserve">(individual-level) </w:t>
      </w:r>
      <w:r w:rsidRPr="002D1DD7">
        <w:rPr>
          <w:lang w:eastAsia="en-GB"/>
        </w:rPr>
        <w:t xml:space="preserve">values of </w:t>
      </w:r>
      <w:r w:rsidR="00B80A44">
        <w:rPr>
          <w:lang w:eastAsia="en-GB"/>
        </w:rPr>
        <w:t>O</w:t>
      </w:r>
      <w:r w:rsidRPr="002D1DD7">
        <w:rPr>
          <w:lang w:eastAsia="en-GB"/>
        </w:rPr>
        <w:t>RR and PFS</w:t>
      </w:r>
      <w:r w:rsidR="00A55AA4">
        <w:rPr>
          <w:lang w:eastAsia="en-GB"/>
        </w:rPr>
        <w:t>*</w:t>
      </w:r>
      <w:bookmarkEnd w:id="94"/>
    </w:p>
    <w:p w14:paraId="20F83355" w14:textId="1CF3E460" w:rsidR="00716DF9" w:rsidRPr="002D1DD7" w:rsidRDefault="00AC0C3A" w:rsidP="00716DF9">
      <w:pPr>
        <w:spacing w:after="0"/>
        <w:jc w:val="both"/>
        <w:rPr>
          <w:rFonts w:asciiTheme="majorBidi" w:hAnsiTheme="majorBidi" w:cstheme="majorBidi"/>
        </w:rPr>
      </w:pPr>
      <w:r w:rsidRPr="00AC0C3A">
        <w:rPr>
          <w:noProof/>
          <w:lang w:eastAsia="zh-CN"/>
        </w:rPr>
        <w:t xml:space="preserve"> </w:t>
      </w:r>
      <w:r w:rsidRPr="00AC0C3A">
        <w:rPr>
          <w:noProof/>
          <w:lang w:eastAsia="en-GB"/>
        </w:rPr>
        <w:drawing>
          <wp:inline distT="0" distB="0" distL="0" distR="0" wp14:anchorId="24BD17AE" wp14:editId="26D860FA">
            <wp:extent cx="7182291" cy="4680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82291" cy="4680000"/>
                    </a:xfrm>
                    <a:prstGeom prst="rect">
                      <a:avLst/>
                    </a:prstGeom>
                  </pic:spPr>
                </pic:pic>
              </a:graphicData>
            </a:graphic>
          </wp:inline>
        </w:drawing>
      </w:r>
    </w:p>
    <w:p w14:paraId="6CD6049D" w14:textId="747B202C" w:rsidR="00716DF9" w:rsidRPr="002D1DD7" w:rsidRDefault="00A55AA4" w:rsidP="00D16131">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*For each study, the plot illustrates the range of correlation coefficients across all subgroup analyses. </w:t>
      </w:r>
      <w:r w:rsidR="007E147C">
        <w:rPr>
          <w:rFonts w:asciiTheme="majorBidi" w:hAnsiTheme="majorBidi" w:cstheme="majorBidi"/>
          <w:sz w:val="20"/>
          <w:szCs w:val="20"/>
        </w:rPr>
        <w:t xml:space="preserve">N represents the number of studies included in each meta-regression. </w:t>
      </w:r>
      <w:r w:rsidR="00716DF9" w:rsidRPr="002D1DD7">
        <w:rPr>
          <w:rFonts w:asciiTheme="majorBidi" w:hAnsiTheme="majorBidi" w:cstheme="majorBidi"/>
          <w:sz w:val="20"/>
          <w:szCs w:val="20"/>
        </w:rPr>
        <w:t>CUP, cancer of unknown primary; NHL, non-Hodgkin’s lymphoma; NSCLC, non-small cell lung cancer;</w:t>
      </w:r>
      <w:r w:rsidR="00E944DE">
        <w:rPr>
          <w:rFonts w:asciiTheme="majorBidi" w:hAnsiTheme="majorBidi" w:cstheme="majorBidi"/>
          <w:sz w:val="20"/>
          <w:szCs w:val="20"/>
        </w:rPr>
        <w:t xml:space="preserve"> O</w:t>
      </w:r>
      <w:r w:rsidR="00E944DE" w:rsidRPr="002D1DD7">
        <w:rPr>
          <w:rFonts w:asciiTheme="majorBidi" w:hAnsiTheme="majorBidi" w:cstheme="majorBidi"/>
          <w:sz w:val="20"/>
          <w:szCs w:val="20"/>
        </w:rPr>
        <w:t xml:space="preserve">RR, </w:t>
      </w:r>
      <w:r w:rsidR="00E944DE">
        <w:rPr>
          <w:rFonts w:asciiTheme="majorBidi" w:hAnsiTheme="majorBidi" w:cstheme="majorBidi"/>
          <w:sz w:val="20"/>
          <w:szCs w:val="20"/>
        </w:rPr>
        <w:t xml:space="preserve">overall </w:t>
      </w:r>
      <w:r w:rsidR="00E944DE" w:rsidRPr="002D1DD7">
        <w:rPr>
          <w:rFonts w:asciiTheme="majorBidi" w:hAnsiTheme="majorBidi" w:cstheme="majorBidi"/>
          <w:sz w:val="20"/>
          <w:szCs w:val="20"/>
        </w:rPr>
        <w:t>response rate</w:t>
      </w:r>
      <w:r w:rsidR="00E944DE">
        <w:rPr>
          <w:rFonts w:asciiTheme="majorBidi" w:hAnsiTheme="majorBidi" w:cstheme="majorBidi"/>
          <w:sz w:val="20"/>
          <w:szCs w:val="20"/>
        </w:rPr>
        <w:t>; PFS, progression-free survival;</w:t>
      </w:r>
      <w:r w:rsidR="00716DF9" w:rsidRPr="002D1DD7">
        <w:rPr>
          <w:rFonts w:asciiTheme="majorBidi" w:hAnsiTheme="majorBidi" w:cstheme="majorBidi"/>
          <w:sz w:val="20"/>
          <w:szCs w:val="20"/>
        </w:rPr>
        <w:t xml:space="preserve"> SCLC, small cell lung cancer.</w:t>
      </w:r>
    </w:p>
    <w:p w14:paraId="697BF8D6" w14:textId="2C22CB7A" w:rsidR="00716DF9" w:rsidRPr="002D1DD7" w:rsidRDefault="00716DF9" w:rsidP="00A13248">
      <w:pPr>
        <w:pStyle w:val="Caption"/>
        <w:rPr>
          <w:lang w:eastAsia="en-GB"/>
        </w:rPr>
      </w:pPr>
      <w:bookmarkStart w:id="95" w:name="_Ref16785232"/>
      <w:bookmarkStart w:id="96" w:name="_Toc34033563"/>
      <w:r w:rsidRPr="002D1DD7">
        <w:lastRenderedPageBreak/>
        <w:t xml:space="preserve">Figure </w:t>
      </w:r>
      <w:r w:rsidR="00C974E5">
        <w:fldChar w:fldCharType="begin"/>
      </w:r>
      <w:r w:rsidR="00C974E5">
        <w:instrText xml:space="preserve"> SEQ Figure \* ARABIC </w:instrText>
      </w:r>
      <w:r w:rsidR="00C974E5">
        <w:fldChar w:fldCharType="separate"/>
      </w:r>
      <w:r w:rsidR="00C663A2">
        <w:rPr>
          <w:noProof/>
        </w:rPr>
        <w:t>3</w:t>
      </w:r>
      <w:r w:rsidR="00C974E5">
        <w:rPr>
          <w:noProof/>
        </w:rPr>
        <w:fldChar w:fldCharType="end"/>
      </w:r>
      <w:bookmarkEnd w:id="95"/>
      <w:r w:rsidRPr="002D1DD7">
        <w:rPr>
          <w:lang w:eastAsia="en-GB"/>
        </w:rPr>
        <w:t>: Correlation (r or r</w:t>
      </w:r>
      <w:r w:rsidRPr="002D1DD7">
        <w:rPr>
          <w:vertAlign w:val="subscript"/>
          <w:lang w:eastAsia="en-GB"/>
        </w:rPr>
        <w:t>s</w:t>
      </w:r>
      <w:r w:rsidRPr="002D1DD7">
        <w:rPr>
          <w:lang w:eastAsia="en-GB"/>
        </w:rPr>
        <w:t xml:space="preserve">) between absolute </w:t>
      </w:r>
      <w:r w:rsidRPr="002D1DD7">
        <w:t xml:space="preserve">(individual-level) </w:t>
      </w:r>
      <w:r w:rsidRPr="002D1DD7">
        <w:rPr>
          <w:lang w:eastAsia="en-GB"/>
        </w:rPr>
        <w:t xml:space="preserve">values of </w:t>
      </w:r>
      <w:r w:rsidR="00B80A44">
        <w:rPr>
          <w:lang w:eastAsia="en-GB"/>
        </w:rPr>
        <w:t>O</w:t>
      </w:r>
      <w:r w:rsidRPr="002D1DD7">
        <w:rPr>
          <w:lang w:eastAsia="en-GB"/>
        </w:rPr>
        <w:t>RR and OS</w:t>
      </w:r>
      <w:r w:rsidR="00A55AA4">
        <w:rPr>
          <w:lang w:eastAsia="en-GB"/>
        </w:rPr>
        <w:t>*</w:t>
      </w:r>
      <w:bookmarkEnd w:id="96"/>
    </w:p>
    <w:p w14:paraId="5406290B" w14:textId="3FF87AB7" w:rsidR="00716DF9" w:rsidRPr="002D1DD7" w:rsidRDefault="00AC0C3A" w:rsidP="00716DF9">
      <w:pPr>
        <w:spacing w:after="0"/>
        <w:jc w:val="both"/>
        <w:rPr>
          <w:rFonts w:asciiTheme="majorBidi" w:eastAsia="Times New Roman" w:hAnsiTheme="majorBidi" w:cstheme="majorBidi"/>
          <w:color w:val="000000"/>
          <w:lang w:eastAsia="en-GB"/>
        </w:rPr>
      </w:pPr>
      <w:r w:rsidRPr="00AC0C3A">
        <w:rPr>
          <w:noProof/>
          <w:lang w:eastAsia="en-GB"/>
        </w:rPr>
        <w:drawing>
          <wp:inline distT="0" distB="0" distL="0" distR="0" wp14:anchorId="28C51CDF" wp14:editId="43959DB5">
            <wp:extent cx="7182291" cy="4680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82291" cy="4680000"/>
                    </a:xfrm>
                    <a:prstGeom prst="rect">
                      <a:avLst/>
                    </a:prstGeom>
                  </pic:spPr>
                </pic:pic>
              </a:graphicData>
            </a:graphic>
          </wp:inline>
        </w:drawing>
      </w:r>
      <w:r w:rsidRPr="00AC0C3A" w:rsidDel="00AC0C3A">
        <w:t xml:space="preserve"> </w:t>
      </w:r>
    </w:p>
    <w:p w14:paraId="0B617C24" w14:textId="376F9FCD" w:rsidR="00716DF9" w:rsidRPr="002D1DD7" w:rsidRDefault="00A55AA4" w:rsidP="00D16131">
      <w:pPr>
        <w:spacing w:after="0" w:line="240" w:lineRule="auto"/>
        <w:jc w:val="both"/>
        <w:rPr>
          <w:rFonts w:asciiTheme="majorBidi" w:hAnsiTheme="majorBidi" w:cstheme="majorBidi"/>
        </w:rPr>
      </w:pPr>
      <w:r>
        <w:rPr>
          <w:rFonts w:asciiTheme="majorBidi" w:hAnsiTheme="majorBidi" w:cstheme="majorBidi"/>
          <w:sz w:val="20"/>
          <w:szCs w:val="20"/>
        </w:rPr>
        <w:t xml:space="preserve">*For each study, the plot illustrates the range of correlation coefficients across all subgroup analyses. </w:t>
      </w:r>
      <w:r w:rsidR="00660708">
        <w:rPr>
          <w:rFonts w:asciiTheme="majorBidi" w:hAnsiTheme="majorBidi" w:cstheme="majorBidi"/>
          <w:sz w:val="20"/>
          <w:szCs w:val="20"/>
        </w:rPr>
        <w:t xml:space="preserve">N represents the number of studies included in each meta-regression. </w:t>
      </w:r>
      <w:r w:rsidR="00716DF9" w:rsidRPr="002D1DD7">
        <w:rPr>
          <w:rFonts w:asciiTheme="majorBidi" w:hAnsiTheme="majorBidi" w:cstheme="majorBidi"/>
          <w:sz w:val="20"/>
          <w:szCs w:val="20"/>
        </w:rPr>
        <w:t>AML, acute myeloid leukaemia; CUP, cancer of unknown primary; NSCLC, non-small cell lung cancer;</w:t>
      </w:r>
      <w:r w:rsidR="00E944DE">
        <w:rPr>
          <w:rFonts w:asciiTheme="majorBidi" w:hAnsiTheme="majorBidi" w:cstheme="majorBidi"/>
          <w:sz w:val="20"/>
          <w:szCs w:val="20"/>
        </w:rPr>
        <w:t xml:space="preserve"> O</w:t>
      </w:r>
      <w:r w:rsidR="00E944DE" w:rsidRPr="002D1DD7">
        <w:rPr>
          <w:rFonts w:asciiTheme="majorBidi" w:hAnsiTheme="majorBidi" w:cstheme="majorBidi"/>
          <w:sz w:val="20"/>
          <w:szCs w:val="20"/>
        </w:rPr>
        <w:t xml:space="preserve">RR, </w:t>
      </w:r>
      <w:r w:rsidR="00E944DE">
        <w:rPr>
          <w:rFonts w:asciiTheme="majorBidi" w:hAnsiTheme="majorBidi" w:cstheme="majorBidi"/>
          <w:sz w:val="20"/>
          <w:szCs w:val="20"/>
        </w:rPr>
        <w:t xml:space="preserve">overall </w:t>
      </w:r>
      <w:r w:rsidR="00E944DE" w:rsidRPr="002D1DD7">
        <w:rPr>
          <w:rFonts w:asciiTheme="majorBidi" w:hAnsiTheme="majorBidi" w:cstheme="majorBidi"/>
          <w:sz w:val="20"/>
          <w:szCs w:val="20"/>
        </w:rPr>
        <w:t>response rate</w:t>
      </w:r>
      <w:r w:rsidR="00E944DE">
        <w:rPr>
          <w:rFonts w:asciiTheme="majorBidi" w:hAnsiTheme="majorBidi" w:cstheme="majorBidi"/>
          <w:sz w:val="20"/>
          <w:szCs w:val="20"/>
        </w:rPr>
        <w:t>; OS, overall survival;</w:t>
      </w:r>
      <w:r w:rsidR="00E944DE" w:rsidRPr="002D1DD7">
        <w:rPr>
          <w:rFonts w:asciiTheme="majorBidi" w:hAnsiTheme="majorBidi" w:cstheme="majorBidi"/>
          <w:sz w:val="20"/>
          <w:szCs w:val="20"/>
        </w:rPr>
        <w:t xml:space="preserve"> </w:t>
      </w:r>
      <w:r w:rsidR="00716DF9" w:rsidRPr="002D1DD7">
        <w:rPr>
          <w:rFonts w:asciiTheme="majorBidi" w:hAnsiTheme="majorBidi" w:cstheme="majorBidi"/>
          <w:sz w:val="20"/>
          <w:szCs w:val="20"/>
        </w:rPr>
        <w:t xml:space="preserve"> SCLC, small cell lung cancer.</w:t>
      </w:r>
    </w:p>
    <w:p w14:paraId="35E42F32" w14:textId="77777777" w:rsidR="00716DF9" w:rsidRPr="002D1DD7" w:rsidRDefault="00716DF9" w:rsidP="00716DF9">
      <w:pPr>
        <w:spacing w:after="0"/>
        <w:jc w:val="both"/>
        <w:rPr>
          <w:rFonts w:asciiTheme="majorBidi" w:hAnsiTheme="majorBidi" w:cstheme="majorBidi"/>
        </w:rPr>
        <w:sectPr w:rsidR="00716DF9" w:rsidRPr="002D1DD7" w:rsidSect="00716DF9">
          <w:pgSz w:w="16838" w:h="11906" w:orient="landscape"/>
          <w:pgMar w:top="1440" w:right="1440" w:bottom="1440" w:left="1440" w:header="708" w:footer="708" w:gutter="0"/>
          <w:cols w:space="708"/>
          <w:docGrid w:linePitch="360"/>
        </w:sectPr>
      </w:pPr>
    </w:p>
    <w:p w14:paraId="0DF35AE6" w14:textId="77777777" w:rsidR="00716DF9" w:rsidRPr="002D1DD7" w:rsidRDefault="00716DF9" w:rsidP="00A13248">
      <w:pPr>
        <w:pStyle w:val="Heading4"/>
      </w:pPr>
      <w:bookmarkStart w:id="97" w:name="_Toc33776181"/>
      <w:r w:rsidRPr="002D1DD7">
        <w:lastRenderedPageBreak/>
        <w:t>Treatment effect (trial-level) correlation and regression</w:t>
      </w:r>
      <w:bookmarkEnd w:id="97"/>
    </w:p>
    <w:p w14:paraId="4BF2D2D7" w14:textId="09BC9774" w:rsidR="00716DF9" w:rsidRPr="002D1DD7" w:rsidRDefault="00716DF9" w:rsidP="00A13248">
      <w:pPr>
        <w:rPr>
          <w:rFonts w:eastAsia="Times New Roman"/>
          <w:lang w:eastAsia="en-GB"/>
        </w:rPr>
      </w:pPr>
      <w:r w:rsidRPr="002D1DD7">
        <w:t xml:space="preserve">The </w:t>
      </w:r>
      <w:r w:rsidR="00A55AA4">
        <w:t>range of</w:t>
      </w:r>
      <w:r w:rsidRPr="002D1DD7">
        <w:t xml:space="preserve"> treatment effect</w:t>
      </w:r>
      <w:r w:rsidR="00E05082">
        <w:t xml:space="preserve"> </w:t>
      </w:r>
      <w:r w:rsidR="00E05082" w:rsidRPr="002D1DD7">
        <w:rPr>
          <w:rFonts w:eastAsia="Times New Roman"/>
          <w:lang w:eastAsia="en-GB"/>
        </w:rPr>
        <w:t>(trial-level)</w:t>
      </w:r>
      <w:r w:rsidRPr="002D1DD7">
        <w:t xml:space="preserve"> R</w:t>
      </w:r>
      <w:r w:rsidRPr="002D1DD7">
        <w:rPr>
          <w:vertAlign w:val="superscript"/>
        </w:rPr>
        <w:t>2</w:t>
      </w:r>
      <w:r w:rsidRPr="002D1DD7">
        <w:t xml:space="preserve"> values </w:t>
      </w:r>
      <w:r w:rsidR="00E05082" w:rsidRPr="002D1DD7">
        <w:t xml:space="preserve">reported in each </w:t>
      </w:r>
      <w:r w:rsidR="00E05082">
        <w:t xml:space="preserve">meta-regression </w:t>
      </w:r>
      <w:r w:rsidR="00557925">
        <w:t>is</w:t>
      </w:r>
      <w:r w:rsidR="00557925" w:rsidRPr="002D1DD7">
        <w:t xml:space="preserve"> </w:t>
      </w:r>
      <w:r w:rsidRPr="002D1DD7">
        <w:t xml:space="preserve">summarised in </w:t>
      </w:r>
      <w:r w:rsidRPr="002D1DD7">
        <w:fldChar w:fldCharType="begin"/>
      </w:r>
      <w:r w:rsidRPr="002D1DD7">
        <w:instrText xml:space="preserve"> REF _Ref19004032 \h  \* MERGEFORMAT </w:instrText>
      </w:r>
      <w:r w:rsidRPr="002D1DD7">
        <w:fldChar w:fldCharType="separate"/>
      </w:r>
      <w:r w:rsidR="00C9471F" w:rsidRPr="002D1DD7">
        <w:t xml:space="preserve">Table </w:t>
      </w:r>
      <w:r w:rsidR="00C9471F">
        <w:t>7</w:t>
      </w:r>
      <w:r w:rsidRPr="002D1DD7">
        <w:fldChar w:fldCharType="end"/>
      </w:r>
      <w:r w:rsidRPr="002D1DD7">
        <w:t xml:space="preserve"> and illustrated in </w:t>
      </w:r>
      <w:r w:rsidRPr="002D1DD7">
        <w:fldChar w:fldCharType="begin"/>
      </w:r>
      <w:r w:rsidRPr="002D1DD7">
        <w:instrText xml:space="preserve"> REF _Ref16785271 \h  \* MERGEFORMAT </w:instrText>
      </w:r>
      <w:r w:rsidRPr="002D1DD7">
        <w:fldChar w:fldCharType="separate"/>
      </w:r>
      <w:r w:rsidR="00C663A2" w:rsidRPr="002D1DD7">
        <w:t xml:space="preserve">Figure </w:t>
      </w:r>
      <w:r w:rsidR="00C663A2">
        <w:t>4</w:t>
      </w:r>
      <w:r w:rsidRPr="002D1DD7">
        <w:fldChar w:fldCharType="end"/>
      </w:r>
      <w:r w:rsidRPr="002D1DD7">
        <w:t xml:space="preserve"> </w:t>
      </w:r>
      <w:r w:rsidRPr="002D1DD7">
        <w:rPr>
          <w:rFonts w:eastAsia="Times New Roman"/>
          <w:lang w:eastAsia="en-GB"/>
        </w:rPr>
        <w:t xml:space="preserve">(for the association between </w:t>
      </w:r>
      <w:r w:rsidR="008C3F88">
        <w:rPr>
          <w:rFonts w:eastAsia="Times New Roman"/>
          <w:lang w:eastAsia="en-GB"/>
        </w:rPr>
        <w:t>O</w:t>
      </w:r>
      <w:r w:rsidRPr="002D1DD7">
        <w:rPr>
          <w:rFonts w:eastAsia="Times New Roman"/>
          <w:lang w:eastAsia="en-GB"/>
        </w:rPr>
        <w:t xml:space="preserve">RR and PFS) and </w:t>
      </w:r>
      <w:r w:rsidRPr="002D1DD7">
        <w:rPr>
          <w:rFonts w:eastAsia="Times New Roman"/>
          <w:lang w:eastAsia="en-GB"/>
        </w:rPr>
        <w:fldChar w:fldCharType="begin"/>
      </w:r>
      <w:r w:rsidRPr="002D1DD7">
        <w:rPr>
          <w:rFonts w:eastAsia="Times New Roman"/>
          <w:lang w:eastAsia="en-GB"/>
        </w:rPr>
        <w:instrText xml:space="preserve"> REF _Ref16785279 \h  \* MERGEFORMAT </w:instrText>
      </w:r>
      <w:r w:rsidRPr="002D1DD7">
        <w:rPr>
          <w:rFonts w:eastAsia="Times New Roman"/>
          <w:lang w:eastAsia="en-GB"/>
        </w:rPr>
      </w:r>
      <w:r w:rsidRPr="002D1DD7">
        <w:rPr>
          <w:rFonts w:eastAsia="Times New Roman"/>
          <w:lang w:eastAsia="en-GB"/>
        </w:rPr>
        <w:fldChar w:fldCharType="separate"/>
      </w:r>
      <w:r w:rsidR="00C663A2" w:rsidRPr="002D1DD7">
        <w:t xml:space="preserve">Figure </w:t>
      </w:r>
      <w:r w:rsidR="00C663A2">
        <w:t>5</w:t>
      </w:r>
      <w:r w:rsidRPr="002D1DD7">
        <w:rPr>
          <w:rFonts w:eastAsia="Times New Roman"/>
          <w:lang w:eastAsia="en-GB"/>
        </w:rPr>
        <w:fldChar w:fldCharType="end"/>
      </w:r>
      <w:r w:rsidRPr="002D1DD7">
        <w:rPr>
          <w:rFonts w:eastAsia="Times New Roman"/>
          <w:lang w:eastAsia="en-GB"/>
        </w:rPr>
        <w:t xml:space="preserve"> </w:t>
      </w:r>
      <w:r w:rsidRPr="002D1DD7">
        <w:t xml:space="preserve">(for the association between </w:t>
      </w:r>
      <w:r w:rsidR="008C3F88">
        <w:t>O</w:t>
      </w:r>
      <w:r w:rsidRPr="002D1DD7">
        <w:rPr>
          <w:rFonts w:eastAsia="Times New Roman"/>
          <w:lang w:eastAsia="en-GB"/>
        </w:rPr>
        <w:t xml:space="preserve">RR </w:t>
      </w:r>
      <w:r w:rsidRPr="002D1DD7">
        <w:t>and OS).</w:t>
      </w:r>
      <w:r w:rsidR="00E05082" w:rsidRPr="00E05082">
        <w:rPr>
          <w:rFonts w:eastAsia="Times New Roman"/>
          <w:lang w:eastAsia="en-GB"/>
        </w:rPr>
        <w:t xml:space="preserve"> </w:t>
      </w:r>
      <w:r w:rsidR="00E05082">
        <w:t xml:space="preserve">Each horizontal row in the plots illustrates the range of </w:t>
      </w:r>
      <w:r w:rsidR="00E05082" w:rsidRPr="002D1DD7">
        <w:t>R</w:t>
      </w:r>
      <w:r w:rsidR="00E05082" w:rsidRPr="002D1DD7">
        <w:rPr>
          <w:vertAlign w:val="superscript"/>
        </w:rPr>
        <w:t>2</w:t>
      </w:r>
      <w:r w:rsidR="00E05082" w:rsidRPr="002D1DD7">
        <w:t xml:space="preserve"> values</w:t>
      </w:r>
      <w:r w:rsidR="00E05082">
        <w:t xml:space="preserve"> across all subgroup analyses within a single meta-regression study. Where an included meta-regression reported on more than one cancer type, these are shown separately on the plots. It is worth noting that the meta-regressions varied both in terms of the number of included primary studies (shown as N on the plots) and in terms of the treatment type, line of treatment and precise clinical population; all these details are provided in Appendix </w:t>
      </w:r>
      <w:r w:rsidR="00A13248">
        <w:t>6</w:t>
      </w:r>
      <w:r w:rsidR="00E05082">
        <w:t xml:space="preserve">, together with </w:t>
      </w:r>
      <w:r w:rsidR="00E05082" w:rsidRPr="002D1DD7">
        <w:t>R</w:t>
      </w:r>
      <w:r w:rsidR="00E05082" w:rsidRPr="002D1DD7">
        <w:rPr>
          <w:vertAlign w:val="superscript"/>
        </w:rPr>
        <w:t>2</w:t>
      </w:r>
      <w:r w:rsidR="00E05082" w:rsidRPr="002D1DD7">
        <w:t xml:space="preserve"> values</w:t>
      </w:r>
      <w:r w:rsidR="00E05082">
        <w:t xml:space="preserve"> for all individual subgroup analyses.</w:t>
      </w:r>
    </w:p>
    <w:p w14:paraId="4042BF06" w14:textId="540DE70B" w:rsidR="00716DF9" w:rsidRPr="002D1DD7" w:rsidRDefault="00557925" w:rsidP="00E001C5">
      <w:r>
        <w:rPr>
          <w:b/>
          <w:bCs/>
        </w:rPr>
        <w:t>O</w:t>
      </w:r>
      <w:r w:rsidR="00716DF9" w:rsidRPr="002D1DD7">
        <w:rPr>
          <w:b/>
          <w:bCs/>
        </w:rPr>
        <w:t>RR and PFS:</w:t>
      </w:r>
      <w:r w:rsidR="00716DF9" w:rsidRPr="002D1DD7">
        <w:t xml:space="preserve"> The regression R</w:t>
      </w:r>
      <w:r w:rsidR="00716DF9" w:rsidRPr="002D1DD7">
        <w:rPr>
          <w:vertAlign w:val="superscript"/>
        </w:rPr>
        <w:t>2</w:t>
      </w:r>
      <w:r w:rsidR="00716DF9" w:rsidRPr="002D1DD7">
        <w:t xml:space="preserve"> </w:t>
      </w:r>
      <w:r>
        <w:t xml:space="preserve">values </w:t>
      </w:r>
      <w:r w:rsidR="00716DF9" w:rsidRPr="002D1DD7">
        <w:t xml:space="preserve">for the treatment effect association between </w:t>
      </w:r>
      <w:r>
        <w:t>O</w:t>
      </w:r>
      <w:r w:rsidR="00716DF9" w:rsidRPr="002D1DD7">
        <w:t>RR and PFS ranged from 0.18 to 0.94, based on 9 studies across</w:t>
      </w:r>
      <w:r w:rsidR="00E001C5">
        <w:t xml:space="preserve"> </w:t>
      </w:r>
      <w:r w:rsidR="00E001C5" w:rsidRPr="002D1DD7">
        <w:rPr>
          <w:rFonts w:asciiTheme="majorBidi" w:hAnsiTheme="majorBidi" w:cstheme="majorBidi"/>
        </w:rPr>
        <w:t>4 cancer types: NSCLC,</w:t>
      </w:r>
      <w:r w:rsidR="00E001C5" w:rsidRPr="002D1DD7">
        <w:rPr>
          <w:rFonts w:asciiTheme="majorBidi" w:hAnsiTheme="majorBidi" w:cstheme="majorBidi"/>
        </w:rPr>
        <w:fldChar w:fldCharType="begin">
          <w:fldData xml:space="preserve">PEVuZE5vdGU+PENpdGU+PEF1dGhvcj5CbHVtZW50aGFsPC9BdXRob3I+PFllYXI+MjAxNzwvWWVh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U0M9WSZhbXA7TkVXUz1OJmFtcDtQQUdFPWZ1bGx0ZXh0JmFtcDtEPW1lZDEzJmFtcDtBTj0yODYx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PEVuZE5vdGU+PENpdGU+PEF1dGhvcj5CbHVtZW50aGFsPC9BdXRob3I+PFllYXI+MjAxNzwvWWVh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U0M9WSZhbXA7TkVXUz1OJmFtcDtQQUdFPWZ1bGx0ZXh0JmFtcDtEPW1lZDEzJmFtcDtBTj0yODYx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81, 82, 105, 137</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ovarian cancer,</w:t>
      </w:r>
      <w:r w:rsidR="00E001C5" w:rsidRPr="002D1DD7">
        <w:rPr>
          <w:rFonts w:asciiTheme="majorBidi" w:hAnsiTheme="majorBidi" w:cstheme="majorBidi"/>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ZXJzY3JpcHQiPjg3LCAxMzI8L3N0eWxlPjwvRGlzcGxheVRleHQ+PHJlY29yZD48cmVjLW51bWJl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O05FV1M9TiZhbXA7UEFHRT1mdWxsdGV4dCZhbXA7RD1tZWQxMyZhbXA7QU49MjgzOTU4OTY8L3N0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ZDoyODM5NTg5NiZhbXA7aWQ9ZG9pOjEwLjEwMTYlMkZqLnlneW5vLjIwMTcuMDMuNTE1JmFtcDtp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ZXJzY3JpcHQiPjg3LCAxMzI8L3N0eWxlPjwvRGlzcGxheVRleHQ+PHJlY29yZD48cmVjLW51bWJl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O05FV1M9TiZhbXA7UEFHRT1mdWxsdGV4dCZhbXA7RD1tZWQxMyZhbXA7QU49MjgzOTU4OTY8L3N0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ZDoyODM5NTg5NiZhbXA7aWQ9ZG9pOjEwLjEwMTYlMkZqLnlneW5vLjIwMTcuMDMuNTE1JmFtcDtp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87, 132</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colorectal cancer</w:t>
      </w:r>
      <w:r w:rsidR="00E001C5" w:rsidRPr="002D1DD7">
        <w:rPr>
          <w:rFonts w:asciiTheme="majorBidi" w:hAnsiTheme="majorBidi" w:cstheme="majorBidi"/>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86</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and various solid tumours</w:t>
      </w:r>
      <w:r w:rsidR="00E001C5" w:rsidRPr="002D1DD7">
        <w:rPr>
          <w:rFonts w:asciiTheme="majorBidi" w:hAnsiTheme="majorBidi" w:cstheme="majorBidi"/>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dXBlcnNjcmlwdCI+MTI3LCAxMzk8L3N0eWxlPjwvRGlzcGxheVRleHQ+PHJlY29yZD48cmVjLW51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V1M9TiZhbXA7UEFHRT1mdWxsdGV4dCZhbXA7RD1tZWQxMyZhbXA7QU49MjkwNTU4NDE8L3N0eWxl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LzQ0U0ZELzQ0U0ZEX3NlcnZpY2VzX3BhZ2U/c2lkPU9WSUQ6bWVkbGluZSZhbXA7aWQ9cG1pZDoy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ZnVsbHRleHQmYW1wO0Q9bWVkNiZhbXA7QU49MTk4MjYzNTc8L3N0eWxlPjxzdHlsZSBmYWNlPSJu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cnZpY2VzX3BhZ2U/c2lkPU9WSUQ6bWVkbGluZSZhbXA7aWQ9cG1pZDoxOTgyNjM1NyZhbXA7aWQ9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dXBlcnNjcmlwdCI+MTI3LCAxMzk8L3N0eWxlPjwvRGlzcGxheVRleHQ+PHJlY29yZD48cmVjLW51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V1M9TiZhbXA7UEFHRT1mdWxsdGV4dCZhbXA7RD1tZWQxMyZhbXA7QU49MjkwNTU4NDE8L3N0eWxl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LzQ0U0ZELzQ0U0ZEX3NlcnZpY2VzX3BhZ2U/c2lkPU9WSUQ6bWVkbGluZSZhbXA7aWQ9cG1pZDoy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ZnVsbHRleHQmYW1wO0Q9bWVkNiZhbXA7QU49MTk4MjYzNTc8L3N0eWxlPjxzdHlsZSBmYWNlPSJu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cnZpY2VzX3BhZ2U/c2lkPU9WSUQ6bWVkbGluZSZhbXA7aWQ9cG1pZDoxOTgyNjM1NyZhbXA7aWQ9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127, 139</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w:t>
      </w:r>
      <w:r w:rsidR="00716DF9" w:rsidRPr="002D1DD7">
        <w:t>(</w:t>
      </w:r>
      <w:r w:rsidR="00716DF9" w:rsidRPr="002D1DD7">
        <w:fldChar w:fldCharType="begin"/>
      </w:r>
      <w:r w:rsidR="00716DF9" w:rsidRPr="002D1DD7">
        <w:instrText xml:space="preserve"> REF _Ref16785271 \h  \* MERGEFORMAT </w:instrText>
      </w:r>
      <w:r w:rsidR="00716DF9" w:rsidRPr="002D1DD7">
        <w:fldChar w:fldCharType="separate"/>
      </w:r>
      <w:r w:rsidR="00C663A2" w:rsidRPr="002D1DD7">
        <w:t xml:space="preserve">Figure </w:t>
      </w:r>
      <w:r w:rsidR="00C663A2">
        <w:t>4</w:t>
      </w:r>
      <w:r w:rsidR="00716DF9" w:rsidRPr="002D1DD7">
        <w:fldChar w:fldCharType="end"/>
      </w:r>
      <w:r w:rsidR="00716DF9" w:rsidRPr="002D1DD7">
        <w:t xml:space="preserve"> and </w:t>
      </w:r>
      <w:r w:rsidR="00716DF9" w:rsidRPr="002D1DD7">
        <w:fldChar w:fldCharType="begin"/>
      </w:r>
      <w:r w:rsidR="00716DF9" w:rsidRPr="002D1DD7">
        <w:instrText xml:space="preserve"> REF _Ref19004032 \h  \* MERGEFORMAT </w:instrText>
      </w:r>
      <w:r w:rsidR="00716DF9" w:rsidRPr="002D1DD7">
        <w:fldChar w:fldCharType="separate"/>
      </w:r>
      <w:r w:rsidR="00C663A2" w:rsidRPr="002D1DD7">
        <w:t xml:space="preserve">Table </w:t>
      </w:r>
      <w:r w:rsidR="00C663A2">
        <w:t>7</w:t>
      </w:r>
      <w:r w:rsidR="00716DF9" w:rsidRPr="002D1DD7">
        <w:fldChar w:fldCharType="end"/>
      </w:r>
      <w:r w:rsidR="00716DF9" w:rsidRPr="002D1DD7">
        <w:t xml:space="preserve">; full details in </w:t>
      </w:r>
      <w:r w:rsidR="00716DF9" w:rsidRPr="002D1DD7">
        <w:rPr>
          <w:rFonts w:eastAsia="Times New Roman"/>
          <w:lang w:eastAsia="en-GB"/>
        </w:rPr>
        <w:t xml:space="preserve">Appendix </w:t>
      </w:r>
      <w:r w:rsidR="00A13248">
        <w:rPr>
          <w:rFonts w:eastAsia="Times New Roman"/>
          <w:lang w:eastAsia="en-GB"/>
        </w:rPr>
        <w:t>6</w:t>
      </w:r>
      <w:r w:rsidR="00716DF9" w:rsidRPr="002D1DD7">
        <w:t xml:space="preserve">). </w:t>
      </w:r>
      <w:r w:rsidR="000347C7" w:rsidRPr="000347C7">
        <w:t xml:space="preserve">The majority of </w:t>
      </w:r>
      <w:r w:rsidR="000347C7" w:rsidRPr="002D1DD7">
        <w:t>R</w:t>
      </w:r>
      <w:r w:rsidR="000347C7" w:rsidRPr="002D1DD7">
        <w:rPr>
          <w:vertAlign w:val="superscript"/>
        </w:rPr>
        <w:t>2</w:t>
      </w:r>
      <w:r w:rsidR="000347C7" w:rsidRPr="002D1DD7">
        <w:t xml:space="preserve"> </w:t>
      </w:r>
      <w:r w:rsidR="000347C7">
        <w:t>values were above 0.40</w:t>
      </w:r>
      <w:r w:rsidR="000347C7" w:rsidRPr="000347C7">
        <w:t xml:space="preserve">. The </w:t>
      </w:r>
      <w:r w:rsidR="000347C7" w:rsidRPr="002D1DD7">
        <w:t>R</w:t>
      </w:r>
      <w:r w:rsidR="000347C7" w:rsidRPr="002D1DD7">
        <w:rPr>
          <w:vertAlign w:val="superscript"/>
        </w:rPr>
        <w:t>2</w:t>
      </w:r>
      <w:r w:rsidR="000347C7" w:rsidRPr="002D1DD7">
        <w:t xml:space="preserve"> </w:t>
      </w:r>
      <w:r w:rsidR="000347C7">
        <w:t xml:space="preserve">values </w:t>
      </w:r>
      <w:r w:rsidR="000347C7" w:rsidRPr="000347C7">
        <w:t>reported from multiple analyses within the same study, and those reported across separate studies, did not suggest a clear pattern by cancer type.</w:t>
      </w:r>
      <w:r w:rsidR="000347C7" w:rsidRPr="000347C7">
        <w:rPr>
          <w:color w:val="FF0000"/>
        </w:rPr>
        <w:t xml:space="preserve"> </w:t>
      </w:r>
      <w:r w:rsidR="000347C7" w:rsidRPr="000347C7">
        <w:t xml:space="preserve">Confidence intervals around the </w:t>
      </w:r>
      <w:r w:rsidR="000347C7" w:rsidRPr="002D1DD7">
        <w:t>R</w:t>
      </w:r>
      <w:r w:rsidR="000347C7" w:rsidRPr="002D1DD7">
        <w:rPr>
          <w:vertAlign w:val="superscript"/>
        </w:rPr>
        <w:t>2</w:t>
      </w:r>
      <w:r w:rsidR="000347C7" w:rsidRPr="002D1DD7">
        <w:t xml:space="preserve"> </w:t>
      </w:r>
      <w:r w:rsidR="000347C7">
        <w:t>values</w:t>
      </w:r>
      <w:r w:rsidR="000347C7" w:rsidRPr="000347C7">
        <w:t xml:space="preserve">, where reported, were generally fairly wide (not shown in the </w:t>
      </w:r>
      <w:r w:rsidR="000347C7" w:rsidRPr="004777EB">
        <w:t>plot</w:t>
      </w:r>
      <w:r w:rsidR="000347C7" w:rsidRPr="000347C7">
        <w:t xml:space="preserve">, </w:t>
      </w:r>
      <w:r w:rsidR="000347C7" w:rsidRPr="00D16131">
        <w:t xml:space="preserve">see Appendix </w:t>
      </w:r>
      <w:r w:rsidR="00A13248">
        <w:t>6</w:t>
      </w:r>
      <w:r w:rsidR="000347C7" w:rsidRPr="004777EB">
        <w:t>)</w:t>
      </w:r>
      <w:r w:rsidR="000347C7" w:rsidRPr="000347C7">
        <w:t>.</w:t>
      </w:r>
    </w:p>
    <w:p w14:paraId="3816900C" w14:textId="1289EC8D" w:rsidR="00716DF9" w:rsidRDefault="00557925" w:rsidP="00E001C5">
      <w:r>
        <w:rPr>
          <w:b/>
          <w:bCs/>
        </w:rPr>
        <w:t>O</w:t>
      </w:r>
      <w:r w:rsidR="00716DF9" w:rsidRPr="002D1DD7">
        <w:rPr>
          <w:b/>
          <w:bCs/>
        </w:rPr>
        <w:t>RR and OS:</w:t>
      </w:r>
      <w:r w:rsidR="00716DF9" w:rsidRPr="002D1DD7">
        <w:t xml:space="preserve"> The regression R</w:t>
      </w:r>
      <w:r w:rsidR="00716DF9" w:rsidRPr="002D1DD7">
        <w:rPr>
          <w:vertAlign w:val="superscript"/>
        </w:rPr>
        <w:t>2</w:t>
      </w:r>
      <w:r w:rsidR="00716DF9" w:rsidRPr="002D1DD7">
        <w:t xml:space="preserve"> </w:t>
      </w:r>
      <w:r>
        <w:t xml:space="preserve">values </w:t>
      </w:r>
      <w:r w:rsidR="00716DF9" w:rsidRPr="002D1DD7">
        <w:t xml:space="preserve">for the treatment effect association between </w:t>
      </w:r>
      <w:r w:rsidR="008C3F88">
        <w:t>O</w:t>
      </w:r>
      <w:r w:rsidR="00716DF9" w:rsidRPr="002D1DD7">
        <w:t xml:space="preserve">RR and OS ranged from </w:t>
      </w:r>
      <w:r>
        <w:t>-</w:t>
      </w:r>
      <w:r w:rsidR="00716DF9" w:rsidRPr="002D1DD7">
        <w:t>0.0</w:t>
      </w:r>
      <w:r>
        <w:t>8</w:t>
      </w:r>
      <w:r w:rsidR="00716DF9" w:rsidRPr="002D1DD7">
        <w:t xml:space="preserve"> to 0.84, based on 30 studies across </w:t>
      </w:r>
      <w:r w:rsidR="00E001C5" w:rsidRPr="002D1DD7">
        <w:rPr>
          <w:rFonts w:asciiTheme="majorBidi" w:hAnsiTheme="majorBidi" w:cstheme="majorBidi"/>
        </w:rPr>
        <w:t>11 cancer types</w:t>
      </w:r>
      <w:r w:rsidR="00E001C5" w:rsidRPr="00C144A9">
        <w:rPr>
          <w:rFonts w:asciiTheme="majorBidi" w:hAnsiTheme="majorBidi" w:cstheme="majorBidi"/>
        </w:rPr>
        <w:fldChar w:fldCharType="begin">
          <w:fldData xml:space="preserve">YSwgSXRhbHkmI3hEO0lzdCBOYXpsIFJpYyBDYW5jLCBNZWQgT25jb2wgVW5pdCwgSS0xNjEzMiBH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RVdTPU4mYW1wO1BBR0U9ZnVsbHRleHQmYW1wO0Q9bWVkMTMmYW1wO0FOPTI4MzkxNTc5JiN4RDto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RVdTPU4mYW1wO1BBR0U9ZnVsbHRleHQmYW1wO0Q9bWVkMTImYW1wO0FOPTI3MTA4MDAzJiN4RDto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bXA7TkVXUz1OJmFtcDtQQUdFPWZ1bGx0ZXh0JmFtcDtEPWVtZXhiJmFtcDtBTj02MjU4NTkwMDk8
L3N0eWxlPjwvcmVzZWFyY2gtbm90ZXM+PC9yZWNvcmQ+PC9DaXRlPjwvRW5kTm90ZT4A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PEVuZE5vdGU+PENpdGU+PEF1dGhvcj5CbHVtZW50aGFsPC9BdXRob3I+PFllYXI+MjAxNTwvWWVh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QU49MTY5NDU3NjkmI3hEO2h0dHA6Ly9yZXNvbHZlci5zaGVmLmFjLnVrLz9odHRwOi8vZmluZC5z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WSZhbXA7TkVXUz1OJmFtcDtQQUdFPWZ1bGx0ZXh0JmFtcDtEPW1lZDkmYW1wO0FOPTIzMzAzMjE0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PXBtaWQ6MjMzMDMyMTQmYW1wO2lkPWRvaToxMC4xMTU4JTJGMTA3OC0wNDMyLkNDUi0xMi0yNTAy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P1Q9SlMmYW1wO0NTQz1ZJmFtcDtORVdTPU4mYW1wO1BBR0U9ZnVsbHRleHQmYW1wO0Q9bWVkMTIm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TkVXUz1OJmFtcDtQQUdFPWZ1bGx0ZXh0JmFtcDtEPW1lZDEzJmFtcDtBTj0yNzg1NzAyMCYjeEQ7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==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0E66DE">
        <w:rPr>
          <w:rFonts w:asciiTheme="majorBidi" w:hAnsiTheme="majorBidi" w:cstheme="majorBidi"/>
        </w:rPr>
        <w:fldChar w:fldCharType="begin">
          <w:fldData xml:space="preserve">ZWxsaW5pK00lM0JCYXJhdGVsbGkrQyUzQlNhbHZhdG9yZStMJTNCTWFybW9yaW5vK0YlM0JCb3Jl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WSZhbXA7TkVXUz1OJmFtcDtQQUdFPWZ1bGx0ZXh0JmFtcDtEPW1lZDYmYW1wO0FOPTE5ODI2MzU3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PXBtaWQ6MTk4MjYzNTcmYW1wO2lkPWRvaToxMC4xMDk3JTJGUFBPLjBiMDEzZTMxODFiZWY4Y2Qm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RVdTPU4mYW1wO1BBR0U9ZnVsbHRleHQmYW1wO0Q9bWVkMTImYW1wO0FOPTI3NDUxMDIwJiN4RDto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JmFtcDtDU0M9WSZhbXA7TkVXUz1OJmFtcDtQQUdFPWZ1bGx0ZXh0JmFtcDtEPW1lZDEyJmFtcDtB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==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0E66DE">
        <w:rPr>
          <w:rFonts w:asciiTheme="majorBidi" w:hAnsiTheme="majorBidi" w:cstheme="majorBidi"/>
        </w:rPr>
        <w:fldChar w:fldCharType="begin">
          <w:fldData xml:space="preserve">YSwgSXRhbHkmI3hEO0lzdCBOYXpsIFJpYyBDYW5jLCBNZWQgT25jb2wgVW5pdCwgSS0xNjEzMiBH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RVdTPU4mYW1wO1BBR0U9ZnVsbHRleHQmYW1wO0Q9bWVkMTMmYW1wO0FOPTI4MzkxNTc5JiN4RDto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RVdTPU4mYW1wO1BBR0U9ZnVsbHRleHQmYW1wO0Q9bWVkMTImYW1wO0FOPTI3MTA4MDAzJiN4RDto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bXA7TkVXUz1OJmFtcDtQQUdFPWZ1bGx0ZXh0JmFtcDtEPWVtZXhiJmFtcDtBTj02MjU4NTkwMDk8
L3N0eWxlPjwvcmVzZWFyY2gtbm90ZXM+PC9yZWNvcmQ+PC9DaXRlPjwvRW5kTm90ZT4A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C144A9">
        <w:rPr>
          <w:rFonts w:asciiTheme="majorBidi" w:hAnsiTheme="majorBidi" w:cstheme="majorBidi"/>
        </w:rPr>
      </w:r>
      <w:r w:rsidR="00E001C5" w:rsidRPr="00C144A9">
        <w:rPr>
          <w:rFonts w:asciiTheme="majorBidi" w:hAnsiTheme="majorBidi" w:cstheme="majorBidi"/>
        </w:rPr>
        <w:fldChar w:fldCharType="separate"/>
      </w:r>
      <w:r w:rsidR="003117A9" w:rsidRPr="003117A9">
        <w:rPr>
          <w:rFonts w:asciiTheme="majorBidi" w:hAnsiTheme="majorBidi" w:cstheme="majorBidi"/>
          <w:noProof/>
          <w:vertAlign w:val="superscript"/>
        </w:rPr>
        <w:t>81-83, 85-92, 94, 96, 97, 100, 101, 105-107, 113, 116-118, 120, 123, 127, 133, 134, 137, 139</w:t>
      </w:r>
      <w:r w:rsidR="00E001C5" w:rsidRPr="00C144A9">
        <w:rPr>
          <w:rFonts w:asciiTheme="majorBidi" w:hAnsiTheme="majorBidi" w:cstheme="majorBidi"/>
        </w:rPr>
        <w:fldChar w:fldCharType="end"/>
      </w:r>
      <w:r w:rsidR="00E001C5" w:rsidRPr="004777EB">
        <w:rPr>
          <w:rFonts w:asciiTheme="majorBidi" w:hAnsiTheme="majorBidi" w:cstheme="majorBidi"/>
        </w:rPr>
        <w:t xml:space="preserve"> </w:t>
      </w:r>
      <w:r w:rsidR="00716DF9" w:rsidRPr="004777EB">
        <w:t>(</w:t>
      </w:r>
      <w:r w:rsidR="00716DF9" w:rsidRPr="00C144A9">
        <w:fldChar w:fldCharType="begin"/>
      </w:r>
      <w:r w:rsidR="00716DF9" w:rsidRPr="005A3E67">
        <w:instrText xml:space="preserve"> REF _Ref16785279 \h  \* MERGEFORMAT </w:instrText>
      </w:r>
      <w:r w:rsidR="00716DF9" w:rsidRPr="00C144A9">
        <w:fldChar w:fldCharType="separate"/>
      </w:r>
      <w:r w:rsidR="00C663A2" w:rsidRPr="002D1DD7">
        <w:t xml:space="preserve">Figure </w:t>
      </w:r>
      <w:r w:rsidR="00C663A2">
        <w:t>5</w:t>
      </w:r>
      <w:r w:rsidR="00716DF9" w:rsidRPr="00C144A9">
        <w:fldChar w:fldCharType="end"/>
      </w:r>
      <w:r w:rsidR="00716DF9" w:rsidRPr="004777EB">
        <w:t xml:space="preserve"> and </w:t>
      </w:r>
      <w:r w:rsidR="00716DF9" w:rsidRPr="00C144A9">
        <w:fldChar w:fldCharType="begin"/>
      </w:r>
      <w:r w:rsidR="00716DF9" w:rsidRPr="005A3E67">
        <w:instrText xml:space="preserve"> REF _Ref19004032 \h  \* MERGEFORMAT </w:instrText>
      </w:r>
      <w:r w:rsidR="00716DF9" w:rsidRPr="00C144A9">
        <w:fldChar w:fldCharType="separate"/>
      </w:r>
      <w:r w:rsidR="00C663A2" w:rsidRPr="002D1DD7">
        <w:t xml:space="preserve">Table </w:t>
      </w:r>
      <w:r w:rsidR="00C663A2">
        <w:t>7</w:t>
      </w:r>
      <w:r w:rsidR="00716DF9" w:rsidRPr="00C144A9">
        <w:fldChar w:fldCharType="end"/>
      </w:r>
      <w:r w:rsidR="00716DF9" w:rsidRPr="004777EB">
        <w:t xml:space="preserve">; full details in </w:t>
      </w:r>
      <w:r w:rsidR="00716DF9" w:rsidRPr="005A3E67">
        <w:rPr>
          <w:rFonts w:eastAsia="Times New Roman"/>
          <w:lang w:eastAsia="en-GB"/>
        </w:rPr>
        <w:t xml:space="preserve">Appendix </w:t>
      </w:r>
      <w:r w:rsidR="00A13248">
        <w:rPr>
          <w:rFonts w:eastAsia="Times New Roman"/>
          <w:lang w:eastAsia="en-GB"/>
        </w:rPr>
        <w:t>6</w:t>
      </w:r>
      <w:r w:rsidR="00716DF9" w:rsidRPr="005A3E67">
        <w:t xml:space="preserve">). </w:t>
      </w:r>
      <w:r w:rsidR="000347C7" w:rsidRPr="005A3E67">
        <w:t>With the exception of one analysis, all R</w:t>
      </w:r>
      <w:r w:rsidR="000347C7" w:rsidRPr="00D16131">
        <w:rPr>
          <w:vertAlign w:val="superscript"/>
        </w:rPr>
        <w:t xml:space="preserve">2 </w:t>
      </w:r>
      <w:r w:rsidR="000347C7" w:rsidRPr="004777EB">
        <w:t>value</w:t>
      </w:r>
      <w:r w:rsidR="000347C7" w:rsidRPr="005A3E67">
        <w:t xml:space="preserve">s were below 0.60. </w:t>
      </w:r>
      <w:r w:rsidR="005A3E67" w:rsidRPr="000347C7">
        <w:t xml:space="preserve">The </w:t>
      </w:r>
      <w:r w:rsidR="005A3E67" w:rsidRPr="002D1DD7">
        <w:t>R</w:t>
      </w:r>
      <w:r w:rsidR="005A3E67" w:rsidRPr="002D1DD7">
        <w:rPr>
          <w:vertAlign w:val="superscript"/>
        </w:rPr>
        <w:t>2</w:t>
      </w:r>
      <w:r w:rsidR="005A3E67" w:rsidRPr="002D1DD7">
        <w:t xml:space="preserve"> </w:t>
      </w:r>
      <w:r w:rsidR="005A3E67">
        <w:t xml:space="preserve">values </w:t>
      </w:r>
      <w:r w:rsidR="005A3E67" w:rsidRPr="000347C7">
        <w:t>reported from multiple analyses within the same study, and those reported across separate studies, did not suggest a clear pattern by cancer type.</w:t>
      </w:r>
      <w:r w:rsidR="005A3E67" w:rsidRPr="000347C7">
        <w:rPr>
          <w:color w:val="FF0000"/>
        </w:rPr>
        <w:t xml:space="preserve"> </w:t>
      </w:r>
      <w:r w:rsidR="00716DF9" w:rsidRPr="004777EB">
        <w:t>Confidence intervals</w:t>
      </w:r>
      <w:r w:rsidR="005A3E67">
        <w:t xml:space="preserve"> </w:t>
      </w:r>
      <w:r w:rsidR="005A3E67" w:rsidRPr="000347C7">
        <w:t xml:space="preserve">around the </w:t>
      </w:r>
      <w:r w:rsidR="005A3E67" w:rsidRPr="002D1DD7">
        <w:t>R</w:t>
      </w:r>
      <w:r w:rsidR="005A3E67" w:rsidRPr="002D1DD7">
        <w:rPr>
          <w:vertAlign w:val="superscript"/>
        </w:rPr>
        <w:t>2</w:t>
      </w:r>
      <w:r w:rsidR="005A3E67" w:rsidRPr="002D1DD7">
        <w:t xml:space="preserve"> </w:t>
      </w:r>
      <w:r w:rsidR="005A3E67">
        <w:t>values</w:t>
      </w:r>
      <w:r w:rsidR="00716DF9" w:rsidRPr="004777EB">
        <w:t>, where reported, were generally wide</w:t>
      </w:r>
      <w:r w:rsidR="005A3E67" w:rsidRPr="005A3E67">
        <w:t xml:space="preserve"> </w:t>
      </w:r>
      <w:r w:rsidR="005A3E67" w:rsidRPr="00D16131">
        <w:t>(not shown in the plot)</w:t>
      </w:r>
      <w:r w:rsidR="00716DF9" w:rsidRPr="004777EB">
        <w:t>.</w:t>
      </w:r>
      <w:r w:rsidR="00716DF9" w:rsidRPr="002D1DD7">
        <w:t xml:space="preserve"> </w:t>
      </w:r>
    </w:p>
    <w:p w14:paraId="3C430905" w14:textId="2A1EDF8A" w:rsidR="00716DF9" w:rsidRPr="002D1DD7" w:rsidRDefault="00716DF9" w:rsidP="00E001C5">
      <w:r w:rsidRPr="002D1DD7">
        <w:rPr>
          <w:b/>
          <w:bCs/>
        </w:rPr>
        <w:t>CR and PFS or OS:</w:t>
      </w:r>
      <w:r w:rsidRPr="002D1DD7">
        <w:t xml:space="preserve"> The regression R</w:t>
      </w:r>
      <w:r w:rsidRPr="002D1DD7">
        <w:rPr>
          <w:vertAlign w:val="superscript"/>
        </w:rPr>
        <w:t>2</w:t>
      </w:r>
      <w:r w:rsidRPr="002D1DD7">
        <w:t xml:space="preserve"> for the treatment effect association between CR and PFS </w:t>
      </w:r>
      <w:r w:rsidR="00557925">
        <w:t>ranged from 0.45 to</w:t>
      </w:r>
      <w:r w:rsidR="00557925" w:rsidRPr="002D1DD7">
        <w:t xml:space="preserve"> </w:t>
      </w:r>
      <w:r w:rsidRPr="002D1DD7">
        <w:t xml:space="preserve">0.93 in one study of </w:t>
      </w:r>
      <w:r w:rsidR="00E001C5" w:rsidRPr="002D1DD7">
        <w:rPr>
          <w:rFonts w:asciiTheme="majorBidi" w:hAnsiTheme="majorBidi" w:cstheme="majorBidi"/>
        </w:rPr>
        <w:t>NHL,</w:t>
      </w:r>
      <w:r w:rsidR="00E001C5" w:rsidRPr="002D1DD7">
        <w:rPr>
          <w:rFonts w:asciiTheme="majorBidi" w:hAnsiTheme="majorBidi" w:cstheme="majorBidi"/>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0E66DE">
        <w:rPr>
          <w:rFonts w:asciiTheme="majorBidi" w:hAnsiTheme="majorBidi" w:cstheme="majorBidi"/>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129</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while the regression R</w:t>
      </w:r>
      <w:r w:rsidR="00E001C5" w:rsidRPr="002D1DD7">
        <w:rPr>
          <w:rFonts w:asciiTheme="majorBidi" w:hAnsiTheme="majorBidi" w:cstheme="majorBidi"/>
          <w:vertAlign w:val="superscript"/>
        </w:rPr>
        <w:t>2</w:t>
      </w:r>
      <w:r w:rsidR="00E001C5" w:rsidRPr="002D1DD7">
        <w:rPr>
          <w:rFonts w:asciiTheme="majorBidi" w:hAnsiTheme="majorBidi" w:cstheme="majorBidi"/>
        </w:rPr>
        <w:t xml:space="preserve"> for the treatment effect association between CR and OS within two studies of breast cancer</w:t>
      </w:r>
      <w:r w:rsidR="00E001C5" w:rsidRPr="002D1DD7">
        <w:rPr>
          <w:rFonts w:asciiTheme="majorBidi" w:hAnsiTheme="majorBidi" w:cstheme="majorBidi"/>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96</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and SCLC</w:t>
      </w:r>
      <w:r w:rsidR="00E001C5" w:rsidRPr="002D1DD7">
        <w:rPr>
          <w:rFonts w:asciiTheme="majorBidi" w:hAnsiTheme="majorBidi" w:cstheme="majorBidi"/>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asciiTheme="majorBidi" w:hAnsiTheme="majorBidi" w:cstheme="majorBidi"/>
        </w:rPr>
        <w:instrText xml:space="preserve"> ADDIN EN.CITE </w:instrText>
      </w:r>
      <w:r w:rsidR="00054FE8">
        <w:rPr>
          <w:rFonts w:asciiTheme="majorBidi" w:hAnsiTheme="majorBidi" w:cstheme="majorBidi"/>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asciiTheme="majorBidi" w:hAnsiTheme="majorBidi" w:cstheme="majorBidi"/>
        </w:rPr>
        <w:instrText xml:space="preserve"> ADDIN EN.CITE.DATA </w:instrText>
      </w:r>
      <w:r w:rsidR="00054FE8">
        <w:rPr>
          <w:rFonts w:asciiTheme="majorBidi" w:hAnsiTheme="majorBidi" w:cstheme="majorBidi"/>
        </w:rPr>
      </w:r>
      <w:r w:rsidR="00054FE8">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94</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w:t>
      </w:r>
      <w:r w:rsidR="00E001C5">
        <w:rPr>
          <w:rFonts w:asciiTheme="majorBidi" w:hAnsiTheme="majorBidi" w:cstheme="majorBidi"/>
        </w:rPr>
        <w:t>ranged from</w:t>
      </w:r>
      <w:r w:rsidR="00E001C5" w:rsidRPr="002D1DD7">
        <w:rPr>
          <w:rFonts w:asciiTheme="majorBidi" w:hAnsiTheme="majorBidi" w:cstheme="majorBidi"/>
        </w:rPr>
        <w:t xml:space="preserve"> 0.</w:t>
      </w:r>
      <w:r w:rsidR="00E001C5">
        <w:rPr>
          <w:rFonts w:asciiTheme="majorBidi" w:hAnsiTheme="majorBidi" w:cstheme="majorBidi"/>
        </w:rPr>
        <w:t>05</w:t>
      </w:r>
      <w:r w:rsidR="00E001C5" w:rsidRPr="002D1DD7">
        <w:rPr>
          <w:rFonts w:asciiTheme="majorBidi" w:hAnsiTheme="majorBidi" w:cstheme="majorBidi"/>
        </w:rPr>
        <w:t xml:space="preserve"> </w:t>
      </w:r>
      <w:r w:rsidR="00E001C5">
        <w:rPr>
          <w:rFonts w:asciiTheme="majorBidi" w:hAnsiTheme="majorBidi" w:cstheme="majorBidi"/>
        </w:rPr>
        <w:t>to</w:t>
      </w:r>
      <w:r w:rsidR="00E001C5" w:rsidRPr="002D1DD7">
        <w:rPr>
          <w:rFonts w:asciiTheme="majorBidi" w:hAnsiTheme="majorBidi" w:cstheme="majorBidi"/>
        </w:rPr>
        <w:t xml:space="preserve"> 0.48</w:t>
      </w:r>
      <w:r w:rsidR="00E001C5" w:rsidRPr="002D1DD7">
        <w:t xml:space="preserve"> </w:t>
      </w:r>
      <w:r w:rsidRPr="002D1DD7">
        <w:t>(</w:t>
      </w:r>
      <w:r w:rsidRPr="002D1DD7">
        <w:fldChar w:fldCharType="begin"/>
      </w:r>
      <w:r w:rsidRPr="002D1DD7">
        <w:instrText xml:space="preserve"> REF _Ref19004032 \h  \* MERGEFORMAT </w:instrText>
      </w:r>
      <w:r w:rsidRPr="002D1DD7">
        <w:fldChar w:fldCharType="separate"/>
      </w:r>
      <w:r w:rsidR="00C663A2" w:rsidRPr="002D1DD7">
        <w:t xml:space="preserve">Table </w:t>
      </w:r>
      <w:r w:rsidR="00C663A2">
        <w:t>7</w:t>
      </w:r>
      <w:r w:rsidRPr="002D1DD7">
        <w:fldChar w:fldCharType="end"/>
      </w:r>
      <w:r w:rsidRPr="002D1DD7">
        <w:t xml:space="preserve">; full details in </w:t>
      </w:r>
      <w:r w:rsidRPr="002D1DD7">
        <w:rPr>
          <w:rFonts w:eastAsia="Times New Roman"/>
          <w:lang w:eastAsia="en-GB"/>
        </w:rPr>
        <w:t xml:space="preserve">Appendix </w:t>
      </w:r>
      <w:r w:rsidR="00A13248">
        <w:rPr>
          <w:rFonts w:eastAsia="Times New Roman"/>
          <w:lang w:eastAsia="en-GB"/>
        </w:rPr>
        <w:t>6</w:t>
      </w:r>
      <w:r w:rsidRPr="002D1DD7">
        <w:t>).</w:t>
      </w:r>
    </w:p>
    <w:p w14:paraId="7AB471F3" w14:textId="77777777" w:rsidR="00716DF9" w:rsidRPr="002D1DD7" w:rsidRDefault="00716DF9" w:rsidP="00A13248">
      <w:r w:rsidRPr="002D1DD7">
        <w:rPr>
          <w:b/>
          <w:bCs/>
        </w:rPr>
        <w:t>PR and PFS or OS:</w:t>
      </w:r>
      <w:r w:rsidRPr="002D1DD7">
        <w:t xml:space="preserve"> No studies reported the treatment effect association between PR and PFS or OS.</w:t>
      </w:r>
    </w:p>
    <w:p w14:paraId="088022B7" w14:textId="3D82D594" w:rsidR="00716DF9" w:rsidRPr="002D1DD7" w:rsidRDefault="00716DF9" w:rsidP="00E001C5">
      <w:pPr>
        <w:rPr>
          <w:rFonts w:asciiTheme="majorBidi" w:hAnsiTheme="majorBidi" w:cstheme="majorBidi"/>
        </w:rPr>
      </w:pPr>
      <w:r w:rsidRPr="002D1DD7">
        <w:rPr>
          <w:b/>
          <w:bCs/>
          <w:lang w:eastAsia="en-GB"/>
        </w:rPr>
        <w:t>DoR and PFS or OS:</w:t>
      </w:r>
      <w:r w:rsidRPr="002D1DD7">
        <w:rPr>
          <w:lang w:eastAsia="en-GB"/>
        </w:rPr>
        <w:t xml:space="preserve"> No studies reported </w:t>
      </w:r>
      <w:r w:rsidRPr="002D1DD7">
        <w:t>R</w:t>
      </w:r>
      <w:r w:rsidRPr="002D1DD7">
        <w:rPr>
          <w:vertAlign w:val="superscript"/>
        </w:rPr>
        <w:t>2</w:t>
      </w:r>
      <w:r w:rsidRPr="002D1DD7">
        <w:t xml:space="preserve"> between</w:t>
      </w:r>
      <w:r w:rsidRPr="002D1DD7">
        <w:rPr>
          <w:lang w:eastAsia="en-GB"/>
        </w:rPr>
        <w:t xml:space="preserve"> DoR and OS or PFS. </w:t>
      </w:r>
      <w:r w:rsidR="00E001C5" w:rsidRPr="002D1DD7">
        <w:rPr>
          <w:rFonts w:asciiTheme="majorBidi" w:eastAsia="Times New Roman" w:hAnsiTheme="majorBidi" w:cstheme="majorBidi"/>
          <w:lang w:eastAsia="en-GB"/>
        </w:rPr>
        <w:t xml:space="preserve">Two studies in </w:t>
      </w:r>
      <w:r w:rsidR="00E001C5" w:rsidRPr="002D1DD7">
        <w:rPr>
          <w:rFonts w:asciiTheme="majorBidi" w:hAnsiTheme="majorBidi" w:cstheme="majorBidi"/>
        </w:rPr>
        <w:t>colorectal cancer</w:t>
      </w:r>
      <w:r w:rsidR="00E001C5" w:rsidRPr="002D1DD7">
        <w:rPr>
          <w:rFonts w:asciiTheme="majorBidi" w:eastAsia="Times New Roman" w:hAnsiTheme="majorBidi" w:cstheme="majorBidi"/>
          <w:lang w:eastAsia="en-GB"/>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asciiTheme="majorBidi" w:eastAsia="Times New Roman" w:hAnsiTheme="majorBidi" w:cstheme="majorBidi"/>
          <w:lang w:eastAsia="en-GB"/>
        </w:rPr>
        <w:instrText xml:space="preserve"> ADDIN EN.CITE </w:instrText>
      </w:r>
      <w:r w:rsidR="000E66DE">
        <w:rPr>
          <w:rFonts w:asciiTheme="majorBidi" w:eastAsia="Times New Roman" w:hAnsiTheme="majorBidi" w:cstheme="majorBidi"/>
          <w:lang w:eastAsia="en-GB"/>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asciiTheme="majorBidi" w:eastAsia="Times New Roman" w:hAnsiTheme="majorBidi" w:cstheme="majorBidi"/>
          <w:lang w:eastAsia="en-GB"/>
        </w:rPr>
        <w:instrText xml:space="preserve"> ADDIN EN.CITE.DATA </w:instrText>
      </w:r>
      <w:r w:rsidR="000E66DE">
        <w:rPr>
          <w:rFonts w:asciiTheme="majorBidi" w:eastAsia="Times New Roman" w:hAnsiTheme="majorBidi" w:cstheme="majorBidi"/>
          <w:lang w:eastAsia="en-GB"/>
        </w:rPr>
      </w:r>
      <w:r w:rsidR="000E66DE">
        <w:rPr>
          <w:rFonts w:asciiTheme="majorBidi" w:eastAsia="Times New Roman" w:hAnsiTheme="majorBidi" w:cstheme="majorBidi"/>
          <w:lang w:eastAsia="en-GB"/>
        </w:rPr>
        <w:fldChar w:fldCharType="end"/>
      </w:r>
      <w:r w:rsidR="00E001C5" w:rsidRPr="002D1DD7">
        <w:rPr>
          <w:rFonts w:asciiTheme="majorBidi" w:eastAsia="Times New Roman" w:hAnsiTheme="majorBidi" w:cstheme="majorBidi"/>
          <w:lang w:eastAsia="en-GB"/>
        </w:rPr>
      </w:r>
      <w:r w:rsidR="00E001C5" w:rsidRPr="002D1DD7">
        <w:rPr>
          <w:rFonts w:asciiTheme="majorBidi" w:eastAsia="Times New Roman" w:hAnsiTheme="majorBidi" w:cstheme="majorBidi"/>
          <w:lang w:eastAsia="en-GB"/>
        </w:rPr>
        <w:fldChar w:fldCharType="separate"/>
      </w:r>
      <w:r w:rsidR="003117A9" w:rsidRPr="003117A9">
        <w:rPr>
          <w:rFonts w:asciiTheme="majorBidi" w:eastAsia="Times New Roman" w:hAnsiTheme="majorBidi" w:cstheme="majorBidi"/>
          <w:noProof/>
          <w:vertAlign w:val="superscript"/>
          <w:lang w:eastAsia="en-GB"/>
        </w:rPr>
        <w:t>89</w:t>
      </w:r>
      <w:r w:rsidR="00E001C5" w:rsidRPr="002D1DD7">
        <w:rPr>
          <w:rFonts w:asciiTheme="majorBidi" w:eastAsia="Times New Roman" w:hAnsiTheme="majorBidi" w:cstheme="majorBidi"/>
          <w:lang w:eastAsia="en-GB"/>
        </w:rPr>
        <w:fldChar w:fldCharType="end"/>
      </w:r>
      <w:r w:rsidR="00E001C5" w:rsidRPr="002D1DD7">
        <w:rPr>
          <w:rFonts w:asciiTheme="majorBidi" w:eastAsia="Times New Roman" w:hAnsiTheme="majorBidi" w:cstheme="majorBidi"/>
          <w:lang w:eastAsia="en-GB"/>
        </w:rPr>
        <w:t xml:space="preserve"> and pancreatic cancer</w:t>
      </w:r>
      <w:r w:rsidR="00E001C5" w:rsidRPr="002D1DD7">
        <w:rPr>
          <w:rFonts w:asciiTheme="majorBidi" w:eastAsia="Times New Roman" w:hAnsiTheme="majorBidi" w:cstheme="majorBidi"/>
          <w:lang w:eastAsia="en-GB"/>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asciiTheme="majorBidi" w:eastAsia="Times New Roman" w:hAnsiTheme="majorBidi" w:cstheme="majorBidi"/>
          <w:lang w:eastAsia="en-GB"/>
        </w:rPr>
        <w:instrText xml:space="preserve"> ADDIN EN.CITE </w:instrText>
      </w:r>
      <w:r w:rsidR="000E66DE">
        <w:rPr>
          <w:rFonts w:asciiTheme="majorBidi" w:eastAsia="Times New Roman" w:hAnsiTheme="majorBidi" w:cstheme="majorBidi"/>
          <w:lang w:eastAsia="en-GB"/>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asciiTheme="majorBidi" w:eastAsia="Times New Roman" w:hAnsiTheme="majorBidi" w:cstheme="majorBidi"/>
          <w:lang w:eastAsia="en-GB"/>
        </w:rPr>
        <w:instrText xml:space="preserve"> ADDIN EN.CITE.DATA </w:instrText>
      </w:r>
      <w:r w:rsidR="000E66DE">
        <w:rPr>
          <w:rFonts w:asciiTheme="majorBidi" w:eastAsia="Times New Roman" w:hAnsiTheme="majorBidi" w:cstheme="majorBidi"/>
          <w:lang w:eastAsia="en-GB"/>
        </w:rPr>
      </w:r>
      <w:r w:rsidR="000E66DE">
        <w:rPr>
          <w:rFonts w:asciiTheme="majorBidi" w:eastAsia="Times New Roman" w:hAnsiTheme="majorBidi" w:cstheme="majorBidi"/>
          <w:lang w:eastAsia="en-GB"/>
        </w:rPr>
        <w:fldChar w:fldCharType="end"/>
      </w:r>
      <w:r w:rsidR="00E001C5" w:rsidRPr="002D1DD7">
        <w:rPr>
          <w:rFonts w:asciiTheme="majorBidi" w:eastAsia="Times New Roman" w:hAnsiTheme="majorBidi" w:cstheme="majorBidi"/>
          <w:lang w:eastAsia="en-GB"/>
        </w:rPr>
      </w:r>
      <w:r w:rsidR="00E001C5" w:rsidRPr="002D1DD7">
        <w:rPr>
          <w:rFonts w:asciiTheme="majorBidi" w:eastAsia="Times New Roman" w:hAnsiTheme="majorBidi" w:cstheme="majorBidi"/>
          <w:lang w:eastAsia="en-GB"/>
        </w:rPr>
        <w:fldChar w:fldCharType="separate"/>
      </w:r>
      <w:r w:rsidR="003117A9" w:rsidRPr="003117A9">
        <w:rPr>
          <w:rFonts w:asciiTheme="majorBidi" w:eastAsia="Times New Roman" w:hAnsiTheme="majorBidi" w:cstheme="majorBidi"/>
          <w:noProof/>
          <w:vertAlign w:val="superscript"/>
          <w:lang w:eastAsia="en-GB"/>
        </w:rPr>
        <w:t>88</w:t>
      </w:r>
      <w:r w:rsidR="00E001C5" w:rsidRPr="002D1DD7">
        <w:rPr>
          <w:rFonts w:asciiTheme="majorBidi" w:eastAsia="Times New Roman" w:hAnsiTheme="majorBidi" w:cstheme="majorBidi"/>
          <w:lang w:eastAsia="en-GB"/>
        </w:rPr>
        <w:fldChar w:fldCharType="end"/>
      </w:r>
      <w:r w:rsidR="00E001C5" w:rsidRPr="002D1DD7">
        <w:rPr>
          <w:rFonts w:asciiTheme="majorBidi" w:eastAsia="Times New Roman" w:hAnsiTheme="majorBidi" w:cstheme="majorBidi"/>
          <w:lang w:eastAsia="en-GB"/>
        </w:rPr>
        <w:t xml:space="preserve"> reported Spearman correlation coefficient</w:t>
      </w:r>
      <w:r w:rsidR="00E001C5">
        <w:rPr>
          <w:rFonts w:asciiTheme="majorBidi" w:eastAsia="Times New Roman" w:hAnsiTheme="majorBidi" w:cstheme="majorBidi"/>
          <w:lang w:eastAsia="en-GB"/>
        </w:rPr>
        <w:t>s</w:t>
      </w:r>
      <w:r w:rsidR="00E001C5" w:rsidRPr="002D1DD7">
        <w:rPr>
          <w:rFonts w:asciiTheme="majorBidi" w:eastAsia="Times New Roman" w:hAnsiTheme="majorBidi" w:cstheme="majorBidi"/>
          <w:lang w:eastAsia="en-GB"/>
        </w:rPr>
        <w:t xml:space="preserve"> between DoR and OS</w:t>
      </w:r>
      <w:r w:rsidR="00E001C5">
        <w:rPr>
          <w:rFonts w:asciiTheme="majorBidi" w:eastAsia="Times New Roman" w:hAnsiTheme="majorBidi" w:cstheme="majorBidi"/>
          <w:lang w:eastAsia="en-GB"/>
        </w:rPr>
        <w:t xml:space="preserve"> ranging from</w:t>
      </w:r>
      <w:r w:rsidR="00E001C5" w:rsidRPr="002D1DD7">
        <w:rPr>
          <w:rFonts w:asciiTheme="majorBidi" w:eastAsia="Times New Roman" w:hAnsiTheme="majorBidi" w:cstheme="majorBidi"/>
          <w:lang w:eastAsia="en-GB"/>
        </w:rPr>
        <w:t xml:space="preserve"> 0.</w:t>
      </w:r>
      <w:r w:rsidR="00E001C5">
        <w:rPr>
          <w:rFonts w:asciiTheme="majorBidi" w:eastAsia="Times New Roman" w:hAnsiTheme="majorBidi" w:cstheme="majorBidi"/>
          <w:lang w:eastAsia="en-GB"/>
        </w:rPr>
        <w:t>40</w:t>
      </w:r>
      <w:r w:rsidR="00E001C5" w:rsidRPr="002D1DD7">
        <w:rPr>
          <w:rFonts w:asciiTheme="majorBidi" w:eastAsia="Times New Roman" w:hAnsiTheme="majorBidi" w:cstheme="majorBidi"/>
          <w:lang w:eastAsia="en-GB"/>
        </w:rPr>
        <w:t xml:space="preserve"> </w:t>
      </w:r>
      <w:r w:rsidR="00E001C5">
        <w:rPr>
          <w:rFonts w:asciiTheme="majorBidi" w:eastAsia="Times New Roman" w:hAnsiTheme="majorBidi" w:cstheme="majorBidi"/>
          <w:lang w:eastAsia="en-GB"/>
        </w:rPr>
        <w:t>to</w:t>
      </w:r>
      <w:r w:rsidR="00E001C5" w:rsidRPr="002D1DD7">
        <w:rPr>
          <w:rFonts w:asciiTheme="majorBidi" w:eastAsia="Times New Roman" w:hAnsiTheme="majorBidi" w:cstheme="majorBidi"/>
          <w:lang w:eastAsia="en-GB"/>
        </w:rPr>
        <w:t xml:space="preserve"> 0.76</w:t>
      </w:r>
      <w:r w:rsidRPr="002D1DD7">
        <w:rPr>
          <w:lang w:eastAsia="en-GB"/>
        </w:rPr>
        <w:t xml:space="preserve"> (</w:t>
      </w:r>
      <w:r w:rsidRPr="002D1DD7">
        <w:fldChar w:fldCharType="begin"/>
      </w:r>
      <w:r w:rsidRPr="002D1DD7">
        <w:instrText xml:space="preserve"> REF _Ref19004032 \h  \* MERGEFORMAT </w:instrText>
      </w:r>
      <w:r w:rsidRPr="002D1DD7">
        <w:fldChar w:fldCharType="separate"/>
      </w:r>
      <w:r w:rsidR="00C663A2" w:rsidRPr="002D1DD7">
        <w:t xml:space="preserve">Table </w:t>
      </w:r>
      <w:r w:rsidR="00C663A2">
        <w:t>7</w:t>
      </w:r>
      <w:r w:rsidRPr="002D1DD7">
        <w:fldChar w:fldCharType="end"/>
      </w:r>
      <w:r w:rsidRPr="002D1DD7">
        <w:t xml:space="preserve">; full details in </w:t>
      </w:r>
      <w:r w:rsidRPr="002D1DD7">
        <w:rPr>
          <w:lang w:eastAsia="en-GB"/>
        </w:rPr>
        <w:t xml:space="preserve">Appendix </w:t>
      </w:r>
      <w:r w:rsidR="00A13248">
        <w:rPr>
          <w:lang w:eastAsia="en-GB"/>
        </w:rPr>
        <w:t>6</w:t>
      </w:r>
      <w:r w:rsidRPr="002D1DD7">
        <w:t>).</w:t>
      </w:r>
      <w:r w:rsidR="00A13248">
        <w:t xml:space="preserve"> </w:t>
      </w:r>
    </w:p>
    <w:p w14:paraId="36C07F34" w14:textId="0D985A04" w:rsidR="00716DF9" w:rsidRPr="002D1DD7" w:rsidRDefault="00716DF9" w:rsidP="00A13248">
      <w:pPr>
        <w:pStyle w:val="Caption"/>
      </w:pPr>
      <w:bookmarkStart w:id="98" w:name="_Ref19004032"/>
      <w:bookmarkStart w:id="99" w:name="_Toc34033521"/>
      <w:r w:rsidRPr="002D1DD7">
        <w:lastRenderedPageBreak/>
        <w:t xml:space="preserve">Table </w:t>
      </w:r>
      <w:r w:rsidR="00C974E5">
        <w:fldChar w:fldCharType="begin"/>
      </w:r>
      <w:r w:rsidR="00C974E5">
        <w:instrText xml:space="preserve"> SEQ Table \* ARABIC </w:instrText>
      </w:r>
      <w:r w:rsidR="00C974E5">
        <w:fldChar w:fldCharType="separate"/>
      </w:r>
      <w:r w:rsidR="00C663A2">
        <w:rPr>
          <w:noProof/>
        </w:rPr>
        <w:t>7</w:t>
      </w:r>
      <w:r w:rsidR="00C974E5">
        <w:rPr>
          <w:noProof/>
        </w:rPr>
        <w:fldChar w:fldCharType="end"/>
      </w:r>
      <w:bookmarkEnd w:id="98"/>
      <w:r w:rsidRPr="002D1DD7">
        <w:t>: Summary of treatment effect (trial-level) R</w:t>
      </w:r>
      <w:r w:rsidRPr="002D1DD7">
        <w:rPr>
          <w:vertAlign w:val="superscript"/>
        </w:rPr>
        <w:t>2</w:t>
      </w:r>
      <w:r w:rsidRPr="002D1DD7">
        <w:t xml:space="preserve"> per study</w:t>
      </w:r>
      <w:bookmarkEnd w:id="99"/>
    </w:p>
    <w:tbl>
      <w:tblPr>
        <w:tblStyle w:val="TableGrid"/>
        <w:tblW w:w="8960"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70"/>
        <w:gridCol w:w="995"/>
        <w:gridCol w:w="3399"/>
        <w:gridCol w:w="1701"/>
        <w:gridCol w:w="1276"/>
        <w:gridCol w:w="19"/>
      </w:tblGrid>
      <w:tr w:rsidR="00716DF9" w:rsidRPr="00A13248" w14:paraId="27AB8BFC" w14:textId="77777777" w:rsidTr="00716DF9">
        <w:trPr>
          <w:gridAfter w:val="1"/>
          <w:wAfter w:w="19" w:type="dxa"/>
        </w:trPr>
        <w:tc>
          <w:tcPr>
            <w:tcW w:w="1570" w:type="dxa"/>
            <w:tcMar>
              <w:left w:w="28" w:type="dxa"/>
              <w:right w:w="28" w:type="dxa"/>
            </w:tcMar>
          </w:tcPr>
          <w:p w14:paraId="11DCB4A0" w14:textId="77777777" w:rsidR="00716DF9" w:rsidRPr="00A13248" w:rsidRDefault="00716DF9" w:rsidP="00716DF9">
            <w:pPr>
              <w:rPr>
                <w:rFonts w:cs="Times New Roman"/>
                <w:b/>
                <w:bCs/>
                <w:sz w:val="20"/>
                <w:szCs w:val="20"/>
              </w:rPr>
            </w:pPr>
            <w:r w:rsidRPr="00A13248">
              <w:rPr>
                <w:rFonts w:cs="Times New Roman"/>
                <w:b/>
                <w:bCs/>
                <w:sz w:val="20"/>
                <w:szCs w:val="20"/>
              </w:rPr>
              <w:t>Surrogate relationship</w:t>
            </w:r>
          </w:p>
        </w:tc>
        <w:tc>
          <w:tcPr>
            <w:tcW w:w="995" w:type="dxa"/>
            <w:tcMar>
              <w:left w:w="28" w:type="dxa"/>
              <w:right w:w="28" w:type="dxa"/>
            </w:tcMar>
          </w:tcPr>
          <w:p w14:paraId="5B0A2395" w14:textId="77777777" w:rsidR="00716DF9" w:rsidRPr="00A13248" w:rsidRDefault="00716DF9" w:rsidP="00716DF9">
            <w:pPr>
              <w:rPr>
                <w:rFonts w:cs="Times New Roman"/>
                <w:b/>
                <w:bCs/>
                <w:sz w:val="20"/>
                <w:szCs w:val="20"/>
              </w:rPr>
            </w:pPr>
            <w:r w:rsidRPr="00A13248">
              <w:rPr>
                <w:rFonts w:cs="Times New Roman"/>
                <w:b/>
                <w:bCs/>
                <w:sz w:val="20"/>
                <w:szCs w:val="20"/>
              </w:rPr>
              <w:t>N studies</w:t>
            </w:r>
          </w:p>
        </w:tc>
        <w:tc>
          <w:tcPr>
            <w:tcW w:w="3399" w:type="dxa"/>
            <w:tcMar>
              <w:left w:w="28" w:type="dxa"/>
              <w:right w:w="28" w:type="dxa"/>
            </w:tcMar>
          </w:tcPr>
          <w:p w14:paraId="2F03F395" w14:textId="77777777" w:rsidR="00716DF9" w:rsidRPr="00A13248" w:rsidRDefault="00716DF9" w:rsidP="00716DF9">
            <w:pPr>
              <w:rPr>
                <w:rFonts w:cs="Times New Roman"/>
                <w:b/>
                <w:bCs/>
                <w:sz w:val="20"/>
                <w:szCs w:val="20"/>
              </w:rPr>
            </w:pPr>
            <w:r w:rsidRPr="00A13248">
              <w:rPr>
                <w:rFonts w:cs="Times New Roman"/>
                <w:b/>
                <w:bCs/>
                <w:sz w:val="20"/>
                <w:szCs w:val="20"/>
              </w:rPr>
              <w:t>Cancer types and refs</w:t>
            </w:r>
          </w:p>
        </w:tc>
        <w:tc>
          <w:tcPr>
            <w:tcW w:w="1701" w:type="dxa"/>
            <w:tcMar>
              <w:left w:w="28" w:type="dxa"/>
              <w:right w:w="28" w:type="dxa"/>
            </w:tcMar>
          </w:tcPr>
          <w:p w14:paraId="45A4568C" w14:textId="293B70F7" w:rsidR="00716DF9" w:rsidRPr="00A13248" w:rsidRDefault="00557925" w:rsidP="00557925">
            <w:pPr>
              <w:rPr>
                <w:rFonts w:cs="Times New Roman"/>
                <w:b/>
                <w:bCs/>
                <w:sz w:val="20"/>
                <w:szCs w:val="20"/>
              </w:rPr>
            </w:pPr>
            <w:r w:rsidRPr="00A13248">
              <w:rPr>
                <w:rFonts w:cs="Times New Roman"/>
                <w:b/>
                <w:bCs/>
                <w:sz w:val="20"/>
                <w:szCs w:val="20"/>
              </w:rPr>
              <w:t xml:space="preserve">Range of </w:t>
            </w:r>
            <w:r w:rsidR="00716DF9" w:rsidRPr="00A13248">
              <w:rPr>
                <w:rFonts w:cs="Times New Roman"/>
                <w:b/>
                <w:bCs/>
                <w:sz w:val="20"/>
                <w:szCs w:val="20"/>
              </w:rPr>
              <w:t>R</w:t>
            </w:r>
            <w:r w:rsidR="00716DF9" w:rsidRPr="00A13248">
              <w:rPr>
                <w:rFonts w:cs="Times New Roman"/>
                <w:b/>
                <w:bCs/>
                <w:sz w:val="20"/>
                <w:szCs w:val="20"/>
                <w:vertAlign w:val="superscript"/>
              </w:rPr>
              <w:t>2</w:t>
            </w:r>
            <w:r w:rsidR="00716DF9" w:rsidRPr="00A13248">
              <w:rPr>
                <w:rFonts w:cs="Times New Roman"/>
                <w:b/>
                <w:bCs/>
                <w:sz w:val="20"/>
                <w:szCs w:val="20"/>
              </w:rPr>
              <w:t xml:space="preserve"> </w:t>
            </w:r>
            <w:r w:rsidRPr="00A13248">
              <w:rPr>
                <w:rFonts w:cs="Times New Roman"/>
                <w:b/>
                <w:bCs/>
                <w:sz w:val="20"/>
                <w:szCs w:val="20"/>
              </w:rPr>
              <w:t xml:space="preserve">across </w:t>
            </w:r>
            <w:r w:rsidR="00716DF9" w:rsidRPr="00A13248">
              <w:rPr>
                <w:rFonts w:cs="Times New Roman"/>
                <w:b/>
                <w:bCs/>
                <w:sz w:val="20"/>
                <w:szCs w:val="20"/>
              </w:rPr>
              <w:t>stud</w:t>
            </w:r>
            <w:r w:rsidRPr="00A13248">
              <w:rPr>
                <w:rFonts w:cs="Times New Roman"/>
                <w:b/>
                <w:bCs/>
                <w:sz w:val="20"/>
                <w:szCs w:val="20"/>
              </w:rPr>
              <w:t>ies and subgroup analyses</w:t>
            </w:r>
          </w:p>
        </w:tc>
        <w:tc>
          <w:tcPr>
            <w:tcW w:w="1276" w:type="dxa"/>
            <w:tcMar>
              <w:left w:w="28" w:type="dxa"/>
              <w:right w:w="28" w:type="dxa"/>
            </w:tcMar>
          </w:tcPr>
          <w:p w14:paraId="4C991445" w14:textId="77777777" w:rsidR="00716DF9" w:rsidRPr="00A13248" w:rsidRDefault="00716DF9" w:rsidP="00716DF9">
            <w:pPr>
              <w:rPr>
                <w:rFonts w:cs="Times New Roman"/>
                <w:b/>
                <w:bCs/>
                <w:sz w:val="20"/>
                <w:szCs w:val="20"/>
              </w:rPr>
            </w:pPr>
            <w:r w:rsidRPr="00A13248">
              <w:rPr>
                <w:rFonts w:cs="Times New Roman"/>
                <w:b/>
                <w:bCs/>
                <w:sz w:val="20"/>
                <w:szCs w:val="20"/>
              </w:rPr>
              <w:t>Further detail</w:t>
            </w:r>
          </w:p>
        </w:tc>
      </w:tr>
      <w:tr w:rsidR="00E001C5" w:rsidRPr="00A13248" w14:paraId="78DD9052" w14:textId="77777777" w:rsidTr="00716DF9">
        <w:trPr>
          <w:gridAfter w:val="1"/>
          <w:wAfter w:w="19" w:type="dxa"/>
        </w:trPr>
        <w:tc>
          <w:tcPr>
            <w:tcW w:w="1570" w:type="dxa"/>
            <w:tcMar>
              <w:left w:w="28" w:type="dxa"/>
              <w:right w:w="28" w:type="dxa"/>
            </w:tcMar>
          </w:tcPr>
          <w:p w14:paraId="7B26121E" w14:textId="357069B4" w:rsidR="00E001C5" w:rsidRPr="00A13248" w:rsidRDefault="00E001C5" w:rsidP="00E001C5">
            <w:pPr>
              <w:rPr>
                <w:rFonts w:cs="Times New Roman"/>
                <w:b/>
                <w:bCs/>
                <w:sz w:val="20"/>
                <w:szCs w:val="20"/>
              </w:rPr>
            </w:pPr>
            <w:r w:rsidRPr="00A13248">
              <w:rPr>
                <w:rFonts w:cs="Times New Roman"/>
                <w:b/>
                <w:bCs/>
                <w:sz w:val="20"/>
                <w:szCs w:val="20"/>
              </w:rPr>
              <w:t>ORR to PFS</w:t>
            </w:r>
          </w:p>
        </w:tc>
        <w:tc>
          <w:tcPr>
            <w:tcW w:w="995" w:type="dxa"/>
            <w:tcMar>
              <w:left w:w="28" w:type="dxa"/>
              <w:right w:w="28" w:type="dxa"/>
            </w:tcMar>
          </w:tcPr>
          <w:p w14:paraId="7E92055A" w14:textId="77777777" w:rsidR="00E001C5" w:rsidRPr="00A13248" w:rsidRDefault="00E001C5" w:rsidP="00E001C5">
            <w:pPr>
              <w:rPr>
                <w:rFonts w:cs="Times New Roman"/>
                <w:sz w:val="20"/>
                <w:szCs w:val="20"/>
              </w:rPr>
            </w:pPr>
            <w:r w:rsidRPr="00A13248">
              <w:rPr>
                <w:rFonts w:cs="Times New Roman"/>
                <w:sz w:val="20"/>
                <w:szCs w:val="20"/>
              </w:rPr>
              <w:t>9</w:t>
            </w:r>
          </w:p>
        </w:tc>
        <w:tc>
          <w:tcPr>
            <w:tcW w:w="3399" w:type="dxa"/>
            <w:tcMar>
              <w:left w:w="28" w:type="dxa"/>
              <w:right w:w="28" w:type="dxa"/>
            </w:tcMar>
          </w:tcPr>
          <w:p w14:paraId="42E442A9" w14:textId="343A25EC" w:rsidR="00E001C5" w:rsidRPr="00A13248" w:rsidRDefault="00E001C5" w:rsidP="000E66DE">
            <w:pPr>
              <w:rPr>
                <w:rFonts w:cs="Times New Roman"/>
                <w:sz w:val="20"/>
                <w:szCs w:val="20"/>
              </w:rPr>
            </w:pPr>
            <w:r w:rsidRPr="002D1DD7">
              <w:rPr>
                <w:rFonts w:asciiTheme="majorBidi" w:eastAsia="Times New Roman" w:hAnsiTheme="majorBidi" w:cstheme="majorBidi"/>
                <w:sz w:val="20"/>
                <w:szCs w:val="20"/>
              </w:rPr>
              <w:t>NSCLC,</w:t>
            </w:r>
            <w:r w:rsidRPr="002D1DD7">
              <w:rPr>
                <w:rFonts w:asciiTheme="majorBidi" w:eastAsia="Times New Roman" w:hAnsiTheme="majorBidi" w:cstheme="majorBidi"/>
                <w:sz w:val="20"/>
                <w:szCs w:val="20"/>
              </w:rPr>
              <w:fldChar w:fldCharType="begin">
                <w:fldData xml:space="preserve">PEVuZE5vdGU+PENpdGU+PEF1dGhvcj5CbHVtZW50aGFsPC9BdXRob3I+PFllYXI+MjAxNzwvWWVh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U0M9WSZhbXA7TkVXUz1OJmFtcDtQQUdFPWZ1bGx0ZXh0JmFtcDtEPW1lZDEzJmFtcDtBTj0yODYx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PEVuZE5vdGU+PENpdGU+PEF1dGhvcj5CbHVtZW50aGFsPC9BdXRob3I+PFllYXI+MjAxNzwvWWVh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U0M9WSZhbXA7TkVXUz1OJmFtcDtQQUdFPWZ1bGx0ZXh0JmFtcDtEPW1lZDEzJmFtcDtBTj0yODYx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81, 82, 105, 137</w:t>
            </w:r>
            <w:r w:rsidRPr="002D1DD7">
              <w:rPr>
                <w:rFonts w:asciiTheme="majorBidi" w:eastAsia="Times New Roman" w:hAnsiTheme="majorBidi" w:cstheme="majorBidi"/>
                <w:sz w:val="20"/>
                <w:szCs w:val="20"/>
              </w:rPr>
              <w:fldChar w:fldCharType="end"/>
            </w:r>
            <w:r w:rsidRPr="002D1DD7">
              <w:rPr>
                <w:rFonts w:asciiTheme="majorBidi" w:hAnsiTheme="majorBidi" w:cstheme="majorBidi"/>
                <w:sz w:val="20"/>
                <w:szCs w:val="20"/>
              </w:rPr>
              <w:t xml:space="preserve"> ovarian,</w:t>
            </w:r>
            <w:r w:rsidRPr="002D1DD7">
              <w:rPr>
                <w:rFonts w:asciiTheme="majorBidi" w:eastAsia="Times New Roman" w:hAnsiTheme="majorBidi" w:cstheme="majorBidi"/>
                <w:sz w:val="20"/>
                <w:szCs w:val="20"/>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ZXJzY3JpcHQiPjg3LCAxMzI8L3N0eWxlPjwvRGlzcGxheVRleHQ+PHJlY29yZD48cmVjLW51bWJl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O05FV1M9TiZhbXA7UEFHRT1mdWxsdGV4dCZhbXA7RD1tZWQxMyZhbXA7QU49MjgzOTU4OTY8L3N0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ZDoyODM5NTg5NiZhbXA7aWQ9ZG9pOjEwLjEwMTYlMkZqLnlneW5vLjIwMTcuMDMuNTE1JmFtcDtp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ZXJzY3JpcHQiPjg3LCAxMzI8L3N0eWxlPjwvRGlzcGxheVRleHQ+PHJlY29yZD48cmVjLW51bWJl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O05FV1M9TiZhbXA7UEFHRT1mdWxsdGV4dCZhbXA7RD1tZWQxMyZhbXA7QU49MjgzOTU4OTY8L3N0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ZDoyODM5NTg5NiZhbXA7aWQ9ZG9pOjEwLjEwMTYlMkZqLnlneW5vLjIwMTcuMDMuNTE1JmFtcDtp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87, 132</w:t>
            </w:r>
            <w:r w:rsidRPr="002D1DD7">
              <w:rPr>
                <w:rFonts w:asciiTheme="majorBidi" w:eastAsia="Times New Roman" w:hAnsiTheme="majorBidi" w:cstheme="majorBidi"/>
                <w:sz w:val="20"/>
                <w:szCs w:val="20"/>
              </w:rPr>
              <w:fldChar w:fldCharType="end"/>
            </w:r>
            <w:r w:rsidRPr="002D1DD7">
              <w:rPr>
                <w:rFonts w:asciiTheme="majorBidi" w:hAnsiTheme="majorBidi" w:cstheme="majorBidi"/>
                <w:sz w:val="20"/>
                <w:szCs w:val="20"/>
              </w:rPr>
              <w:t xml:space="preserve"> various,</w:t>
            </w:r>
            <w:r w:rsidRPr="002D1DD7">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dXBlcnNjcmlwdCI+MTI3LCAxMzk8L3N0eWxlPjwvRGlzcGxheVRleHQ+PHJlY29yZD48cmVjLW51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V1M9TiZhbXA7UEFHRT1mdWxsdGV4dCZhbXA7RD1tZWQxMyZhbXA7QU49MjkwNTU4NDE8L3N0eWxl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LzQ0U0ZELzQ0U0ZEX3NlcnZpY2VzX3BhZ2U/c2lkPU9WSUQ6bWVkbGluZSZhbXA7aWQ9cG1pZDoy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ZnVsbHRleHQmYW1wO0Q9bWVkNiZhbXA7QU49MTk4MjYzNTc8L3N0eWxlPjxzdHlsZSBmYWNlPSJu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cnZpY2VzX3BhZ2U/c2lkPU9WSUQ6bWVkbGluZSZhbXA7aWQ9cG1pZDoxOTgyNjM1NyZhbXA7aWQ9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dXBlcnNjcmlwdCI+MTI3LCAxMzk8L3N0eWxlPjwvRGlzcGxheVRleHQ+PHJlY29yZD48cmVjLW51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LzQ0U0ZELzQ0U0ZEX3NlcnZpY2VzX3BhZ2U/c2lkPU9WSUQ6bWVkbGluZSZhbXA7aWQ9cG1pZDoy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ZnVsbHRleHQmYW1wO0Q9bWVkNiZhbXA7QU49MTk4MjYzNTc8L3N0eWxlPjxzdHlsZSBmYWNlPSJu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127, 139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w:t>
            </w:r>
            <w:r w:rsidRPr="002D1DD7">
              <w:rPr>
                <w:rFonts w:asciiTheme="majorBidi" w:hAnsiTheme="majorBidi" w:cstheme="majorBidi"/>
                <w:sz w:val="20"/>
                <w:szCs w:val="20"/>
              </w:rPr>
              <w:t>CRC</w:t>
            </w:r>
            <w:r w:rsidRPr="002D1DD7">
              <w:rPr>
                <w:rFonts w:asciiTheme="majorBidi" w:eastAsia="Times New Roman" w:hAnsiTheme="majorBidi" w:cstheme="majorBidi"/>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86</w:t>
            </w:r>
            <w:r w:rsidRPr="002D1DD7">
              <w:rPr>
                <w:rFonts w:asciiTheme="majorBidi" w:eastAsia="Times New Roman" w:hAnsiTheme="majorBidi" w:cstheme="majorBidi"/>
                <w:sz w:val="20"/>
                <w:szCs w:val="20"/>
              </w:rPr>
              <w:fldChar w:fldCharType="end"/>
            </w:r>
          </w:p>
        </w:tc>
        <w:tc>
          <w:tcPr>
            <w:tcW w:w="1701" w:type="dxa"/>
            <w:tcMar>
              <w:left w:w="28" w:type="dxa"/>
              <w:right w:w="28" w:type="dxa"/>
            </w:tcMar>
          </w:tcPr>
          <w:p w14:paraId="49DE15B3" w14:textId="77777777" w:rsidR="00E001C5" w:rsidRPr="00A13248" w:rsidRDefault="00E001C5" w:rsidP="00E001C5">
            <w:pPr>
              <w:rPr>
                <w:rFonts w:cs="Times New Roman"/>
                <w:sz w:val="20"/>
                <w:szCs w:val="20"/>
              </w:rPr>
            </w:pPr>
            <w:r w:rsidRPr="00A13248">
              <w:rPr>
                <w:rFonts w:cs="Times New Roman"/>
                <w:sz w:val="20"/>
                <w:szCs w:val="20"/>
              </w:rPr>
              <w:t>0.18 to 0.94</w:t>
            </w:r>
          </w:p>
        </w:tc>
        <w:tc>
          <w:tcPr>
            <w:tcW w:w="1276" w:type="dxa"/>
            <w:tcMar>
              <w:left w:w="28" w:type="dxa"/>
              <w:right w:w="28" w:type="dxa"/>
            </w:tcMar>
          </w:tcPr>
          <w:p w14:paraId="67F358BB" w14:textId="45E927C4" w:rsidR="00E001C5" w:rsidRPr="00A13248" w:rsidRDefault="00E001C5" w:rsidP="00E001C5">
            <w:pPr>
              <w:rPr>
                <w:rFonts w:eastAsia="Times New Roman" w:cs="Times New Roman"/>
                <w:color w:val="000000"/>
                <w:sz w:val="20"/>
                <w:szCs w:val="20"/>
                <w:lang w:eastAsia="en-GB"/>
              </w:rPr>
            </w:pPr>
            <w:r w:rsidRPr="00A13248">
              <w:rPr>
                <w:rFonts w:eastAsia="Times New Roman" w:cs="Times New Roman"/>
                <w:color w:val="000000"/>
                <w:sz w:val="20"/>
                <w:szCs w:val="20"/>
                <w:lang w:eastAsia="en-GB"/>
              </w:rPr>
              <w:t xml:space="preserve">Appendix </w:t>
            </w:r>
            <w:r>
              <w:rPr>
                <w:rFonts w:eastAsia="Times New Roman" w:cs="Times New Roman"/>
                <w:color w:val="000000"/>
                <w:sz w:val="20"/>
                <w:szCs w:val="20"/>
                <w:lang w:eastAsia="en-GB"/>
              </w:rPr>
              <w:t>6</w:t>
            </w:r>
          </w:p>
          <w:p w14:paraId="7D9FDC91" w14:textId="12D8D3F0" w:rsidR="00E001C5" w:rsidRPr="00A13248" w:rsidRDefault="00E001C5" w:rsidP="00E001C5">
            <w:pPr>
              <w:rPr>
                <w:rFonts w:cs="Times New Roman"/>
                <w:sz w:val="20"/>
                <w:szCs w:val="20"/>
              </w:rPr>
            </w:pPr>
            <w:r w:rsidRPr="00A13248">
              <w:rPr>
                <w:rFonts w:cs="Times New Roman"/>
                <w:sz w:val="20"/>
                <w:szCs w:val="20"/>
              </w:rPr>
              <w:fldChar w:fldCharType="begin"/>
            </w:r>
            <w:r w:rsidRPr="00A13248">
              <w:rPr>
                <w:rFonts w:cs="Times New Roman"/>
                <w:sz w:val="20"/>
                <w:szCs w:val="20"/>
              </w:rPr>
              <w:instrText xml:space="preserve"> REF _Ref16785271 \h  \* MERGEFORMAT </w:instrText>
            </w:r>
            <w:r w:rsidRPr="00A13248">
              <w:rPr>
                <w:rFonts w:cs="Times New Roman"/>
                <w:sz w:val="20"/>
                <w:szCs w:val="20"/>
              </w:rPr>
            </w:r>
            <w:r w:rsidRPr="00A13248">
              <w:rPr>
                <w:rFonts w:cs="Times New Roman"/>
                <w:sz w:val="20"/>
                <w:szCs w:val="20"/>
              </w:rPr>
              <w:fldChar w:fldCharType="separate"/>
            </w:r>
            <w:r w:rsidR="00C663A2" w:rsidRPr="00C663A2">
              <w:rPr>
                <w:rFonts w:cs="Times New Roman"/>
                <w:sz w:val="20"/>
                <w:szCs w:val="20"/>
              </w:rPr>
              <w:t>Figure 4</w:t>
            </w:r>
            <w:r w:rsidRPr="00A13248">
              <w:rPr>
                <w:rFonts w:cs="Times New Roman"/>
                <w:sz w:val="20"/>
                <w:szCs w:val="20"/>
              </w:rPr>
              <w:fldChar w:fldCharType="end"/>
            </w:r>
          </w:p>
        </w:tc>
      </w:tr>
      <w:tr w:rsidR="00E001C5" w:rsidRPr="00A13248" w14:paraId="6FFE72C7" w14:textId="77777777" w:rsidTr="00716DF9">
        <w:trPr>
          <w:gridAfter w:val="1"/>
          <w:wAfter w:w="19" w:type="dxa"/>
        </w:trPr>
        <w:tc>
          <w:tcPr>
            <w:tcW w:w="1570" w:type="dxa"/>
            <w:tcMar>
              <w:left w:w="28" w:type="dxa"/>
              <w:right w:w="28" w:type="dxa"/>
            </w:tcMar>
          </w:tcPr>
          <w:p w14:paraId="66F69E7C" w14:textId="5781DBC1" w:rsidR="00E001C5" w:rsidRPr="00A13248" w:rsidRDefault="00E001C5" w:rsidP="00E001C5">
            <w:pPr>
              <w:rPr>
                <w:rFonts w:cs="Times New Roman"/>
                <w:b/>
                <w:bCs/>
                <w:sz w:val="20"/>
                <w:szCs w:val="20"/>
              </w:rPr>
            </w:pPr>
            <w:r w:rsidRPr="00A13248">
              <w:rPr>
                <w:rFonts w:cs="Times New Roman"/>
                <w:b/>
                <w:bCs/>
                <w:sz w:val="20"/>
                <w:szCs w:val="20"/>
              </w:rPr>
              <w:t>ORR to TTP</w:t>
            </w:r>
          </w:p>
        </w:tc>
        <w:tc>
          <w:tcPr>
            <w:tcW w:w="995" w:type="dxa"/>
            <w:tcMar>
              <w:left w:w="28" w:type="dxa"/>
              <w:right w:w="28" w:type="dxa"/>
            </w:tcMar>
          </w:tcPr>
          <w:p w14:paraId="1E2AEF43" w14:textId="77777777" w:rsidR="00E001C5" w:rsidRPr="00A13248" w:rsidRDefault="00E001C5" w:rsidP="00E001C5">
            <w:pPr>
              <w:rPr>
                <w:rFonts w:cs="Times New Roman"/>
                <w:sz w:val="20"/>
                <w:szCs w:val="20"/>
              </w:rPr>
            </w:pPr>
            <w:r w:rsidRPr="00A13248">
              <w:rPr>
                <w:rFonts w:cs="Times New Roman"/>
                <w:sz w:val="20"/>
                <w:szCs w:val="20"/>
              </w:rPr>
              <w:t>0</w:t>
            </w:r>
          </w:p>
        </w:tc>
        <w:tc>
          <w:tcPr>
            <w:tcW w:w="3399" w:type="dxa"/>
            <w:tcMar>
              <w:left w:w="28" w:type="dxa"/>
              <w:right w:w="28" w:type="dxa"/>
            </w:tcMar>
          </w:tcPr>
          <w:p w14:paraId="7029AC9D" w14:textId="77777777" w:rsidR="00E001C5" w:rsidRPr="00A13248" w:rsidRDefault="00E001C5" w:rsidP="00E001C5">
            <w:pPr>
              <w:rPr>
                <w:rFonts w:cs="Times New Roman"/>
                <w:sz w:val="20"/>
                <w:szCs w:val="20"/>
              </w:rPr>
            </w:pPr>
          </w:p>
        </w:tc>
        <w:tc>
          <w:tcPr>
            <w:tcW w:w="1701" w:type="dxa"/>
            <w:tcMar>
              <w:left w:w="28" w:type="dxa"/>
              <w:right w:w="28" w:type="dxa"/>
            </w:tcMar>
          </w:tcPr>
          <w:p w14:paraId="09CFE39F" w14:textId="77777777" w:rsidR="00E001C5" w:rsidRPr="00A13248" w:rsidRDefault="00E001C5" w:rsidP="00E001C5">
            <w:pPr>
              <w:rPr>
                <w:rFonts w:cs="Times New Roman"/>
                <w:sz w:val="20"/>
                <w:szCs w:val="20"/>
              </w:rPr>
            </w:pPr>
            <w:r w:rsidRPr="00A13248">
              <w:rPr>
                <w:rFonts w:cs="Times New Roman"/>
                <w:sz w:val="20"/>
                <w:szCs w:val="20"/>
              </w:rPr>
              <w:t>-</w:t>
            </w:r>
          </w:p>
        </w:tc>
        <w:tc>
          <w:tcPr>
            <w:tcW w:w="1276" w:type="dxa"/>
            <w:tcMar>
              <w:left w:w="28" w:type="dxa"/>
              <w:right w:w="28" w:type="dxa"/>
            </w:tcMar>
          </w:tcPr>
          <w:p w14:paraId="075C037C" w14:textId="77777777" w:rsidR="00E001C5" w:rsidRPr="00A13248" w:rsidRDefault="00E001C5" w:rsidP="00E001C5">
            <w:pPr>
              <w:rPr>
                <w:rFonts w:eastAsia="Times New Roman" w:cs="Times New Roman"/>
                <w:color w:val="000000"/>
                <w:sz w:val="20"/>
                <w:szCs w:val="20"/>
                <w:lang w:eastAsia="en-GB"/>
              </w:rPr>
            </w:pPr>
            <w:r w:rsidRPr="00A13248">
              <w:rPr>
                <w:rFonts w:eastAsia="Times New Roman" w:cs="Times New Roman"/>
                <w:color w:val="000000"/>
                <w:sz w:val="20"/>
                <w:szCs w:val="20"/>
                <w:lang w:eastAsia="en-GB"/>
              </w:rPr>
              <w:t>-</w:t>
            </w:r>
          </w:p>
        </w:tc>
      </w:tr>
      <w:tr w:rsidR="00E001C5" w:rsidRPr="00A13248" w14:paraId="656B399D" w14:textId="77777777" w:rsidTr="00716DF9">
        <w:trPr>
          <w:gridAfter w:val="1"/>
          <w:wAfter w:w="19" w:type="dxa"/>
        </w:trPr>
        <w:tc>
          <w:tcPr>
            <w:tcW w:w="1570" w:type="dxa"/>
            <w:tcMar>
              <w:left w:w="28" w:type="dxa"/>
              <w:right w:w="28" w:type="dxa"/>
            </w:tcMar>
          </w:tcPr>
          <w:p w14:paraId="0F86281E" w14:textId="1268CF29" w:rsidR="00E001C5" w:rsidRPr="00A13248" w:rsidRDefault="00E001C5" w:rsidP="00E001C5">
            <w:pPr>
              <w:rPr>
                <w:rFonts w:cs="Times New Roman"/>
                <w:b/>
                <w:bCs/>
                <w:sz w:val="20"/>
                <w:szCs w:val="20"/>
              </w:rPr>
            </w:pPr>
            <w:r w:rsidRPr="00A13248">
              <w:rPr>
                <w:rFonts w:cs="Times New Roman"/>
                <w:b/>
                <w:bCs/>
                <w:sz w:val="20"/>
                <w:szCs w:val="20"/>
              </w:rPr>
              <w:t>ORR to OS</w:t>
            </w:r>
          </w:p>
        </w:tc>
        <w:tc>
          <w:tcPr>
            <w:tcW w:w="995" w:type="dxa"/>
            <w:tcMar>
              <w:left w:w="28" w:type="dxa"/>
              <w:right w:w="28" w:type="dxa"/>
            </w:tcMar>
          </w:tcPr>
          <w:p w14:paraId="28BDC910" w14:textId="77777777" w:rsidR="00E001C5" w:rsidRPr="00A13248" w:rsidRDefault="00E001C5" w:rsidP="00E001C5">
            <w:pPr>
              <w:rPr>
                <w:rFonts w:cs="Times New Roman"/>
                <w:sz w:val="20"/>
                <w:szCs w:val="20"/>
              </w:rPr>
            </w:pPr>
            <w:r w:rsidRPr="00A13248">
              <w:rPr>
                <w:rFonts w:cs="Times New Roman"/>
                <w:sz w:val="20"/>
                <w:szCs w:val="20"/>
              </w:rPr>
              <w:t>30</w:t>
            </w:r>
          </w:p>
        </w:tc>
        <w:tc>
          <w:tcPr>
            <w:tcW w:w="3399" w:type="dxa"/>
            <w:tcMar>
              <w:left w:w="28" w:type="dxa"/>
              <w:right w:w="28" w:type="dxa"/>
            </w:tcMar>
          </w:tcPr>
          <w:p w14:paraId="13D72D34" w14:textId="2C954B3C" w:rsidR="00E001C5" w:rsidRPr="00A13248" w:rsidRDefault="00E001C5" w:rsidP="000E66DE">
            <w:pPr>
              <w:rPr>
                <w:rFonts w:cs="Times New Roman"/>
                <w:sz w:val="20"/>
                <w:szCs w:val="20"/>
              </w:rPr>
            </w:pPr>
            <w:r w:rsidRPr="002D1DD7">
              <w:rPr>
                <w:rFonts w:asciiTheme="majorBidi" w:eastAsia="Times New Roman" w:hAnsiTheme="majorBidi" w:cstheme="majorBidi"/>
                <w:sz w:val="20"/>
                <w:szCs w:val="20"/>
              </w:rPr>
              <w:t>NSCLC,</w:t>
            </w:r>
            <w:r w:rsidRPr="002D1DD7">
              <w:rPr>
                <w:rFonts w:asciiTheme="majorBidi" w:eastAsia="Times New Roman" w:hAnsiTheme="majorBidi" w:cstheme="majorBidi"/>
                <w:color w:val="000000"/>
                <w:sz w:val="20"/>
                <w:szCs w:val="20"/>
              </w:rPr>
              <w:fldChar w:fldCharType="begin">
                <w:fldData xml:space="preserve">PEVuZE5vdGU+PENpdGU+PEF1dGhvcj5CbHVtZW50aGFsPC9BdXRob3I+PFllYXI+MjAxNTwvWWVh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PEVuZE5vdGU+PENpdGU+PEF1dGhvcj5CbHVtZW50aGFsPC9BdXRob3I+PFllYXI+MjAxNTwvWWVh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81, 82, 100, 105, 106, 118, 137</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hAnsiTheme="majorBidi" w:cstheme="majorBidi"/>
                <w:sz w:val="20"/>
                <w:szCs w:val="20"/>
              </w:rPr>
              <w:t>CRC,</w:t>
            </w:r>
            <w:r w:rsidRPr="002D1DD7">
              <w:rPr>
                <w:rFonts w:asciiTheme="majorBidi" w:eastAsia="Times New Roman" w:hAnsiTheme="majorBidi" w:cstheme="majorBidi"/>
                <w:color w:val="000000"/>
                <w:sz w:val="20"/>
                <w:szCs w:val="20"/>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PjxzdHlsZSBmYWNlPSJzdXBlcnNjcmlwdCI+ODUsIDg2LCA4OSwgOTEsIDEzMzwvc3R5bGU+PC9E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PVkmYW1wO05FV1M9TiZhbXA7UEFHRT1mdWxsdGV4dCZhbXA7RD1tZWQ5JmFtcDtBTj0yMzMwMzIx
NDwvc3R5bGU+PHN0eWxlIGZhY2U9Im5vcm1hbCIgZm9udD0iZGVmYXVsdCIgc2l6ZT0iMTAwJSI+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ZD1wbWlkOjIzMzAzMjE0JmFtcDtpZD1kb2k6MTAuMTE1OCUyRjEwNzgtMDQzMi5DQ1ItMTItMjUw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SlMmYW1wO0NTQz1ZJmFtcDtORVdTPU4mYW1wO1BBR0U9ZnVsbHRleHQmYW1wO0Q9bWVkMTEmYW1w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==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PjxzdHlsZSBmYWNlPSJzdXBlcnNjcmlwdCI+ODUsIDg2LCA4OSwgOTEsIDEzMzwvc3R5bGU+PC9E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PVkmYW1wO05FV1M9TiZhbXA7UEFHRT1mdWxsdGV4dCZhbXA7RD1tZWQ5JmFtcDtBTj0yMzMwMzIx
NDwvc3R5bGU+PHN0eWxlIGZhY2U9Im5vcm1hbCIgZm9udD0iZGVmYXVsdCIgc2l6ZT0iMTAwJSI+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ZD1wbWlkOjIzMzAzMjE0JmFtcDtpZD1kb2k6MTAuMTE1OCUyRjEwNzgtMDQzMi5DQ1ItMTItMjUw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SlMmYW1wO0NTQz1ZJmFtcDtORVdTPU4mYW1wO1BBR0U9ZnVsbHRleHQmYW1wO0Q9bWVkMTEmYW1w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==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85, 86, 89, 91, 133</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w:t>
            </w:r>
            <w:r w:rsidRPr="002D1DD7">
              <w:rPr>
                <w:rFonts w:asciiTheme="majorBidi" w:eastAsia="Times New Roman" w:hAnsiTheme="majorBidi" w:cstheme="majorBidi"/>
                <w:color w:val="000000"/>
                <w:sz w:val="20"/>
                <w:szCs w:val="20"/>
              </w:rPr>
              <w:t>various,</w:t>
            </w:r>
            <w:r w:rsidRPr="002D1DD7">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dXBlcnNjcmlwdCI+MTA3LCAxMTcsIDEyMCwgMTI3LCAxMzk8L3N0eWxlPjwvRGlzcGxheVRleHQ+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bXA7Q1NDPVkmYW1wO05FV1M9TiZhbXA7UEFHRT1mdWxsdGV4dCZhbXA7RD1tZWQxMyZhbXA7QU49
MjkwNTU4NDE8L3N0eWxlPjxzdHlsZSBmYWNlPSJub3JtYWwiIGZvbnQ9ImRlZmF1bHQiIHNpemU9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ZSZhbXA7aWQ9cG1pZDoyOTA1NTg0MSZhbXA7aWQ9ZG9pOjEwLjEwMTYlMkZqLmVqY2EuMjAxNy4w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LzQ0U0ZELzQ0U0ZEX3NlcnZpY2VzX3BhZ2U/c2lkPU9WSUQ6bWVkbGluZSZhbXA7aWQ9cG1pZDox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SlMmYW1wO0NTQz1ZJmFtcDtORVdTPU4mYW1wO1BBR0U9ZnVsbHRleHQmYW1wO0Q9bWVkMTMmYW1w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dXBlcnNjcmlwdCI+MTA3LCAxMTcsIDEyMCwgMTI3LCAxMzk8L3N0eWxlPjwvRGlzcGxheVRleHQ+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bXA7Q1NDPVkmYW1wO05FV1M9TiZhbXA7UEFHRT1mdWxsdGV4dCZhbXA7RD1tZWQxMyZhbXA7QU49
MjkwNTU4NDE8L3N0eWxlPjxzdHlsZSBmYWNlPSJub3JtYWwiIGZvbnQ9ImRlZmF1bHQiIHNpemU9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ZSZhbXA7aWQ9cG1pZDoyOTA1NTg0MSZhbXA7aWQ9ZG9pOjEwLjEwMTYlMkZqLmVqY2EuMjAxNy4w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SlMmYW1wO0NTQz1ZJmFtcDtORVdTPU4mYW1wO1BBR0U9ZnVsbHRleHQmYW1wO0Q9bWVkMTMmYW1w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107, 117, 120, 127, 139</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sz w:val="20"/>
                <w:szCs w:val="20"/>
              </w:rPr>
              <w:t xml:space="preserve"> pancreatic,</w:t>
            </w:r>
            <w:r w:rsidRPr="002D1DD7">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ZXJzY3JpcHQiPjg4LCA5NywgMTEzPC9zdHlsZT48L0Rpc3BsYXlUZXh0PjxyZWNvcmQ+PHJlYy1u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RVdTPU4mYW1wO1BBR0U9ZnVsbHRleHQmYW1wO0Q9bWVkMTImYW1wO0FOPTI2Nzc2MDk4JiN4RDto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ZXJzY3JpcHQiPjg4LCA5NywgMTEzPC9zdHlsZT48L0Rpc3BsYXlUZXh0PjxyZWNvcmQ+PHJlYy1u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88, 97, 113</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color w:val="000000"/>
                <w:sz w:val="20"/>
                <w:szCs w:val="20"/>
              </w:rPr>
              <w:t xml:space="preserve"> </w:t>
            </w:r>
            <w:r w:rsidRPr="002D1DD7">
              <w:rPr>
                <w:rFonts w:asciiTheme="majorBidi" w:eastAsia="Times New Roman" w:hAnsiTheme="majorBidi" w:cstheme="majorBidi"/>
                <w:sz w:val="20"/>
                <w:szCs w:val="20"/>
              </w:rPr>
              <w:t>SCLC,</w:t>
            </w:r>
            <w:r w:rsidRPr="002D1DD7">
              <w:rPr>
                <w:rFonts w:asciiTheme="majorBidi" w:eastAsia="Times New Roman" w:hAnsiTheme="majorBidi" w:cstheme="majorBidi"/>
                <w:sz w:val="20"/>
                <w:szCs w:val="20"/>
              </w:rPr>
              <w:fldChar w:fldCharType="begin">
                <w:fldData xml:space="preserve">PEVuZE5vdGU+PENpdGU+PEF1dGhvcj5Ib3R0YTwvQXV0aG9yPjxZZWFyPjIwMDk8L1llYXI+PFJl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==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PEVuZE5vdGU+PENpdGU+PEF1dGhvcj5Ib3R0YTwvQXV0aG9yPjxZZWFyPjIwMDk8L1llYXI+PFJl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==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94, 101</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RCC,</w:t>
            </w:r>
            <w:r w:rsidRPr="002D1DD7">
              <w:rPr>
                <w:rFonts w:asciiTheme="majorBidi" w:eastAsia="Times New Roman" w:hAnsiTheme="majorBidi" w:cstheme="majorBidi"/>
                <w:sz w:val="20"/>
                <w:szCs w:val="20"/>
              </w:rPr>
              <w:fldChar w:fldCharType="begin">
                <w:fldData xml:space="preserve">PEVuZE5vdGU+PENpdGU+PEF1dGhvcj5EZWxlYTwvQXV0aG9yPjxZZWFyPjIwMTI8L1llYXI+PFJl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dWxsdGV4dCZhbXA7RD1tZWQ5JmFtcDtBTj0yNDA5NTYzOTwvc3R5bGU+PHN0eWxlIGZhY2U9Im5v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PEVuZE5vdGU+PENpdGU+PEF1dGhvcj5EZWxlYTwvQXV0aG9yPjxZZWFyPjIwMTI8L1llYXI+PFJl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92, 123</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color w:val="000000"/>
                <w:sz w:val="20"/>
                <w:szCs w:val="20"/>
              </w:rPr>
              <w:t xml:space="preserve"> </w:t>
            </w:r>
            <w:r w:rsidRPr="002D1DD7">
              <w:rPr>
                <w:rFonts w:asciiTheme="majorBidi" w:eastAsia="Times New Roman" w:hAnsiTheme="majorBidi" w:cstheme="majorBidi"/>
                <w:sz w:val="20"/>
                <w:szCs w:val="20"/>
              </w:rPr>
              <w:t>breast,</w:t>
            </w:r>
            <w:r w:rsidRPr="002D1DD7">
              <w:rPr>
                <w:rFonts w:asciiTheme="majorBidi" w:eastAsia="Times New Roman" w:hAnsiTheme="majorBidi" w:cstheme="majorBidi"/>
                <w:sz w:val="20"/>
                <w:szCs w:val="20"/>
              </w:rPr>
              <w:fldChar w:fldCharType="begin">
                <w:fldData xml:space="preserve">PEVuZE5vdGU+PENpdGU+PEF1dGhvcj5CcnV6emk8L0F1dGhvcj48WWVhcj4yMDA1PC9ZZWFyPjxS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PEVuZE5vdGU+PENpdGU+PEF1dGhvcj5CcnV6emk8L0F1dGhvcj48WWVhcj4yMDA1PC9ZZWFyPjxS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83, 96</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ovarian,</w:t>
            </w:r>
            <w:r w:rsidRPr="002D1DD7">
              <w:rPr>
                <w:rFonts w:asciiTheme="majorBidi" w:eastAsia="Times New Roman" w:hAnsiTheme="majorBidi" w:cstheme="majorBidi"/>
                <w:sz w:val="20"/>
                <w:szCs w:val="20"/>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87</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prostate,</w:t>
            </w:r>
            <w:r w:rsidRPr="002D1DD7">
              <w:rPr>
                <w:rFonts w:asciiTheme="majorBidi" w:eastAsia="Times New Roman" w:hAnsiTheme="majorBidi" w:cstheme="majorBidi"/>
                <w:sz w:val="20"/>
                <w:szCs w:val="20"/>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90</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BTC,</w:t>
            </w:r>
            <w:r w:rsidRPr="002D1DD7">
              <w:rPr>
                <w:rFonts w:asciiTheme="majorBidi" w:eastAsia="Times New Roman" w:hAnsiTheme="majorBidi" w:cstheme="majorBidi"/>
                <w:color w:val="000000"/>
                <w:sz w:val="20"/>
                <w:szCs w:val="20"/>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116</w:t>
            </w:r>
            <w:r w:rsidRPr="002D1DD7">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t xml:space="preserve"> STC</w:t>
            </w:r>
            <w:r w:rsidRPr="002D1DD7">
              <w:rPr>
                <w:rFonts w:asciiTheme="majorBidi" w:eastAsia="Times New Roman" w:hAnsiTheme="majorBidi" w:cstheme="majorBidi"/>
                <w:color w:val="000000"/>
                <w:sz w:val="20"/>
                <w:szCs w:val="20"/>
              </w:rPr>
              <w:fldChar w:fldCharType="begin"/>
            </w:r>
            <w:r w:rsidR="00054FE8">
              <w:rPr>
                <w:rFonts w:asciiTheme="majorBidi" w:eastAsia="Times New Roman" w:hAnsiTheme="majorBidi" w:cstheme="majorBidi"/>
                <w:color w:val="000000"/>
                <w:sz w:val="20"/>
                <w:szCs w:val="20"/>
              </w:rPr>
              <w:instrText xml:space="preserve"> ADDIN EN.CITE &lt;EndNote&gt;&lt;Cite&gt;&lt;Author&gt;Tanaka&lt;/Author&gt;&lt;Year&gt;2019&lt;/Year&gt;&lt;RecNum&gt;2902&lt;/RecNum&gt;&lt;IDText&gt;$$include full text PT&lt;/IDText&gt;&lt;DisplayText&gt;&lt;style face="superscript"&gt;134&lt;/style&gt;&lt;/DisplayText&gt;&lt;record&gt;&lt;rec-number&gt;2902&lt;/rec-number&gt;&lt;foreign-keys&gt;&lt;key app="EN" db-id="dwaevxvazfs2f3ewvzmxrd0k0wasw55p2z2w" timestamp="1557311070"&gt;2902&lt;/key&gt;&lt;/foreign-keys&gt;&lt;ref-type name="Journal Article"&gt;17&lt;/ref-type&gt;&lt;contributors&gt;&lt;authors&gt;&lt;author&gt;Tanaka, K.&lt;/author&gt;&lt;author&gt;Kawano, M.&lt;/author&gt;&lt;author&gt;Iwasaki, T.&lt;/author&gt;&lt;author&gt;Itonaga, I.&lt;/author&gt;&lt;author&gt;Tsumura, H.&lt;/author&gt;&lt;/authors&gt;&lt;/contributors&gt;&lt;titles&gt;&lt;title&gt;Surrogacy of intermediate endpoints for overall survival in randomized controlled trials of first-line treatment for advanced soft tissue sarcoma in the pre- and post-pazopanib era: A meta-analytic evaluation&lt;/title&gt;&lt;secondary-title&gt;BMC Cancer&lt;/secondary-title&gt;&lt;/titles&gt;&lt;periodical&gt;&lt;full-title&gt;BMC CANCER&lt;/full-title&gt;&lt;abbr-1&gt;BMC Cancer&lt;/abbr-1&gt;&lt;/periodical&gt;&lt;volume&gt;19 (1)&lt;/volume&gt;&lt;number&gt;56&lt;/number&gt;&lt;keywords&gt;&lt;keyword&gt;$$include abstract PT&lt;/keyword&gt;&lt;keyword&gt;$$Broad search $$Citation search&lt;/keyword&gt;&lt;/keywords&gt;&lt;dates&gt;&lt;year&gt;2019&lt;/year&gt;&lt;pub-dates&gt;&lt;date&gt;11 Jan&lt;/date&gt;&lt;/pub-dates&gt;&lt;/dates&gt;&lt;label&gt;$$include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size="100%"&gt;http://ovidsp.ovid.com/ovidweb.cgi?T=JS&amp;amp;CSC=Y&amp;amp;NEWS=N&amp;amp;PAGE=fulltext&amp;amp;D=emexb&amp;amp;AN=625859009&lt;/style&gt;&lt;/research-notes&gt;&lt;/record&gt;&lt;/Cite&gt;&lt;/EndNote&gt;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134</w:t>
            </w:r>
            <w:r w:rsidRPr="002D1DD7">
              <w:rPr>
                <w:rFonts w:asciiTheme="majorBidi" w:eastAsia="Times New Roman" w:hAnsiTheme="majorBidi" w:cstheme="majorBidi"/>
                <w:color w:val="000000"/>
                <w:sz w:val="20"/>
                <w:szCs w:val="20"/>
              </w:rPr>
              <w:fldChar w:fldCharType="end"/>
            </w:r>
          </w:p>
        </w:tc>
        <w:tc>
          <w:tcPr>
            <w:tcW w:w="1701" w:type="dxa"/>
            <w:tcMar>
              <w:left w:w="28" w:type="dxa"/>
              <w:right w:w="28" w:type="dxa"/>
            </w:tcMar>
          </w:tcPr>
          <w:p w14:paraId="40EDD4D2" w14:textId="7FEC738C" w:rsidR="00E001C5" w:rsidRPr="00A13248" w:rsidRDefault="00E001C5" w:rsidP="00E001C5">
            <w:pPr>
              <w:rPr>
                <w:rFonts w:cs="Times New Roman"/>
                <w:sz w:val="20"/>
                <w:szCs w:val="20"/>
              </w:rPr>
            </w:pPr>
            <w:r w:rsidRPr="00A13248">
              <w:rPr>
                <w:rFonts w:cs="Times New Roman"/>
                <w:sz w:val="20"/>
                <w:szCs w:val="20"/>
              </w:rPr>
              <w:t>-0.08 to 0.84</w:t>
            </w:r>
          </w:p>
        </w:tc>
        <w:tc>
          <w:tcPr>
            <w:tcW w:w="1276" w:type="dxa"/>
            <w:tcMar>
              <w:left w:w="28" w:type="dxa"/>
              <w:right w:w="28" w:type="dxa"/>
            </w:tcMar>
          </w:tcPr>
          <w:p w14:paraId="111316EE" w14:textId="1C769D78" w:rsidR="00E001C5" w:rsidRPr="00A13248" w:rsidRDefault="00E001C5" w:rsidP="00E001C5">
            <w:pPr>
              <w:rPr>
                <w:rFonts w:eastAsia="Times New Roman" w:cs="Times New Roman"/>
                <w:color w:val="000000"/>
                <w:sz w:val="20"/>
                <w:szCs w:val="20"/>
                <w:lang w:eastAsia="en-GB"/>
              </w:rPr>
            </w:pPr>
            <w:r w:rsidRPr="00A13248">
              <w:rPr>
                <w:rFonts w:eastAsia="Times New Roman" w:cs="Times New Roman"/>
                <w:color w:val="000000"/>
                <w:sz w:val="20"/>
                <w:szCs w:val="20"/>
                <w:lang w:eastAsia="en-GB"/>
              </w:rPr>
              <w:t xml:space="preserve">Appendix </w:t>
            </w:r>
            <w:r>
              <w:rPr>
                <w:rFonts w:eastAsia="Times New Roman" w:cs="Times New Roman"/>
                <w:color w:val="000000"/>
                <w:sz w:val="20"/>
                <w:szCs w:val="20"/>
                <w:lang w:eastAsia="en-GB"/>
              </w:rPr>
              <w:t>6</w:t>
            </w:r>
          </w:p>
          <w:p w14:paraId="485AFB65" w14:textId="73C0D435" w:rsidR="00E001C5" w:rsidRPr="00A13248" w:rsidRDefault="00E001C5" w:rsidP="00E001C5">
            <w:pPr>
              <w:rPr>
                <w:rFonts w:cs="Times New Roman"/>
                <w:sz w:val="20"/>
                <w:szCs w:val="20"/>
              </w:rPr>
            </w:pPr>
            <w:r w:rsidRPr="00A13248">
              <w:rPr>
                <w:rFonts w:eastAsia="Times New Roman" w:cs="Times New Roman"/>
                <w:color w:val="000000"/>
                <w:sz w:val="20"/>
                <w:szCs w:val="20"/>
                <w:lang w:eastAsia="en-GB"/>
              </w:rPr>
              <w:fldChar w:fldCharType="begin"/>
            </w:r>
            <w:r w:rsidRPr="00A13248">
              <w:rPr>
                <w:rFonts w:eastAsia="Times New Roman" w:cs="Times New Roman"/>
                <w:color w:val="000000"/>
                <w:sz w:val="20"/>
                <w:szCs w:val="20"/>
                <w:lang w:eastAsia="en-GB"/>
              </w:rPr>
              <w:instrText xml:space="preserve"> REF _Ref16785279 \h  \* MERGEFORMAT </w:instrText>
            </w:r>
            <w:r w:rsidRPr="00A13248">
              <w:rPr>
                <w:rFonts w:eastAsia="Times New Roman" w:cs="Times New Roman"/>
                <w:color w:val="000000"/>
                <w:sz w:val="20"/>
                <w:szCs w:val="20"/>
                <w:lang w:eastAsia="en-GB"/>
              </w:rPr>
            </w:r>
            <w:r w:rsidRPr="00A13248">
              <w:rPr>
                <w:rFonts w:eastAsia="Times New Roman" w:cs="Times New Roman"/>
                <w:color w:val="000000"/>
                <w:sz w:val="20"/>
                <w:szCs w:val="20"/>
                <w:lang w:eastAsia="en-GB"/>
              </w:rPr>
              <w:fldChar w:fldCharType="separate"/>
            </w:r>
            <w:r w:rsidR="00C663A2" w:rsidRPr="00C663A2">
              <w:rPr>
                <w:rFonts w:cs="Times New Roman"/>
                <w:sz w:val="20"/>
                <w:szCs w:val="20"/>
              </w:rPr>
              <w:t xml:space="preserve">Figure </w:t>
            </w:r>
            <w:r w:rsidR="00C663A2" w:rsidRPr="00C663A2">
              <w:rPr>
                <w:rFonts w:cs="Times New Roman"/>
                <w:noProof/>
                <w:sz w:val="20"/>
                <w:szCs w:val="20"/>
              </w:rPr>
              <w:t>5</w:t>
            </w:r>
            <w:r w:rsidRPr="00A13248">
              <w:rPr>
                <w:rFonts w:eastAsia="Times New Roman" w:cs="Times New Roman"/>
                <w:color w:val="000000"/>
                <w:sz w:val="20"/>
                <w:szCs w:val="20"/>
                <w:lang w:eastAsia="en-GB"/>
              </w:rPr>
              <w:fldChar w:fldCharType="end"/>
            </w:r>
          </w:p>
        </w:tc>
      </w:tr>
      <w:tr w:rsidR="00E001C5" w:rsidRPr="00A13248" w14:paraId="078DE592" w14:textId="77777777" w:rsidTr="00716DF9">
        <w:trPr>
          <w:gridAfter w:val="1"/>
          <w:wAfter w:w="19" w:type="dxa"/>
        </w:trPr>
        <w:tc>
          <w:tcPr>
            <w:tcW w:w="1570" w:type="dxa"/>
            <w:tcMar>
              <w:left w:w="28" w:type="dxa"/>
              <w:right w:w="28" w:type="dxa"/>
            </w:tcMar>
          </w:tcPr>
          <w:p w14:paraId="5D8E39C3" w14:textId="77777777" w:rsidR="00E001C5" w:rsidRPr="00A13248" w:rsidRDefault="00E001C5" w:rsidP="00E001C5">
            <w:pPr>
              <w:rPr>
                <w:rFonts w:cs="Times New Roman"/>
                <w:b/>
                <w:bCs/>
                <w:sz w:val="20"/>
                <w:szCs w:val="20"/>
              </w:rPr>
            </w:pPr>
            <w:r w:rsidRPr="00A13248">
              <w:rPr>
                <w:rFonts w:cs="Times New Roman"/>
                <w:b/>
                <w:bCs/>
                <w:sz w:val="20"/>
                <w:szCs w:val="20"/>
              </w:rPr>
              <w:t>CR to PFS</w:t>
            </w:r>
          </w:p>
        </w:tc>
        <w:tc>
          <w:tcPr>
            <w:tcW w:w="995" w:type="dxa"/>
            <w:tcMar>
              <w:left w:w="28" w:type="dxa"/>
              <w:right w:w="28" w:type="dxa"/>
            </w:tcMar>
          </w:tcPr>
          <w:p w14:paraId="344AE61A" w14:textId="77777777" w:rsidR="00E001C5" w:rsidRPr="00A13248" w:rsidRDefault="00E001C5" w:rsidP="00E001C5">
            <w:pPr>
              <w:rPr>
                <w:rFonts w:cs="Times New Roman"/>
                <w:sz w:val="20"/>
                <w:szCs w:val="20"/>
              </w:rPr>
            </w:pPr>
            <w:r w:rsidRPr="00A13248">
              <w:rPr>
                <w:rFonts w:cs="Times New Roman"/>
                <w:sz w:val="20"/>
                <w:szCs w:val="20"/>
              </w:rPr>
              <w:t>1</w:t>
            </w:r>
          </w:p>
        </w:tc>
        <w:tc>
          <w:tcPr>
            <w:tcW w:w="3399" w:type="dxa"/>
            <w:tcMar>
              <w:left w:w="28" w:type="dxa"/>
              <w:right w:w="28" w:type="dxa"/>
            </w:tcMar>
          </w:tcPr>
          <w:p w14:paraId="386A3B61" w14:textId="0B3A6624" w:rsidR="00E001C5" w:rsidRPr="00A13248" w:rsidRDefault="00E001C5" w:rsidP="000E66DE">
            <w:pPr>
              <w:rPr>
                <w:rFonts w:cs="Times New Roman"/>
                <w:sz w:val="20"/>
                <w:szCs w:val="20"/>
              </w:rPr>
            </w:pPr>
            <w:r w:rsidRPr="002D1DD7">
              <w:rPr>
                <w:rFonts w:asciiTheme="majorBidi" w:hAnsiTheme="majorBidi" w:cstheme="majorBidi"/>
                <w:sz w:val="20"/>
                <w:szCs w:val="20"/>
              </w:rPr>
              <w:t>NHL</w:t>
            </w:r>
            <w:r w:rsidRPr="002D1DD7">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0E66DE">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129</w:t>
            </w:r>
            <w:r w:rsidRPr="002D1DD7">
              <w:rPr>
                <w:rFonts w:asciiTheme="majorBidi" w:eastAsia="Times New Roman" w:hAnsiTheme="majorBidi" w:cstheme="majorBidi"/>
                <w:color w:val="000000"/>
                <w:sz w:val="20"/>
                <w:szCs w:val="20"/>
              </w:rPr>
              <w:fldChar w:fldCharType="end"/>
            </w:r>
          </w:p>
        </w:tc>
        <w:tc>
          <w:tcPr>
            <w:tcW w:w="1701" w:type="dxa"/>
            <w:tcMar>
              <w:left w:w="28" w:type="dxa"/>
              <w:right w:w="28" w:type="dxa"/>
            </w:tcMar>
          </w:tcPr>
          <w:p w14:paraId="5E74BA19" w14:textId="6BF1873A" w:rsidR="00E001C5" w:rsidRPr="00A13248" w:rsidRDefault="00E001C5" w:rsidP="00E001C5">
            <w:pPr>
              <w:rPr>
                <w:rFonts w:cs="Times New Roman"/>
                <w:sz w:val="20"/>
                <w:szCs w:val="20"/>
              </w:rPr>
            </w:pPr>
            <w:r w:rsidRPr="00A13248">
              <w:rPr>
                <w:rFonts w:cs="Times New Roman"/>
                <w:sz w:val="20"/>
                <w:szCs w:val="20"/>
              </w:rPr>
              <w:t>0.45 to 0.93</w:t>
            </w:r>
          </w:p>
        </w:tc>
        <w:tc>
          <w:tcPr>
            <w:tcW w:w="1276" w:type="dxa"/>
            <w:tcMar>
              <w:left w:w="28" w:type="dxa"/>
              <w:right w:w="28" w:type="dxa"/>
            </w:tcMar>
          </w:tcPr>
          <w:p w14:paraId="3F144452" w14:textId="636D1712" w:rsidR="00E001C5" w:rsidRPr="00A13248" w:rsidRDefault="00E001C5" w:rsidP="00E001C5">
            <w:pPr>
              <w:rPr>
                <w:rFonts w:eastAsia="Times New Roman" w:cs="Times New Roman"/>
                <w:color w:val="000000"/>
                <w:sz w:val="20"/>
                <w:szCs w:val="20"/>
                <w:lang w:eastAsia="en-GB"/>
              </w:rPr>
            </w:pPr>
            <w:r w:rsidRPr="00A13248">
              <w:rPr>
                <w:rFonts w:eastAsia="Times New Roman" w:cs="Times New Roman"/>
                <w:color w:val="000000"/>
                <w:sz w:val="20"/>
                <w:szCs w:val="20"/>
                <w:lang w:eastAsia="en-GB"/>
              </w:rPr>
              <w:t xml:space="preserve">Appendix </w:t>
            </w:r>
            <w:r>
              <w:rPr>
                <w:rFonts w:eastAsia="Times New Roman" w:cs="Times New Roman"/>
                <w:color w:val="000000"/>
                <w:sz w:val="20"/>
                <w:szCs w:val="20"/>
                <w:lang w:eastAsia="en-GB"/>
              </w:rPr>
              <w:t>6</w:t>
            </w:r>
          </w:p>
        </w:tc>
      </w:tr>
      <w:tr w:rsidR="00E001C5" w:rsidRPr="00A13248" w14:paraId="679B6391" w14:textId="77777777" w:rsidTr="00716DF9">
        <w:trPr>
          <w:gridAfter w:val="1"/>
          <w:wAfter w:w="19" w:type="dxa"/>
        </w:trPr>
        <w:tc>
          <w:tcPr>
            <w:tcW w:w="1570" w:type="dxa"/>
            <w:tcMar>
              <w:left w:w="28" w:type="dxa"/>
              <w:right w:w="28" w:type="dxa"/>
            </w:tcMar>
          </w:tcPr>
          <w:p w14:paraId="69ACB51A" w14:textId="77777777" w:rsidR="00E001C5" w:rsidRPr="00A13248" w:rsidRDefault="00E001C5" w:rsidP="00E001C5">
            <w:pPr>
              <w:rPr>
                <w:rFonts w:cs="Times New Roman"/>
                <w:b/>
                <w:bCs/>
                <w:sz w:val="20"/>
                <w:szCs w:val="20"/>
              </w:rPr>
            </w:pPr>
            <w:r w:rsidRPr="00A13248">
              <w:rPr>
                <w:rFonts w:cs="Times New Roman"/>
                <w:b/>
                <w:bCs/>
                <w:sz w:val="20"/>
                <w:szCs w:val="20"/>
              </w:rPr>
              <w:t>CR to OS</w:t>
            </w:r>
          </w:p>
        </w:tc>
        <w:tc>
          <w:tcPr>
            <w:tcW w:w="995" w:type="dxa"/>
            <w:tcMar>
              <w:left w:w="28" w:type="dxa"/>
              <w:right w:w="28" w:type="dxa"/>
            </w:tcMar>
          </w:tcPr>
          <w:p w14:paraId="21ACA6F3" w14:textId="77777777" w:rsidR="00E001C5" w:rsidRPr="00A13248" w:rsidRDefault="00E001C5" w:rsidP="00E001C5">
            <w:pPr>
              <w:rPr>
                <w:rFonts w:cs="Times New Roman"/>
                <w:sz w:val="20"/>
                <w:szCs w:val="20"/>
              </w:rPr>
            </w:pPr>
            <w:r w:rsidRPr="00A13248">
              <w:rPr>
                <w:rFonts w:cs="Times New Roman"/>
                <w:sz w:val="20"/>
                <w:szCs w:val="20"/>
              </w:rPr>
              <w:t>2</w:t>
            </w:r>
          </w:p>
        </w:tc>
        <w:tc>
          <w:tcPr>
            <w:tcW w:w="3399" w:type="dxa"/>
            <w:tcMar>
              <w:left w:w="28" w:type="dxa"/>
              <w:right w:w="28" w:type="dxa"/>
            </w:tcMar>
          </w:tcPr>
          <w:p w14:paraId="778D7F75" w14:textId="4DEBCD5E" w:rsidR="00E001C5" w:rsidRPr="00A13248" w:rsidRDefault="00E001C5" w:rsidP="000E66DE">
            <w:pPr>
              <w:rPr>
                <w:rFonts w:cs="Times New Roman"/>
                <w:sz w:val="20"/>
                <w:szCs w:val="20"/>
              </w:rPr>
            </w:pPr>
            <w:r w:rsidRPr="002D1DD7">
              <w:rPr>
                <w:rFonts w:asciiTheme="majorBidi" w:hAnsiTheme="majorBidi" w:cstheme="majorBidi"/>
                <w:sz w:val="20"/>
                <w:szCs w:val="20"/>
              </w:rPr>
              <w:t>Breast,</w:t>
            </w:r>
            <w:r w:rsidRPr="002D1DD7">
              <w:rPr>
                <w:rFonts w:asciiTheme="majorBidi" w:eastAsia="Times New Roman" w:hAnsiTheme="majorBidi" w:cstheme="majorBidi"/>
                <w:sz w:val="20"/>
                <w:szCs w:val="20"/>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96</w:t>
            </w:r>
            <w:r w:rsidRPr="002D1DD7">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t xml:space="preserve"> SCLC</w:t>
            </w:r>
            <w:r w:rsidRPr="002D1DD7">
              <w:rPr>
                <w:rFonts w:asciiTheme="majorBidi" w:eastAsia="Times New Roman" w:hAnsiTheme="majorBidi" w:cstheme="majorBidi"/>
                <w:sz w:val="20"/>
                <w:szCs w:val="20"/>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asciiTheme="majorBidi" w:eastAsia="Times New Roman" w:hAnsiTheme="majorBidi" w:cstheme="majorBidi"/>
                <w:sz w:val="20"/>
                <w:szCs w:val="20"/>
              </w:rPr>
              <w:instrText xml:space="preserve"> ADDIN EN.CITE </w:instrText>
            </w:r>
            <w:r w:rsidR="00054FE8">
              <w:rPr>
                <w:rFonts w:asciiTheme="majorBidi" w:eastAsia="Times New Roman" w:hAnsiTheme="majorBidi" w:cstheme="majorBidi"/>
                <w:sz w:val="20"/>
                <w:szCs w:val="20"/>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asciiTheme="majorBidi" w:eastAsia="Times New Roman" w:hAnsiTheme="majorBidi" w:cstheme="majorBidi"/>
                <w:sz w:val="20"/>
                <w:szCs w:val="20"/>
              </w:rPr>
              <w:instrText xml:space="preserve"> ADDIN EN.CITE.DATA </w:instrText>
            </w:r>
            <w:r w:rsidR="00054FE8">
              <w:rPr>
                <w:rFonts w:asciiTheme="majorBidi" w:eastAsia="Times New Roman" w:hAnsiTheme="majorBidi" w:cstheme="majorBidi"/>
                <w:sz w:val="20"/>
                <w:szCs w:val="20"/>
              </w:rPr>
            </w:r>
            <w:r w:rsidR="00054FE8">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94</w:t>
            </w:r>
            <w:r w:rsidRPr="002D1DD7">
              <w:rPr>
                <w:rFonts w:asciiTheme="majorBidi" w:eastAsia="Times New Roman" w:hAnsiTheme="majorBidi" w:cstheme="majorBidi"/>
                <w:sz w:val="20"/>
                <w:szCs w:val="20"/>
              </w:rPr>
              <w:fldChar w:fldCharType="end"/>
            </w:r>
          </w:p>
        </w:tc>
        <w:tc>
          <w:tcPr>
            <w:tcW w:w="1701" w:type="dxa"/>
            <w:tcMar>
              <w:left w:w="28" w:type="dxa"/>
              <w:right w:w="28" w:type="dxa"/>
            </w:tcMar>
          </w:tcPr>
          <w:p w14:paraId="0A5F9AC7" w14:textId="54DCFC74" w:rsidR="00E001C5" w:rsidRPr="00A13248" w:rsidRDefault="00E001C5" w:rsidP="00E001C5">
            <w:pPr>
              <w:rPr>
                <w:rFonts w:cs="Times New Roman"/>
                <w:sz w:val="20"/>
                <w:szCs w:val="20"/>
              </w:rPr>
            </w:pPr>
            <w:r w:rsidRPr="00A13248">
              <w:rPr>
                <w:rFonts w:cs="Times New Roman"/>
                <w:sz w:val="20"/>
                <w:szCs w:val="20"/>
              </w:rPr>
              <w:t>0.05 to 0.48</w:t>
            </w:r>
          </w:p>
        </w:tc>
        <w:tc>
          <w:tcPr>
            <w:tcW w:w="1276" w:type="dxa"/>
            <w:tcMar>
              <w:left w:w="28" w:type="dxa"/>
              <w:right w:w="28" w:type="dxa"/>
            </w:tcMar>
          </w:tcPr>
          <w:p w14:paraId="10C16DBB" w14:textId="6394DADC" w:rsidR="00E001C5" w:rsidRPr="00A13248" w:rsidRDefault="00E001C5" w:rsidP="00E001C5">
            <w:pPr>
              <w:rPr>
                <w:rFonts w:eastAsia="Times New Roman" w:cs="Times New Roman"/>
                <w:color w:val="000000"/>
                <w:sz w:val="20"/>
                <w:szCs w:val="20"/>
                <w:lang w:eastAsia="en-GB"/>
              </w:rPr>
            </w:pPr>
            <w:r w:rsidRPr="00A13248">
              <w:rPr>
                <w:rFonts w:eastAsia="Times New Roman" w:cs="Times New Roman"/>
                <w:color w:val="000000"/>
                <w:sz w:val="20"/>
                <w:szCs w:val="20"/>
                <w:lang w:eastAsia="en-GB"/>
              </w:rPr>
              <w:t xml:space="preserve">Appendix </w:t>
            </w:r>
            <w:r>
              <w:rPr>
                <w:rFonts w:eastAsia="Times New Roman" w:cs="Times New Roman"/>
                <w:color w:val="000000"/>
                <w:sz w:val="20"/>
                <w:szCs w:val="20"/>
                <w:lang w:eastAsia="en-GB"/>
              </w:rPr>
              <w:t>6</w:t>
            </w:r>
          </w:p>
        </w:tc>
      </w:tr>
      <w:tr w:rsidR="00716DF9" w:rsidRPr="00A13248" w14:paraId="13105656" w14:textId="77777777" w:rsidTr="00716DF9">
        <w:trPr>
          <w:gridAfter w:val="1"/>
          <w:wAfter w:w="19" w:type="dxa"/>
        </w:trPr>
        <w:tc>
          <w:tcPr>
            <w:tcW w:w="1570" w:type="dxa"/>
            <w:tcMar>
              <w:left w:w="28" w:type="dxa"/>
              <w:right w:w="28" w:type="dxa"/>
            </w:tcMar>
          </w:tcPr>
          <w:p w14:paraId="4F479A33" w14:textId="77777777" w:rsidR="00716DF9" w:rsidRPr="00A13248" w:rsidRDefault="00716DF9" w:rsidP="00716DF9">
            <w:pPr>
              <w:rPr>
                <w:rFonts w:cs="Times New Roman"/>
                <w:b/>
                <w:bCs/>
                <w:sz w:val="20"/>
                <w:szCs w:val="20"/>
              </w:rPr>
            </w:pPr>
            <w:r w:rsidRPr="00A13248">
              <w:rPr>
                <w:rFonts w:cs="Times New Roman"/>
                <w:b/>
                <w:bCs/>
                <w:sz w:val="20"/>
                <w:szCs w:val="20"/>
              </w:rPr>
              <w:t>PR to PFS</w:t>
            </w:r>
          </w:p>
        </w:tc>
        <w:tc>
          <w:tcPr>
            <w:tcW w:w="995" w:type="dxa"/>
            <w:tcMar>
              <w:left w:w="28" w:type="dxa"/>
              <w:right w:w="28" w:type="dxa"/>
            </w:tcMar>
          </w:tcPr>
          <w:p w14:paraId="08F37F48" w14:textId="77777777" w:rsidR="00716DF9" w:rsidRPr="00A13248" w:rsidRDefault="00716DF9" w:rsidP="00716DF9">
            <w:pPr>
              <w:rPr>
                <w:rFonts w:cs="Times New Roman"/>
                <w:sz w:val="20"/>
                <w:szCs w:val="20"/>
              </w:rPr>
            </w:pPr>
            <w:r w:rsidRPr="00A13248">
              <w:rPr>
                <w:rFonts w:cs="Times New Roman"/>
                <w:sz w:val="20"/>
                <w:szCs w:val="20"/>
              </w:rPr>
              <w:t>0</w:t>
            </w:r>
          </w:p>
        </w:tc>
        <w:tc>
          <w:tcPr>
            <w:tcW w:w="3399" w:type="dxa"/>
            <w:tcMar>
              <w:left w:w="28" w:type="dxa"/>
              <w:right w:w="28" w:type="dxa"/>
            </w:tcMar>
          </w:tcPr>
          <w:p w14:paraId="00669E17" w14:textId="77777777" w:rsidR="00716DF9" w:rsidRPr="00A13248" w:rsidRDefault="00716DF9" w:rsidP="00716DF9">
            <w:pPr>
              <w:rPr>
                <w:rFonts w:cs="Times New Roman"/>
                <w:sz w:val="20"/>
                <w:szCs w:val="20"/>
              </w:rPr>
            </w:pPr>
          </w:p>
        </w:tc>
        <w:tc>
          <w:tcPr>
            <w:tcW w:w="1701" w:type="dxa"/>
            <w:tcMar>
              <w:left w:w="28" w:type="dxa"/>
              <w:right w:w="28" w:type="dxa"/>
            </w:tcMar>
          </w:tcPr>
          <w:p w14:paraId="7BCB7CEB" w14:textId="77777777" w:rsidR="00716DF9" w:rsidRPr="00A13248" w:rsidRDefault="00716DF9" w:rsidP="00716DF9">
            <w:pPr>
              <w:rPr>
                <w:rFonts w:cs="Times New Roman"/>
                <w:sz w:val="20"/>
                <w:szCs w:val="20"/>
              </w:rPr>
            </w:pPr>
            <w:r w:rsidRPr="00A13248">
              <w:rPr>
                <w:rFonts w:cs="Times New Roman"/>
                <w:sz w:val="20"/>
                <w:szCs w:val="20"/>
              </w:rPr>
              <w:t>-</w:t>
            </w:r>
          </w:p>
        </w:tc>
        <w:tc>
          <w:tcPr>
            <w:tcW w:w="1276" w:type="dxa"/>
            <w:tcMar>
              <w:left w:w="28" w:type="dxa"/>
              <w:right w:w="28" w:type="dxa"/>
            </w:tcMar>
          </w:tcPr>
          <w:p w14:paraId="488435CA" w14:textId="77777777" w:rsidR="00716DF9" w:rsidRPr="00A13248" w:rsidRDefault="00716DF9" w:rsidP="00716DF9">
            <w:pPr>
              <w:rPr>
                <w:rFonts w:cs="Times New Roman"/>
                <w:sz w:val="20"/>
                <w:szCs w:val="20"/>
              </w:rPr>
            </w:pPr>
            <w:r w:rsidRPr="00A13248">
              <w:rPr>
                <w:rFonts w:cs="Times New Roman"/>
                <w:sz w:val="20"/>
                <w:szCs w:val="20"/>
              </w:rPr>
              <w:t>-</w:t>
            </w:r>
          </w:p>
        </w:tc>
      </w:tr>
      <w:tr w:rsidR="00716DF9" w:rsidRPr="00A13248" w14:paraId="3B176385" w14:textId="77777777" w:rsidTr="00716DF9">
        <w:trPr>
          <w:gridAfter w:val="1"/>
          <w:wAfter w:w="19" w:type="dxa"/>
        </w:trPr>
        <w:tc>
          <w:tcPr>
            <w:tcW w:w="1570" w:type="dxa"/>
            <w:tcMar>
              <w:left w:w="28" w:type="dxa"/>
              <w:right w:w="28" w:type="dxa"/>
            </w:tcMar>
          </w:tcPr>
          <w:p w14:paraId="74CCCD72" w14:textId="77777777" w:rsidR="00716DF9" w:rsidRPr="00A13248" w:rsidRDefault="00716DF9" w:rsidP="00716DF9">
            <w:pPr>
              <w:rPr>
                <w:rFonts w:cs="Times New Roman"/>
                <w:b/>
                <w:bCs/>
                <w:sz w:val="20"/>
                <w:szCs w:val="20"/>
              </w:rPr>
            </w:pPr>
            <w:r w:rsidRPr="00A13248">
              <w:rPr>
                <w:rFonts w:cs="Times New Roman"/>
                <w:b/>
                <w:bCs/>
                <w:sz w:val="20"/>
                <w:szCs w:val="20"/>
              </w:rPr>
              <w:t>PR to OS</w:t>
            </w:r>
          </w:p>
        </w:tc>
        <w:tc>
          <w:tcPr>
            <w:tcW w:w="995" w:type="dxa"/>
            <w:tcMar>
              <w:left w:w="28" w:type="dxa"/>
              <w:right w:w="28" w:type="dxa"/>
            </w:tcMar>
          </w:tcPr>
          <w:p w14:paraId="6FF2950F" w14:textId="77777777" w:rsidR="00716DF9" w:rsidRPr="00A13248" w:rsidRDefault="00716DF9" w:rsidP="00716DF9">
            <w:pPr>
              <w:rPr>
                <w:rFonts w:cs="Times New Roman"/>
                <w:sz w:val="20"/>
                <w:szCs w:val="20"/>
              </w:rPr>
            </w:pPr>
            <w:r w:rsidRPr="00A13248">
              <w:rPr>
                <w:rFonts w:cs="Times New Roman"/>
                <w:sz w:val="20"/>
                <w:szCs w:val="20"/>
              </w:rPr>
              <w:t>0</w:t>
            </w:r>
          </w:p>
        </w:tc>
        <w:tc>
          <w:tcPr>
            <w:tcW w:w="3399" w:type="dxa"/>
            <w:tcMar>
              <w:left w:w="28" w:type="dxa"/>
              <w:right w:w="28" w:type="dxa"/>
            </w:tcMar>
          </w:tcPr>
          <w:p w14:paraId="484D4A06" w14:textId="77777777" w:rsidR="00716DF9" w:rsidRPr="00A13248" w:rsidRDefault="00716DF9" w:rsidP="00716DF9">
            <w:pPr>
              <w:rPr>
                <w:rFonts w:cs="Times New Roman"/>
                <w:sz w:val="20"/>
                <w:szCs w:val="20"/>
              </w:rPr>
            </w:pPr>
          </w:p>
        </w:tc>
        <w:tc>
          <w:tcPr>
            <w:tcW w:w="1701" w:type="dxa"/>
            <w:tcMar>
              <w:left w:w="28" w:type="dxa"/>
              <w:right w:w="28" w:type="dxa"/>
            </w:tcMar>
          </w:tcPr>
          <w:p w14:paraId="581D9F78" w14:textId="77777777" w:rsidR="00716DF9" w:rsidRPr="00A13248" w:rsidRDefault="00716DF9" w:rsidP="00716DF9">
            <w:pPr>
              <w:rPr>
                <w:rFonts w:cs="Times New Roman"/>
                <w:sz w:val="20"/>
                <w:szCs w:val="20"/>
              </w:rPr>
            </w:pPr>
            <w:r w:rsidRPr="00A13248">
              <w:rPr>
                <w:rFonts w:cs="Times New Roman"/>
                <w:sz w:val="20"/>
                <w:szCs w:val="20"/>
              </w:rPr>
              <w:t>-</w:t>
            </w:r>
          </w:p>
        </w:tc>
        <w:tc>
          <w:tcPr>
            <w:tcW w:w="1276" w:type="dxa"/>
            <w:tcMar>
              <w:left w:w="28" w:type="dxa"/>
              <w:right w:w="28" w:type="dxa"/>
            </w:tcMar>
          </w:tcPr>
          <w:p w14:paraId="037BAFE4" w14:textId="77777777" w:rsidR="00716DF9" w:rsidRPr="00A13248" w:rsidRDefault="00716DF9" w:rsidP="00716DF9">
            <w:pPr>
              <w:rPr>
                <w:rFonts w:cs="Times New Roman"/>
                <w:sz w:val="20"/>
                <w:szCs w:val="20"/>
              </w:rPr>
            </w:pPr>
            <w:r w:rsidRPr="00A13248">
              <w:rPr>
                <w:rFonts w:cs="Times New Roman"/>
                <w:sz w:val="20"/>
                <w:szCs w:val="20"/>
              </w:rPr>
              <w:t>-</w:t>
            </w:r>
          </w:p>
        </w:tc>
      </w:tr>
      <w:tr w:rsidR="00716DF9" w:rsidRPr="00A13248" w14:paraId="0BCB3C51" w14:textId="77777777" w:rsidTr="00716DF9">
        <w:trPr>
          <w:gridAfter w:val="1"/>
          <w:wAfter w:w="19" w:type="dxa"/>
        </w:trPr>
        <w:tc>
          <w:tcPr>
            <w:tcW w:w="1570" w:type="dxa"/>
            <w:tcMar>
              <w:left w:w="28" w:type="dxa"/>
              <w:right w:w="28" w:type="dxa"/>
            </w:tcMar>
          </w:tcPr>
          <w:p w14:paraId="0B51A6CF" w14:textId="77777777" w:rsidR="00716DF9" w:rsidRPr="00A13248" w:rsidRDefault="00716DF9" w:rsidP="00716DF9">
            <w:pPr>
              <w:rPr>
                <w:rFonts w:cs="Times New Roman"/>
                <w:b/>
                <w:bCs/>
                <w:sz w:val="20"/>
                <w:szCs w:val="20"/>
              </w:rPr>
            </w:pPr>
            <w:r w:rsidRPr="00A13248">
              <w:rPr>
                <w:rFonts w:cs="Times New Roman"/>
                <w:b/>
                <w:bCs/>
                <w:sz w:val="20"/>
                <w:szCs w:val="20"/>
              </w:rPr>
              <w:t>DoR to PFS</w:t>
            </w:r>
          </w:p>
        </w:tc>
        <w:tc>
          <w:tcPr>
            <w:tcW w:w="995" w:type="dxa"/>
            <w:tcMar>
              <w:left w:w="28" w:type="dxa"/>
              <w:right w:w="28" w:type="dxa"/>
            </w:tcMar>
          </w:tcPr>
          <w:p w14:paraId="5678FD3C" w14:textId="77777777" w:rsidR="00716DF9" w:rsidRPr="00A13248" w:rsidRDefault="00716DF9" w:rsidP="00716DF9">
            <w:pPr>
              <w:rPr>
                <w:rFonts w:cs="Times New Roman"/>
                <w:sz w:val="20"/>
                <w:szCs w:val="20"/>
              </w:rPr>
            </w:pPr>
            <w:r w:rsidRPr="00A13248">
              <w:rPr>
                <w:rFonts w:cs="Times New Roman"/>
                <w:sz w:val="20"/>
                <w:szCs w:val="20"/>
              </w:rPr>
              <w:t>0</w:t>
            </w:r>
          </w:p>
        </w:tc>
        <w:tc>
          <w:tcPr>
            <w:tcW w:w="3399" w:type="dxa"/>
            <w:tcMar>
              <w:left w:w="28" w:type="dxa"/>
              <w:right w:w="28" w:type="dxa"/>
            </w:tcMar>
          </w:tcPr>
          <w:p w14:paraId="7A97BCD0" w14:textId="77777777" w:rsidR="00716DF9" w:rsidRPr="00A13248" w:rsidRDefault="00716DF9" w:rsidP="00716DF9">
            <w:pPr>
              <w:rPr>
                <w:rFonts w:cs="Times New Roman"/>
                <w:sz w:val="20"/>
                <w:szCs w:val="20"/>
              </w:rPr>
            </w:pPr>
          </w:p>
        </w:tc>
        <w:tc>
          <w:tcPr>
            <w:tcW w:w="1701" w:type="dxa"/>
            <w:tcMar>
              <w:left w:w="28" w:type="dxa"/>
              <w:right w:w="28" w:type="dxa"/>
            </w:tcMar>
          </w:tcPr>
          <w:p w14:paraId="2A33657C" w14:textId="77777777" w:rsidR="00716DF9" w:rsidRPr="00A13248" w:rsidRDefault="00716DF9" w:rsidP="00716DF9">
            <w:pPr>
              <w:rPr>
                <w:rFonts w:cs="Times New Roman"/>
                <w:sz w:val="20"/>
                <w:szCs w:val="20"/>
                <w:vertAlign w:val="superscript"/>
              </w:rPr>
            </w:pPr>
            <w:r w:rsidRPr="00A13248">
              <w:rPr>
                <w:rFonts w:cs="Times New Roman"/>
                <w:sz w:val="20"/>
                <w:szCs w:val="20"/>
              </w:rPr>
              <w:t>-</w:t>
            </w:r>
          </w:p>
        </w:tc>
        <w:tc>
          <w:tcPr>
            <w:tcW w:w="1276" w:type="dxa"/>
            <w:tcMar>
              <w:left w:w="28" w:type="dxa"/>
              <w:right w:w="28" w:type="dxa"/>
            </w:tcMar>
          </w:tcPr>
          <w:p w14:paraId="10C90B82" w14:textId="16741566" w:rsidR="00716DF9" w:rsidRPr="00A13248" w:rsidRDefault="00716DF9" w:rsidP="00A13248">
            <w:pPr>
              <w:rPr>
                <w:rFonts w:cs="Times New Roman"/>
                <w:sz w:val="20"/>
                <w:szCs w:val="20"/>
              </w:rPr>
            </w:pPr>
            <w:r w:rsidRPr="00A13248">
              <w:rPr>
                <w:rFonts w:cs="Times New Roman"/>
                <w:sz w:val="20"/>
                <w:szCs w:val="20"/>
              </w:rPr>
              <w:t xml:space="preserve">Appendix </w:t>
            </w:r>
            <w:r w:rsidR="00A13248">
              <w:rPr>
                <w:rFonts w:cs="Times New Roman"/>
                <w:sz w:val="20"/>
                <w:szCs w:val="20"/>
              </w:rPr>
              <w:t>6</w:t>
            </w:r>
          </w:p>
        </w:tc>
      </w:tr>
      <w:tr w:rsidR="00716DF9" w:rsidRPr="00A13248" w14:paraId="5724DCC2" w14:textId="77777777" w:rsidTr="00716DF9">
        <w:trPr>
          <w:gridAfter w:val="1"/>
          <w:wAfter w:w="19" w:type="dxa"/>
        </w:trPr>
        <w:tc>
          <w:tcPr>
            <w:tcW w:w="1570" w:type="dxa"/>
            <w:tcMar>
              <w:left w:w="28" w:type="dxa"/>
              <w:right w:w="28" w:type="dxa"/>
            </w:tcMar>
          </w:tcPr>
          <w:p w14:paraId="0ED5AAD9" w14:textId="77777777" w:rsidR="00716DF9" w:rsidRPr="00A13248" w:rsidRDefault="00716DF9" w:rsidP="00716DF9">
            <w:pPr>
              <w:rPr>
                <w:rFonts w:cs="Times New Roman"/>
                <w:b/>
                <w:bCs/>
                <w:sz w:val="20"/>
                <w:szCs w:val="20"/>
              </w:rPr>
            </w:pPr>
            <w:r w:rsidRPr="00A13248">
              <w:rPr>
                <w:rFonts w:cs="Times New Roman"/>
                <w:b/>
                <w:bCs/>
                <w:sz w:val="20"/>
                <w:szCs w:val="20"/>
              </w:rPr>
              <w:t>DoR to OS</w:t>
            </w:r>
          </w:p>
        </w:tc>
        <w:tc>
          <w:tcPr>
            <w:tcW w:w="995" w:type="dxa"/>
            <w:tcMar>
              <w:left w:w="28" w:type="dxa"/>
              <w:right w:w="28" w:type="dxa"/>
            </w:tcMar>
          </w:tcPr>
          <w:p w14:paraId="3607FBE2" w14:textId="77777777" w:rsidR="00716DF9" w:rsidRPr="00A13248" w:rsidRDefault="00716DF9" w:rsidP="00716DF9">
            <w:pPr>
              <w:rPr>
                <w:rFonts w:cs="Times New Roman"/>
                <w:sz w:val="20"/>
                <w:szCs w:val="20"/>
              </w:rPr>
            </w:pPr>
            <w:r w:rsidRPr="00A13248">
              <w:rPr>
                <w:rFonts w:cs="Times New Roman"/>
                <w:sz w:val="20"/>
                <w:szCs w:val="20"/>
              </w:rPr>
              <w:t>0</w:t>
            </w:r>
          </w:p>
        </w:tc>
        <w:tc>
          <w:tcPr>
            <w:tcW w:w="3399" w:type="dxa"/>
            <w:tcMar>
              <w:left w:w="28" w:type="dxa"/>
              <w:right w:w="28" w:type="dxa"/>
            </w:tcMar>
          </w:tcPr>
          <w:p w14:paraId="6B56D7A7" w14:textId="77777777" w:rsidR="00716DF9" w:rsidRPr="00A13248" w:rsidRDefault="00716DF9" w:rsidP="00716DF9">
            <w:pPr>
              <w:rPr>
                <w:rFonts w:cs="Times New Roman"/>
                <w:sz w:val="20"/>
                <w:szCs w:val="20"/>
              </w:rPr>
            </w:pPr>
          </w:p>
        </w:tc>
        <w:tc>
          <w:tcPr>
            <w:tcW w:w="1701" w:type="dxa"/>
            <w:tcMar>
              <w:left w:w="28" w:type="dxa"/>
              <w:right w:w="28" w:type="dxa"/>
            </w:tcMar>
          </w:tcPr>
          <w:p w14:paraId="7D9C179A" w14:textId="77777777" w:rsidR="00716DF9" w:rsidRPr="00A13248" w:rsidRDefault="00716DF9" w:rsidP="00716DF9">
            <w:pPr>
              <w:rPr>
                <w:rFonts w:cs="Times New Roman"/>
                <w:sz w:val="20"/>
                <w:szCs w:val="20"/>
                <w:vertAlign w:val="superscript"/>
              </w:rPr>
            </w:pPr>
            <w:r w:rsidRPr="00A13248">
              <w:rPr>
                <w:rFonts w:cs="Times New Roman"/>
                <w:sz w:val="20"/>
                <w:szCs w:val="20"/>
              </w:rPr>
              <w:t>(see footnote)*</w:t>
            </w:r>
          </w:p>
        </w:tc>
        <w:tc>
          <w:tcPr>
            <w:tcW w:w="1276" w:type="dxa"/>
            <w:tcMar>
              <w:left w:w="28" w:type="dxa"/>
              <w:right w:w="28" w:type="dxa"/>
            </w:tcMar>
          </w:tcPr>
          <w:p w14:paraId="68426B8D" w14:textId="306E8237" w:rsidR="00716DF9" w:rsidRPr="00A13248" w:rsidRDefault="00716DF9" w:rsidP="00716DF9">
            <w:pPr>
              <w:rPr>
                <w:rFonts w:cs="Times New Roman"/>
                <w:sz w:val="20"/>
                <w:szCs w:val="20"/>
              </w:rPr>
            </w:pPr>
            <w:r w:rsidRPr="00A13248">
              <w:rPr>
                <w:rFonts w:cs="Times New Roman"/>
                <w:sz w:val="20"/>
                <w:szCs w:val="20"/>
              </w:rPr>
              <w:t xml:space="preserve">Appendix </w:t>
            </w:r>
            <w:r w:rsidR="00A13248">
              <w:rPr>
                <w:rFonts w:cs="Times New Roman"/>
                <w:sz w:val="20"/>
                <w:szCs w:val="20"/>
              </w:rPr>
              <w:t>6</w:t>
            </w:r>
          </w:p>
        </w:tc>
      </w:tr>
      <w:tr w:rsidR="00716DF9" w:rsidRPr="00A13248" w14:paraId="51C50F0B" w14:textId="77777777" w:rsidTr="00716DF9">
        <w:tc>
          <w:tcPr>
            <w:tcW w:w="8960" w:type="dxa"/>
            <w:gridSpan w:val="6"/>
            <w:tcBorders>
              <w:top w:val="single" w:sz="12" w:space="0" w:color="auto"/>
              <w:bottom w:val="single" w:sz="12" w:space="0" w:color="auto"/>
            </w:tcBorders>
            <w:tcMar>
              <w:left w:w="28" w:type="dxa"/>
              <w:right w:w="28" w:type="dxa"/>
            </w:tcMar>
          </w:tcPr>
          <w:p w14:paraId="7A98777F" w14:textId="481523D7" w:rsidR="00716DF9" w:rsidRDefault="00716DF9" w:rsidP="00716DF9">
            <w:pPr>
              <w:rPr>
                <w:rFonts w:asciiTheme="majorBidi" w:hAnsiTheme="majorBidi" w:cstheme="majorBidi"/>
                <w:sz w:val="20"/>
                <w:szCs w:val="20"/>
              </w:rPr>
            </w:pPr>
            <w:r w:rsidRPr="00A13248">
              <w:rPr>
                <w:rFonts w:cs="Times New Roman"/>
                <w:sz w:val="20"/>
                <w:szCs w:val="20"/>
              </w:rPr>
              <w:t xml:space="preserve">Notes: Further detail on all studies and outcomes is shown in Appendix </w:t>
            </w:r>
            <w:r w:rsidR="000454FD">
              <w:rPr>
                <w:rFonts w:cs="Times New Roman"/>
                <w:sz w:val="20"/>
                <w:szCs w:val="20"/>
              </w:rPr>
              <w:t>6</w:t>
            </w:r>
            <w:r w:rsidRPr="00A13248">
              <w:rPr>
                <w:rFonts w:cs="Times New Roman"/>
                <w:sz w:val="20"/>
                <w:szCs w:val="20"/>
              </w:rPr>
              <w:t xml:space="preserve">. N studies per outcome may vary from </w:t>
            </w:r>
            <w:r w:rsidRPr="00A13248">
              <w:rPr>
                <w:rFonts w:cs="Times New Roman"/>
                <w:sz w:val="20"/>
                <w:szCs w:val="20"/>
              </w:rPr>
              <w:fldChar w:fldCharType="begin"/>
            </w:r>
            <w:r w:rsidRPr="00A13248">
              <w:rPr>
                <w:rFonts w:cs="Times New Roman"/>
                <w:sz w:val="20"/>
                <w:szCs w:val="20"/>
              </w:rPr>
              <w:instrText xml:space="preserve"> REF _Ref19000446 \h  \* MERGEFORMAT </w:instrText>
            </w:r>
            <w:r w:rsidRPr="00A13248">
              <w:rPr>
                <w:rFonts w:cs="Times New Roman"/>
                <w:sz w:val="20"/>
                <w:szCs w:val="20"/>
              </w:rPr>
            </w:r>
            <w:r w:rsidRPr="00A13248">
              <w:rPr>
                <w:rFonts w:cs="Times New Roman"/>
                <w:sz w:val="20"/>
                <w:szCs w:val="20"/>
              </w:rPr>
              <w:fldChar w:fldCharType="separate"/>
            </w:r>
            <w:r w:rsidR="00C663A2" w:rsidRPr="00C663A2">
              <w:rPr>
                <w:rFonts w:cs="Times New Roman"/>
                <w:sz w:val="20"/>
                <w:szCs w:val="20"/>
              </w:rPr>
              <w:t>Table 4</w:t>
            </w:r>
            <w:r w:rsidRPr="00A13248">
              <w:rPr>
                <w:rFonts w:cs="Times New Roman"/>
                <w:sz w:val="20"/>
                <w:szCs w:val="20"/>
              </w:rPr>
              <w:fldChar w:fldCharType="end"/>
            </w:r>
            <w:r w:rsidRPr="00A13248">
              <w:rPr>
                <w:rFonts w:cs="Times New Roman"/>
                <w:sz w:val="20"/>
                <w:szCs w:val="20"/>
              </w:rPr>
              <w:t xml:space="preserve"> since not all data in correct format. *</w:t>
            </w:r>
            <w:r w:rsidR="00E001C5" w:rsidRPr="002D1DD7">
              <w:rPr>
                <w:rFonts w:asciiTheme="majorBidi" w:hAnsiTheme="majorBidi" w:cstheme="majorBidi"/>
                <w:sz w:val="20"/>
                <w:szCs w:val="20"/>
              </w:rPr>
              <w:t xml:space="preserve"> Two studies in CRC</w:t>
            </w:r>
            <w:r w:rsidR="00E001C5" w:rsidRPr="002D1DD7">
              <w:rPr>
                <w:rFonts w:asciiTheme="majorBidi" w:hAnsiTheme="majorBidi" w:cstheme="majorBidi"/>
                <w:sz w:val="20"/>
                <w:szCs w:val="20"/>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asciiTheme="majorBidi" w:hAnsiTheme="majorBidi" w:cstheme="majorBidi"/>
                <w:sz w:val="20"/>
                <w:szCs w:val="20"/>
              </w:rPr>
              <w:instrText xml:space="preserve"> ADDIN EN.CITE </w:instrText>
            </w:r>
            <w:r w:rsidR="000E66DE">
              <w:rPr>
                <w:rFonts w:asciiTheme="majorBidi" w:hAnsiTheme="majorBidi" w:cstheme="majorBidi"/>
                <w:sz w:val="20"/>
                <w:szCs w:val="20"/>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asciiTheme="majorBidi" w:hAnsiTheme="majorBidi" w:cstheme="majorBidi"/>
                <w:sz w:val="20"/>
                <w:szCs w:val="20"/>
              </w:rPr>
              <w:instrText xml:space="preserve"> ADDIN EN.CITE.DATA </w:instrText>
            </w:r>
            <w:r w:rsidR="000E66DE">
              <w:rPr>
                <w:rFonts w:asciiTheme="majorBidi" w:hAnsiTheme="majorBidi" w:cstheme="majorBidi"/>
                <w:sz w:val="20"/>
                <w:szCs w:val="20"/>
              </w:rPr>
            </w:r>
            <w:r w:rsidR="000E66DE">
              <w:rPr>
                <w:rFonts w:asciiTheme="majorBidi" w:hAnsiTheme="majorBidi" w:cstheme="majorBidi"/>
                <w:sz w:val="20"/>
                <w:szCs w:val="20"/>
              </w:rPr>
              <w:fldChar w:fldCharType="end"/>
            </w:r>
            <w:r w:rsidR="00E001C5" w:rsidRPr="002D1DD7">
              <w:rPr>
                <w:rFonts w:asciiTheme="majorBidi" w:hAnsiTheme="majorBidi" w:cstheme="majorBidi"/>
                <w:sz w:val="20"/>
                <w:szCs w:val="20"/>
              </w:rPr>
            </w:r>
            <w:r w:rsidR="00E001C5" w:rsidRPr="002D1DD7">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89</w:t>
            </w:r>
            <w:r w:rsidR="00E001C5" w:rsidRPr="002D1DD7">
              <w:rPr>
                <w:rFonts w:asciiTheme="majorBidi" w:hAnsiTheme="majorBidi" w:cstheme="majorBidi"/>
                <w:sz w:val="20"/>
                <w:szCs w:val="20"/>
              </w:rPr>
              <w:fldChar w:fldCharType="end"/>
            </w:r>
            <w:r w:rsidR="00E001C5" w:rsidRPr="002D1DD7">
              <w:rPr>
                <w:rFonts w:asciiTheme="majorBidi" w:hAnsiTheme="majorBidi" w:cstheme="majorBidi"/>
                <w:sz w:val="20"/>
                <w:szCs w:val="20"/>
              </w:rPr>
              <w:t xml:space="preserve"> and pancreatic cancer</w:t>
            </w:r>
            <w:r w:rsidR="00E001C5" w:rsidRPr="002D1DD7">
              <w:rPr>
                <w:rFonts w:asciiTheme="majorBidi" w:hAnsiTheme="majorBidi" w:cstheme="majorBidi"/>
                <w:sz w:val="20"/>
                <w:szCs w:val="20"/>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asciiTheme="majorBidi" w:hAnsiTheme="majorBidi" w:cstheme="majorBidi"/>
                <w:sz w:val="20"/>
                <w:szCs w:val="20"/>
              </w:rPr>
              <w:instrText xml:space="preserve"> ADDIN EN.CITE </w:instrText>
            </w:r>
            <w:r w:rsidR="000E66DE">
              <w:rPr>
                <w:rFonts w:asciiTheme="majorBidi" w:hAnsiTheme="majorBidi" w:cstheme="majorBidi"/>
                <w:sz w:val="20"/>
                <w:szCs w:val="20"/>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asciiTheme="majorBidi" w:hAnsiTheme="majorBidi" w:cstheme="majorBidi"/>
                <w:sz w:val="20"/>
                <w:szCs w:val="20"/>
              </w:rPr>
              <w:instrText xml:space="preserve"> ADDIN EN.CITE.DATA </w:instrText>
            </w:r>
            <w:r w:rsidR="000E66DE">
              <w:rPr>
                <w:rFonts w:asciiTheme="majorBidi" w:hAnsiTheme="majorBidi" w:cstheme="majorBidi"/>
                <w:sz w:val="20"/>
                <w:szCs w:val="20"/>
              </w:rPr>
            </w:r>
            <w:r w:rsidR="000E66DE">
              <w:rPr>
                <w:rFonts w:asciiTheme="majorBidi" w:hAnsiTheme="majorBidi" w:cstheme="majorBidi"/>
                <w:sz w:val="20"/>
                <w:szCs w:val="20"/>
              </w:rPr>
              <w:fldChar w:fldCharType="end"/>
            </w:r>
            <w:r w:rsidR="00E001C5" w:rsidRPr="002D1DD7">
              <w:rPr>
                <w:rFonts w:asciiTheme="majorBidi" w:hAnsiTheme="majorBidi" w:cstheme="majorBidi"/>
                <w:sz w:val="20"/>
                <w:szCs w:val="20"/>
              </w:rPr>
            </w:r>
            <w:r w:rsidR="00E001C5" w:rsidRPr="002D1DD7">
              <w:rPr>
                <w:rFonts w:asciiTheme="majorBidi" w:hAnsiTheme="majorBidi" w:cstheme="majorBidi"/>
                <w:sz w:val="20"/>
                <w:szCs w:val="20"/>
              </w:rPr>
              <w:fldChar w:fldCharType="separate"/>
            </w:r>
            <w:r w:rsidR="003117A9" w:rsidRPr="003117A9">
              <w:rPr>
                <w:rFonts w:asciiTheme="majorBidi" w:hAnsiTheme="majorBidi" w:cstheme="majorBidi"/>
                <w:noProof/>
                <w:sz w:val="20"/>
                <w:szCs w:val="20"/>
                <w:vertAlign w:val="superscript"/>
              </w:rPr>
              <w:t>88</w:t>
            </w:r>
            <w:r w:rsidR="00E001C5" w:rsidRPr="002D1DD7">
              <w:rPr>
                <w:rFonts w:asciiTheme="majorBidi" w:hAnsiTheme="majorBidi" w:cstheme="majorBidi"/>
                <w:sz w:val="20"/>
                <w:szCs w:val="20"/>
              </w:rPr>
              <w:fldChar w:fldCharType="end"/>
            </w:r>
            <w:r w:rsidR="00E001C5" w:rsidRPr="002D1DD7">
              <w:rPr>
                <w:rFonts w:asciiTheme="majorBidi" w:hAnsiTheme="majorBidi" w:cstheme="majorBidi"/>
                <w:sz w:val="20"/>
                <w:szCs w:val="20"/>
              </w:rPr>
              <w:t xml:space="preserve"> reported Spearman correlation </w:t>
            </w:r>
            <w:r w:rsidR="00E001C5">
              <w:rPr>
                <w:rFonts w:asciiTheme="majorBidi" w:hAnsiTheme="majorBidi" w:cstheme="majorBidi"/>
                <w:sz w:val="20"/>
                <w:szCs w:val="20"/>
              </w:rPr>
              <w:t>coefficients</w:t>
            </w:r>
            <w:r w:rsidR="00E001C5" w:rsidRPr="002D1DD7">
              <w:rPr>
                <w:rFonts w:asciiTheme="majorBidi" w:hAnsiTheme="majorBidi" w:cstheme="majorBidi"/>
                <w:sz w:val="20"/>
                <w:szCs w:val="20"/>
              </w:rPr>
              <w:t xml:space="preserve"> </w:t>
            </w:r>
            <w:r w:rsidR="00E001C5">
              <w:rPr>
                <w:rFonts w:asciiTheme="majorBidi" w:hAnsiTheme="majorBidi" w:cstheme="majorBidi"/>
                <w:sz w:val="20"/>
                <w:szCs w:val="20"/>
              </w:rPr>
              <w:t>between</w:t>
            </w:r>
            <w:r w:rsidR="00E001C5" w:rsidRPr="002D1DD7">
              <w:rPr>
                <w:rFonts w:asciiTheme="majorBidi" w:hAnsiTheme="majorBidi" w:cstheme="majorBidi"/>
                <w:sz w:val="20"/>
                <w:szCs w:val="20"/>
              </w:rPr>
              <w:t xml:space="preserve"> DoR </w:t>
            </w:r>
            <w:r w:rsidR="00E001C5">
              <w:rPr>
                <w:rFonts w:asciiTheme="majorBidi" w:hAnsiTheme="majorBidi" w:cstheme="majorBidi"/>
                <w:sz w:val="20"/>
                <w:szCs w:val="20"/>
              </w:rPr>
              <w:t>and</w:t>
            </w:r>
            <w:r w:rsidR="00E001C5" w:rsidRPr="002D1DD7">
              <w:rPr>
                <w:rFonts w:asciiTheme="majorBidi" w:hAnsiTheme="majorBidi" w:cstheme="majorBidi"/>
                <w:sz w:val="20"/>
                <w:szCs w:val="20"/>
              </w:rPr>
              <w:t xml:space="preserve"> OS </w:t>
            </w:r>
            <w:r w:rsidR="00E001C5">
              <w:rPr>
                <w:rFonts w:asciiTheme="majorBidi" w:hAnsiTheme="majorBidi" w:cstheme="majorBidi"/>
                <w:sz w:val="20"/>
                <w:szCs w:val="20"/>
              </w:rPr>
              <w:t>ranging from</w:t>
            </w:r>
            <w:r w:rsidR="00E001C5" w:rsidRPr="002D1DD7">
              <w:rPr>
                <w:rFonts w:asciiTheme="majorBidi" w:hAnsiTheme="majorBidi" w:cstheme="majorBidi"/>
                <w:sz w:val="20"/>
                <w:szCs w:val="20"/>
              </w:rPr>
              <w:t xml:space="preserve"> 0.</w:t>
            </w:r>
            <w:r w:rsidR="00E001C5">
              <w:rPr>
                <w:rFonts w:asciiTheme="majorBidi" w:hAnsiTheme="majorBidi" w:cstheme="majorBidi"/>
                <w:sz w:val="20"/>
                <w:szCs w:val="20"/>
              </w:rPr>
              <w:t>40</w:t>
            </w:r>
            <w:r w:rsidR="00E001C5" w:rsidRPr="002D1DD7">
              <w:rPr>
                <w:rFonts w:asciiTheme="majorBidi" w:hAnsiTheme="majorBidi" w:cstheme="majorBidi"/>
                <w:sz w:val="20"/>
                <w:szCs w:val="20"/>
              </w:rPr>
              <w:t xml:space="preserve"> </w:t>
            </w:r>
            <w:r w:rsidR="00E001C5">
              <w:rPr>
                <w:rFonts w:asciiTheme="majorBidi" w:hAnsiTheme="majorBidi" w:cstheme="majorBidi"/>
                <w:sz w:val="20"/>
                <w:szCs w:val="20"/>
              </w:rPr>
              <w:t>to</w:t>
            </w:r>
            <w:r w:rsidR="00E001C5" w:rsidRPr="002D1DD7">
              <w:rPr>
                <w:rFonts w:asciiTheme="majorBidi" w:hAnsiTheme="majorBidi" w:cstheme="majorBidi"/>
                <w:sz w:val="20"/>
                <w:szCs w:val="20"/>
              </w:rPr>
              <w:t xml:space="preserve"> 0.76.</w:t>
            </w:r>
          </w:p>
          <w:p w14:paraId="34A32A6A" w14:textId="77777777" w:rsidR="00E001C5" w:rsidRPr="00A13248" w:rsidRDefault="00E001C5" w:rsidP="00716DF9">
            <w:pPr>
              <w:rPr>
                <w:rFonts w:cs="Times New Roman"/>
                <w:sz w:val="20"/>
                <w:szCs w:val="20"/>
              </w:rPr>
            </w:pPr>
          </w:p>
          <w:p w14:paraId="462D4536" w14:textId="35BCA96D" w:rsidR="00716DF9" w:rsidRPr="00A13248" w:rsidRDefault="00716DF9" w:rsidP="00E944DE">
            <w:pPr>
              <w:rPr>
                <w:rFonts w:cs="Times New Roman"/>
                <w:sz w:val="20"/>
                <w:szCs w:val="20"/>
              </w:rPr>
            </w:pPr>
            <w:r w:rsidRPr="00A13248">
              <w:rPr>
                <w:rFonts w:cs="Times New Roman"/>
                <w:sz w:val="20"/>
                <w:szCs w:val="20"/>
              </w:rPr>
              <w:t xml:space="preserve">BTC, biliary tract cancer; CR, complete response; CRC, colorectal cancer; DoR, duration of response; NHL, non-Hodgkin’s lymphoma; NSCLC, non-small cell lung cancer; </w:t>
            </w:r>
            <w:r w:rsidR="00E944DE" w:rsidRPr="00A13248">
              <w:rPr>
                <w:rFonts w:cs="Times New Roman"/>
                <w:sz w:val="20"/>
                <w:szCs w:val="20"/>
              </w:rPr>
              <w:t xml:space="preserve">ORR, overall response rate; </w:t>
            </w:r>
            <w:r w:rsidRPr="00A13248">
              <w:rPr>
                <w:rFonts w:cs="Times New Roman"/>
                <w:sz w:val="20"/>
                <w:szCs w:val="20"/>
              </w:rPr>
              <w:t>OS, overall survival; PFS, progression-free survival; PR, partial response; RCC, renal cell carcinoma; SCLC, small cell lung cancer; STC, soft tissue sarcoma; TTP, time to progression; VGPR, very good partial response.</w:t>
            </w:r>
          </w:p>
        </w:tc>
      </w:tr>
    </w:tbl>
    <w:p w14:paraId="0FDEFE74" w14:textId="77777777" w:rsidR="00716DF9" w:rsidRPr="002D1DD7" w:rsidRDefault="00716DF9" w:rsidP="00716DF9">
      <w:pPr>
        <w:jc w:val="both"/>
        <w:rPr>
          <w:rFonts w:asciiTheme="majorBidi" w:hAnsiTheme="majorBidi" w:cstheme="majorBidi"/>
        </w:rPr>
      </w:pPr>
    </w:p>
    <w:p w14:paraId="057551F4" w14:textId="77777777" w:rsidR="00716DF9" w:rsidRPr="002D1DD7" w:rsidRDefault="00716DF9" w:rsidP="00716DF9">
      <w:pPr>
        <w:jc w:val="both"/>
        <w:rPr>
          <w:rFonts w:asciiTheme="majorBidi" w:hAnsiTheme="majorBidi" w:cstheme="majorBidi"/>
        </w:rPr>
      </w:pPr>
    </w:p>
    <w:p w14:paraId="00D5B936" w14:textId="77777777" w:rsidR="00716DF9" w:rsidRPr="002D1DD7" w:rsidRDefault="00716DF9" w:rsidP="00716DF9">
      <w:pPr>
        <w:jc w:val="both"/>
        <w:rPr>
          <w:rFonts w:asciiTheme="majorBidi" w:hAnsiTheme="majorBidi" w:cstheme="majorBidi"/>
        </w:rPr>
      </w:pPr>
    </w:p>
    <w:p w14:paraId="222F0F9B" w14:textId="77777777" w:rsidR="00716DF9" w:rsidRPr="002D1DD7" w:rsidRDefault="00716DF9" w:rsidP="00716DF9">
      <w:pPr>
        <w:jc w:val="both"/>
        <w:rPr>
          <w:rFonts w:asciiTheme="majorBidi" w:hAnsiTheme="majorBidi" w:cstheme="majorBidi"/>
        </w:rPr>
        <w:sectPr w:rsidR="00716DF9" w:rsidRPr="002D1DD7">
          <w:pgSz w:w="11906" w:h="16838"/>
          <w:pgMar w:top="1440" w:right="1440" w:bottom="1440" w:left="1440" w:header="708" w:footer="708" w:gutter="0"/>
          <w:cols w:space="708"/>
          <w:docGrid w:linePitch="360"/>
        </w:sectPr>
      </w:pPr>
    </w:p>
    <w:p w14:paraId="02766FA0" w14:textId="17AAD578" w:rsidR="00716DF9" w:rsidRPr="002D1DD7" w:rsidRDefault="00716DF9" w:rsidP="00AA1EC7">
      <w:pPr>
        <w:pStyle w:val="Caption"/>
        <w:rPr>
          <w:lang w:eastAsia="en-GB"/>
        </w:rPr>
      </w:pPr>
      <w:bookmarkStart w:id="100" w:name="_Ref16785271"/>
      <w:bookmarkStart w:id="101" w:name="_Toc34033564"/>
      <w:r w:rsidRPr="002D1DD7">
        <w:lastRenderedPageBreak/>
        <w:t xml:space="preserve">Figure </w:t>
      </w:r>
      <w:r w:rsidR="00C974E5">
        <w:fldChar w:fldCharType="begin"/>
      </w:r>
      <w:r w:rsidR="00C974E5">
        <w:instrText xml:space="preserve"> SEQ Figure \* ARABIC </w:instrText>
      </w:r>
      <w:r w:rsidR="00C974E5">
        <w:fldChar w:fldCharType="separate"/>
      </w:r>
      <w:r w:rsidR="00C663A2">
        <w:rPr>
          <w:noProof/>
        </w:rPr>
        <w:t>4</w:t>
      </w:r>
      <w:r w:rsidR="00C974E5">
        <w:rPr>
          <w:noProof/>
        </w:rPr>
        <w:fldChar w:fldCharType="end"/>
      </w:r>
      <w:bookmarkEnd w:id="100"/>
      <w:r w:rsidRPr="002D1DD7">
        <w:rPr>
          <w:lang w:eastAsia="en-GB"/>
        </w:rPr>
        <w:t>: Regression R</w:t>
      </w:r>
      <w:r w:rsidRPr="002D1DD7">
        <w:rPr>
          <w:vertAlign w:val="superscript"/>
          <w:lang w:eastAsia="en-GB"/>
        </w:rPr>
        <w:t>2</w:t>
      </w:r>
      <w:r w:rsidRPr="002D1DD7">
        <w:rPr>
          <w:lang w:eastAsia="en-GB"/>
        </w:rPr>
        <w:t xml:space="preserve"> between treatment effects </w:t>
      </w:r>
      <w:r w:rsidRPr="002D1DD7">
        <w:t xml:space="preserve">(trial-level) </w:t>
      </w:r>
      <w:r w:rsidRPr="002D1DD7">
        <w:rPr>
          <w:lang w:eastAsia="en-GB"/>
        </w:rPr>
        <w:t xml:space="preserve">for </w:t>
      </w:r>
      <w:r w:rsidR="00E944DE">
        <w:rPr>
          <w:lang w:eastAsia="en-GB"/>
        </w:rPr>
        <w:t>O</w:t>
      </w:r>
      <w:r w:rsidRPr="002D1DD7">
        <w:rPr>
          <w:lang w:eastAsia="en-GB"/>
        </w:rPr>
        <w:t>RR and PFS</w:t>
      </w:r>
      <w:r w:rsidR="00557925">
        <w:rPr>
          <w:lang w:eastAsia="en-GB"/>
        </w:rPr>
        <w:t>*</w:t>
      </w:r>
      <w:bookmarkEnd w:id="101"/>
    </w:p>
    <w:p w14:paraId="14A50297" w14:textId="1A5F163B" w:rsidR="00716DF9" w:rsidRPr="002D1DD7" w:rsidRDefault="00AC0C3A" w:rsidP="00716DF9">
      <w:pPr>
        <w:spacing w:after="0"/>
        <w:jc w:val="both"/>
        <w:rPr>
          <w:rFonts w:asciiTheme="majorBidi" w:eastAsia="Times New Roman" w:hAnsiTheme="majorBidi" w:cstheme="majorBidi"/>
          <w:color w:val="000000"/>
          <w:lang w:eastAsia="en-GB"/>
        </w:rPr>
      </w:pPr>
      <w:r w:rsidRPr="00AC0C3A">
        <w:rPr>
          <w:noProof/>
          <w:lang w:eastAsia="zh-CN"/>
        </w:rPr>
        <w:t xml:space="preserve"> </w:t>
      </w:r>
      <w:r w:rsidRPr="00AC0C3A">
        <w:rPr>
          <w:noProof/>
          <w:lang w:eastAsia="en-GB"/>
        </w:rPr>
        <w:drawing>
          <wp:inline distT="0" distB="0" distL="0" distR="0" wp14:anchorId="279A0F45" wp14:editId="4E8365DC">
            <wp:extent cx="7182291" cy="46800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82291" cy="4680000"/>
                    </a:xfrm>
                    <a:prstGeom prst="rect">
                      <a:avLst/>
                    </a:prstGeom>
                  </pic:spPr>
                </pic:pic>
              </a:graphicData>
            </a:graphic>
          </wp:inline>
        </w:drawing>
      </w:r>
    </w:p>
    <w:p w14:paraId="19611232" w14:textId="19737281" w:rsidR="00716DF9" w:rsidRPr="002D1DD7" w:rsidRDefault="00557925" w:rsidP="00D16131">
      <w:pPr>
        <w:spacing w:after="0" w:line="240" w:lineRule="auto"/>
        <w:jc w:val="both"/>
        <w:rPr>
          <w:rFonts w:asciiTheme="majorBidi" w:eastAsia="Times New Roman" w:hAnsiTheme="majorBidi" w:cstheme="majorBidi"/>
          <w:color w:val="000000"/>
          <w:lang w:eastAsia="en-GB"/>
        </w:rPr>
      </w:pPr>
      <w:r>
        <w:rPr>
          <w:rFonts w:asciiTheme="majorBidi" w:hAnsiTheme="majorBidi" w:cstheme="majorBidi"/>
          <w:sz w:val="20"/>
          <w:szCs w:val="20"/>
        </w:rPr>
        <w:t xml:space="preserve">*For each study, the plot illustrates the range of correlation coefficients across all subgroup analyses. </w:t>
      </w:r>
      <w:r w:rsidR="000347C7">
        <w:rPr>
          <w:rFonts w:asciiTheme="majorBidi" w:hAnsiTheme="majorBidi" w:cstheme="majorBidi"/>
          <w:sz w:val="20"/>
          <w:szCs w:val="20"/>
        </w:rPr>
        <w:t xml:space="preserve">N represents the number of studies included in each meta-regression. </w:t>
      </w:r>
      <w:r w:rsidR="00716DF9" w:rsidRPr="002D1DD7">
        <w:rPr>
          <w:rFonts w:asciiTheme="majorBidi" w:hAnsiTheme="majorBidi" w:cstheme="majorBidi"/>
          <w:sz w:val="20"/>
          <w:szCs w:val="20"/>
        </w:rPr>
        <w:t>NSCLC, non-small cell lung cancer</w:t>
      </w:r>
      <w:r w:rsidR="00E944DE">
        <w:rPr>
          <w:rFonts w:asciiTheme="majorBidi" w:hAnsiTheme="majorBidi" w:cstheme="majorBidi"/>
          <w:sz w:val="20"/>
          <w:szCs w:val="20"/>
        </w:rPr>
        <w:t>; O</w:t>
      </w:r>
      <w:r w:rsidR="00E944DE" w:rsidRPr="002D1DD7">
        <w:rPr>
          <w:rFonts w:asciiTheme="majorBidi" w:hAnsiTheme="majorBidi" w:cstheme="majorBidi"/>
          <w:sz w:val="20"/>
          <w:szCs w:val="20"/>
        </w:rPr>
        <w:t xml:space="preserve">RR, </w:t>
      </w:r>
      <w:r w:rsidR="00E944DE">
        <w:rPr>
          <w:rFonts w:asciiTheme="majorBidi" w:hAnsiTheme="majorBidi" w:cstheme="majorBidi"/>
          <w:sz w:val="20"/>
          <w:szCs w:val="20"/>
        </w:rPr>
        <w:t xml:space="preserve">overall </w:t>
      </w:r>
      <w:r w:rsidR="00E944DE" w:rsidRPr="002D1DD7">
        <w:rPr>
          <w:rFonts w:asciiTheme="majorBidi" w:hAnsiTheme="majorBidi" w:cstheme="majorBidi"/>
          <w:sz w:val="20"/>
          <w:szCs w:val="20"/>
        </w:rPr>
        <w:t>response rate</w:t>
      </w:r>
      <w:r w:rsidR="00E944DE">
        <w:rPr>
          <w:rFonts w:asciiTheme="majorBidi" w:hAnsiTheme="majorBidi" w:cstheme="majorBidi"/>
          <w:sz w:val="20"/>
          <w:szCs w:val="20"/>
        </w:rPr>
        <w:t>; PFS, progression-free survival</w:t>
      </w:r>
      <w:r w:rsidR="00716DF9" w:rsidRPr="002D1DD7">
        <w:rPr>
          <w:rFonts w:asciiTheme="majorBidi" w:hAnsiTheme="majorBidi" w:cstheme="majorBidi"/>
          <w:sz w:val="20"/>
          <w:szCs w:val="20"/>
        </w:rPr>
        <w:t>.</w:t>
      </w:r>
    </w:p>
    <w:p w14:paraId="3C03C4E5" w14:textId="77777777" w:rsidR="00716DF9" w:rsidRPr="002D1DD7" w:rsidRDefault="00716DF9" w:rsidP="00716DF9">
      <w:pPr>
        <w:spacing w:after="0"/>
        <w:jc w:val="both"/>
        <w:rPr>
          <w:rFonts w:asciiTheme="majorBidi" w:eastAsia="Times New Roman" w:hAnsiTheme="majorBidi" w:cstheme="majorBidi"/>
          <w:color w:val="000000"/>
          <w:lang w:eastAsia="en-GB"/>
        </w:rPr>
        <w:sectPr w:rsidR="00716DF9" w:rsidRPr="002D1DD7" w:rsidSect="00716DF9">
          <w:pgSz w:w="16838" w:h="11906" w:orient="landscape"/>
          <w:pgMar w:top="1440" w:right="1440" w:bottom="1440" w:left="1440" w:header="708" w:footer="708" w:gutter="0"/>
          <w:cols w:space="708"/>
          <w:docGrid w:linePitch="360"/>
        </w:sectPr>
      </w:pPr>
    </w:p>
    <w:p w14:paraId="77A55446" w14:textId="4EF87A5A" w:rsidR="00716DF9" w:rsidRPr="002D1DD7" w:rsidRDefault="00716DF9" w:rsidP="00AA1EC7">
      <w:pPr>
        <w:pStyle w:val="Caption"/>
        <w:rPr>
          <w:lang w:eastAsia="en-GB"/>
        </w:rPr>
      </w:pPr>
      <w:bookmarkStart w:id="102" w:name="_Ref16785279"/>
      <w:bookmarkStart w:id="103" w:name="_Toc34033565"/>
      <w:r w:rsidRPr="002D1DD7">
        <w:lastRenderedPageBreak/>
        <w:t xml:space="preserve">Figure </w:t>
      </w:r>
      <w:r w:rsidR="00C974E5">
        <w:fldChar w:fldCharType="begin"/>
      </w:r>
      <w:r w:rsidR="00C974E5">
        <w:instrText xml:space="preserve"> SEQ Figure \* ARABIC </w:instrText>
      </w:r>
      <w:r w:rsidR="00C974E5">
        <w:fldChar w:fldCharType="separate"/>
      </w:r>
      <w:r w:rsidR="00C663A2">
        <w:rPr>
          <w:noProof/>
        </w:rPr>
        <w:t>5</w:t>
      </w:r>
      <w:r w:rsidR="00C974E5">
        <w:rPr>
          <w:noProof/>
        </w:rPr>
        <w:fldChar w:fldCharType="end"/>
      </w:r>
      <w:bookmarkEnd w:id="102"/>
      <w:r w:rsidRPr="002D1DD7">
        <w:rPr>
          <w:lang w:eastAsia="en-GB"/>
        </w:rPr>
        <w:t>: Regression R</w:t>
      </w:r>
      <w:r w:rsidRPr="002D1DD7">
        <w:rPr>
          <w:vertAlign w:val="superscript"/>
          <w:lang w:eastAsia="en-GB"/>
        </w:rPr>
        <w:t>2</w:t>
      </w:r>
      <w:r w:rsidRPr="002D1DD7">
        <w:rPr>
          <w:lang w:eastAsia="en-GB"/>
        </w:rPr>
        <w:t xml:space="preserve"> between treatment effects </w:t>
      </w:r>
      <w:r w:rsidRPr="002D1DD7">
        <w:t xml:space="preserve">(trial-level) </w:t>
      </w:r>
      <w:r w:rsidRPr="002D1DD7">
        <w:rPr>
          <w:lang w:eastAsia="en-GB"/>
        </w:rPr>
        <w:t xml:space="preserve">for </w:t>
      </w:r>
      <w:r w:rsidR="00E944DE">
        <w:rPr>
          <w:lang w:eastAsia="en-GB"/>
        </w:rPr>
        <w:t>O</w:t>
      </w:r>
      <w:r w:rsidRPr="002D1DD7">
        <w:rPr>
          <w:lang w:eastAsia="en-GB"/>
        </w:rPr>
        <w:t>RR and OS</w:t>
      </w:r>
      <w:r w:rsidR="00557925">
        <w:rPr>
          <w:lang w:eastAsia="en-GB"/>
        </w:rPr>
        <w:t>*</w:t>
      </w:r>
      <w:bookmarkEnd w:id="103"/>
    </w:p>
    <w:p w14:paraId="1C9F0A1A" w14:textId="0BD5634E" w:rsidR="00716DF9" w:rsidRPr="002D1DD7" w:rsidRDefault="00AC0C3A" w:rsidP="00716DF9">
      <w:pPr>
        <w:spacing w:after="0"/>
        <w:jc w:val="both"/>
        <w:rPr>
          <w:rFonts w:asciiTheme="majorBidi" w:eastAsia="Times New Roman" w:hAnsiTheme="majorBidi" w:cstheme="majorBidi"/>
          <w:color w:val="000000"/>
          <w:lang w:eastAsia="en-GB"/>
        </w:rPr>
      </w:pPr>
      <w:r w:rsidRPr="00AC0C3A">
        <w:rPr>
          <w:noProof/>
          <w:lang w:eastAsia="zh-CN"/>
        </w:rPr>
        <w:t xml:space="preserve"> </w:t>
      </w:r>
      <w:r w:rsidR="000347C7" w:rsidRPr="000347C7">
        <w:rPr>
          <w:noProof/>
          <w:lang w:eastAsia="en-GB"/>
        </w:rPr>
        <w:drawing>
          <wp:inline distT="0" distB="0" distL="0" distR="0" wp14:anchorId="6CD16285" wp14:editId="7DC5BAA4">
            <wp:extent cx="7182291" cy="4680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82291" cy="4680000"/>
                    </a:xfrm>
                    <a:prstGeom prst="rect">
                      <a:avLst/>
                    </a:prstGeom>
                  </pic:spPr>
                </pic:pic>
              </a:graphicData>
            </a:graphic>
          </wp:inline>
        </w:drawing>
      </w:r>
    </w:p>
    <w:p w14:paraId="1C5346E9" w14:textId="0202194C" w:rsidR="00716DF9" w:rsidRPr="002D1DD7" w:rsidRDefault="00557925" w:rsidP="00D16131">
      <w:pPr>
        <w:spacing w:after="0" w:line="240" w:lineRule="auto"/>
        <w:jc w:val="both"/>
        <w:rPr>
          <w:rFonts w:asciiTheme="majorBidi" w:hAnsiTheme="majorBidi" w:cstheme="majorBidi"/>
        </w:rPr>
      </w:pPr>
      <w:r>
        <w:rPr>
          <w:rFonts w:asciiTheme="majorBidi" w:hAnsiTheme="majorBidi" w:cstheme="majorBidi"/>
          <w:sz w:val="20"/>
          <w:szCs w:val="20"/>
        </w:rPr>
        <w:t xml:space="preserve">*For each study, the plot illustrates the range of correlation coefficients across all subgroup analyses. </w:t>
      </w:r>
      <w:r w:rsidR="000347C7">
        <w:rPr>
          <w:rFonts w:asciiTheme="majorBidi" w:hAnsiTheme="majorBidi" w:cstheme="majorBidi"/>
          <w:sz w:val="20"/>
          <w:szCs w:val="20"/>
        </w:rPr>
        <w:t xml:space="preserve">N represents the number of studies included in each meta-regression. </w:t>
      </w:r>
      <w:r w:rsidR="00716DF9" w:rsidRPr="002D1DD7">
        <w:rPr>
          <w:rFonts w:asciiTheme="majorBidi" w:hAnsiTheme="majorBidi" w:cstheme="majorBidi"/>
          <w:sz w:val="20"/>
          <w:szCs w:val="20"/>
        </w:rPr>
        <w:t>NSCLC, non-small cell lung cancer;</w:t>
      </w:r>
      <w:r w:rsidR="00E944DE">
        <w:rPr>
          <w:rFonts w:asciiTheme="majorBidi" w:hAnsiTheme="majorBidi" w:cstheme="majorBidi"/>
          <w:sz w:val="20"/>
          <w:szCs w:val="20"/>
        </w:rPr>
        <w:t xml:space="preserve"> O</w:t>
      </w:r>
      <w:r w:rsidR="00E944DE" w:rsidRPr="002D1DD7">
        <w:rPr>
          <w:rFonts w:asciiTheme="majorBidi" w:hAnsiTheme="majorBidi" w:cstheme="majorBidi"/>
          <w:sz w:val="20"/>
          <w:szCs w:val="20"/>
        </w:rPr>
        <w:t xml:space="preserve">RR, </w:t>
      </w:r>
      <w:r w:rsidR="00E944DE">
        <w:rPr>
          <w:rFonts w:asciiTheme="majorBidi" w:hAnsiTheme="majorBidi" w:cstheme="majorBidi"/>
          <w:sz w:val="20"/>
          <w:szCs w:val="20"/>
        </w:rPr>
        <w:t xml:space="preserve">overall </w:t>
      </w:r>
      <w:r w:rsidR="00E944DE" w:rsidRPr="002D1DD7">
        <w:rPr>
          <w:rFonts w:asciiTheme="majorBidi" w:hAnsiTheme="majorBidi" w:cstheme="majorBidi"/>
          <w:sz w:val="20"/>
          <w:szCs w:val="20"/>
        </w:rPr>
        <w:t>response rate</w:t>
      </w:r>
      <w:r w:rsidR="00E944DE">
        <w:rPr>
          <w:rFonts w:asciiTheme="majorBidi" w:hAnsiTheme="majorBidi" w:cstheme="majorBidi"/>
          <w:sz w:val="20"/>
          <w:szCs w:val="20"/>
        </w:rPr>
        <w:t>; OS, overall survival;</w:t>
      </w:r>
      <w:r w:rsidR="00716DF9" w:rsidRPr="002D1DD7">
        <w:rPr>
          <w:rFonts w:asciiTheme="majorBidi" w:hAnsiTheme="majorBidi" w:cstheme="majorBidi"/>
          <w:sz w:val="20"/>
          <w:szCs w:val="20"/>
        </w:rPr>
        <w:t xml:space="preserve"> SCLC, small cell lung cancer</w:t>
      </w:r>
      <w:r w:rsidR="005A3E67">
        <w:rPr>
          <w:rFonts w:asciiTheme="majorBidi" w:hAnsiTheme="majorBidi" w:cstheme="majorBidi"/>
          <w:sz w:val="20"/>
          <w:szCs w:val="20"/>
        </w:rPr>
        <w:t>.</w:t>
      </w:r>
      <w:r w:rsidR="00716DF9" w:rsidRPr="002D1DD7">
        <w:rPr>
          <w:rFonts w:asciiTheme="majorBidi" w:hAnsiTheme="majorBidi" w:cstheme="majorBidi"/>
          <w:sz w:val="20"/>
          <w:szCs w:val="20"/>
        </w:rPr>
        <w:t xml:space="preserve"> </w:t>
      </w:r>
    </w:p>
    <w:p w14:paraId="41D42CB7" w14:textId="77777777" w:rsidR="00716DF9" w:rsidRPr="002D1DD7" w:rsidRDefault="00716DF9" w:rsidP="00716DF9">
      <w:pPr>
        <w:jc w:val="both"/>
        <w:rPr>
          <w:rFonts w:asciiTheme="majorBidi" w:hAnsiTheme="majorBidi" w:cstheme="majorBidi"/>
        </w:rPr>
        <w:sectPr w:rsidR="00716DF9" w:rsidRPr="002D1DD7" w:rsidSect="00716DF9">
          <w:pgSz w:w="16838" w:h="11906" w:orient="landscape"/>
          <w:pgMar w:top="1440" w:right="1440" w:bottom="1440" w:left="1440" w:header="708" w:footer="708" w:gutter="0"/>
          <w:cols w:space="708"/>
          <w:docGrid w:linePitch="360"/>
        </w:sectPr>
      </w:pPr>
    </w:p>
    <w:p w14:paraId="03C43AAE" w14:textId="77777777" w:rsidR="00716DF9" w:rsidRPr="002D1DD7" w:rsidRDefault="00716DF9" w:rsidP="00223273">
      <w:pPr>
        <w:pStyle w:val="Heading4"/>
      </w:pPr>
      <w:bookmarkStart w:id="104" w:name="_Toc33776182"/>
      <w:bookmarkStart w:id="105" w:name="_Toc13832954"/>
      <w:r w:rsidRPr="002D1DD7">
        <w:lastRenderedPageBreak/>
        <w:t>Regression equations</w:t>
      </w:r>
      <w:bookmarkEnd w:id="104"/>
    </w:p>
    <w:p w14:paraId="1A0BE2A8" w14:textId="77777777" w:rsidR="00716DF9" w:rsidRPr="002D1DD7" w:rsidRDefault="00716DF9" w:rsidP="00AA1EC7">
      <w:pPr>
        <w:pStyle w:val="Heading5"/>
      </w:pPr>
      <w:r w:rsidRPr="002D1DD7">
        <w:t>Regression equations for absolute (individual-level) relationships</w:t>
      </w:r>
    </w:p>
    <w:p w14:paraId="5502F868" w14:textId="3F7C9B63" w:rsidR="00716DF9" w:rsidRPr="002D1DD7" w:rsidRDefault="00716DF9" w:rsidP="00E001C5">
      <w:pPr>
        <w:rPr>
          <w:lang w:eastAsia="en-GB"/>
        </w:rPr>
      </w:pPr>
      <w:r w:rsidRPr="002D1DD7">
        <w:rPr>
          <w:lang w:eastAsia="en-GB"/>
        </w:rPr>
        <w:t>Regression equations f</w:t>
      </w:r>
      <w:r w:rsidRPr="002D1DD7">
        <w:t xml:space="preserve">or absolute (individual-level) associations were reported in </w:t>
      </w:r>
      <w:r w:rsidR="00E001C5" w:rsidRPr="002D1DD7">
        <w:rPr>
          <w:rFonts w:asciiTheme="majorBidi" w:hAnsiTheme="majorBidi" w:cstheme="majorBidi"/>
        </w:rPr>
        <w:t>six studies</w:t>
      </w:r>
      <w:r w:rsidR="00E001C5" w:rsidRPr="002D1DD7">
        <w:rPr>
          <w:rFonts w:asciiTheme="majorBidi" w:eastAsia="Times New Roman" w:hAnsiTheme="majorBidi" w:cstheme="majorBidi"/>
          <w:color w:val="000000"/>
        </w:rPr>
        <w:fldChar w:fldCharType="begin">
          <w:fldData xml:space="preserve">PEVuZE5vdGU+PENpdGU+PEF1dGhvcj5Mb3V2ZXQ8L0F1dGhvcj48WWVhcj4yMDAxPC9ZZWFyPjxS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O0NTQz1ZJmFtcDtORVdTPU4mYW1wO1BBR0U9ZnVsbHRleHQmYW1wO0Q9bWVkNCZhbXA7QU49MTEz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O1BBR0U9ZnVsbHRleHQmYW1wO0Q9bWVkMTMmYW1wO0FOPTI4Mzk1ODk2PC9zdHlsZT48c3R5bGUg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NFNGRF9zZXJ2aWNlc19wYWdlP3NpZD1PVklEOm1lZGxpbmUmYW1wO2lkPXBtaWQ6MjgzOTU4OTYm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PEVuZE5vdGU+PENpdGU+PEF1dGhvcj5Mb3V2ZXQ8L0F1dGhvcj48WWVhcj4yMDAxPC9ZZWFyPjxS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O1BBR0U9ZnVsbHRleHQmYW1wO0Q9bWVkMTMmYW1wO0FOPTI4Mzk1ODk2PC9zdHlsZT48c3R5bGUg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NFNGRF9zZXJ2aWNlc19wYWdlP3NpZD1PVklEOm1lZGxpbmUmYW1wO2lkPXBtaWQ6MjgzOTU4OTYm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102, 112, 114, 132, 136, 141</w:t>
      </w:r>
      <w:r w:rsidR="00E001C5" w:rsidRPr="002D1DD7">
        <w:rPr>
          <w:rFonts w:asciiTheme="majorBidi" w:eastAsia="Times New Roman" w:hAnsiTheme="majorBidi" w:cstheme="majorBidi"/>
          <w:color w:val="000000"/>
        </w:rPr>
        <w:fldChar w:fldCharType="end"/>
      </w:r>
      <w:r w:rsidR="00E001C5" w:rsidRPr="002D1DD7">
        <w:rPr>
          <w:rFonts w:asciiTheme="majorBidi" w:hAnsiTheme="majorBidi" w:cstheme="majorBidi"/>
        </w:rPr>
        <w:t xml:space="preserve"> and are summarised in</w:t>
      </w:r>
      <w:r w:rsidRPr="002D1DD7">
        <w:t xml:space="preserve"> </w:t>
      </w:r>
      <w:r w:rsidRPr="002D1DD7">
        <w:rPr>
          <w:lang w:eastAsia="en-GB"/>
        </w:rPr>
        <w:fldChar w:fldCharType="begin"/>
      </w:r>
      <w:r w:rsidRPr="002D1DD7">
        <w:rPr>
          <w:lang w:eastAsia="en-GB"/>
        </w:rPr>
        <w:instrText xml:space="preserve"> REF _Ref16785808 \h  \* MERGEFORMAT </w:instrText>
      </w:r>
      <w:r w:rsidRPr="002D1DD7">
        <w:rPr>
          <w:lang w:eastAsia="en-GB"/>
        </w:rPr>
      </w:r>
      <w:r w:rsidRPr="002D1DD7">
        <w:rPr>
          <w:lang w:eastAsia="en-GB"/>
        </w:rPr>
        <w:fldChar w:fldCharType="separate"/>
      </w:r>
      <w:r w:rsidR="00C663A2" w:rsidRPr="002D1DD7">
        <w:t xml:space="preserve">Table </w:t>
      </w:r>
      <w:r w:rsidR="00C663A2">
        <w:t>8</w:t>
      </w:r>
      <w:r w:rsidRPr="002D1DD7">
        <w:rPr>
          <w:lang w:eastAsia="en-GB"/>
        </w:rPr>
        <w:fldChar w:fldCharType="end"/>
      </w:r>
      <w:r w:rsidRPr="002D1DD7">
        <w:rPr>
          <w:lang w:eastAsia="en-GB"/>
        </w:rPr>
        <w:t>.</w:t>
      </w:r>
    </w:p>
    <w:p w14:paraId="6E00A284" w14:textId="1F66CA2F" w:rsidR="00716DF9" w:rsidRPr="002D1DD7" w:rsidRDefault="00E66C21" w:rsidP="00E001C5">
      <w:pPr>
        <w:rPr>
          <w:rFonts w:eastAsia="Times New Roman"/>
          <w:color w:val="000000"/>
        </w:rPr>
      </w:pPr>
      <w:r>
        <w:rPr>
          <w:rFonts w:eastAsia="Times New Roman"/>
          <w:b/>
          <w:bCs/>
          <w:lang w:eastAsia="en-GB"/>
        </w:rPr>
        <w:t>O</w:t>
      </w:r>
      <w:r w:rsidR="00716DF9" w:rsidRPr="002D1DD7">
        <w:rPr>
          <w:rFonts w:eastAsia="Times New Roman"/>
          <w:b/>
          <w:bCs/>
          <w:lang w:eastAsia="en-GB"/>
        </w:rPr>
        <w:t>RR to PFS/TTP:</w:t>
      </w:r>
      <w:r w:rsidR="00716DF9" w:rsidRPr="002D1DD7">
        <w:rPr>
          <w:rFonts w:eastAsia="Times New Roman"/>
          <w:lang w:eastAsia="en-GB"/>
        </w:rPr>
        <w:t xml:space="preserve"> </w:t>
      </w:r>
      <w:r w:rsidR="00716DF9" w:rsidRPr="002D1DD7">
        <w:t xml:space="preserve">For the relationship between </w:t>
      </w:r>
      <w:r w:rsidR="008C3F88">
        <w:t>O</w:t>
      </w:r>
      <w:r w:rsidR="00716DF9" w:rsidRPr="002D1DD7">
        <w:t xml:space="preserve">RR and median PFS/TTP, five studies across </w:t>
      </w:r>
      <w:r w:rsidR="00E001C5" w:rsidRPr="002D1DD7">
        <w:rPr>
          <w:rFonts w:asciiTheme="majorBidi" w:hAnsiTheme="majorBidi" w:cstheme="majorBidi"/>
        </w:rPr>
        <w:t>five cancer types</w:t>
      </w:r>
      <w:r w:rsidR="00E001C5" w:rsidRPr="002D1DD7">
        <w:rPr>
          <w:rFonts w:asciiTheme="majorBidi" w:eastAsia="Times New Roman" w:hAnsiTheme="majorBidi" w:cstheme="majorBidi"/>
          <w:color w:val="000000"/>
        </w:rPr>
        <w:fldChar w:fldCharType="begin">
          <w:fldData xml:space="preserve">PEVuZE5vdGU+PENpdGU+PEF1dGhvcj5Mb3V2ZXQ8L0F1dGhvcj48WWVhcj4yMDAxPC9ZZWFyPjxS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WSZhbXA7TkVXUz1OJmFtcDtQQUdFPWZ1bGx0ZXh0JmFtcDtEPW1lZDQmYW1wO0FOPTExMzkxNTgy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PXBtaWQ6MTEzOTE1ODImYW1wO2lkPWRvaTomYW1wO2lzc249MDAwOC01NDNYJmFtcDtpc2JuPSZh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PWZ1bGx0ZXh0JmFtcDtEPW1lZDEzJmFtcDtBTj0yODM5NTg5Njwvc3R5bGU+PHN0eWxlIGZhY2U9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c2VydmljZXNfcGFnZT9zaWQ9T1ZJRDptZWRsaW5lJmFtcDtpZD1wbWlkOjI4Mzk1ODk2JmFtcDtp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PEVuZE5vdGU+PENpdGU+PEF1dGhvcj5Mb3V2ZXQ8L0F1dGhvcj48WWVhcj4yMDAxPC9ZZWFyPjxS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WSZhbXA7TkVXUz1OJmFtcDtQQUdFPWZ1bGx0ZXh0JmFtcDtEPW1lZDQmYW1wO0FOPTExMzkxNTgy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PWZ1bGx0ZXh0JmFtcDtEPW1lZDEzJmFtcDtBTj0yODM5NTg5Njwvc3R5bGU+PHN0eWxlIGZhY2U9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c2VydmljZXNfcGFnZT9zaWQ9T1ZJRDptZWRsaW5lJmFtcDtpZD1wbWlkOjI4Mzk1ODk2JmFtcDtp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102, 112, 114, 132, 136</w:t>
      </w:r>
      <w:r w:rsidR="00E001C5" w:rsidRPr="002D1DD7">
        <w:rPr>
          <w:rFonts w:asciiTheme="majorBidi" w:eastAsia="Times New Roman" w:hAnsiTheme="majorBidi" w:cstheme="majorBidi"/>
          <w:color w:val="000000"/>
        </w:rPr>
        <w:fldChar w:fldCharType="end"/>
      </w:r>
      <w:r w:rsidR="00E001C5" w:rsidRPr="002D1DD7">
        <w:rPr>
          <w:rFonts w:asciiTheme="majorBidi" w:hAnsiTheme="majorBidi" w:cstheme="majorBidi"/>
        </w:rPr>
        <w:t xml:space="preserve"> reported regression equations (one study used log odds </w:t>
      </w:r>
      <w:r w:rsidR="00E001C5">
        <w:rPr>
          <w:rFonts w:asciiTheme="majorBidi" w:hAnsiTheme="majorBidi" w:cstheme="majorBidi"/>
        </w:rPr>
        <w:t>O</w:t>
      </w:r>
      <w:r w:rsidR="00E001C5" w:rsidRPr="002D1DD7">
        <w:rPr>
          <w:rFonts w:asciiTheme="majorBidi" w:hAnsiTheme="majorBidi" w:cstheme="majorBidi"/>
        </w:rPr>
        <w:t>RR),</w:t>
      </w:r>
      <w:r w:rsidR="00E001C5" w:rsidRPr="002D1DD7">
        <w:rPr>
          <w:rFonts w:asciiTheme="majorBidi" w:eastAsia="Times New Roman" w:hAnsiTheme="majorBidi" w:cstheme="majorBidi"/>
          <w:color w:val="000000"/>
        </w:rPr>
        <w:fldChar w:fldCharType="begin"/>
      </w:r>
      <w:r w:rsidR="000E66DE">
        <w:rPr>
          <w:rFonts w:asciiTheme="majorBidi" w:eastAsia="Times New Roman" w:hAnsiTheme="majorBidi" w:cstheme="majorBidi"/>
          <w:color w:val="00000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114</w:t>
      </w:r>
      <w:r w:rsidR="00E001C5" w:rsidRPr="002D1DD7">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t xml:space="preserve"> with intercepts </w:t>
      </w:r>
      <w:r w:rsidR="00716DF9" w:rsidRPr="002D1DD7">
        <w:rPr>
          <w:rFonts w:eastAsia="Times New Roman"/>
          <w:color w:val="000000"/>
        </w:rPr>
        <w:t>ranging from 1.73 to 3.20 and slopes ranging from 0.07 to 0.41.</w:t>
      </w:r>
    </w:p>
    <w:p w14:paraId="2967A202" w14:textId="5D6EBDB3" w:rsidR="00716DF9" w:rsidRPr="002D1DD7" w:rsidRDefault="00E66C21" w:rsidP="00E001C5">
      <w:pPr>
        <w:rPr>
          <w:color w:val="000000"/>
        </w:rPr>
      </w:pPr>
      <w:r>
        <w:rPr>
          <w:b/>
          <w:bCs/>
          <w:lang w:eastAsia="en-GB"/>
        </w:rPr>
        <w:t>O</w:t>
      </w:r>
      <w:r w:rsidR="00716DF9" w:rsidRPr="002D1DD7">
        <w:rPr>
          <w:b/>
          <w:bCs/>
          <w:lang w:eastAsia="en-GB"/>
        </w:rPr>
        <w:t>RR to OS:</w:t>
      </w:r>
      <w:r w:rsidR="00716DF9" w:rsidRPr="002D1DD7">
        <w:rPr>
          <w:lang w:eastAsia="en-GB"/>
        </w:rPr>
        <w:t xml:space="preserve"> </w:t>
      </w:r>
      <w:r w:rsidR="00716DF9" w:rsidRPr="002D1DD7">
        <w:t xml:space="preserve">For the relationship between </w:t>
      </w:r>
      <w:r w:rsidR="00874833">
        <w:t>O</w:t>
      </w:r>
      <w:r w:rsidR="00716DF9" w:rsidRPr="002D1DD7">
        <w:t xml:space="preserve">RR and median OS, four studies across </w:t>
      </w:r>
      <w:r w:rsidR="00E001C5" w:rsidRPr="002D1DD7">
        <w:rPr>
          <w:rFonts w:asciiTheme="majorBidi" w:hAnsiTheme="majorBidi" w:cstheme="majorBidi"/>
        </w:rPr>
        <w:t>four cancer types</w:t>
      </w:r>
      <w:r w:rsidR="00E001C5" w:rsidRPr="002D1DD7">
        <w:rPr>
          <w:rFonts w:asciiTheme="majorBidi" w:eastAsia="Times New Roman" w:hAnsiTheme="majorBidi" w:cstheme="majorBidi"/>
          <w:color w:val="000000"/>
        </w:rPr>
        <w:fldChar w:fldCharType="begin">
          <w:fldData xml:space="preserve">PEVuZE5vdGU+PENpdGU+PEF1dGhvcj5Mb3V2ZXQ8L0F1dGhvcj48WWVhcj4yMDAxPC9ZZWFyPjxS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O05FV1M9TiZhbXA7UEFHRT1mdWxsdGV4dCZhbXA7RD1tZWQ0JmFtcDtBTj0xMTM5MTU4Mjwvc3R5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dGV4dCZhbXA7RD1tZWQxMyZhbXA7QU49MjgzOTU4OTY8L3N0eWxlPjxzdHlsZSBmYWNlPSJub3Jt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Y2VzX3BhZ2U/c2lkPU9WSUQ6bWVkbGluZSZhbXA7aWQ9cG1pZDoyODM5NTg5NiZhbXA7aWQ9ZG9p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=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PEVuZE5vdGU+PENpdGU+PEF1dGhvcj5Mb3V2ZXQ8L0F1dGhvcj48WWVhcj4yMDAxPC9ZZWFyPjxS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dGV4dCZhbXA7RD1tZWQxMyZhbXA7QU49MjgzOTU4OTY8L3N0eWxlPjxzdHlsZSBmYWNlPSJub3Jt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Y2VzX3BhZ2U/c2lkPU9WSUQ6bWVkbGluZSZhbXA7aWQ9cG1pZDoyODM5NTg5NiZhbXA7aWQ9ZG9p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=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102, 112, 132, 136</w:t>
      </w:r>
      <w:r w:rsidR="00E001C5" w:rsidRPr="002D1DD7">
        <w:rPr>
          <w:rFonts w:asciiTheme="majorBidi" w:eastAsia="Times New Roman" w:hAnsiTheme="majorBidi" w:cstheme="majorBidi"/>
          <w:color w:val="000000"/>
        </w:rPr>
        <w:fldChar w:fldCharType="end"/>
      </w:r>
      <w:r w:rsidR="00E001C5" w:rsidRPr="002D1DD7">
        <w:rPr>
          <w:rFonts w:asciiTheme="majorBidi" w:hAnsiTheme="majorBidi" w:cstheme="majorBidi"/>
        </w:rPr>
        <w:t xml:space="preserve"> reported </w:t>
      </w:r>
      <w:r w:rsidR="00716DF9" w:rsidRPr="002D1DD7">
        <w:t xml:space="preserve">regression equations, </w:t>
      </w:r>
      <w:r w:rsidR="00716DF9" w:rsidRPr="002D1DD7">
        <w:rPr>
          <w:color w:val="000000"/>
        </w:rPr>
        <w:t>with intercepts ranging from 5.89 to 10.45 and slopes ranging from 0.08 to 0.28.</w:t>
      </w:r>
    </w:p>
    <w:p w14:paraId="07BEEA8A" w14:textId="25442127" w:rsidR="00716DF9" w:rsidRPr="002D1DD7" w:rsidRDefault="00716DF9" w:rsidP="00AA1EC7">
      <w:pPr>
        <w:rPr>
          <w:color w:val="000000"/>
        </w:rPr>
      </w:pPr>
      <w:r w:rsidRPr="002D1DD7">
        <w:rPr>
          <w:b/>
          <w:bCs/>
          <w:lang w:eastAsia="en-GB"/>
        </w:rPr>
        <w:t>CR to PFS:</w:t>
      </w:r>
      <w:r w:rsidRPr="002D1DD7">
        <w:rPr>
          <w:lang w:eastAsia="en-GB"/>
        </w:rPr>
        <w:t xml:space="preserve"> </w:t>
      </w:r>
      <w:r w:rsidRPr="002D1DD7">
        <w:t xml:space="preserve">For the relationship between CR and median PFS, two studies in </w:t>
      </w:r>
      <w:r w:rsidR="00E001C5" w:rsidRPr="002D1DD7">
        <w:rPr>
          <w:rFonts w:asciiTheme="majorBidi" w:hAnsiTheme="majorBidi" w:cstheme="majorBidi"/>
        </w:rPr>
        <w:t>NHL</w:t>
      </w:r>
      <w:r w:rsidR="00E001C5" w:rsidRPr="002D1DD7">
        <w:rPr>
          <w:rFonts w:asciiTheme="majorBidi" w:eastAsia="Times New Roman" w:hAnsiTheme="majorBidi" w:cstheme="majorBidi"/>
          <w:color w:val="000000"/>
        </w:rPr>
        <w:fldChar w:fldCharType="begin">
          <w:fldData xml:space="preserve">PEVuZE5vdGU+PENpdGU+PEF1dGhvcj5NYW5nYWw8L0F1dGhvcj48WWVhcj4yMDE4PC9ZZWFyPjxS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PEVuZE5vdGU+PENpdGU+PEF1dGhvcj5NYW5nYWw8L0F1dGhvcj48WWVhcj4yMDE4PC9ZZWFyPjxS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114, 141</w:t>
      </w:r>
      <w:r w:rsidR="00E001C5" w:rsidRPr="002D1DD7">
        <w:rPr>
          <w:rFonts w:asciiTheme="majorBidi" w:eastAsia="Times New Roman" w:hAnsiTheme="majorBidi" w:cstheme="majorBidi"/>
          <w:color w:val="000000"/>
        </w:rPr>
        <w:fldChar w:fldCharType="end"/>
      </w:r>
      <w:r w:rsidR="00E001C5" w:rsidRPr="002D1DD7">
        <w:rPr>
          <w:rFonts w:asciiTheme="majorBidi" w:hAnsiTheme="majorBidi" w:cstheme="majorBidi"/>
        </w:rPr>
        <w:t xml:space="preserve"> reported regression equations (one study used log odds CR),</w:t>
      </w:r>
      <w:r w:rsidR="00E001C5" w:rsidRPr="002D1DD7">
        <w:rPr>
          <w:rFonts w:asciiTheme="majorBidi" w:eastAsia="Times New Roman" w:hAnsiTheme="majorBidi" w:cstheme="majorBidi"/>
          <w:color w:val="000000"/>
        </w:rPr>
        <w:fldChar w:fldCharType="begin"/>
      </w:r>
      <w:r w:rsidR="000E66DE">
        <w:rPr>
          <w:rFonts w:asciiTheme="majorBidi" w:eastAsia="Times New Roman" w:hAnsiTheme="majorBidi" w:cstheme="majorBidi"/>
          <w:color w:val="00000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114</w:t>
      </w:r>
      <w:r w:rsidR="00E001C5" w:rsidRPr="002D1DD7">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t xml:space="preserve"> with intercepts </w:t>
      </w:r>
      <w:r w:rsidRPr="002D1DD7">
        <w:rPr>
          <w:color w:val="000000"/>
        </w:rPr>
        <w:t>ranging from 0.83 to 2.38 and slopes ranging from 0.34 to 0.46.</w:t>
      </w:r>
    </w:p>
    <w:p w14:paraId="4238725F" w14:textId="71AD1C07" w:rsidR="00716DF9" w:rsidRPr="002D1DD7" w:rsidRDefault="00716DF9" w:rsidP="00AA1EC7">
      <w:pPr>
        <w:pStyle w:val="Caption"/>
      </w:pPr>
      <w:bookmarkStart w:id="106" w:name="_Ref16785808"/>
      <w:bookmarkStart w:id="107" w:name="_Toc34033522"/>
      <w:r w:rsidRPr="002D1DD7">
        <w:t xml:space="preserve">Table </w:t>
      </w:r>
      <w:r w:rsidR="00C974E5">
        <w:fldChar w:fldCharType="begin"/>
      </w:r>
      <w:r w:rsidR="00C974E5">
        <w:instrText xml:space="preserve"> SEQ Table \* ARABIC </w:instrText>
      </w:r>
      <w:r w:rsidR="00C974E5">
        <w:fldChar w:fldCharType="separate"/>
      </w:r>
      <w:r w:rsidR="00C663A2">
        <w:rPr>
          <w:noProof/>
        </w:rPr>
        <w:t>8</w:t>
      </w:r>
      <w:r w:rsidR="00C974E5">
        <w:rPr>
          <w:noProof/>
        </w:rPr>
        <w:fldChar w:fldCharType="end"/>
      </w:r>
      <w:bookmarkEnd w:id="106"/>
      <w:r w:rsidRPr="002D1DD7">
        <w:t>: Regression equations for absolute associations</w:t>
      </w:r>
      <w:bookmarkEnd w:id="107"/>
    </w:p>
    <w:tbl>
      <w:tblPr>
        <w:tblW w:w="765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7"/>
        <w:gridCol w:w="1649"/>
        <w:gridCol w:w="1269"/>
        <w:gridCol w:w="1544"/>
        <w:gridCol w:w="991"/>
        <w:gridCol w:w="844"/>
      </w:tblGrid>
      <w:tr w:rsidR="00716DF9" w:rsidRPr="00AA1EC7" w14:paraId="3C5D8F0E" w14:textId="77777777" w:rsidTr="00E001C5">
        <w:trPr>
          <w:trHeight w:val="510"/>
        </w:trPr>
        <w:tc>
          <w:tcPr>
            <w:tcW w:w="1357" w:type="dxa"/>
            <w:tcBorders>
              <w:top w:val="single" w:sz="12" w:space="0" w:color="auto"/>
              <w:left w:val="single" w:sz="12" w:space="0" w:color="auto"/>
              <w:bottom w:val="single" w:sz="12" w:space="0" w:color="auto"/>
            </w:tcBorders>
            <w:shd w:val="clear" w:color="auto" w:fill="auto"/>
            <w:tcMar>
              <w:left w:w="57" w:type="dxa"/>
              <w:right w:w="57" w:type="dxa"/>
            </w:tcMar>
          </w:tcPr>
          <w:p w14:paraId="0A886FDF"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cs="Times New Roman"/>
                <w:b/>
                <w:bCs/>
                <w:sz w:val="20"/>
                <w:szCs w:val="20"/>
              </w:rPr>
              <w:t>Surrogate relationship</w:t>
            </w:r>
          </w:p>
        </w:tc>
        <w:tc>
          <w:tcPr>
            <w:tcW w:w="1649" w:type="dxa"/>
            <w:tcBorders>
              <w:top w:val="single" w:sz="12" w:space="0" w:color="auto"/>
              <w:bottom w:val="single" w:sz="12" w:space="0" w:color="auto"/>
            </w:tcBorders>
            <w:shd w:val="clear" w:color="auto" w:fill="auto"/>
            <w:tcMar>
              <w:left w:w="57" w:type="dxa"/>
              <w:right w:w="57" w:type="dxa"/>
            </w:tcMar>
          </w:tcPr>
          <w:p w14:paraId="2F386AD2" w14:textId="383B475F"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cs="Times New Roman"/>
                <w:b/>
                <w:bCs/>
                <w:sz w:val="20"/>
                <w:szCs w:val="20"/>
              </w:rPr>
              <w:t>Cancer types and ref</w:t>
            </w:r>
            <w:r w:rsidR="00AF75A9" w:rsidRPr="00AA1EC7">
              <w:rPr>
                <w:rFonts w:cs="Times New Roman"/>
                <w:b/>
                <w:bCs/>
                <w:sz w:val="20"/>
                <w:szCs w:val="20"/>
              </w:rPr>
              <w:t>erence</w:t>
            </w:r>
            <w:r w:rsidRPr="00AA1EC7">
              <w:rPr>
                <w:rFonts w:cs="Times New Roman"/>
                <w:b/>
                <w:bCs/>
                <w:sz w:val="20"/>
                <w:szCs w:val="20"/>
              </w:rPr>
              <w:t>s</w:t>
            </w:r>
          </w:p>
        </w:tc>
        <w:tc>
          <w:tcPr>
            <w:tcW w:w="1269" w:type="dxa"/>
            <w:tcBorders>
              <w:top w:val="single" w:sz="12" w:space="0" w:color="auto"/>
              <w:bottom w:val="single" w:sz="12" w:space="0" w:color="auto"/>
            </w:tcBorders>
            <w:shd w:val="clear" w:color="auto" w:fill="auto"/>
            <w:tcMar>
              <w:left w:w="57" w:type="dxa"/>
              <w:right w:w="57" w:type="dxa"/>
            </w:tcMar>
          </w:tcPr>
          <w:p w14:paraId="2266C598"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Surrogate</w:t>
            </w:r>
          </w:p>
        </w:tc>
        <w:tc>
          <w:tcPr>
            <w:tcW w:w="1544" w:type="dxa"/>
            <w:tcBorders>
              <w:top w:val="single" w:sz="12" w:space="0" w:color="auto"/>
              <w:bottom w:val="single" w:sz="12" w:space="0" w:color="auto"/>
            </w:tcBorders>
            <w:shd w:val="clear" w:color="auto" w:fill="auto"/>
            <w:tcMar>
              <w:left w:w="57" w:type="dxa"/>
              <w:right w:w="57" w:type="dxa"/>
            </w:tcMar>
          </w:tcPr>
          <w:p w14:paraId="5BB720BF"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Final</w:t>
            </w:r>
          </w:p>
        </w:tc>
        <w:tc>
          <w:tcPr>
            <w:tcW w:w="991" w:type="dxa"/>
            <w:tcBorders>
              <w:top w:val="single" w:sz="12" w:space="0" w:color="auto"/>
              <w:bottom w:val="single" w:sz="12" w:space="0" w:color="auto"/>
            </w:tcBorders>
            <w:shd w:val="clear" w:color="auto" w:fill="auto"/>
            <w:tcMar>
              <w:left w:w="57" w:type="dxa"/>
              <w:right w:w="57" w:type="dxa"/>
            </w:tcMar>
          </w:tcPr>
          <w:p w14:paraId="1B7038FF"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Intercept</w:t>
            </w:r>
          </w:p>
        </w:tc>
        <w:tc>
          <w:tcPr>
            <w:tcW w:w="844" w:type="dxa"/>
            <w:tcBorders>
              <w:top w:val="single" w:sz="12" w:space="0" w:color="auto"/>
              <w:bottom w:val="single" w:sz="12" w:space="0" w:color="auto"/>
              <w:right w:val="single" w:sz="12" w:space="0" w:color="auto"/>
            </w:tcBorders>
            <w:shd w:val="clear" w:color="auto" w:fill="auto"/>
            <w:tcMar>
              <w:left w:w="57" w:type="dxa"/>
              <w:right w:w="57" w:type="dxa"/>
            </w:tcMar>
          </w:tcPr>
          <w:p w14:paraId="3B4760E9"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Slope</w:t>
            </w:r>
          </w:p>
        </w:tc>
      </w:tr>
      <w:tr w:rsidR="00E001C5" w:rsidRPr="00AA1EC7" w14:paraId="787E96F0" w14:textId="77777777" w:rsidTr="00E001C5">
        <w:trPr>
          <w:trHeight w:val="70"/>
        </w:trPr>
        <w:tc>
          <w:tcPr>
            <w:tcW w:w="1357" w:type="dxa"/>
            <w:vMerge w:val="restart"/>
            <w:tcBorders>
              <w:top w:val="single" w:sz="12" w:space="0" w:color="auto"/>
              <w:left w:val="single" w:sz="12" w:space="0" w:color="auto"/>
              <w:bottom w:val="single" w:sz="4" w:space="0" w:color="auto"/>
            </w:tcBorders>
            <w:shd w:val="clear" w:color="auto" w:fill="auto"/>
            <w:tcMar>
              <w:left w:w="57" w:type="dxa"/>
              <w:right w:w="57" w:type="dxa"/>
            </w:tcMar>
          </w:tcPr>
          <w:p w14:paraId="6C45DFB4" w14:textId="46E6B701" w:rsidR="00E001C5" w:rsidRPr="00AA1EC7" w:rsidRDefault="00E001C5" w:rsidP="00E001C5">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ORR to PFS</w:t>
            </w:r>
          </w:p>
        </w:tc>
        <w:tc>
          <w:tcPr>
            <w:tcW w:w="1649" w:type="dxa"/>
            <w:tcBorders>
              <w:top w:val="single" w:sz="12" w:space="0" w:color="auto"/>
              <w:bottom w:val="single" w:sz="4" w:space="0" w:color="auto"/>
            </w:tcBorders>
            <w:shd w:val="clear" w:color="auto" w:fill="auto"/>
            <w:tcMar>
              <w:left w:w="57" w:type="dxa"/>
              <w:right w:w="57" w:type="dxa"/>
            </w:tcMar>
          </w:tcPr>
          <w:p w14:paraId="4FA3F181" w14:textId="1955F051" w:rsidR="00E001C5" w:rsidRPr="00AA1EC7" w:rsidRDefault="00E001C5" w:rsidP="00054FE8">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 </w:instrText>
            </w:r>
            <w:r w:rsidR="00054FE8">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EN.CITE.DATA </w:instrText>
            </w:r>
            <w:r w:rsidR="00054FE8">
              <w:rPr>
                <w:rFonts w:asciiTheme="majorBidi" w:eastAsia="Times New Roman" w:hAnsiTheme="majorBidi" w:cstheme="majorBidi"/>
                <w:color w:val="000000"/>
                <w:sz w:val="20"/>
                <w:szCs w:val="20"/>
              </w:rPr>
            </w:r>
            <w:r w:rsidR="00054FE8">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112</w:t>
            </w:r>
            <w:r w:rsidRPr="002D1DD7">
              <w:rPr>
                <w:rFonts w:asciiTheme="majorBidi" w:eastAsia="Times New Roman" w:hAnsiTheme="majorBidi" w:cstheme="majorBidi"/>
                <w:color w:val="000000"/>
                <w:sz w:val="20"/>
                <w:szCs w:val="20"/>
              </w:rPr>
              <w:fldChar w:fldCharType="end"/>
            </w:r>
          </w:p>
        </w:tc>
        <w:tc>
          <w:tcPr>
            <w:tcW w:w="1269" w:type="dxa"/>
            <w:tcBorders>
              <w:top w:val="single" w:sz="12" w:space="0" w:color="auto"/>
              <w:bottom w:val="single" w:sz="4" w:space="0" w:color="auto"/>
            </w:tcBorders>
            <w:shd w:val="clear" w:color="auto" w:fill="auto"/>
            <w:tcMar>
              <w:left w:w="57" w:type="dxa"/>
              <w:right w:w="57" w:type="dxa"/>
            </w:tcMar>
          </w:tcPr>
          <w:p w14:paraId="5F74B81B" w14:textId="31D3B28C"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12" w:space="0" w:color="auto"/>
              <w:bottom w:val="single" w:sz="4" w:space="0" w:color="auto"/>
            </w:tcBorders>
            <w:shd w:val="clear" w:color="auto" w:fill="auto"/>
            <w:tcMar>
              <w:left w:w="57" w:type="dxa"/>
              <w:right w:w="57" w:type="dxa"/>
            </w:tcMar>
          </w:tcPr>
          <w:p w14:paraId="1BC7C046"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PFS</w:t>
            </w:r>
          </w:p>
        </w:tc>
        <w:tc>
          <w:tcPr>
            <w:tcW w:w="991" w:type="dxa"/>
            <w:tcBorders>
              <w:top w:val="single" w:sz="12" w:space="0" w:color="auto"/>
              <w:bottom w:val="single" w:sz="4" w:space="0" w:color="auto"/>
            </w:tcBorders>
            <w:shd w:val="clear" w:color="auto" w:fill="auto"/>
            <w:tcMar>
              <w:left w:w="57" w:type="dxa"/>
              <w:right w:w="57" w:type="dxa"/>
            </w:tcMar>
          </w:tcPr>
          <w:p w14:paraId="5927F673"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3.20</w:t>
            </w:r>
          </w:p>
        </w:tc>
        <w:tc>
          <w:tcPr>
            <w:tcW w:w="844" w:type="dxa"/>
            <w:tcBorders>
              <w:top w:val="single" w:sz="12" w:space="0" w:color="auto"/>
              <w:bottom w:val="single" w:sz="4" w:space="0" w:color="auto"/>
              <w:right w:val="single" w:sz="12" w:space="0" w:color="auto"/>
            </w:tcBorders>
            <w:shd w:val="clear" w:color="auto" w:fill="auto"/>
            <w:tcMar>
              <w:left w:w="57" w:type="dxa"/>
              <w:right w:w="57" w:type="dxa"/>
            </w:tcMar>
          </w:tcPr>
          <w:p w14:paraId="6D267C61"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0.10</w:t>
            </w:r>
          </w:p>
        </w:tc>
      </w:tr>
      <w:tr w:rsidR="00E001C5" w:rsidRPr="00AA1EC7" w14:paraId="3EA4D433" w14:textId="77777777" w:rsidTr="00E001C5">
        <w:trPr>
          <w:trHeight w:val="155"/>
        </w:trPr>
        <w:tc>
          <w:tcPr>
            <w:tcW w:w="1357" w:type="dxa"/>
            <w:vMerge/>
            <w:tcBorders>
              <w:top w:val="single" w:sz="4" w:space="0" w:color="auto"/>
              <w:left w:val="single" w:sz="12" w:space="0" w:color="auto"/>
              <w:bottom w:val="single" w:sz="4" w:space="0" w:color="auto"/>
            </w:tcBorders>
            <w:shd w:val="clear" w:color="auto" w:fill="auto"/>
            <w:tcMar>
              <w:left w:w="57" w:type="dxa"/>
              <w:right w:w="57" w:type="dxa"/>
            </w:tcMar>
          </w:tcPr>
          <w:p w14:paraId="2B715F36" w14:textId="77777777" w:rsidR="00E001C5" w:rsidRPr="00AA1EC7" w:rsidRDefault="00E001C5" w:rsidP="00E001C5">
            <w:pPr>
              <w:spacing w:after="0" w:line="240" w:lineRule="auto"/>
              <w:contextualSpacing/>
              <w:rPr>
                <w:rFonts w:eastAsia="Times New Roman" w:cs="Times New Roman"/>
                <w:b/>
                <w:bCs/>
                <w:color w:val="000000"/>
                <w:sz w:val="20"/>
                <w:szCs w:val="20"/>
              </w:rPr>
            </w:pPr>
          </w:p>
        </w:tc>
        <w:tc>
          <w:tcPr>
            <w:tcW w:w="1649" w:type="dxa"/>
            <w:tcBorders>
              <w:top w:val="single" w:sz="4" w:space="0" w:color="auto"/>
              <w:bottom w:val="single" w:sz="4" w:space="0" w:color="auto"/>
            </w:tcBorders>
            <w:shd w:val="clear" w:color="auto" w:fill="auto"/>
            <w:tcMar>
              <w:left w:w="57" w:type="dxa"/>
              <w:right w:w="57" w:type="dxa"/>
            </w:tcMar>
          </w:tcPr>
          <w:p w14:paraId="375E755B" w14:textId="12065995"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(NSCLC)</w:t>
            </w:r>
            <w:r w:rsidRPr="002D1DD7">
              <w:rPr>
                <w:rFonts w:asciiTheme="majorBidi" w:eastAsia="Times New Roman" w:hAnsiTheme="majorBidi" w:cstheme="majorBidi"/>
                <w:color w:val="000000"/>
                <w:sz w:val="20"/>
                <w:szCs w:val="20"/>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136</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4" w:space="0" w:color="auto"/>
            </w:tcBorders>
            <w:shd w:val="clear" w:color="auto" w:fill="auto"/>
            <w:tcMar>
              <w:left w:w="57" w:type="dxa"/>
              <w:right w:w="57" w:type="dxa"/>
            </w:tcMar>
          </w:tcPr>
          <w:p w14:paraId="3DC8FCA0" w14:textId="6B5ACDDD"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4" w:space="0" w:color="auto"/>
              <w:bottom w:val="single" w:sz="4" w:space="0" w:color="auto"/>
            </w:tcBorders>
            <w:shd w:val="clear" w:color="auto" w:fill="auto"/>
            <w:tcMar>
              <w:left w:w="57" w:type="dxa"/>
              <w:right w:w="57" w:type="dxa"/>
            </w:tcMar>
          </w:tcPr>
          <w:p w14:paraId="6290546C"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PFS</w:t>
            </w:r>
          </w:p>
        </w:tc>
        <w:tc>
          <w:tcPr>
            <w:tcW w:w="991" w:type="dxa"/>
            <w:tcBorders>
              <w:top w:val="single" w:sz="4" w:space="0" w:color="auto"/>
              <w:bottom w:val="single" w:sz="4" w:space="0" w:color="auto"/>
            </w:tcBorders>
            <w:shd w:val="clear" w:color="auto" w:fill="auto"/>
            <w:tcMar>
              <w:left w:w="57" w:type="dxa"/>
              <w:right w:w="57" w:type="dxa"/>
            </w:tcMar>
          </w:tcPr>
          <w:p w14:paraId="5603AC51"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844" w:type="dxa"/>
            <w:tcBorders>
              <w:top w:val="single" w:sz="4" w:space="0" w:color="auto"/>
              <w:bottom w:val="single" w:sz="4" w:space="0" w:color="auto"/>
              <w:right w:val="single" w:sz="12" w:space="0" w:color="auto"/>
            </w:tcBorders>
            <w:shd w:val="clear" w:color="auto" w:fill="auto"/>
            <w:tcMar>
              <w:left w:w="57" w:type="dxa"/>
              <w:right w:w="57" w:type="dxa"/>
            </w:tcMar>
          </w:tcPr>
          <w:p w14:paraId="65F68DA5"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0.07</w:t>
            </w:r>
          </w:p>
        </w:tc>
      </w:tr>
      <w:tr w:rsidR="00E001C5" w:rsidRPr="00AA1EC7" w14:paraId="4BB69133" w14:textId="77777777" w:rsidTr="00E001C5">
        <w:trPr>
          <w:trHeight w:val="255"/>
        </w:trPr>
        <w:tc>
          <w:tcPr>
            <w:tcW w:w="1357" w:type="dxa"/>
            <w:vMerge/>
            <w:tcBorders>
              <w:top w:val="single" w:sz="4" w:space="0" w:color="auto"/>
              <w:left w:val="single" w:sz="12" w:space="0" w:color="auto"/>
              <w:bottom w:val="single" w:sz="4" w:space="0" w:color="auto"/>
            </w:tcBorders>
            <w:shd w:val="clear" w:color="auto" w:fill="auto"/>
            <w:tcMar>
              <w:left w:w="57" w:type="dxa"/>
              <w:right w:w="57" w:type="dxa"/>
            </w:tcMar>
          </w:tcPr>
          <w:p w14:paraId="546D7986" w14:textId="77777777" w:rsidR="00E001C5" w:rsidRPr="00AA1EC7" w:rsidRDefault="00E001C5" w:rsidP="00E001C5">
            <w:pPr>
              <w:spacing w:after="0" w:line="240" w:lineRule="auto"/>
              <w:contextualSpacing/>
              <w:rPr>
                <w:rFonts w:eastAsia="Times New Roman" w:cs="Times New Roman"/>
                <w:b/>
                <w:bCs/>
                <w:color w:val="000000"/>
                <w:sz w:val="20"/>
                <w:szCs w:val="20"/>
              </w:rPr>
            </w:pPr>
          </w:p>
        </w:tc>
        <w:tc>
          <w:tcPr>
            <w:tcW w:w="1649" w:type="dxa"/>
            <w:tcBorders>
              <w:top w:val="single" w:sz="4" w:space="0" w:color="auto"/>
              <w:bottom w:val="single" w:sz="4" w:space="0" w:color="auto"/>
            </w:tcBorders>
            <w:shd w:val="clear" w:color="auto" w:fill="auto"/>
            <w:tcMar>
              <w:left w:w="57" w:type="dxa"/>
              <w:right w:w="57" w:type="dxa"/>
            </w:tcMar>
          </w:tcPr>
          <w:p w14:paraId="06DBF116" w14:textId="5E614D1F"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Ovarian</w:t>
            </w:r>
            <w:r w:rsidRPr="002D1DD7">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132</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4" w:space="0" w:color="auto"/>
            </w:tcBorders>
            <w:shd w:val="clear" w:color="auto" w:fill="auto"/>
            <w:tcMar>
              <w:left w:w="57" w:type="dxa"/>
              <w:right w:w="57" w:type="dxa"/>
            </w:tcMar>
          </w:tcPr>
          <w:p w14:paraId="3EBC7F95" w14:textId="5EB6A954"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4" w:space="0" w:color="auto"/>
              <w:bottom w:val="single" w:sz="4" w:space="0" w:color="auto"/>
            </w:tcBorders>
            <w:shd w:val="clear" w:color="auto" w:fill="auto"/>
            <w:tcMar>
              <w:left w:w="57" w:type="dxa"/>
              <w:right w:w="57" w:type="dxa"/>
            </w:tcMar>
          </w:tcPr>
          <w:p w14:paraId="60773F82"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PFS</w:t>
            </w:r>
          </w:p>
        </w:tc>
        <w:tc>
          <w:tcPr>
            <w:tcW w:w="991" w:type="dxa"/>
            <w:tcBorders>
              <w:top w:val="single" w:sz="4" w:space="0" w:color="auto"/>
              <w:bottom w:val="single" w:sz="4" w:space="0" w:color="auto"/>
            </w:tcBorders>
            <w:shd w:val="clear" w:color="auto" w:fill="auto"/>
            <w:tcMar>
              <w:left w:w="57" w:type="dxa"/>
              <w:right w:w="57" w:type="dxa"/>
            </w:tcMar>
          </w:tcPr>
          <w:p w14:paraId="59CC49E6"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2.59</w:t>
            </w:r>
          </w:p>
        </w:tc>
        <w:tc>
          <w:tcPr>
            <w:tcW w:w="844" w:type="dxa"/>
            <w:tcBorders>
              <w:top w:val="single" w:sz="4" w:space="0" w:color="auto"/>
              <w:bottom w:val="single" w:sz="4" w:space="0" w:color="auto"/>
              <w:right w:val="single" w:sz="12" w:space="0" w:color="auto"/>
            </w:tcBorders>
            <w:shd w:val="clear" w:color="auto" w:fill="auto"/>
            <w:tcMar>
              <w:left w:w="57" w:type="dxa"/>
              <w:right w:w="57" w:type="dxa"/>
            </w:tcMar>
          </w:tcPr>
          <w:p w14:paraId="0D3BD712"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0.12</w:t>
            </w:r>
          </w:p>
        </w:tc>
      </w:tr>
      <w:tr w:rsidR="00E001C5" w:rsidRPr="00AA1EC7" w14:paraId="5CF8A5DD" w14:textId="77777777" w:rsidTr="00E001C5">
        <w:trPr>
          <w:trHeight w:val="255"/>
        </w:trPr>
        <w:tc>
          <w:tcPr>
            <w:tcW w:w="1357" w:type="dxa"/>
            <w:vMerge/>
            <w:tcBorders>
              <w:top w:val="single" w:sz="4" w:space="0" w:color="auto"/>
              <w:left w:val="single" w:sz="12" w:space="0" w:color="auto"/>
              <w:bottom w:val="single" w:sz="12" w:space="0" w:color="auto"/>
            </w:tcBorders>
            <w:shd w:val="clear" w:color="auto" w:fill="auto"/>
            <w:tcMar>
              <w:left w:w="57" w:type="dxa"/>
              <w:right w:w="57" w:type="dxa"/>
            </w:tcMar>
          </w:tcPr>
          <w:p w14:paraId="35ED2C31" w14:textId="77777777" w:rsidR="00E001C5" w:rsidRPr="00AA1EC7" w:rsidRDefault="00E001C5" w:rsidP="00E001C5">
            <w:pPr>
              <w:spacing w:after="0" w:line="240" w:lineRule="auto"/>
              <w:contextualSpacing/>
              <w:rPr>
                <w:rFonts w:eastAsia="Times New Roman" w:cs="Times New Roman"/>
                <w:b/>
                <w:bCs/>
                <w:color w:val="000000"/>
                <w:sz w:val="20"/>
                <w:szCs w:val="20"/>
              </w:rPr>
            </w:pPr>
          </w:p>
        </w:tc>
        <w:tc>
          <w:tcPr>
            <w:tcW w:w="1649" w:type="dxa"/>
            <w:tcBorders>
              <w:top w:val="single" w:sz="4" w:space="0" w:color="auto"/>
              <w:bottom w:val="single" w:sz="12" w:space="0" w:color="auto"/>
            </w:tcBorders>
            <w:shd w:val="clear" w:color="auto" w:fill="auto"/>
            <w:tcMar>
              <w:left w:w="57" w:type="dxa"/>
              <w:right w:w="57" w:type="dxa"/>
            </w:tcMar>
          </w:tcPr>
          <w:p w14:paraId="66C52565" w14:textId="377DCEA0"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NHL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114</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12" w:space="0" w:color="auto"/>
            </w:tcBorders>
            <w:shd w:val="clear" w:color="auto" w:fill="auto"/>
            <w:tcMar>
              <w:left w:w="57" w:type="dxa"/>
              <w:right w:w="57" w:type="dxa"/>
            </w:tcMar>
          </w:tcPr>
          <w:p w14:paraId="34388C7A" w14:textId="79E401E8"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 odds ORR</w:t>
            </w:r>
          </w:p>
        </w:tc>
        <w:tc>
          <w:tcPr>
            <w:tcW w:w="1544" w:type="dxa"/>
            <w:tcBorders>
              <w:top w:val="single" w:sz="4" w:space="0" w:color="auto"/>
              <w:bottom w:val="single" w:sz="12" w:space="0" w:color="auto"/>
            </w:tcBorders>
            <w:shd w:val="clear" w:color="auto" w:fill="auto"/>
            <w:tcMar>
              <w:left w:w="57" w:type="dxa"/>
              <w:right w:w="57" w:type="dxa"/>
            </w:tcMar>
          </w:tcPr>
          <w:p w14:paraId="7871F6AA"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 median PFS</w:t>
            </w:r>
          </w:p>
        </w:tc>
        <w:tc>
          <w:tcPr>
            <w:tcW w:w="991" w:type="dxa"/>
            <w:tcBorders>
              <w:top w:val="single" w:sz="4" w:space="0" w:color="auto"/>
              <w:bottom w:val="single" w:sz="12" w:space="0" w:color="auto"/>
            </w:tcBorders>
            <w:shd w:val="clear" w:color="auto" w:fill="auto"/>
            <w:tcMar>
              <w:left w:w="57" w:type="dxa"/>
              <w:right w:w="57" w:type="dxa"/>
            </w:tcMar>
          </w:tcPr>
          <w:p w14:paraId="4710C980"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1.97</w:t>
            </w:r>
          </w:p>
        </w:tc>
        <w:tc>
          <w:tcPr>
            <w:tcW w:w="844" w:type="dxa"/>
            <w:tcBorders>
              <w:top w:val="single" w:sz="4" w:space="0" w:color="auto"/>
              <w:bottom w:val="single" w:sz="12" w:space="0" w:color="auto"/>
              <w:right w:val="single" w:sz="12" w:space="0" w:color="auto"/>
            </w:tcBorders>
            <w:shd w:val="clear" w:color="auto" w:fill="auto"/>
            <w:tcMar>
              <w:left w:w="57" w:type="dxa"/>
              <w:right w:w="57" w:type="dxa"/>
            </w:tcMar>
          </w:tcPr>
          <w:p w14:paraId="6A0F0326"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0.41</w:t>
            </w:r>
          </w:p>
        </w:tc>
      </w:tr>
      <w:tr w:rsidR="00E001C5" w:rsidRPr="00AA1EC7" w14:paraId="12F4CBD7" w14:textId="77777777" w:rsidTr="00E001C5">
        <w:trPr>
          <w:trHeight w:val="255"/>
        </w:trPr>
        <w:tc>
          <w:tcPr>
            <w:tcW w:w="1357" w:type="dxa"/>
            <w:tcBorders>
              <w:top w:val="single" w:sz="12" w:space="0" w:color="auto"/>
              <w:left w:val="single" w:sz="12" w:space="0" w:color="auto"/>
              <w:bottom w:val="single" w:sz="12" w:space="0" w:color="auto"/>
            </w:tcBorders>
            <w:shd w:val="clear" w:color="auto" w:fill="auto"/>
            <w:tcMar>
              <w:left w:w="57" w:type="dxa"/>
              <w:right w:w="57" w:type="dxa"/>
            </w:tcMar>
          </w:tcPr>
          <w:p w14:paraId="4A00000D" w14:textId="4D1F716E" w:rsidR="00E001C5" w:rsidRPr="00AA1EC7" w:rsidRDefault="00E001C5" w:rsidP="00E001C5">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ORR to TTP</w:t>
            </w:r>
          </w:p>
        </w:tc>
        <w:tc>
          <w:tcPr>
            <w:tcW w:w="1649" w:type="dxa"/>
            <w:tcBorders>
              <w:top w:val="single" w:sz="12" w:space="0" w:color="auto"/>
              <w:bottom w:val="single" w:sz="12" w:space="0" w:color="auto"/>
            </w:tcBorders>
            <w:shd w:val="clear" w:color="auto" w:fill="auto"/>
            <w:tcMar>
              <w:left w:w="57" w:type="dxa"/>
              <w:right w:w="57" w:type="dxa"/>
            </w:tcMar>
          </w:tcPr>
          <w:p w14:paraId="7D0EDAB8" w14:textId="1C8B0AB5"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Gastric</w:t>
            </w:r>
            <w:r w:rsidRPr="002D1DD7">
              <w:rPr>
                <w:rFonts w:asciiTheme="majorBidi" w:eastAsia="Times New Roman" w:hAnsiTheme="majorBidi" w:cstheme="majorBidi"/>
                <w:color w:val="000000"/>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102</w:t>
            </w:r>
            <w:r w:rsidRPr="002D1DD7">
              <w:rPr>
                <w:rFonts w:asciiTheme="majorBidi" w:eastAsia="Times New Roman" w:hAnsiTheme="majorBidi" w:cstheme="majorBidi"/>
                <w:color w:val="000000"/>
                <w:sz w:val="20"/>
                <w:szCs w:val="20"/>
              </w:rPr>
              <w:fldChar w:fldCharType="end"/>
            </w:r>
          </w:p>
        </w:tc>
        <w:tc>
          <w:tcPr>
            <w:tcW w:w="1269" w:type="dxa"/>
            <w:tcBorders>
              <w:top w:val="single" w:sz="12" w:space="0" w:color="auto"/>
              <w:bottom w:val="single" w:sz="12" w:space="0" w:color="auto"/>
            </w:tcBorders>
            <w:shd w:val="clear" w:color="auto" w:fill="auto"/>
            <w:tcMar>
              <w:left w:w="57" w:type="dxa"/>
              <w:right w:w="57" w:type="dxa"/>
            </w:tcMar>
          </w:tcPr>
          <w:p w14:paraId="3DE9C98B" w14:textId="51A36E94"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12" w:space="0" w:color="auto"/>
              <w:bottom w:val="single" w:sz="12" w:space="0" w:color="auto"/>
            </w:tcBorders>
            <w:shd w:val="clear" w:color="auto" w:fill="auto"/>
            <w:tcMar>
              <w:left w:w="57" w:type="dxa"/>
              <w:right w:w="57" w:type="dxa"/>
            </w:tcMar>
          </w:tcPr>
          <w:p w14:paraId="4CE5A759"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TTP</w:t>
            </w:r>
          </w:p>
        </w:tc>
        <w:tc>
          <w:tcPr>
            <w:tcW w:w="991" w:type="dxa"/>
            <w:tcBorders>
              <w:top w:val="single" w:sz="12" w:space="0" w:color="auto"/>
              <w:bottom w:val="single" w:sz="12" w:space="0" w:color="auto"/>
            </w:tcBorders>
            <w:shd w:val="clear" w:color="auto" w:fill="auto"/>
            <w:tcMar>
              <w:left w:w="57" w:type="dxa"/>
              <w:right w:w="57" w:type="dxa"/>
            </w:tcMar>
          </w:tcPr>
          <w:p w14:paraId="2151D09C"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1.73</w:t>
            </w:r>
          </w:p>
        </w:tc>
        <w:tc>
          <w:tcPr>
            <w:tcW w:w="844" w:type="dxa"/>
            <w:tcBorders>
              <w:top w:val="single" w:sz="12" w:space="0" w:color="auto"/>
              <w:bottom w:val="single" w:sz="12" w:space="0" w:color="auto"/>
              <w:right w:val="single" w:sz="12" w:space="0" w:color="auto"/>
            </w:tcBorders>
            <w:shd w:val="clear" w:color="auto" w:fill="auto"/>
            <w:tcMar>
              <w:left w:w="57" w:type="dxa"/>
              <w:right w:w="57" w:type="dxa"/>
            </w:tcMar>
          </w:tcPr>
          <w:p w14:paraId="5ABCAAE4"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0.09</w:t>
            </w:r>
          </w:p>
        </w:tc>
      </w:tr>
      <w:tr w:rsidR="00E001C5" w:rsidRPr="00AA1EC7" w14:paraId="650CDA20" w14:textId="77777777" w:rsidTr="00E001C5">
        <w:trPr>
          <w:trHeight w:val="255"/>
        </w:trPr>
        <w:tc>
          <w:tcPr>
            <w:tcW w:w="1357" w:type="dxa"/>
            <w:vMerge w:val="restart"/>
            <w:tcBorders>
              <w:top w:val="single" w:sz="12" w:space="0" w:color="auto"/>
              <w:left w:val="single" w:sz="12" w:space="0" w:color="auto"/>
              <w:bottom w:val="single" w:sz="4" w:space="0" w:color="auto"/>
            </w:tcBorders>
            <w:shd w:val="clear" w:color="auto" w:fill="auto"/>
            <w:tcMar>
              <w:left w:w="57" w:type="dxa"/>
              <w:right w:w="57" w:type="dxa"/>
            </w:tcMar>
          </w:tcPr>
          <w:p w14:paraId="543CB6DE" w14:textId="188529C0" w:rsidR="00E001C5" w:rsidRPr="00AA1EC7" w:rsidRDefault="00E001C5" w:rsidP="00E001C5">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ORR to OS</w:t>
            </w:r>
          </w:p>
        </w:tc>
        <w:tc>
          <w:tcPr>
            <w:tcW w:w="1649" w:type="dxa"/>
            <w:tcBorders>
              <w:top w:val="single" w:sz="12" w:space="0" w:color="auto"/>
              <w:bottom w:val="single" w:sz="4" w:space="0" w:color="auto"/>
            </w:tcBorders>
            <w:shd w:val="clear" w:color="auto" w:fill="auto"/>
            <w:tcMar>
              <w:left w:w="57" w:type="dxa"/>
              <w:right w:w="57" w:type="dxa"/>
            </w:tcMar>
          </w:tcPr>
          <w:p w14:paraId="38405298" w14:textId="1E0226CD" w:rsidR="00E001C5" w:rsidRPr="00AA1EC7" w:rsidRDefault="00E001C5" w:rsidP="00054FE8">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 </w:instrText>
            </w:r>
            <w:r w:rsidR="00054FE8">
              <w:rPr>
                <w:rFonts w:asciiTheme="majorBidi" w:eastAsia="Times New Roman" w:hAnsiTheme="majorBidi" w:cstheme="majorBidi"/>
                <w:color w:val="000000"/>
                <w:sz w:val="20"/>
                <w:szCs w:val="20"/>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asciiTheme="majorBidi" w:eastAsia="Times New Roman" w:hAnsiTheme="majorBidi" w:cstheme="majorBidi"/>
                <w:color w:val="000000"/>
                <w:sz w:val="20"/>
                <w:szCs w:val="20"/>
              </w:rPr>
              <w:instrText xml:space="preserve"> ADDIN EN.CITE.DATA </w:instrText>
            </w:r>
            <w:r w:rsidR="00054FE8">
              <w:rPr>
                <w:rFonts w:asciiTheme="majorBidi" w:eastAsia="Times New Roman" w:hAnsiTheme="majorBidi" w:cstheme="majorBidi"/>
                <w:color w:val="000000"/>
                <w:sz w:val="20"/>
                <w:szCs w:val="20"/>
              </w:rPr>
            </w:r>
            <w:r w:rsidR="00054FE8">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112</w:t>
            </w:r>
            <w:r w:rsidRPr="002D1DD7">
              <w:rPr>
                <w:rFonts w:asciiTheme="majorBidi" w:eastAsia="Times New Roman" w:hAnsiTheme="majorBidi" w:cstheme="majorBidi"/>
                <w:color w:val="000000"/>
                <w:sz w:val="20"/>
                <w:szCs w:val="20"/>
              </w:rPr>
              <w:fldChar w:fldCharType="end"/>
            </w:r>
          </w:p>
        </w:tc>
        <w:tc>
          <w:tcPr>
            <w:tcW w:w="1269" w:type="dxa"/>
            <w:tcBorders>
              <w:top w:val="single" w:sz="12" w:space="0" w:color="auto"/>
              <w:bottom w:val="single" w:sz="4" w:space="0" w:color="auto"/>
            </w:tcBorders>
            <w:shd w:val="clear" w:color="auto" w:fill="auto"/>
            <w:tcMar>
              <w:left w:w="57" w:type="dxa"/>
              <w:right w:w="57" w:type="dxa"/>
            </w:tcMar>
          </w:tcPr>
          <w:p w14:paraId="16AD52EF" w14:textId="2E1460E3"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12" w:space="0" w:color="auto"/>
              <w:bottom w:val="single" w:sz="4" w:space="0" w:color="auto"/>
            </w:tcBorders>
            <w:shd w:val="clear" w:color="auto" w:fill="auto"/>
            <w:tcMar>
              <w:left w:w="57" w:type="dxa"/>
              <w:right w:w="57" w:type="dxa"/>
            </w:tcMar>
          </w:tcPr>
          <w:p w14:paraId="125359C4"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OS</w:t>
            </w:r>
          </w:p>
        </w:tc>
        <w:tc>
          <w:tcPr>
            <w:tcW w:w="991" w:type="dxa"/>
            <w:tcBorders>
              <w:top w:val="single" w:sz="12" w:space="0" w:color="auto"/>
              <w:bottom w:val="single" w:sz="4" w:space="0" w:color="auto"/>
            </w:tcBorders>
            <w:shd w:val="clear" w:color="auto" w:fill="auto"/>
            <w:tcMar>
              <w:left w:w="57" w:type="dxa"/>
              <w:right w:w="57" w:type="dxa"/>
            </w:tcMar>
          </w:tcPr>
          <w:p w14:paraId="22A77DDC"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10.45</w:t>
            </w:r>
          </w:p>
        </w:tc>
        <w:tc>
          <w:tcPr>
            <w:tcW w:w="844" w:type="dxa"/>
            <w:tcBorders>
              <w:top w:val="single" w:sz="12" w:space="0" w:color="auto"/>
              <w:bottom w:val="single" w:sz="4" w:space="0" w:color="auto"/>
              <w:right w:val="single" w:sz="12" w:space="0" w:color="auto"/>
            </w:tcBorders>
            <w:shd w:val="clear" w:color="auto" w:fill="auto"/>
            <w:tcMar>
              <w:left w:w="57" w:type="dxa"/>
              <w:right w:w="57" w:type="dxa"/>
            </w:tcMar>
          </w:tcPr>
          <w:p w14:paraId="0E94299B"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0.09</w:t>
            </w:r>
          </w:p>
        </w:tc>
      </w:tr>
      <w:tr w:rsidR="00E001C5" w:rsidRPr="00AA1EC7" w14:paraId="6A89B15B" w14:textId="77777777" w:rsidTr="00E001C5">
        <w:trPr>
          <w:trHeight w:val="255"/>
        </w:trPr>
        <w:tc>
          <w:tcPr>
            <w:tcW w:w="1357" w:type="dxa"/>
            <w:vMerge/>
            <w:tcBorders>
              <w:top w:val="single" w:sz="4" w:space="0" w:color="auto"/>
              <w:left w:val="single" w:sz="12" w:space="0" w:color="auto"/>
              <w:bottom w:val="single" w:sz="4" w:space="0" w:color="auto"/>
            </w:tcBorders>
            <w:shd w:val="clear" w:color="auto" w:fill="auto"/>
            <w:tcMar>
              <w:left w:w="57" w:type="dxa"/>
              <w:right w:w="57" w:type="dxa"/>
            </w:tcMar>
          </w:tcPr>
          <w:p w14:paraId="3918EE05" w14:textId="77777777" w:rsidR="00E001C5" w:rsidRPr="00AA1EC7" w:rsidRDefault="00E001C5" w:rsidP="00E001C5">
            <w:pPr>
              <w:spacing w:after="0" w:line="240" w:lineRule="auto"/>
              <w:contextualSpacing/>
              <w:rPr>
                <w:rFonts w:eastAsia="Times New Roman" w:cs="Times New Roman"/>
                <w:b/>
                <w:bCs/>
                <w:color w:val="000000"/>
                <w:sz w:val="20"/>
                <w:szCs w:val="20"/>
              </w:rPr>
            </w:pPr>
          </w:p>
        </w:tc>
        <w:tc>
          <w:tcPr>
            <w:tcW w:w="1649" w:type="dxa"/>
            <w:tcBorders>
              <w:top w:val="single" w:sz="4" w:space="0" w:color="auto"/>
              <w:bottom w:val="single" w:sz="4" w:space="0" w:color="auto"/>
            </w:tcBorders>
            <w:shd w:val="clear" w:color="auto" w:fill="auto"/>
            <w:tcMar>
              <w:left w:w="57" w:type="dxa"/>
              <w:right w:w="57" w:type="dxa"/>
            </w:tcMar>
          </w:tcPr>
          <w:p w14:paraId="0C6FFAFB" w14:textId="4304166B"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(NSCLC)</w:t>
            </w:r>
            <w:r w:rsidRPr="002D1DD7">
              <w:rPr>
                <w:rFonts w:asciiTheme="majorBidi" w:eastAsia="Times New Roman" w:hAnsiTheme="majorBidi" w:cstheme="majorBidi"/>
                <w:color w:val="000000"/>
                <w:sz w:val="20"/>
                <w:szCs w:val="20"/>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136</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4" w:space="0" w:color="auto"/>
            </w:tcBorders>
            <w:shd w:val="clear" w:color="auto" w:fill="auto"/>
            <w:tcMar>
              <w:left w:w="57" w:type="dxa"/>
              <w:right w:w="57" w:type="dxa"/>
            </w:tcMar>
          </w:tcPr>
          <w:p w14:paraId="3EFC1566" w14:textId="3E0FA3A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4" w:space="0" w:color="auto"/>
              <w:bottom w:val="single" w:sz="4" w:space="0" w:color="auto"/>
            </w:tcBorders>
            <w:shd w:val="clear" w:color="auto" w:fill="auto"/>
            <w:tcMar>
              <w:left w:w="57" w:type="dxa"/>
              <w:right w:w="57" w:type="dxa"/>
            </w:tcMar>
          </w:tcPr>
          <w:p w14:paraId="67CDB5F4"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OS</w:t>
            </w:r>
          </w:p>
        </w:tc>
        <w:tc>
          <w:tcPr>
            <w:tcW w:w="991" w:type="dxa"/>
            <w:tcBorders>
              <w:top w:val="single" w:sz="4" w:space="0" w:color="auto"/>
              <w:bottom w:val="single" w:sz="4" w:space="0" w:color="auto"/>
            </w:tcBorders>
            <w:shd w:val="clear" w:color="auto" w:fill="auto"/>
            <w:tcMar>
              <w:left w:w="57" w:type="dxa"/>
              <w:right w:w="57" w:type="dxa"/>
            </w:tcMar>
          </w:tcPr>
          <w:p w14:paraId="59CA51EB"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844" w:type="dxa"/>
            <w:tcBorders>
              <w:top w:val="single" w:sz="4" w:space="0" w:color="auto"/>
              <w:bottom w:val="single" w:sz="4" w:space="0" w:color="auto"/>
              <w:right w:val="single" w:sz="12" w:space="0" w:color="auto"/>
            </w:tcBorders>
            <w:shd w:val="clear" w:color="auto" w:fill="auto"/>
            <w:tcMar>
              <w:left w:w="57" w:type="dxa"/>
              <w:right w:w="57" w:type="dxa"/>
            </w:tcMar>
          </w:tcPr>
          <w:p w14:paraId="41B57D03"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0.26</w:t>
            </w:r>
          </w:p>
        </w:tc>
      </w:tr>
      <w:tr w:rsidR="00E001C5" w:rsidRPr="00AA1EC7" w14:paraId="48A73791" w14:textId="77777777" w:rsidTr="00E001C5">
        <w:trPr>
          <w:trHeight w:val="255"/>
        </w:trPr>
        <w:tc>
          <w:tcPr>
            <w:tcW w:w="1357" w:type="dxa"/>
            <w:vMerge/>
            <w:tcBorders>
              <w:top w:val="single" w:sz="4" w:space="0" w:color="auto"/>
              <w:left w:val="single" w:sz="12" w:space="0" w:color="auto"/>
              <w:bottom w:val="single" w:sz="4" w:space="0" w:color="auto"/>
            </w:tcBorders>
            <w:shd w:val="clear" w:color="auto" w:fill="auto"/>
            <w:tcMar>
              <w:left w:w="57" w:type="dxa"/>
              <w:right w:w="57" w:type="dxa"/>
            </w:tcMar>
          </w:tcPr>
          <w:p w14:paraId="3F65E506" w14:textId="77777777" w:rsidR="00E001C5" w:rsidRPr="00AA1EC7" w:rsidRDefault="00E001C5" w:rsidP="00E001C5">
            <w:pPr>
              <w:spacing w:after="0" w:line="240" w:lineRule="auto"/>
              <w:contextualSpacing/>
              <w:rPr>
                <w:rFonts w:eastAsia="Times New Roman" w:cs="Times New Roman"/>
                <w:b/>
                <w:bCs/>
                <w:color w:val="000000"/>
                <w:sz w:val="20"/>
                <w:szCs w:val="20"/>
              </w:rPr>
            </w:pPr>
          </w:p>
        </w:tc>
        <w:tc>
          <w:tcPr>
            <w:tcW w:w="1649" w:type="dxa"/>
            <w:tcBorders>
              <w:top w:val="single" w:sz="4" w:space="0" w:color="auto"/>
              <w:bottom w:val="single" w:sz="4" w:space="0" w:color="auto"/>
            </w:tcBorders>
            <w:shd w:val="clear" w:color="auto" w:fill="auto"/>
            <w:tcMar>
              <w:left w:w="57" w:type="dxa"/>
              <w:right w:w="57" w:type="dxa"/>
            </w:tcMar>
          </w:tcPr>
          <w:p w14:paraId="430FDF69" w14:textId="6AD6CD6E"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Ovarian</w:t>
            </w:r>
            <w:r w:rsidRPr="002D1DD7">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132</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4" w:space="0" w:color="auto"/>
            </w:tcBorders>
            <w:shd w:val="clear" w:color="auto" w:fill="auto"/>
            <w:tcMar>
              <w:left w:w="57" w:type="dxa"/>
              <w:right w:w="57" w:type="dxa"/>
            </w:tcMar>
          </w:tcPr>
          <w:p w14:paraId="52FA9CE1" w14:textId="529A0FE1"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4" w:space="0" w:color="auto"/>
              <w:bottom w:val="single" w:sz="4" w:space="0" w:color="auto"/>
            </w:tcBorders>
            <w:shd w:val="clear" w:color="auto" w:fill="auto"/>
            <w:tcMar>
              <w:left w:w="57" w:type="dxa"/>
              <w:right w:w="57" w:type="dxa"/>
            </w:tcMar>
          </w:tcPr>
          <w:p w14:paraId="7361467E"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OS</w:t>
            </w:r>
          </w:p>
        </w:tc>
        <w:tc>
          <w:tcPr>
            <w:tcW w:w="991" w:type="dxa"/>
            <w:tcBorders>
              <w:top w:val="single" w:sz="4" w:space="0" w:color="auto"/>
              <w:bottom w:val="single" w:sz="4" w:space="0" w:color="auto"/>
            </w:tcBorders>
            <w:shd w:val="clear" w:color="auto" w:fill="auto"/>
            <w:tcMar>
              <w:left w:w="57" w:type="dxa"/>
              <w:right w:w="57" w:type="dxa"/>
            </w:tcMar>
          </w:tcPr>
          <w:p w14:paraId="75DA390B"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9.48</w:t>
            </w:r>
          </w:p>
        </w:tc>
        <w:tc>
          <w:tcPr>
            <w:tcW w:w="844" w:type="dxa"/>
            <w:tcBorders>
              <w:top w:val="single" w:sz="4" w:space="0" w:color="auto"/>
              <w:bottom w:val="single" w:sz="4" w:space="0" w:color="auto"/>
              <w:right w:val="single" w:sz="12" w:space="0" w:color="auto"/>
            </w:tcBorders>
            <w:shd w:val="clear" w:color="auto" w:fill="auto"/>
            <w:tcMar>
              <w:left w:w="57" w:type="dxa"/>
              <w:right w:w="57" w:type="dxa"/>
            </w:tcMar>
          </w:tcPr>
          <w:p w14:paraId="4FCB6324"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0.28</w:t>
            </w:r>
          </w:p>
        </w:tc>
      </w:tr>
      <w:tr w:rsidR="00E001C5" w:rsidRPr="00AA1EC7" w14:paraId="7523FB10" w14:textId="77777777" w:rsidTr="00E001C5">
        <w:trPr>
          <w:trHeight w:val="70"/>
        </w:trPr>
        <w:tc>
          <w:tcPr>
            <w:tcW w:w="1357" w:type="dxa"/>
            <w:vMerge/>
            <w:tcBorders>
              <w:top w:val="single" w:sz="4" w:space="0" w:color="auto"/>
              <w:left w:val="single" w:sz="12" w:space="0" w:color="auto"/>
              <w:bottom w:val="single" w:sz="12" w:space="0" w:color="auto"/>
            </w:tcBorders>
            <w:shd w:val="clear" w:color="auto" w:fill="auto"/>
            <w:tcMar>
              <w:left w:w="57" w:type="dxa"/>
              <w:right w:w="57" w:type="dxa"/>
            </w:tcMar>
          </w:tcPr>
          <w:p w14:paraId="520B8732" w14:textId="77777777" w:rsidR="00E001C5" w:rsidRPr="00AA1EC7" w:rsidRDefault="00E001C5" w:rsidP="00E001C5">
            <w:pPr>
              <w:spacing w:after="0" w:line="240" w:lineRule="auto"/>
              <w:contextualSpacing/>
              <w:rPr>
                <w:rFonts w:eastAsia="Times New Roman" w:cs="Times New Roman"/>
                <w:color w:val="000000"/>
                <w:sz w:val="20"/>
                <w:szCs w:val="20"/>
              </w:rPr>
            </w:pPr>
          </w:p>
        </w:tc>
        <w:tc>
          <w:tcPr>
            <w:tcW w:w="1649" w:type="dxa"/>
            <w:tcBorders>
              <w:top w:val="single" w:sz="4" w:space="0" w:color="auto"/>
              <w:bottom w:val="single" w:sz="12" w:space="0" w:color="auto"/>
            </w:tcBorders>
            <w:shd w:val="clear" w:color="auto" w:fill="auto"/>
            <w:tcMar>
              <w:left w:w="57" w:type="dxa"/>
              <w:right w:w="57" w:type="dxa"/>
            </w:tcMar>
          </w:tcPr>
          <w:p w14:paraId="1F4E7AFC" w14:textId="266EA837"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Gastric</w:t>
            </w:r>
            <w:r w:rsidRPr="002D1DD7">
              <w:rPr>
                <w:rFonts w:asciiTheme="majorBidi" w:eastAsia="Times New Roman" w:hAnsiTheme="majorBidi" w:cstheme="majorBidi"/>
                <w:color w:val="000000"/>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102</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12" w:space="0" w:color="auto"/>
            </w:tcBorders>
            <w:shd w:val="clear" w:color="auto" w:fill="auto"/>
            <w:tcMar>
              <w:left w:w="57" w:type="dxa"/>
              <w:right w:w="57" w:type="dxa"/>
            </w:tcMar>
          </w:tcPr>
          <w:p w14:paraId="20D0C5A7" w14:textId="07B043C0"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ORR</w:t>
            </w:r>
          </w:p>
        </w:tc>
        <w:tc>
          <w:tcPr>
            <w:tcW w:w="1544" w:type="dxa"/>
            <w:tcBorders>
              <w:top w:val="single" w:sz="4" w:space="0" w:color="auto"/>
              <w:bottom w:val="single" w:sz="12" w:space="0" w:color="auto"/>
            </w:tcBorders>
            <w:shd w:val="clear" w:color="auto" w:fill="auto"/>
            <w:tcMar>
              <w:left w:w="57" w:type="dxa"/>
              <w:right w:w="57" w:type="dxa"/>
            </w:tcMar>
          </w:tcPr>
          <w:p w14:paraId="043B62AD"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OS</w:t>
            </w:r>
          </w:p>
        </w:tc>
        <w:tc>
          <w:tcPr>
            <w:tcW w:w="991" w:type="dxa"/>
            <w:tcBorders>
              <w:top w:val="single" w:sz="4" w:space="0" w:color="auto"/>
              <w:bottom w:val="single" w:sz="12" w:space="0" w:color="auto"/>
            </w:tcBorders>
            <w:shd w:val="clear" w:color="auto" w:fill="auto"/>
            <w:tcMar>
              <w:left w:w="57" w:type="dxa"/>
              <w:right w:w="57" w:type="dxa"/>
            </w:tcMar>
          </w:tcPr>
          <w:p w14:paraId="75453381"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5.89</w:t>
            </w:r>
          </w:p>
        </w:tc>
        <w:tc>
          <w:tcPr>
            <w:tcW w:w="844" w:type="dxa"/>
            <w:tcBorders>
              <w:top w:val="single" w:sz="4" w:space="0" w:color="auto"/>
              <w:bottom w:val="single" w:sz="12" w:space="0" w:color="auto"/>
              <w:right w:val="single" w:sz="12" w:space="0" w:color="auto"/>
            </w:tcBorders>
            <w:shd w:val="clear" w:color="auto" w:fill="auto"/>
            <w:tcMar>
              <w:left w:w="57" w:type="dxa"/>
              <w:right w:w="57" w:type="dxa"/>
            </w:tcMar>
          </w:tcPr>
          <w:p w14:paraId="7AD5BF97"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0.08</w:t>
            </w:r>
          </w:p>
        </w:tc>
      </w:tr>
      <w:tr w:rsidR="00E001C5" w:rsidRPr="00AA1EC7" w14:paraId="4C62821B" w14:textId="77777777" w:rsidTr="00E001C5">
        <w:trPr>
          <w:trHeight w:val="50"/>
        </w:trPr>
        <w:tc>
          <w:tcPr>
            <w:tcW w:w="1357" w:type="dxa"/>
            <w:vMerge w:val="restart"/>
            <w:tcBorders>
              <w:top w:val="single" w:sz="12" w:space="0" w:color="auto"/>
              <w:left w:val="single" w:sz="12" w:space="0" w:color="auto"/>
            </w:tcBorders>
            <w:shd w:val="clear" w:color="auto" w:fill="auto"/>
            <w:tcMar>
              <w:left w:w="57" w:type="dxa"/>
              <w:right w:w="57" w:type="dxa"/>
            </w:tcMar>
          </w:tcPr>
          <w:p w14:paraId="006394B8"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b/>
                <w:bCs/>
                <w:color w:val="000000"/>
                <w:sz w:val="20"/>
                <w:szCs w:val="20"/>
              </w:rPr>
              <w:t>CR to PFS</w:t>
            </w:r>
          </w:p>
        </w:tc>
        <w:tc>
          <w:tcPr>
            <w:tcW w:w="1649" w:type="dxa"/>
            <w:tcBorders>
              <w:top w:val="single" w:sz="12" w:space="0" w:color="auto"/>
            </w:tcBorders>
            <w:shd w:val="clear" w:color="auto" w:fill="auto"/>
            <w:tcMar>
              <w:left w:w="57" w:type="dxa"/>
              <w:right w:w="57" w:type="dxa"/>
            </w:tcMar>
          </w:tcPr>
          <w:p w14:paraId="074D0CB9" w14:textId="47924215"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NHL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141</w:t>
            </w:r>
            <w:r w:rsidRPr="002D1DD7">
              <w:rPr>
                <w:rFonts w:asciiTheme="majorBidi" w:eastAsia="Times New Roman" w:hAnsiTheme="majorBidi" w:cstheme="majorBidi"/>
                <w:color w:val="000000"/>
                <w:sz w:val="20"/>
                <w:szCs w:val="20"/>
              </w:rPr>
              <w:fldChar w:fldCharType="end"/>
            </w:r>
          </w:p>
        </w:tc>
        <w:tc>
          <w:tcPr>
            <w:tcW w:w="1269" w:type="dxa"/>
            <w:tcBorders>
              <w:top w:val="single" w:sz="12" w:space="0" w:color="auto"/>
            </w:tcBorders>
            <w:shd w:val="clear" w:color="auto" w:fill="auto"/>
            <w:tcMar>
              <w:left w:w="57" w:type="dxa"/>
              <w:right w:w="57" w:type="dxa"/>
            </w:tcMar>
          </w:tcPr>
          <w:p w14:paraId="31EDB953"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CR</w:t>
            </w:r>
          </w:p>
        </w:tc>
        <w:tc>
          <w:tcPr>
            <w:tcW w:w="1544" w:type="dxa"/>
            <w:tcBorders>
              <w:top w:val="single" w:sz="12" w:space="0" w:color="auto"/>
            </w:tcBorders>
            <w:shd w:val="clear" w:color="auto" w:fill="auto"/>
            <w:tcMar>
              <w:left w:w="57" w:type="dxa"/>
              <w:right w:w="57" w:type="dxa"/>
            </w:tcMar>
          </w:tcPr>
          <w:p w14:paraId="07EB7C23"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Median PFS</w:t>
            </w:r>
          </w:p>
        </w:tc>
        <w:tc>
          <w:tcPr>
            <w:tcW w:w="991" w:type="dxa"/>
            <w:tcBorders>
              <w:top w:val="single" w:sz="12" w:space="0" w:color="auto"/>
            </w:tcBorders>
            <w:shd w:val="clear" w:color="auto" w:fill="auto"/>
            <w:tcMar>
              <w:left w:w="57" w:type="dxa"/>
              <w:right w:w="57" w:type="dxa"/>
            </w:tcMar>
          </w:tcPr>
          <w:p w14:paraId="700610E2"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0.83</w:t>
            </w:r>
          </w:p>
        </w:tc>
        <w:tc>
          <w:tcPr>
            <w:tcW w:w="844" w:type="dxa"/>
            <w:tcBorders>
              <w:top w:val="single" w:sz="12" w:space="0" w:color="auto"/>
              <w:right w:val="single" w:sz="12" w:space="0" w:color="auto"/>
            </w:tcBorders>
            <w:shd w:val="clear" w:color="auto" w:fill="auto"/>
            <w:tcMar>
              <w:left w:w="57" w:type="dxa"/>
              <w:right w:w="57" w:type="dxa"/>
            </w:tcMar>
          </w:tcPr>
          <w:p w14:paraId="33C29F35"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0.46</w:t>
            </w:r>
          </w:p>
        </w:tc>
      </w:tr>
      <w:tr w:rsidR="00E001C5" w:rsidRPr="00AA1EC7" w14:paraId="0A6D3D29" w14:textId="77777777" w:rsidTr="00E001C5">
        <w:trPr>
          <w:trHeight w:val="255"/>
        </w:trPr>
        <w:tc>
          <w:tcPr>
            <w:tcW w:w="1357" w:type="dxa"/>
            <w:vMerge/>
            <w:tcBorders>
              <w:left w:val="single" w:sz="12" w:space="0" w:color="auto"/>
            </w:tcBorders>
            <w:shd w:val="clear" w:color="auto" w:fill="auto"/>
            <w:tcMar>
              <w:left w:w="57" w:type="dxa"/>
              <w:right w:w="57" w:type="dxa"/>
            </w:tcMar>
          </w:tcPr>
          <w:p w14:paraId="7A261514" w14:textId="77777777" w:rsidR="00E001C5" w:rsidRPr="00AA1EC7" w:rsidRDefault="00E001C5" w:rsidP="00E001C5">
            <w:pPr>
              <w:spacing w:after="0" w:line="240" w:lineRule="auto"/>
              <w:contextualSpacing/>
              <w:rPr>
                <w:rFonts w:eastAsia="Times New Roman" w:cs="Times New Roman"/>
                <w:b/>
                <w:bCs/>
                <w:color w:val="000000"/>
                <w:sz w:val="20"/>
                <w:szCs w:val="20"/>
              </w:rPr>
            </w:pPr>
          </w:p>
        </w:tc>
        <w:tc>
          <w:tcPr>
            <w:tcW w:w="1649" w:type="dxa"/>
            <w:tcBorders>
              <w:top w:val="single" w:sz="4" w:space="0" w:color="auto"/>
              <w:bottom w:val="single" w:sz="4" w:space="0" w:color="auto"/>
            </w:tcBorders>
            <w:shd w:val="clear" w:color="auto" w:fill="auto"/>
            <w:tcMar>
              <w:left w:w="57" w:type="dxa"/>
              <w:right w:w="57" w:type="dxa"/>
            </w:tcMar>
          </w:tcPr>
          <w:p w14:paraId="2203A737" w14:textId="4D323086" w:rsidR="00E001C5" w:rsidRPr="00AA1EC7" w:rsidRDefault="00E001C5"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NHL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114</w:t>
            </w:r>
            <w:r w:rsidRPr="002D1DD7">
              <w:rPr>
                <w:rFonts w:asciiTheme="majorBidi" w:eastAsia="Times New Roman" w:hAnsiTheme="majorBidi" w:cstheme="majorBidi"/>
                <w:color w:val="000000"/>
                <w:sz w:val="20"/>
                <w:szCs w:val="20"/>
              </w:rPr>
              <w:fldChar w:fldCharType="end"/>
            </w:r>
          </w:p>
        </w:tc>
        <w:tc>
          <w:tcPr>
            <w:tcW w:w="1269" w:type="dxa"/>
            <w:tcBorders>
              <w:top w:val="single" w:sz="4" w:space="0" w:color="auto"/>
              <w:bottom w:val="single" w:sz="4" w:space="0" w:color="auto"/>
            </w:tcBorders>
            <w:shd w:val="clear" w:color="auto" w:fill="auto"/>
            <w:tcMar>
              <w:left w:w="57" w:type="dxa"/>
              <w:right w:w="57" w:type="dxa"/>
            </w:tcMar>
          </w:tcPr>
          <w:p w14:paraId="0132A1B5"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 odds CR</w:t>
            </w:r>
          </w:p>
        </w:tc>
        <w:tc>
          <w:tcPr>
            <w:tcW w:w="1544" w:type="dxa"/>
            <w:tcBorders>
              <w:top w:val="single" w:sz="4" w:space="0" w:color="auto"/>
              <w:bottom w:val="single" w:sz="4" w:space="0" w:color="auto"/>
            </w:tcBorders>
            <w:shd w:val="clear" w:color="auto" w:fill="auto"/>
            <w:tcMar>
              <w:left w:w="57" w:type="dxa"/>
              <w:right w:w="57" w:type="dxa"/>
            </w:tcMar>
          </w:tcPr>
          <w:p w14:paraId="0E723D20"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 median PFS</w:t>
            </w:r>
          </w:p>
        </w:tc>
        <w:tc>
          <w:tcPr>
            <w:tcW w:w="991" w:type="dxa"/>
            <w:tcBorders>
              <w:top w:val="single" w:sz="4" w:space="0" w:color="auto"/>
              <w:bottom w:val="single" w:sz="4" w:space="0" w:color="auto"/>
            </w:tcBorders>
            <w:shd w:val="clear" w:color="auto" w:fill="auto"/>
            <w:tcMar>
              <w:left w:w="57" w:type="dxa"/>
              <w:right w:w="57" w:type="dxa"/>
            </w:tcMar>
          </w:tcPr>
          <w:p w14:paraId="4F9FBA16"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2.38</w:t>
            </w:r>
          </w:p>
        </w:tc>
        <w:tc>
          <w:tcPr>
            <w:tcW w:w="844" w:type="dxa"/>
            <w:tcBorders>
              <w:top w:val="single" w:sz="4" w:space="0" w:color="auto"/>
              <w:bottom w:val="single" w:sz="4" w:space="0" w:color="auto"/>
              <w:right w:val="single" w:sz="12" w:space="0" w:color="auto"/>
            </w:tcBorders>
            <w:shd w:val="clear" w:color="auto" w:fill="auto"/>
            <w:tcMar>
              <w:left w:w="57" w:type="dxa"/>
              <w:right w:w="57" w:type="dxa"/>
            </w:tcMar>
          </w:tcPr>
          <w:p w14:paraId="3DB2AB95" w14:textId="77777777" w:rsidR="00E001C5" w:rsidRPr="00AA1EC7" w:rsidRDefault="00E001C5" w:rsidP="00E001C5">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0.34</w:t>
            </w:r>
          </w:p>
        </w:tc>
      </w:tr>
      <w:tr w:rsidR="00716DF9" w:rsidRPr="00AA1EC7" w14:paraId="1877CCAA" w14:textId="77777777" w:rsidTr="00716DF9">
        <w:trPr>
          <w:trHeight w:val="255"/>
        </w:trPr>
        <w:tc>
          <w:tcPr>
            <w:tcW w:w="7654" w:type="dxa"/>
            <w:gridSpan w:val="6"/>
            <w:tcBorders>
              <w:left w:val="single" w:sz="12" w:space="0" w:color="auto"/>
              <w:bottom w:val="single" w:sz="12" w:space="0" w:color="auto"/>
              <w:right w:val="single" w:sz="12" w:space="0" w:color="auto"/>
            </w:tcBorders>
            <w:shd w:val="clear" w:color="auto" w:fill="auto"/>
            <w:tcMar>
              <w:left w:w="57" w:type="dxa"/>
              <w:right w:w="57" w:type="dxa"/>
            </w:tcMar>
          </w:tcPr>
          <w:p w14:paraId="1BD0130E" w14:textId="1CAFA25D" w:rsidR="00716DF9" w:rsidRPr="00AA1EC7" w:rsidRDefault="00716DF9" w:rsidP="00AA1EC7">
            <w:pPr>
              <w:spacing w:after="0" w:line="240" w:lineRule="auto"/>
              <w:contextualSpacing/>
              <w:rPr>
                <w:rFonts w:eastAsia="Times New Roman" w:cs="Times New Roman"/>
                <w:color w:val="000000"/>
                <w:sz w:val="20"/>
                <w:szCs w:val="20"/>
              </w:rPr>
            </w:pPr>
            <w:r w:rsidRPr="00AA1EC7">
              <w:rPr>
                <w:rFonts w:cs="Times New Roman"/>
                <w:sz w:val="20"/>
                <w:szCs w:val="20"/>
              </w:rPr>
              <w:t xml:space="preserve">CR, complete response; NHL, non-Hodgkin’s lymphoma; NSCLC, non-small cell lung cancer; </w:t>
            </w:r>
            <w:r w:rsidR="00E66C21" w:rsidRPr="00AA1EC7">
              <w:rPr>
                <w:rFonts w:cs="Times New Roman"/>
                <w:sz w:val="20"/>
                <w:szCs w:val="20"/>
              </w:rPr>
              <w:t xml:space="preserve">ORR, overall response rate; </w:t>
            </w:r>
            <w:r w:rsidRPr="00AA1EC7">
              <w:rPr>
                <w:rFonts w:cs="Times New Roman"/>
                <w:sz w:val="20"/>
                <w:szCs w:val="20"/>
              </w:rPr>
              <w:t>OS, overall survival; PFS, progression-free survival; TTP, time to progression; VGPR, very good partial response.</w:t>
            </w:r>
          </w:p>
        </w:tc>
      </w:tr>
    </w:tbl>
    <w:p w14:paraId="46F361A9" w14:textId="77777777" w:rsidR="00716DF9" w:rsidRPr="002D1DD7" w:rsidRDefault="00716DF9" w:rsidP="00716DF9">
      <w:pPr>
        <w:jc w:val="both"/>
        <w:rPr>
          <w:rFonts w:asciiTheme="majorBidi" w:hAnsiTheme="majorBidi" w:cstheme="majorBidi"/>
        </w:rPr>
      </w:pPr>
    </w:p>
    <w:p w14:paraId="01F66A50" w14:textId="77777777" w:rsidR="00716DF9" w:rsidRPr="002D1DD7" w:rsidRDefault="00716DF9" w:rsidP="00AA1EC7">
      <w:pPr>
        <w:pStyle w:val="Heading5"/>
      </w:pPr>
      <w:r w:rsidRPr="002D1DD7">
        <w:t>Regression equations for treatment effect (trial-level) relationships</w:t>
      </w:r>
    </w:p>
    <w:p w14:paraId="65593156" w14:textId="4BC38B2D" w:rsidR="00716DF9" w:rsidRPr="002D1DD7" w:rsidRDefault="00716DF9" w:rsidP="00E001C5">
      <w:r w:rsidRPr="002D1DD7">
        <w:rPr>
          <w:lang w:eastAsia="en-GB"/>
        </w:rPr>
        <w:t>Regression equations f</w:t>
      </w:r>
      <w:r w:rsidRPr="002D1DD7">
        <w:t xml:space="preserve">or </w:t>
      </w:r>
      <w:r w:rsidRPr="002D1DD7">
        <w:rPr>
          <w:lang w:eastAsia="en-GB"/>
        </w:rPr>
        <w:t>treatment effect</w:t>
      </w:r>
      <w:r w:rsidRPr="002D1DD7">
        <w:t xml:space="preserve"> (trial-level) associations were reported in </w:t>
      </w:r>
      <w:r w:rsidR="003366C2">
        <w:rPr>
          <w:rFonts w:asciiTheme="majorBidi" w:hAnsiTheme="majorBidi" w:cstheme="majorBidi"/>
        </w:rPr>
        <w:t>thirteen</w:t>
      </w:r>
      <w:r w:rsidR="00E001C5" w:rsidRPr="002D1DD7">
        <w:rPr>
          <w:rFonts w:asciiTheme="majorBidi" w:hAnsiTheme="majorBidi" w:cstheme="majorBidi"/>
          <w:color w:val="FF0000"/>
        </w:rPr>
        <w:t xml:space="preserve"> </w:t>
      </w:r>
      <w:r w:rsidR="00E001C5" w:rsidRPr="002D1DD7">
        <w:rPr>
          <w:rFonts w:asciiTheme="majorBidi" w:hAnsiTheme="majorBidi" w:cstheme="majorBidi"/>
        </w:rPr>
        <w:t>studies</w:t>
      </w:r>
      <w:r w:rsidR="00E001C5" w:rsidRPr="002D1DD7">
        <w:rPr>
          <w:rFonts w:asciiTheme="majorBidi" w:eastAsia="Times New Roman" w:hAnsiTheme="majorBidi" w:cstheme="majorBidi"/>
          <w:color w:val="000000"/>
          <w:sz w:val="20"/>
          <w:szCs w:val="20"/>
        </w:rPr>
        <w:fldChar w:fldCharType="begin">
          <w:fldData xml:space="preserve">dW1taXQsIE5KOyBOYW5jeSBWYWxlbnRlLCBHZW5lbnRlY2gsIFNvdXRoIFNhbiBGcmFuY2lzY28s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PEVuZE5vdGU+PENpdGU+PEF1dGhvcj5Uc3VqaW5vPC9BdXRob3I+PFllYXI+MjAxMDwvWWVhcj48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PVkmYW1wO05FV1M9TiZhbXA7UEFHRT1mdWxsdGV4dCZhbXA7RD1tZWQxMSZhbXA7QU49MjU4NjM1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Q1NDPVkmYW1wO05FV1M9TiZhbXA7UEFHRT1mdWxsdGV4dCZhbXA7RD1tZWQ2JmFtcDtBTj0xODQy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YW1wO05FV1M9TiZhbXA7UEFHRT1mdWxsdGV4dCZhbXA7RD1tZWQ1JmFtcDtBTj0xNjk0NTc2OSYj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P1Q9SlMmYW1wO0NTQz1ZJmFtcDtORVdTPU4mYW1wO1BBR0U9ZnVsbHRleHQmYW1wO0Q9bWVkNSZh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cDtQQUdFPWZ1bGx0ZXh0JmFtcDtEPW1lZDEyJmFtcDtBTj0yNzE3ODk4Mzwvc3R5bGU+PHN0eWxl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==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0E66DE">
        <w:rPr>
          <w:rFonts w:asciiTheme="majorBidi" w:eastAsia="Times New Roman" w:hAnsiTheme="majorBidi" w:cstheme="majorBidi"/>
          <w:color w:val="000000"/>
          <w:sz w:val="20"/>
          <w:szCs w:val="20"/>
        </w:rPr>
        <w:fldChar w:fldCharType="begin">
          <w:fldData xml:space="preserve">PEF1dGhvcj5Ib3R0YTwvQXV0aG9yPjxZZWFyPjIwMDk8L1llYXI+PFJlY051bT4xMjI1PC9SZWNO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IENlbnRlciwgSG91c3RvbiwgVFguJiN4RDtNYXJjdXMsIFJvYmVydC4gUWlhbiBTaGkgYW5kIERh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IG9mIFRleGFzIE1EIEFuZGVyc29uIENhbmNlciBDZW50ZXIsIEhvdXN0b24sIFRYLiYjeEQ7SGVy
b2xkLCBNaWNoYWVsLiBRaWFuIFNoaSBhbmQgRGFuaWVsIEouIFNhcmdlbnQsIE1heW8gQ2xpbmlj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IENlbnRlciwgSG91c3RvbiwgVFguJiN4RDtIYWdlbmJlZWssIEFudG9uLiBRaWFuIFNoaSBhbmQg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b2YgVGV4YXMgTUQgQW5kZXJzb24gQ2FuY2VyIENlbnRlciwgSG91c3RvbiwgVFguJiN4RDtWaXRv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ciBDZW50ZXIsIEhvdXN0b24sIFRYLiYjeEQ7R2hpZWxtaW5pLCBNaWNoZWxlLiBRaWFuIFNoaSBh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eEQ7RnUsIFRvbW15LiBRaWFuIFNoaSBhbmQgRGFuaWVsIEouIFNhcmdlbnQsIE1heW8gQ2xpbmlj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IENlbnRlciwgSG91c3RvbiwgVFguJiN4RDtWYWxlbnRlLCBOYW5jeS4gUWlhbiBTaGkgYW5kIERh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IG9mIFRleGFzIE1EIEFuZGVyc29uIENhbmNlciBDZW50ZXIsIEhvdXN0b24sIFRYLiYjeEQ7Rm93
bGVyLCBOYXRoYW4gSC4gUWlhbiBTaGkgYW5kIERhbmllbCBKLiBTYXJnZW50LCBNYXlvIENsaW5p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ciBDZW50ZXIsIEhvdXN0b24sIFRYLiYjeEQ7SG9zdGVyLCBFdmEuIFFpYW4gU2hpIGFuZCBEYW5p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WnVjY2EsIEVtYW51ZWxlLiBRaWFuIFNoaSBhbmQgRGFuaWVsIEouIFNhcmdlbnQsIE1heW8gQ2xp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==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0E66DE">
        <w:rPr>
          <w:rFonts w:asciiTheme="majorBidi" w:eastAsia="Times New Roman" w:hAnsiTheme="majorBidi" w:cstheme="majorBidi"/>
          <w:color w:val="000000"/>
          <w:sz w:val="20"/>
          <w:szCs w:val="20"/>
        </w:rPr>
        <w:fldChar w:fldCharType="begin">
          <w:fldData xml:space="preserve">dW1taXQsIE5KOyBOYW5jeSBWYWxlbnRlLCBHZW5lbnRlY2gsIFNvdXRoIFNhbiBGcmFuY2lzY28s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E001C5" w:rsidRPr="002D1DD7">
        <w:rPr>
          <w:rFonts w:asciiTheme="majorBidi" w:eastAsia="Times New Roman" w:hAnsiTheme="majorBidi" w:cstheme="majorBidi"/>
          <w:color w:val="000000"/>
          <w:sz w:val="20"/>
          <w:szCs w:val="20"/>
        </w:rPr>
      </w:r>
      <w:r w:rsidR="00E001C5"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84, 86, 91-93, 96, 101, 106, 116, 118, 127, 129, 137</w:t>
      </w:r>
      <w:r w:rsidR="00E001C5" w:rsidRPr="002D1DD7">
        <w:rPr>
          <w:rFonts w:asciiTheme="majorBidi" w:eastAsia="Times New Roman" w:hAnsiTheme="majorBidi" w:cstheme="majorBidi"/>
          <w:color w:val="000000"/>
          <w:sz w:val="20"/>
          <w:szCs w:val="20"/>
        </w:rPr>
        <w:fldChar w:fldCharType="end"/>
      </w:r>
      <w:r w:rsidR="00E001C5" w:rsidRPr="002D1DD7">
        <w:rPr>
          <w:rFonts w:asciiTheme="majorBidi" w:hAnsiTheme="majorBidi" w:cstheme="majorBidi"/>
        </w:rPr>
        <w:t xml:space="preserve"> and are summarised in</w:t>
      </w:r>
      <w:r w:rsidRPr="002D1DD7">
        <w:t xml:space="preserve"> </w:t>
      </w:r>
      <w:r w:rsidRPr="002D1DD7">
        <w:rPr>
          <w:lang w:eastAsia="en-GB"/>
        </w:rPr>
        <w:fldChar w:fldCharType="begin"/>
      </w:r>
      <w:r w:rsidRPr="002D1DD7">
        <w:rPr>
          <w:lang w:eastAsia="en-GB"/>
        </w:rPr>
        <w:instrText xml:space="preserve"> REF _Ref16785824 \h  \* MERGEFORMAT </w:instrText>
      </w:r>
      <w:r w:rsidRPr="002D1DD7">
        <w:rPr>
          <w:lang w:eastAsia="en-GB"/>
        </w:rPr>
      </w:r>
      <w:r w:rsidRPr="002D1DD7">
        <w:rPr>
          <w:lang w:eastAsia="en-GB"/>
        </w:rPr>
        <w:fldChar w:fldCharType="separate"/>
      </w:r>
      <w:r w:rsidR="00C663A2" w:rsidRPr="002D1DD7">
        <w:t xml:space="preserve">Table </w:t>
      </w:r>
      <w:r w:rsidR="00C663A2">
        <w:t>9</w:t>
      </w:r>
      <w:r w:rsidRPr="002D1DD7">
        <w:rPr>
          <w:lang w:eastAsia="en-GB"/>
        </w:rPr>
        <w:fldChar w:fldCharType="end"/>
      </w:r>
      <w:r w:rsidRPr="002D1DD7">
        <w:rPr>
          <w:lang w:eastAsia="en-GB"/>
        </w:rPr>
        <w:t xml:space="preserve">. These are presented separately for regressions based on difference in response and regressions based on relative risk or </w:t>
      </w:r>
      <w:r w:rsidR="00874833">
        <w:rPr>
          <w:lang w:eastAsia="en-GB"/>
        </w:rPr>
        <w:t>OR</w:t>
      </w:r>
      <w:r w:rsidRPr="002D1DD7">
        <w:rPr>
          <w:lang w:eastAsia="en-GB"/>
        </w:rPr>
        <w:t xml:space="preserve"> for response.</w:t>
      </w:r>
      <w:r w:rsidRPr="002D1DD7">
        <w:t xml:space="preserve"> There was substantial variation in effect measures for both the surrogate and final outcomes (e.g. difference in medians, HR, OR).</w:t>
      </w:r>
    </w:p>
    <w:p w14:paraId="45BC95FA" w14:textId="30BACC3A" w:rsidR="00716DF9" w:rsidRPr="002D1DD7" w:rsidRDefault="00874833" w:rsidP="00E001C5">
      <w:r>
        <w:rPr>
          <w:b/>
          <w:bCs/>
          <w:lang w:eastAsia="en-GB"/>
        </w:rPr>
        <w:lastRenderedPageBreak/>
        <w:t>O</w:t>
      </w:r>
      <w:r w:rsidR="00716DF9" w:rsidRPr="002D1DD7">
        <w:rPr>
          <w:b/>
          <w:bCs/>
          <w:lang w:eastAsia="en-GB"/>
        </w:rPr>
        <w:t>RR to PFS:</w:t>
      </w:r>
      <w:r w:rsidR="00716DF9" w:rsidRPr="002D1DD7">
        <w:rPr>
          <w:lang w:eastAsia="en-GB"/>
        </w:rPr>
        <w:t xml:space="preserve"> </w:t>
      </w:r>
      <w:r w:rsidR="00716DF9" w:rsidRPr="002D1DD7">
        <w:t xml:space="preserve">For the relationship between </w:t>
      </w:r>
      <w:r>
        <w:t>O</w:t>
      </w:r>
      <w:r w:rsidR="00716DF9" w:rsidRPr="002D1DD7">
        <w:t>RR and PFS, one study of three cancer types</w:t>
      </w:r>
      <w:r w:rsidR="006F7FD7">
        <w:fldChar w:fldCharType="begin"/>
      </w:r>
      <w:r w:rsidR="000E66DE">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006F7FD7">
        <w:fldChar w:fldCharType="separate"/>
      </w:r>
      <w:r w:rsidR="003117A9" w:rsidRPr="003117A9">
        <w:rPr>
          <w:noProof/>
          <w:vertAlign w:val="superscript"/>
        </w:rPr>
        <w:t>137</w:t>
      </w:r>
      <w:r w:rsidR="006F7FD7">
        <w:fldChar w:fldCharType="end"/>
      </w:r>
      <w:r w:rsidR="00716DF9" w:rsidRPr="002D1DD7">
        <w:t xml:space="preserve"> reported regression equations for difference in </w:t>
      </w:r>
      <w:r>
        <w:t>O</w:t>
      </w:r>
      <w:r w:rsidR="00716DF9" w:rsidRPr="002D1DD7">
        <w:t xml:space="preserve">RR vs. HR for PFS, with slopes ranging from -0.02 to -0.04 (intercepts were not reported). </w:t>
      </w:r>
      <w:r w:rsidR="00E001C5" w:rsidRPr="002D1DD7">
        <w:rPr>
          <w:rFonts w:asciiTheme="majorBidi" w:eastAsia="Times New Roman" w:hAnsiTheme="majorBidi" w:cstheme="majorBidi"/>
          <w:color w:val="000000"/>
        </w:rPr>
        <w:t>Three studies across three cancer types</w:t>
      </w:r>
      <w:r w:rsidR="00E001C5" w:rsidRPr="002D1DD7">
        <w:rPr>
          <w:rFonts w:asciiTheme="majorBidi" w:eastAsia="Times New Roman" w:hAnsiTheme="majorBidi" w:cstheme="majorBidi"/>
          <w:color w:val="00000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NCwgODYsIDkzLCAxMjc8L3N0eWxlPjwvRGlzcGxheVRleHQ+PHJlY29yZD48cmVjLW51bWJlcj40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ZnVsbHRleHQmYW1wO0Q9bWVkMTMmYW1wO0FOPTI5MDU1ODQxPC9zdHlsZT48c3R5bGUgZmFjZT0i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NCwgODYsIDkzLCAxMjc8L3N0eWxlPjwvRGlzcGxheVRleHQ+PHJlY29yZD48cmVjLW51bWJlcj40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ZnVsbHRleHQmYW1wO0Q9bWVkMTMmYW1wO0FOPTI5MDU1ODQxPC9zdHlsZT48c3R5bGUgZmFjZT0i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84, 86, 93, 127</w:t>
      </w:r>
      <w:r w:rsidR="00E001C5" w:rsidRPr="002D1DD7">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t xml:space="preserve"> reported </w:t>
      </w:r>
      <w:r w:rsidR="00716DF9" w:rsidRPr="002D1DD7">
        <w:t xml:space="preserve">regression equations for difference in </w:t>
      </w:r>
      <w:r>
        <w:t>O</w:t>
      </w:r>
      <w:r w:rsidR="00716DF9" w:rsidRPr="002D1DD7">
        <w:t>RR vs. difference in median OS, with intercepts ranging from -0.05 to 0.34 and slopes ranging from 0.07 to 0.14. One study of three cancer types</w:t>
      </w:r>
      <w:r w:rsidR="006F7FD7">
        <w:fldChar w:fldCharType="begin"/>
      </w:r>
      <w:r w:rsidR="000E66DE">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006F7FD7">
        <w:fldChar w:fldCharType="separate"/>
      </w:r>
      <w:r w:rsidR="003117A9" w:rsidRPr="003117A9">
        <w:rPr>
          <w:noProof/>
          <w:vertAlign w:val="superscript"/>
        </w:rPr>
        <w:t>137</w:t>
      </w:r>
      <w:r w:rsidR="006F7FD7">
        <w:fldChar w:fldCharType="end"/>
      </w:r>
      <w:r w:rsidR="00716DF9" w:rsidRPr="002D1DD7">
        <w:t xml:space="preserve"> reported regression equations for difference in </w:t>
      </w:r>
      <w:r>
        <w:t>O</w:t>
      </w:r>
      <w:r w:rsidR="00716DF9" w:rsidRPr="002D1DD7">
        <w:t xml:space="preserve">RR vs. HR for OS, with slopes ranging from -0.01 to -0.03 (intercepts were not reported). </w:t>
      </w:r>
      <w:r w:rsidR="00E001C5" w:rsidRPr="002D1DD7">
        <w:rPr>
          <w:rFonts w:asciiTheme="majorBidi" w:eastAsia="Times New Roman" w:hAnsiTheme="majorBidi" w:cstheme="majorBidi"/>
          <w:color w:val="000000"/>
        </w:rPr>
        <w:t>Seven studies across six cancer types</w:t>
      </w:r>
      <w:r w:rsidR="00E001C5" w:rsidRPr="002D1DD7">
        <w:rPr>
          <w:rFonts w:asciiTheme="majorBidi" w:eastAsia="Times New Roman" w:hAnsiTheme="majorBidi" w:cstheme="majorBidi"/>
          <w:color w:val="00000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NiwgOTEtOTMsIDk2LCAxMTYsIDExOCwgMTI3PC9zdHlsZT48L0Rpc3BsYXlUZXh0PjxyZWNvcmQ+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bXA7RD1tZWQxMSZhbXA7QU49MjU4NjM1ODImI3hEO2h0dHA6Ly9yZXNvbHZlci5zaGVmLmFjLnVr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PWZ1bGx0ZXh0JmFtcDtEPW1lZDEyJmFtcDtBTj0yNzE3ODk4Mzwvc3R5bGU+PHN0eWxlIGZhY2U9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c2VydmljZXNfcGFnZT9zaWQ9T1ZJRDptZWRsaW5lJmFtcDtpZD1wbWlkOjI3MTc4OTgzJmFtcDtp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JmFtcDtBTj0yOTA1NTg0MTwvc3R5bGU+PHN0eWxlIGZhY2U9Im5vcm1hbCIgZm9udD0iZGVmYXVs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RDptZWRsaW5lJmFtcDtpZD1wbWlkOjI5MDU1ODQxJmFtcDtpZD1kb2k6MTAuMTAxNiUyRmouZWpj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PVkmYW1wO05FV1M9TiZhbXA7UEFHRT1mdWxsdGV4dCZhbXA7RD1tZWQxMyZhbXA7QU49Mjc4NTcw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bXA7RD1tZWQxMiZhbXA7QU49MjcwMzE4NDg8L3N0eWxlPjxzdHlsZSBmYWNlPSJub3JtYWwiIGZv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==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NiwgOTEtOTMsIDk2LCAxMTYsIDExOCwgMTI3PC9zdHlsZT48L0Rpc3BsYXlUZXh0PjxyZWNvcmQ+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bXA7RD1tZWQxMSZhbXA7QU49MjU4NjM1ODImI3hEO2h0dHA6Ly9yZXNvbHZlci5zaGVmLmFjLnVr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PWZ1bGx0ZXh0JmFtcDtEPW1lZDEyJmFtcDtBTj0yNzE3ODk4Mzwvc3R5bGU+PHN0eWxlIGZhY2U9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c2VydmljZXNfcGFnZT9zaWQ9T1ZJRDptZWRsaW5lJmFtcDtpZD1wbWlkOjI3MTc4OTgzJmFtcDtp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JmFtcDtBTj0yOTA1NTg0MTwvc3R5bGU+PHN0eWxlIGZhY2U9Im5vcm1hbCIgZm9udD0iZGVmYXVs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RDptZWRsaW5lJmFtcDtpZD1wbWlkOjI5MDU1ODQxJmFtcDtpZD1kb2k6MTAuMTAxNiUyRmouZWpj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PVkmYW1wO05FV1M9TiZhbXA7UEFHRT1mdWxsdGV4dCZhbXA7RD1tZWQxMyZhbXA7QU49Mjc4NTcw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==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86, 91-93, 96, 116, 118, 127</w:t>
      </w:r>
      <w:r w:rsidR="00E001C5" w:rsidRPr="002D1DD7">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t xml:space="preserve"> reported regression equations for ratio measures of </w:t>
      </w:r>
      <w:r w:rsidR="00E001C5">
        <w:rPr>
          <w:rFonts w:asciiTheme="majorBidi" w:eastAsia="Times New Roman" w:hAnsiTheme="majorBidi" w:cstheme="majorBidi"/>
          <w:color w:val="000000"/>
        </w:rPr>
        <w:t>O</w:t>
      </w:r>
      <w:r w:rsidR="00E001C5" w:rsidRPr="002D1DD7">
        <w:rPr>
          <w:rFonts w:asciiTheme="majorBidi" w:eastAsia="Times New Roman" w:hAnsiTheme="majorBidi" w:cstheme="majorBidi"/>
          <w:color w:val="000000"/>
        </w:rPr>
        <w:t>RR (OR or relative risk) vs. ratio measures of OS (generally HR), with intercepts ranging from -0.13 to 0.12 and slopes ranging from -0.26 to 0.30. One study in SCLC</w:t>
      </w:r>
      <w:r w:rsidR="00E001C5" w:rsidRPr="002D1DD7">
        <w:rPr>
          <w:rFonts w:asciiTheme="majorBidi" w:eastAsia="Times New Roman" w:hAnsiTheme="majorBidi" w:cstheme="majorBidi"/>
          <w:color w:val="000000"/>
        </w:rPr>
        <w:fldChar w:fldCharType="begin"/>
      </w:r>
      <w:r w:rsidR="000E66DE">
        <w:rPr>
          <w:rFonts w:asciiTheme="majorBidi" w:eastAsia="Times New Roman" w:hAnsiTheme="majorBidi" w:cstheme="majorBidi"/>
          <w:color w:val="000000"/>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101</w:t>
      </w:r>
      <w:r w:rsidR="00E001C5" w:rsidRPr="002D1DD7">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t xml:space="preserve"> reported </w:t>
      </w:r>
      <w:r w:rsidR="00716DF9" w:rsidRPr="002D1DD7">
        <w:t xml:space="preserve">a regression equation for relative risk of </w:t>
      </w:r>
      <w:r>
        <w:t>O</w:t>
      </w:r>
      <w:r w:rsidR="00716DF9" w:rsidRPr="002D1DD7">
        <w:t>RR vs. difference in median OS, with intercept of 0 and slopes ranging from 0.04 to 0.09.</w:t>
      </w:r>
    </w:p>
    <w:p w14:paraId="6ED27D58" w14:textId="570029E6" w:rsidR="00716DF9" w:rsidRPr="002D1DD7" w:rsidRDefault="00716DF9" w:rsidP="00E001C5">
      <w:r w:rsidRPr="002D1DD7">
        <w:rPr>
          <w:b/>
          <w:bCs/>
          <w:lang w:eastAsia="en-GB"/>
        </w:rPr>
        <w:t>CR to PFS:</w:t>
      </w:r>
      <w:r w:rsidRPr="002D1DD7">
        <w:rPr>
          <w:lang w:eastAsia="en-GB"/>
        </w:rPr>
        <w:t xml:space="preserve"> </w:t>
      </w:r>
      <w:r w:rsidRPr="002D1DD7">
        <w:t xml:space="preserve">For the relationship between CR and PFS, one study in </w:t>
      </w:r>
      <w:r w:rsidR="00E001C5" w:rsidRPr="002D1DD7">
        <w:rPr>
          <w:rFonts w:asciiTheme="majorBidi" w:hAnsiTheme="majorBidi" w:cstheme="majorBidi"/>
        </w:rPr>
        <w:t>NHL</w:t>
      </w:r>
      <w:r w:rsidR="00E001C5" w:rsidRPr="002D1DD7">
        <w:rPr>
          <w:rFonts w:asciiTheme="majorBidi" w:eastAsia="Times New Roman" w:hAnsiTheme="majorBidi" w:cstheme="majorBidi"/>
          <w:color w:val="00000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0E66DE">
        <w:rPr>
          <w:rFonts w:asciiTheme="majorBidi" w:eastAsia="Times New Roman" w:hAnsiTheme="majorBidi" w:cstheme="majorBidi"/>
          <w:color w:val="00000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r>
      <w:r w:rsidR="00E001C5"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129</w:t>
      </w:r>
      <w:r w:rsidR="00E001C5" w:rsidRPr="002D1DD7">
        <w:rPr>
          <w:rFonts w:asciiTheme="majorBidi" w:eastAsia="Times New Roman" w:hAnsiTheme="majorBidi" w:cstheme="majorBidi"/>
          <w:color w:val="000000"/>
        </w:rPr>
        <w:fldChar w:fldCharType="end"/>
      </w:r>
      <w:r w:rsidR="00E001C5" w:rsidRPr="002D1DD7">
        <w:rPr>
          <w:rFonts w:asciiTheme="majorBidi" w:eastAsia="Times New Roman" w:hAnsiTheme="majorBidi" w:cstheme="majorBidi"/>
          <w:color w:val="000000"/>
        </w:rPr>
        <w:t xml:space="preserve"> reported </w:t>
      </w:r>
      <w:r w:rsidRPr="002D1DD7">
        <w:t>regression equations for logOR CR vs. logHR PFS, with intercepts ranging from -0.09 to 0.04 and slopes ranging from -0.73 to -0.64.</w:t>
      </w:r>
    </w:p>
    <w:p w14:paraId="1C1F9DE5" w14:textId="1AFFD6A1" w:rsidR="00716DF9" w:rsidRDefault="00716DF9" w:rsidP="00E001C5">
      <w:r w:rsidRPr="002D1DD7">
        <w:rPr>
          <w:b/>
          <w:bCs/>
          <w:lang w:eastAsia="en-GB"/>
        </w:rPr>
        <w:t>CR to OS:</w:t>
      </w:r>
      <w:r w:rsidRPr="002D1DD7">
        <w:rPr>
          <w:lang w:eastAsia="en-GB"/>
        </w:rPr>
        <w:t xml:space="preserve"> </w:t>
      </w:r>
      <w:r w:rsidRPr="002D1DD7">
        <w:t xml:space="preserve">For the relationship between CR and OS, one study in </w:t>
      </w:r>
      <w:r w:rsidR="00E001C5" w:rsidRPr="002D1DD7">
        <w:rPr>
          <w:rFonts w:asciiTheme="majorBidi" w:hAnsiTheme="majorBidi" w:cstheme="majorBidi"/>
        </w:rPr>
        <w:t>breast cancer</w:t>
      </w:r>
      <w:r w:rsidR="00E001C5" w:rsidRPr="002D1DD7">
        <w:rPr>
          <w:rFonts w:asciiTheme="majorBidi" w:hAnsiTheme="majorBidi" w:cstheme="majorBidi"/>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E001C5" w:rsidRPr="002D1DD7">
        <w:rPr>
          <w:rFonts w:asciiTheme="majorBidi" w:hAnsiTheme="majorBidi" w:cstheme="majorBidi"/>
        </w:rPr>
      </w:r>
      <w:r w:rsidR="00E001C5"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96</w:t>
      </w:r>
      <w:r w:rsidR="00E001C5" w:rsidRPr="002D1DD7">
        <w:rPr>
          <w:rFonts w:asciiTheme="majorBidi" w:hAnsiTheme="majorBidi" w:cstheme="majorBidi"/>
        </w:rPr>
        <w:fldChar w:fldCharType="end"/>
      </w:r>
      <w:r w:rsidR="00E001C5" w:rsidRPr="002D1DD7">
        <w:rPr>
          <w:rFonts w:asciiTheme="majorBidi" w:hAnsiTheme="majorBidi" w:cstheme="majorBidi"/>
        </w:rPr>
        <w:t xml:space="preserve"> </w:t>
      </w:r>
      <w:r w:rsidR="00E001C5" w:rsidRPr="002D1DD7">
        <w:rPr>
          <w:rFonts w:asciiTheme="majorBidi" w:eastAsia="Times New Roman" w:hAnsiTheme="majorBidi" w:cstheme="majorBidi"/>
          <w:color w:val="000000"/>
        </w:rPr>
        <w:t xml:space="preserve">reported </w:t>
      </w:r>
      <w:r w:rsidRPr="002D1DD7">
        <w:t>regression equations for logOR CR vs. logHR PFS, with intercept -0.01 (where reported) and slopes ranging from 0.09 to 0.16.</w:t>
      </w:r>
    </w:p>
    <w:p w14:paraId="395F0871" w14:textId="77777777" w:rsidR="00AA1EC7" w:rsidRPr="002D1DD7" w:rsidRDefault="00AA1EC7" w:rsidP="00AA1EC7"/>
    <w:p w14:paraId="03F916AA" w14:textId="77777777" w:rsidR="00716DF9" w:rsidRPr="002D1DD7" w:rsidRDefault="00716DF9" w:rsidP="00716DF9">
      <w:pPr>
        <w:jc w:val="both"/>
        <w:rPr>
          <w:rFonts w:asciiTheme="majorBidi" w:hAnsiTheme="majorBidi" w:cstheme="majorBidi"/>
        </w:rPr>
        <w:sectPr w:rsidR="00716DF9" w:rsidRPr="002D1DD7">
          <w:pgSz w:w="11906" w:h="16838"/>
          <w:pgMar w:top="1440" w:right="1440" w:bottom="1440" w:left="1440" w:header="708" w:footer="708" w:gutter="0"/>
          <w:cols w:space="708"/>
          <w:docGrid w:linePitch="360"/>
        </w:sectPr>
      </w:pPr>
    </w:p>
    <w:p w14:paraId="05E71B47" w14:textId="739D1D42" w:rsidR="00716DF9" w:rsidRPr="002D1DD7" w:rsidRDefault="00716DF9" w:rsidP="00AA1EC7">
      <w:pPr>
        <w:pStyle w:val="Caption"/>
      </w:pPr>
      <w:bookmarkStart w:id="108" w:name="_Ref16785824"/>
      <w:bookmarkStart w:id="109" w:name="_Toc34033523"/>
      <w:r w:rsidRPr="002D1DD7">
        <w:lastRenderedPageBreak/>
        <w:t xml:space="preserve">Table </w:t>
      </w:r>
      <w:r w:rsidR="00C974E5">
        <w:fldChar w:fldCharType="begin"/>
      </w:r>
      <w:r w:rsidR="00C974E5">
        <w:instrText xml:space="preserve"> SEQ Table \* </w:instrText>
      </w:r>
      <w:r w:rsidR="00C974E5">
        <w:instrText xml:space="preserve">ARABIC </w:instrText>
      </w:r>
      <w:r w:rsidR="00C974E5">
        <w:fldChar w:fldCharType="separate"/>
      </w:r>
      <w:r w:rsidR="00C663A2">
        <w:rPr>
          <w:noProof/>
        </w:rPr>
        <w:t>9</w:t>
      </w:r>
      <w:r w:rsidR="00C974E5">
        <w:rPr>
          <w:noProof/>
        </w:rPr>
        <w:fldChar w:fldCharType="end"/>
      </w:r>
      <w:bookmarkEnd w:id="108"/>
      <w:r w:rsidRPr="002D1DD7">
        <w:t>: Regression equations for treatment effect (trial-level) associations</w:t>
      </w:r>
      <w:bookmarkEnd w:id="109"/>
    </w:p>
    <w:tbl>
      <w:tblPr>
        <w:tblW w:w="13788"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243"/>
        <w:gridCol w:w="2574"/>
        <w:gridCol w:w="1631"/>
        <w:gridCol w:w="956"/>
        <w:gridCol w:w="1273"/>
        <w:gridCol w:w="950"/>
        <w:gridCol w:w="743"/>
        <w:gridCol w:w="21"/>
        <w:gridCol w:w="1364"/>
        <w:gridCol w:w="1295"/>
        <w:gridCol w:w="975"/>
        <w:gridCol w:w="763"/>
      </w:tblGrid>
      <w:tr w:rsidR="00716DF9" w:rsidRPr="00AA1EC7" w14:paraId="706F2034" w14:textId="77777777" w:rsidTr="00F9728C">
        <w:trPr>
          <w:cantSplit/>
          <w:trHeight w:val="115"/>
          <w:tblHeader/>
        </w:trPr>
        <w:tc>
          <w:tcPr>
            <w:tcW w:w="1243" w:type="dxa"/>
            <w:vMerge w:val="restart"/>
            <w:tcMar>
              <w:left w:w="28" w:type="dxa"/>
              <w:right w:w="28" w:type="dxa"/>
            </w:tcMar>
          </w:tcPr>
          <w:p w14:paraId="0E0E2A05" w14:textId="77777777" w:rsidR="00716DF9" w:rsidRPr="00AA1EC7" w:rsidRDefault="00716DF9" w:rsidP="00AA1EC7">
            <w:pPr>
              <w:spacing w:after="0" w:line="240" w:lineRule="auto"/>
              <w:contextualSpacing/>
              <w:rPr>
                <w:rFonts w:cs="Times New Roman"/>
                <w:b/>
                <w:bCs/>
                <w:sz w:val="20"/>
                <w:szCs w:val="20"/>
              </w:rPr>
            </w:pPr>
            <w:r w:rsidRPr="00AA1EC7">
              <w:rPr>
                <w:rFonts w:cs="Times New Roman"/>
                <w:b/>
                <w:bCs/>
                <w:sz w:val="20"/>
                <w:szCs w:val="20"/>
              </w:rPr>
              <w:t>Surrogate relationship</w:t>
            </w:r>
          </w:p>
        </w:tc>
        <w:tc>
          <w:tcPr>
            <w:tcW w:w="2574" w:type="dxa"/>
            <w:vMerge w:val="restart"/>
            <w:shd w:val="clear" w:color="auto" w:fill="auto"/>
            <w:tcMar>
              <w:left w:w="28" w:type="dxa"/>
              <w:right w:w="28" w:type="dxa"/>
            </w:tcMar>
          </w:tcPr>
          <w:p w14:paraId="506EB045" w14:textId="77777777" w:rsidR="00716DF9" w:rsidRPr="00AA1EC7" w:rsidRDefault="00716DF9" w:rsidP="00AA1EC7">
            <w:pPr>
              <w:spacing w:after="0" w:line="240" w:lineRule="auto"/>
              <w:contextualSpacing/>
              <w:rPr>
                <w:rFonts w:cs="Times New Roman"/>
                <w:b/>
                <w:bCs/>
                <w:sz w:val="20"/>
                <w:szCs w:val="20"/>
              </w:rPr>
            </w:pPr>
            <w:r w:rsidRPr="00AA1EC7">
              <w:rPr>
                <w:rFonts w:cs="Times New Roman"/>
                <w:b/>
                <w:bCs/>
                <w:sz w:val="20"/>
                <w:szCs w:val="20"/>
              </w:rPr>
              <w:t>Cancer types and refs</w:t>
            </w:r>
          </w:p>
        </w:tc>
        <w:tc>
          <w:tcPr>
            <w:tcW w:w="1631" w:type="dxa"/>
            <w:vMerge w:val="restart"/>
            <w:tcMar>
              <w:left w:w="28" w:type="dxa"/>
              <w:right w:w="28" w:type="dxa"/>
            </w:tcMar>
          </w:tcPr>
          <w:p w14:paraId="416D3895"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Subgroup</w:t>
            </w:r>
          </w:p>
        </w:tc>
        <w:tc>
          <w:tcPr>
            <w:tcW w:w="3943" w:type="dxa"/>
            <w:gridSpan w:val="5"/>
            <w:shd w:val="clear" w:color="auto" w:fill="auto"/>
            <w:tcMar>
              <w:left w:w="28" w:type="dxa"/>
              <w:right w:w="28" w:type="dxa"/>
            </w:tcMar>
          </w:tcPr>
          <w:p w14:paraId="16208D17"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Based on difference in response</w:t>
            </w:r>
          </w:p>
        </w:tc>
        <w:tc>
          <w:tcPr>
            <w:tcW w:w="4397" w:type="dxa"/>
            <w:gridSpan w:val="4"/>
            <w:tcMar>
              <w:left w:w="28" w:type="dxa"/>
              <w:right w:w="28" w:type="dxa"/>
            </w:tcMar>
          </w:tcPr>
          <w:p w14:paraId="79D1607A"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Based on relative risk or odds ratio for response</w:t>
            </w:r>
          </w:p>
        </w:tc>
      </w:tr>
      <w:tr w:rsidR="00716DF9" w:rsidRPr="00AA1EC7" w14:paraId="29EA698A" w14:textId="77777777" w:rsidTr="00F9728C">
        <w:trPr>
          <w:cantSplit/>
          <w:trHeight w:val="60"/>
          <w:tblHeader/>
        </w:trPr>
        <w:tc>
          <w:tcPr>
            <w:tcW w:w="1243" w:type="dxa"/>
            <w:vMerge/>
            <w:tcBorders>
              <w:bottom w:val="single" w:sz="12" w:space="0" w:color="auto"/>
            </w:tcBorders>
            <w:tcMar>
              <w:left w:w="28" w:type="dxa"/>
              <w:right w:w="28" w:type="dxa"/>
            </w:tcMar>
          </w:tcPr>
          <w:p w14:paraId="72335CB4" w14:textId="77777777" w:rsidR="00716DF9" w:rsidRPr="00AA1EC7" w:rsidRDefault="00716DF9" w:rsidP="00AA1EC7">
            <w:pPr>
              <w:spacing w:after="0" w:line="240" w:lineRule="auto"/>
              <w:contextualSpacing/>
              <w:rPr>
                <w:rFonts w:cs="Times New Roman"/>
                <w:b/>
                <w:bCs/>
                <w:sz w:val="20"/>
                <w:szCs w:val="20"/>
              </w:rPr>
            </w:pPr>
          </w:p>
        </w:tc>
        <w:tc>
          <w:tcPr>
            <w:tcW w:w="2574" w:type="dxa"/>
            <w:vMerge/>
            <w:tcBorders>
              <w:bottom w:val="single" w:sz="12" w:space="0" w:color="auto"/>
            </w:tcBorders>
            <w:shd w:val="clear" w:color="auto" w:fill="auto"/>
            <w:tcMar>
              <w:left w:w="28" w:type="dxa"/>
              <w:right w:w="28" w:type="dxa"/>
            </w:tcMar>
          </w:tcPr>
          <w:p w14:paraId="3778624C" w14:textId="77777777" w:rsidR="00716DF9" w:rsidRPr="00AA1EC7" w:rsidRDefault="00716DF9" w:rsidP="00AA1EC7">
            <w:pPr>
              <w:spacing w:after="0" w:line="240" w:lineRule="auto"/>
              <w:contextualSpacing/>
              <w:rPr>
                <w:rFonts w:eastAsia="Times New Roman" w:cs="Times New Roman"/>
                <w:b/>
                <w:bCs/>
                <w:color w:val="000000"/>
                <w:sz w:val="20"/>
                <w:szCs w:val="20"/>
              </w:rPr>
            </w:pPr>
          </w:p>
        </w:tc>
        <w:tc>
          <w:tcPr>
            <w:tcW w:w="1631" w:type="dxa"/>
            <w:vMerge/>
            <w:tcBorders>
              <w:bottom w:val="single" w:sz="12" w:space="0" w:color="auto"/>
            </w:tcBorders>
            <w:tcMar>
              <w:left w:w="28" w:type="dxa"/>
              <w:right w:w="28" w:type="dxa"/>
            </w:tcMar>
          </w:tcPr>
          <w:p w14:paraId="205FCFA8" w14:textId="77777777" w:rsidR="00716DF9" w:rsidRPr="00AA1EC7" w:rsidRDefault="00716DF9" w:rsidP="00AA1EC7">
            <w:pPr>
              <w:spacing w:after="0" w:line="240" w:lineRule="auto"/>
              <w:contextualSpacing/>
              <w:rPr>
                <w:rFonts w:eastAsia="Times New Roman" w:cs="Times New Roman"/>
                <w:b/>
                <w:bCs/>
                <w:color w:val="000000"/>
                <w:sz w:val="20"/>
                <w:szCs w:val="20"/>
              </w:rPr>
            </w:pPr>
          </w:p>
        </w:tc>
        <w:tc>
          <w:tcPr>
            <w:tcW w:w="956" w:type="dxa"/>
            <w:tcBorders>
              <w:bottom w:val="single" w:sz="12" w:space="0" w:color="auto"/>
            </w:tcBorders>
            <w:shd w:val="clear" w:color="auto" w:fill="auto"/>
            <w:tcMar>
              <w:left w:w="28" w:type="dxa"/>
              <w:right w:w="28" w:type="dxa"/>
            </w:tcMar>
          </w:tcPr>
          <w:p w14:paraId="16AE35E7"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Surrogate</w:t>
            </w:r>
          </w:p>
        </w:tc>
        <w:tc>
          <w:tcPr>
            <w:tcW w:w="1273" w:type="dxa"/>
            <w:tcBorders>
              <w:bottom w:val="single" w:sz="12" w:space="0" w:color="auto"/>
            </w:tcBorders>
            <w:shd w:val="clear" w:color="auto" w:fill="auto"/>
            <w:tcMar>
              <w:left w:w="28" w:type="dxa"/>
              <w:right w:w="28" w:type="dxa"/>
            </w:tcMar>
          </w:tcPr>
          <w:p w14:paraId="3456988A"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Final</w:t>
            </w:r>
          </w:p>
        </w:tc>
        <w:tc>
          <w:tcPr>
            <w:tcW w:w="950" w:type="dxa"/>
            <w:tcBorders>
              <w:bottom w:val="single" w:sz="12" w:space="0" w:color="auto"/>
            </w:tcBorders>
            <w:shd w:val="clear" w:color="auto" w:fill="auto"/>
            <w:tcMar>
              <w:left w:w="28" w:type="dxa"/>
              <w:right w:w="28" w:type="dxa"/>
            </w:tcMar>
          </w:tcPr>
          <w:p w14:paraId="7926B3C1"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Intercept</w:t>
            </w:r>
          </w:p>
        </w:tc>
        <w:tc>
          <w:tcPr>
            <w:tcW w:w="743" w:type="dxa"/>
            <w:tcBorders>
              <w:bottom w:val="single" w:sz="12" w:space="0" w:color="auto"/>
            </w:tcBorders>
            <w:shd w:val="clear" w:color="auto" w:fill="auto"/>
            <w:tcMar>
              <w:left w:w="28" w:type="dxa"/>
              <w:right w:w="28" w:type="dxa"/>
            </w:tcMar>
          </w:tcPr>
          <w:p w14:paraId="5CCAFA35"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Slope</w:t>
            </w:r>
          </w:p>
        </w:tc>
        <w:tc>
          <w:tcPr>
            <w:tcW w:w="1385" w:type="dxa"/>
            <w:gridSpan w:val="2"/>
            <w:tcBorders>
              <w:bottom w:val="single" w:sz="12" w:space="0" w:color="auto"/>
            </w:tcBorders>
            <w:tcMar>
              <w:left w:w="28" w:type="dxa"/>
              <w:right w:w="28" w:type="dxa"/>
            </w:tcMar>
          </w:tcPr>
          <w:p w14:paraId="71EDB046"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Surrogate</w:t>
            </w:r>
          </w:p>
        </w:tc>
        <w:tc>
          <w:tcPr>
            <w:tcW w:w="1295" w:type="dxa"/>
            <w:tcBorders>
              <w:bottom w:val="single" w:sz="12" w:space="0" w:color="auto"/>
            </w:tcBorders>
            <w:tcMar>
              <w:left w:w="28" w:type="dxa"/>
              <w:right w:w="28" w:type="dxa"/>
            </w:tcMar>
          </w:tcPr>
          <w:p w14:paraId="46905248"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Final</w:t>
            </w:r>
          </w:p>
        </w:tc>
        <w:tc>
          <w:tcPr>
            <w:tcW w:w="975" w:type="dxa"/>
            <w:tcBorders>
              <w:bottom w:val="single" w:sz="12" w:space="0" w:color="auto"/>
            </w:tcBorders>
            <w:tcMar>
              <w:left w:w="28" w:type="dxa"/>
              <w:right w:w="28" w:type="dxa"/>
            </w:tcMar>
          </w:tcPr>
          <w:p w14:paraId="29B180E1"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Intercept</w:t>
            </w:r>
          </w:p>
        </w:tc>
        <w:tc>
          <w:tcPr>
            <w:tcW w:w="763" w:type="dxa"/>
            <w:tcBorders>
              <w:bottom w:val="single" w:sz="12" w:space="0" w:color="auto"/>
            </w:tcBorders>
            <w:tcMar>
              <w:left w:w="28" w:type="dxa"/>
              <w:right w:w="28" w:type="dxa"/>
            </w:tcMar>
          </w:tcPr>
          <w:p w14:paraId="19AA00B9" w14:textId="77777777" w:rsidR="00716DF9" w:rsidRPr="00AA1EC7" w:rsidRDefault="00716DF9" w:rsidP="00AA1EC7">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Slope</w:t>
            </w:r>
          </w:p>
        </w:tc>
      </w:tr>
      <w:tr w:rsidR="00F9728C" w:rsidRPr="00AA1EC7" w14:paraId="0E31C556" w14:textId="77777777" w:rsidTr="00F9728C">
        <w:trPr>
          <w:cantSplit/>
          <w:trHeight w:val="70"/>
        </w:trPr>
        <w:tc>
          <w:tcPr>
            <w:tcW w:w="1243" w:type="dxa"/>
            <w:tcBorders>
              <w:top w:val="single" w:sz="12" w:space="0" w:color="auto"/>
              <w:bottom w:val="single" w:sz="8" w:space="0" w:color="auto"/>
            </w:tcBorders>
            <w:tcMar>
              <w:left w:w="28" w:type="dxa"/>
              <w:right w:w="28" w:type="dxa"/>
            </w:tcMar>
          </w:tcPr>
          <w:p w14:paraId="20DF8CAE" w14:textId="025DA0AB" w:rsidR="00F9728C" w:rsidRPr="00AA1EC7" w:rsidRDefault="00F9728C" w:rsidP="00F9728C">
            <w:pPr>
              <w:spacing w:after="0" w:line="240" w:lineRule="auto"/>
              <w:contextualSpacing/>
              <w:rPr>
                <w:rFonts w:eastAsia="Times New Roman" w:cs="Times New Roman"/>
                <w:b/>
                <w:bCs/>
                <w:color w:val="000000"/>
                <w:sz w:val="20"/>
                <w:szCs w:val="20"/>
              </w:rPr>
            </w:pPr>
            <w:r w:rsidRPr="00AA1EC7">
              <w:rPr>
                <w:rFonts w:eastAsia="Times New Roman" w:cs="Times New Roman"/>
                <w:b/>
                <w:bCs/>
                <w:color w:val="000000"/>
                <w:sz w:val="20"/>
                <w:szCs w:val="20"/>
              </w:rPr>
              <w:t>ORR to PFS</w:t>
            </w:r>
          </w:p>
        </w:tc>
        <w:tc>
          <w:tcPr>
            <w:tcW w:w="2574" w:type="dxa"/>
            <w:tcBorders>
              <w:top w:val="single" w:sz="12" w:space="0" w:color="auto"/>
              <w:bottom w:val="single" w:sz="8" w:space="0" w:color="auto"/>
            </w:tcBorders>
            <w:shd w:val="clear" w:color="auto" w:fill="auto"/>
            <w:tcMar>
              <w:left w:w="28" w:type="dxa"/>
              <w:right w:w="28" w:type="dxa"/>
            </w:tcMar>
          </w:tcPr>
          <w:p w14:paraId="3B24B5DE" w14:textId="0EF12D87"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(NSCLC)</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1631" w:type="dxa"/>
            <w:tcBorders>
              <w:top w:val="single" w:sz="12" w:space="0" w:color="auto"/>
              <w:bottom w:val="single" w:sz="8" w:space="0" w:color="auto"/>
            </w:tcBorders>
            <w:tcMar>
              <w:left w:w="28" w:type="dxa"/>
              <w:right w:w="28" w:type="dxa"/>
            </w:tcMar>
          </w:tcPr>
          <w:p w14:paraId="0A61EA8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12" w:space="0" w:color="auto"/>
              <w:bottom w:val="single" w:sz="8" w:space="0" w:color="auto"/>
            </w:tcBorders>
            <w:shd w:val="clear" w:color="auto" w:fill="auto"/>
            <w:tcMar>
              <w:left w:w="28" w:type="dxa"/>
              <w:right w:w="28" w:type="dxa"/>
            </w:tcMar>
          </w:tcPr>
          <w:p w14:paraId="696E1D12" w14:textId="033B23CE"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12" w:space="0" w:color="auto"/>
              <w:bottom w:val="single" w:sz="8" w:space="0" w:color="auto"/>
            </w:tcBorders>
            <w:shd w:val="clear" w:color="auto" w:fill="auto"/>
            <w:tcMar>
              <w:left w:w="28" w:type="dxa"/>
              <w:right w:w="28" w:type="dxa"/>
            </w:tcMar>
          </w:tcPr>
          <w:p w14:paraId="405E1CF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PFS</w:t>
            </w:r>
          </w:p>
        </w:tc>
        <w:tc>
          <w:tcPr>
            <w:tcW w:w="950" w:type="dxa"/>
            <w:tcBorders>
              <w:top w:val="single" w:sz="12" w:space="0" w:color="auto"/>
              <w:bottom w:val="single" w:sz="8" w:space="0" w:color="auto"/>
            </w:tcBorders>
            <w:shd w:val="clear" w:color="auto" w:fill="auto"/>
            <w:tcMar>
              <w:left w:w="28" w:type="dxa"/>
              <w:right w:w="28" w:type="dxa"/>
            </w:tcMar>
          </w:tcPr>
          <w:p w14:paraId="75894ED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12" w:space="0" w:color="auto"/>
              <w:bottom w:val="single" w:sz="8" w:space="0" w:color="auto"/>
            </w:tcBorders>
            <w:shd w:val="clear" w:color="auto" w:fill="auto"/>
            <w:tcMar>
              <w:left w:w="28" w:type="dxa"/>
              <w:right w:w="28" w:type="dxa"/>
            </w:tcMar>
          </w:tcPr>
          <w:p w14:paraId="2FA2B9FE"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-0.02</w:t>
            </w:r>
          </w:p>
        </w:tc>
        <w:tc>
          <w:tcPr>
            <w:tcW w:w="1385" w:type="dxa"/>
            <w:gridSpan w:val="2"/>
            <w:tcBorders>
              <w:top w:val="single" w:sz="12" w:space="0" w:color="auto"/>
              <w:bottom w:val="single" w:sz="8" w:space="0" w:color="auto"/>
            </w:tcBorders>
            <w:tcMar>
              <w:left w:w="28" w:type="dxa"/>
              <w:right w:w="28" w:type="dxa"/>
            </w:tcMar>
          </w:tcPr>
          <w:p w14:paraId="10C6132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12" w:space="0" w:color="auto"/>
              <w:bottom w:val="single" w:sz="8" w:space="0" w:color="auto"/>
            </w:tcBorders>
            <w:tcMar>
              <w:left w:w="28" w:type="dxa"/>
              <w:right w:w="28" w:type="dxa"/>
            </w:tcMar>
          </w:tcPr>
          <w:p w14:paraId="19D881E7"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12" w:space="0" w:color="auto"/>
              <w:bottom w:val="single" w:sz="8" w:space="0" w:color="auto"/>
            </w:tcBorders>
            <w:tcMar>
              <w:left w:w="28" w:type="dxa"/>
              <w:right w:w="28" w:type="dxa"/>
            </w:tcMar>
          </w:tcPr>
          <w:p w14:paraId="21FC352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12" w:space="0" w:color="auto"/>
              <w:bottom w:val="single" w:sz="8" w:space="0" w:color="auto"/>
            </w:tcBorders>
            <w:tcMar>
              <w:left w:w="28" w:type="dxa"/>
              <w:right w:w="28" w:type="dxa"/>
            </w:tcMar>
          </w:tcPr>
          <w:p w14:paraId="638F5EB9"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3B721CA3" w14:textId="77777777" w:rsidTr="00F9728C">
        <w:trPr>
          <w:cantSplit/>
          <w:trHeight w:val="70"/>
        </w:trPr>
        <w:tc>
          <w:tcPr>
            <w:tcW w:w="1243" w:type="dxa"/>
            <w:tcBorders>
              <w:top w:val="single" w:sz="8" w:space="0" w:color="auto"/>
              <w:bottom w:val="single" w:sz="8" w:space="0" w:color="auto"/>
            </w:tcBorders>
            <w:tcMar>
              <w:left w:w="28" w:type="dxa"/>
              <w:right w:w="28" w:type="dxa"/>
            </w:tcMar>
          </w:tcPr>
          <w:p w14:paraId="266C3DD3"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218C895E" w14:textId="618870CD"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277E9A17"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3EEA2E03" w14:textId="0ED937EF"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38F3F1C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PFS</w:t>
            </w:r>
          </w:p>
        </w:tc>
        <w:tc>
          <w:tcPr>
            <w:tcW w:w="950" w:type="dxa"/>
            <w:tcBorders>
              <w:top w:val="single" w:sz="8" w:space="0" w:color="auto"/>
              <w:bottom w:val="single" w:sz="8" w:space="0" w:color="auto"/>
            </w:tcBorders>
            <w:shd w:val="clear" w:color="auto" w:fill="auto"/>
            <w:tcMar>
              <w:left w:w="28" w:type="dxa"/>
              <w:right w:w="28" w:type="dxa"/>
            </w:tcMar>
          </w:tcPr>
          <w:p w14:paraId="018EF3C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8" w:space="0" w:color="auto"/>
              <w:bottom w:val="single" w:sz="8" w:space="0" w:color="auto"/>
            </w:tcBorders>
            <w:shd w:val="clear" w:color="auto" w:fill="auto"/>
            <w:tcMar>
              <w:left w:w="28" w:type="dxa"/>
              <w:right w:w="28" w:type="dxa"/>
            </w:tcMar>
          </w:tcPr>
          <w:p w14:paraId="6429D6C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-0.04</w:t>
            </w:r>
          </w:p>
        </w:tc>
        <w:tc>
          <w:tcPr>
            <w:tcW w:w="1385" w:type="dxa"/>
            <w:gridSpan w:val="2"/>
            <w:tcBorders>
              <w:top w:val="single" w:sz="8" w:space="0" w:color="auto"/>
              <w:bottom w:val="single" w:sz="8" w:space="0" w:color="auto"/>
            </w:tcBorders>
            <w:tcMar>
              <w:left w:w="28" w:type="dxa"/>
              <w:right w:w="28" w:type="dxa"/>
            </w:tcMar>
          </w:tcPr>
          <w:p w14:paraId="34217BD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0397D8F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736B65FA"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7A341763"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232D4B8D"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23C173CE"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4F847077" w14:textId="48C0AC01"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Various</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26DB5BC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485C8CE7" w14:textId="3E4371BE"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219648D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PFS</w:t>
            </w:r>
          </w:p>
        </w:tc>
        <w:tc>
          <w:tcPr>
            <w:tcW w:w="950" w:type="dxa"/>
            <w:tcBorders>
              <w:top w:val="single" w:sz="8" w:space="0" w:color="auto"/>
              <w:bottom w:val="single" w:sz="8" w:space="0" w:color="auto"/>
            </w:tcBorders>
            <w:shd w:val="clear" w:color="auto" w:fill="auto"/>
            <w:tcMar>
              <w:left w:w="28" w:type="dxa"/>
              <w:right w:w="28" w:type="dxa"/>
            </w:tcMar>
          </w:tcPr>
          <w:p w14:paraId="1D745E0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8" w:space="0" w:color="auto"/>
              <w:bottom w:val="single" w:sz="8" w:space="0" w:color="auto"/>
            </w:tcBorders>
            <w:shd w:val="clear" w:color="auto" w:fill="auto"/>
            <w:tcMar>
              <w:left w:w="28" w:type="dxa"/>
              <w:right w:w="28" w:type="dxa"/>
            </w:tcMar>
          </w:tcPr>
          <w:p w14:paraId="14482629"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-0.02</w:t>
            </w:r>
          </w:p>
        </w:tc>
        <w:tc>
          <w:tcPr>
            <w:tcW w:w="1385" w:type="dxa"/>
            <w:gridSpan w:val="2"/>
            <w:tcBorders>
              <w:top w:val="single" w:sz="8" w:space="0" w:color="auto"/>
              <w:bottom w:val="single" w:sz="8" w:space="0" w:color="auto"/>
            </w:tcBorders>
            <w:tcMar>
              <w:left w:w="28" w:type="dxa"/>
              <w:right w:w="28" w:type="dxa"/>
            </w:tcMar>
          </w:tcPr>
          <w:p w14:paraId="2EECB0C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4946EA3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4093CF4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01833FA5"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32F72F0F" w14:textId="77777777" w:rsidTr="00F9728C">
        <w:trPr>
          <w:cantSplit/>
          <w:trHeight w:val="70"/>
        </w:trPr>
        <w:tc>
          <w:tcPr>
            <w:tcW w:w="1243" w:type="dxa"/>
            <w:tcBorders>
              <w:top w:val="single" w:sz="8" w:space="0" w:color="auto"/>
              <w:bottom w:val="single" w:sz="8" w:space="0" w:color="auto"/>
            </w:tcBorders>
            <w:tcMar>
              <w:left w:w="28" w:type="dxa"/>
              <w:right w:w="28" w:type="dxa"/>
            </w:tcMar>
          </w:tcPr>
          <w:p w14:paraId="1BB812F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7FBBD87E" w14:textId="2A2EC4F3"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NiwgOTM8L3N0eWxlPjwvRGlzcGxheVRleHQ+PHJlY29yZD48cmVjLW51bWJlcj40OTY8L3JlYy1u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U0M9WSZhbXA7TkVXUz1OJmFtcDtQQUdFPWZ1bGx0ZXh0JmFtcDtEPW1lZDExJmFtcDtBTj0yNTg2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NiwgOTM8L3N0eWxlPjwvRGlzcGxheVRleHQ+PHJlY29yZD48cmVjLW51bWJlcj40OTY8L3JlYy1u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U0M9WSZhbXA7TkVXUz1OJmFtcDtQQUdFPWZ1bGx0ZXh0JmFtcDtEPW1lZDExJmFtcDtBTj0yNTg2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86, 93</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646D44A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4EEFD26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61676613"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56C3CAA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304179A0"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5AE3C19F" w14:textId="26A85BDD"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ORR</w:t>
            </w:r>
          </w:p>
        </w:tc>
        <w:tc>
          <w:tcPr>
            <w:tcW w:w="1295" w:type="dxa"/>
            <w:tcBorders>
              <w:top w:val="single" w:sz="8" w:space="0" w:color="auto"/>
              <w:bottom w:val="single" w:sz="8" w:space="0" w:color="auto"/>
            </w:tcBorders>
            <w:tcMar>
              <w:left w:w="28" w:type="dxa"/>
              <w:right w:w="28" w:type="dxa"/>
            </w:tcMar>
          </w:tcPr>
          <w:p w14:paraId="6E87CA13"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PFS</w:t>
            </w:r>
          </w:p>
        </w:tc>
        <w:tc>
          <w:tcPr>
            <w:tcW w:w="975" w:type="dxa"/>
            <w:tcBorders>
              <w:top w:val="single" w:sz="8" w:space="0" w:color="auto"/>
              <w:bottom w:val="single" w:sz="8" w:space="0" w:color="auto"/>
            </w:tcBorders>
            <w:tcMar>
              <w:left w:w="28" w:type="dxa"/>
              <w:right w:w="28" w:type="dxa"/>
            </w:tcMar>
          </w:tcPr>
          <w:p w14:paraId="6A60288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-0.05</w:t>
            </w:r>
          </w:p>
        </w:tc>
        <w:tc>
          <w:tcPr>
            <w:tcW w:w="763" w:type="dxa"/>
            <w:tcBorders>
              <w:top w:val="single" w:sz="8" w:space="0" w:color="auto"/>
              <w:bottom w:val="single" w:sz="8" w:space="0" w:color="auto"/>
            </w:tcBorders>
            <w:tcMar>
              <w:left w:w="28" w:type="dxa"/>
              <w:right w:w="28" w:type="dxa"/>
            </w:tcMar>
          </w:tcPr>
          <w:p w14:paraId="05FF6CA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-0.32</w:t>
            </w:r>
          </w:p>
        </w:tc>
      </w:tr>
      <w:tr w:rsidR="00F9728C" w:rsidRPr="00AA1EC7" w14:paraId="0717AD39" w14:textId="77777777" w:rsidTr="00F9728C">
        <w:trPr>
          <w:cantSplit/>
          <w:trHeight w:val="70"/>
        </w:trPr>
        <w:tc>
          <w:tcPr>
            <w:tcW w:w="1243" w:type="dxa"/>
            <w:tcBorders>
              <w:top w:val="single" w:sz="8" w:space="0" w:color="auto"/>
              <w:bottom w:val="single" w:sz="8" w:space="0" w:color="auto"/>
            </w:tcBorders>
            <w:tcMar>
              <w:left w:w="28" w:type="dxa"/>
              <w:right w:w="28" w:type="dxa"/>
            </w:tcMar>
          </w:tcPr>
          <w:p w14:paraId="4FD532BB"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4108196F" w14:textId="0CC9C5C7"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Breast</w:t>
            </w:r>
            <w:r w:rsidRPr="002D1DD7">
              <w:rPr>
                <w:rFonts w:asciiTheme="majorBidi" w:eastAsia="Times New Roman" w:hAnsiTheme="majorBidi" w:cstheme="majorBidi"/>
                <w:color w:val="000000"/>
                <w:sz w:val="20"/>
                <w:szCs w:val="20"/>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84</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6EC48792"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0491DA7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6A7796FE"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08E8873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5B97DC8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6BF45D44" w14:textId="23D8F71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ORR</w:t>
            </w:r>
          </w:p>
        </w:tc>
        <w:tc>
          <w:tcPr>
            <w:tcW w:w="1295" w:type="dxa"/>
            <w:tcBorders>
              <w:top w:val="single" w:sz="8" w:space="0" w:color="auto"/>
              <w:bottom w:val="single" w:sz="8" w:space="0" w:color="auto"/>
            </w:tcBorders>
            <w:tcMar>
              <w:left w:w="28" w:type="dxa"/>
              <w:right w:w="28" w:type="dxa"/>
            </w:tcMar>
          </w:tcPr>
          <w:p w14:paraId="18AAF05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PFS</w:t>
            </w:r>
          </w:p>
        </w:tc>
        <w:tc>
          <w:tcPr>
            <w:tcW w:w="975" w:type="dxa"/>
            <w:tcBorders>
              <w:top w:val="single" w:sz="8" w:space="0" w:color="auto"/>
              <w:bottom w:val="single" w:sz="8" w:space="0" w:color="auto"/>
            </w:tcBorders>
            <w:tcMar>
              <w:left w:w="28" w:type="dxa"/>
              <w:right w:w="28" w:type="dxa"/>
            </w:tcMar>
          </w:tcPr>
          <w:p w14:paraId="70D21B94"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0.10</w:t>
            </w:r>
          </w:p>
        </w:tc>
        <w:tc>
          <w:tcPr>
            <w:tcW w:w="763" w:type="dxa"/>
            <w:tcBorders>
              <w:top w:val="single" w:sz="8" w:space="0" w:color="auto"/>
              <w:bottom w:val="single" w:sz="8" w:space="0" w:color="auto"/>
            </w:tcBorders>
            <w:tcMar>
              <w:left w:w="28" w:type="dxa"/>
              <w:right w:w="28" w:type="dxa"/>
            </w:tcMar>
          </w:tcPr>
          <w:p w14:paraId="4778F9E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0.50</w:t>
            </w:r>
          </w:p>
        </w:tc>
      </w:tr>
      <w:tr w:rsidR="00F9728C" w:rsidRPr="00AA1EC7" w14:paraId="29C27269" w14:textId="77777777" w:rsidTr="00F9728C">
        <w:trPr>
          <w:cantSplit/>
          <w:trHeight w:val="255"/>
        </w:trPr>
        <w:tc>
          <w:tcPr>
            <w:tcW w:w="1243" w:type="dxa"/>
            <w:tcBorders>
              <w:top w:val="single" w:sz="8" w:space="0" w:color="auto"/>
              <w:bottom w:val="single" w:sz="12" w:space="0" w:color="auto"/>
            </w:tcBorders>
            <w:tcMar>
              <w:left w:w="28" w:type="dxa"/>
              <w:right w:w="28" w:type="dxa"/>
            </w:tcMar>
          </w:tcPr>
          <w:p w14:paraId="325D0DD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2574" w:type="dxa"/>
            <w:tcBorders>
              <w:top w:val="single" w:sz="8" w:space="0" w:color="auto"/>
              <w:bottom w:val="single" w:sz="12" w:space="0" w:color="auto"/>
            </w:tcBorders>
            <w:shd w:val="clear" w:color="auto" w:fill="auto"/>
            <w:tcMar>
              <w:left w:w="28" w:type="dxa"/>
              <w:right w:w="28" w:type="dxa"/>
            </w:tcMar>
          </w:tcPr>
          <w:p w14:paraId="36E7E7EA" w14:textId="6882D82D"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Various (immuno)</w:t>
            </w:r>
            <w:r w:rsidRPr="002D1DD7">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12" w:space="0" w:color="auto"/>
            </w:tcBorders>
            <w:tcMar>
              <w:left w:w="28" w:type="dxa"/>
              <w:right w:w="28" w:type="dxa"/>
            </w:tcMar>
          </w:tcPr>
          <w:p w14:paraId="79B8BF7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12" w:space="0" w:color="auto"/>
            </w:tcBorders>
            <w:shd w:val="clear" w:color="auto" w:fill="auto"/>
            <w:tcMar>
              <w:left w:w="28" w:type="dxa"/>
              <w:right w:w="28" w:type="dxa"/>
            </w:tcMar>
          </w:tcPr>
          <w:p w14:paraId="3F953E2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12" w:space="0" w:color="auto"/>
            </w:tcBorders>
            <w:shd w:val="clear" w:color="auto" w:fill="auto"/>
            <w:tcMar>
              <w:left w:w="28" w:type="dxa"/>
              <w:right w:w="28" w:type="dxa"/>
            </w:tcMar>
          </w:tcPr>
          <w:p w14:paraId="5B7EFC0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12" w:space="0" w:color="auto"/>
            </w:tcBorders>
            <w:shd w:val="clear" w:color="auto" w:fill="auto"/>
            <w:tcMar>
              <w:left w:w="28" w:type="dxa"/>
              <w:right w:w="28" w:type="dxa"/>
            </w:tcMar>
          </w:tcPr>
          <w:p w14:paraId="3197241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12" w:space="0" w:color="auto"/>
            </w:tcBorders>
            <w:shd w:val="clear" w:color="auto" w:fill="auto"/>
            <w:tcMar>
              <w:left w:w="28" w:type="dxa"/>
              <w:right w:w="28" w:type="dxa"/>
            </w:tcMar>
          </w:tcPr>
          <w:p w14:paraId="0E50126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12" w:space="0" w:color="auto"/>
            </w:tcBorders>
            <w:tcMar>
              <w:left w:w="28" w:type="dxa"/>
              <w:right w:w="28" w:type="dxa"/>
            </w:tcMar>
          </w:tcPr>
          <w:p w14:paraId="30DF7614" w14:textId="558C03F9"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ORR</w:t>
            </w:r>
          </w:p>
        </w:tc>
        <w:tc>
          <w:tcPr>
            <w:tcW w:w="1295" w:type="dxa"/>
            <w:tcBorders>
              <w:top w:val="single" w:sz="8" w:space="0" w:color="auto"/>
              <w:bottom w:val="single" w:sz="12" w:space="0" w:color="auto"/>
            </w:tcBorders>
            <w:tcMar>
              <w:left w:w="28" w:type="dxa"/>
              <w:right w:w="28" w:type="dxa"/>
            </w:tcMar>
          </w:tcPr>
          <w:p w14:paraId="07C1A3A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PFS</w:t>
            </w:r>
          </w:p>
        </w:tc>
        <w:tc>
          <w:tcPr>
            <w:tcW w:w="975" w:type="dxa"/>
            <w:tcBorders>
              <w:top w:val="single" w:sz="8" w:space="0" w:color="auto"/>
              <w:bottom w:val="single" w:sz="12" w:space="0" w:color="auto"/>
            </w:tcBorders>
            <w:tcMar>
              <w:left w:w="28" w:type="dxa"/>
              <w:right w:w="28" w:type="dxa"/>
            </w:tcMar>
          </w:tcPr>
          <w:p w14:paraId="2AAEFA1B"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-0.13</w:t>
            </w:r>
          </w:p>
        </w:tc>
        <w:tc>
          <w:tcPr>
            <w:tcW w:w="763" w:type="dxa"/>
            <w:tcBorders>
              <w:top w:val="single" w:sz="8" w:space="0" w:color="auto"/>
              <w:bottom w:val="single" w:sz="12" w:space="0" w:color="auto"/>
            </w:tcBorders>
            <w:tcMar>
              <w:left w:w="28" w:type="dxa"/>
              <w:right w:w="28" w:type="dxa"/>
            </w:tcMar>
          </w:tcPr>
          <w:p w14:paraId="15BDB48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-0.24</w:t>
            </w:r>
          </w:p>
        </w:tc>
      </w:tr>
      <w:tr w:rsidR="00F9728C" w:rsidRPr="00AA1EC7" w14:paraId="7B03751D" w14:textId="77777777" w:rsidTr="00F9728C">
        <w:trPr>
          <w:cantSplit/>
          <w:trHeight w:val="255"/>
        </w:trPr>
        <w:tc>
          <w:tcPr>
            <w:tcW w:w="1243" w:type="dxa"/>
            <w:tcBorders>
              <w:top w:val="single" w:sz="12" w:space="0" w:color="auto"/>
              <w:bottom w:val="single" w:sz="8" w:space="0" w:color="auto"/>
            </w:tcBorders>
            <w:tcMar>
              <w:left w:w="28" w:type="dxa"/>
              <w:right w:w="28" w:type="dxa"/>
            </w:tcMar>
          </w:tcPr>
          <w:p w14:paraId="23ABECCE" w14:textId="5CE97505"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b/>
                <w:bCs/>
                <w:color w:val="000000"/>
                <w:sz w:val="20"/>
                <w:szCs w:val="20"/>
              </w:rPr>
              <w:t>ORR to OS</w:t>
            </w:r>
          </w:p>
        </w:tc>
        <w:tc>
          <w:tcPr>
            <w:tcW w:w="2574" w:type="dxa"/>
            <w:tcBorders>
              <w:top w:val="single" w:sz="12" w:space="0" w:color="auto"/>
              <w:bottom w:val="single" w:sz="8" w:space="0" w:color="auto"/>
            </w:tcBorders>
            <w:shd w:val="clear" w:color="auto" w:fill="auto"/>
            <w:tcMar>
              <w:left w:w="28" w:type="dxa"/>
              <w:right w:w="28" w:type="dxa"/>
            </w:tcMar>
          </w:tcPr>
          <w:p w14:paraId="15A85954" w14:textId="5ED88ED5"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91</w:t>
            </w:r>
            <w:r w:rsidRPr="002D1DD7">
              <w:rPr>
                <w:rFonts w:asciiTheme="majorBidi" w:eastAsia="Times New Roman" w:hAnsiTheme="majorBidi" w:cstheme="majorBidi"/>
                <w:color w:val="000000"/>
                <w:sz w:val="20"/>
                <w:szCs w:val="20"/>
              </w:rPr>
              <w:fldChar w:fldCharType="end"/>
            </w:r>
          </w:p>
        </w:tc>
        <w:tc>
          <w:tcPr>
            <w:tcW w:w="1631" w:type="dxa"/>
            <w:tcBorders>
              <w:top w:val="single" w:sz="12" w:space="0" w:color="auto"/>
              <w:bottom w:val="single" w:sz="8" w:space="0" w:color="auto"/>
            </w:tcBorders>
            <w:tcMar>
              <w:left w:w="28" w:type="dxa"/>
              <w:right w:w="28" w:type="dxa"/>
            </w:tcMar>
          </w:tcPr>
          <w:p w14:paraId="7677B1B8" w14:textId="77777777" w:rsidR="00F9728C" w:rsidRPr="00AA1EC7" w:rsidRDefault="00F9728C" w:rsidP="00F9728C">
            <w:pPr>
              <w:spacing w:after="0" w:line="240" w:lineRule="auto"/>
              <w:contextualSpacing/>
              <w:rPr>
                <w:rFonts w:eastAsia="Times New Roman" w:cs="Times New Roman"/>
                <w:color w:val="000000"/>
                <w:sz w:val="20"/>
                <w:szCs w:val="20"/>
                <w:lang w:val="it-IT"/>
              </w:rPr>
            </w:pPr>
            <w:r w:rsidRPr="00AA1EC7">
              <w:rPr>
                <w:rFonts w:eastAsia="Times New Roman" w:cs="Times New Roman"/>
                <w:color w:val="000000"/>
                <w:sz w:val="20"/>
                <w:szCs w:val="20"/>
                <w:lang w:val="it-IT"/>
              </w:rPr>
              <w:t>- All</w:t>
            </w:r>
          </w:p>
          <w:p w14:paraId="68E9E79D" w14:textId="77777777" w:rsidR="00F9728C" w:rsidRPr="00AA1EC7" w:rsidRDefault="00F9728C" w:rsidP="00F9728C">
            <w:pPr>
              <w:spacing w:after="0" w:line="240" w:lineRule="auto"/>
              <w:contextualSpacing/>
              <w:rPr>
                <w:rFonts w:eastAsia="Times New Roman" w:cs="Times New Roman"/>
                <w:color w:val="000000"/>
                <w:sz w:val="20"/>
                <w:szCs w:val="20"/>
                <w:lang w:val="it-IT"/>
              </w:rPr>
            </w:pPr>
            <w:r w:rsidRPr="00AA1EC7">
              <w:rPr>
                <w:rFonts w:eastAsia="Times New Roman" w:cs="Times New Roman"/>
                <w:color w:val="000000"/>
                <w:sz w:val="20"/>
                <w:szCs w:val="20"/>
                <w:lang w:val="it-IT"/>
              </w:rPr>
              <w:t>- Anti-angio</w:t>
            </w:r>
          </w:p>
          <w:p w14:paraId="706750F7" w14:textId="77777777" w:rsidR="00F9728C" w:rsidRPr="00AA1EC7" w:rsidRDefault="00F9728C" w:rsidP="00F9728C">
            <w:pPr>
              <w:spacing w:after="0" w:line="240" w:lineRule="auto"/>
              <w:contextualSpacing/>
              <w:rPr>
                <w:rFonts w:eastAsia="Times New Roman" w:cs="Times New Roman"/>
                <w:color w:val="000000"/>
                <w:sz w:val="20"/>
                <w:szCs w:val="20"/>
                <w:lang w:val="it-IT"/>
              </w:rPr>
            </w:pPr>
            <w:r w:rsidRPr="00AA1EC7">
              <w:rPr>
                <w:rFonts w:eastAsia="Times New Roman" w:cs="Times New Roman"/>
                <w:color w:val="000000"/>
                <w:sz w:val="20"/>
                <w:szCs w:val="20"/>
                <w:lang w:val="it-IT"/>
              </w:rPr>
              <w:t>- Non-anti-angio</w:t>
            </w:r>
          </w:p>
        </w:tc>
        <w:tc>
          <w:tcPr>
            <w:tcW w:w="956" w:type="dxa"/>
            <w:tcBorders>
              <w:top w:val="single" w:sz="12" w:space="0" w:color="auto"/>
              <w:bottom w:val="single" w:sz="8" w:space="0" w:color="auto"/>
            </w:tcBorders>
            <w:shd w:val="clear" w:color="auto" w:fill="auto"/>
            <w:tcMar>
              <w:left w:w="28" w:type="dxa"/>
              <w:right w:w="28" w:type="dxa"/>
            </w:tcMar>
          </w:tcPr>
          <w:p w14:paraId="469A1941" w14:textId="3C6F4D0E"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12" w:space="0" w:color="auto"/>
              <w:bottom w:val="single" w:sz="8" w:space="0" w:color="auto"/>
            </w:tcBorders>
            <w:shd w:val="clear" w:color="auto" w:fill="auto"/>
            <w:tcMar>
              <w:left w:w="28" w:type="dxa"/>
              <w:right w:w="28" w:type="dxa"/>
            </w:tcMar>
          </w:tcPr>
          <w:p w14:paraId="20C7A07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median OS</w:t>
            </w:r>
          </w:p>
        </w:tc>
        <w:tc>
          <w:tcPr>
            <w:tcW w:w="950" w:type="dxa"/>
            <w:tcBorders>
              <w:top w:val="single" w:sz="12" w:space="0" w:color="auto"/>
              <w:bottom w:val="single" w:sz="8" w:space="0" w:color="auto"/>
            </w:tcBorders>
            <w:shd w:val="clear" w:color="auto" w:fill="auto"/>
            <w:tcMar>
              <w:left w:w="28" w:type="dxa"/>
              <w:right w:w="28" w:type="dxa"/>
            </w:tcMar>
          </w:tcPr>
          <w:p w14:paraId="2563C48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12" w:space="0" w:color="auto"/>
              <w:bottom w:val="single" w:sz="8" w:space="0" w:color="auto"/>
            </w:tcBorders>
            <w:shd w:val="clear" w:color="auto" w:fill="auto"/>
            <w:tcMar>
              <w:left w:w="28" w:type="dxa"/>
              <w:right w:w="28" w:type="dxa"/>
            </w:tcMar>
          </w:tcPr>
          <w:p w14:paraId="7F76697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0.07</w:t>
            </w:r>
            <w:r w:rsidRPr="00AA1EC7">
              <w:rPr>
                <w:rFonts w:eastAsia="Times New Roman" w:cs="Times New Roman"/>
                <w:color w:val="000000"/>
                <w:sz w:val="20"/>
                <w:szCs w:val="20"/>
              </w:rPr>
              <w:br/>
              <w:t>0.13</w:t>
            </w:r>
            <w:r w:rsidRPr="00AA1EC7">
              <w:rPr>
                <w:rFonts w:eastAsia="Times New Roman" w:cs="Times New Roman"/>
                <w:color w:val="000000"/>
                <w:sz w:val="20"/>
                <w:szCs w:val="20"/>
              </w:rPr>
              <w:br/>
              <w:t>0.14</w:t>
            </w:r>
          </w:p>
        </w:tc>
        <w:tc>
          <w:tcPr>
            <w:tcW w:w="1385" w:type="dxa"/>
            <w:gridSpan w:val="2"/>
            <w:tcBorders>
              <w:top w:val="single" w:sz="12" w:space="0" w:color="auto"/>
              <w:bottom w:val="single" w:sz="8" w:space="0" w:color="auto"/>
            </w:tcBorders>
            <w:tcMar>
              <w:left w:w="28" w:type="dxa"/>
              <w:right w:w="28" w:type="dxa"/>
            </w:tcMar>
          </w:tcPr>
          <w:p w14:paraId="7CB8196B"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12" w:space="0" w:color="auto"/>
              <w:bottom w:val="single" w:sz="8" w:space="0" w:color="auto"/>
            </w:tcBorders>
            <w:tcMar>
              <w:left w:w="28" w:type="dxa"/>
              <w:right w:w="28" w:type="dxa"/>
            </w:tcMar>
          </w:tcPr>
          <w:p w14:paraId="3DB42A5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12" w:space="0" w:color="auto"/>
              <w:bottom w:val="single" w:sz="8" w:space="0" w:color="auto"/>
            </w:tcBorders>
            <w:tcMar>
              <w:left w:w="28" w:type="dxa"/>
              <w:right w:w="28" w:type="dxa"/>
            </w:tcMar>
          </w:tcPr>
          <w:p w14:paraId="43C9FB7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12" w:space="0" w:color="auto"/>
              <w:bottom w:val="single" w:sz="8" w:space="0" w:color="auto"/>
            </w:tcBorders>
            <w:tcMar>
              <w:left w:w="28" w:type="dxa"/>
              <w:right w:w="28" w:type="dxa"/>
            </w:tcMar>
          </w:tcPr>
          <w:p w14:paraId="36BFE6BB"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162C353F"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4EB0C9ED"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6F3F749E" w14:textId="7494184D"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106</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7069C45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249E09A9" w14:textId="14EBF36C"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5DE559F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median OS</w:t>
            </w:r>
          </w:p>
        </w:tc>
        <w:tc>
          <w:tcPr>
            <w:tcW w:w="950" w:type="dxa"/>
            <w:tcBorders>
              <w:top w:val="single" w:sz="8" w:space="0" w:color="auto"/>
              <w:bottom w:val="single" w:sz="8" w:space="0" w:color="auto"/>
            </w:tcBorders>
            <w:shd w:val="clear" w:color="auto" w:fill="auto"/>
            <w:tcMar>
              <w:left w:w="28" w:type="dxa"/>
              <w:right w:w="28" w:type="dxa"/>
            </w:tcMar>
          </w:tcPr>
          <w:p w14:paraId="42B8E35F"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0.34</w:t>
            </w:r>
          </w:p>
        </w:tc>
        <w:tc>
          <w:tcPr>
            <w:tcW w:w="743" w:type="dxa"/>
            <w:tcBorders>
              <w:top w:val="single" w:sz="8" w:space="0" w:color="auto"/>
              <w:bottom w:val="single" w:sz="8" w:space="0" w:color="auto"/>
            </w:tcBorders>
            <w:shd w:val="clear" w:color="auto" w:fill="auto"/>
            <w:tcMar>
              <w:left w:w="28" w:type="dxa"/>
              <w:right w:w="28" w:type="dxa"/>
            </w:tcMar>
          </w:tcPr>
          <w:p w14:paraId="49F7856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0.10</w:t>
            </w:r>
          </w:p>
        </w:tc>
        <w:tc>
          <w:tcPr>
            <w:tcW w:w="1385" w:type="dxa"/>
            <w:gridSpan w:val="2"/>
            <w:tcBorders>
              <w:top w:val="single" w:sz="8" w:space="0" w:color="auto"/>
              <w:bottom w:val="single" w:sz="8" w:space="0" w:color="auto"/>
            </w:tcBorders>
            <w:tcMar>
              <w:left w:w="28" w:type="dxa"/>
              <w:right w:w="28" w:type="dxa"/>
            </w:tcMar>
          </w:tcPr>
          <w:p w14:paraId="37C5D51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3B8C222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0A0618DE"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26F4BE10"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4348D610"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390365AA"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525FF1F0" w14:textId="2505B08E"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(NSCLC)</w:t>
            </w:r>
            <w:r w:rsidRPr="002D1DD7">
              <w:rPr>
                <w:rFonts w:asciiTheme="majorBidi" w:eastAsia="Times New Roman" w:hAnsiTheme="majorBidi" w:cstheme="majorBidi"/>
                <w:color w:val="000000"/>
                <w:sz w:val="20"/>
                <w:szCs w:val="20"/>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106</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45D1737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0F471F3B" w14:textId="3AE627D6"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3685D81A"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median OS</w:t>
            </w:r>
          </w:p>
        </w:tc>
        <w:tc>
          <w:tcPr>
            <w:tcW w:w="950" w:type="dxa"/>
            <w:tcBorders>
              <w:top w:val="single" w:sz="8" w:space="0" w:color="auto"/>
              <w:bottom w:val="single" w:sz="8" w:space="0" w:color="auto"/>
            </w:tcBorders>
            <w:shd w:val="clear" w:color="auto" w:fill="auto"/>
            <w:tcMar>
              <w:left w:w="28" w:type="dxa"/>
              <w:right w:w="28" w:type="dxa"/>
            </w:tcMar>
          </w:tcPr>
          <w:p w14:paraId="47C023BA"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-0.05</w:t>
            </w:r>
          </w:p>
        </w:tc>
        <w:tc>
          <w:tcPr>
            <w:tcW w:w="743" w:type="dxa"/>
            <w:tcBorders>
              <w:top w:val="single" w:sz="8" w:space="0" w:color="auto"/>
              <w:bottom w:val="single" w:sz="8" w:space="0" w:color="auto"/>
            </w:tcBorders>
            <w:shd w:val="clear" w:color="auto" w:fill="auto"/>
            <w:tcMar>
              <w:left w:w="28" w:type="dxa"/>
              <w:right w:w="28" w:type="dxa"/>
            </w:tcMar>
          </w:tcPr>
          <w:p w14:paraId="31277EF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0.09</w:t>
            </w:r>
          </w:p>
        </w:tc>
        <w:tc>
          <w:tcPr>
            <w:tcW w:w="1385" w:type="dxa"/>
            <w:gridSpan w:val="2"/>
            <w:tcBorders>
              <w:top w:val="single" w:sz="8" w:space="0" w:color="auto"/>
              <w:bottom w:val="single" w:sz="8" w:space="0" w:color="auto"/>
            </w:tcBorders>
            <w:tcMar>
              <w:left w:w="28" w:type="dxa"/>
              <w:right w:w="28" w:type="dxa"/>
            </w:tcMar>
          </w:tcPr>
          <w:p w14:paraId="533DE4BA"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087C931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2E243CF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3F448902"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0FD6FC1E"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5C48F076"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753DD819" w14:textId="19C24733"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6098333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49F28440" w14:textId="2A932006"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77C863F6"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OS</w:t>
            </w:r>
          </w:p>
        </w:tc>
        <w:tc>
          <w:tcPr>
            <w:tcW w:w="950" w:type="dxa"/>
            <w:tcBorders>
              <w:top w:val="single" w:sz="8" w:space="0" w:color="auto"/>
              <w:bottom w:val="single" w:sz="8" w:space="0" w:color="auto"/>
            </w:tcBorders>
            <w:shd w:val="clear" w:color="auto" w:fill="auto"/>
            <w:tcMar>
              <w:left w:w="28" w:type="dxa"/>
              <w:right w:w="28" w:type="dxa"/>
            </w:tcMar>
          </w:tcPr>
          <w:p w14:paraId="5DAFD6F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8" w:space="0" w:color="auto"/>
              <w:bottom w:val="single" w:sz="8" w:space="0" w:color="auto"/>
            </w:tcBorders>
            <w:shd w:val="clear" w:color="auto" w:fill="auto"/>
            <w:tcMar>
              <w:left w:w="28" w:type="dxa"/>
              <w:right w:w="28" w:type="dxa"/>
            </w:tcMar>
          </w:tcPr>
          <w:p w14:paraId="3DD6B2A6"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-0.03</w:t>
            </w:r>
          </w:p>
        </w:tc>
        <w:tc>
          <w:tcPr>
            <w:tcW w:w="1385" w:type="dxa"/>
            <w:gridSpan w:val="2"/>
            <w:tcBorders>
              <w:top w:val="single" w:sz="8" w:space="0" w:color="auto"/>
              <w:bottom w:val="single" w:sz="8" w:space="0" w:color="auto"/>
            </w:tcBorders>
            <w:tcMar>
              <w:left w:w="28" w:type="dxa"/>
              <w:right w:w="28" w:type="dxa"/>
            </w:tcMar>
          </w:tcPr>
          <w:p w14:paraId="709059E0"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6CD4E2D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3E0ED3FB"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59E70C7D"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1C0FCB89"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4592C32B"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2A563246" w14:textId="3B14F5D5"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(NSCLC)</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47D35F40"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12FA0075" w14:textId="69405381"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1BF032B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OS</w:t>
            </w:r>
          </w:p>
        </w:tc>
        <w:tc>
          <w:tcPr>
            <w:tcW w:w="950" w:type="dxa"/>
            <w:tcBorders>
              <w:top w:val="single" w:sz="8" w:space="0" w:color="auto"/>
              <w:bottom w:val="single" w:sz="8" w:space="0" w:color="auto"/>
            </w:tcBorders>
            <w:shd w:val="clear" w:color="auto" w:fill="auto"/>
            <w:tcMar>
              <w:left w:w="28" w:type="dxa"/>
              <w:right w:w="28" w:type="dxa"/>
            </w:tcMar>
          </w:tcPr>
          <w:p w14:paraId="68D56DE4"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8" w:space="0" w:color="auto"/>
              <w:bottom w:val="single" w:sz="8" w:space="0" w:color="auto"/>
            </w:tcBorders>
            <w:shd w:val="clear" w:color="auto" w:fill="auto"/>
            <w:tcMar>
              <w:left w:w="28" w:type="dxa"/>
              <w:right w:w="28" w:type="dxa"/>
            </w:tcMar>
          </w:tcPr>
          <w:p w14:paraId="5EE5A98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-0.01</w:t>
            </w:r>
          </w:p>
        </w:tc>
        <w:tc>
          <w:tcPr>
            <w:tcW w:w="1385" w:type="dxa"/>
            <w:gridSpan w:val="2"/>
            <w:tcBorders>
              <w:top w:val="single" w:sz="8" w:space="0" w:color="auto"/>
              <w:bottom w:val="single" w:sz="8" w:space="0" w:color="auto"/>
            </w:tcBorders>
            <w:tcMar>
              <w:left w:w="28" w:type="dxa"/>
              <w:right w:w="28" w:type="dxa"/>
            </w:tcMar>
          </w:tcPr>
          <w:p w14:paraId="2BA4A65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668EF1D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14E167FB"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265EC09B"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1F225E88"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24FFF65A"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0A9A9B49" w14:textId="28249512"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Various</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6844090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151B0C4A" w14:textId="63D06715"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ORR</w:t>
            </w:r>
          </w:p>
        </w:tc>
        <w:tc>
          <w:tcPr>
            <w:tcW w:w="1273" w:type="dxa"/>
            <w:tcBorders>
              <w:top w:val="single" w:sz="8" w:space="0" w:color="auto"/>
              <w:bottom w:val="single" w:sz="8" w:space="0" w:color="auto"/>
            </w:tcBorders>
            <w:shd w:val="clear" w:color="auto" w:fill="auto"/>
            <w:tcMar>
              <w:left w:w="28" w:type="dxa"/>
              <w:right w:w="28" w:type="dxa"/>
            </w:tcMar>
          </w:tcPr>
          <w:p w14:paraId="49B335F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OS</w:t>
            </w:r>
          </w:p>
        </w:tc>
        <w:tc>
          <w:tcPr>
            <w:tcW w:w="950" w:type="dxa"/>
            <w:tcBorders>
              <w:top w:val="single" w:sz="8" w:space="0" w:color="auto"/>
              <w:bottom w:val="single" w:sz="8" w:space="0" w:color="auto"/>
            </w:tcBorders>
            <w:shd w:val="clear" w:color="auto" w:fill="auto"/>
            <w:tcMar>
              <w:left w:w="28" w:type="dxa"/>
              <w:right w:w="28" w:type="dxa"/>
            </w:tcMar>
          </w:tcPr>
          <w:p w14:paraId="7B294E3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43" w:type="dxa"/>
            <w:tcBorders>
              <w:top w:val="single" w:sz="8" w:space="0" w:color="auto"/>
              <w:bottom w:val="single" w:sz="8" w:space="0" w:color="auto"/>
            </w:tcBorders>
            <w:shd w:val="clear" w:color="auto" w:fill="auto"/>
            <w:tcMar>
              <w:left w:w="28" w:type="dxa"/>
              <w:right w:w="28" w:type="dxa"/>
            </w:tcMar>
          </w:tcPr>
          <w:p w14:paraId="7AA9A05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-0.02</w:t>
            </w:r>
          </w:p>
        </w:tc>
        <w:tc>
          <w:tcPr>
            <w:tcW w:w="1385" w:type="dxa"/>
            <w:gridSpan w:val="2"/>
            <w:tcBorders>
              <w:top w:val="single" w:sz="8" w:space="0" w:color="auto"/>
              <w:bottom w:val="single" w:sz="8" w:space="0" w:color="auto"/>
            </w:tcBorders>
            <w:tcMar>
              <w:left w:w="28" w:type="dxa"/>
              <w:right w:w="28" w:type="dxa"/>
            </w:tcMar>
          </w:tcPr>
          <w:p w14:paraId="587A05A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95" w:type="dxa"/>
            <w:tcBorders>
              <w:top w:val="single" w:sz="8" w:space="0" w:color="auto"/>
              <w:bottom w:val="single" w:sz="8" w:space="0" w:color="auto"/>
            </w:tcBorders>
            <w:tcMar>
              <w:left w:w="28" w:type="dxa"/>
              <w:right w:w="28" w:type="dxa"/>
            </w:tcMar>
          </w:tcPr>
          <w:p w14:paraId="5C37808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75" w:type="dxa"/>
            <w:tcBorders>
              <w:top w:val="single" w:sz="8" w:space="0" w:color="auto"/>
              <w:bottom w:val="single" w:sz="8" w:space="0" w:color="auto"/>
            </w:tcBorders>
            <w:tcMar>
              <w:left w:w="28" w:type="dxa"/>
              <w:right w:w="28" w:type="dxa"/>
            </w:tcMar>
          </w:tcPr>
          <w:p w14:paraId="5849AE7A"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63" w:type="dxa"/>
            <w:tcBorders>
              <w:top w:val="single" w:sz="8" w:space="0" w:color="auto"/>
              <w:bottom w:val="single" w:sz="8" w:space="0" w:color="auto"/>
            </w:tcBorders>
            <w:tcMar>
              <w:left w:w="28" w:type="dxa"/>
              <w:right w:w="28" w:type="dxa"/>
            </w:tcMar>
          </w:tcPr>
          <w:p w14:paraId="1DB76174" w14:textId="77777777" w:rsidR="00F9728C" w:rsidRPr="00AA1EC7" w:rsidRDefault="00F9728C" w:rsidP="00F9728C">
            <w:pPr>
              <w:spacing w:after="0" w:line="240" w:lineRule="auto"/>
              <w:contextualSpacing/>
              <w:rPr>
                <w:rFonts w:eastAsia="Times New Roman" w:cs="Times New Roman"/>
                <w:color w:val="000000"/>
                <w:sz w:val="20"/>
                <w:szCs w:val="20"/>
              </w:rPr>
            </w:pPr>
          </w:p>
        </w:tc>
      </w:tr>
      <w:tr w:rsidR="00F9728C" w:rsidRPr="00AA1EC7" w14:paraId="1FBE648B"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04915483"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5663D58B" w14:textId="071AB3CE"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NiwgOTM8L3N0eWxlPjwvRGlzcGxheVRleHQ+PHJlY29yZD48cmVjLW51bWJlcj40OTY8L3JlYy1u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U0M9WSZhbXA7TkVXUz1OJmFtcDtQQUdFPWZ1bGx0ZXh0JmFtcDtEPW1lZDExJmFtcDtBTj0yNTg2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NiwgOTM8L3N0eWxlPjwvRGlzcGxheVRleHQ+PHJlY29yZD48cmVjLW51bWJlcj40OTY8L3JlYy1u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86, 93</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4F0418E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All</w:t>
            </w:r>
          </w:p>
          <w:p w14:paraId="6B3D175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No crossover</w:t>
            </w:r>
          </w:p>
        </w:tc>
        <w:tc>
          <w:tcPr>
            <w:tcW w:w="956" w:type="dxa"/>
            <w:tcBorders>
              <w:top w:val="single" w:sz="8" w:space="0" w:color="auto"/>
              <w:bottom w:val="single" w:sz="8" w:space="0" w:color="auto"/>
            </w:tcBorders>
            <w:shd w:val="clear" w:color="auto" w:fill="auto"/>
            <w:tcMar>
              <w:left w:w="28" w:type="dxa"/>
              <w:right w:w="28" w:type="dxa"/>
            </w:tcMar>
          </w:tcPr>
          <w:p w14:paraId="21B6076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5F46D24F"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3AFEFD03"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633D2D8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3D08CB9E" w14:textId="77814065"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ORR</w:t>
            </w:r>
          </w:p>
        </w:tc>
        <w:tc>
          <w:tcPr>
            <w:tcW w:w="1295" w:type="dxa"/>
            <w:tcBorders>
              <w:top w:val="single" w:sz="8" w:space="0" w:color="auto"/>
              <w:bottom w:val="single" w:sz="8" w:space="0" w:color="auto"/>
            </w:tcBorders>
            <w:tcMar>
              <w:left w:w="28" w:type="dxa"/>
              <w:right w:w="28" w:type="dxa"/>
            </w:tcMar>
          </w:tcPr>
          <w:p w14:paraId="157846F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OS</w:t>
            </w:r>
          </w:p>
        </w:tc>
        <w:tc>
          <w:tcPr>
            <w:tcW w:w="975" w:type="dxa"/>
            <w:tcBorders>
              <w:top w:val="single" w:sz="8" w:space="0" w:color="auto"/>
              <w:bottom w:val="single" w:sz="8" w:space="0" w:color="auto"/>
            </w:tcBorders>
            <w:tcMar>
              <w:left w:w="28" w:type="dxa"/>
              <w:right w:w="28" w:type="dxa"/>
            </w:tcMar>
          </w:tcPr>
          <w:p w14:paraId="4248228A"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-0.03</w:t>
            </w:r>
          </w:p>
          <w:p w14:paraId="6461DEA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-0.04</w:t>
            </w:r>
          </w:p>
        </w:tc>
        <w:tc>
          <w:tcPr>
            <w:tcW w:w="763" w:type="dxa"/>
            <w:tcBorders>
              <w:top w:val="single" w:sz="8" w:space="0" w:color="auto"/>
              <w:bottom w:val="single" w:sz="8" w:space="0" w:color="auto"/>
            </w:tcBorders>
            <w:tcMar>
              <w:left w:w="28" w:type="dxa"/>
              <w:right w:w="28" w:type="dxa"/>
            </w:tcMar>
          </w:tcPr>
          <w:p w14:paraId="19A864D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-0.05</w:t>
            </w:r>
          </w:p>
          <w:p w14:paraId="6C309B30"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-0.10</w:t>
            </w:r>
          </w:p>
        </w:tc>
      </w:tr>
      <w:tr w:rsidR="00F9728C" w:rsidRPr="00AA1EC7" w14:paraId="2E55D9A8"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6623F5BF"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0C9784A5" w14:textId="563B7656"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Breast</w:t>
            </w:r>
            <w:r w:rsidRPr="002D1DD7">
              <w:rPr>
                <w:rFonts w:asciiTheme="majorBidi" w:eastAsia="Times New Roman" w:hAnsiTheme="majorBidi" w:cstheme="majorBidi"/>
                <w:color w:val="000000"/>
                <w:sz w:val="20"/>
                <w:szCs w:val="20"/>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96</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2BC862C4"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All</w:t>
            </w:r>
          </w:p>
          <w:p w14:paraId="4181D53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Recr. pre-1990</w:t>
            </w:r>
          </w:p>
          <w:p w14:paraId="2CDD7AEB"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Recr. 1990 or after</w:t>
            </w:r>
          </w:p>
        </w:tc>
        <w:tc>
          <w:tcPr>
            <w:tcW w:w="956" w:type="dxa"/>
            <w:tcBorders>
              <w:top w:val="single" w:sz="8" w:space="0" w:color="auto"/>
              <w:bottom w:val="single" w:sz="8" w:space="0" w:color="auto"/>
            </w:tcBorders>
            <w:shd w:val="clear" w:color="auto" w:fill="auto"/>
            <w:tcMar>
              <w:left w:w="28" w:type="dxa"/>
              <w:right w:w="28" w:type="dxa"/>
            </w:tcMar>
          </w:tcPr>
          <w:p w14:paraId="47C15E57"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604D08B2"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06536D62"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4997FE7A"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670A58CC" w14:textId="349053D6"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ORR</w:t>
            </w:r>
          </w:p>
        </w:tc>
        <w:tc>
          <w:tcPr>
            <w:tcW w:w="1295" w:type="dxa"/>
            <w:tcBorders>
              <w:top w:val="single" w:sz="8" w:space="0" w:color="auto"/>
              <w:bottom w:val="single" w:sz="8" w:space="0" w:color="auto"/>
            </w:tcBorders>
            <w:tcMar>
              <w:left w:w="28" w:type="dxa"/>
              <w:right w:w="28" w:type="dxa"/>
            </w:tcMar>
          </w:tcPr>
          <w:p w14:paraId="12FD791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OS</w:t>
            </w:r>
          </w:p>
        </w:tc>
        <w:tc>
          <w:tcPr>
            <w:tcW w:w="975" w:type="dxa"/>
            <w:tcBorders>
              <w:top w:val="single" w:sz="8" w:space="0" w:color="auto"/>
              <w:bottom w:val="single" w:sz="8" w:space="0" w:color="auto"/>
            </w:tcBorders>
            <w:tcMar>
              <w:left w:w="28" w:type="dxa"/>
              <w:right w:w="28" w:type="dxa"/>
            </w:tcMar>
          </w:tcPr>
          <w:p w14:paraId="211ACE7B"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-0.01</w:t>
            </w:r>
          </w:p>
          <w:p w14:paraId="1C7012D6"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p w14:paraId="128F608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63" w:type="dxa"/>
            <w:tcBorders>
              <w:top w:val="single" w:sz="8" w:space="0" w:color="auto"/>
              <w:bottom w:val="single" w:sz="8" w:space="0" w:color="auto"/>
            </w:tcBorders>
            <w:tcMar>
              <w:left w:w="28" w:type="dxa"/>
              <w:right w:w="28" w:type="dxa"/>
            </w:tcMar>
          </w:tcPr>
          <w:p w14:paraId="2176EB2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0.28</w:t>
            </w:r>
          </w:p>
          <w:p w14:paraId="6A27A49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0.28</w:t>
            </w:r>
          </w:p>
          <w:p w14:paraId="0DE1E689"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0.24</w:t>
            </w:r>
          </w:p>
        </w:tc>
      </w:tr>
      <w:tr w:rsidR="00F9728C" w:rsidRPr="00AA1EC7" w14:paraId="16D00A85"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2E8BCB3D"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4400A865" w14:textId="136BC125"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(NSCLC)</w:t>
            </w:r>
            <w:r w:rsidRPr="002D1DD7">
              <w:rPr>
                <w:rFonts w:asciiTheme="majorBidi" w:eastAsia="Times New Roman" w:hAnsiTheme="majorBidi" w:cstheme="majorBidi"/>
                <w:color w:val="000000"/>
                <w:sz w:val="20"/>
                <w:szCs w:val="20"/>
              </w:rPr>
              <w:fldChar w:fldCharType="begin">
                <w:fldData xml:space="preserve">PEVuZE5vdGU+PENpdGU+PEF1dGhvcj5OYWthc2hpbWE8L0F1dGhvcj48WWVhcj4yMDE2PC9ZZWFy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dGV4dCZhbXA7RD1tZWQxMiZhbXA7QU49MjcxNzg5ODM8L3N0eWxlPjxzdHlsZSBmYWNlPSJub3Jt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Y2VzX3BhZ2U/c2lkPU9WSUQ6bWVkbGluZSZhbXA7aWQ9cG1pZDoyNzE3ODk4MyZhbXA7aWQ9ZG9p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PEVuZE5vdGU+PENpdGU+PEF1dGhvcj5OYWthc2hpbWE8L0F1dGhvcj48WWVhcj4yMDE2PC9ZZWFy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dGV4dCZhbXA7RD1tZWQxMiZhbXA7QU49MjcxNzg5ODM8L3N0eWxlPjxzdHlsZSBmYWNlPSJub3Jt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Y2VzX3BhZ2U/c2lkPU9WSUQ6bWVkbGluZSZhbXA7aWQ9cG1pZDoyNzE3ODk4MyZhbXA7aWQ9ZG9p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=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118</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6848FE3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534E31F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79DEC4D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7232413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0CFD0EB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632B12D8" w14:textId="1FECF703"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lnOR ORR</w:t>
            </w:r>
          </w:p>
        </w:tc>
        <w:tc>
          <w:tcPr>
            <w:tcW w:w="1295" w:type="dxa"/>
            <w:tcBorders>
              <w:top w:val="single" w:sz="8" w:space="0" w:color="auto"/>
              <w:bottom w:val="single" w:sz="8" w:space="0" w:color="auto"/>
            </w:tcBorders>
            <w:tcMar>
              <w:left w:w="28" w:type="dxa"/>
              <w:right w:w="28" w:type="dxa"/>
            </w:tcMar>
          </w:tcPr>
          <w:p w14:paraId="067ECC6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lnHR OS</w:t>
            </w:r>
          </w:p>
        </w:tc>
        <w:tc>
          <w:tcPr>
            <w:tcW w:w="975" w:type="dxa"/>
            <w:tcBorders>
              <w:top w:val="single" w:sz="8" w:space="0" w:color="auto"/>
              <w:bottom w:val="single" w:sz="8" w:space="0" w:color="auto"/>
            </w:tcBorders>
            <w:tcMar>
              <w:left w:w="28" w:type="dxa"/>
              <w:right w:w="28" w:type="dxa"/>
            </w:tcMar>
          </w:tcPr>
          <w:p w14:paraId="497530E9"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-0.02</w:t>
            </w:r>
          </w:p>
        </w:tc>
        <w:tc>
          <w:tcPr>
            <w:tcW w:w="763" w:type="dxa"/>
            <w:tcBorders>
              <w:top w:val="single" w:sz="8" w:space="0" w:color="auto"/>
              <w:bottom w:val="single" w:sz="8" w:space="0" w:color="auto"/>
            </w:tcBorders>
            <w:tcMar>
              <w:left w:w="28" w:type="dxa"/>
              <w:right w:w="28" w:type="dxa"/>
            </w:tcMar>
          </w:tcPr>
          <w:p w14:paraId="2FE24724"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-0.13</w:t>
            </w:r>
          </w:p>
        </w:tc>
      </w:tr>
      <w:tr w:rsidR="00F9728C" w:rsidRPr="00AA1EC7" w14:paraId="0F877F84"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46304D02"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46072483" w14:textId="032DB4F4"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Various (immuno)</w:t>
            </w:r>
            <w:r w:rsidRPr="002D1DD7">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127</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1B1086D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6410AF8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6F29CED0"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31EFF16E"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5D0DEA2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79DC5778" w14:textId="60CCDF64"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ORR</w:t>
            </w:r>
          </w:p>
        </w:tc>
        <w:tc>
          <w:tcPr>
            <w:tcW w:w="1295" w:type="dxa"/>
            <w:tcBorders>
              <w:top w:val="single" w:sz="8" w:space="0" w:color="auto"/>
              <w:bottom w:val="single" w:sz="8" w:space="0" w:color="auto"/>
            </w:tcBorders>
            <w:tcMar>
              <w:left w:w="28" w:type="dxa"/>
              <w:right w:w="28" w:type="dxa"/>
            </w:tcMar>
          </w:tcPr>
          <w:p w14:paraId="1514821E"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OS</w:t>
            </w:r>
          </w:p>
        </w:tc>
        <w:tc>
          <w:tcPr>
            <w:tcW w:w="975" w:type="dxa"/>
            <w:tcBorders>
              <w:top w:val="single" w:sz="8" w:space="0" w:color="auto"/>
              <w:bottom w:val="single" w:sz="8" w:space="0" w:color="auto"/>
            </w:tcBorders>
            <w:tcMar>
              <w:left w:w="28" w:type="dxa"/>
              <w:right w:w="28" w:type="dxa"/>
            </w:tcMar>
          </w:tcPr>
          <w:p w14:paraId="4ED0858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-0.13</w:t>
            </w:r>
          </w:p>
        </w:tc>
        <w:tc>
          <w:tcPr>
            <w:tcW w:w="763" w:type="dxa"/>
            <w:tcBorders>
              <w:top w:val="single" w:sz="8" w:space="0" w:color="auto"/>
              <w:bottom w:val="single" w:sz="8" w:space="0" w:color="auto"/>
            </w:tcBorders>
            <w:tcMar>
              <w:left w:w="28" w:type="dxa"/>
              <w:right w:w="28" w:type="dxa"/>
            </w:tcMar>
          </w:tcPr>
          <w:p w14:paraId="30A0451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-0.26</w:t>
            </w:r>
          </w:p>
        </w:tc>
      </w:tr>
      <w:tr w:rsidR="00F9728C" w:rsidRPr="00AA1EC7" w14:paraId="78F4EA8A"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5C339D9A"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4332150E" w14:textId="6D323C3F"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color w:val="000000"/>
                <w:sz w:val="20"/>
                <w:szCs w:val="20"/>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91</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735E9A71" w14:textId="77777777" w:rsidR="00F9728C" w:rsidRPr="00AA1EC7" w:rsidRDefault="00F9728C" w:rsidP="00F9728C">
            <w:pPr>
              <w:spacing w:after="0" w:line="240" w:lineRule="auto"/>
              <w:contextualSpacing/>
              <w:rPr>
                <w:rFonts w:eastAsia="Times New Roman" w:cs="Times New Roman"/>
                <w:color w:val="000000"/>
                <w:sz w:val="20"/>
                <w:szCs w:val="20"/>
                <w:lang w:val="it-IT"/>
              </w:rPr>
            </w:pPr>
            <w:r w:rsidRPr="00AA1EC7">
              <w:rPr>
                <w:rFonts w:eastAsia="Times New Roman" w:cs="Times New Roman"/>
                <w:color w:val="000000"/>
                <w:sz w:val="20"/>
                <w:szCs w:val="20"/>
                <w:lang w:val="it-IT"/>
              </w:rPr>
              <w:t>- All</w:t>
            </w:r>
          </w:p>
          <w:p w14:paraId="0F57D185" w14:textId="77777777" w:rsidR="00F9728C" w:rsidRPr="00AA1EC7" w:rsidRDefault="00F9728C" w:rsidP="00F9728C">
            <w:pPr>
              <w:spacing w:after="0" w:line="240" w:lineRule="auto"/>
              <w:contextualSpacing/>
              <w:rPr>
                <w:rFonts w:eastAsia="Times New Roman" w:cs="Times New Roman"/>
                <w:color w:val="000000"/>
                <w:sz w:val="20"/>
                <w:szCs w:val="20"/>
                <w:lang w:val="it-IT"/>
              </w:rPr>
            </w:pPr>
            <w:r w:rsidRPr="00AA1EC7">
              <w:rPr>
                <w:rFonts w:eastAsia="Times New Roman" w:cs="Times New Roman"/>
                <w:color w:val="000000"/>
                <w:sz w:val="20"/>
                <w:szCs w:val="20"/>
                <w:lang w:val="it-IT"/>
              </w:rPr>
              <w:t>- Anti-angio</w:t>
            </w:r>
          </w:p>
          <w:p w14:paraId="370DA785" w14:textId="77777777" w:rsidR="00F9728C" w:rsidRPr="00AA1EC7" w:rsidRDefault="00F9728C" w:rsidP="00F9728C">
            <w:pPr>
              <w:spacing w:after="0" w:line="240" w:lineRule="auto"/>
              <w:contextualSpacing/>
              <w:rPr>
                <w:rFonts w:eastAsia="Times New Roman" w:cs="Times New Roman"/>
                <w:color w:val="000000"/>
                <w:sz w:val="20"/>
                <w:szCs w:val="20"/>
                <w:lang w:val="it-IT"/>
              </w:rPr>
            </w:pPr>
            <w:r w:rsidRPr="00AA1EC7">
              <w:rPr>
                <w:rFonts w:eastAsia="Times New Roman" w:cs="Times New Roman"/>
                <w:color w:val="000000"/>
                <w:sz w:val="20"/>
                <w:szCs w:val="20"/>
                <w:lang w:val="it-IT"/>
              </w:rPr>
              <w:t>- Non-anti-angio</w:t>
            </w:r>
          </w:p>
        </w:tc>
        <w:tc>
          <w:tcPr>
            <w:tcW w:w="956" w:type="dxa"/>
            <w:tcBorders>
              <w:top w:val="single" w:sz="8" w:space="0" w:color="auto"/>
              <w:bottom w:val="single" w:sz="8" w:space="0" w:color="auto"/>
            </w:tcBorders>
            <w:shd w:val="clear" w:color="auto" w:fill="auto"/>
            <w:tcMar>
              <w:left w:w="28" w:type="dxa"/>
              <w:right w:w="28" w:type="dxa"/>
            </w:tcMar>
          </w:tcPr>
          <w:p w14:paraId="21E068BE" w14:textId="77777777" w:rsidR="00F9728C" w:rsidRPr="00AA1EC7" w:rsidRDefault="00F9728C" w:rsidP="00F9728C">
            <w:pPr>
              <w:spacing w:after="0" w:line="240" w:lineRule="auto"/>
              <w:contextualSpacing/>
              <w:rPr>
                <w:rFonts w:eastAsia="Times New Roman" w:cs="Times New Roman"/>
                <w:color w:val="000000"/>
                <w:sz w:val="20"/>
                <w:szCs w:val="20"/>
                <w:lang w:val="it-IT"/>
              </w:rPr>
            </w:pPr>
          </w:p>
        </w:tc>
        <w:tc>
          <w:tcPr>
            <w:tcW w:w="1273" w:type="dxa"/>
            <w:tcBorders>
              <w:top w:val="single" w:sz="8" w:space="0" w:color="auto"/>
              <w:bottom w:val="single" w:sz="8" w:space="0" w:color="auto"/>
            </w:tcBorders>
            <w:shd w:val="clear" w:color="auto" w:fill="auto"/>
            <w:tcMar>
              <w:left w:w="28" w:type="dxa"/>
              <w:right w:w="28" w:type="dxa"/>
            </w:tcMar>
          </w:tcPr>
          <w:p w14:paraId="391F092E" w14:textId="77777777" w:rsidR="00F9728C" w:rsidRPr="00AA1EC7" w:rsidRDefault="00F9728C" w:rsidP="00F9728C">
            <w:pPr>
              <w:spacing w:after="0" w:line="240" w:lineRule="auto"/>
              <w:contextualSpacing/>
              <w:rPr>
                <w:rFonts w:eastAsia="Times New Roman" w:cs="Times New Roman"/>
                <w:color w:val="000000"/>
                <w:sz w:val="20"/>
                <w:szCs w:val="20"/>
                <w:lang w:val="it-IT"/>
              </w:rPr>
            </w:pPr>
          </w:p>
        </w:tc>
        <w:tc>
          <w:tcPr>
            <w:tcW w:w="950" w:type="dxa"/>
            <w:tcBorders>
              <w:top w:val="single" w:sz="8" w:space="0" w:color="auto"/>
              <w:bottom w:val="single" w:sz="8" w:space="0" w:color="auto"/>
            </w:tcBorders>
            <w:shd w:val="clear" w:color="auto" w:fill="auto"/>
            <w:tcMar>
              <w:left w:w="28" w:type="dxa"/>
              <w:right w:w="28" w:type="dxa"/>
            </w:tcMar>
          </w:tcPr>
          <w:p w14:paraId="76B0007A" w14:textId="77777777" w:rsidR="00F9728C" w:rsidRPr="00AA1EC7" w:rsidRDefault="00F9728C" w:rsidP="00F9728C">
            <w:pPr>
              <w:spacing w:after="0" w:line="240" w:lineRule="auto"/>
              <w:contextualSpacing/>
              <w:rPr>
                <w:rFonts w:eastAsia="Times New Roman" w:cs="Times New Roman"/>
                <w:color w:val="000000"/>
                <w:sz w:val="20"/>
                <w:szCs w:val="20"/>
                <w:lang w:val="it-IT"/>
              </w:rPr>
            </w:pPr>
          </w:p>
        </w:tc>
        <w:tc>
          <w:tcPr>
            <w:tcW w:w="743" w:type="dxa"/>
            <w:tcBorders>
              <w:top w:val="single" w:sz="8" w:space="0" w:color="auto"/>
              <w:bottom w:val="single" w:sz="8" w:space="0" w:color="auto"/>
            </w:tcBorders>
            <w:shd w:val="clear" w:color="auto" w:fill="auto"/>
            <w:tcMar>
              <w:left w:w="28" w:type="dxa"/>
              <w:right w:w="28" w:type="dxa"/>
            </w:tcMar>
          </w:tcPr>
          <w:p w14:paraId="590F2F32" w14:textId="77777777" w:rsidR="00F9728C" w:rsidRPr="00AA1EC7" w:rsidRDefault="00F9728C" w:rsidP="00F9728C">
            <w:pPr>
              <w:spacing w:after="0" w:line="240" w:lineRule="auto"/>
              <w:contextualSpacing/>
              <w:rPr>
                <w:rFonts w:eastAsia="Times New Roman" w:cs="Times New Roman"/>
                <w:color w:val="000000"/>
                <w:sz w:val="20"/>
                <w:szCs w:val="20"/>
                <w:lang w:val="it-IT"/>
              </w:rPr>
            </w:pPr>
          </w:p>
        </w:tc>
        <w:tc>
          <w:tcPr>
            <w:tcW w:w="1385" w:type="dxa"/>
            <w:gridSpan w:val="2"/>
            <w:tcBorders>
              <w:top w:val="single" w:sz="8" w:space="0" w:color="auto"/>
              <w:bottom w:val="single" w:sz="8" w:space="0" w:color="auto"/>
            </w:tcBorders>
            <w:tcMar>
              <w:left w:w="28" w:type="dxa"/>
              <w:right w:w="28" w:type="dxa"/>
            </w:tcMar>
          </w:tcPr>
          <w:p w14:paraId="36927A24" w14:textId="2EA2ED19"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rr ORR</w:t>
            </w:r>
          </w:p>
        </w:tc>
        <w:tc>
          <w:tcPr>
            <w:tcW w:w="1295" w:type="dxa"/>
            <w:tcBorders>
              <w:top w:val="single" w:sz="8" w:space="0" w:color="auto"/>
              <w:bottom w:val="single" w:sz="8" w:space="0" w:color="auto"/>
            </w:tcBorders>
            <w:tcMar>
              <w:left w:w="28" w:type="dxa"/>
              <w:right w:w="28" w:type="dxa"/>
            </w:tcMar>
          </w:tcPr>
          <w:p w14:paraId="2C647CEA"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HR OS</w:t>
            </w:r>
          </w:p>
        </w:tc>
        <w:tc>
          <w:tcPr>
            <w:tcW w:w="975" w:type="dxa"/>
            <w:tcBorders>
              <w:top w:val="single" w:sz="8" w:space="0" w:color="auto"/>
              <w:bottom w:val="single" w:sz="8" w:space="0" w:color="auto"/>
            </w:tcBorders>
            <w:tcMar>
              <w:left w:w="28" w:type="dxa"/>
              <w:right w:w="28" w:type="dxa"/>
            </w:tcMar>
          </w:tcPr>
          <w:p w14:paraId="2618DB93"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63" w:type="dxa"/>
            <w:tcBorders>
              <w:top w:val="single" w:sz="8" w:space="0" w:color="auto"/>
              <w:bottom w:val="single" w:sz="8" w:space="0" w:color="auto"/>
            </w:tcBorders>
            <w:tcMar>
              <w:left w:w="28" w:type="dxa"/>
              <w:right w:w="28" w:type="dxa"/>
            </w:tcMar>
          </w:tcPr>
          <w:p w14:paraId="22AC639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-0.03</w:t>
            </w:r>
          </w:p>
          <w:p w14:paraId="4A75020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-0.11</w:t>
            </w:r>
          </w:p>
          <w:p w14:paraId="05DC8C09"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-0.06</w:t>
            </w:r>
          </w:p>
        </w:tc>
      </w:tr>
      <w:tr w:rsidR="00F9728C" w:rsidRPr="00AA1EC7" w14:paraId="43AF9696"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66D6B5F4"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560F3B5D" w14:textId="67E75107"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Renal cell</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&lt;EndNote&gt;&lt;Cite&gt;&lt;Author&gt;Delea&lt;/Author&gt;&lt;Year&gt;2012&lt;/Year&gt;&lt;RecNum&gt;633&lt;/RecNum&gt;&lt;IDText&gt;$$include full text KC&amp;#xD;$$From Haslam (ref 81)&lt;/IDText&gt;&lt;DisplayText&gt;&lt;style face="superscript"&gt;92&lt;/style&gt;&lt;/DisplayText&gt;&lt;record&gt;&lt;rec-number&gt;633&lt;/rec-number&gt;&lt;foreign-keys&gt;&lt;key app="EN" db-id="dwaevxvazfs2f3ewvzmxrd0k0wasw55p2z2w" timestamp="1557310629"&gt;633&lt;/key&gt;&lt;/foreign-keys&gt;&lt;ref-type name="Journal Article"&gt;17&lt;/ref-type&gt;&lt;contributors&gt;&lt;authors&gt;&lt;author&gt;Delea, T. E.&lt;/author&gt;&lt;author&gt;Khuu, A.&lt;/author&gt;&lt;author&gt;Heng, D. Y. C.&lt;/author&gt;&lt;author&gt;Haas, T.&lt;/author&gt;&lt;author&gt;Soulieres, D.&lt;/author&gt;&lt;/authors&gt;&lt;/contributors&gt;&lt;titles&gt;&lt;title&gt;Association between treatment effects on disease progression end points and overall survival in clinical studies of patients with metastatic renal cell carcinoma&lt;/title&gt;&lt;secondary-title&gt;British Journal of Cancer&lt;/secondary-title&gt;&lt;/titles&gt;&lt;periodical&gt;&lt;full-title&gt;British Journal of Cancer&lt;/full-title&gt;&lt;abbr-1&gt;Br J Cancer&lt;/abbr-1&gt;&lt;/periodical&gt;&lt;pages&gt;1059-1068&lt;/pages&gt;&lt;volume&gt;107&lt;/volume&gt;&lt;number&gt;7&lt;/number&gt;&lt;keywords&gt;&lt;keyword&gt;$$include abstract KC&lt;/keyword&gt;&lt;keyword&gt;$$Broad search&lt;/keyword&gt;&lt;/keywords&gt;&lt;dates&gt;&lt;year&gt;2012&lt;/year&gt;&lt;pub-dates&gt;&lt;date&gt;Sep&lt;/date&gt;&lt;/pub-dates&gt;&lt;/dates&gt;&lt;isbn&gt;0007-0920&lt;/isbn&gt;&lt;accession-num&gt;WOS:000309540800009&lt;/accession-num&gt;&lt;label&gt;$$include full text KC&amp;#xD;$$From Haslam (ref 81)&lt;/label&gt;&lt;urls&gt;&lt;/urls&gt;&lt;electronic-resource-num&gt;10.1038/bjc.2012.367&lt;/electronic-resource-num&gt;&lt;research-notes&gt;&lt;style face="underline" font="default" size="100%"&gt;&amp;lt;Go to ISI&amp;gt;://WOS:000309540800009&lt;/style&gt;&lt;/research-notes&gt;&lt;/record&gt;&lt;/Cite&gt;&lt;/EndNote&gt;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92</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216543F1"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8" w:space="0" w:color="auto"/>
            </w:tcBorders>
            <w:shd w:val="clear" w:color="auto" w:fill="auto"/>
            <w:tcMar>
              <w:left w:w="28" w:type="dxa"/>
              <w:right w:w="28" w:type="dxa"/>
            </w:tcMar>
          </w:tcPr>
          <w:p w14:paraId="44EC304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340497F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2F47A55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6A9EF20A"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6EB85800" w14:textId="3B6EB5E5"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ln rr ORR</w:t>
            </w:r>
          </w:p>
        </w:tc>
        <w:tc>
          <w:tcPr>
            <w:tcW w:w="1295" w:type="dxa"/>
            <w:tcBorders>
              <w:top w:val="single" w:sz="8" w:space="0" w:color="auto"/>
              <w:bottom w:val="single" w:sz="8" w:space="0" w:color="auto"/>
            </w:tcBorders>
            <w:tcMar>
              <w:left w:w="28" w:type="dxa"/>
              <w:right w:w="28" w:type="dxa"/>
            </w:tcMar>
          </w:tcPr>
          <w:p w14:paraId="3114E73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-lnHR OS</w:t>
            </w:r>
          </w:p>
        </w:tc>
        <w:tc>
          <w:tcPr>
            <w:tcW w:w="975" w:type="dxa"/>
            <w:tcBorders>
              <w:top w:val="single" w:sz="8" w:space="0" w:color="auto"/>
              <w:bottom w:val="single" w:sz="8" w:space="0" w:color="auto"/>
            </w:tcBorders>
            <w:tcMar>
              <w:left w:w="28" w:type="dxa"/>
              <w:right w:w="28" w:type="dxa"/>
            </w:tcMar>
          </w:tcPr>
          <w:p w14:paraId="09F631E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-0.11</w:t>
            </w:r>
          </w:p>
        </w:tc>
        <w:tc>
          <w:tcPr>
            <w:tcW w:w="763" w:type="dxa"/>
            <w:tcBorders>
              <w:top w:val="single" w:sz="8" w:space="0" w:color="auto"/>
              <w:bottom w:val="single" w:sz="8" w:space="0" w:color="auto"/>
            </w:tcBorders>
            <w:tcMar>
              <w:left w:w="28" w:type="dxa"/>
              <w:right w:w="28" w:type="dxa"/>
            </w:tcMar>
          </w:tcPr>
          <w:p w14:paraId="44E5EC8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0.30</w:t>
            </w:r>
          </w:p>
        </w:tc>
      </w:tr>
      <w:tr w:rsidR="00F9728C" w:rsidRPr="00AA1EC7" w14:paraId="432E3237" w14:textId="77777777" w:rsidTr="00F9728C">
        <w:trPr>
          <w:cantSplit/>
          <w:trHeight w:val="255"/>
        </w:trPr>
        <w:tc>
          <w:tcPr>
            <w:tcW w:w="1243" w:type="dxa"/>
            <w:tcBorders>
              <w:top w:val="single" w:sz="8" w:space="0" w:color="auto"/>
              <w:bottom w:val="single" w:sz="8" w:space="0" w:color="auto"/>
            </w:tcBorders>
            <w:tcMar>
              <w:left w:w="28" w:type="dxa"/>
              <w:right w:w="28" w:type="dxa"/>
            </w:tcMar>
          </w:tcPr>
          <w:p w14:paraId="4230E464"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8" w:space="0" w:color="auto"/>
            </w:tcBorders>
            <w:shd w:val="clear" w:color="auto" w:fill="auto"/>
            <w:tcMar>
              <w:left w:w="28" w:type="dxa"/>
              <w:right w:w="28" w:type="dxa"/>
            </w:tcMar>
          </w:tcPr>
          <w:p w14:paraId="68B69962" w14:textId="67AA1677"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Biliary tract</w:t>
            </w:r>
            <w:r w:rsidRPr="002D1DD7">
              <w:rPr>
                <w:rFonts w:asciiTheme="majorBidi" w:eastAsia="Times New Roman" w:hAnsiTheme="majorBidi" w:cstheme="majorBidi"/>
                <w:color w:val="000000"/>
                <w:sz w:val="20"/>
                <w:szCs w:val="20"/>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116</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8" w:space="0" w:color="auto"/>
            </w:tcBorders>
            <w:tcMar>
              <w:left w:w="28" w:type="dxa"/>
              <w:right w:w="28" w:type="dxa"/>
            </w:tcMar>
          </w:tcPr>
          <w:p w14:paraId="40272243"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Chemo</w:t>
            </w:r>
          </w:p>
          <w:p w14:paraId="385A402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Gemcitabine</w:t>
            </w:r>
          </w:p>
          <w:p w14:paraId="795AF904"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Targeted</w:t>
            </w:r>
          </w:p>
        </w:tc>
        <w:tc>
          <w:tcPr>
            <w:tcW w:w="956" w:type="dxa"/>
            <w:tcBorders>
              <w:top w:val="single" w:sz="8" w:space="0" w:color="auto"/>
              <w:bottom w:val="single" w:sz="8" w:space="0" w:color="auto"/>
            </w:tcBorders>
            <w:shd w:val="clear" w:color="auto" w:fill="auto"/>
            <w:tcMar>
              <w:left w:w="28" w:type="dxa"/>
              <w:right w:w="28" w:type="dxa"/>
            </w:tcMar>
          </w:tcPr>
          <w:p w14:paraId="3210162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8" w:space="0" w:color="auto"/>
            </w:tcBorders>
            <w:shd w:val="clear" w:color="auto" w:fill="auto"/>
            <w:tcMar>
              <w:left w:w="28" w:type="dxa"/>
              <w:right w:w="28" w:type="dxa"/>
            </w:tcMar>
          </w:tcPr>
          <w:p w14:paraId="2E2E87D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8" w:space="0" w:color="auto"/>
            </w:tcBorders>
            <w:shd w:val="clear" w:color="auto" w:fill="auto"/>
            <w:tcMar>
              <w:left w:w="28" w:type="dxa"/>
              <w:right w:w="28" w:type="dxa"/>
            </w:tcMar>
          </w:tcPr>
          <w:p w14:paraId="4A1E53B7"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8" w:space="0" w:color="auto"/>
            </w:tcBorders>
            <w:shd w:val="clear" w:color="auto" w:fill="auto"/>
            <w:tcMar>
              <w:left w:w="28" w:type="dxa"/>
              <w:right w:w="28" w:type="dxa"/>
            </w:tcMar>
          </w:tcPr>
          <w:p w14:paraId="087E830D"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8" w:space="0" w:color="auto"/>
            </w:tcBorders>
            <w:tcMar>
              <w:left w:w="28" w:type="dxa"/>
              <w:right w:w="28" w:type="dxa"/>
            </w:tcMar>
          </w:tcPr>
          <w:p w14:paraId="78764EF4" w14:textId="2144D58E"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Ratio of ORR</w:t>
            </w:r>
          </w:p>
        </w:tc>
        <w:tc>
          <w:tcPr>
            <w:tcW w:w="1295" w:type="dxa"/>
            <w:tcBorders>
              <w:top w:val="single" w:sz="8" w:space="0" w:color="auto"/>
              <w:bottom w:val="single" w:sz="8" w:space="0" w:color="auto"/>
            </w:tcBorders>
            <w:tcMar>
              <w:left w:w="28" w:type="dxa"/>
              <w:right w:w="28" w:type="dxa"/>
            </w:tcMar>
          </w:tcPr>
          <w:p w14:paraId="6DBFE08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 ratio of median OS</w:t>
            </w:r>
          </w:p>
        </w:tc>
        <w:tc>
          <w:tcPr>
            <w:tcW w:w="975" w:type="dxa"/>
            <w:tcBorders>
              <w:top w:val="single" w:sz="8" w:space="0" w:color="auto"/>
              <w:bottom w:val="single" w:sz="8" w:space="0" w:color="auto"/>
            </w:tcBorders>
            <w:tcMar>
              <w:left w:w="28" w:type="dxa"/>
              <w:right w:w="28" w:type="dxa"/>
            </w:tcMar>
          </w:tcPr>
          <w:p w14:paraId="75164913"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0.01</w:t>
            </w:r>
          </w:p>
          <w:p w14:paraId="72FE659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0.02</w:t>
            </w:r>
          </w:p>
          <w:p w14:paraId="248C76A0"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0.12</w:t>
            </w:r>
          </w:p>
        </w:tc>
        <w:tc>
          <w:tcPr>
            <w:tcW w:w="763" w:type="dxa"/>
            <w:tcBorders>
              <w:top w:val="single" w:sz="8" w:space="0" w:color="auto"/>
              <w:bottom w:val="single" w:sz="8" w:space="0" w:color="auto"/>
            </w:tcBorders>
            <w:tcMar>
              <w:left w:w="28" w:type="dxa"/>
              <w:right w:w="28" w:type="dxa"/>
            </w:tcMar>
          </w:tcPr>
          <w:p w14:paraId="3BAF9C16"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0.28</w:t>
            </w:r>
          </w:p>
          <w:p w14:paraId="5B03C82A"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0.27</w:t>
            </w:r>
          </w:p>
          <w:p w14:paraId="3B22DAB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0.16</w:t>
            </w:r>
          </w:p>
        </w:tc>
      </w:tr>
      <w:tr w:rsidR="00F9728C" w:rsidRPr="00AA1EC7" w14:paraId="3B9D1DFF" w14:textId="77777777" w:rsidTr="00F9728C">
        <w:trPr>
          <w:cantSplit/>
          <w:trHeight w:val="255"/>
        </w:trPr>
        <w:tc>
          <w:tcPr>
            <w:tcW w:w="1243" w:type="dxa"/>
            <w:tcBorders>
              <w:top w:val="single" w:sz="8" w:space="0" w:color="auto"/>
              <w:bottom w:val="single" w:sz="12" w:space="0" w:color="auto"/>
            </w:tcBorders>
            <w:tcMar>
              <w:left w:w="28" w:type="dxa"/>
              <w:right w:w="28" w:type="dxa"/>
            </w:tcMar>
          </w:tcPr>
          <w:p w14:paraId="5E49529A" w14:textId="77777777" w:rsidR="00F9728C" w:rsidRPr="00AA1EC7" w:rsidRDefault="00F9728C" w:rsidP="00F9728C">
            <w:pPr>
              <w:spacing w:after="0" w:line="240" w:lineRule="auto"/>
              <w:contextualSpacing/>
              <w:rPr>
                <w:rFonts w:eastAsia="Times New Roman" w:cs="Times New Roman"/>
                <w:b/>
                <w:bCs/>
                <w:color w:val="000000"/>
                <w:sz w:val="20"/>
                <w:szCs w:val="20"/>
              </w:rPr>
            </w:pPr>
          </w:p>
          <w:p w14:paraId="3DF2C9FE" w14:textId="77777777" w:rsidR="00F9728C" w:rsidRPr="00AA1EC7" w:rsidRDefault="00F9728C" w:rsidP="00F9728C">
            <w:pPr>
              <w:spacing w:after="0" w:line="240" w:lineRule="auto"/>
              <w:contextualSpacing/>
              <w:rPr>
                <w:rFonts w:eastAsia="Times New Roman" w:cs="Times New Roman"/>
                <w:b/>
                <w:bCs/>
                <w:color w:val="000000"/>
                <w:sz w:val="20"/>
                <w:szCs w:val="20"/>
              </w:rPr>
            </w:pPr>
          </w:p>
          <w:p w14:paraId="263BEC44" w14:textId="77777777" w:rsidR="00F9728C" w:rsidRPr="00AA1EC7" w:rsidRDefault="00F9728C" w:rsidP="00F9728C">
            <w:pPr>
              <w:spacing w:after="0" w:line="240" w:lineRule="auto"/>
              <w:contextualSpacing/>
              <w:rPr>
                <w:rFonts w:eastAsia="Times New Roman" w:cs="Times New Roman"/>
                <w:b/>
                <w:bCs/>
                <w:color w:val="000000"/>
                <w:sz w:val="20"/>
                <w:szCs w:val="20"/>
              </w:rPr>
            </w:pPr>
          </w:p>
          <w:p w14:paraId="63E3C21F" w14:textId="77777777" w:rsidR="00F9728C" w:rsidRPr="00AA1EC7" w:rsidRDefault="00F9728C" w:rsidP="00F9728C">
            <w:pPr>
              <w:spacing w:after="0" w:line="240" w:lineRule="auto"/>
              <w:contextualSpacing/>
              <w:rPr>
                <w:rFonts w:eastAsia="Times New Roman" w:cs="Times New Roman"/>
                <w:b/>
                <w:bCs/>
                <w:color w:val="000000"/>
                <w:sz w:val="20"/>
                <w:szCs w:val="20"/>
              </w:rPr>
            </w:pPr>
          </w:p>
        </w:tc>
        <w:tc>
          <w:tcPr>
            <w:tcW w:w="2574" w:type="dxa"/>
            <w:tcBorders>
              <w:top w:val="single" w:sz="8" w:space="0" w:color="auto"/>
              <w:bottom w:val="single" w:sz="12" w:space="0" w:color="auto"/>
            </w:tcBorders>
            <w:shd w:val="clear" w:color="auto" w:fill="auto"/>
            <w:tcMar>
              <w:left w:w="28" w:type="dxa"/>
              <w:right w:w="28" w:type="dxa"/>
            </w:tcMar>
          </w:tcPr>
          <w:p w14:paraId="339AFBCD" w14:textId="2B486FA6"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Lung (SCLC)</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101</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12" w:space="0" w:color="auto"/>
            </w:tcBorders>
            <w:tcMar>
              <w:left w:w="28" w:type="dxa"/>
              <w:right w:w="28" w:type="dxa"/>
            </w:tcMar>
          </w:tcPr>
          <w:p w14:paraId="5BBAA776"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All</w:t>
            </w:r>
          </w:p>
          <w:p w14:paraId="22B7385B"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Pub. 1990-1996</w:t>
            </w:r>
          </w:p>
          <w:p w14:paraId="69F9B06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Pub. 1997-2008</w:t>
            </w:r>
          </w:p>
        </w:tc>
        <w:tc>
          <w:tcPr>
            <w:tcW w:w="956" w:type="dxa"/>
            <w:tcBorders>
              <w:top w:val="single" w:sz="8" w:space="0" w:color="auto"/>
              <w:bottom w:val="single" w:sz="12" w:space="0" w:color="auto"/>
            </w:tcBorders>
            <w:shd w:val="clear" w:color="auto" w:fill="auto"/>
            <w:tcMar>
              <w:left w:w="28" w:type="dxa"/>
              <w:right w:w="28" w:type="dxa"/>
            </w:tcMar>
          </w:tcPr>
          <w:p w14:paraId="2AF16C3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12" w:space="0" w:color="auto"/>
            </w:tcBorders>
            <w:shd w:val="clear" w:color="auto" w:fill="auto"/>
            <w:tcMar>
              <w:left w:w="28" w:type="dxa"/>
              <w:right w:w="28" w:type="dxa"/>
            </w:tcMar>
          </w:tcPr>
          <w:p w14:paraId="0AD112B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12" w:space="0" w:color="auto"/>
            </w:tcBorders>
            <w:shd w:val="clear" w:color="auto" w:fill="auto"/>
            <w:tcMar>
              <w:left w:w="28" w:type="dxa"/>
              <w:right w:w="28" w:type="dxa"/>
            </w:tcMar>
          </w:tcPr>
          <w:p w14:paraId="11C7815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12" w:space="0" w:color="auto"/>
            </w:tcBorders>
            <w:shd w:val="clear" w:color="auto" w:fill="auto"/>
            <w:tcMar>
              <w:left w:w="28" w:type="dxa"/>
              <w:right w:w="28" w:type="dxa"/>
            </w:tcMar>
          </w:tcPr>
          <w:p w14:paraId="2DB9F3C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12" w:space="0" w:color="auto"/>
            </w:tcBorders>
            <w:tcMar>
              <w:left w:w="28" w:type="dxa"/>
              <w:right w:w="28" w:type="dxa"/>
            </w:tcMar>
          </w:tcPr>
          <w:p w14:paraId="51C9AE7F" w14:textId="68C16760"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rr ORR</w:t>
            </w:r>
          </w:p>
        </w:tc>
        <w:tc>
          <w:tcPr>
            <w:tcW w:w="1295" w:type="dxa"/>
            <w:tcBorders>
              <w:top w:val="single" w:sz="8" w:space="0" w:color="auto"/>
              <w:bottom w:val="single" w:sz="12" w:space="0" w:color="auto"/>
            </w:tcBorders>
            <w:tcMar>
              <w:left w:w="28" w:type="dxa"/>
              <w:right w:w="28" w:type="dxa"/>
            </w:tcMar>
          </w:tcPr>
          <w:p w14:paraId="4138277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Diff median OS</w:t>
            </w:r>
          </w:p>
        </w:tc>
        <w:tc>
          <w:tcPr>
            <w:tcW w:w="975" w:type="dxa"/>
            <w:tcBorders>
              <w:top w:val="single" w:sz="8" w:space="0" w:color="auto"/>
              <w:bottom w:val="single" w:sz="12" w:space="0" w:color="auto"/>
            </w:tcBorders>
            <w:tcMar>
              <w:left w:w="28" w:type="dxa"/>
              <w:right w:w="28" w:type="dxa"/>
            </w:tcMar>
          </w:tcPr>
          <w:p w14:paraId="224FA8B9"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0.00</w:t>
            </w:r>
          </w:p>
          <w:p w14:paraId="6508918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0.00</w:t>
            </w:r>
          </w:p>
          <w:p w14:paraId="14C3DD7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0.00</w:t>
            </w:r>
          </w:p>
        </w:tc>
        <w:tc>
          <w:tcPr>
            <w:tcW w:w="763" w:type="dxa"/>
            <w:tcBorders>
              <w:top w:val="single" w:sz="8" w:space="0" w:color="auto"/>
              <w:bottom w:val="single" w:sz="12" w:space="0" w:color="auto"/>
            </w:tcBorders>
            <w:tcMar>
              <w:left w:w="28" w:type="dxa"/>
              <w:right w:w="28" w:type="dxa"/>
            </w:tcMar>
          </w:tcPr>
          <w:p w14:paraId="39139D2F"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0.06</w:t>
            </w:r>
          </w:p>
          <w:p w14:paraId="4081D91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0.04</w:t>
            </w:r>
          </w:p>
          <w:p w14:paraId="5071DFA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0.09</w:t>
            </w:r>
          </w:p>
        </w:tc>
      </w:tr>
      <w:tr w:rsidR="00F9728C" w:rsidRPr="00AA1EC7" w14:paraId="10859A62" w14:textId="77777777" w:rsidTr="00F9728C">
        <w:trPr>
          <w:cantSplit/>
          <w:trHeight w:val="255"/>
        </w:trPr>
        <w:tc>
          <w:tcPr>
            <w:tcW w:w="1243" w:type="dxa"/>
            <w:tcBorders>
              <w:top w:val="single" w:sz="12" w:space="0" w:color="auto"/>
              <w:bottom w:val="single" w:sz="8" w:space="0" w:color="auto"/>
            </w:tcBorders>
            <w:tcMar>
              <w:left w:w="28" w:type="dxa"/>
              <w:right w:w="28" w:type="dxa"/>
            </w:tcMar>
          </w:tcPr>
          <w:p w14:paraId="159498CE"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b/>
                <w:bCs/>
                <w:color w:val="000000"/>
                <w:sz w:val="20"/>
                <w:szCs w:val="20"/>
              </w:rPr>
              <w:t>CR to PFS</w:t>
            </w:r>
          </w:p>
        </w:tc>
        <w:tc>
          <w:tcPr>
            <w:tcW w:w="2574" w:type="dxa"/>
            <w:tcBorders>
              <w:top w:val="single" w:sz="12" w:space="0" w:color="auto"/>
              <w:bottom w:val="single" w:sz="8" w:space="0" w:color="auto"/>
            </w:tcBorders>
            <w:shd w:val="clear" w:color="auto" w:fill="auto"/>
            <w:tcMar>
              <w:left w:w="28" w:type="dxa"/>
              <w:right w:w="28" w:type="dxa"/>
            </w:tcMar>
          </w:tcPr>
          <w:p w14:paraId="00B6D029" w14:textId="2FEA2F02"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NHL</w:t>
            </w:r>
            <w:r w:rsidRPr="002D1DD7">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0E66DE">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129</w:t>
            </w:r>
            <w:r w:rsidRPr="002D1DD7">
              <w:rPr>
                <w:rFonts w:asciiTheme="majorBidi" w:eastAsia="Times New Roman" w:hAnsiTheme="majorBidi" w:cstheme="majorBidi"/>
                <w:color w:val="000000"/>
                <w:sz w:val="20"/>
                <w:szCs w:val="20"/>
              </w:rPr>
              <w:fldChar w:fldCharType="end"/>
            </w:r>
          </w:p>
        </w:tc>
        <w:tc>
          <w:tcPr>
            <w:tcW w:w="1631" w:type="dxa"/>
            <w:tcBorders>
              <w:top w:val="single" w:sz="12" w:space="0" w:color="auto"/>
              <w:bottom w:val="single" w:sz="8" w:space="0" w:color="auto"/>
            </w:tcBorders>
            <w:tcMar>
              <w:left w:w="28" w:type="dxa"/>
              <w:right w:w="28" w:type="dxa"/>
            </w:tcMar>
          </w:tcPr>
          <w:p w14:paraId="005C66A7"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12" w:space="0" w:color="auto"/>
              <w:bottom w:val="single" w:sz="8" w:space="0" w:color="auto"/>
            </w:tcBorders>
            <w:shd w:val="clear" w:color="auto" w:fill="auto"/>
            <w:tcMar>
              <w:left w:w="28" w:type="dxa"/>
              <w:right w:w="28" w:type="dxa"/>
            </w:tcMar>
          </w:tcPr>
          <w:p w14:paraId="73DAB92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12" w:space="0" w:color="auto"/>
              <w:bottom w:val="single" w:sz="8" w:space="0" w:color="auto"/>
            </w:tcBorders>
            <w:shd w:val="clear" w:color="auto" w:fill="auto"/>
            <w:tcMar>
              <w:left w:w="28" w:type="dxa"/>
              <w:right w:w="28" w:type="dxa"/>
            </w:tcMar>
          </w:tcPr>
          <w:p w14:paraId="28FE2A7B"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12" w:space="0" w:color="auto"/>
              <w:bottom w:val="single" w:sz="8" w:space="0" w:color="auto"/>
            </w:tcBorders>
            <w:shd w:val="clear" w:color="auto" w:fill="auto"/>
            <w:tcMar>
              <w:left w:w="28" w:type="dxa"/>
              <w:right w:w="28" w:type="dxa"/>
            </w:tcMar>
          </w:tcPr>
          <w:p w14:paraId="39B070E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12" w:space="0" w:color="auto"/>
              <w:bottom w:val="single" w:sz="8" w:space="0" w:color="auto"/>
            </w:tcBorders>
            <w:shd w:val="clear" w:color="auto" w:fill="auto"/>
            <w:tcMar>
              <w:left w:w="28" w:type="dxa"/>
              <w:right w:w="28" w:type="dxa"/>
            </w:tcMar>
          </w:tcPr>
          <w:p w14:paraId="40E7F49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12" w:space="0" w:color="auto"/>
              <w:bottom w:val="single" w:sz="8" w:space="0" w:color="auto"/>
            </w:tcBorders>
            <w:tcMar>
              <w:left w:w="28" w:type="dxa"/>
              <w:right w:w="28" w:type="dxa"/>
            </w:tcMar>
          </w:tcPr>
          <w:p w14:paraId="1D9EC77B"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CR 30mo</w:t>
            </w:r>
          </w:p>
        </w:tc>
        <w:tc>
          <w:tcPr>
            <w:tcW w:w="1295" w:type="dxa"/>
            <w:tcBorders>
              <w:top w:val="single" w:sz="12" w:space="0" w:color="auto"/>
              <w:bottom w:val="single" w:sz="8" w:space="0" w:color="auto"/>
            </w:tcBorders>
            <w:tcMar>
              <w:left w:w="28" w:type="dxa"/>
              <w:right w:w="28" w:type="dxa"/>
            </w:tcMar>
          </w:tcPr>
          <w:p w14:paraId="6F577ADE"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PFS</w:t>
            </w:r>
          </w:p>
        </w:tc>
        <w:tc>
          <w:tcPr>
            <w:tcW w:w="975" w:type="dxa"/>
            <w:tcBorders>
              <w:top w:val="single" w:sz="12" w:space="0" w:color="auto"/>
              <w:bottom w:val="single" w:sz="8" w:space="0" w:color="auto"/>
            </w:tcBorders>
            <w:tcMar>
              <w:left w:w="28" w:type="dxa"/>
              <w:right w:w="28" w:type="dxa"/>
            </w:tcMar>
          </w:tcPr>
          <w:p w14:paraId="0A1197E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-0.09</w:t>
            </w:r>
          </w:p>
        </w:tc>
        <w:tc>
          <w:tcPr>
            <w:tcW w:w="763" w:type="dxa"/>
            <w:tcBorders>
              <w:top w:val="single" w:sz="12" w:space="0" w:color="auto"/>
              <w:bottom w:val="single" w:sz="8" w:space="0" w:color="auto"/>
            </w:tcBorders>
            <w:tcMar>
              <w:left w:w="28" w:type="dxa"/>
              <w:right w:w="28" w:type="dxa"/>
            </w:tcMar>
          </w:tcPr>
          <w:p w14:paraId="5FFD392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-0.64</w:t>
            </w:r>
          </w:p>
        </w:tc>
      </w:tr>
      <w:tr w:rsidR="00F9728C" w:rsidRPr="00AA1EC7" w14:paraId="65E03F82" w14:textId="77777777" w:rsidTr="00F9728C">
        <w:trPr>
          <w:cantSplit/>
          <w:trHeight w:val="255"/>
        </w:trPr>
        <w:tc>
          <w:tcPr>
            <w:tcW w:w="1243" w:type="dxa"/>
            <w:tcBorders>
              <w:top w:val="single" w:sz="8" w:space="0" w:color="auto"/>
              <w:bottom w:val="single" w:sz="12" w:space="0" w:color="auto"/>
            </w:tcBorders>
            <w:tcMar>
              <w:left w:w="28" w:type="dxa"/>
              <w:right w:w="28" w:type="dxa"/>
            </w:tcMar>
          </w:tcPr>
          <w:p w14:paraId="70804A96"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2574" w:type="dxa"/>
            <w:tcBorders>
              <w:top w:val="single" w:sz="8" w:space="0" w:color="auto"/>
              <w:bottom w:val="single" w:sz="12" w:space="0" w:color="auto"/>
            </w:tcBorders>
            <w:shd w:val="clear" w:color="auto" w:fill="auto"/>
            <w:tcMar>
              <w:left w:w="28" w:type="dxa"/>
              <w:right w:w="28" w:type="dxa"/>
            </w:tcMar>
          </w:tcPr>
          <w:p w14:paraId="04BA440C" w14:textId="50739A91"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NHL</w:t>
            </w:r>
            <w:r w:rsidRPr="002D1DD7">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0E66DE">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129</w:t>
            </w:r>
            <w:r w:rsidRPr="002D1DD7">
              <w:rPr>
                <w:rFonts w:asciiTheme="majorBidi" w:eastAsia="Times New Roman" w:hAnsiTheme="majorBidi" w:cstheme="majorBidi"/>
                <w:color w:val="000000"/>
                <w:sz w:val="20"/>
                <w:szCs w:val="20"/>
              </w:rPr>
              <w:fldChar w:fldCharType="end"/>
            </w:r>
          </w:p>
        </w:tc>
        <w:tc>
          <w:tcPr>
            <w:tcW w:w="1631" w:type="dxa"/>
            <w:tcBorders>
              <w:top w:val="single" w:sz="8" w:space="0" w:color="auto"/>
              <w:bottom w:val="single" w:sz="12" w:space="0" w:color="auto"/>
            </w:tcBorders>
            <w:tcMar>
              <w:left w:w="28" w:type="dxa"/>
              <w:right w:w="28" w:type="dxa"/>
            </w:tcMar>
          </w:tcPr>
          <w:p w14:paraId="78D1350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6" w:type="dxa"/>
            <w:tcBorders>
              <w:top w:val="single" w:sz="8" w:space="0" w:color="auto"/>
              <w:bottom w:val="single" w:sz="12" w:space="0" w:color="auto"/>
            </w:tcBorders>
            <w:shd w:val="clear" w:color="auto" w:fill="auto"/>
            <w:tcMar>
              <w:left w:w="28" w:type="dxa"/>
              <w:right w:w="28" w:type="dxa"/>
            </w:tcMar>
          </w:tcPr>
          <w:p w14:paraId="0CEC6859"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8" w:space="0" w:color="auto"/>
              <w:bottom w:val="single" w:sz="12" w:space="0" w:color="auto"/>
            </w:tcBorders>
            <w:shd w:val="clear" w:color="auto" w:fill="auto"/>
            <w:tcMar>
              <w:left w:w="28" w:type="dxa"/>
              <w:right w:w="28" w:type="dxa"/>
            </w:tcMar>
          </w:tcPr>
          <w:p w14:paraId="646BDC4C"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8" w:space="0" w:color="auto"/>
              <w:bottom w:val="single" w:sz="12" w:space="0" w:color="auto"/>
            </w:tcBorders>
            <w:shd w:val="clear" w:color="auto" w:fill="auto"/>
            <w:tcMar>
              <w:left w:w="28" w:type="dxa"/>
              <w:right w:w="28" w:type="dxa"/>
            </w:tcMar>
          </w:tcPr>
          <w:p w14:paraId="18EF31C5"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8" w:space="0" w:color="auto"/>
              <w:bottom w:val="single" w:sz="12" w:space="0" w:color="auto"/>
            </w:tcBorders>
            <w:shd w:val="clear" w:color="auto" w:fill="auto"/>
            <w:tcMar>
              <w:left w:w="28" w:type="dxa"/>
              <w:right w:w="28" w:type="dxa"/>
            </w:tcMar>
          </w:tcPr>
          <w:p w14:paraId="2B550418"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8" w:space="0" w:color="auto"/>
              <w:bottom w:val="single" w:sz="12" w:space="0" w:color="auto"/>
            </w:tcBorders>
            <w:tcMar>
              <w:left w:w="28" w:type="dxa"/>
              <w:right w:w="28" w:type="dxa"/>
            </w:tcMar>
          </w:tcPr>
          <w:p w14:paraId="778AE90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CR 24mo</w:t>
            </w:r>
          </w:p>
        </w:tc>
        <w:tc>
          <w:tcPr>
            <w:tcW w:w="1295" w:type="dxa"/>
            <w:tcBorders>
              <w:top w:val="single" w:sz="8" w:space="0" w:color="auto"/>
              <w:bottom w:val="single" w:sz="12" w:space="0" w:color="auto"/>
            </w:tcBorders>
            <w:tcMar>
              <w:left w:w="28" w:type="dxa"/>
              <w:right w:w="28" w:type="dxa"/>
            </w:tcMar>
          </w:tcPr>
          <w:p w14:paraId="271AA95B"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PFS</w:t>
            </w:r>
          </w:p>
        </w:tc>
        <w:tc>
          <w:tcPr>
            <w:tcW w:w="975" w:type="dxa"/>
            <w:tcBorders>
              <w:top w:val="single" w:sz="8" w:space="0" w:color="auto"/>
              <w:bottom w:val="single" w:sz="12" w:space="0" w:color="auto"/>
            </w:tcBorders>
            <w:tcMar>
              <w:left w:w="28" w:type="dxa"/>
              <w:right w:w="28" w:type="dxa"/>
            </w:tcMar>
          </w:tcPr>
          <w:p w14:paraId="44DFCC9E"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0.04</w:t>
            </w:r>
          </w:p>
        </w:tc>
        <w:tc>
          <w:tcPr>
            <w:tcW w:w="763" w:type="dxa"/>
            <w:tcBorders>
              <w:top w:val="single" w:sz="8" w:space="0" w:color="auto"/>
              <w:bottom w:val="single" w:sz="12" w:space="0" w:color="auto"/>
            </w:tcBorders>
            <w:tcMar>
              <w:left w:w="28" w:type="dxa"/>
              <w:right w:w="28" w:type="dxa"/>
            </w:tcMar>
          </w:tcPr>
          <w:p w14:paraId="58B9AAF4"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-0.73</w:t>
            </w:r>
          </w:p>
        </w:tc>
      </w:tr>
      <w:tr w:rsidR="00F9728C" w:rsidRPr="00AA1EC7" w14:paraId="10FF8DB6" w14:textId="77777777" w:rsidTr="00F9728C">
        <w:trPr>
          <w:cantSplit/>
          <w:trHeight w:val="255"/>
        </w:trPr>
        <w:tc>
          <w:tcPr>
            <w:tcW w:w="1243" w:type="dxa"/>
            <w:tcBorders>
              <w:top w:val="single" w:sz="12" w:space="0" w:color="auto"/>
              <w:bottom w:val="single" w:sz="12" w:space="0" w:color="auto"/>
            </w:tcBorders>
            <w:tcMar>
              <w:left w:w="28" w:type="dxa"/>
              <w:right w:w="28" w:type="dxa"/>
            </w:tcMar>
          </w:tcPr>
          <w:p w14:paraId="66F15B81"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b/>
                <w:bCs/>
                <w:color w:val="000000"/>
                <w:sz w:val="20"/>
                <w:szCs w:val="20"/>
              </w:rPr>
              <w:t>CR to OS</w:t>
            </w:r>
          </w:p>
        </w:tc>
        <w:tc>
          <w:tcPr>
            <w:tcW w:w="2574" w:type="dxa"/>
            <w:tcBorders>
              <w:top w:val="single" w:sz="12" w:space="0" w:color="auto"/>
              <w:bottom w:val="single" w:sz="12" w:space="0" w:color="auto"/>
            </w:tcBorders>
            <w:shd w:val="clear" w:color="auto" w:fill="auto"/>
            <w:tcMar>
              <w:left w:w="28" w:type="dxa"/>
              <w:right w:w="28" w:type="dxa"/>
            </w:tcMar>
          </w:tcPr>
          <w:p w14:paraId="545058AD" w14:textId="1F79E116" w:rsidR="00F9728C" w:rsidRPr="00AA1EC7" w:rsidRDefault="00F9728C" w:rsidP="000E66DE">
            <w:pPr>
              <w:spacing w:after="0" w:line="240" w:lineRule="auto"/>
              <w:contextualSpacing/>
              <w:rPr>
                <w:rFonts w:eastAsia="Times New Roman" w:cs="Times New Roman"/>
                <w:color w:val="000000"/>
                <w:sz w:val="20"/>
                <w:szCs w:val="20"/>
              </w:rPr>
            </w:pPr>
            <w:r w:rsidRPr="002D1DD7">
              <w:rPr>
                <w:rFonts w:asciiTheme="majorBidi" w:eastAsia="Times New Roman" w:hAnsiTheme="majorBidi" w:cstheme="majorBidi"/>
                <w:color w:val="000000"/>
                <w:sz w:val="20"/>
                <w:szCs w:val="20"/>
              </w:rPr>
              <w:t>Breast</w:t>
            </w:r>
            <w:r w:rsidRPr="002D1DD7">
              <w:rPr>
                <w:rFonts w:asciiTheme="majorBidi" w:eastAsia="Times New Roman" w:hAnsiTheme="majorBidi" w:cstheme="majorBidi"/>
                <w:color w:val="000000"/>
                <w:sz w:val="20"/>
                <w:szCs w:val="20"/>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96</w:t>
            </w:r>
            <w:r w:rsidRPr="002D1DD7">
              <w:rPr>
                <w:rFonts w:asciiTheme="majorBidi" w:eastAsia="Times New Roman" w:hAnsiTheme="majorBidi" w:cstheme="majorBidi"/>
                <w:color w:val="000000"/>
                <w:sz w:val="20"/>
                <w:szCs w:val="20"/>
              </w:rPr>
              <w:fldChar w:fldCharType="end"/>
            </w:r>
          </w:p>
        </w:tc>
        <w:tc>
          <w:tcPr>
            <w:tcW w:w="1631" w:type="dxa"/>
            <w:tcBorders>
              <w:top w:val="single" w:sz="12" w:space="0" w:color="auto"/>
              <w:bottom w:val="single" w:sz="12" w:space="0" w:color="auto"/>
            </w:tcBorders>
            <w:tcMar>
              <w:left w:w="28" w:type="dxa"/>
              <w:right w:w="28" w:type="dxa"/>
            </w:tcMar>
          </w:tcPr>
          <w:p w14:paraId="2966C582"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All</w:t>
            </w:r>
          </w:p>
          <w:p w14:paraId="66B3CBD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Recr. pre-1990</w:t>
            </w:r>
          </w:p>
          <w:p w14:paraId="1A9FD91D"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 Recr. 1990 or after</w:t>
            </w:r>
          </w:p>
        </w:tc>
        <w:tc>
          <w:tcPr>
            <w:tcW w:w="956" w:type="dxa"/>
            <w:tcBorders>
              <w:top w:val="single" w:sz="12" w:space="0" w:color="auto"/>
              <w:bottom w:val="single" w:sz="12" w:space="0" w:color="auto"/>
            </w:tcBorders>
            <w:shd w:val="clear" w:color="auto" w:fill="auto"/>
            <w:tcMar>
              <w:left w:w="28" w:type="dxa"/>
              <w:right w:w="28" w:type="dxa"/>
            </w:tcMar>
          </w:tcPr>
          <w:p w14:paraId="0158F77E"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273" w:type="dxa"/>
            <w:tcBorders>
              <w:top w:val="single" w:sz="12" w:space="0" w:color="auto"/>
              <w:bottom w:val="single" w:sz="12" w:space="0" w:color="auto"/>
            </w:tcBorders>
            <w:shd w:val="clear" w:color="auto" w:fill="auto"/>
            <w:tcMar>
              <w:left w:w="28" w:type="dxa"/>
              <w:right w:w="28" w:type="dxa"/>
            </w:tcMar>
          </w:tcPr>
          <w:p w14:paraId="4D1B5AF7"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950" w:type="dxa"/>
            <w:tcBorders>
              <w:top w:val="single" w:sz="12" w:space="0" w:color="auto"/>
              <w:bottom w:val="single" w:sz="12" w:space="0" w:color="auto"/>
            </w:tcBorders>
            <w:shd w:val="clear" w:color="auto" w:fill="auto"/>
            <w:tcMar>
              <w:left w:w="28" w:type="dxa"/>
              <w:right w:w="28" w:type="dxa"/>
            </w:tcMar>
          </w:tcPr>
          <w:p w14:paraId="2D7D866E"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743" w:type="dxa"/>
            <w:tcBorders>
              <w:top w:val="single" w:sz="12" w:space="0" w:color="auto"/>
              <w:bottom w:val="single" w:sz="12" w:space="0" w:color="auto"/>
            </w:tcBorders>
            <w:shd w:val="clear" w:color="auto" w:fill="auto"/>
            <w:tcMar>
              <w:left w:w="28" w:type="dxa"/>
              <w:right w:w="28" w:type="dxa"/>
            </w:tcMar>
          </w:tcPr>
          <w:p w14:paraId="439B00F4" w14:textId="77777777" w:rsidR="00F9728C" w:rsidRPr="00AA1EC7" w:rsidRDefault="00F9728C" w:rsidP="00F9728C">
            <w:pPr>
              <w:spacing w:after="0" w:line="240" w:lineRule="auto"/>
              <w:contextualSpacing/>
              <w:rPr>
                <w:rFonts w:eastAsia="Times New Roman" w:cs="Times New Roman"/>
                <w:color w:val="000000"/>
                <w:sz w:val="20"/>
                <w:szCs w:val="20"/>
              </w:rPr>
            </w:pPr>
          </w:p>
        </w:tc>
        <w:tc>
          <w:tcPr>
            <w:tcW w:w="1385" w:type="dxa"/>
            <w:gridSpan w:val="2"/>
            <w:tcBorders>
              <w:top w:val="single" w:sz="12" w:space="0" w:color="auto"/>
              <w:bottom w:val="single" w:sz="12" w:space="0" w:color="auto"/>
            </w:tcBorders>
            <w:tcMar>
              <w:left w:w="28" w:type="dxa"/>
              <w:right w:w="28" w:type="dxa"/>
            </w:tcMar>
          </w:tcPr>
          <w:p w14:paraId="2C80660F"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logOR CR</w:t>
            </w:r>
          </w:p>
        </w:tc>
        <w:tc>
          <w:tcPr>
            <w:tcW w:w="1295" w:type="dxa"/>
            <w:tcBorders>
              <w:top w:val="single" w:sz="12" w:space="0" w:color="auto"/>
              <w:bottom w:val="single" w:sz="12" w:space="0" w:color="auto"/>
            </w:tcBorders>
            <w:tcMar>
              <w:left w:w="28" w:type="dxa"/>
              <w:right w:w="28" w:type="dxa"/>
            </w:tcMar>
          </w:tcPr>
          <w:p w14:paraId="54D829FC"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logHR OS</w:t>
            </w:r>
          </w:p>
        </w:tc>
        <w:tc>
          <w:tcPr>
            <w:tcW w:w="975" w:type="dxa"/>
            <w:tcBorders>
              <w:top w:val="single" w:sz="12" w:space="0" w:color="auto"/>
              <w:bottom w:val="single" w:sz="12" w:space="0" w:color="auto"/>
            </w:tcBorders>
            <w:tcMar>
              <w:left w:w="28" w:type="dxa"/>
              <w:right w:w="28" w:type="dxa"/>
            </w:tcMar>
          </w:tcPr>
          <w:p w14:paraId="03CF8EE7"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-0.01</w:t>
            </w:r>
          </w:p>
          <w:p w14:paraId="4CA9EC0A"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p w14:paraId="2DD11759"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NR</w:t>
            </w:r>
          </w:p>
        </w:tc>
        <w:tc>
          <w:tcPr>
            <w:tcW w:w="763" w:type="dxa"/>
            <w:tcBorders>
              <w:top w:val="single" w:sz="12" w:space="0" w:color="auto"/>
              <w:bottom w:val="single" w:sz="12" w:space="0" w:color="auto"/>
            </w:tcBorders>
            <w:tcMar>
              <w:left w:w="28" w:type="dxa"/>
              <w:right w:w="28" w:type="dxa"/>
            </w:tcMar>
          </w:tcPr>
          <w:p w14:paraId="4979716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0.13</w:t>
            </w:r>
          </w:p>
          <w:p w14:paraId="53001525"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0.09</w:t>
            </w:r>
          </w:p>
          <w:p w14:paraId="45380408" w14:textId="77777777" w:rsidR="00F9728C" w:rsidRPr="00AA1EC7" w:rsidRDefault="00F9728C" w:rsidP="00F9728C">
            <w:pPr>
              <w:spacing w:after="0" w:line="240" w:lineRule="auto"/>
              <w:contextualSpacing/>
              <w:rPr>
                <w:rFonts w:eastAsia="Times New Roman" w:cs="Times New Roman"/>
                <w:color w:val="000000"/>
                <w:sz w:val="20"/>
                <w:szCs w:val="20"/>
              </w:rPr>
            </w:pPr>
            <w:r w:rsidRPr="00AA1EC7">
              <w:rPr>
                <w:rFonts w:eastAsia="Times New Roman" w:cs="Times New Roman"/>
                <w:color w:val="000000"/>
                <w:sz w:val="20"/>
                <w:szCs w:val="20"/>
              </w:rPr>
              <w:t>0.16</w:t>
            </w:r>
          </w:p>
        </w:tc>
      </w:tr>
      <w:tr w:rsidR="00716DF9" w:rsidRPr="00AA1EC7" w14:paraId="1F9434ED" w14:textId="77777777" w:rsidTr="00716DF9">
        <w:trPr>
          <w:cantSplit/>
          <w:trHeight w:val="255"/>
        </w:trPr>
        <w:tc>
          <w:tcPr>
            <w:tcW w:w="13788" w:type="dxa"/>
            <w:gridSpan w:val="12"/>
            <w:tcBorders>
              <w:top w:val="single" w:sz="12" w:space="0" w:color="auto"/>
            </w:tcBorders>
            <w:tcMar>
              <w:left w:w="28" w:type="dxa"/>
              <w:right w:w="28" w:type="dxa"/>
            </w:tcMar>
          </w:tcPr>
          <w:p w14:paraId="36EC3AB0" w14:textId="4E09C1EE" w:rsidR="00716DF9" w:rsidRPr="00AA1EC7" w:rsidRDefault="00716DF9" w:rsidP="00AA1EC7">
            <w:pPr>
              <w:spacing w:after="0" w:line="240" w:lineRule="auto"/>
              <w:contextualSpacing/>
              <w:rPr>
                <w:rFonts w:eastAsia="Times New Roman" w:cs="Times New Roman"/>
                <w:color w:val="000000"/>
                <w:sz w:val="20"/>
                <w:szCs w:val="20"/>
              </w:rPr>
            </w:pPr>
            <w:r w:rsidRPr="00AA1EC7">
              <w:rPr>
                <w:rFonts w:cs="Times New Roman"/>
                <w:sz w:val="20"/>
                <w:szCs w:val="20"/>
              </w:rPr>
              <w:t xml:space="preserve">Anti-angio, anti-angiogenic; CR, complete response; diff, difference; HR, hazard ratio; ln, natural logarithm; log, logarithm; NHL, non-Hodgkin’s lymphoma; NR, not reported; NSCLC, non-small cell lung cancer; OR, odds ratio; </w:t>
            </w:r>
            <w:r w:rsidR="00E66C21" w:rsidRPr="00AA1EC7">
              <w:rPr>
                <w:rFonts w:cs="Times New Roman"/>
                <w:sz w:val="20"/>
                <w:szCs w:val="20"/>
              </w:rPr>
              <w:t xml:space="preserve">ORR, overall response rate; </w:t>
            </w:r>
            <w:r w:rsidRPr="00AA1EC7">
              <w:rPr>
                <w:rFonts w:cs="Times New Roman"/>
                <w:sz w:val="20"/>
                <w:szCs w:val="20"/>
              </w:rPr>
              <w:t>OS, overall survival; PFS, progression-free survival; pub, published; recr, recruited; rr, relative risk; SCLC, small cell lung cancer.</w:t>
            </w:r>
          </w:p>
        </w:tc>
      </w:tr>
    </w:tbl>
    <w:p w14:paraId="13BF2A6A" w14:textId="4F20AA49" w:rsidR="00716DF9" w:rsidRDefault="00716DF9" w:rsidP="00716DF9"/>
    <w:p w14:paraId="333199C6" w14:textId="77777777" w:rsidR="00AA1EC7" w:rsidRPr="002D1DD7" w:rsidRDefault="00AA1EC7" w:rsidP="00716DF9"/>
    <w:p w14:paraId="27CACE78" w14:textId="77777777" w:rsidR="00716DF9" w:rsidRPr="002D1DD7" w:rsidRDefault="00716DF9" w:rsidP="00716DF9">
      <w:pPr>
        <w:sectPr w:rsidR="00716DF9" w:rsidRPr="002D1DD7" w:rsidSect="00716DF9">
          <w:pgSz w:w="16838" w:h="11906" w:orient="landscape"/>
          <w:pgMar w:top="1440" w:right="1440" w:bottom="1440" w:left="1440" w:header="708" w:footer="708" w:gutter="0"/>
          <w:cols w:space="708"/>
          <w:docGrid w:linePitch="360"/>
        </w:sectPr>
      </w:pPr>
    </w:p>
    <w:p w14:paraId="2A5FA0A5" w14:textId="77777777" w:rsidR="00716DF9" w:rsidRPr="002D1DD7" w:rsidRDefault="00716DF9" w:rsidP="00AA1EC7">
      <w:pPr>
        <w:pStyle w:val="Heading4"/>
      </w:pPr>
      <w:bookmarkStart w:id="110" w:name="_Toc33776183"/>
      <w:r w:rsidRPr="002D1DD7">
        <w:lastRenderedPageBreak/>
        <w:t>Surrogate threshold effect (STE)</w:t>
      </w:r>
      <w:bookmarkEnd w:id="110"/>
    </w:p>
    <w:p w14:paraId="47B889C5" w14:textId="2B4E626E" w:rsidR="00716DF9" w:rsidRPr="002D1DD7" w:rsidRDefault="00716DF9" w:rsidP="00231517">
      <w:pPr>
        <w:rPr>
          <w:rFonts w:asciiTheme="majorBidi" w:hAnsiTheme="majorBidi" w:cstheme="majorBidi"/>
        </w:rPr>
      </w:pPr>
      <w:r w:rsidRPr="002D1DD7">
        <w:rPr>
          <w:rFonts w:eastAsia="Times New Roman"/>
          <w:lang w:eastAsia="en-GB"/>
        </w:rPr>
        <w:t xml:space="preserve">The STE (the </w:t>
      </w:r>
      <w:r w:rsidRPr="002D1DD7">
        <w:t>smallest treatment effect on the surrogate that predicts a non-zero treatment effect on the true endpoint)</w:t>
      </w:r>
      <w:r w:rsidR="003117A9">
        <w:fldChar w:fldCharType="begin"/>
      </w:r>
      <w:r w:rsidR="000E66DE">
        <w:instrText xml:space="preserve"> ADDIN EN.CITE &lt;EndNote&gt;&lt;Cite&gt;&lt;Author&gt;Buyse&lt;/Author&gt;&lt;Year&gt;2016&lt;/Year&gt;&lt;RecNum&gt;337&lt;/RecNum&gt;&lt;DisplayText&gt;&lt;style face="superscript"&gt;73&lt;/style&gt;&lt;/DisplayText&gt;&lt;record&gt;&lt;rec-number&gt;337&lt;/rec-number&gt;&lt;foreign-keys&gt;&lt;key app="EN" db-id="dwaevxvazfs2f3ewvzmxrd0k0wasw55p2z2w" timestamp="1557310569"&gt;337&lt;/key&gt;&lt;/foreign-keys&gt;&lt;ref-type name="Journal Article"&gt;17&lt;/ref-type&gt;&lt;contributors&gt;&lt;authors&gt;&lt;author&gt;Buyse, M.&lt;/author&gt;&lt;author&gt;Molenberghs, G.&lt;/author&gt;&lt;author&gt;Paoletti, X.&lt;/author&gt;&lt;author&gt;Oba, K.&lt;/author&gt;&lt;author&gt;Alonso, A.&lt;/author&gt;&lt;author&gt;Van der Elst, W.&lt;/author&gt;&lt;author&gt;Burzykowski, T.&lt;/author&gt;&lt;/authors&gt;&lt;/contributors&gt;&lt;titles&gt;&lt;title&gt;Statistical evaluation of surrogate endpoints with examples from cancer clinical trials&lt;/title&gt;&lt;secondary-title&gt;Biometrical Journal&lt;/secondary-title&gt;&lt;/titles&gt;&lt;periodical&gt;&lt;full-title&gt;Biometrical Journal&lt;/full-title&gt;&lt;abbr-1&gt;Biometrical J&lt;/abbr-1&gt;&lt;/periodical&gt;&lt;pages&gt;104-132&lt;/pages&gt;&lt;volume&gt;58&lt;/volume&gt;&lt;number&gt;1&lt;/number&gt;&lt;keywords&gt;&lt;keyword&gt;$$include abstract KC&lt;/keyword&gt;&lt;keyword&gt;$$background surrogates&lt;/keyword&gt;&lt;keyword&gt;$$Broad search $$Citation search&lt;/keyword&gt;&lt;/keywords&gt;&lt;dates&gt;&lt;year&gt;2016&lt;/year&gt;&lt;pub-dates&gt;&lt;date&gt;Jan&lt;/date&gt;&lt;/pub-dates&gt;&lt;/dates&gt;&lt;isbn&gt;0323-3847&lt;/isbn&gt;&lt;accession-num&gt;WOS:000367731300008&lt;/accession-num&gt;&lt;label&gt;$$exclude full text KC&amp;#xD;$$not clinical study&amp;#xD;References Paoletti 2013 meta-analysis in advanced gastric cancer: only PFS to OS so not relevant&lt;/label&gt;&lt;urls&gt;&lt;/urls&gt;&lt;electronic-resource-num&gt;10.1002/bimj.201400049&lt;/electronic-resource-num&gt;&lt;research-notes&gt;&lt;style face="underline" font="default" size="100%"&gt;&amp;lt;Go to ISI&amp;gt;://WOS:000367731300008&lt;/style&gt;&lt;/research-notes&gt;&lt;/record&gt;&lt;/Cite&gt;&lt;/EndNote&gt;</w:instrText>
      </w:r>
      <w:r w:rsidR="003117A9">
        <w:fldChar w:fldCharType="separate"/>
      </w:r>
      <w:r w:rsidR="003117A9" w:rsidRPr="003117A9">
        <w:rPr>
          <w:noProof/>
          <w:vertAlign w:val="superscript"/>
        </w:rPr>
        <w:t>73</w:t>
      </w:r>
      <w:r w:rsidR="003117A9">
        <w:fldChar w:fldCharType="end"/>
      </w:r>
      <w:r w:rsidR="003117A9">
        <w:t xml:space="preserve"> </w:t>
      </w:r>
      <w:r w:rsidRPr="002D1DD7">
        <w:t>was reported in only four studies (</w:t>
      </w:r>
      <w:r w:rsidRPr="002D1DD7">
        <w:fldChar w:fldCharType="begin"/>
      </w:r>
      <w:r w:rsidRPr="002D1DD7">
        <w:instrText xml:space="preserve"> REF _Ref19105364 \h </w:instrText>
      </w:r>
      <w:r w:rsidRPr="002D1DD7">
        <w:fldChar w:fldCharType="separate"/>
      </w:r>
      <w:r w:rsidR="00C663A2" w:rsidRPr="002D1DD7">
        <w:t xml:space="preserve">Table </w:t>
      </w:r>
      <w:r w:rsidR="00C663A2">
        <w:rPr>
          <w:noProof/>
        </w:rPr>
        <w:t>10</w:t>
      </w:r>
      <w:r w:rsidRPr="002D1DD7">
        <w:fldChar w:fldCharType="end"/>
      </w:r>
      <w:r w:rsidRPr="002D1DD7">
        <w:t>)</w:t>
      </w:r>
      <w:r w:rsidR="002E26FD" w:rsidRPr="002D1DD7">
        <w:rPr>
          <w:rFonts w:asciiTheme="majorBidi" w:hAnsiTheme="majorBidi" w:cstheme="majorBidi"/>
        </w:rPr>
        <w:t>.</w:t>
      </w:r>
      <w:r w:rsidR="002E26FD" w:rsidRPr="002D1DD7">
        <w:rPr>
          <w:rFonts w:asciiTheme="majorBidi" w:eastAsia="Times New Roman" w:hAnsiTheme="majorBidi" w:cstheme="majorBidi"/>
          <w:color w:val="000000"/>
        </w:rPr>
        <w:fldChar w:fldCharType="begin">
          <w:fldData xml:space="preserve">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dXN0b24sIFRYLiYjeEQ7SG9zdGVyLCBFdmEuIFFpYW4gU2hpIGFuZCBEYW5pZWwgSi4gU2FyZ2Vu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bXA7TkVXUz1OJmFtcDtQQUdFPWZ1bGx0ZXh0JmFtcDtEPW1lZDEzJmFtcDtBTj0yODAyOTMwOTwv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bWlkOjI4MDI5MzA5JmFtcDtpZD1kb2k6MTAuMTIwMCUyRkpDTy4yMDE2LjcwLjg2NTEmYW1wO2lz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</w:fldData>
        </w:fldChar>
      </w:r>
      <w:r w:rsidR="000E66DE">
        <w:rPr>
          <w:rFonts w:asciiTheme="majorBidi" w:eastAsia="Times New Roman" w:hAnsiTheme="majorBidi" w:cstheme="majorBidi"/>
          <w:color w:val="000000"/>
        </w:rPr>
        <w:instrText xml:space="preserve"> ADDIN EN.CITE </w:instrText>
      </w:r>
      <w:r w:rsidR="000E66DE">
        <w:rPr>
          <w:rFonts w:asciiTheme="majorBidi" w:eastAsia="Times New Roman" w:hAnsiTheme="majorBidi" w:cstheme="majorBidi"/>
          <w:color w:val="000000"/>
        </w:rPr>
        <w:fldChar w:fldCharType="begin">
          <w:fldData xml:space="preserve">PEVuZE5vdGU+PENpdGU+PEF1dGhvcj5Uc3VqaW5vPC9BdXRob3I+PFllYXI+MjAxMDwvWWVhcj48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IG9mIFRleGFzIE1EIEFuZGVyc29uIENhbmNlciBDZW50ZXIsIEhvdXN0b24sIFRYLiYjeEQ7Rmxv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cnNvbiBDYW5jZXIgQ2VudGVyLCBIb3VzdG9uLCBUWC4mI3hEO0hlcm9sZCwgTWljaGFlbC4gUWlh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cnNvbiBDYW5jZXIgQ2VudGVyLCBIb3VzdG9uLCBUWC4mI3hEO0Zvd2xlciwgTmF0aGFuIEguIFFp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==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0E66DE">
        <w:rPr>
          <w:rFonts w:asciiTheme="majorBidi" w:eastAsia="Times New Roman" w:hAnsiTheme="majorBidi" w:cstheme="majorBidi"/>
          <w:color w:val="000000"/>
        </w:rPr>
        <w:fldChar w:fldCharType="begin">
          <w:fldData xml:space="preserve">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dXN0b24sIFRYLiYjeEQ7SG9zdGVyLCBFdmEuIFFpYW4gU2hpIGFuZCBEYW5pZWwgSi4gU2FyZ2Vu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bXA7TkVXUz1OJmFtcDtQQUdFPWZ1bGx0ZXh0JmFtcDtEPW1lZDEzJmFtcDtBTj0yODAyOTMwOTwv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</w:fldData>
        </w:fldChar>
      </w:r>
      <w:r w:rsidR="000E66DE">
        <w:rPr>
          <w:rFonts w:asciiTheme="majorBidi" w:eastAsia="Times New Roman" w:hAnsiTheme="majorBidi" w:cstheme="majorBidi"/>
          <w:color w:val="000000"/>
        </w:rPr>
        <w:instrText xml:space="preserve"> ADDIN EN.CITE.DATA </w:instrText>
      </w:r>
      <w:r w:rsidR="000E66DE">
        <w:rPr>
          <w:rFonts w:asciiTheme="majorBidi" w:eastAsia="Times New Roman" w:hAnsiTheme="majorBidi" w:cstheme="majorBidi"/>
          <w:color w:val="000000"/>
        </w:rPr>
      </w:r>
      <w:r w:rsidR="000E66DE">
        <w:rPr>
          <w:rFonts w:asciiTheme="majorBidi" w:eastAsia="Times New Roman" w:hAnsiTheme="majorBidi" w:cstheme="majorBidi"/>
          <w:color w:val="000000"/>
        </w:rPr>
        <w:fldChar w:fldCharType="end"/>
      </w:r>
      <w:r w:rsidR="002E26FD" w:rsidRPr="002D1DD7">
        <w:rPr>
          <w:rFonts w:asciiTheme="majorBidi" w:eastAsia="Times New Roman" w:hAnsiTheme="majorBidi" w:cstheme="majorBidi"/>
          <w:color w:val="000000"/>
        </w:rPr>
      </w:r>
      <w:r w:rsidR="002E26FD" w:rsidRPr="002D1DD7">
        <w:rPr>
          <w:rFonts w:asciiTheme="majorBidi" w:eastAsia="Times New Roman" w:hAnsiTheme="majorBidi" w:cstheme="majorBidi"/>
          <w:color w:val="000000"/>
        </w:rPr>
        <w:fldChar w:fldCharType="separate"/>
      </w:r>
      <w:r w:rsidR="003117A9" w:rsidRPr="003117A9">
        <w:rPr>
          <w:rFonts w:asciiTheme="majorBidi" w:eastAsia="Times New Roman" w:hAnsiTheme="majorBidi" w:cstheme="majorBidi"/>
          <w:noProof/>
          <w:color w:val="000000"/>
          <w:vertAlign w:val="superscript"/>
        </w:rPr>
        <w:t>86, 99, 129, 137</w:t>
      </w:r>
      <w:r w:rsidR="002E26FD" w:rsidRPr="002D1DD7">
        <w:rPr>
          <w:rFonts w:asciiTheme="majorBidi" w:eastAsia="Times New Roman" w:hAnsiTheme="majorBidi" w:cstheme="majorBidi"/>
          <w:color w:val="000000"/>
        </w:rPr>
        <w:fldChar w:fldCharType="end"/>
      </w:r>
      <w:r w:rsidR="002E26FD" w:rsidRPr="002D1DD7">
        <w:rPr>
          <w:rFonts w:asciiTheme="majorBidi" w:hAnsiTheme="majorBidi" w:cstheme="majorBidi"/>
        </w:rPr>
        <w:t xml:space="preserve"> For</w:t>
      </w:r>
      <w:r w:rsidR="002E26FD" w:rsidRPr="002D1DD7">
        <w:t xml:space="preserve"> </w:t>
      </w:r>
      <w:r w:rsidRPr="002D1DD7">
        <w:t xml:space="preserve">the relationship between </w:t>
      </w:r>
      <w:r w:rsidR="00953E91">
        <w:t>O</w:t>
      </w:r>
      <w:r w:rsidRPr="002D1DD7">
        <w:t>RR and PFS, one study in various solid tumours</w:t>
      </w:r>
      <w:r w:rsidR="006F7FD7">
        <w:fldChar w:fldCharType="begin"/>
      </w:r>
      <w:r w:rsidR="000E66DE">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006F7FD7">
        <w:fldChar w:fldCharType="separate"/>
      </w:r>
      <w:r w:rsidR="003117A9" w:rsidRPr="003117A9">
        <w:rPr>
          <w:noProof/>
          <w:vertAlign w:val="superscript"/>
        </w:rPr>
        <w:t>137</w:t>
      </w:r>
      <w:r w:rsidR="006F7FD7">
        <w:fldChar w:fldCharType="end"/>
      </w:r>
      <w:r w:rsidRPr="002D1DD7">
        <w:t xml:space="preserve"> reported that a difference in </w:t>
      </w:r>
      <w:r w:rsidR="00ED2A63">
        <w:t>O</w:t>
      </w:r>
      <w:r w:rsidRPr="002D1DD7">
        <w:t xml:space="preserve">RR of 15% would be required to predict a non-zero treatment effect on the HR for PFS. For the relationship between </w:t>
      </w:r>
      <w:r w:rsidR="00ED2A63">
        <w:t>O</w:t>
      </w:r>
      <w:r w:rsidRPr="002D1DD7">
        <w:t>RR and OS, two studies in various solid tumours</w:t>
      </w:r>
      <w:r w:rsidR="006F7FD7">
        <w:fldChar w:fldCharType="begin"/>
      </w:r>
      <w:r w:rsidR="000E66DE">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006F7FD7">
        <w:fldChar w:fldCharType="separate"/>
      </w:r>
      <w:r w:rsidR="003117A9" w:rsidRPr="003117A9">
        <w:rPr>
          <w:noProof/>
          <w:vertAlign w:val="superscript"/>
        </w:rPr>
        <w:t>137</w:t>
      </w:r>
      <w:r w:rsidR="006F7FD7">
        <w:fldChar w:fldCharType="end"/>
      </w:r>
      <w:r w:rsidRPr="002D1DD7">
        <w:t xml:space="preserve"> and </w:t>
      </w:r>
      <w:r w:rsidR="002E26FD" w:rsidRPr="002D1DD7">
        <w:rPr>
          <w:rFonts w:asciiTheme="majorBidi" w:hAnsiTheme="majorBidi" w:cstheme="majorBidi"/>
        </w:rPr>
        <w:t>NSCLC</w:t>
      </w:r>
      <w:r w:rsidR="002E26FD" w:rsidRPr="002D1DD7">
        <w:rPr>
          <w:rFonts w:asciiTheme="majorBidi" w:hAnsiTheme="majorBidi" w:cstheme="majorBidi"/>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2E26FD" w:rsidRPr="002D1DD7">
        <w:rPr>
          <w:rFonts w:asciiTheme="majorBidi" w:hAnsiTheme="majorBidi" w:cstheme="majorBidi"/>
        </w:rPr>
      </w:r>
      <w:r w:rsidR="002E26FD"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99</w:t>
      </w:r>
      <w:r w:rsidR="002E26FD" w:rsidRPr="002D1DD7">
        <w:rPr>
          <w:rFonts w:asciiTheme="majorBidi" w:hAnsiTheme="majorBidi" w:cstheme="majorBidi"/>
        </w:rPr>
        <w:fldChar w:fldCharType="end"/>
      </w:r>
      <w:r w:rsidR="002E26FD" w:rsidRPr="002D1DD7">
        <w:rPr>
          <w:rFonts w:asciiTheme="majorBidi" w:hAnsiTheme="majorBidi" w:cstheme="majorBidi"/>
        </w:rPr>
        <w:t xml:space="preserve"> reported that a difference in </w:t>
      </w:r>
      <w:r w:rsidR="002E26FD">
        <w:rPr>
          <w:rFonts w:asciiTheme="majorBidi" w:hAnsiTheme="majorBidi" w:cstheme="majorBidi"/>
        </w:rPr>
        <w:t>O</w:t>
      </w:r>
      <w:r w:rsidR="002E26FD" w:rsidRPr="002D1DD7">
        <w:rPr>
          <w:rFonts w:asciiTheme="majorBidi" w:hAnsiTheme="majorBidi" w:cstheme="majorBidi"/>
        </w:rPr>
        <w:t>RR of 21% and 55% respectively would be required to predict a non-zero treatment effect on the HR for OS, while one study</w:t>
      </w:r>
      <w:r w:rsidR="002E26FD" w:rsidRPr="002D1DD7">
        <w:rPr>
          <w:rFonts w:asciiTheme="majorBidi" w:hAnsiTheme="majorBidi" w:cstheme="majorBidi"/>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2E26FD" w:rsidRPr="002D1DD7">
        <w:rPr>
          <w:rFonts w:asciiTheme="majorBidi" w:hAnsiTheme="majorBidi" w:cstheme="majorBidi"/>
        </w:rPr>
      </w:r>
      <w:r w:rsidR="002E26FD"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99</w:t>
      </w:r>
      <w:r w:rsidR="002E26FD" w:rsidRPr="002D1DD7">
        <w:rPr>
          <w:rFonts w:asciiTheme="majorBidi" w:hAnsiTheme="majorBidi" w:cstheme="majorBidi"/>
        </w:rPr>
        <w:fldChar w:fldCharType="end"/>
      </w:r>
      <w:r w:rsidR="002E26FD" w:rsidRPr="002D1DD7">
        <w:rPr>
          <w:rFonts w:asciiTheme="majorBidi" w:hAnsiTheme="majorBidi" w:cstheme="majorBidi"/>
        </w:rPr>
        <w:t xml:space="preserve"> also reported that a difference in </w:t>
      </w:r>
      <w:r w:rsidR="002E26FD">
        <w:rPr>
          <w:rFonts w:asciiTheme="majorBidi" w:hAnsiTheme="majorBidi" w:cstheme="majorBidi"/>
        </w:rPr>
        <w:t>O</w:t>
      </w:r>
      <w:r w:rsidR="002E26FD" w:rsidRPr="002D1DD7">
        <w:rPr>
          <w:rFonts w:asciiTheme="majorBidi" w:hAnsiTheme="majorBidi" w:cstheme="majorBidi"/>
        </w:rPr>
        <w:t>RR of 41% would be required to predict a non-zero treatment effect on the difference in median OS, and a further study in colorectal cancer</w:t>
      </w:r>
      <w:r w:rsidR="002E26FD" w:rsidRPr="002D1DD7">
        <w:rPr>
          <w:rFonts w:asciiTheme="majorBidi" w:hAnsiTheme="majorBidi" w:cstheme="majorBidi"/>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2E26FD" w:rsidRPr="002D1DD7">
        <w:rPr>
          <w:rFonts w:asciiTheme="majorBidi" w:hAnsiTheme="majorBidi" w:cstheme="majorBidi"/>
        </w:rPr>
      </w:r>
      <w:r w:rsidR="002E26FD"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86</w:t>
      </w:r>
      <w:r w:rsidR="002E26FD" w:rsidRPr="002D1DD7">
        <w:rPr>
          <w:rFonts w:asciiTheme="majorBidi" w:hAnsiTheme="majorBidi" w:cstheme="majorBidi"/>
        </w:rPr>
        <w:fldChar w:fldCharType="end"/>
      </w:r>
      <w:r w:rsidR="002E26FD" w:rsidRPr="002D1DD7">
        <w:rPr>
          <w:rFonts w:asciiTheme="majorBidi" w:hAnsiTheme="majorBidi" w:cstheme="majorBidi"/>
        </w:rPr>
        <w:t xml:space="preserve"> reported that an OR for </w:t>
      </w:r>
      <w:r w:rsidR="002E26FD">
        <w:rPr>
          <w:rFonts w:asciiTheme="majorBidi" w:hAnsiTheme="majorBidi" w:cstheme="majorBidi"/>
        </w:rPr>
        <w:t>O</w:t>
      </w:r>
      <w:r w:rsidR="002E26FD" w:rsidRPr="002D1DD7">
        <w:rPr>
          <w:rFonts w:asciiTheme="majorBidi" w:hAnsiTheme="majorBidi" w:cstheme="majorBidi"/>
        </w:rPr>
        <w:t>RR of 0.28 would be required to predict a non-zero treatment effect on the OR for OS. Finally, for the relationship between CR and PFS, one study in NHL</w:t>
      </w:r>
      <w:r w:rsidR="002E26FD" w:rsidRPr="002D1DD7">
        <w:rPr>
          <w:rFonts w:asciiTheme="majorBidi" w:hAnsiTheme="majorBidi" w:cstheme="majorBidi"/>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hAnsiTheme="majorBidi" w:cstheme="majorBidi"/>
        </w:rPr>
        <w:instrText xml:space="preserve"> ADDIN EN.CITE </w:instrText>
      </w:r>
      <w:r w:rsidR="000E66DE">
        <w:rPr>
          <w:rFonts w:asciiTheme="majorBidi" w:hAnsiTheme="majorBidi" w:cstheme="majorBidi"/>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0E66DE">
        <w:rPr>
          <w:rFonts w:asciiTheme="majorBidi" w:hAnsiTheme="majorBidi" w:cstheme="majorBidi"/>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hAnsiTheme="majorBidi" w:cstheme="majorBidi"/>
        </w:rPr>
        <w:instrText xml:space="preserve"> ADDIN EN.CITE.DATA </w:instrText>
      </w:r>
      <w:r w:rsidR="000E66DE">
        <w:rPr>
          <w:rFonts w:asciiTheme="majorBidi" w:hAnsiTheme="majorBidi" w:cstheme="majorBidi"/>
        </w:rPr>
      </w:r>
      <w:r w:rsidR="000E66DE">
        <w:rPr>
          <w:rFonts w:asciiTheme="majorBidi" w:hAnsiTheme="majorBidi" w:cstheme="majorBidi"/>
        </w:rPr>
        <w:fldChar w:fldCharType="end"/>
      </w:r>
      <w:r w:rsidR="002E26FD" w:rsidRPr="002D1DD7">
        <w:rPr>
          <w:rFonts w:asciiTheme="majorBidi" w:hAnsiTheme="majorBidi" w:cstheme="majorBidi"/>
        </w:rPr>
      </w:r>
      <w:r w:rsidR="002E26FD" w:rsidRPr="002D1DD7">
        <w:rPr>
          <w:rFonts w:asciiTheme="majorBidi" w:hAnsiTheme="majorBidi" w:cstheme="majorBidi"/>
        </w:rPr>
        <w:fldChar w:fldCharType="separate"/>
      </w:r>
      <w:r w:rsidR="003117A9" w:rsidRPr="003117A9">
        <w:rPr>
          <w:rFonts w:asciiTheme="majorBidi" w:hAnsiTheme="majorBidi" w:cstheme="majorBidi"/>
          <w:noProof/>
          <w:vertAlign w:val="superscript"/>
        </w:rPr>
        <w:t>129</w:t>
      </w:r>
      <w:r w:rsidR="002E26FD" w:rsidRPr="002D1DD7">
        <w:rPr>
          <w:rFonts w:asciiTheme="majorBidi" w:hAnsiTheme="majorBidi" w:cstheme="majorBidi"/>
        </w:rPr>
        <w:fldChar w:fldCharType="end"/>
      </w:r>
      <w:r w:rsidR="002E26FD">
        <w:rPr>
          <w:rFonts w:asciiTheme="majorBidi" w:hAnsiTheme="majorBidi" w:cstheme="majorBidi"/>
        </w:rPr>
        <w:t xml:space="preserve"> reported </w:t>
      </w:r>
      <w:r w:rsidRPr="002D1DD7">
        <w:t>that an OR for CR (at 30</w:t>
      </w:r>
      <w:r w:rsidR="00966BA0">
        <w:t xml:space="preserve"> </w:t>
      </w:r>
      <w:r w:rsidRPr="002D1DD7">
        <w:t>mo</w:t>
      </w:r>
      <w:r w:rsidR="00966BA0">
        <w:t>nths</w:t>
      </w:r>
      <w:r w:rsidRPr="002D1DD7">
        <w:t>) of 1.56 would be required to predict a non-zero treatment effect on the HR for PFS.</w:t>
      </w:r>
    </w:p>
    <w:p w14:paraId="0D8A2F93" w14:textId="2C02827A" w:rsidR="00716DF9" w:rsidRPr="002D1DD7" w:rsidRDefault="00716DF9" w:rsidP="00AA1EC7">
      <w:pPr>
        <w:pStyle w:val="Caption"/>
      </w:pPr>
      <w:bookmarkStart w:id="111" w:name="_Ref19105364"/>
      <w:bookmarkStart w:id="112" w:name="_Toc34033524"/>
      <w:r w:rsidRPr="002D1DD7">
        <w:t xml:space="preserve">Table </w:t>
      </w:r>
      <w:r w:rsidR="00C974E5">
        <w:fldChar w:fldCharType="begin"/>
      </w:r>
      <w:r w:rsidR="00C974E5">
        <w:instrText xml:space="preserve"> SEQ Table \* ARABIC </w:instrText>
      </w:r>
      <w:r w:rsidR="00C974E5">
        <w:fldChar w:fldCharType="separate"/>
      </w:r>
      <w:r w:rsidR="00C663A2">
        <w:rPr>
          <w:noProof/>
        </w:rPr>
        <w:t>10</w:t>
      </w:r>
      <w:r w:rsidR="00C974E5">
        <w:rPr>
          <w:noProof/>
        </w:rPr>
        <w:fldChar w:fldCharType="end"/>
      </w:r>
      <w:bookmarkEnd w:id="111"/>
      <w:r w:rsidRPr="002D1DD7">
        <w:t>: Surrogate threshold effect (STE)</w:t>
      </w:r>
      <w:bookmarkEnd w:id="112"/>
    </w:p>
    <w:tbl>
      <w:tblPr>
        <w:tblStyle w:val="TableGrid"/>
        <w:tblW w:w="8954" w:type="dxa"/>
        <w:tblLook w:val="04A0" w:firstRow="1" w:lastRow="0" w:firstColumn="1" w:lastColumn="0" w:noHBand="0" w:noVBand="1"/>
      </w:tblPr>
      <w:tblGrid>
        <w:gridCol w:w="1105"/>
        <w:gridCol w:w="2574"/>
        <w:gridCol w:w="987"/>
        <w:gridCol w:w="1045"/>
        <w:gridCol w:w="722"/>
        <w:gridCol w:w="1139"/>
        <w:gridCol w:w="711"/>
        <w:gridCol w:w="671"/>
      </w:tblGrid>
      <w:tr w:rsidR="00716DF9" w:rsidRPr="00AA1EC7" w14:paraId="2330FA59" w14:textId="77777777" w:rsidTr="002E26FD">
        <w:tc>
          <w:tcPr>
            <w:tcW w:w="1105" w:type="dxa"/>
            <w:vMerge w:val="restart"/>
            <w:tcMar>
              <w:left w:w="28" w:type="dxa"/>
              <w:right w:w="28" w:type="dxa"/>
            </w:tcMar>
          </w:tcPr>
          <w:p w14:paraId="094FC830" w14:textId="77777777" w:rsidR="00716DF9" w:rsidRPr="00AA1EC7" w:rsidRDefault="00716DF9" w:rsidP="00AA1EC7">
            <w:pPr>
              <w:contextualSpacing/>
              <w:rPr>
                <w:rFonts w:cs="Times New Roman"/>
                <w:b/>
                <w:bCs/>
                <w:sz w:val="20"/>
                <w:szCs w:val="20"/>
              </w:rPr>
            </w:pPr>
            <w:r w:rsidRPr="00AA1EC7">
              <w:rPr>
                <w:rFonts w:cs="Times New Roman"/>
                <w:b/>
                <w:bCs/>
                <w:sz w:val="20"/>
                <w:szCs w:val="20"/>
              </w:rPr>
              <w:t>Surrogate relationship</w:t>
            </w:r>
          </w:p>
        </w:tc>
        <w:tc>
          <w:tcPr>
            <w:tcW w:w="2574" w:type="dxa"/>
            <w:vMerge w:val="restart"/>
            <w:tcMar>
              <w:left w:w="28" w:type="dxa"/>
              <w:right w:w="28" w:type="dxa"/>
            </w:tcMar>
          </w:tcPr>
          <w:p w14:paraId="54BF8C3D" w14:textId="77777777" w:rsidR="00716DF9" w:rsidRPr="00AA1EC7" w:rsidRDefault="00716DF9" w:rsidP="00AA1EC7">
            <w:pPr>
              <w:contextualSpacing/>
              <w:rPr>
                <w:rFonts w:cs="Times New Roman"/>
                <w:b/>
                <w:bCs/>
                <w:sz w:val="20"/>
                <w:szCs w:val="20"/>
              </w:rPr>
            </w:pPr>
            <w:r w:rsidRPr="00AA1EC7">
              <w:rPr>
                <w:rFonts w:cs="Times New Roman"/>
                <w:b/>
                <w:bCs/>
                <w:sz w:val="20"/>
                <w:szCs w:val="20"/>
              </w:rPr>
              <w:t>Cancer types and refs</w:t>
            </w:r>
          </w:p>
        </w:tc>
        <w:tc>
          <w:tcPr>
            <w:tcW w:w="2754" w:type="dxa"/>
            <w:gridSpan w:val="3"/>
            <w:tcMar>
              <w:left w:w="28" w:type="dxa"/>
              <w:right w:w="28" w:type="dxa"/>
            </w:tcMar>
          </w:tcPr>
          <w:p w14:paraId="5373DFD8"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Based on difference in response</w:t>
            </w:r>
          </w:p>
        </w:tc>
        <w:tc>
          <w:tcPr>
            <w:tcW w:w="2521" w:type="dxa"/>
            <w:gridSpan w:val="3"/>
            <w:tcMar>
              <w:left w:w="28" w:type="dxa"/>
              <w:right w:w="28" w:type="dxa"/>
            </w:tcMar>
          </w:tcPr>
          <w:p w14:paraId="1F5F3996"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Based on odds ratio for response</w:t>
            </w:r>
          </w:p>
        </w:tc>
      </w:tr>
      <w:tr w:rsidR="00716DF9" w:rsidRPr="00AA1EC7" w14:paraId="50EA7377" w14:textId="77777777" w:rsidTr="002E26FD">
        <w:tc>
          <w:tcPr>
            <w:tcW w:w="1105" w:type="dxa"/>
            <w:vMerge/>
            <w:tcMar>
              <w:left w:w="28" w:type="dxa"/>
              <w:right w:w="28" w:type="dxa"/>
            </w:tcMar>
          </w:tcPr>
          <w:p w14:paraId="2900ED6B" w14:textId="77777777" w:rsidR="00716DF9" w:rsidRPr="00AA1EC7" w:rsidRDefault="00716DF9" w:rsidP="00AA1EC7">
            <w:pPr>
              <w:contextualSpacing/>
              <w:rPr>
                <w:rFonts w:eastAsia="Times New Roman" w:cs="Times New Roman"/>
                <w:b/>
                <w:bCs/>
                <w:color w:val="000000"/>
                <w:sz w:val="20"/>
                <w:szCs w:val="20"/>
              </w:rPr>
            </w:pPr>
          </w:p>
        </w:tc>
        <w:tc>
          <w:tcPr>
            <w:tcW w:w="2574" w:type="dxa"/>
            <w:vMerge/>
            <w:tcMar>
              <w:left w:w="28" w:type="dxa"/>
              <w:right w:w="28" w:type="dxa"/>
            </w:tcMar>
          </w:tcPr>
          <w:p w14:paraId="23A0E77B" w14:textId="77777777" w:rsidR="00716DF9" w:rsidRPr="00AA1EC7" w:rsidRDefault="00716DF9" w:rsidP="00AA1EC7">
            <w:pPr>
              <w:contextualSpacing/>
              <w:rPr>
                <w:rFonts w:eastAsia="Times New Roman" w:cs="Times New Roman"/>
                <w:b/>
                <w:bCs/>
                <w:color w:val="000000"/>
                <w:sz w:val="20"/>
                <w:szCs w:val="20"/>
              </w:rPr>
            </w:pPr>
          </w:p>
        </w:tc>
        <w:tc>
          <w:tcPr>
            <w:tcW w:w="987" w:type="dxa"/>
            <w:tcMar>
              <w:left w:w="28" w:type="dxa"/>
              <w:right w:w="28" w:type="dxa"/>
            </w:tcMar>
          </w:tcPr>
          <w:p w14:paraId="6EDD29B4"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Surrogate</w:t>
            </w:r>
          </w:p>
        </w:tc>
        <w:tc>
          <w:tcPr>
            <w:tcW w:w="1045" w:type="dxa"/>
            <w:tcMar>
              <w:left w:w="28" w:type="dxa"/>
              <w:right w:w="28" w:type="dxa"/>
            </w:tcMar>
          </w:tcPr>
          <w:p w14:paraId="3595DE4B"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Final</w:t>
            </w:r>
          </w:p>
        </w:tc>
        <w:tc>
          <w:tcPr>
            <w:tcW w:w="722" w:type="dxa"/>
            <w:tcMar>
              <w:left w:w="28" w:type="dxa"/>
              <w:right w:w="28" w:type="dxa"/>
            </w:tcMar>
          </w:tcPr>
          <w:p w14:paraId="517DBF7B"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STE</w:t>
            </w:r>
          </w:p>
        </w:tc>
        <w:tc>
          <w:tcPr>
            <w:tcW w:w="1139" w:type="dxa"/>
            <w:tcMar>
              <w:left w:w="28" w:type="dxa"/>
              <w:right w:w="28" w:type="dxa"/>
            </w:tcMar>
          </w:tcPr>
          <w:p w14:paraId="6027C286"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Surrogate</w:t>
            </w:r>
          </w:p>
        </w:tc>
        <w:tc>
          <w:tcPr>
            <w:tcW w:w="711" w:type="dxa"/>
            <w:tcMar>
              <w:left w:w="28" w:type="dxa"/>
              <w:right w:w="28" w:type="dxa"/>
            </w:tcMar>
          </w:tcPr>
          <w:p w14:paraId="705E7DA5"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Final</w:t>
            </w:r>
          </w:p>
        </w:tc>
        <w:tc>
          <w:tcPr>
            <w:tcW w:w="671" w:type="dxa"/>
            <w:tcMar>
              <w:left w:w="28" w:type="dxa"/>
              <w:right w:w="28" w:type="dxa"/>
            </w:tcMar>
          </w:tcPr>
          <w:p w14:paraId="74072384" w14:textId="77777777" w:rsidR="00716DF9" w:rsidRPr="00AA1EC7" w:rsidRDefault="00716DF9" w:rsidP="00AA1EC7">
            <w:pPr>
              <w:contextualSpacing/>
              <w:rPr>
                <w:rFonts w:eastAsia="Times New Roman" w:cs="Times New Roman"/>
                <w:b/>
                <w:bCs/>
                <w:color w:val="000000"/>
                <w:sz w:val="20"/>
                <w:szCs w:val="20"/>
              </w:rPr>
            </w:pPr>
            <w:r w:rsidRPr="00AA1EC7">
              <w:rPr>
                <w:rFonts w:eastAsia="Times New Roman" w:cs="Times New Roman"/>
                <w:b/>
                <w:bCs/>
                <w:color w:val="000000"/>
                <w:sz w:val="20"/>
                <w:szCs w:val="20"/>
              </w:rPr>
              <w:t>STE</w:t>
            </w:r>
          </w:p>
        </w:tc>
      </w:tr>
      <w:tr w:rsidR="002E26FD" w:rsidRPr="00AA1EC7" w14:paraId="1DEF23A4" w14:textId="77777777" w:rsidTr="002E26FD">
        <w:tc>
          <w:tcPr>
            <w:tcW w:w="1105" w:type="dxa"/>
            <w:tcMar>
              <w:left w:w="28" w:type="dxa"/>
              <w:right w:w="28" w:type="dxa"/>
            </w:tcMar>
          </w:tcPr>
          <w:p w14:paraId="4D5C8774" w14:textId="0A264EC4" w:rsidR="002E26FD" w:rsidRPr="00AA1EC7" w:rsidRDefault="002E26FD" w:rsidP="002E26FD">
            <w:pPr>
              <w:contextualSpacing/>
              <w:rPr>
                <w:rFonts w:eastAsia="Times New Roman" w:cs="Times New Roman"/>
                <w:b/>
                <w:bCs/>
                <w:color w:val="000000"/>
                <w:sz w:val="20"/>
                <w:szCs w:val="20"/>
              </w:rPr>
            </w:pPr>
            <w:r w:rsidRPr="00AA1EC7">
              <w:rPr>
                <w:rFonts w:eastAsia="Times New Roman" w:cs="Times New Roman"/>
                <w:b/>
                <w:bCs/>
                <w:color w:val="000000"/>
                <w:sz w:val="20"/>
                <w:szCs w:val="20"/>
              </w:rPr>
              <w:t>ORR to PFS</w:t>
            </w:r>
          </w:p>
        </w:tc>
        <w:tc>
          <w:tcPr>
            <w:tcW w:w="2574" w:type="dxa"/>
            <w:tcMar>
              <w:left w:w="28" w:type="dxa"/>
              <w:right w:w="28" w:type="dxa"/>
            </w:tcMar>
          </w:tcPr>
          <w:p w14:paraId="71C54434" w14:textId="50F6DCC1" w:rsidR="002E26FD" w:rsidRPr="00AA1EC7" w:rsidRDefault="002E26FD" w:rsidP="000E66DE">
            <w:pPr>
              <w:contextualSpacing/>
              <w:rPr>
                <w:rFonts w:cs="Times New Roman"/>
                <w:sz w:val="20"/>
                <w:szCs w:val="20"/>
              </w:rPr>
            </w:pPr>
            <w:r w:rsidRPr="002D1DD7">
              <w:rPr>
                <w:rFonts w:asciiTheme="majorBidi" w:eastAsia="Times New Roman" w:hAnsiTheme="majorBidi" w:cstheme="majorBidi"/>
                <w:color w:val="000000"/>
                <w:sz w:val="20"/>
                <w:szCs w:val="20"/>
              </w:rPr>
              <w:t>Various</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987" w:type="dxa"/>
            <w:tcMar>
              <w:left w:w="28" w:type="dxa"/>
              <w:right w:w="28" w:type="dxa"/>
            </w:tcMar>
          </w:tcPr>
          <w:p w14:paraId="37D681A4" w14:textId="69466BB8"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Diff ORR</w:t>
            </w:r>
          </w:p>
        </w:tc>
        <w:tc>
          <w:tcPr>
            <w:tcW w:w="1045" w:type="dxa"/>
            <w:tcMar>
              <w:left w:w="28" w:type="dxa"/>
              <w:right w:w="28" w:type="dxa"/>
            </w:tcMar>
          </w:tcPr>
          <w:p w14:paraId="3B384912" w14:textId="77777777" w:rsidR="002E26FD" w:rsidRPr="00AA1EC7" w:rsidRDefault="002E26FD" w:rsidP="002E26FD">
            <w:pPr>
              <w:contextualSpacing/>
              <w:rPr>
                <w:rFonts w:eastAsia="Times New Roman" w:cs="Times New Roman"/>
                <w:color w:val="000000"/>
                <w:sz w:val="20"/>
                <w:szCs w:val="20"/>
              </w:rPr>
            </w:pPr>
            <w:r w:rsidRPr="00AA1EC7">
              <w:rPr>
                <w:rFonts w:eastAsia="Times New Roman" w:cs="Times New Roman"/>
                <w:color w:val="000000"/>
                <w:sz w:val="20"/>
                <w:szCs w:val="20"/>
              </w:rPr>
              <w:t>HR PFS</w:t>
            </w:r>
          </w:p>
        </w:tc>
        <w:tc>
          <w:tcPr>
            <w:tcW w:w="722" w:type="dxa"/>
            <w:tcMar>
              <w:left w:w="28" w:type="dxa"/>
              <w:right w:w="28" w:type="dxa"/>
            </w:tcMar>
          </w:tcPr>
          <w:p w14:paraId="7957FEDE" w14:textId="77777777"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15%</w:t>
            </w:r>
          </w:p>
        </w:tc>
        <w:tc>
          <w:tcPr>
            <w:tcW w:w="1139" w:type="dxa"/>
            <w:tcMar>
              <w:left w:w="28" w:type="dxa"/>
              <w:right w:w="28" w:type="dxa"/>
            </w:tcMar>
          </w:tcPr>
          <w:p w14:paraId="3FD987DB" w14:textId="77777777" w:rsidR="002E26FD" w:rsidRPr="00AA1EC7" w:rsidRDefault="002E26FD" w:rsidP="002E26FD">
            <w:pPr>
              <w:contextualSpacing/>
              <w:rPr>
                <w:rFonts w:eastAsia="Times New Roman" w:cs="Times New Roman"/>
                <w:color w:val="000000"/>
                <w:sz w:val="20"/>
                <w:szCs w:val="20"/>
              </w:rPr>
            </w:pPr>
          </w:p>
        </w:tc>
        <w:tc>
          <w:tcPr>
            <w:tcW w:w="711" w:type="dxa"/>
            <w:tcMar>
              <w:left w:w="28" w:type="dxa"/>
              <w:right w:w="28" w:type="dxa"/>
            </w:tcMar>
          </w:tcPr>
          <w:p w14:paraId="173DA41E" w14:textId="77777777" w:rsidR="002E26FD" w:rsidRPr="00AA1EC7" w:rsidRDefault="002E26FD" w:rsidP="002E26FD">
            <w:pPr>
              <w:contextualSpacing/>
              <w:rPr>
                <w:rFonts w:eastAsia="Times New Roman" w:cs="Times New Roman"/>
                <w:color w:val="000000"/>
                <w:sz w:val="20"/>
                <w:szCs w:val="20"/>
              </w:rPr>
            </w:pPr>
          </w:p>
        </w:tc>
        <w:tc>
          <w:tcPr>
            <w:tcW w:w="671" w:type="dxa"/>
            <w:tcMar>
              <w:left w:w="28" w:type="dxa"/>
              <w:right w:w="28" w:type="dxa"/>
            </w:tcMar>
          </w:tcPr>
          <w:p w14:paraId="32CDD848" w14:textId="77777777" w:rsidR="002E26FD" w:rsidRPr="00AA1EC7" w:rsidRDefault="002E26FD" w:rsidP="002E26FD">
            <w:pPr>
              <w:contextualSpacing/>
              <w:rPr>
                <w:rFonts w:eastAsia="Times New Roman" w:cs="Times New Roman"/>
                <w:color w:val="000000"/>
                <w:sz w:val="20"/>
                <w:szCs w:val="20"/>
              </w:rPr>
            </w:pPr>
          </w:p>
        </w:tc>
      </w:tr>
      <w:tr w:rsidR="002E26FD" w:rsidRPr="00AA1EC7" w14:paraId="035BA0D6" w14:textId="77777777" w:rsidTr="002E26FD">
        <w:tc>
          <w:tcPr>
            <w:tcW w:w="1105" w:type="dxa"/>
            <w:vMerge w:val="restart"/>
            <w:tcMar>
              <w:left w:w="28" w:type="dxa"/>
              <w:right w:w="28" w:type="dxa"/>
            </w:tcMar>
          </w:tcPr>
          <w:p w14:paraId="7A370A1D" w14:textId="4523411B" w:rsidR="002E26FD" w:rsidRPr="00AA1EC7" w:rsidRDefault="002E26FD" w:rsidP="002E26FD">
            <w:pPr>
              <w:contextualSpacing/>
              <w:rPr>
                <w:rFonts w:eastAsia="Times New Roman" w:cs="Times New Roman"/>
                <w:b/>
                <w:bCs/>
                <w:sz w:val="20"/>
                <w:szCs w:val="20"/>
              </w:rPr>
            </w:pPr>
            <w:r w:rsidRPr="00AA1EC7">
              <w:rPr>
                <w:rFonts w:eastAsia="Times New Roman" w:cs="Times New Roman"/>
                <w:b/>
                <w:bCs/>
                <w:sz w:val="20"/>
                <w:szCs w:val="20"/>
              </w:rPr>
              <w:t>ORR to OS</w:t>
            </w:r>
          </w:p>
        </w:tc>
        <w:tc>
          <w:tcPr>
            <w:tcW w:w="2574" w:type="dxa"/>
            <w:tcMar>
              <w:left w:w="28" w:type="dxa"/>
              <w:right w:w="28" w:type="dxa"/>
            </w:tcMar>
          </w:tcPr>
          <w:p w14:paraId="2C8BFBF0" w14:textId="1831F02A" w:rsidR="002E26FD" w:rsidRPr="00AA1EC7" w:rsidRDefault="002E26FD" w:rsidP="000E66DE">
            <w:pPr>
              <w:contextualSpacing/>
              <w:rPr>
                <w:rFonts w:cs="Times New Roman"/>
                <w:sz w:val="20"/>
                <w:szCs w:val="20"/>
              </w:rPr>
            </w:pPr>
            <w:r w:rsidRPr="002D1DD7">
              <w:rPr>
                <w:rFonts w:asciiTheme="majorBidi" w:eastAsia="Times New Roman" w:hAnsiTheme="majorBidi" w:cstheme="majorBidi"/>
                <w:color w:val="000000"/>
                <w:sz w:val="20"/>
                <w:szCs w:val="20"/>
              </w:rPr>
              <w:t>Colorectal</w:t>
            </w:r>
            <w:r w:rsidRPr="002D1DD7">
              <w:rPr>
                <w:rFonts w:asciiTheme="majorBidi" w:eastAsia="Times New Roman" w:hAnsiTheme="majorBidi" w:cstheme="majorBidi"/>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86</w:t>
            </w:r>
            <w:r w:rsidRPr="002D1DD7">
              <w:rPr>
                <w:rFonts w:asciiTheme="majorBidi" w:eastAsia="Times New Roman" w:hAnsiTheme="majorBidi" w:cstheme="majorBidi"/>
                <w:sz w:val="20"/>
                <w:szCs w:val="20"/>
              </w:rPr>
              <w:fldChar w:fldCharType="end"/>
            </w:r>
          </w:p>
        </w:tc>
        <w:tc>
          <w:tcPr>
            <w:tcW w:w="987" w:type="dxa"/>
            <w:tcMar>
              <w:left w:w="28" w:type="dxa"/>
              <w:right w:w="28" w:type="dxa"/>
            </w:tcMar>
          </w:tcPr>
          <w:p w14:paraId="114CF457" w14:textId="77777777" w:rsidR="002E26FD" w:rsidRPr="00AA1EC7" w:rsidRDefault="002E26FD" w:rsidP="002E26FD">
            <w:pPr>
              <w:contextualSpacing/>
              <w:rPr>
                <w:rFonts w:cs="Times New Roman"/>
                <w:sz w:val="20"/>
                <w:szCs w:val="20"/>
              </w:rPr>
            </w:pPr>
          </w:p>
        </w:tc>
        <w:tc>
          <w:tcPr>
            <w:tcW w:w="1045" w:type="dxa"/>
            <w:tcMar>
              <w:left w:w="28" w:type="dxa"/>
              <w:right w:w="28" w:type="dxa"/>
            </w:tcMar>
          </w:tcPr>
          <w:p w14:paraId="50467264" w14:textId="77777777" w:rsidR="002E26FD" w:rsidRPr="00AA1EC7" w:rsidRDefault="002E26FD" w:rsidP="002E26FD">
            <w:pPr>
              <w:contextualSpacing/>
              <w:rPr>
                <w:rFonts w:cs="Times New Roman"/>
                <w:sz w:val="20"/>
                <w:szCs w:val="20"/>
              </w:rPr>
            </w:pPr>
          </w:p>
        </w:tc>
        <w:tc>
          <w:tcPr>
            <w:tcW w:w="722" w:type="dxa"/>
            <w:tcMar>
              <w:left w:w="28" w:type="dxa"/>
              <w:right w:w="28" w:type="dxa"/>
            </w:tcMar>
          </w:tcPr>
          <w:p w14:paraId="399F366D" w14:textId="77777777" w:rsidR="002E26FD" w:rsidRPr="00AA1EC7" w:rsidRDefault="002E26FD" w:rsidP="002E26FD">
            <w:pPr>
              <w:contextualSpacing/>
              <w:rPr>
                <w:rFonts w:cs="Times New Roman"/>
                <w:sz w:val="20"/>
                <w:szCs w:val="20"/>
              </w:rPr>
            </w:pPr>
          </w:p>
        </w:tc>
        <w:tc>
          <w:tcPr>
            <w:tcW w:w="1139" w:type="dxa"/>
            <w:tcMar>
              <w:left w:w="28" w:type="dxa"/>
              <w:right w:w="28" w:type="dxa"/>
            </w:tcMar>
          </w:tcPr>
          <w:p w14:paraId="2BF7D41B" w14:textId="0C73AAAF"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OR ORR</w:t>
            </w:r>
          </w:p>
        </w:tc>
        <w:tc>
          <w:tcPr>
            <w:tcW w:w="711" w:type="dxa"/>
            <w:tcMar>
              <w:left w:w="28" w:type="dxa"/>
              <w:right w:w="28" w:type="dxa"/>
            </w:tcMar>
          </w:tcPr>
          <w:p w14:paraId="5D90E7D9" w14:textId="77777777" w:rsidR="002E26FD" w:rsidRPr="00AA1EC7" w:rsidRDefault="002E26FD" w:rsidP="002E26FD">
            <w:pPr>
              <w:contextualSpacing/>
              <w:rPr>
                <w:rFonts w:eastAsia="Times New Roman" w:cs="Times New Roman"/>
                <w:color w:val="000000"/>
                <w:sz w:val="20"/>
                <w:szCs w:val="20"/>
              </w:rPr>
            </w:pPr>
            <w:r w:rsidRPr="00AA1EC7">
              <w:rPr>
                <w:rFonts w:eastAsia="Times New Roman" w:cs="Times New Roman"/>
                <w:color w:val="000000"/>
                <w:sz w:val="20"/>
                <w:szCs w:val="20"/>
              </w:rPr>
              <w:t>OR OS</w:t>
            </w:r>
          </w:p>
        </w:tc>
        <w:tc>
          <w:tcPr>
            <w:tcW w:w="671" w:type="dxa"/>
            <w:tcMar>
              <w:left w:w="28" w:type="dxa"/>
              <w:right w:w="28" w:type="dxa"/>
            </w:tcMar>
          </w:tcPr>
          <w:p w14:paraId="1B1B5A15" w14:textId="77777777"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0.28</w:t>
            </w:r>
          </w:p>
        </w:tc>
      </w:tr>
      <w:tr w:rsidR="002E26FD" w:rsidRPr="00AA1EC7" w14:paraId="37DFF11D" w14:textId="77777777" w:rsidTr="002E26FD">
        <w:tc>
          <w:tcPr>
            <w:tcW w:w="1105" w:type="dxa"/>
            <w:vMerge/>
            <w:tcMar>
              <w:left w:w="28" w:type="dxa"/>
              <w:right w:w="28" w:type="dxa"/>
            </w:tcMar>
          </w:tcPr>
          <w:p w14:paraId="6D35F6F9" w14:textId="77777777" w:rsidR="002E26FD" w:rsidRPr="00AA1EC7" w:rsidRDefault="002E26FD" w:rsidP="002E26FD">
            <w:pPr>
              <w:contextualSpacing/>
              <w:rPr>
                <w:rFonts w:eastAsia="Times New Roman" w:cs="Times New Roman"/>
                <w:b/>
                <w:bCs/>
                <w:color w:val="000000"/>
                <w:sz w:val="20"/>
                <w:szCs w:val="20"/>
              </w:rPr>
            </w:pPr>
          </w:p>
        </w:tc>
        <w:tc>
          <w:tcPr>
            <w:tcW w:w="2574" w:type="dxa"/>
            <w:tcMar>
              <w:left w:w="28" w:type="dxa"/>
              <w:right w:w="28" w:type="dxa"/>
            </w:tcMar>
          </w:tcPr>
          <w:p w14:paraId="4A50A85D" w14:textId="18B6DF85" w:rsidR="002E26FD" w:rsidRPr="00AA1EC7" w:rsidRDefault="002E26FD" w:rsidP="000E66DE">
            <w:pPr>
              <w:contextualSpacing/>
              <w:rPr>
                <w:rFonts w:cs="Times New Roman"/>
                <w:sz w:val="20"/>
                <w:szCs w:val="20"/>
              </w:rPr>
            </w:pPr>
            <w:r w:rsidRPr="002D1DD7">
              <w:rPr>
                <w:rFonts w:asciiTheme="majorBidi" w:eastAsia="Times New Roman" w:hAnsiTheme="majorBidi" w:cstheme="majorBidi"/>
                <w:color w:val="000000"/>
                <w:sz w:val="20"/>
                <w:szCs w:val="20"/>
              </w:rPr>
              <w:t>NSCLC</w:t>
            </w:r>
            <w:r w:rsidRPr="002D1DD7">
              <w:rPr>
                <w:rFonts w:asciiTheme="majorBidi" w:eastAsia="Times New Roman" w:hAnsiTheme="majorBidi" w:cstheme="majorBidi"/>
                <w:sz w:val="20"/>
                <w:szCs w:val="20"/>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asciiTheme="majorBidi" w:eastAsia="Times New Roman" w:hAnsiTheme="majorBidi" w:cstheme="majorBidi"/>
                <w:sz w:val="20"/>
                <w:szCs w:val="20"/>
              </w:rPr>
              <w:instrText xml:space="preserve"> ADDIN EN.CITE </w:instrText>
            </w:r>
            <w:r w:rsidR="000E66DE">
              <w:rPr>
                <w:rFonts w:asciiTheme="majorBidi" w:eastAsia="Times New Roman" w:hAnsiTheme="majorBidi" w:cstheme="majorBidi"/>
                <w:sz w:val="20"/>
                <w:szCs w:val="20"/>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asciiTheme="majorBidi" w:eastAsia="Times New Roman" w:hAnsiTheme="majorBidi" w:cstheme="majorBidi"/>
                <w:sz w:val="20"/>
                <w:szCs w:val="20"/>
              </w:rPr>
              <w:instrText xml:space="preserve"> ADDIN EN.CITE.DATA </w:instrText>
            </w:r>
            <w:r w:rsidR="000E66DE">
              <w:rPr>
                <w:rFonts w:asciiTheme="majorBidi" w:eastAsia="Times New Roman" w:hAnsiTheme="majorBidi" w:cstheme="majorBidi"/>
                <w:sz w:val="20"/>
                <w:szCs w:val="20"/>
              </w:rPr>
            </w:r>
            <w:r w:rsidR="000E66DE">
              <w:rPr>
                <w:rFonts w:asciiTheme="majorBidi" w:eastAsia="Times New Roman" w:hAnsiTheme="majorBidi" w:cstheme="majorBidi"/>
                <w:sz w:val="20"/>
                <w:szCs w:val="20"/>
              </w:rPr>
              <w:fldChar w:fldCharType="end"/>
            </w:r>
            <w:r w:rsidRPr="002D1DD7">
              <w:rPr>
                <w:rFonts w:asciiTheme="majorBidi" w:eastAsia="Times New Roman" w:hAnsiTheme="majorBidi" w:cstheme="majorBidi"/>
                <w:sz w:val="20"/>
                <w:szCs w:val="20"/>
              </w:rPr>
            </w:r>
            <w:r w:rsidRPr="002D1DD7">
              <w:rPr>
                <w:rFonts w:asciiTheme="majorBidi" w:eastAsia="Times New Roman" w:hAnsiTheme="majorBidi" w:cstheme="majorBidi"/>
                <w:sz w:val="20"/>
                <w:szCs w:val="20"/>
              </w:rPr>
              <w:fldChar w:fldCharType="separate"/>
            </w:r>
            <w:r w:rsidR="003117A9" w:rsidRPr="003117A9">
              <w:rPr>
                <w:rFonts w:asciiTheme="majorBidi" w:eastAsia="Times New Roman" w:hAnsiTheme="majorBidi" w:cstheme="majorBidi"/>
                <w:noProof/>
                <w:sz w:val="20"/>
                <w:szCs w:val="20"/>
                <w:vertAlign w:val="superscript"/>
              </w:rPr>
              <w:t>99</w:t>
            </w:r>
            <w:r w:rsidRPr="002D1DD7">
              <w:rPr>
                <w:rFonts w:asciiTheme="majorBidi" w:eastAsia="Times New Roman" w:hAnsiTheme="majorBidi" w:cstheme="majorBidi"/>
                <w:sz w:val="20"/>
                <w:szCs w:val="20"/>
              </w:rPr>
              <w:fldChar w:fldCharType="end"/>
            </w:r>
          </w:p>
        </w:tc>
        <w:tc>
          <w:tcPr>
            <w:tcW w:w="987" w:type="dxa"/>
            <w:tcMar>
              <w:left w:w="28" w:type="dxa"/>
              <w:right w:w="28" w:type="dxa"/>
            </w:tcMar>
          </w:tcPr>
          <w:p w14:paraId="1357E602" w14:textId="74EC7BF7" w:rsidR="002E26FD" w:rsidRPr="00AA1EC7" w:rsidRDefault="002E26FD" w:rsidP="002E26FD">
            <w:pPr>
              <w:contextualSpacing/>
              <w:rPr>
                <w:rFonts w:eastAsia="Times New Roman" w:cs="Times New Roman"/>
                <w:color w:val="000000"/>
                <w:sz w:val="20"/>
                <w:szCs w:val="20"/>
              </w:rPr>
            </w:pPr>
            <w:r w:rsidRPr="00AA1EC7">
              <w:rPr>
                <w:rFonts w:eastAsia="Times New Roman" w:cs="Times New Roman"/>
                <w:color w:val="000000"/>
                <w:sz w:val="20"/>
                <w:szCs w:val="20"/>
              </w:rPr>
              <w:t>Diff ORR</w:t>
            </w:r>
          </w:p>
          <w:p w14:paraId="2E1F959F" w14:textId="781829D8"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Diff ORR</w:t>
            </w:r>
          </w:p>
        </w:tc>
        <w:tc>
          <w:tcPr>
            <w:tcW w:w="1045" w:type="dxa"/>
            <w:tcMar>
              <w:left w:w="28" w:type="dxa"/>
              <w:right w:w="28" w:type="dxa"/>
            </w:tcMar>
          </w:tcPr>
          <w:p w14:paraId="0CBBC5C3" w14:textId="77777777" w:rsidR="002E26FD" w:rsidRPr="00AA1EC7" w:rsidRDefault="002E26FD" w:rsidP="002E26FD">
            <w:pPr>
              <w:contextualSpacing/>
              <w:rPr>
                <w:rFonts w:eastAsia="Times New Roman" w:cs="Times New Roman"/>
                <w:color w:val="000000"/>
                <w:sz w:val="20"/>
                <w:szCs w:val="20"/>
                <w:lang w:val="de-DE"/>
              </w:rPr>
            </w:pPr>
            <w:r w:rsidRPr="00AA1EC7">
              <w:rPr>
                <w:rFonts w:eastAsia="Times New Roman" w:cs="Times New Roman"/>
                <w:color w:val="000000"/>
                <w:sz w:val="20"/>
                <w:szCs w:val="20"/>
                <w:lang w:val="de-DE"/>
              </w:rPr>
              <w:t>HR OS</w:t>
            </w:r>
          </w:p>
          <w:p w14:paraId="1A9E8AE1" w14:textId="77777777" w:rsidR="002E26FD" w:rsidRPr="00AA1EC7" w:rsidRDefault="002E26FD" w:rsidP="002E26FD">
            <w:pPr>
              <w:contextualSpacing/>
              <w:rPr>
                <w:rFonts w:eastAsia="Times New Roman" w:cs="Times New Roman"/>
                <w:color w:val="000000"/>
                <w:sz w:val="20"/>
                <w:szCs w:val="20"/>
                <w:lang w:val="de-DE"/>
              </w:rPr>
            </w:pPr>
            <w:r w:rsidRPr="00AA1EC7">
              <w:rPr>
                <w:rFonts w:eastAsia="Times New Roman" w:cs="Times New Roman"/>
                <w:color w:val="000000"/>
                <w:sz w:val="20"/>
                <w:szCs w:val="20"/>
                <w:lang w:val="de-DE"/>
              </w:rPr>
              <w:t>Diff median OS</w:t>
            </w:r>
          </w:p>
        </w:tc>
        <w:tc>
          <w:tcPr>
            <w:tcW w:w="722" w:type="dxa"/>
            <w:tcMar>
              <w:left w:w="28" w:type="dxa"/>
              <w:right w:w="28" w:type="dxa"/>
            </w:tcMar>
          </w:tcPr>
          <w:p w14:paraId="4F42A6B0" w14:textId="77777777" w:rsidR="002E26FD" w:rsidRPr="00AA1EC7" w:rsidRDefault="002E26FD" w:rsidP="002E26FD">
            <w:pPr>
              <w:contextualSpacing/>
              <w:rPr>
                <w:rFonts w:eastAsia="Times New Roman" w:cs="Times New Roman"/>
                <w:color w:val="000000"/>
                <w:sz w:val="20"/>
                <w:szCs w:val="20"/>
              </w:rPr>
            </w:pPr>
            <w:r w:rsidRPr="00AA1EC7">
              <w:rPr>
                <w:rFonts w:eastAsia="Times New Roman" w:cs="Times New Roman"/>
                <w:color w:val="000000"/>
                <w:sz w:val="20"/>
                <w:szCs w:val="20"/>
              </w:rPr>
              <w:t>55%</w:t>
            </w:r>
          </w:p>
          <w:p w14:paraId="4B019CAE" w14:textId="77777777"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41%</w:t>
            </w:r>
          </w:p>
        </w:tc>
        <w:tc>
          <w:tcPr>
            <w:tcW w:w="1139" w:type="dxa"/>
            <w:tcMar>
              <w:left w:w="28" w:type="dxa"/>
              <w:right w:w="28" w:type="dxa"/>
            </w:tcMar>
          </w:tcPr>
          <w:p w14:paraId="17E4AAE3" w14:textId="77777777" w:rsidR="002E26FD" w:rsidRPr="00AA1EC7" w:rsidRDefault="002E26FD" w:rsidP="002E26FD">
            <w:pPr>
              <w:contextualSpacing/>
              <w:rPr>
                <w:rFonts w:eastAsia="Times New Roman" w:cs="Times New Roman"/>
                <w:color w:val="000000"/>
                <w:sz w:val="20"/>
                <w:szCs w:val="20"/>
              </w:rPr>
            </w:pPr>
          </w:p>
        </w:tc>
        <w:tc>
          <w:tcPr>
            <w:tcW w:w="711" w:type="dxa"/>
            <w:tcMar>
              <w:left w:w="28" w:type="dxa"/>
              <w:right w:w="28" w:type="dxa"/>
            </w:tcMar>
          </w:tcPr>
          <w:p w14:paraId="3A7C7A9E" w14:textId="77777777" w:rsidR="002E26FD" w:rsidRPr="00AA1EC7" w:rsidRDefault="002E26FD" w:rsidP="002E26FD">
            <w:pPr>
              <w:contextualSpacing/>
              <w:rPr>
                <w:rFonts w:eastAsia="Times New Roman" w:cs="Times New Roman"/>
                <w:color w:val="000000"/>
                <w:sz w:val="20"/>
                <w:szCs w:val="20"/>
              </w:rPr>
            </w:pPr>
          </w:p>
        </w:tc>
        <w:tc>
          <w:tcPr>
            <w:tcW w:w="671" w:type="dxa"/>
            <w:tcMar>
              <w:left w:w="28" w:type="dxa"/>
              <w:right w:w="28" w:type="dxa"/>
            </w:tcMar>
          </w:tcPr>
          <w:p w14:paraId="5478C30F" w14:textId="77777777" w:rsidR="002E26FD" w:rsidRPr="00AA1EC7" w:rsidRDefault="002E26FD" w:rsidP="002E26FD">
            <w:pPr>
              <w:contextualSpacing/>
              <w:rPr>
                <w:rFonts w:eastAsia="Times New Roman" w:cs="Times New Roman"/>
                <w:color w:val="000000"/>
                <w:sz w:val="20"/>
                <w:szCs w:val="20"/>
              </w:rPr>
            </w:pPr>
          </w:p>
        </w:tc>
      </w:tr>
      <w:tr w:rsidR="002E26FD" w:rsidRPr="00AA1EC7" w14:paraId="44A8A4F2" w14:textId="77777777" w:rsidTr="002E26FD">
        <w:tc>
          <w:tcPr>
            <w:tcW w:w="1105" w:type="dxa"/>
            <w:vMerge/>
            <w:tcMar>
              <w:left w:w="28" w:type="dxa"/>
              <w:right w:w="28" w:type="dxa"/>
            </w:tcMar>
          </w:tcPr>
          <w:p w14:paraId="2531B722" w14:textId="77777777" w:rsidR="002E26FD" w:rsidRPr="00AA1EC7" w:rsidRDefault="002E26FD" w:rsidP="002E26FD">
            <w:pPr>
              <w:contextualSpacing/>
              <w:rPr>
                <w:rFonts w:eastAsia="Times New Roman" w:cs="Times New Roman"/>
                <w:b/>
                <w:bCs/>
                <w:color w:val="000000"/>
                <w:sz w:val="20"/>
                <w:szCs w:val="20"/>
              </w:rPr>
            </w:pPr>
          </w:p>
        </w:tc>
        <w:tc>
          <w:tcPr>
            <w:tcW w:w="2574" w:type="dxa"/>
            <w:tcMar>
              <w:left w:w="28" w:type="dxa"/>
              <w:right w:w="28" w:type="dxa"/>
            </w:tcMar>
          </w:tcPr>
          <w:p w14:paraId="7F4B65C5" w14:textId="1D2FD148" w:rsidR="002E26FD" w:rsidRPr="00AA1EC7" w:rsidRDefault="002E26FD" w:rsidP="000E66DE">
            <w:pPr>
              <w:contextualSpacing/>
              <w:rPr>
                <w:rFonts w:cs="Times New Roman"/>
                <w:sz w:val="20"/>
                <w:szCs w:val="20"/>
              </w:rPr>
            </w:pPr>
            <w:r w:rsidRPr="002D1DD7">
              <w:rPr>
                <w:rFonts w:asciiTheme="majorBidi" w:eastAsia="Times New Roman" w:hAnsiTheme="majorBidi" w:cstheme="majorBidi"/>
                <w:color w:val="000000"/>
                <w:sz w:val="20"/>
                <w:szCs w:val="20"/>
              </w:rPr>
              <w:t>Various</w:t>
            </w:r>
            <w:r w:rsidRPr="002D1DD7">
              <w:rPr>
                <w:rFonts w:asciiTheme="majorBidi" w:eastAsia="Times New Roman" w:hAnsiTheme="majorBidi" w:cstheme="majorBidi"/>
                <w:color w:val="000000"/>
                <w:sz w:val="20"/>
                <w:szCs w:val="20"/>
              </w:rPr>
              <w:fldChar w:fldCharType="begin"/>
            </w:r>
            <w:r w:rsidR="000E66DE">
              <w:rPr>
                <w:rFonts w:asciiTheme="majorBidi" w:eastAsia="Times New Roman" w:hAnsiTheme="majorBidi" w:cstheme="majorBidi"/>
                <w:color w:val="000000"/>
                <w:sz w:val="20"/>
                <w:szCs w:val="20"/>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137</w:t>
            </w:r>
            <w:r w:rsidRPr="002D1DD7">
              <w:rPr>
                <w:rFonts w:asciiTheme="majorBidi" w:eastAsia="Times New Roman" w:hAnsiTheme="majorBidi" w:cstheme="majorBidi"/>
                <w:color w:val="000000"/>
                <w:sz w:val="20"/>
                <w:szCs w:val="20"/>
              </w:rPr>
              <w:fldChar w:fldCharType="end"/>
            </w:r>
          </w:p>
        </w:tc>
        <w:tc>
          <w:tcPr>
            <w:tcW w:w="987" w:type="dxa"/>
            <w:tcMar>
              <w:left w:w="28" w:type="dxa"/>
              <w:right w:w="28" w:type="dxa"/>
            </w:tcMar>
          </w:tcPr>
          <w:p w14:paraId="0A8C2F48" w14:textId="78200C5C"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Diff ORR</w:t>
            </w:r>
          </w:p>
        </w:tc>
        <w:tc>
          <w:tcPr>
            <w:tcW w:w="1045" w:type="dxa"/>
            <w:tcMar>
              <w:left w:w="28" w:type="dxa"/>
              <w:right w:w="28" w:type="dxa"/>
            </w:tcMar>
          </w:tcPr>
          <w:p w14:paraId="3EFE823F" w14:textId="77777777" w:rsidR="002E26FD" w:rsidRPr="00AA1EC7" w:rsidRDefault="002E26FD" w:rsidP="002E26FD">
            <w:pPr>
              <w:contextualSpacing/>
              <w:rPr>
                <w:rFonts w:eastAsia="Times New Roman" w:cs="Times New Roman"/>
                <w:color w:val="000000"/>
                <w:sz w:val="20"/>
                <w:szCs w:val="20"/>
              </w:rPr>
            </w:pPr>
            <w:r w:rsidRPr="00AA1EC7">
              <w:rPr>
                <w:rFonts w:eastAsia="Times New Roman" w:cs="Times New Roman"/>
                <w:color w:val="000000"/>
                <w:sz w:val="20"/>
                <w:szCs w:val="20"/>
              </w:rPr>
              <w:t>HR OS</w:t>
            </w:r>
          </w:p>
        </w:tc>
        <w:tc>
          <w:tcPr>
            <w:tcW w:w="722" w:type="dxa"/>
            <w:tcMar>
              <w:left w:w="28" w:type="dxa"/>
              <w:right w:w="28" w:type="dxa"/>
            </w:tcMar>
          </w:tcPr>
          <w:p w14:paraId="44D7815B" w14:textId="77777777"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21%</w:t>
            </w:r>
          </w:p>
        </w:tc>
        <w:tc>
          <w:tcPr>
            <w:tcW w:w="1139" w:type="dxa"/>
            <w:tcMar>
              <w:left w:w="28" w:type="dxa"/>
              <w:right w:w="28" w:type="dxa"/>
            </w:tcMar>
          </w:tcPr>
          <w:p w14:paraId="1A8A4B10" w14:textId="77777777" w:rsidR="002E26FD" w:rsidRPr="00AA1EC7" w:rsidRDefault="002E26FD" w:rsidP="002E26FD">
            <w:pPr>
              <w:contextualSpacing/>
              <w:rPr>
                <w:rFonts w:eastAsia="Times New Roman" w:cs="Times New Roman"/>
                <w:color w:val="000000"/>
                <w:sz w:val="20"/>
                <w:szCs w:val="20"/>
              </w:rPr>
            </w:pPr>
          </w:p>
        </w:tc>
        <w:tc>
          <w:tcPr>
            <w:tcW w:w="711" w:type="dxa"/>
            <w:tcMar>
              <w:left w:w="28" w:type="dxa"/>
              <w:right w:w="28" w:type="dxa"/>
            </w:tcMar>
          </w:tcPr>
          <w:p w14:paraId="466E77D5" w14:textId="77777777" w:rsidR="002E26FD" w:rsidRPr="00AA1EC7" w:rsidRDefault="002E26FD" w:rsidP="002E26FD">
            <w:pPr>
              <w:contextualSpacing/>
              <w:rPr>
                <w:rFonts w:eastAsia="Times New Roman" w:cs="Times New Roman"/>
                <w:color w:val="000000"/>
                <w:sz w:val="20"/>
                <w:szCs w:val="20"/>
              </w:rPr>
            </w:pPr>
          </w:p>
        </w:tc>
        <w:tc>
          <w:tcPr>
            <w:tcW w:w="671" w:type="dxa"/>
            <w:tcMar>
              <w:left w:w="28" w:type="dxa"/>
              <w:right w:w="28" w:type="dxa"/>
            </w:tcMar>
          </w:tcPr>
          <w:p w14:paraId="16F80A1C" w14:textId="77777777" w:rsidR="002E26FD" w:rsidRPr="00AA1EC7" w:rsidRDefault="002E26FD" w:rsidP="002E26FD">
            <w:pPr>
              <w:contextualSpacing/>
              <w:rPr>
                <w:rFonts w:eastAsia="Times New Roman" w:cs="Times New Roman"/>
                <w:color w:val="000000"/>
                <w:sz w:val="20"/>
                <w:szCs w:val="20"/>
              </w:rPr>
            </w:pPr>
          </w:p>
        </w:tc>
      </w:tr>
      <w:tr w:rsidR="002E26FD" w:rsidRPr="00AA1EC7" w14:paraId="20D86D8F" w14:textId="77777777" w:rsidTr="002E26FD">
        <w:tc>
          <w:tcPr>
            <w:tcW w:w="1105" w:type="dxa"/>
            <w:tcMar>
              <w:left w:w="28" w:type="dxa"/>
              <w:right w:w="28" w:type="dxa"/>
            </w:tcMar>
          </w:tcPr>
          <w:p w14:paraId="14CCAA6A" w14:textId="77777777" w:rsidR="002E26FD" w:rsidRPr="00AA1EC7" w:rsidRDefault="002E26FD" w:rsidP="002E26FD">
            <w:pPr>
              <w:contextualSpacing/>
              <w:rPr>
                <w:rFonts w:eastAsia="Times New Roman" w:cs="Times New Roman"/>
                <w:b/>
                <w:bCs/>
                <w:color w:val="000000"/>
                <w:sz w:val="20"/>
                <w:szCs w:val="20"/>
              </w:rPr>
            </w:pPr>
            <w:r w:rsidRPr="00AA1EC7">
              <w:rPr>
                <w:rFonts w:cs="Times New Roman"/>
                <w:b/>
                <w:bCs/>
                <w:sz w:val="20"/>
                <w:szCs w:val="20"/>
              </w:rPr>
              <w:t>CR to PFS</w:t>
            </w:r>
          </w:p>
        </w:tc>
        <w:tc>
          <w:tcPr>
            <w:tcW w:w="2574" w:type="dxa"/>
            <w:tcMar>
              <w:left w:w="28" w:type="dxa"/>
              <w:right w:w="28" w:type="dxa"/>
            </w:tcMar>
          </w:tcPr>
          <w:p w14:paraId="0AB25776" w14:textId="071D62B5" w:rsidR="002E26FD" w:rsidRPr="00AA1EC7" w:rsidRDefault="002E26FD" w:rsidP="000E66DE">
            <w:pPr>
              <w:contextualSpacing/>
              <w:rPr>
                <w:rFonts w:cs="Times New Roman"/>
                <w:sz w:val="20"/>
                <w:szCs w:val="20"/>
              </w:rPr>
            </w:pPr>
            <w:r w:rsidRPr="002D1DD7">
              <w:rPr>
                <w:rFonts w:asciiTheme="majorBidi" w:eastAsia="Times New Roman" w:hAnsiTheme="majorBidi" w:cstheme="majorBidi"/>
                <w:color w:val="000000"/>
                <w:sz w:val="20"/>
                <w:szCs w:val="20"/>
              </w:rPr>
              <w:t>NHL</w:t>
            </w:r>
            <w:r w:rsidRPr="002D1DD7">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 </w:instrText>
            </w:r>
            <w:r w:rsidR="000E66DE">
              <w:rPr>
                <w:rFonts w:asciiTheme="majorBidi" w:eastAsia="Times New Roman" w:hAnsiTheme="majorBidi" w:cstheme="majorBidi"/>
                <w:color w:val="000000"/>
                <w:sz w:val="20"/>
                <w:szCs w:val="20"/>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000E66DE">
              <w:rPr>
                <w:rFonts w:asciiTheme="majorBidi" w:eastAsia="Times New Roman" w:hAnsiTheme="majorBidi" w:cstheme="majorBidi"/>
                <w:color w:val="000000"/>
                <w:sz w:val="20"/>
                <w:szCs w:val="20"/>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asciiTheme="majorBidi" w:eastAsia="Times New Roman" w:hAnsiTheme="majorBidi" w:cstheme="majorBidi"/>
                <w:color w:val="000000"/>
                <w:sz w:val="20"/>
                <w:szCs w:val="20"/>
              </w:rPr>
              <w:instrText xml:space="preserve"> ADDIN EN.CITE.DATA </w:instrText>
            </w:r>
            <w:r w:rsidR="000E66DE">
              <w:rPr>
                <w:rFonts w:asciiTheme="majorBidi" w:eastAsia="Times New Roman" w:hAnsiTheme="majorBidi" w:cstheme="majorBidi"/>
                <w:color w:val="000000"/>
                <w:sz w:val="20"/>
                <w:szCs w:val="20"/>
              </w:rPr>
            </w:r>
            <w:r w:rsidR="000E66DE">
              <w:rPr>
                <w:rFonts w:asciiTheme="majorBidi" w:eastAsia="Times New Roman" w:hAnsiTheme="majorBidi" w:cstheme="majorBidi"/>
                <w:color w:val="000000"/>
                <w:sz w:val="20"/>
                <w:szCs w:val="20"/>
              </w:rPr>
              <w:fldChar w:fldCharType="end"/>
            </w:r>
            <w:r w:rsidRPr="002D1DD7">
              <w:rPr>
                <w:rFonts w:asciiTheme="majorBidi" w:eastAsia="Times New Roman" w:hAnsiTheme="majorBidi" w:cstheme="majorBidi"/>
                <w:color w:val="000000"/>
                <w:sz w:val="20"/>
                <w:szCs w:val="20"/>
              </w:rPr>
            </w:r>
            <w:r w:rsidRPr="002D1DD7">
              <w:rPr>
                <w:rFonts w:asciiTheme="majorBidi" w:eastAsia="Times New Roman" w:hAnsiTheme="majorBidi" w:cstheme="majorBidi"/>
                <w:color w:val="000000"/>
                <w:sz w:val="20"/>
                <w:szCs w:val="20"/>
              </w:rPr>
              <w:fldChar w:fldCharType="separate"/>
            </w:r>
            <w:r w:rsidR="003117A9" w:rsidRPr="003117A9">
              <w:rPr>
                <w:rFonts w:asciiTheme="majorBidi" w:eastAsia="Times New Roman" w:hAnsiTheme="majorBidi" w:cstheme="majorBidi"/>
                <w:noProof/>
                <w:color w:val="000000"/>
                <w:sz w:val="20"/>
                <w:szCs w:val="20"/>
                <w:vertAlign w:val="superscript"/>
              </w:rPr>
              <w:t>129</w:t>
            </w:r>
            <w:r w:rsidRPr="002D1DD7">
              <w:rPr>
                <w:rFonts w:asciiTheme="majorBidi" w:eastAsia="Times New Roman" w:hAnsiTheme="majorBidi" w:cstheme="majorBidi"/>
                <w:color w:val="000000"/>
                <w:sz w:val="20"/>
                <w:szCs w:val="20"/>
              </w:rPr>
              <w:fldChar w:fldCharType="end"/>
            </w:r>
          </w:p>
        </w:tc>
        <w:tc>
          <w:tcPr>
            <w:tcW w:w="987" w:type="dxa"/>
            <w:tcMar>
              <w:left w:w="28" w:type="dxa"/>
              <w:right w:w="28" w:type="dxa"/>
            </w:tcMar>
          </w:tcPr>
          <w:p w14:paraId="76D2111F" w14:textId="77777777" w:rsidR="002E26FD" w:rsidRPr="00AA1EC7" w:rsidRDefault="002E26FD" w:rsidP="002E26FD">
            <w:pPr>
              <w:contextualSpacing/>
              <w:rPr>
                <w:rFonts w:cs="Times New Roman"/>
                <w:sz w:val="20"/>
                <w:szCs w:val="20"/>
              </w:rPr>
            </w:pPr>
          </w:p>
        </w:tc>
        <w:tc>
          <w:tcPr>
            <w:tcW w:w="1045" w:type="dxa"/>
            <w:tcMar>
              <w:left w:w="28" w:type="dxa"/>
              <w:right w:w="28" w:type="dxa"/>
            </w:tcMar>
          </w:tcPr>
          <w:p w14:paraId="73E7C87F" w14:textId="77777777" w:rsidR="002E26FD" w:rsidRPr="00AA1EC7" w:rsidRDefault="002E26FD" w:rsidP="002E26FD">
            <w:pPr>
              <w:contextualSpacing/>
              <w:rPr>
                <w:rFonts w:cs="Times New Roman"/>
                <w:sz w:val="20"/>
                <w:szCs w:val="20"/>
              </w:rPr>
            </w:pPr>
          </w:p>
        </w:tc>
        <w:tc>
          <w:tcPr>
            <w:tcW w:w="722" w:type="dxa"/>
            <w:tcMar>
              <w:left w:w="28" w:type="dxa"/>
              <w:right w:w="28" w:type="dxa"/>
            </w:tcMar>
          </w:tcPr>
          <w:p w14:paraId="1E03A241" w14:textId="77777777" w:rsidR="002E26FD" w:rsidRPr="00AA1EC7" w:rsidRDefault="002E26FD" w:rsidP="002E26FD">
            <w:pPr>
              <w:contextualSpacing/>
              <w:rPr>
                <w:rFonts w:cs="Times New Roman"/>
                <w:sz w:val="20"/>
                <w:szCs w:val="20"/>
              </w:rPr>
            </w:pPr>
          </w:p>
        </w:tc>
        <w:tc>
          <w:tcPr>
            <w:tcW w:w="1139" w:type="dxa"/>
            <w:tcMar>
              <w:left w:w="28" w:type="dxa"/>
              <w:right w:w="28" w:type="dxa"/>
            </w:tcMar>
          </w:tcPr>
          <w:p w14:paraId="0C7463AB" w14:textId="77777777"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OR CR 30mo</w:t>
            </w:r>
          </w:p>
        </w:tc>
        <w:tc>
          <w:tcPr>
            <w:tcW w:w="711" w:type="dxa"/>
            <w:tcMar>
              <w:left w:w="28" w:type="dxa"/>
              <w:right w:w="28" w:type="dxa"/>
            </w:tcMar>
          </w:tcPr>
          <w:p w14:paraId="6820589B" w14:textId="77777777" w:rsidR="002E26FD" w:rsidRPr="00AA1EC7" w:rsidRDefault="002E26FD" w:rsidP="002E26FD">
            <w:pPr>
              <w:contextualSpacing/>
              <w:rPr>
                <w:rFonts w:eastAsia="Times New Roman" w:cs="Times New Roman"/>
                <w:color w:val="000000"/>
                <w:sz w:val="20"/>
                <w:szCs w:val="20"/>
              </w:rPr>
            </w:pPr>
            <w:r w:rsidRPr="00AA1EC7">
              <w:rPr>
                <w:rFonts w:eastAsia="Times New Roman" w:cs="Times New Roman"/>
                <w:color w:val="000000"/>
                <w:sz w:val="20"/>
                <w:szCs w:val="20"/>
              </w:rPr>
              <w:t>HR PFS</w:t>
            </w:r>
          </w:p>
        </w:tc>
        <w:tc>
          <w:tcPr>
            <w:tcW w:w="671" w:type="dxa"/>
            <w:tcMar>
              <w:left w:w="28" w:type="dxa"/>
              <w:right w:w="28" w:type="dxa"/>
            </w:tcMar>
          </w:tcPr>
          <w:p w14:paraId="3BF42912" w14:textId="77777777" w:rsidR="002E26FD" w:rsidRPr="00AA1EC7" w:rsidRDefault="002E26FD" w:rsidP="002E26FD">
            <w:pPr>
              <w:contextualSpacing/>
              <w:rPr>
                <w:rFonts w:cs="Times New Roman"/>
                <w:sz w:val="20"/>
                <w:szCs w:val="20"/>
              </w:rPr>
            </w:pPr>
            <w:r w:rsidRPr="00AA1EC7">
              <w:rPr>
                <w:rFonts w:eastAsia="Times New Roman" w:cs="Times New Roman"/>
                <w:color w:val="000000"/>
                <w:sz w:val="20"/>
                <w:szCs w:val="20"/>
              </w:rPr>
              <w:t>1.56</w:t>
            </w:r>
          </w:p>
        </w:tc>
      </w:tr>
      <w:tr w:rsidR="00716DF9" w:rsidRPr="00AA1EC7" w14:paraId="6FD2169C" w14:textId="77777777" w:rsidTr="00716DF9">
        <w:tc>
          <w:tcPr>
            <w:tcW w:w="8954" w:type="dxa"/>
            <w:gridSpan w:val="8"/>
            <w:tcMar>
              <w:left w:w="28" w:type="dxa"/>
              <w:right w:w="28" w:type="dxa"/>
            </w:tcMar>
          </w:tcPr>
          <w:p w14:paraId="29EFCE82" w14:textId="7B782EA5" w:rsidR="00716DF9" w:rsidRPr="00AA1EC7" w:rsidRDefault="00716DF9" w:rsidP="00AA1EC7">
            <w:pPr>
              <w:contextualSpacing/>
              <w:rPr>
                <w:rFonts w:eastAsia="Times New Roman" w:cs="Times New Roman"/>
                <w:color w:val="000000"/>
                <w:sz w:val="20"/>
                <w:szCs w:val="20"/>
              </w:rPr>
            </w:pPr>
            <w:r w:rsidRPr="00AA1EC7">
              <w:rPr>
                <w:rFonts w:cs="Times New Roman"/>
                <w:sz w:val="20"/>
                <w:szCs w:val="20"/>
              </w:rPr>
              <w:t>CR, complete response; diff, difference; HR, hazard ratio; NHL, non-Hodgkin’s lymphoma; NSCLC, non-small cell lung cancer; OR, odds ratio;</w:t>
            </w:r>
            <w:r w:rsidR="00953E91" w:rsidRPr="00AA1EC7">
              <w:rPr>
                <w:rFonts w:cs="Times New Roman"/>
                <w:sz w:val="20"/>
                <w:szCs w:val="20"/>
              </w:rPr>
              <w:t xml:space="preserve"> ORR, overall response rate;</w:t>
            </w:r>
            <w:r w:rsidRPr="00AA1EC7">
              <w:rPr>
                <w:rFonts w:cs="Times New Roman"/>
                <w:sz w:val="20"/>
                <w:szCs w:val="20"/>
              </w:rPr>
              <w:t xml:space="preserve"> OS, overall survival; PFS, progression-free survival; STE, surrogate threshold effect.</w:t>
            </w:r>
          </w:p>
        </w:tc>
      </w:tr>
    </w:tbl>
    <w:p w14:paraId="69BA4027" w14:textId="77777777" w:rsidR="00716DF9" w:rsidRPr="002D1DD7" w:rsidRDefault="00716DF9" w:rsidP="00716DF9">
      <w:pPr>
        <w:spacing w:after="0"/>
        <w:jc w:val="both"/>
        <w:rPr>
          <w:rFonts w:asciiTheme="majorBidi" w:hAnsiTheme="majorBidi" w:cstheme="majorBidi"/>
          <w:sz w:val="28"/>
          <w:szCs w:val="28"/>
        </w:rPr>
      </w:pPr>
    </w:p>
    <w:p w14:paraId="293BFE26" w14:textId="77777777" w:rsidR="00716DF9" w:rsidRPr="002D1DD7" w:rsidRDefault="00716DF9" w:rsidP="00AA1EC7">
      <w:pPr>
        <w:pStyle w:val="Heading3"/>
      </w:pPr>
      <w:bookmarkStart w:id="113" w:name="_Toc33776184"/>
      <w:r w:rsidRPr="002D1DD7">
        <w:t xml:space="preserve">IQWiG and BSES2 </w:t>
      </w:r>
      <w:bookmarkEnd w:id="105"/>
      <w:r w:rsidRPr="002D1DD7">
        <w:t>scores for strength of association</w:t>
      </w:r>
      <w:bookmarkEnd w:id="113"/>
    </w:p>
    <w:p w14:paraId="7D91B372" w14:textId="121633A5" w:rsidR="00716DF9" w:rsidRPr="002D1DD7" w:rsidRDefault="00716DF9" w:rsidP="00AA1EC7">
      <w:r w:rsidRPr="002D1DD7">
        <w:rPr>
          <w:lang w:eastAsia="en-GB"/>
        </w:rPr>
        <w:t>This section reports results from the IQWiG and BSES2 scoring for strength of association between surrogate and final endpoints. As described in Section</w:t>
      </w:r>
      <w:r w:rsidR="00BD64B8">
        <w:rPr>
          <w:lang w:eastAsia="en-GB"/>
        </w:rPr>
        <w:t xml:space="preserve"> </w:t>
      </w:r>
      <w:r w:rsidR="00BD64B8">
        <w:rPr>
          <w:lang w:eastAsia="en-GB"/>
        </w:rPr>
        <w:fldChar w:fldCharType="begin"/>
      </w:r>
      <w:r w:rsidR="00BD64B8">
        <w:rPr>
          <w:lang w:eastAsia="en-GB"/>
        </w:rPr>
        <w:instrText xml:space="preserve"> REF _Ref32650249 \w \h </w:instrText>
      </w:r>
      <w:r w:rsidR="00BD64B8">
        <w:rPr>
          <w:lang w:eastAsia="en-GB"/>
        </w:rPr>
      </w:r>
      <w:r w:rsidR="00BD64B8">
        <w:rPr>
          <w:lang w:eastAsia="en-GB"/>
        </w:rPr>
        <w:fldChar w:fldCharType="separate"/>
      </w:r>
      <w:r w:rsidR="00C663A2">
        <w:rPr>
          <w:lang w:eastAsia="en-GB"/>
        </w:rPr>
        <w:t>4.2.7</w:t>
      </w:r>
      <w:r w:rsidR="00BD64B8">
        <w:rPr>
          <w:lang w:eastAsia="en-GB"/>
        </w:rPr>
        <w:fldChar w:fldCharType="end"/>
      </w:r>
      <w:r w:rsidRPr="002D1DD7">
        <w:rPr>
          <w:lang w:eastAsia="en-GB"/>
        </w:rPr>
        <w:t xml:space="preserve">, IQWiG scoring requires a correlation coefficient (r) for the treatment effect association, while BSES2 scoring requires </w:t>
      </w:r>
      <w:r w:rsidRPr="002D1DD7">
        <w:t>R</w:t>
      </w:r>
      <w:r w:rsidRPr="002D1DD7">
        <w:rPr>
          <w:vertAlign w:val="superscript"/>
        </w:rPr>
        <w:t>2</w:t>
      </w:r>
      <w:r w:rsidRPr="002D1DD7">
        <w:t xml:space="preserve"> values for both the individual and treatment effect associations. IQWiG and BSES2 scores were calculated for all subgroup analyses </w:t>
      </w:r>
      <w:r w:rsidRPr="002D1DD7">
        <w:rPr>
          <w:lang w:eastAsia="en-GB"/>
        </w:rPr>
        <w:t xml:space="preserve">with sufficient data; </w:t>
      </w:r>
      <w:r w:rsidRPr="002D1DD7">
        <w:t>therefore, studies reporting more subgroups were more strongly represented in this analysis.</w:t>
      </w:r>
    </w:p>
    <w:p w14:paraId="1F5B4691" w14:textId="2A4CA3D2" w:rsidR="00716DF9" w:rsidRPr="002D1DD7" w:rsidRDefault="00716DF9" w:rsidP="00AA1EC7">
      <w:r w:rsidRPr="002D1DD7">
        <w:t>In terms of IQWiG scores (</w:t>
      </w:r>
      <w:r w:rsidRPr="002D1DD7">
        <w:fldChar w:fldCharType="begin"/>
      </w:r>
      <w:r w:rsidRPr="002D1DD7">
        <w:instrText xml:space="preserve"> REF _Ref19105414 \h </w:instrText>
      </w:r>
      <w:r w:rsidRPr="002D1DD7">
        <w:fldChar w:fldCharType="separate"/>
      </w:r>
      <w:r w:rsidR="00C663A2" w:rsidRPr="002D1DD7">
        <w:t xml:space="preserve">Figure </w:t>
      </w:r>
      <w:r w:rsidR="00C663A2">
        <w:rPr>
          <w:noProof/>
        </w:rPr>
        <w:t>6</w:t>
      </w:r>
      <w:r w:rsidRPr="002D1DD7">
        <w:fldChar w:fldCharType="end"/>
      </w:r>
      <w:r w:rsidRPr="002D1DD7">
        <w:t xml:space="preserve">), of 202 analyses (across 63 studies), 0 (0%) scored high, 15 (7%) scored medium+, 26 (13%) scored medium, 76 (38%) scored low and 85 (42%) were not </w:t>
      </w:r>
      <w:r w:rsidR="00AF75A9">
        <w:t>evaluable</w:t>
      </w:r>
      <w:r w:rsidRPr="002D1DD7">
        <w:t>.</w:t>
      </w:r>
    </w:p>
    <w:p w14:paraId="495B1E3C" w14:textId="301E2908" w:rsidR="00454DA0" w:rsidRPr="002D1DD7" w:rsidRDefault="00716DF9" w:rsidP="00231517">
      <w:pPr>
        <w:rPr>
          <w:rFonts w:asciiTheme="majorBidi" w:hAnsiTheme="majorBidi" w:cstheme="majorBidi"/>
        </w:rPr>
      </w:pPr>
      <w:r w:rsidRPr="002D1DD7">
        <w:lastRenderedPageBreak/>
        <w:t>In terms of BSES2 scores (</w:t>
      </w:r>
      <w:r w:rsidRPr="002D1DD7">
        <w:fldChar w:fldCharType="begin"/>
      </w:r>
      <w:r w:rsidRPr="002D1DD7">
        <w:instrText xml:space="preserve"> REF _Ref19105421 \h </w:instrText>
      </w:r>
      <w:r w:rsidRPr="002D1DD7">
        <w:fldChar w:fldCharType="separate"/>
      </w:r>
      <w:r w:rsidR="00C663A2" w:rsidRPr="002D1DD7">
        <w:t xml:space="preserve">Figure </w:t>
      </w:r>
      <w:r w:rsidR="00C663A2">
        <w:rPr>
          <w:noProof/>
        </w:rPr>
        <w:t>7</w:t>
      </w:r>
      <w:r w:rsidRPr="002D1DD7">
        <w:fldChar w:fldCharType="end"/>
      </w:r>
      <w:r w:rsidRPr="002D1DD7">
        <w:t xml:space="preserve">), of 202 analyses (across 63 studies), 0 (0%) scored excellent, 3 (1%) scored good, 3 (1%) scored fair, 7 (3%) scored poor and 189 (94%) were not </w:t>
      </w:r>
      <w:r w:rsidR="00AF75A9">
        <w:t>evaluable</w:t>
      </w:r>
      <w:r w:rsidRPr="002D1DD7">
        <w:t>.</w:t>
      </w:r>
    </w:p>
    <w:p w14:paraId="1515EA7C" w14:textId="285CD5AC" w:rsidR="00716DF9" w:rsidRPr="002D1DD7" w:rsidRDefault="00716DF9" w:rsidP="00AA1EC7">
      <w:pPr>
        <w:pStyle w:val="Caption"/>
      </w:pPr>
      <w:bookmarkStart w:id="114" w:name="_Ref19105414"/>
      <w:bookmarkStart w:id="115" w:name="_Toc34033566"/>
      <w:r w:rsidRPr="002D1DD7">
        <w:t xml:space="preserve">Figure </w:t>
      </w:r>
      <w:r w:rsidR="00C974E5">
        <w:fldChar w:fldCharType="begin"/>
      </w:r>
      <w:r w:rsidR="00C974E5">
        <w:instrText xml:space="preserve"> SEQ Figure \* ARABIC </w:instrText>
      </w:r>
      <w:r w:rsidR="00C974E5">
        <w:fldChar w:fldCharType="separate"/>
      </w:r>
      <w:r w:rsidR="00C663A2">
        <w:rPr>
          <w:noProof/>
        </w:rPr>
        <w:t>6</w:t>
      </w:r>
      <w:r w:rsidR="00C974E5">
        <w:rPr>
          <w:noProof/>
        </w:rPr>
        <w:fldChar w:fldCharType="end"/>
      </w:r>
      <w:bookmarkEnd w:id="114"/>
      <w:r w:rsidRPr="002D1DD7">
        <w:t>: Summary of IQWiG scores across all 202 analyses included in the review</w:t>
      </w:r>
      <w:bookmarkEnd w:id="115"/>
    </w:p>
    <w:p w14:paraId="04D155D7" w14:textId="77777777" w:rsidR="00716DF9" w:rsidRPr="002D1DD7" w:rsidRDefault="00716DF9" w:rsidP="00716DF9">
      <w:pPr>
        <w:rPr>
          <w:rFonts w:asciiTheme="majorBidi" w:hAnsiTheme="majorBidi" w:cstheme="majorBidi"/>
        </w:rPr>
      </w:pPr>
      <w:r w:rsidRPr="002D1DD7">
        <w:rPr>
          <w:rFonts w:asciiTheme="majorBidi" w:hAnsiTheme="majorBidi" w:cstheme="majorBidi"/>
          <w:noProof/>
          <w:lang w:eastAsia="en-GB"/>
        </w:rPr>
        <w:drawing>
          <wp:inline distT="0" distB="0" distL="0" distR="0" wp14:anchorId="6BF3D3CB" wp14:editId="0410FC2D">
            <wp:extent cx="5731510" cy="37426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742690"/>
                    </a:xfrm>
                    <a:prstGeom prst="rect">
                      <a:avLst/>
                    </a:prstGeom>
                  </pic:spPr>
                </pic:pic>
              </a:graphicData>
            </a:graphic>
          </wp:inline>
        </w:drawing>
      </w:r>
    </w:p>
    <w:p w14:paraId="6DD6D4D2" w14:textId="77777777" w:rsidR="00716DF9" w:rsidRPr="002D1DD7" w:rsidRDefault="00716DF9" w:rsidP="00716DF9">
      <w:pPr>
        <w:rPr>
          <w:rFonts w:asciiTheme="majorBidi" w:hAnsiTheme="majorBidi" w:cstheme="majorBidi"/>
        </w:rPr>
      </w:pPr>
    </w:p>
    <w:p w14:paraId="65AF7393" w14:textId="7C5A8930" w:rsidR="00716DF9" w:rsidRPr="002D1DD7" w:rsidRDefault="00716DF9" w:rsidP="00AA1EC7">
      <w:pPr>
        <w:pStyle w:val="Caption"/>
      </w:pPr>
      <w:bookmarkStart w:id="116" w:name="_Ref19105421"/>
      <w:bookmarkStart w:id="117" w:name="_Toc34033567"/>
      <w:r w:rsidRPr="002D1DD7">
        <w:lastRenderedPageBreak/>
        <w:t xml:space="preserve">Figure </w:t>
      </w:r>
      <w:r w:rsidR="00C974E5">
        <w:fldChar w:fldCharType="begin"/>
      </w:r>
      <w:r w:rsidR="00C974E5">
        <w:instrText xml:space="preserve"> SEQ Figure \* ARABIC </w:instrText>
      </w:r>
      <w:r w:rsidR="00C974E5">
        <w:fldChar w:fldCharType="separate"/>
      </w:r>
      <w:r w:rsidR="00C663A2">
        <w:rPr>
          <w:noProof/>
        </w:rPr>
        <w:t>7</w:t>
      </w:r>
      <w:r w:rsidR="00C974E5">
        <w:rPr>
          <w:noProof/>
        </w:rPr>
        <w:fldChar w:fldCharType="end"/>
      </w:r>
      <w:bookmarkEnd w:id="116"/>
      <w:r w:rsidRPr="002D1DD7">
        <w:t>: Summary of BSES2 scores across all 202 analyses included in the review</w:t>
      </w:r>
      <w:bookmarkEnd w:id="117"/>
    </w:p>
    <w:p w14:paraId="16F1AED6" w14:textId="77777777" w:rsidR="00716DF9" w:rsidRPr="002D1DD7" w:rsidRDefault="00716DF9" w:rsidP="00716DF9">
      <w:pPr>
        <w:rPr>
          <w:rFonts w:asciiTheme="majorBidi" w:hAnsiTheme="majorBidi" w:cstheme="majorBidi"/>
        </w:rPr>
      </w:pPr>
      <w:r w:rsidRPr="002D1DD7">
        <w:rPr>
          <w:rFonts w:asciiTheme="majorBidi" w:hAnsiTheme="majorBidi" w:cstheme="majorBidi"/>
          <w:noProof/>
          <w:lang w:eastAsia="en-GB"/>
        </w:rPr>
        <w:drawing>
          <wp:inline distT="0" distB="0" distL="0" distR="0" wp14:anchorId="1AA6ED57" wp14:editId="10EBF5C7">
            <wp:extent cx="5731510" cy="37426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42690"/>
                    </a:xfrm>
                    <a:prstGeom prst="rect">
                      <a:avLst/>
                    </a:prstGeom>
                  </pic:spPr>
                </pic:pic>
              </a:graphicData>
            </a:graphic>
          </wp:inline>
        </w:drawing>
      </w:r>
    </w:p>
    <w:p w14:paraId="47547E87" w14:textId="77777777" w:rsidR="00AA1EC7" w:rsidRDefault="00AA1EC7" w:rsidP="00716DF9">
      <w:pPr>
        <w:rPr>
          <w:rFonts w:asciiTheme="majorBidi" w:hAnsiTheme="majorBidi" w:cstheme="majorBidi"/>
        </w:rPr>
      </w:pPr>
    </w:p>
    <w:p w14:paraId="673DD1EE" w14:textId="77777777" w:rsidR="00716DF9" w:rsidRPr="002D1DD7" w:rsidRDefault="00716DF9" w:rsidP="00EC11CD">
      <w:pPr>
        <w:pStyle w:val="Heading2"/>
      </w:pPr>
      <w:bookmarkStart w:id="118" w:name="_Toc33776185"/>
      <w:r w:rsidRPr="002D1DD7">
        <w:t>Discussion</w:t>
      </w:r>
      <w:bookmarkEnd w:id="118"/>
    </w:p>
    <w:p w14:paraId="49AB86A7" w14:textId="77777777" w:rsidR="00716DF9" w:rsidRPr="002D1DD7" w:rsidRDefault="00716DF9" w:rsidP="00223273">
      <w:pPr>
        <w:pStyle w:val="Heading3"/>
      </w:pPr>
      <w:bookmarkStart w:id="119" w:name="_Toc33776186"/>
      <w:r w:rsidRPr="002D1DD7">
        <w:t>Summary of main findings</w:t>
      </w:r>
      <w:bookmarkEnd w:id="119"/>
    </w:p>
    <w:p w14:paraId="5459A3C9" w14:textId="77777777" w:rsidR="00716DF9" w:rsidRPr="002D1DD7" w:rsidRDefault="00716DF9" w:rsidP="00223273">
      <w:pPr>
        <w:pStyle w:val="Heading4"/>
        <w:rPr>
          <w:rFonts w:eastAsia="Times New Roman"/>
          <w:lang w:eastAsia="en-GB"/>
        </w:rPr>
      </w:pPr>
      <w:bookmarkStart w:id="120" w:name="_Toc33776187"/>
      <w:r w:rsidRPr="002D1DD7">
        <w:rPr>
          <w:rFonts w:eastAsia="Times New Roman"/>
          <w:lang w:eastAsia="en-GB"/>
        </w:rPr>
        <w:t>Types of analysis identified</w:t>
      </w:r>
      <w:bookmarkEnd w:id="120"/>
    </w:p>
    <w:p w14:paraId="0DED3E2C" w14:textId="20D10879" w:rsidR="00716DF9" w:rsidRPr="002D1DD7" w:rsidRDefault="00716DF9" w:rsidP="00AA1EC7">
      <w:pPr>
        <w:rPr>
          <w:lang w:eastAsia="en-GB"/>
        </w:rPr>
      </w:pPr>
      <w:r w:rsidRPr="002D1DD7">
        <w:rPr>
          <w:lang w:eastAsia="en-GB"/>
        </w:rPr>
        <w:t xml:space="preserve">This systematic review summarises correlation and regression analyses for the strength of the association between response outcomes and PFS, TTP or OS across different types of cancer (primarily advanced or metastatic), based on </w:t>
      </w:r>
      <w:r w:rsidR="00557925">
        <w:rPr>
          <w:lang w:eastAsia="en-GB"/>
        </w:rPr>
        <w:t xml:space="preserve">included </w:t>
      </w:r>
      <w:r w:rsidRPr="002D1DD7">
        <w:rPr>
          <w:lang w:eastAsia="en-GB"/>
        </w:rPr>
        <w:t xml:space="preserve">meta-analyses and meta-regression studies. In total, the review included 63 studies across 20 cancer types, most commonly NSCLC, </w:t>
      </w:r>
      <w:r w:rsidR="00A579D3">
        <w:rPr>
          <w:lang w:eastAsia="en-GB"/>
        </w:rPr>
        <w:t>CRC</w:t>
      </w:r>
      <w:r w:rsidRPr="002D1DD7">
        <w:rPr>
          <w:lang w:eastAsia="en-GB"/>
        </w:rPr>
        <w:t xml:space="preserve">, breast cancer and analyses of various solid tumours. The most commonly analysed relationships were between </w:t>
      </w:r>
      <w:r w:rsidR="00ED2A63">
        <w:rPr>
          <w:lang w:eastAsia="en-GB"/>
        </w:rPr>
        <w:t>O</w:t>
      </w:r>
      <w:r w:rsidRPr="002D1DD7">
        <w:rPr>
          <w:lang w:eastAsia="en-GB"/>
        </w:rPr>
        <w:t>RR and either PFS or OS, with other response outcomes (such as CR, DoR and PR) reported in fewer analyses. The majority of studies (44) included only RCTs, while the remainder also included single-arm studies.</w:t>
      </w:r>
    </w:p>
    <w:p w14:paraId="29118DBA" w14:textId="77777777" w:rsidR="00716DF9" w:rsidRPr="002D1DD7" w:rsidRDefault="00716DF9" w:rsidP="00223273">
      <w:pPr>
        <w:pStyle w:val="Heading4"/>
        <w:rPr>
          <w:rFonts w:eastAsia="Times New Roman"/>
          <w:lang w:eastAsia="en-GB"/>
        </w:rPr>
      </w:pPr>
      <w:bookmarkStart w:id="121" w:name="_Toc33776188"/>
      <w:r w:rsidRPr="002D1DD7">
        <w:rPr>
          <w:rFonts w:eastAsia="Times New Roman"/>
          <w:lang w:eastAsia="en-GB"/>
        </w:rPr>
        <w:t>Absolute (individual-level) associations</w:t>
      </w:r>
      <w:bookmarkEnd w:id="121"/>
    </w:p>
    <w:p w14:paraId="2176E1A1" w14:textId="5F34A41E" w:rsidR="00716DF9" w:rsidRPr="002D1DD7" w:rsidRDefault="00716DF9" w:rsidP="00AA1EC7">
      <w:r w:rsidRPr="002D1DD7">
        <w:rPr>
          <w:rFonts w:eastAsia="Times New Roman"/>
          <w:lang w:eastAsia="en-GB"/>
        </w:rPr>
        <w:t>For absolute (individual-level) association, t</w:t>
      </w:r>
      <w:r w:rsidRPr="002D1DD7">
        <w:t xml:space="preserve">he </w:t>
      </w:r>
      <w:r w:rsidR="00557925">
        <w:t>reported</w:t>
      </w:r>
      <w:r w:rsidRPr="002D1DD7">
        <w:t xml:space="preserve"> correlation coefficients between </w:t>
      </w:r>
      <w:r w:rsidR="00D06F93">
        <w:t>O</w:t>
      </w:r>
      <w:r w:rsidRPr="002D1DD7">
        <w:t xml:space="preserve">RR and PFS ranged from </w:t>
      </w:r>
      <w:r w:rsidR="00D06F93">
        <w:t>-0.72</w:t>
      </w:r>
      <w:r w:rsidRPr="002D1DD7">
        <w:t xml:space="preserve"> to 0.96 based on</w:t>
      </w:r>
      <w:r w:rsidR="00D06F93" w:rsidRPr="00D06F93">
        <w:t xml:space="preserve"> </w:t>
      </w:r>
      <w:r w:rsidR="00D06F93">
        <w:t>multiple analyses within</w:t>
      </w:r>
      <w:r w:rsidRPr="002D1DD7">
        <w:t xml:space="preserve"> 1</w:t>
      </w:r>
      <w:r w:rsidR="00D06F93">
        <w:t>2</w:t>
      </w:r>
      <w:r w:rsidRPr="002D1DD7">
        <w:t xml:space="preserve"> studies across </w:t>
      </w:r>
      <w:r w:rsidR="00D06F93">
        <w:t>10</w:t>
      </w:r>
      <w:r w:rsidRPr="002D1DD7">
        <w:t xml:space="preserve"> cancer types, while </w:t>
      </w:r>
      <w:r w:rsidR="00D06F93">
        <w:t>correlations</w:t>
      </w:r>
      <w:r w:rsidR="00D06F93" w:rsidRPr="002D1DD7">
        <w:t xml:space="preserve"> </w:t>
      </w:r>
      <w:r w:rsidRPr="002D1DD7">
        <w:t xml:space="preserve">between </w:t>
      </w:r>
      <w:r w:rsidR="00D06F93">
        <w:t>O</w:t>
      </w:r>
      <w:r w:rsidRPr="002D1DD7">
        <w:t xml:space="preserve">RR and OS ranged from </w:t>
      </w:r>
      <w:r w:rsidR="00D06F93">
        <w:t>-0.40</w:t>
      </w:r>
      <w:r w:rsidRPr="002D1DD7">
        <w:t xml:space="preserve"> to 1.00 based on 2</w:t>
      </w:r>
      <w:r w:rsidR="00D06F93">
        <w:t>7</w:t>
      </w:r>
      <w:r w:rsidRPr="002D1DD7">
        <w:t xml:space="preserve"> studies across 1</w:t>
      </w:r>
      <w:r w:rsidR="00D06F93">
        <w:t>5</w:t>
      </w:r>
      <w:r w:rsidRPr="002D1DD7">
        <w:t xml:space="preserve"> cancer types. Confidence intervals were generally fairly wide and were often not reported. </w:t>
      </w:r>
      <w:r w:rsidR="00966BA0">
        <w:t xml:space="preserve">The correlation coefficients reported from multiple analyses within the same study, and those reported </w:t>
      </w:r>
      <w:r w:rsidR="00966BA0">
        <w:lastRenderedPageBreak/>
        <w:t xml:space="preserve">across separate studies, did not suggest a </w:t>
      </w:r>
      <w:r w:rsidR="00966BA0" w:rsidRPr="002D1DD7">
        <w:t xml:space="preserve">clear pattern </w:t>
      </w:r>
      <w:r w:rsidR="00966BA0">
        <w:t xml:space="preserve">by </w:t>
      </w:r>
      <w:r w:rsidR="00966BA0" w:rsidRPr="002D1DD7">
        <w:t xml:space="preserve">cancer type. </w:t>
      </w:r>
      <w:r w:rsidRPr="002D1DD7">
        <w:t xml:space="preserve">For analyses of CR, the correlation coefficients between CR and PFS in two studies </w:t>
      </w:r>
      <w:r w:rsidR="00D06F93">
        <w:t>ranged from</w:t>
      </w:r>
      <w:r w:rsidR="00D06F93" w:rsidRPr="002D1DD7">
        <w:t xml:space="preserve"> </w:t>
      </w:r>
      <w:r w:rsidR="00D06F93">
        <w:t>0.22</w:t>
      </w:r>
      <w:r w:rsidR="00D06F93" w:rsidRPr="002D1DD7">
        <w:t xml:space="preserve"> </w:t>
      </w:r>
      <w:r w:rsidR="00D06F93">
        <w:t>to</w:t>
      </w:r>
      <w:r w:rsidR="00D06F93" w:rsidRPr="002D1DD7">
        <w:t xml:space="preserve"> </w:t>
      </w:r>
      <w:r w:rsidRPr="002D1DD7">
        <w:t xml:space="preserve">0.83, while those between CR and OS ranged from </w:t>
      </w:r>
      <w:r w:rsidR="00D06F93">
        <w:t>-0.04</w:t>
      </w:r>
      <w:r w:rsidRPr="002D1DD7">
        <w:t xml:space="preserve"> to 0.62 based on 3 studies.</w:t>
      </w:r>
    </w:p>
    <w:p w14:paraId="58EABECE" w14:textId="77777777" w:rsidR="00716DF9" w:rsidRPr="002D1DD7" w:rsidRDefault="00716DF9" w:rsidP="00223273">
      <w:pPr>
        <w:pStyle w:val="Heading4"/>
        <w:rPr>
          <w:rFonts w:eastAsia="Times New Roman"/>
          <w:lang w:eastAsia="en-GB"/>
        </w:rPr>
      </w:pPr>
      <w:bookmarkStart w:id="122" w:name="_Toc33776189"/>
      <w:r w:rsidRPr="002D1DD7">
        <w:rPr>
          <w:rFonts w:eastAsia="Times New Roman"/>
          <w:lang w:eastAsia="en-GB"/>
        </w:rPr>
        <w:t>Treatment effect (trial-level) associations</w:t>
      </w:r>
      <w:bookmarkEnd w:id="122"/>
    </w:p>
    <w:p w14:paraId="40A6D23B" w14:textId="4744D289" w:rsidR="00716DF9" w:rsidRPr="002D1DD7" w:rsidRDefault="00716DF9" w:rsidP="00AA1EC7">
      <w:r w:rsidRPr="002D1DD7">
        <w:rPr>
          <w:rFonts w:eastAsia="Times New Roman"/>
          <w:lang w:eastAsia="en-GB"/>
        </w:rPr>
        <w:t xml:space="preserve">For treatment effect (trial-level) association, the </w:t>
      </w:r>
      <w:r w:rsidRPr="002D1DD7">
        <w:t>regression R</w:t>
      </w:r>
      <w:r w:rsidRPr="002D1DD7">
        <w:rPr>
          <w:vertAlign w:val="superscript"/>
        </w:rPr>
        <w:t>2</w:t>
      </w:r>
      <w:r w:rsidRPr="002D1DD7">
        <w:t xml:space="preserve"> between </w:t>
      </w:r>
      <w:r w:rsidR="00EE2AAB">
        <w:t>O</w:t>
      </w:r>
      <w:r w:rsidRPr="002D1DD7">
        <w:t>RR and PFS ranged from 0.18 to 0.94 based on 9 studies across four cancer types, while the R</w:t>
      </w:r>
      <w:r w:rsidRPr="002D1DD7">
        <w:rPr>
          <w:vertAlign w:val="superscript"/>
        </w:rPr>
        <w:t>2</w:t>
      </w:r>
      <w:r w:rsidRPr="002D1DD7">
        <w:t xml:space="preserve"> </w:t>
      </w:r>
      <w:r w:rsidR="00966BA0">
        <w:t xml:space="preserve">values </w:t>
      </w:r>
      <w:r w:rsidRPr="002D1DD7">
        <w:t xml:space="preserve">between </w:t>
      </w:r>
      <w:r w:rsidR="00EE2AAB">
        <w:t>O</w:t>
      </w:r>
      <w:r w:rsidRPr="002D1DD7">
        <w:t xml:space="preserve">RR and OS ranged from </w:t>
      </w:r>
      <w:r w:rsidR="00D06F93">
        <w:t>-</w:t>
      </w:r>
      <w:r w:rsidRPr="002D1DD7">
        <w:t>0.0</w:t>
      </w:r>
      <w:r w:rsidR="00D06F93">
        <w:t>8</w:t>
      </w:r>
      <w:r w:rsidRPr="002D1DD7">
        <w:t xml:space="preserve"> to 0.84 based on 30 studies across 11 cancer types. Again, there was no clear pattern between cancer types. For analyses of CR, the highest R</w:t>
      </w:r>
      <w:r w:rsidRPr="002D1DD7">
        <w:rPr>
          <w:vertAlign w:val="superscript"/>
        </w:rPr>
        <w:t>2</w:t>
      </w:r>
      <w:r w:rsidRPr="002D1DD7">
        <w:t xml:space="preserve"> between CR and PFS </w:t>
      </w:r>
      <w:r w:rsidR="00D06F93">
        <w:t>ranged from 0.45 to</w:t>
      </w:r>
      <w:r w:rsidR="00D06F93" w:rsidRPr="002D1DD7">
        <w:t xml:space="preserve"> </w:t>
      </w:r>
      <w:r w:rsidRPr="002D1DD7">
        <w:t xml:space="preserve">0.93 in one study, while that between CR and OS </w:t>
      </w:r>
      <w:r w:rsidR="00D06F93">
        <w:t>ranged from</w:t>
      </w:r>
      <w:r w:rsidR="00D06F93" w:rsidRPr="002D1DD7">
        <w:t xml:space="preserve"> 0.</w:t>
      </w:r>
      <w:r w:rsidR="00D06F93">
        <w:t>05</w:t>
      </w:r>
      <w:r w:rsidR="00D06F93" w:rsidRPr="002D1DD7">
        <w:t xml:space="preserve"> </w:t>
      </w:r>
      <w:r w:rsidR="00D06F93">
        <w:t>to</w:t>
      </w:r>
      <w:r w:rsidR="00D06F93" w:rsidRPr="002D1DD7">
        <w:t xml:space="preserve"> </w:t>
      </w:r>
      <w:r w:rsidRPr="002D1DD7">
        <w:t>0.48 within two studies.</w:t>
      </w:r>
    </w:p>
    <w:p w14:paraId="4562F12B" w14:textId="77777777" w:rsidR="00716DF9" w:rsidRPr="002D1DD7" w:rsidRDefault="00716DF9" w:rsidP="00D16131">
      <w:pPr>
        <w:pStyle w:val="Heading4"/>
        <w:spacing w:before="120" w:after="240"/>
      </w:pPr>
      <w:bookmarkStart w:id="123" w:name="_Toc33776190"/>
      <w:r w:rsidRPr="002D1DD7">
        <w:t>Regression equations and STE</w:t>
      </w:r>
      <w:bookmarkEnd w:id="123"/>
    </w:p>
    <w:p w14:paraId="7FCAE1E6" w14:textId="04A8661A" w:rsidR="00716DF9" w:rsidRPr="002D1DD7" w:rsidRDefault="00716DF9" w:rsidP="00AA1EC7">
      <w:r w:rsidRPr="002D1DD7">
        <w:t xml:space="preserve">Regression equations were reported in fourteen studies for the relationship between </w:t>
      </w:r>
      <w:r w:rsidR="00EE2AAB">
        <w:t>O</w:t>
      </w:r>
      <w:r w:rsidRPr="002D1DD7">
        <w:t xml:space="preserve">RR and OS, and in </w:t>
      </w:r>
      <w:r w:rsidRPr="002D1DD7">
        <w:rPr>
          <w:rFonts w:eastAsia="Times New Roman"/>
          <w:lang w:eastAsia="en-GB"/>
        </w:rPr>
        <w:t xml:space="preserve">eight studies </w:t>
      </w:r>
      <w:r w:rsidRPr="002D1DD7">
        <w:t xml:space="preserve">for the relationship between </w:t>
      </w:r>
      <w:r w:rsidR="00EE2AAB">
        <w:t>O</w:t>
      </w:r>
      <w:r w:rsidRPr="002D1DD7">
        <w:rPr>
          <w:rFonts w:eastAsia="Times New Roman"/>
          <w:lang w:eastAsia="en-GB"/>
        </w:rPr>
        <w:t>RR and PFS. There was</w:t>
      </w:r>
      <w:r w:rsidRPr="002D1DD7">
        <w:t xml:space="preserve"> substantial variation in effect measures for both the surrogate and final outcomes (e.g. difference in medians, HR, OR). </w:t>
      </w:r>
      <w:r w:rsidRPr="002D1DD7">
        <w:rPr>
          <w:rFonts w:eastAsia="Times New Roman"/>
          <w:lang w:eastAsia="en-GB"/>
        </w:rPr>
        <w:t xml:space="preserve">The STE, the </w:t>
      </w:r>
      <w:r w:rsidRPr="002D1DD7">
        <w:t>smallest treatment effect on the surrogate that predicts a non-zero treatment effect on the true endpoint,</w:t>
      </w:r>
      <w:r w:rsidR="003117A9">
        <w:fldChar w:fldCharType="begin"/>
      </w:r>
      <w:r w:rsidR="000E66DE">
        <w:instrText xml:space="preserve"> ADDIN EN.CITE &lt;EndNote&gt;&lt;Cite&gt;&lt;Author&gt;Buyse&lt;/Author&gt;&lt;Year&gt;2016&lt;/Year&gt;&lt;RecNum&gt;337&lt;/RecNum&gt;&lt;DisplayText&gt;&lt;style face="superscript"&gt;73&lt;/style&gt;&lt;/DisplayText&gt;&lt;record&gt;&lt;rec-number&gt;337&lt;/rec-number&gt;&lt;foreign-keys&gt;&lt;key app="EN" db-id="dwaevxvazfs2f3ewvzmxrd0k0wasw55p2z2w" timestamp="1557310569"&gt;337&lt;/key&gt;&lt;/foreign-keys&gt;&lt;ref-type name="Journal Article"&gt;17&lt;/ref-type&gt;&lt;contributors&gt;&lt;authors&gt;&lt;author&gt;Buyse, M.&lt;/author&gt;&lt;author&gt;Molenberghs, G.&lt;/author&gt;&lt;author&gt;Paoletti, X.&lt;/author&gt;&lt;author&gt;Oba, K.&lt;/author&gt;&lt;author&gt;Alonso, A.&lt;/author&gt;&lt;author&gt;Van der Elst, W.&lt;/author&gt;&lt;author&gt;Burzykowski, T.&lt;/author&gt;&lt;/authors&gt;&lt;/contributors&gt;&lt;titles&gt;&lt;title&gt;Statistical evaluation of surrogate endpoints with examples from cancer clinical trials&lt;/title&gt;&lt;secondary-title&gt;Biometrical Journal&lt;/secondary-title&gt;&lt;/titles&gt;&lt;periodical&gt;&lt;full-title&gt;Biometrical Journal&lt;/full-title&gt;&lt;abbr-1&gt;Biometrical J&lt;/abbr-1&gt;&lt;/periodical&gt;&lt;pages&gt;104-132&lt;/pages&gt;&lt;volume&gt;58&lt;/volume&gt;&lt;number&gt;1&lt;/number&gt;&lt;keywords&gt;&lt;keyword&gt;$$include abstract KC&lt;/keyword&gt;&lt;keyword&gt;$$background surrogates&lt;/keyword&gt;&lt;keyword&gt;$$Broad search $$Citation search&lt;/keyword&gt;&lt;/keywords&gt;&lt;dates&gt;&lt;year&gt;2016&lt;/year&gt;&lt;pub-dates&gt;&lt;date&gt;Jan&lt;/date&gt;&lt;/pub-dates&gt;&lt;/dates&gt;&lt;isbn&gt;0323-3847&lt;/isbn&gt;&lt;accession-num&gt;WOS:000367731300008&lt;/accession-num&gt;&lt;label&gt;$$exclude full text KC&amp;#xD;$$not clinical study&amp;#xD;References Paoletti 2013 meta-analysis in advanced gastric cancer: only PFS to OS so not relevant&lt;/label&gt;&lt;urls&gt;&lt;/urls&gt;&lt;electronic-resource-num&gt;10.1002/bimj.201400049&lt;/electronic-resource-num&gt;&lt;research-notes&gt;&lt;style face="underline" font="default" size="100%"&gt;&amp;lt;Go to ISI&amp;gt;://WOS:000367731300008&lt;/style&gt;&lt;/research-notes&gt;&lt;/record&gt;&lt;/Cite&gt;&lt;/EndNote&gt;</w:instrText>
      </w:r>
      <w:r w:rsidR="003117A9">
        <w:fldChar w:fldCharType="separate"/>
      </w:r>
      <w:r w:rsidR="003117A9" w:rsidRPr="003117A9">
        <w:rPr>
          <w:noProof/>
          <w:vertAlign w:val="superscript"/>
        </w:rPr>
        <w:t>73</w:t>
      </w:r>
      <w:r w:rsidR="003117A9">
        <w:fldChar w:fldCharType="end"/>
      </w:r>
      <w:r w:rsidRPr="002D1DD7">
        <w:t xml:space="preserve"> was reported in only four studies.</w:t>
      </w:r>
    </w:p>
    <w:p w14:paraId="0299BDC0" w14:textId="77777777" w:rsidR="00716DF9" w:rsidRPr="002D1DD7" w:rsidRDefault="00716DF9" w:rsidP="00223273">
      <w:pPr>
        <w:pStyle w:val="Heading4"/>
      </w:pPr>
      <w:bookmarkStart w:id="124" w:name="_Toc33776191"/>
      <w:r w:rsidRPr="002D1DD7">
        <w:t>Strength of association between response and survival outcomes (IQWiG and BSES2 scoring)</w:t>
      </w:r>
      <w:bookmarkEnd w:id="124"/>
    </w:p>
    <w:p w14:paraId="5F111F74" w14:textId="5BDB2601" w:rsidR="00716DF9" w:rsidRPr="002D1DD7" w:rsidRDefault="00716DF9" w:rsidP="00AA1EC7">
      <w:r w:rsidRPr="002D1DD7">
        <w:t xml:space="preserve">Strength of association across all studies and all subgroup analyses was assessed using the IQWiG and BSES2 scoring systems. In general, scores were relatively low, indicating poor association between response and survival outcomes overall. Of 202 analyses using IQWiG scoring, 42% were not </w:t>
      </w:r>
      <w:r w:rsidR="00A579D3" w:rsidRPr="002D1DD7">
        <w:t>e</w:t>
      </w:r>
      <w:r w:rsidR="00A579D3">
        <w:t xml:space="preserve">valuable </w:t>
      </w:r>
      <w:r w:rsidRPr="002D1DD7">
        <w:t xml:space="preserve">and 38% scored low, with 13% scoring medium, 7% medium+ and 0% high. When using BSES2 scores, the majority of analyses (94%) were not </w:t>
      </w:r>
      <w:r w:rsidR="00A579D3">
        <w:t xml:space="preserve">evaluable </w:t>
      </w:r>
      <w:r w:rsidRPr="002D1DD7">
        <w:t>as they did not report R</w:t>
      </w:r>
      <w:r w:rsidRPr="002D1DD7">
        <w:rPr>
          <w:vertAlign w:val="superscript"/>
        </w:rPr>
        <w:t>2</w:t>
      </w:r>
      <w:r w:rsidRPr="002D1DD7">
        <w:t xml:space="preserve"> for both individual and treatment effect associations, with 3% scoring poor, 1% fair, 1% good and 0% excellent.</w:t>
      </w:r>
    </w:p>
    <w:p w14:paraId="5BA60776" w14:textId="77777777" w:rsidR="00716DF9" w:rsidRPr="002D1DD7" w:rsidRDefault="00716DF9" w:rsidP="00223273">
      <w:pPr>
        <w:pStyle w:val="Heading4"/>
      </w:pPr>
      <w:bookmarkStart w:id="125" w:name="_Toc33776192"/>
      <w:r w:rsidRPr="002D1DD7">
        <w:t>Strengths and limitations</w:t>
      </w:r>
      <w:bookmarkEnd w:id="125"/>
    </w:p>
    <w:p w14:paraId="0B791788" w14:textId="2348EEB4" w:rsidR="00716DF9" w:rsidRPr="002D1DD7" w:rsidRDefault="00716DF9" w:rsidP="00AA1EC7">
      <w:pPr>
        <w:rPr>
          <w:lang w:eastAsia="en-GB"/>
        </w:rPr>
      </w:pPr>
      <w:r w:rsidRPr="002D1DD7">
        <w:t xml:space="preserve">In this review, a comprehensive search was undertaken to identify relevant studies. </w:t>
      </w:r>
      <w:r w:rsidRPr="002D1DD7">
        <w:rPr>
          <w:lang w:eastAsia="en-GB"/>
        </w:rPr>
        <w:t>The reported data were highly heterogeneous in terms of effect measure and method of analysis. Therefore, some simplifying assumptions had to be made to allow the data to be summarised. Correlation coefficients were summarised regardless of method (Pearson, Spearman or other). R</w:t>
      </w:r>
      <w:r w:rsidRPr="002D1DD7">
        <w:rPr>
          <w:vertAlign w:val="superscript"/>
          <w:lang w:eastAsia="en-GB"/>
        </w:rPr>
        <w:t>2</w:t>
      </w:r>
      <w:r w:rsidRPr="002D1DD7">
        <w:rPr>
          <w:lang w:eastAsia="en-GB"/>
        </w:rPr>
        <w:t xml:space="preserve"> values were summarised irrespective of whether or not the regression was weighted and whether or not the R</w:t>
      </w:r>
      <w:r w:rsidRPr="002D1DD7">
        <w:rPr>
          <w:vertAlign w:val="superscript"/>
          <w:lang w:eastAsia="en-GB"/>
        </w:rPr>
        <w:t>2</w:t>
      </w:r>
      <w:r w:rsidRPr="002D1DD7">
        <w:rPr>
          <w:lang w:eastAsia="en-GB"/>
        </w:rPr>
        <w:t xml:space="preserve"> was adjusted. For treatment effect associations, R</w:t>
      </w:r>
      <w:r w:rsidRPr="002D1DD7">
        <w:rPr>
          <w:vertAlign w:val="superscript"/>
          <w:lang w:eastAsia="en-GB"/>
        </w:rPr>
        <w:t>2</w:t>
      </w:r>
      <w:r w:rsidRPr="002D1DD7">
        <w:rPr>
          <w:lang w:eastAsia="en-GB"/>
        </w:rPr>
        <w:t xml:space="preserve"> values were summarised regardless of effect measure (e.g. HR, OR, difference in medians, etc.).</w:t>
      </w:r>
    </w:p>
    <w:p w14:paraId="7083BF69" w14:textId="77777777" w:rsidR="00716DF9" w:rsidRPr="002D1DD7" w:rsidRDefault="00716DF9" w:rsidP="00223273">
      <w:pPr>
        <w:pStyle w:val="Heading4"/>
        <w:rPr>
          <w:rFonts w:eastAsia="Times New Roman"/>
          <w:lang w:eastAsia="en-GB"/>
        </w:rPr>
      </w:pPr>
      <w:bookmarkStart w:id="126" w:name="_Toc33776193"/>
      <w:r w:rsidRPr="002D1DD7">
        <w:rPr>
          <w:rFonts w:eastAsia="Times New Roman"/>
          <w:lang w:eastAsia="en-GB"/>
        </w:rPr>
        <w:lastRenderedPageBreak/>
        <w:t>Summary of findings</w:t>
      </w:r>
      <w:bookmarkEnd w:id="126"/>
    </w:p>
    <w:p w14:paraId="0953007B" w14:textId="6278A552" w:rsidR="00716DF9" w:rsidRPr="002D1DD7" w:rsidRDefault="00716DF9" w:rsidP="00AA1EC7">
      <w:pPr>
        <w:rPr>
          <w:lang w:eastAsia="en-GB"/>
        </w:rPr>
      </w:pPr>
      <w:r w:rsidRPr="002D1DD7">
        <w:rPr>
          <w:lang w:eastAsia="en-GB"/>
        </w:rPr>
        <w:t>Based on this review, the association between response outcomes and PFS/TTP/OS varies widely between studies and generally scores low to medium on IQWiG and BSES2 scoring systems</w:t>
      </w:r>
      <w:r w:rsidR="004757FC">
        <w:rPr>
          <w:lang w:eastAsia="en-GB"/>
        </w:rPr>
        <w:t xml:space="preserve">; however, a large number of analyses were not evaluable. </w:t>
      </w:r>
      <w:r w:rsidRPr="002D1DD7">
        <w:rPr>
          <w:lang w:eastAsia="en-GB"/>
        </w:rPr>
        <w:t>There is no clear pattern for strength of association by cancer type. Previous reviews assessing multiple surrogate endpoints have also concluded that response-based endpoints were poor surrogates for OS.</w:t>
      </w:r>
      <w:r w:rsidR="003117A9">
        <w:rPr>
          <w:lang w:eastAsia="en-GB"/>
        </w:rPr>
        <w:fldChar w:fldCharType="begin">
          <w:fldData xml:space="preserve">PEVuZE5vdGU+PENpdGU+PEF1dGhvcj5TYXZpbmE8L0F1dGhvcj48WWVhcj4yMDE4PC9ZZWFyPjxS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==
</w:fldData>
        </w:fldChar>
      </w:r>
      <w:r w:rsidR="000E66DE">
        <w:rPr>
          <w:lang w:eastAsia="en-GB"/>
        </w:rPr>
        <w:instrText xml:space="preserve"> ADDIN EN.CITE </w:instrText>
      </w:r>
      <w:r w:rsidR="000E66DE">
        <w:rPr>
          <w:lang w:eastAsia="en-GB"/>
        </w:rPr>
        <w:fldChar w:fldCharType="begin">
          <w:fldData xml:space="preserve">PEVuZE5vdGU+PENpdGU+PEF1dGhvcj5TYXZpbmE8L0F1dGhvcj48WWVhcj4yMDE4PC9ZZWFyPjxS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==
</w:fldData>
        </w:fldChar>
      </w:r>
      <w:r w:rsidR="000E66DE">
        <w:rPr>
          <w:lang w:eastAsia="en-GB"/>
        </w:rPr>
        <w:instrText xml:space="preserve"> ADDIN EN.CITE.DATA </w:instrText>
      </w:r>
      <w:r w:rsidR="000E66DE">
        <w:rPr>
          <w:lang w:eastAsia="en-GB"/>
        </w:rPr>
      </w:r>
      <w:r w:rsidR="000E66DE">
        <w:rPr>
          <w:lang w:eastAsia="en-GB"/>
        </w:rPr>
        <w:fldChar w:fldCharType="end"/>
      </w:r>
      <w:r w:rsidR="003117A9">
        <w:rPr>
          <w:lang w:eastAsia="en-GB"/>
        </w:rPr>
      </w:r>
      <w:r w:rsidR="003117A9">
        <w:rPr>
          <w:lang w:eastAsia="en-GB"/>
        </w:rPr>
        <w:fldChar w:fldCharType="separate"/>
      </w:r>
      <w:r w:rsidR="003117A9" w:rsidRPr="003117A9">
        <w:rPr>
          <w:noProof/>
          <w:vertAlign w:val="superscript"/>
          <w:lang w:eastAsia="en-GB"/>
        </w:rPr>
        <w:t>76, 77</w:t>
      </w:r>
      <w:r w:rsidR="003117A9">
        <w:rPr>
          <w:lang w:eastAsia="en-GB"/>
        </w:rPr>
        <w:fldChar w:fldCharType="end"/>
      </w:r>
    </w:p>
    <w:p w14:paraId="2D5453AC" w14:textId="29ED8D52" w:rsidR="00716DF9" w:rsidRPr="00420639" w:rsidRDefault="00716DF9" w:rsidP="00EC11CD">
      <w:pPr>
        <w:pStyle w:val="Heading2"/>
      </w:pPr>
      <w:bookmarkStart w:id="127" w:name="_Toc33776194"/>
      <w:r w:rsidRPr="00420639">
        <w:t xml:space="preserve">Implications for the economic analysis of histology-independent therapies based on </w:t>
      </w:r>
      <w:r w:rsidR="00953E91">
        <w:t>O</w:t>
      </w:r>
      <w:r w:rsidRPr="00420639">
        <w:t>RR as a surrogate for PFS or OS</w:t>
      </w:r>
      <w:bookmarkEnd w:id="127"/>
    </w:p>
    <w:p w14:paraId="02A54582" w14:textId="77777777" w:rsidR="00EC11CD" w:rsidRPr="002D1DD7" w:rsidRDefault="00EC11CD" w:rsidP="00BD64B8">
      <w:pPr>
        <w:rPr>
          <w:lang w:eastAsia="en-GB"/>
        </w:rPr>
      </w:pPr>
      <w:r>
        <w:rPr>
          <w:lang w:eastAsia="en-GB"/>
        </w:rPr>
        <w:t>The review presented in this chapter provides information which could be used to inform judgements about whether response-based outcomes might be considered as a valid surrogate for PFS and OS. If the surrogate endpoint is considered valid, or potentially even if it is not, one may consider using that surrogate as the basis for estimating health gains within a health economic model. T</w:t>
      </w:r>
      <w:r w:rsidRPr="002D1DD7">
        <w:rPr>
          <w:lang w:eastAsia="en-GB"/>
        </w:rPr>
        <w:t>here are four main options relating to the use of response-based outcomes as a surrogate for OS or PFS within the economic analysis of histology-independent therapies.</w:t>
      </w:r>
      <w:r>
        <w:rPr>
          <w:lang w:eastAsia="en-GB"/>
        </w:rPr>
        <w:t xml:space="preserve"> </w:t>
      </w:r>
    </w:p>
    <w:p w14:paraId="19683EF5" w14:textId="77777777" w:rsidR="00EC11CD" w:rsidRPr="002D1DD7" w:rsidRDefault="00EC11CD" w:rsidP="000E405B">
      <w:pPr>
        <w:pStyle w:val="Heading6"/>
        <w:rPr>
          <w:lang w:eastAsia="en-GB"/>
        </w:rPr>
      </w:pPr>
      <w:r w:rsidRPr="002D1DD7">
        <w:rPr>
          <w:lang w:eastAsia="en-GB"/>
        </w:rPr>
        <w:t xml:space="preserve">1. Use meta-analyses to predict the relationship between the surrogate and final outcome. </w:t>
      </w:r>
    </w:p>
    <w:p w14:paraId="4F43EF5C" w14:textId="3B5BDC74" w:rsidR="00EC11CD" w:rsidRDefault="00EC11CD" w:rsidP="00BD64B8">
      <w:pPr>
        <w:rPr>
          <w:lang w:eastAsia="en-GB"/>
        </w:rPr>
      </w:pPr>
      <w:r w:rsidRPr="002D1DD7">
        <w:rPr>
          <w:lang w:eastAsia="en-GB"/>
        </w:rPr>
        <w:t xml:space="preserve">As shown in </w:t>
      </w:r>
      <w:r w:rsidRPr="002D1DD7">
        <w:rPr>
          <w:lang w:eastAsia="en-GB"/>
        </w:rPr>
        <w:fldChar w:fldCharType="begin"/>
      </w:r>
      <w:r w:rsidRPr="002D1DD7">
        <w:rPr>
          <w:lang w:eastAsia="en-GB"/>
        </w:rPr>
        <w:instrText xml:space="preserve"> REF _Ref16785808 \h </w:instrText>
      </w:r>
      <w:r w:rsidRPr="002D1DD7">
        <w:rPr>
          <w:lang w:eastAsia="en-GB"/>
        </w:rPr>
      </w:r>
      <w:r w:rsidRPr="002D1DD7">
        <w:rPr>
          <w:lang w:eastAsia="en-GB"/>
        </w:rPr>
        <w:fldChar w:fldCharType="separate"/>
      </w:r>
      <w:r w:rsidR="00C663A2" w:rsidRPr="002D1DD7">
        <w:t xml:space="preserve">Table </w:t>
      </w:r>
      <w:r w:rsidR="00C663A2">
        <w:rPr>
          <w:noProof/>
        </w:rPr>
        <w:t>8</w:t>
      </w:r>
      <w:r w:rsidRPr="002D1DD7">
        <w:rPr>
          <w:lang w:eastAsia="en-GB"/>
        </w:rPr>
        <w:fldChar w:fldCharType="end"/>
      </w:r>
      <w:r w:rsidRPr="002D1DD7">
        <w:rPr>
          <w:lang w:eastAsia="en-GB"/>
        </w:rPr>
        <w:t xml:space="preserve"> and </w:t>
      </w:r>
      <w:r w:rsidRPr="002D1DD7">
        <w:rPr>
          <w:lang w:eastAsia="en-GB"/>
        </w:rPr>
        <w:fldChar w:fldCharType="begin"/>
      </w:r>
      <w:r w:rsidRPr="002D1DD7">
        <w:rPr>
          <w:lang w:eastAsia="en-GB"/>
        </w:rPr>
        <w:instrText xml:space="preserve"> REF _Ref16785824 \h </w:instrText>
      </w:r>
      <w:r w:rsidRPr="002D1DD7">
        <w:rPr>
          <w:lang w:eastAsia="en-GB"/>
        </w:rPr>
      </w:r>
      <w:r w:rsidRPr="002D1DD7">
        <w:rPr>
          <w:lang w:eastAsia="en-GB"/>
        </w:rPr>
        <w:fldChar w:fldCharType="separate"/>
      </w:r>
      <w:r w:rsidR="00C663A2" w:rsidRPr="002D1DD7">
        <w:t xml:space="preserve">Table </w:t>
      </w:r>
      <w:r w:rsidR="00C663A2">
        <w:rPr>
          <w:noProof/>
        </w:rPr>
        <w:t>9</w:t>
      </w:r>
      <w:r w:rsidRPr="002D1DD7">
        <w:rPr>
          <w:lang w:eastAsia="en-GB"/>
        </w:rPr>
        <w:fldChar w:fldCharType="end"/>
      </w:r>
      <w:r w:rsidRPr="002D1DD7">
        <w:rPr>
          <w:lang w:eastAsia="en-GB"/>
        </w:rPr>
        <w:t xml:space="preserve">, fourteen studies report regression equations for </w:t>
      </w:r>
      <w:r>
        <w:rPr>
          <w:lang w:eastAsia="en-GB"/>
        </w:rPr>
        <w:t>O</w:t>
      </w:r>
      <w:r w:rsidRPr="002D1DD7">
        <w:rPr>
          <w:lang w:eastAsia="en-GB"/>
        </w:rPr>
        <w:t xml:space="preserve">RR to OS and eight studies report equations for </w:t>
      </w:r>
      <w:r>
        <w:rPr>
          <w:lang w:eastAsia="en-GB"/>
        </w:rPr>
        <w:t>O</w:t>
      </w:r>
      <w:r w:rsidRPr="002D1DD7">
        <w:rPr>
          <w:lang w:eastAsia="en-GB"/>
        </w:rPr>
        <w:t xml:space="preserve">RR to PFS. These equations could be used together with the observed </w:t>
      </w:r>
      <w:r>
        <w:rPr>
          <w:lang w:eastAsia="en-GB"/>
        </w:rPr>
        <w:t>O</w:t>
      </w:r>
      <w:r w:rsidRPr="002D1DD7">
        <w:rPr>
          <w:lang w:eastAsia="en-GB"/>
        </w:rPr>
        <w:t xml:space="preserve">RR in the </w:t>
      </w:r>
      <w:r>
        <w:rPr>
          <w:lang w:eastAsia="en-GB"/>
        </w:rPr>
        <w:t xml:space="preserve">studies </w:t>
      </w:r>
      <w:r w:rsidRPr="002D1DD7">
        <w:rPr>
          <w:lang w:eastAsia="en-GB"/>
        </w:rPr>
        <w:t xml:space="preserve">of histology-independent therapies in order to estimate absolute PFS/OS, or </w:t>
      </w:r>
      <w:r>
        <w:rPr>
          <w:lang w:eastAsia="en-GB"/>
        </w:rPr>
        <w:t xml:space="preserve">to estimate </w:t>
      </w:r>
      <w:r w:rsidRPr="002D1DD7">
        <w:rPr>
          <w:lang w:eastAsia="en-GB"/>
        </w:rPr>
        <w:t xml:space="preserve">incremental gains in PFS/OS. However, the patient populations included in these studies may not correspond to the populations in the studies of histology-independent therapies in terms of tumour sites or types, </w:t>
      </w:r>
      <w:r>
        <w:rPr>
          <w:lang w:eastAsia="en-GB"/>
        </w:rPr>
        <w:t xml:space="preserve">and </w:t>
      </w:r>
      <w:r w:rsidRPr="002D1DD7">
        <w:rPr>
          <w:lang w:eastAsia="en-GB"/>
        </w:rPr>
        <w:t>none specifically relate to patients with NTRK fusion-positive cancers</w:t>
      </w:r>
      <w:r>
        <w:rPr>
          <w:lang w:eastAsia="en-GB"/>
        </w:rPr>
        <w:t xml:space="preserve"> (or other relevant biomarkers)</w:t>
      </w:r>
      <w:r w:rsidRPr="002D1DD7">
        <w:rPr>
          <w:lang w:eastAsia="en-GB"/>
        </w:rPr>
        <w:t xml:space="preserve">. </w:t>
      </w:r>
      <w:r>
        <w:rPr>
          <w:lang w:eastAsia="en-GB"/>
        </w:rPr>
        <w:t xml:space="preserve">From a practical point of view, a number of decisions would be required in order to apply these analyses within a model: (a) which regression equation to use in instances whereby multiple analyses exist for an individual histology site; (b) the form of regression analysis used to estimate the relationship (i.e. “absolute” regressions which estimate final outcomes for an individual treatment group, or “trial-level” equations which predict the treatment effects between groups), and; (c) how to model the surrogate relationship where no studies exist for an individual histology site. </w:t>
      </w:r>
      <w:r w:rsidRPr="002D1DD7">
        <w:rPr>
          <w:lang w:eastAsia="en-GB"/>
        </w:rPr>
        <w:t xml:space="preserve">In addition, concerns regarding the strength of the relationship between </w:t>
      </w:r>
      <w:r>
        <w:rPr>
          <w:lang w:eastAsia="en-GB"/>
        </w:rPr>
        <w:t>O</w:t>
      </w:r>
      <w:r w:rsidRPr="002D1DD7">
        <w:rPr>
          <w:lang w:eastAsia="en-GB"/>
        </w:rPr>
        <w:t xml:space="preserve">RR and </w:t>
      </w:r>
      <w:r>
        <w:rPr>
          <w:lang w:eastAsia="en-GB"/>
        </w:rPr>
        <w:t>PFS/</w:t>
      </w:r>
      <w:r w:rsidRPr="002D1DD7">
        <w:rPr>
          <w:lang w:eastAsia="en-GB"/>
        </w:rPr>
        <w:t>OS within the tumour sites under consideration should be borne in mind.</w:t>
      </w:r>
      <w:r>
        <w:rPr>
          <w:lang w:eastAsia="en-GB"/>
        </w:rPr>
        <w:t xml:space="preserve"> </w:t>
      </w:r>
    </w:p>
    <w:p w14:paraId="7C42694C" w14:textId="2D2B0974" w:rsidR="00EC11CD" w:rsidRDefault="00EC11CD" w:rsidP="00BD64B8">
      <w:pPr>
        <w:rPr>
          <w:lang w:eastAsia="en-GB"/>
        </w:rPr>
      </w:pPr>
      <w:r>
        <w:rPr>
          <w:lang w:eastAsia="en-GB"/>
        </w:rPr>
        <w:t>It has been suggested that the stringent application of criteria for surrogate validation based on correlations may not be important, and that predictions may still be made even where the association is weak, provided they reflect all uncertainty surrounding the treatment effects.</w:t>
      </w:r>
      <w:r w:rsidR="00CB2733">
        <w:rPr>
          <w:lang w:eastAsia="en-GB"/>
        </w:rPr>
        <w:fldChar w:fldCharType="begin"/>
      </w:r>
      <w:r w:rsidR="00CB2733">
        <w:rPr>
          <w:lang w:eastAsia="en-GB"/>
        </w:rPr>
        <w:instrText xml:space="preserve"> ADDIN EN.CITE &lt;EndNote&gt;&lt;Cite&gt;&lt;Author&gt;Bujkiewicz&lt;/Author&gt;&lt;Year&gt;2019&lt;/Year&gt;&lt;RecNum&gt;3600&lt;/RecNum&gt;&lt;DisplayText&gt;&lt;style face="superscript"&gt;142&lt;/style&gt;&lt;/DisplayText&gt;&lt;record&gt;&lt;rec-number&gt;3600&lt;/rec-number&gt;&lt;foreign-keys&gt;&lt;key app="EN" db-id="dwaevxvazfs2f3ewvzmxrd0k0wasw55p2z2w" timestamp="1582194099"&gt;3600&lt;/key&gt;&lt;/foreign-keys&gt;&lt;ref-type name="Report"&gt;27&lt;/ref-type&gt;&lt;contributors&gt;&lt;authors&gt;&lt;author&gt;Bujkiewicz, S.&lt;/author&gt;&lt;author&gt;Achana, F.&lt;/author&gt;&lt;author&gt;Papanikos, T.&lt;/author&gt;&lt;author&gt;Riley, R.D.&lt;/author&gt;&lt;author&gt;Abrams, K.R.&lt;/author&gt;&lt;/authors&gt;&lt;/contributors&gt;&lt;titles&gt;&lt;title&gt;Multivariate meta-analysis of summary data for combining treatment effects on correlated outcomes and evaluating surrogate endpoints. Report by The Decision Support Unit&lt;/title&gt;&lt;secondary-title&gt;NICE DSU Technical Support Document&lt;/secondary-title&gt;&lt;/titles&gt;&lt;num-vols&gt;20&lt;/num-vols&gt;&lt;dates&gt;&lt;year&gt;2019&lt;/year&gt;&lt;/dates&gt;&lt;pub-location&gt;Sheffield&lt;/pub-location&gt;&lt;publisher&gt;Decision Support Unit, ScHARR, University of Sheffield&lt;/publisher&gt;&lt;urls&gt;&lt;related-urls&gt;&lt;url&gt;http://nicedsu.org.uk/wp-content/uploads/2019/10/TSD-20-mvmeta-final.pdf&lt;/url&gt;&lt;/related-urls&gt;&lt;/urls&gt;&lt;custom4&gt;STEVE&amp;apos;S REFRENCES&lt;/custom4&gt;&lt;/record&gt;&lt;/Cite&gt;&lt;/EndNote&gt;</w:instrText>
      </w:r>
      <w:r w:rsidR="00CB2733">
        <w:rPr>
          <w:lang w:eastAsia="en-GB"/>
        </w:rPr>
        <w:fldChar w:fldCharType="separate"/>
      </w:r>
      <w:r w:rsidR="00CB2733" w:rsidRPr="00CB2733">
        <w:rPr>
          <w:noProof/>
          <w:vertAlign w:val="superscript"/>
          <w:lang w:eastAsia="en-GB"/>
        </w:rPr>
        <w:t>142</w:t>
      </w:r>
      <w:r w:rsidR="00CB2733">
        <w:rPr>
          <w:lang w:eastAsia="en-GB"/>
        </w:rPr>
        <w:fldChar w:fldCharType="end"/>
      </w:r>
      <w:r w:rsidR="00BB04A1">
        <w:rPr>
          <w:lang w:eastAsia="en-GB"/>
        </w:rPr>
        <w:t xml:space="preserve"> I</w:t>
      </w:r>
      <w:r>
        <w:rPr>
          <w:lang w:eastAsia="en-GB"/>
        </w:rPr>
        <w:t xml:space="preserve">n addition, NICE TSD 20 notes that the meta-regression approaches included in this review are limited in that they ignore </w:t>
      </w:r>
      <w:r w:rsidRPr="00F15A0A">
        <w:rPr>
          <w:lang w:eastAsia="en-GB"/>
        </w:rPr>
        <w:t>the uncertainty</w:t>
      </w:r>
      <w:r>
        <w:rPr>
          <w:lang w:eastAsia="en-GB"/>
        </w:rPr>
        <w:t xml:space="preserve"> </w:t>
      </w:r>
      <w:r w:rsidRPr="00F15A0A">
        <w:rPr>
          <w:lang w:eastAsia="en-GB"/>
        </w:rPr>
        <w:t>associated with the treatment effect on the surrogate endpoint</w:t>
      </w:r>
      <w:r>
        <w:rPr>
          <w:lang w:eastAsia="en-GB"/>
        </w:rPr>
        <w:t xml:space="preserve"> (which is treated as a fixed covariate in the analysis), the consequence being that predictions based on these regression </w:t>
      </w:r>
      <w:r>
        <w:rPr>
          <w:lang w:eastAsia="en-GB"/>
        </w:rPr>
        <w:lastRenderedPageBreak/>
        <w:t xml:space="preserve">analyses will fail to fully reflect that uncertainty. </w:t>
      </w:r>
      <w:r>
        <w:t>Recently developed methods, such as the bivariate random effects meta-analysis (BRMA) model and its extensions,</w:t>
      </w:r>
      <w:r w:rsidR="00CB2733">
        <w:fldChar w:fldCharType="begin">
          <w:fldData xml:space="preserve">PEVuZE5vdGU+PENpdGU+PEF1dGhvcj5CdWpraWV3aWN6PC9BdXRob3I+PFllYXI+MjAxOTwvWWVh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==
</w:fldData>
        </w:fldChar>
      </w:r>
      <w:r w:rsidR="000E66DE">
        <w:instrText xml:space="preserve"> ADDIN EN.CITE </w:instrText>
      </w:r>
      <w:r w:rsidR="000E66DE">
        <w:fldChar w:fldCharType="begin">
          <w:fldData xml:space="preserve">PEVuZE5vdGU+PENpdGU+PEF1dGhvcj5CdWpraWV3aWN6PC9BdXRob3I+PFllYXI+MjAxOTwvWWVh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==
</w:fldData>
        </w:fldChar>
      </w:r>
      <w:r w:rsidR="000E66DE">
        <w:instrText xml:space="preserve"> ADDIN EN.CITE.DATA </w:instrText>
      </w:r>
      <w:r w:rsidR="000E66DE">
        <w:fldChar w:fldCharType="end"/>
      </w:r>
      <w:r w:rsidR="00CB2733">
        <w:fldChar w:fldCharType="separate"/>
      </w:r>
      <w:r w:rsidR="00CB2733" w:rsidRPr="00CB2733">
        <w:rPr>
          <w:noProof/>
          <w:vertAlign w:val="superscript"/>
        </w:rPr>
        <w:t>142, 143</w:t>
      </w:r>
      <w:r w:rsidR="00CB2733">
        <w:fldChar w:fldCharType="end"/>
      </w:r>
      <w:r w:rsidR="009757D2">
        <w:t>pr</w:t>
      </w:r>
      <w:r>
        <w:t xml:space="preserve">ovide an approach for both the validation and prediction of surrogate endpoints within a Bayesian framework. In principle, this approach could be used to generate predictions of treatment effects on final outcomes in a way which allows for borrowing of information across studies and which fully accounts for all uncertainty surrounding the surrogate relationship. In instances whereby the surrogate association is weak, this would manifest as wider interval around the prediction and increased uncertainty surrounding modelled outcomes and costs. This approach is intuitively appealing; it would however render the published meta-regressions redundant as it would require re-analyses of the input data and the implementation of new meta-analyses for each histology site. </w:t>
      </w:r>
    </w:p>
    <w:p w14:paraId="1ACE7063" w14:textId="77777777" w:rsidR="00EC11CD" w:rsidRPr="002D1DD7" w:rsidRDefault="00EC11CD" w:rsidP="000E405B">
      <w:pPr>
        <w:pStyle w:val="Heading6"/>
        <w:rPr>
          <w:lang w:eastAsia="en-GB"/>
        </w:rPr>
      </w:pPr>
      <w:r w:rsidRPr="002D1DD7">
        <w:rPr>
          <w:lang w:eastAsia="en-GB"/>
        </w:rPr>
        <w:t>2. Land-marking analysis</w:t>
      </w:r>
    </w:p>
    <w:p w14:paraId="7CBA4F77" w14:textId="77777777" w:rsidR="00EC11CD" w:rsidRPr="002D1DD7" w:rsidRDefault="00EC11CD" w:rsidP="00BD64B8">
      <w:pPr>
        <w:rPr>
          <w:lang w:eastAsia="en-GB"/>
        </w:rPr>
      </w:pPr>
      <w:r w:rsidRPr="002D1DD7">
        <w:rPr>
          <w:lang w:eastAsia="en-GB"/>
        </w:rPr>
        <w:t xml:space="preserve">This review included only meta-analytic studies, and by design, excluded individual studies which did not include multiple cohorts of patients. Some of the studies which were excluded from the review during the sifting stage adopted a land-marking approach </w:t>
      </w:r>
      <w:r>
        <w:rPr>
          <w:lang w:eastAsia="en-GB"/>
        </w:rPr>
        <w:t xml:space="preserve">(see Section 7.5 for more details of this approach) </w:t>
      </w:r>
      <w:r w:rsidRPr="002D1DD7">
        <w:rPr>
          <w:lang w:eastAsia="en-GB"/>
        </w:rPr>
        <w:t>within individual patient cohorts to explore the impact of response</w:t>
      </w:r>
      <w:r>
        <w:rPr>
          <w:lang w:eastAsia="en-GB"/>
        </w:rPr>
        <w:t xml:space="preserve">-based outcomes </w:t>
      </w:r>
      <w:r w:rsidRPr="002D1DD7">
        <w:rPr>
          <w:lang w:eastAsia="en-GB"/>
        </w:rPr>
        <w:t xml:space="preserve">on </w:t>
      </w:r>
      <w:r>
        <w:rPr>
          <w:lang w:eastAsia="en-GB"/>
        </w:rPr>
        <w:t>OS</w:t>
      </w:r>
      <w:r w:rsidRPr="002D1DD7">
        <w:rPr>
          <w:lang w:eastAsia="en-GB"/>
        </w:rPr>
        <w:t xml:space="preserve">, with differences between responders and non-responders reported in terms of an HR. Given an underlying baseline model of OS for non-responders, it may be possible to estimate the incremental impact on OS by combining the </w:t>
      </w:r>
      <w:r>
        <w:rPr>
          <w:lang w:eastAsia="en-GB"/>
        </w:rPr>
        <w:t>O</w:t>
      </w:r>
      <w:r w:rsidRPr="002D1DD7">
        <w:rPr>
          <w:lang w:eastAsia="en-GB"/>
        </w:rPr>
        <w:t xml:space="preserve">RRs observed in the histology-independent studies with the HR derived from the land-marking analyses. However, the </w:t>
      </w:r>
      <w:r>
        <w:rPr>
          <w:lang w:eastAsia="en-GB"/>
        </w:rPr>
        <w:t xml:space="preserve">published </w:t>
      </w:r>
      <w:r w:rsidRPr="002D1DD7">
        <w:rPr>
          <w:lang w:eastAsia="en-GB"/>
        </w:rPr>
        <w:t>land-marking studies generally related to a single tumour type and the study populations do not specifically relate to patients with NTRK fusion-positive tumours</w:t>
      </w:r>
      <w:r>
        <w:rPr>
          <w:lang w:eastAsia="en-GB"/>
        </w:rPr>
        <w:t xml:space="preserve"> (or other relevant biomarkers)</w:t>
      </w:r>
      <w:r w:rsidRPr="002D1DD7">
        <w:rPr>
          <w:lang w:eastAsia="en-GB"/>
        </w:rPr>
        <w:t>.</w:t>
      </w:r>
    </w:p>
    <w:p w14:paraId="12878FB4" w14:textId="77777777" w:rsidR="00EC11CD" w:rsidRPr="002D1DD7" w:rsidRDefault="00EC11CD" w:rsidP="000E405B">
      <w:pPr>
        <w:pStyle w:val="Heading6"/>
        <w:rPr>
          <w:lang w:eastAsia="en-GB"/>
        </w:rPr>
      </w:pPr>
      <w:r w:rsidRPr="002D1DD7">
        <w:rPr>
          <w:lang w:eastAsia="en-GB"/>
        </w:rPr>
        <w:t>3. Risk-prediction models</w:t>
      </w:r>
    </w:p>
    <w:p w14:paraId="75A0AF73" w14:textId="77777777" w:rsidR="00EC11CD" w:rsidRPr="002D1DD7" w:rsidRDefault="00EC11CD" w:rsidP="00BD64B8">
      <w:pPr>
        <w:rPr>
          <w:lang w:eastAsia="en-GB"/>
        </w:rPr>
      </w:pPr>
      <w:r w:rsidRPr="002D1DD7">
        <w:rPr>
          <w:lang w:eastAsia="en-GB"/>
        </w:rPr>
        <w:t xml:space="preserve">During sifting, the review authors identified a small number of risk prediction studies. These </w:t>
      </w:r>
      <w:bookmarkStart w:id="128" w:name="_Hlk30585586"/>
      <w:r w:rsidRPr="002D1DD7">
        <w:rPr>
          <w:lang w:eastAsia="en-GB"/>
        </w:rPr>
        <w:t xml:space="preserve">studies reported multivariable statistical models to estimate the final outcome (OS/PFS) as a function of some response-based variable (e.g. </w:t>
      </w:r>
      <w:r>
        <w:rPr>
          <w:lang w:eastAsia="en-GB"/>
        </w:rPr>
        <w:t>O</w:t>
      </w:r>
      <w:r w:rsidRPr="002D1DD7">
        <w:rPr>
          <w:lang w:eastAsia="en-GB"/>
        </w:rPr>
        <w:t>RR) together with other clinical parameters (e.g. age, sex, clinical characteristics). These studies may also provide a source of HRs for the impact of response on OS/PFS, but again these typically relate to a single tumour type and do not specifically relate to patients with NTRK fusion-positive tumours</w:t>
      </w:r>
      <w:r>
        <w:rPr>
          <w:lang w:eastAsia="en-GB"/>
        </w:rPr>
        <w:t xml:space="preserve"> (or other relevant biomarkers)</w:t>
      </w:r>
      <w:r w:rsidRPr="002D1DD7">
        <w:rPr>
          <w:lang w:eastAsia="en-GB"/>
        </w:rPr>
        <w:t>.</w:t>
      </w:r>
      <w:bookmarkEnd w:id="128"/>
    </w:p>
    <w:p w14:paraId="3077BE6C" w14:textId="77777777" w:rsidR="00EC11CD" w:rsidRPr="002D1DD7" w:rsidRDefault="00EC11CD" w:rsidP="000E405B">
      <w:pPr>
        <w:pStyle w:val="Heading6"/>
        <w:rPr>
          <w:lang w:eastAsia="en-GB"/>
        </w:rPr>
      </w:pPr>
      <w:r w:rsidRPr="002D1DD7">
        <w:rPr>
          <w:lang w:eastAsia="en-GB"/>
        </w:rPr>
        <w:t>4. Do not use response as a surrogate for PFS/OS</w:t>
      </w:r>
    </w:p>
    <w:p w14:paraId="7936B4DA" w14:textId="345A74A8" w:rsidR="00EC11CD" w:rsidRDefault="00EC11CD" w:rsidP="00BD64B8">
      <w:pPr>
        <w:rPr>
          <w:lang w:eastAsia="en-GB"/>
        </w:rPr>
      </w:pPr>
      <w:r w:rsidRPr="002D1DD7">
        <w:rPr>
          <w:lang w:eastAsia="en-GB"/>
        </w:rPr>
        <w:t xml:space="preserve">The systematic review suggests that, taken generally, </w:t>
      </w:r>
      <w:r>
        <w:rPr>
          <w:lang w:eastAsia="en-GB"/>
        </w:rPr>
        <w:t>O</w:t>
      </w:r>
      <w:r w:rsidRPr="002D1DD7">
        <w:rPr>
          <w:lang w:eastAsia="en-GB"/>
        </w:rPr>
        <w:t>RR may not be a reliable surrogate for PFS or OS</w:t>
      </w:r>
      <w:r>
        <w:rPr>
          <w:lang w:eastAsia="en-GB"/>
        </w:rPr>
        <w:t xml:space="preserve"> based on current frameworks for surrogate validation</w:t>
      </w:r>
      <w:r w:rsidRPr="002D1DD7">
        <w:rPr>
          <w:lang w:eastAsia="en-GB"/>
        </w:rPr>
        <w:t xml:space="preserve">. The review did not indicate any particular pattern whereby </w:t>
      </w:r>
      <w:r>
        <w:rPr>
          <w:lang w:eastAsia="en-GB"/>
        </w:rPr>
        <w:t>O</w:t>
      </w:r>
      <w:r w:rsidRPr="002D1DD7">
        <w:rPr>
          <w:lang w:eastAsia="en-GB"/>
        </w:rPr>
        <w:t xml:space="preserve">RR performs better or worse according to tumour type or site. </w:t>
      </w:r>
      <w:r w:rsidRPr="00203825">
        <w:rPr>
          <w:lang w:eastAsia="en-GB"/>
        </w:rPr>
        <w:t>Even where there exists a means of predicting PFS/OS on the basis of ORR</w:t>
      </w:r>
      <w:r>
        <w:rPr>
          <w:lang w:eastAsia="en-GB"/>
        </w:rPr>
        <w:t xml:space="preserve"> for a given tumour site (e.g. using conventional meta-regressions or BRMA</w:t>
      </w:r>
      <w:r w:rsidRPr="00203825">
        <w:rPr>
          <w:lang w:eastAsia="en-GB"/>
        </w:rPr>
        <w:t>)</w:t>
      </w:r>
      <w:r w:rsidRPr="002D1DD7">
        <w:rPr>
          <w:lang w:eastAsia="en-GB"/>
        </w:rPr>
        <w:t xml:space="preserve">, in the absence of a strong relationship between the surrogate and final endpoints, the resulting estimates may </w:t>
      </w:r>
      <w:r>
        <w:rPr>
          <w:lang w:eastAsia="en-GB"/>
        </w:rPr>
        <w:t xml:space="preserve">be highly uncertain and difficult to </w:t>
      </w:r>
      <w:r>
        <w:rPr>
          <w:lang w:eastAsia="en-GB"/>
        </w:rPr>
        <w:lastRenderedPageBreak/>
        <w:t>interpret</w:t>
      </w:r>
      <w:r w:rsidRPr="002D1DD7">
        <w:rPr>
          <w:lang w:eastAsia="en-GB"/>
        </w:rPr>
        <w:t>.</w:t>
      </w:r>
      <w:r>
        <w:rPr>
          <w:lang w:eastAsia="en-GB"/>
        </w:rPr>
        <w:t xml:space="preserve"> It should be noted however that the alternative may involve extrapolating highly immature PFS and OS data which are also subject to substantial uncertainty, hence this may not represent a sufficiently robust solution either.</w:t>
      </w:r>
    </w:p>
    <w:p w14:paraId="42C4F59F" w14:textId="77777777" w:rsidR="00EC11CD" w:rsidRPr="002D1DD7" w:rsidRDefault="00EC11CD" w:rsidP="00EC11CD">
      <w:pPr>
        <w:pStyle w:val="Heading2"/>
      </w:pPr>
      <w:bookmarkStart w:id="129" w:name="_Toc33776195"/>
      <w:r w:rsidRPr="002D1DD7">
        <w:t>Conclusions</w:t>
      </w:r>
      <w:bookmarkEnd w:id="129"/>
    </w:p>
    <w:p w14:paraId="190FBA4B" w14:textId="77777777" w:rsidR="00EC11CD" w:rsidRDefault="00EC11CD" w:rsidP="00BD64B8">
      <w:pPr>
        <w:rPr>
          <w:lang w:eastAsia="en-GB"/>
        </w:rPr>
      </w:pPr>
      <w:r w:rsidRPr="002D1DD7">
        <w:rPr>
          <w:lang w:eastAsia="en-GB"/>
        </w:rPr>
        <w:t xml:space="preserve">This systematic review suggests that response endpoints such as </w:t>
      </w:r>
      <w:r>
        <w:rPr>
          <w:lang w:eastAsia="en-GB"/>
        </w:rPr>
        <w:t xml:space="preserve">ORR </w:t>
      </w:r>
      <w:r w:rsidRPr="002D1DD7">
        <w:rPr>
          <w:lang w:eastAsia="en-GB"/>
        </w:rPr>
        <w:t xml:space="preserve">and </w:t>
      </w:r>
      <w:r>
        <w:rPr>
          <w:lang w:eastAsia="en-GB"/>
        </w:rPr>
        <w:t xml:space="preserve">CR </w:t>
      </w:r>
      <w:r w:rsidRPr="002D1DD7">
        <w:rPr>
          <w:lang w:eastAsia="en-GB"/>
        </w:rPr>
        <w:t xml:space="preserve">may not be reliable surrogates for PFS or OS. Strength of association varied widely between studies and subgroups, </w:t>
      </w:r>
      <w:r>
        <w:rPr>
          <w:lang w:eastAsia="en-GB"/>
        </w:rPr>
        <w:t xml:space="preserve">and in general, there was </w:t>
      </w:r>
      <w:r w:rsidRPr="002D1DD7">
        <w:rPr>
          <w:lang w:eastAsia="en-GB"/>
        </w:rPr>
        <w:t>no clear pattern by cancer type.</w:t>
      </w:r>
      <w:r>
        <w:rPr>
          <w:lang w:eastAsia="en-GB"/>
        </w:rPr>
        <w:t xml:space="preserve"> </w:t>
      </w:r>
    </w:p>
    <w:p w14:paraId="0B6A8772" w14:textId="683D7017" w:rsidR="00EC11CD" w:rsidRPr="002D1DD7" w:rsidRDefault="00EC11CD" w:rsidP="00BD64B8">
      <w:pPr>
        <w:rPr>
          <w:lang w:eastAsia="en-GB"/>
        </w:rPr>
      </w:pPr>
      <w:bookmarkStart w:id="130" w:name="_Hlk33162341"/>
      <w:r>
        <w:rPr>
          <w:lang w:eastAsia="en-GB"/>
        </w:rPr>
        <w:t>Despite the potentially weak validity of response as a surrogate for PFS and OS, it may still be considered preferable to adopt a surrogate-based modelling approach informed by predictions from meta-analyses which capture all relevant uncertainty, than to ignore potential surrogate relationships and extrapolate heavily censored PFS and OS data. The recently developed BRMA approach outlined in DSU TSD 20</w:t>
      </w:r>
      <w:r w:rsidR="00CB2733">
        <w:rPr>
          <w:lang w:eastAsia="en-GB"/>
        </w:rPr>
        <w:fldChar w:fldCharType="begin"/>
      </w:r>
      <w:r w:rsidR="00CB2733">
        <w:rPr>
          <w:lang w:eastAsia="en-GB"/>
        </w:rPr>
        <w:instrText xml:space="preserve"> ADDIN EN.CITE &lt;EndNote&gt;&lt;Cite&gt;&lt;Author&gt;Bujkiewicz&lt;/Author&gt;&lt;Year&gt;2019&lt;/Year&gt;&lt;RecNum&gt;3600&lt;/RecNum&gt;&lt;DisplayText&gt;&lt;style face="superscript"&gt;142&lt;/style&gt;&lt;/DisplayText&gt;&lt;record&gt;&lt;rec-number&gt;3600&lt;/rec-number&gt;&lt;foreign-keys&gt;&lt;key app="EN" db-id="dwaevxvazfs2f3ewvzmxrd0k0wasw55p2z2w" timestamp="1582194099"&gt;3600&lt;/key&gt;&lt;/foreign-keys&gt;&lt;ref-type name="Report"&gt;27&lt;/ref-type&gt;&lt;contributors&gt;&lt;authors&gt;&lt;author&gt;Bujkiewicz, S.&lt;/author&gt;&lt;author&gt;Achana, F.&lt;/author&gt;&lt;author&gt;Papanikos, T.&lt;/author&gt;&lt;author&gt;Riley, R.D.&lt;/author&gt;&lt;author&gt;Abrams, K.R.&lt;/author&gt;&lt;/authors&gt;&lt;/contributors&gt;&lt;titles&gt;&lt;title&gt;Multivariate meta-analysis of summary data for combining treatment effects on correlated outcomes and evaluating surrogate endpoints. Report by The Decision Support Unit&lt;/title&gt;&lt;secondary-title&gt;NICE DSU Technical Support Document&lt;/secondary-title&gt;&lt;/titles&gt;&lt;num-vols&gt;20&lt;/num-vols&gt;&lt;dates&gt;&lt;year&gt;2019&lt;/year&gt;&lt;/dates&gt;&lt;pub-location&gt;Sheffield&lt;/pub-location&gt;&lt;publisher&gt;Decision Support Unit, ScHARR, University of Sheffield&lt;/publisher&gt;&lt;urls&gt;&lt;related-urls&gt;&lt;url&gt;http://nicedsu.org.uk/wp-content/uploads/2019/10/TSD-20-mvmeta-final.pdf&lt;/url&gt;&lt;/related-urls&gt;&lt;/urls&gt;&lt;custom4&gt;STEVE&amp;apos;S REFRENCES&lt;/custom4&gt;&lt;/record&gt;&lt;/Cite&gt;&lt;/EndNote&gt;</w:instrText>
      </w:r>
      <w:r w:rsidR="00CB2733">
        <w:rPr>
          <w:lang w:eastAsia="en-GB"/>
        </w:rPr>
        <w:fldChar w:fldCharType="separate"/>
      </w:r>
      <w:r w:rsidR="00CB2733" w:rsidRPr="00CB2733">
        <w:rPr>
          <w:noProof/>
          <w:vertAlign w:val="superscript"/>
          <w:lang w:eastAsia="en-GB"/>
        </w:rPr>
        <w:t>142</w:t>
      </w:r>
      <w:r w:rsidR="00CB2733">
        <w:rPr>
          <w:lang w:eastAsia="en-GB"/>
        </w:rPr>
        <w:fldChar w:fldCharType="end"/>
      </w:r>
      <w:r w:rsidR="009757D2">
        <w:rPr>
          <w:lang w:eastAsia="en-GB"/>
        </w:rPr>
        <w:t xml:space="preserve"> </w:t>
      </w:r>
      <w:r>
        <w:rPr>
          <w:lang w:eastAsia="en-GB"/>
        </w:rPr>
        <w:t xml:space="preserve">may serve an important role in ensuring that all uncertainty around the surrogate relationship is reflected in the predictions used in the model. </w:t>
      </w:r>
      <w:bookmarkEnd w:id="130"/>
      <w:r>
        <w:rPr>
          <w:lang w:eastAsia="en-GB"/>
        </w:rPr>
        <w:t>Ultimately, the most appropriate modelling approach will depend on the characteristics of the evidence available from the histology-independent study.</w:t>
      </w:r>
    </w:p>
    <w:p w14:paraId="4778A43F" w14:textId="29399FB6" w:rsidR="00AA1EC7" w:rsidRDefault="00AA1EC7">
      <w:pPr>
        <w:rPr>
          <w:lang w:eastAsia="en-GB"/>
        </w:rPr>
      </w:pPr>
      <w:r>
        <w:rPr>
          <w:lang w:eastAsia="en-GB"/>
        </w:rPr>
        <w:br w:type="page"/>
      </w:r>
    </w:p>
    <w:p w14:paraId="59D47B44" w14:textId="3E1BDF7A" w:rsidR="00C661CE" w:rsidRPr="002F6518" w:rsidRDefault="00C661CE" w:rsidP="00AA1EC7">
      <w:pPr>
        <w:pStyle w:val="Heading1"/>
      </w:pPr>
      <w:bookmarkStart w:id="131" w:name="_Ref31542614"/>
      <w:bookmarkStart w:id="132" w:name="_Ref31542772"/>
      <w:bookmarkStart w:id="133" w:name="_Toc33776196"/>
      <w:bookmarkStart w:id="134" w:name="_Hlk33694579"/>
      <w:r w:rsidRPr="002F6518">
        <w:lastRenderedPageBreak/>
        <w:t xml:space="preserve">A targeted review of published NICE technology appraisals where </w:t>
      </w:r>
      <w:r w:rsidR="004B19F0" w:rsidRPr="002F6518">
        <w:t xml:space="preserve">initial </w:t>
      </w:r>
      <w:r w:rsidR="005A3A4C" w:rsidRPr="002F6518">
        <w:t>marketing authorisation was</w:t>
      </w:r>
      <w:r w:rsidRPr="002F6518">
        <w:t xml:space="preserve"> based on </w:t>
      </w:r>
      <w:r w:rsidR="004B19F0" w:rsidRPr="002F6518">
        <w:t xml:space="preserve">response outcomes from </w:t>
      </w:r>
      <w:r w:rsidR="004A4474">
        <w:t>single-arm studies</w:t>
      </w:r>
      <w:bookmarkEnd w:id="131"/>
      <w:bookmarkEnd w:id="132"/>
      <w:bookmarkEnd w:id="133"/>
    </w:p>
    <w:bookmarkEnd w:id="134"/>
    <w:p w14:paraId="76EBD6AB" w14:textId="4CDFB293" w:rsidR="00C35194" w:rsidRPr="002D1DD7" w:rsidRDefault="00C35194" w:rsidP="00AA1EC7">
      <w:r w:rsidRPr="002D1DD7">
        <w:t xml:space="preserve">We undertook a targeted review of 10 published NICE technology appraisals (TAs) where marketing authorisation was based on response rates from </w:t>
      </w:r>
      <w:r w:rsidR="004A4474">
        <w:t>single-arm studies</w:t>
      </w:r>
      <w:r w:rsidRPr="002D1DD7">
        <w:t xml:space="preserve">. The aim of the review was to highlight alternative analytic and structural approaches which have been proposed in previous appraisals to inform the extrapolation of surrogate endpoints based on ORR and DoR and/or to handle uncertainties due to immaturity in PFS and OS data. </w:t>
      </w:r>
      <w:r w:rsidR="00081096" w:rsidRPr="002D1DD7">
        <w:t xml:space="preserve">The </w:t>
      </w:r>
      <w:r w:rsidRPr="002D1DD7">
        <w:t xml:space="preserve">case studies also served to </w:t>
      </w:r>
      <w:r w:rsidR="00205DFC">
        <w:t>identify</w:t>
      </w:r>
      <w:r w:rsidRPr="002D1DD7">
        <w:t xml:space="preserve"> a broader range of issues that are likely to be relevant for the appraisal of </w:t>
      </w:r>
      <w:r w:rsidR="00555827">
        <w:t>histology-independent</w:t>
      </w:r>
      <w:r w:rsidRPr="002D1DD7">
        <w:t xml:space="preserve"> products</w:t>
      </w:r>
      <w:r w:rsidR="005D4179">
        <w:t>.</w:t>
      </w:r>
      <w:r w:rsidRPr="002D1DD7">
        <w:t xml:space="preserve"> </w:t>
      </w:r>
    </w:p>
    <w:p w14:paraId="50974F1D" w14:textId="230AE501" w:rsidR="00C35194" w:rsidRPr="002D1DD7" w:rsidRDefault="00C35194">
      <w:pPr>
        <w:rPr>
          <w:rFonts w:cs="Times New Roman"/>
        </w:rPr>
      </w:pPr>
      <w:r w:rsidRPr="002D1DD7">
        <w:rPr>
          <w:rFonts w:cs="Times New Roman"/>
        </w:rPr>
        <w:t>A thematic</w:t>
      </w:r>
      <w:r w:rsidR="003F2D6D">
        <w:rPr>
          <w:rFonts w:cs="Times New Roman"/>
        </w:rPr>
        <w:t>-</w:t>
      </w:r>
      <w:r w:rsidRPr="002D1DD7">
        <w:rPr>
          <w:rFonts w:cs="Times New Roman"/>
        </w:rPr>
        <w:t xml:space="preserve">based review is used to summarise key issues and uncertainties raised by the evidence review groups (ERGs) and NICE committees. </w:t>
      </w:r>
      <w:r w:rsidR="003E335D">
        <w:rPr>
          <w:rFonts w:cs="Times New Roman"/>
        </w:rPr>
        <w:t xml:space="preserve"> The review is presen</w:t>
      </w:r>
      <w:r w:rsidR="00C9471F">
        <w:rPr>
          <w:rFonts w:cs="Times New Roman"/>
        </w:rPr>
        <w:t>t</w:t>
      </w:r>
      <w:r w:rsidR="003E335D">
        <w:rPr>
          <w:rFonts w:cs="Times New Roman"/>
        </w:rPr>
        <w:t>ed in Appendix 8.</w:t>
      </w:r>
    </w:p>
    <w:p w14:paraId="6F6E1C26" w14:textId="77777777" w:rsidR="00C35194" w:rsidRPr="002D1DD7" w:rsidRDefault="00C35194" w:rsidP="00EC11CD">
      <w:pPr>
        <w:pStyle w:val="Heading2"/>
      </w:pPr>
      <w:bookmarkStart w:id="135" w:name="_Toc33776197"/>
      <w:bookmarkStart w:id="136" w:name="_Hlk26292516"/>
      <w:r w:rsidRPr="002D1DD7">
        <w:t>Summary and implications</w:t>
      </w:r>
      <w:bookmarkEnd w:id="135"/>
    </w:p>
    <w:bookmarkEnd w:id="136"/>
    <w:p w14:paraId="637223C0" w14:textId="53BBC2A2" w:rsidR="00C35194" w:rsidRPr="002D1DD7" w:rsidRDefault="00C35194" w:rsidP="006A7B27">
      <w:r w:rsidRPr="002D1DD7">
        <w:t xml:space="preserve">The challenges of using a partitioned survival approach and relying on independent extrapolations of PFS and OS based on immature data </w:t>
      </w:r>
      <w:r w:rsidR="00621B4C">
        <w:t xml:space="preserve">are </w:t>
      </w:r>
      <w:r w:rsidRPr="002D1DD7">
        <w:t>particularly evident in those appraisals where median OS had not been reached. In these specific appraisals, a range of alternative approaches were used including conventional parametric extrapolation approaches, the use of expert judgement and evidence from a proxy population with more mature evidence. In each of these appraisals, the committee highlighted significant concerns regarding the uncertainty and robustness of the ICER estimates, leading to recommendations within the CDF</w:t>
      </w:r>
      <w:r w:rsidR="00621B4C">
        <w:t xml:space="preserve"> rather than routine NHS commissioning</w:t>
      </w:r>
      <w:r w:rsidRPr="002D1DD7">
        <w:t>.</w:t>
      </w:r>
    </w:p>
    <w:p w14:paraId="2CD267F9" w14:textId="66263AFB" w:rsidR="00C35194" w:rsidRPr="002D1DD7" w:rsidRDefault="00C35194" w:rsidP="006A7B27">
      <w:bookmarkStart w:id="137" w:name="_Hlk33165388"/>
      <w:r w:rsidRPr="002D1DD7">
        <w:t xml:space="preserve">One </w:t>
      </w:r>
      <w:r w:rsidR="00FA45E1">
        <w:t xml:space="preserve">important </w:t>
      </w:r>
      <w:r w:rsidRPr="002D1DD7">
        <w:t xml:space="preserve">finding was that none of the 10 TAs explored the use of surrogate relationships to help inform the PFS and OS extrapolations. This </w:t>
      </w:r>
      <w:r w:rsidR="00FA45E1">
        <w:t xml:space="preserve">could be </w:t>
      </w:r>
      <w:r w:rsidRPr="002D1DD7">
        <w:t xml:space="preserve">considered surprising since the primary endpoint in the underpinning studies is a surrogate endpoint for clinical benefit and concerns noted by EMA and FDA regarding the challenges of interpretation and potential bias in assessing time to event endpoints based on single arm studies using ORR as the primary endpoint. </w:t>
      </w:r>
      <w:r w:rsidR="00FA45E1">
        <w:t xml:space="preserve">However, it might also reflect the concerns regarding the reliability of </w:t>
      </w:r>
      <w:r w:rsidR="00FA45E1" w:rsidRPr="00FA45E1">
        <w:t xml:space="preserve">ORR and CR </w:t>
      </w:r>
      <w:r w:rsidR="00FA45E1">
        <w:t>as</w:t>
      </w:r>
      <w:r w:rsidR="00FA45E1" w:rsidRPr="00FA45E1">
        <w:t xml:space="preserve"> surrogates for PFS or OS</w:t>
      </w:r>
      <w:r w:rsidR="006A7B27">
        <w:t xml:space="preserve"> (see Chapter </w:t>
      </w:r>
      <w:r w:rsidR="006A7B27">
        <w:fldChar w:fldCharType="begin"/>
      </w:r>
      <w:r w:rsidR="006A7B27">
        <w:instrText xml:space="preserve"> REF _Ref27555366 \w \h </w:instrText>
      </w:r>
      <w:r w:rsidR="006A7B27">
        <w:fldChar w:fldCharType="separate"/>
      </w:r>
      <w:r w:rsidR="00C663A2">
        <w:t>4</w:t>
      </w:r>
      <w:r w:rsidR="006A7B27">
        <w:fldChar w:fldCharType="end"/>
      </w:r>
      <w:r w:rsidR="00FA45E1">
        <w:t>)</w:t>
      </w:r>
      <w:r w:rsidR="00FA45E1" w:rsidRPr="00FA45E1">
        <w:t xml:space="preserve">. </w:t>
      </w:r>
    </w:p>
    <w:bookmarkEnd w:id="137"/>
    <w:p w14:paraId="498051BF" w14:textId="487780D1" w:rsidR="002A5AE1" w:rsidRPr="002D1DD7" w:rsidRDefault="002A5AE1" w:rsidP="006A7B27">
      <w:r w:rsidRPr="002D1DD7">
        <w:t>Due to the nature of basket trials, significant heterogeneity may be present in the study populations enrolled in the trials</w:t>
      </w:r>
      <w:r w:rsidR="006A7B27">
        <w:t xml:space="preserve"> (see Chapter </w:t>
      </w:r>
      <w:r w:rsidR="006A7B27">
        <w:fldChar w:fldCharType="begin"/>
      </w:r>
      <w:r w:rsidR="006A7B27">
        <w:instrText xml:space="preserve"> REF _Ref27389311 \w \h </w:instrText>
      </w:r>
      <w:r w:rsidR="006A7B27">
        <w:fldChar w:fldCharType="separate"/>
      </w:r>
      <w:r w:rsidR="00C663A2">
        <w:t>3</w:t>
      </w:r>
      <w:r w:rsidR="006A7B27">
        <w:fldChar w:fldCharType="end"/>
      </w:r>
      <w:r w:rsidR="006A7B27">
        <w:t>)</w:t>
      </w:r>
      <w:r w:rsidRPr="002D1DD7">
        <w:t xml:space="preserve">. The potential importance of accounting for heterogeneity and exploring the cost-effectiveness in subgroups of the target population is acknowledged in the current NICE methods guide. Differences in the cost-effectiveness and decision uncertainty across these separate subgroups may lead to an optimised recommendation that is more restrictive than the marketing authorisation. </w:t>
      </w:r>
    </w:p>
    <w:p w14:paraId="5ACCE374" w14:textId="19C3FBC9" w:rsidR="002A5AE1" w:rsidRPr="002D1DD7" w:rsidRDefault="002A5AE1" w:rsidP="006A7B27">
      <w:r w:rsidRPr="002D1DD7">
        <w:lastRenderedPageBreak/>
        <w:t xml:space="preserve">The review also demonstrated that heterogeneity within an overall target population is often a critical aspect of the appraisal. The </w:t>
      </w:r>
      <w:r w:rsidR="00BF49BD">
        <w:t>c</w:t>
      </w:r>
      <w:r w:rsidRPr="002D1DD7">
        <w:t xml:space="preserve">ommittee acknowledged the importance of accounting for heterogeneity in a variety of sources in addition to relative effectiveness, including prognosis, </w:t>
      </w:r>
      <w:r w:rsidR="00A6522C">
        <w:t>h</w:t>
      </w:r>
      <w:r w:rsidR="00A6522C" w:rsidRPr="00A6522C">
        <w:t xml:space="preserve">ealth-related quality of life </w:t>
      </w:r>
      <w:r w:rsidR="00A6522C">
        <w:t>(</w:t>
      </w:r>
      <w:r w:rsidR="007C6FBA">
        <w:t>HRQoL</w:t>
      </w:r>
      <w:r w:rsidR="00A6522C">
        <w:t>)</w:t>
      </w:r>
      <w:r w:rsidR="007C6FBA">
        <w:t xml:space="preserve"> </w:t>
      </w:r>
      <w:r w:rsidRPr="002D1DD7">
        <w:t>and cost of comparator therapies</w:t>
      </w:r>
      <w:r w:rsidR="001F7A2A">
        <w:t xml:space="preserve"> which</w:t>
      </w:r>
      <w:r w:rsidR="001F7A2A" w:rsidRPr="002D1DD7">
        <w:t xml:space="preserve"> </w:t>
      </w:r>
      <w:r w:rsidRPr="002D1DD7">
        <w:t xml:space="preserve">were likely to differ, impacting the cost-effectiveness estimates. The majority of TAs included only a small number of subgroups, most commonly based on alternative positions of a new treatment in an existing pathway. It is notable that in most of these appraisals, either separate studies were available for different subgroups or it was more feasible to undertake subgroup analyses than in </w:t>
      </w:r>
      <w:r w:rsidR="001F7A2A">
        <w:t xml:space="preserve">histology-independent </w:t>
      </w:r>
      <w:r w:rsidRPr="002D1DD7">
        <w:t>appraisal</w:t>
      </w:r>
      <w:r w:rsidR="001F7A2A">
        <w:t>s</w:t>
      </w:r>
      <w:r w:rsidR="00F40BFA">
        <w:t xml:space="preserve"> given the larger sample sizes</w:t>
      </w:r>
      <w:r w:rsidRPr="002D1DD7">
        <w:t xml:space="preserve">. Although examples were identified which appeared more relevant to </w:t>
      </w:r>
      <w:r w:rsidR="00555827">
        <w:t>histology-independent</w:t>
      </w:r>
      <w:r w:rsidRPr="002D1DD7">
        <w:t xml:space="preserve"> appraisals, these were also limited to relatively small numbers of subgroups informed by separate studies or with sufficient numbers to present stratified results. </w:t>
      </w:r>
      <w:r w:rsidR="00F06EA5" w:rsidRPr="002D1DD7">
        <w:t>However, it was evident from the appraisals of interventions with a</w:t>
      </w:r>
      <w:r w:rsidR="00E25C4B">
        <w:t xml:space="preserve"> broad marketing authorisation </w:t>
      </w:r>
      <w:r w:rsidR="00F06EA5" w:rsidRPr="002D1DD7">
        <w:t>that the committee preferred to be explicit about the different sources of heterogeneity leading to specific recommendations for subgroups within the broader population.</w:t>
      </w:r>
    </w:p>
    <w:p w14:paraId="018434F6" w14:textId="7565D98F" w:rsidR="008244C2" w:rsidRPr="002D1DD7" w:rsidRDefault="008244C2" w:rsidP="006A7B27">
      <w:r w:rsidRPr="002D1DD7">
        <w:t>Committees have routinely consider</w:t>
      </w:r>
      <w:r w:rsidR="001F7A2A">
        <w:t>ed</w:t>
      </w:r>
      <w:r w:rsidRPr="002D1DD7">
        <w:t xml:space="preserve"> the diagnostic accuracy of available testing and the appropriateness of proposed testing strategies. The feasibility of introducing new testing pathways was also the subject of committee discussions. The predictive </w:t>
      </w:r>
      <w:r w:rsidR="00B96AE7">
        <w:t>validity o</w:t>
      </w:r>
      <w:r w:rsidRPr="002D1DD7">
        <w:t>f target genetic mutations was well established, with company submissions providing an overview of the clinical basis for the predictive validity of target mutation. The prognostic validity of target mutation</w:t>
      </w:r>
      <w:r w:rsidR="001F7A2A">
        <w:t>s</w:t>
      </w:r>
      <w:r w:rsidRPr="002D1DD7">
        <w:t xml:space="preserve"> was in contrast poorly understood in all three appraisals</w:t>
      </w:r>
      <w:r w:rsidR="001F7A2A">
        <w:t xml:space="preserve"> reviewed</w:t>
      </w:r>
      <w:r w:rsidRPr="002D1DD7">
        <w:t xml:space="preserve">, meaning only limited conclusions could be drawn regarding the prognosis of patients when receiving standard care. </w:t>
      </w:r>
    </w:p>
    <w:p w14:paraId="2C259ACD" w14:textId="2A94913A" w:rsidR="006A7B27" w:rsidRDefault="00F06EA5" w:rsidP="006A7B27">
      <w:r w:rsidRPr="002D1DD7">
        <w:t xml:space="preserve">Although the review of TA appraisals identified a number of important themes that are likely to be relevant to </w:t>
      </w:r>
      <w:r w:rsidR="00555827">
        <w:t>histology-independent</w:t>
      </w:r>
      <w:r w:rsidRPr="002D1DD7">
        <w:t xml:space="preserve"> appraisals, there are also important differences due to the nature of the study designs and greater levels of heterogeneity within the target population. </w:t>
      </w:r>
      <w:r w:rsidR="00B96AE7">
        <w:t>Chapter</w:t>
      </w:r>
      <w:r w:rsidR="00F063FD">
        <w:t xml:space="preserve"> </w:t>
      </w:r>
      <w:r w:rsidR="00F063FD">
        <w:fldChar w:fldCharType="begin"/>
      </w:r>
      <w:r w:rsidR="00F063FD">
        <w:instrText xml:space="preserve"> REF _Ref27556857 \w \h </w:instrText>
      </w:r>
      <w:r w:rsidR="00F063FD">
        <w:fldChar w:fldCharType="separate"/>
      </w:r>
      <w:r w:rsidR="00C663A2">
        <w:t>6</w:t>
      </w:r>
      <w:r w:rsidR="00F063FD">
        <w:fldChar w:fldCharType="end"/>
      </w:r>
      <w:r w:rsidRPr="002D1DD7">
        <w:t xml:space="preserve"> provides a more detailed consideration of some of the potential challenges that are envisaged and consider</w:t>
      </w:r>
      <w:r w:rsidR="00F063FD">
        <w:t>s</w:t>
      </w:r>
      <w:r w:rsidRPr="002D1DD7">
        <w:t xml:space="preserve"> a range of alternative analytic approaches that might be required.</w:t>
      </w:r>
    </w:p>
    <w:p w14:paraId="38619482" w14:textId="19750D1D" w:rsidR="008E0174" w:rsidRPr="00DC6E46" w:rsidRDefault="00DC6E46" w:rsidP="006705D3">
      <w:pPr>
        <w:rPr>
          <w:rFonts w:cs="Times New Roman"/>
        </w:rPr>
      </w:pPr>
      <w:r>
        <w:rPr>
          <w:rFonts w:cs="Times New Roman"/>
        </w:rPr>
        <w:br w:type="page"/>
      </w:r>
    </w:p>
    <w:p w14:paraId="6C06FD94" w14:textId="7EB49A45" w:rsidR="00C35194" w:rsidRPr="002D1DD7" w:rsidRDefault="007D2D0F" w:rsidP="006A7B27">
      <w:pPr>
        <w:pStyle w:val="Heading1"/>
      </w:pPr>
      <w:bookmarkStart w:id="138" w:name="_Ref27556857"/>
      <w:bookmarkStart w:id="139" w:name="_Toc33776198"/>
      <w:r w:rsidRPr="002D1DD7">
        <w:lastRenderedPageBreak/>
        <w:t>Issues and challenges for e</w:t>
      </w:r>
      <w:r w:rsidR="006858C8" w:rsidRPr="002D1DD7">
        <w:t>xploring heterogeneity</w:t>
      </w:r>
      <w:r w:rsidRPr="002D1DD7">
        <w:t xml:space="preserve"> for </w:t>
      </w:r>
      <w:r w:rsidR="00555827">
        <w:t>histology-independent</w:t>
      </w:r>
      <w:r w:rsidRPr="002D1DD7">
        <w:t xml:space="preserve"> appraisals</w:t>
      </w:r>
      <w:bookmarkEnd w:id="138"/>
      <w:bookmarkEnd w:id="139"/>
    </w:p>
    <w:p w14:paraId="4CA3C7DE" w14:textId="5F7A75C3" w:rsidR="00C37896" w:rsidRPr="002D1DD7" w:rsidRDefault="00C37896" w:rsidP="006A7B27">
      <w:r w:rsidRPr="002D1DD7">
        <w:t xml:space="preserve">The clinical and cost-effectiveness of a treatment will often depend on the characteristics of patients and the circumstances under which they receive treatment. The fact that different patient groups have different characteristics and so will derive different benefit from treatments is called </w:t>
      </w:r>
      <w:r w:rsidR="0030669B">
        <w:t>‘</w:t>
      </w:r>
      <w:r w:rsidRPr="002D1DD7">
        <w:t>heterogeneity</w:t>
      </w:r>
      <w:r w:rsidR="0030669B">
        <w:t>’</w:t>
      </w:r>
      <w:r w:rsidRPr="002D1DD7">
        <w:t>.</w:t>
      </w:r>
      <w:r w:rsidR="006F7FD7">
        <w:fldChar w:fldCharType="begin">
          <w:fldData xml:space="preserve">PEVuZE5vdGU+PENpdGU+PEF1dGhvcj5QaGVscHM8L0F1dGhvcj48WWVhcj4xOTg4PC9ZZWFyPjxS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=
</w:fldData>
        </w:fldChar>
      </w:r>
      <w:r w:rsidR="000E66DE">
        <w:instrText xml:space="preserve"> ADDIN EN.CITE </w:instrText>
      </w:r>
      <w:r w:rsidR="000E66DE">
        <w:fldChar w:fldCharType="begin">
          <w:fldData xml:space="preserve">PEVuZE5vdGU+PENpdGU+PEF1dGhvcj5QaGVscHM8L0F1dGhvcj48WWVhcj4xOTg4PC9ZZWFyPjxS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=
</w:fldData>
        </w:fldChar>
      </w:r>
      <w:r w:rsidR="000E66DE">
        <w:instrText xml:space="preserve"> ADDIN EN.CITE.DATA </w:instrText>
      </w:r>
      <w:r w:rsidR="000E66DE">
        <w:fldChar w:fldCharType="end"/>
      </w:r>
      <w:r w:rsidR="006F7FD7">
        <w:fldChar w:fldCharType="separate"/>
      </w:r>
      <w:r w:rsidR="004D5B2B" w:rsidRPr="004D5B2B">
        <w:rPr>
          <w:noProof/>
          <w:vertAlign w:val="superscript"/>
        </w:rPr>
        <w:t>144, 145</w:t>
      </w:r>
      <w:r w:rsidR="006F7FD7">
        <w:fldChar w:fldCharType="end"/>
      </w:r>
      <w:r w:rsidRPr="002D1DD7">
        <w:t xml:space="preserve"> </w:t>
      </w:r>
      <w:r w:rsidR="006F7FD7">
        <w:fldChar w:fldCharType="begin"/>
      </w:r>
      <w:r w:rsidR="00054FE8">
        <w:instrText xml:space="preserve"> ADDIN EN.CITE &lt;EndNote&gt;&lt;Cite&gt;&lt;Author&gt;Espinoza&lt;/Author&gt;&lt;Year&gt;2014&lt;/Year&gt;&lt;RecNum&gt;3483&lt;/RecNum&gt;&lt;DisplayText&gt;&lt;style face="superscript"&gt;146&lt;/style&gt;&lt;/DisplayText&gt;&lt;record&gt;&lt;rec-number&gt;3483&lt;/rec-number&gt;&lt;foreign-keys&gt;&lt;key app="EN" db-id="dwaevxvazfs2f3ewvzmxrd0k0wasw55p2z2w" timestamp="1579606097"&gt;3483&lt;/key&gt;&lt;/foreign-keys&gt;&lt;ref-type name="Journal Article"&gt;17&lt;/ref-type&gt;&lt;contributors&gt;&lt;authors&gt;&lt;author&gt;Espinoza, M. A.&lt;/author&gt;&lt;author&gt;Manca, A.&lt;/author&gt;&lt;author&gt;Claxton, K.&lt;/author&gt;&lt;author&gt;Sculpher, M. J.&lt;/author&gt;&lt;/authors&gt;&lt;/contributors&gt;&lt;auth-address&gt;Department of Public Health, Pontificia Universidad Catolica de Chile, Santiago, Chile (MAE)&amp;#xD;Department of Scientific Affairs, Institute of Public Health, Santiago, Chile (MAE)&amp;#xD;Centre for Health Economics, University of York, York, UK (AM, KC, MJS)&amp;#xD;Department of Economics and Related Studies, University of York, York, UK (KC).&lt;/auth-address&gt;&lt;titles&gt;&lt;title&gt;The value of heterogeneity for cost-effectiveness subgroup analysis: conceptual framework and application&lt;/title&gt;&lt;secondary-title&gt;Med Decis Making&lt;/secondary-title&gt;&lt;/titles&gt;&lt;periodical&gt;&lt;full-title&gt;Medical Decision Making&lt;/full-title&gt;&lt;abbr-1&gt;Med Decis Making&lt;/abbr-1&gt;&lt;/periodical&gt;&lt;pages&gt;951-64&lt;/pages&gt;&lt;volume&gt;34&lt;/volume&gt;&lt;number&gt;8&lt;/number&gt;&lt;edition&gt;2014/06/20&lt;/edition&gt;&lt;keywords&gt;&lt;keyword&gt;*Cost-Benefit Analysis&lt;/keyword&gt;&lt;keyword&gt;Research&lt;/keyword&gt;&lt;keyword&gt;Uncertainty&lt;/keyword&gt;&lt;/keywords&gt;&lt;dates&gt;&lt;year&gt;2014&lt;/year&gt;&lt;pub-dates&gt;&lt;date&gt;Nov&lt;/date&gt;&lt;/pub-dates&gt;&lt;/dates&gt;&lt;isbn&gt;1552-681X (Electronic)&amp;#xD;0272-989X (Linking)&lt;/isbn&gt;&lt;accession-num&gt;24944196&lt;/accession-num&gt;&lt;urls&gt;&lt;/urls&gt;&lt;custom2&gt;4232328&lt;/custom2&gt;&lt;custom4&gt;STEVE&amp;apos;S REFERENCES&lt;/custom4&gt;&lt;electronic-resource-num&gt;0272989X14538705 [pii]&amp;#xD;10.1177/0272989X14538705&lt;/electronic-resource-num&gt;&lt;research-notes&gt;https://www.ncbi.nlm.nih.gov/pubmed/24944196&lt;/research-notes&gt;&lt;language&gt;eng&lt;/language&gt;&lt;/record&gt;&lt;/Cite&gt;&lt;/EndNote&gt;</w:instrText>
      </w:r>
      <w:r w:rsidR="006F7FD7">
        <w:fldChar w:fldCharType="separate"/>
      </w:r>
      <w:r w:rsidR="004D5B2B" w:rsidRPr="004D5B2B">
        <w:rPr>
          <w:noProof/>
          <w:vertAlign w:val="superscript"/>
        </w:rPr>
        <w:t>146</w:t>
      </w:r>
      <w:r w:rsidR="006F7FD7">
        <w:fldChar w:fldCharType="end"/>
      </w:r>
    </w:p>
    <w:p w14:paraId="42377780" w14:textId="171ED498" w:rsidR="00C37896" w:rsidRPr="002D1DD7" w:rsidRDefault="00C37896" w:rsidP="006A7B27">
      <w:r w:rsidRPr="002D1DD7">
        <w:t>Heterogeneity matters for two main reasons: first, if benefits differ by patient characteristics then estimates of treatment benefit must match the patient population that is expected to receive the treatment (the target population) in routine clinical practice. The second reason is that there can be health benefits from making tailored decisions for particular groups of patients. This gain from recognising differences between subgroups of patients and potentially ‘optimising’ recommendations within a product’s licence is called the value of heterogeneity (VoH)</w:t>
      </w:r>
      <w:r w:rsidR="0030669B">
        <w:t>.</w:t>
      </w:r>
      <w:r w:rsidR="006F7FD7">
        <w:fldChar w:fldCharType="begin">
          <w:fldData xml:space="preserve">PEVuZE5vdGU+PENpdGU+PEF1dGhvcj5Fc3Bpbm96YTwvQXV0aG9yPjxZZWFyPjIwMTQ8L1llYXI+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</w:fldData>
        </w:fldChar>
      </w:r>
      <w:r w:rsidR="00054FE8">
        <w:instrText xml:space="preserve"> ADDIN EN.CITE </w:instrText>
      </w:r>
      <w:r w:rsidR="00054FE8">
        <w:fldChar w:fldCharType="begin">
          <w:fldData xml:space="preserve">PEVuZE5vdGU+PENpdGU+PEF1dGhvcj5Fc3Bpbm96YTwvQXV0aG9yPjxZZWFyPjIwMTQ8L1llYXI+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</w:fldData>
        </w:fldChar>
      </w:r>
      <w:r w:rsidR="00054FE8">
        <w:instrText xml:space="preserve"> ADDIN EN.CITE.DATA </w:instrText>
      </w:r>
      <w:r w:rsidR="00054FE8">
        <w:fldChar w:fldCharType="end"/>
      </w:r>
      <w:r w:rsidR="006F7FD7">
        <w:fldChar w:fldCharType="separate"/>
      </w:r>
      <w:r w:rsidR="004D5B2B" w:rsidRPr="004D5B2B">
        <w:rPr>
          <w:noProof/>
          <w:vertAlign w:val="superscript"/>
        </w:rPr>
        <w:t>145-147</w:t>
      </w:r>
      <w:r w:rsidR="006F7FD7">
        <w:fldChar w:fldCharType="end"/>
      </w:r>
    </w:p>
    <w:p w14:paraId="64F039E5" w14:textId="4E83DBD5" w:rsidR="00C37896" w:rsidRPr="002D1DD7" w:rsidRDefault="00C37896" w:rsidP="00E14EE5">
      <w:r w:rsidRPr="002D1DD7">
        <w:t>Exploration of sources of heterogeneity and the use of subgroup analysis is recommended within the NICE reference case analysis.</w:t>
      </w:r>
      <w:r w:rsidR="006F7FD7">
        <w:fldChar w:fldCharType="begin"/>
      </w:r>
      <w:r w:rsidR="006F7FD7">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rsidR="006F7FD7">
        <w:fldChar w:fldCharType="separate"/>
      </w:r>
      <w:r w:rsidR="006F7FD7" w:rsidRPr="006F7FD7">
        <w:rPr>
          <w:noProof/>
          <w:vertAlign w:val="superscript"/>
        </w:rPr>
        <w:t>4</w:t>
      </w:r>
      <w:r w:rsidR="006F7FD7">
        <w:fldChar w:fldCharType="end"/>
      </w:r>
      <w:r w:rsidRPr="002D1DD7">
        <w:t xml:space="preserve"> </w:t>
      </w:r>
      <w:bookmarkStart w:id="140" w:name="_Hlk26692244"/>
      <w:r w:rsidRPr="002D1DD7">
        <w:t xml:space="preserve">Ignoring these differences could mean that a treatment which is not </w:t>
      </w:r>
      <w:r w:rsidR="009D6CA1">
        <w:t>cost-effective</w:t>
      </w:r>
      <w:r w:rsidRPr="002D1DD7">
        <w:t xml:space="preserve"> for the total population (combining all subgroups) may be </w:t>
      </w:r>
      <w:r w:rsidR="009D6CA1">
        <w:t>cost-effective</w:t>
      </w:r>
      <w:r w:rsidRPr="002D1DD7">
        <w:t xml:space="preserve"> in specific subgroups. Making a </w:t>
      </w:r>
      <w:r w:rsidR="00C44ADB">
        <w:t>‘</w:t>
      </w:r>
      <w:r w:rsidRPr="002D1DD7">
        <w:t>one size fits all</w:t>
      </w:r>
      <w:r w:rsidR="00C44ADB">
        <w:t>’</w:t>
      </w:r>
      <w:r w:rsidRPr="002D1DD7">
        <w:t xml:space="preserve"> recommendation would then result in a potentially cost</w:t>
      </w:r>
      <w:r w:rsidR="00A6522C">
        <w:t>-</w:t>
      </w:r>
      <w:r w:rsidRPr="002D1DD7">
        <w:t xml:space="preserve">effective treatment being withheld from a subset of patients for whom the treatment would represent an appropriate use of NHS resources. Conversely, a treatment which appears </w:t>
      </w:r>
      <w:r w:rsidR="009D6CA1">
        <w:t>cost-effective</w:t>
      </w:r>
      <w:r w:rsidRPr="002D1DD7">
        <w:t xml:space="preserve"> for the total population may not be </w:t>
      </w:r>
      <w:r w:rsidR="009D6CA1">
        <w:t>cost-effective</w:t>
      </w:r>
      <w:r w:rsidRPr="002D1DD7">
        <w:t xml:space="preserve"> in particular subgroups. </w:t>
      </w:r>
      <w:bookmarkEnd w:id="140"/>
      <w:r w:rsidRPr="002D1DD7">
        <w:t xml:space="preserve">In this case a </w:t>
      </w:r>
      <w:r w:rsidR="00C44ADB">
        <w:t>‘</w:t>
      </w:r>
      <w:r w:rsidRPr="002D1DD7">
        <w:t>one size fits all</w:t>
      </w:r>
      <w:r w:rsidR="00C44ADB">
        <w:t>’</w:t>
      </w:r>
      <w:r w:rsidRPr="002D1DD7">
        <w:t xml:space="preserve"> approach could result in the treatment being recommended in identifiable subgroups in which the value of providing the new treatment is lower than the opportunity cost. That is, the health gain for these specific subgroups is not sufficient to offset the potential health lost from a reduction in the provision of services elsewhere in the NHS that is necessary to fund the new treatment. </w:t>
      </w:r>
    </w:p>
    <w:p w14:paraId="6EEA0292" w14:textId="5AEABE2D" w:rsidR="00C37896" w:rsidRPr="002D1DD7" w:rsidRDefault="00C37896" w:rsidP="00E14EE5">
      <w:r w:rsidRPr="002D1DD7">
        <w:t xml:space="preserve">In the case of </w:t>
      </w:r>
      <w:r w:rsidR="00555827">
        <w:t>histology-independent</w:t>
      </w:r>
      <w:r w:rsidRPr="002D1DD7">
        <w:t xml:space="preserve"> treatments, heterogeneity is particularly important to consider. This is because an important source of heterogeneity is differences in tumour histology. Though a treatment may be clinically effective across a range of tumour sites, there are theoretical and empirical reasons to expect that cost and health consequences could vary significantly across tumour sites. This is in addition to the usual sources of heterogeneity (e.g. age, gender etc.) which are present in conventional treatments.</w:t>
      </w:r>
    </w:p>
    <w:p w14:paraId="154817E7" w14:textId="3B570E8F" w:rsidR="00C37896" w:rsidRPr="002D1DD7" w:rsidRDefault="00C37896" w:rsidP="003E335D">
      <w:r w:rsidRPr="002D1DD7">
        <w:t xml:space="preserve">There are a number of sources of heterogeneity which are relevant to </w:t>
      </w:r>
      <w:r w:rsidR="00555827">
        <w:t>histology-independent</w:t>
      </w:r>
      <w:r w:rsidRPr="002D1DD7">
        <w:t xml:space="preserve"> decision</w:t>
      </w:r>
      <w:r w:rsidR="00542460">
        <w:t>-</w:t>
      </w:r>
      <w:r w:rsidRPr="002D1DD7">
        <w:t xml:space="preserve">making. The main focus of this </w:t>
      </w:r>
      <w:r w:rsidR="00B96AE7">
        <w:t>chapter</w:t>
      </w:r>
      <w:r w:rsidRPr="002D1DD7">
        <w:t xml:space="preserve"> is heterogeneity between subgroups as defined by histology. However, it must be stressed that heterogeneity due to other </w:t>
      </w:r>
      <w:r w:rsidR="00FE58FF">
        <w:t>characteristics</w:t>
      </w:r>
      <w:r w:rsidRPr="002D1DD7">
        <w:t xml:space="preserve"> </w:t>
      </w:r>
      <w:r w:rsidR="003E17E4">
        <w:t xml:space="preserve">are </w:t>
      </w:r>
      <w:r w:rsidRPr="002D1DD7">
        <w:t xml:space="preserve">also relevant. </w:t>
      </w:r>
    </w:p>
    <w:p w14:paraId="2D98D0CC" w14:textId="2AF3DA49" w:rsidR="00C37896" w:rsidRPr="002D1DD7" w:rsidRDefault="00C37896" w:rsidP="00C37896">
      <w:bookmarkStart w:id="141" w:name="_Hlk26700237"/>
      <w:r w:rsidRPr="002D1DD7">
        <w:lastRenderedPageBreak/>
        <w:t xml:space="preserve">The following sections identify a number of particular challenges for </w:t>
      </w:r>
      <w:r w:rsidR="00555827">
        <w:t>histology-independent</w:t>
      </w:r>
      <w:r w:rsidRPr="002D1DD7">
        <w:t xml:space="preserve"> appraisals and present alternative approaches which might be used to investigate and account for different sources of </w:t>
      </w:r>
      <w:r w:rsidR="00B96AE7">
        <w:t>heterogeneity</w:t>
      </w:r>
      <w:r w:rsidRPr="002D1DD7">
        <w:t xml:space="preserve">. </w:t>
      </w:r>
      <w:bookmarkEnd w:id="141"/>
      <w:r w:rsidRPr="002D1DD7">
        <w:t xml:space="preserve">A formal framework is presented in </w:t>
      </w:r>
      <w:r w:rsidR="00B96AE7">
        <w:t>Chapter</w:t>
      </w:r>
      <w:r w:rsidR="004855E0">
        <w:t xml:space="preserve"> </w:t>
      </w:r>
      <w:r w:rsidR="004855E0">
        <w:fldChar w:fldCharType="begin"/>
      </w:r>
      <w:r w:rsidR="004855E0">
        <w:instrText xml:space="preserve"> REF _Ref27389579 \w \h </w:instrText>
      </w:r>
      <w:r w:rsidR="004855E0">
        <w:fldChar w:fldCharType="separate"/>
      </w:r>
      <w:r w:rsidR="00C663A2">
        <w:t>7</w:t>
      </w:r>
      <w:r w:rsidR="004855E0">
        <w:fldChar w:fldCharType="end"/>
      </w:r>
      <w:r w:rsidRPr="002D1DD7">
        <w:t xml:space="preserve">. </w:t>
      </w:r>
    </w:p>
    <w:p w14:paraId="04B3F9A2" w14:textId="49E1B9C6" w:rsidR="007B139F" w:rsidRPr="002D1DD7" w:rsidRDefault="007B139F" w:rsidP="00EC11CD">
      <w:pPr>
        <w:pStyle w:val="Heading2"/>
      </w:pPr>
      <w:bookmarkStart w:id="142" w:name="_Ref27397503"/>
      <w:bookmarkStart w:id="143" w:name="_Toc33776199"/>
      <w:r w:rsidRPr="002D1DD7">
        <w:t>Treatment effectiveness</w:t>
      </w:r>
      <w:bookmarkEnd w:id="142"/>
      <w:bookmarkEnd w:id="143"/>
    </w:p>
    <w:p w14:paraId="0B5DC001" w14:textId="76DBB72B" w:rsidR="006858C8" w:rsidRPr="002D1DD7" w:rsidRDefault="006858C8" w:rsidP="00D94CF9">
      <w:r w:rsidRPr="002D1DD7">
        <w:t xml:space="preserve">The available evidence is likely to consist of response and immature </w:t>
      </w:r>
      <w:r w:rsidR="00B96AE7">
        <w:t xml:space="preserve">PFS and OS </w:t>
      </w:r>
      <w:r w:rsidRPr="002D1DD7">
        <w:t xml:space="preserve">data for patients with different tumours, included in one or more </w:t>
      </w:r>
      <w:r w:rsidR="004A4474">
        <w:t>single-arm studies</w:t>
      </w:r>
      <w:r w:rsidRPr="002D1DD7">
        <w:t xml:space="preserve"> with a basket design. Methods to test for heterogeneity in response by tumour type, or other relevant characteristics (typically related to the target mutation) can be used during trial conduct and can inform stopping rules in an adaptive trial design framework (Section</w:t>
      </w:r>
      <w:r w:rsidR="00D33713" w:rsidRPr="002D1DD7">
        <w:t xml:space="preserve"> </w:t>
      </w:r>
      <w:r w:rsidR="00D33713" w:rsidRPr="002D1DD7">
        <w:fldChar w:fldCharType="begin"/>
      </w:r>
      <w:r w:rsidR="00D33713" w:rsidRPr="002D1DD7">
        <w:instrText xml:space="preserve"> REF _Ref27389311 \r \h </w:instrText>
      </w:r>
      <w:r w:rsidR="00D33713" w:rsidRPr="002D1DD7">
        <w:fldChar w:fldCharType="separate"/>
      </w:r>
      <w:r w:rsidR="00C663A2">
        <w:t>3</w:t>
      </w:r>
      <w:r w:rsidR="00D33713" w:rsidRPr="002D1DD7">
        <w:fldChar w:fldCharType="end"/>
      </w:r>
      <w:r w:rsidRPr="002D1DD7">
        <w:t xml:space="preserve">). If heterogeneity is explored within the trial and it is concluded that a pooled analysis is justified (i.e. the treatment effect is sufficiently homogeneous across the tumour types), these results can be re-evaluated during the appraisal process and a decision made on whether or not it is appropriate to accept the company’s proposal of a homogeneous treatment effect across the tumours. A decision made within the trial to discontinue recruitment to one or more baskets due to an unsuitable response, should caution against a completely histology-independent recommendation. In such cases there will need to be a case made for which tumour types can be considered to have sufficient evidence of effect for a recommendation and which should be excluded, given the trial evidence of insufficient response. </w:t>
      </w:r>
    </w:p>
    <w:p w14:paraId="269B8FF3" w14:textId="66896B15" w:rsidR="006858C8" w:rsidRPr="002D1DD7" w:rsidRDefault="006858C8" w:rsidP="00D94CF9">
      <w:r w:rsidRPr="002D1DD7">
        <w:t xml:space="preserve">Regardless of how the trial was originally designed and analysed, if outcomes are available for each tumour type, some of the frameworks described in </w:t>
      </w:r>
      <w:r w:rsidR="00B96AE7">
        <w:t>Chapter</w:t>
      </w:r>
      <w:r w:rsidRPr="002D1DD7">
        <w:t xml:space="preserve"> </w:t>
      </w:r>
      <w:r w:rsidR="00D33713" w:rsidRPr="002D1DD7">
        <w:fldChar w:fldCharType="begin"/>
      </w:r>
      <w:r w:rsidR="00D33713" w:rsidRPr="002D1DD7">
        <w:instrText xml:space="preserve"> REF _Ref27389311 \r \h  \* MERGEFORMAT </w:instrText>
      </w:r>
      <w:r w:rsidR="00D33713" w:rsidRPr="002D1DD7">
        <w:fldChar w:fldCharType="separate"/>
      </w:r>
      <w:r w:rsidR="00C663A2">
        <w:t>3</w:t>
      </w:r>
      <w:r w:rsidR="00D33713" w:rsidRPr="002D1DD7">
        <w:fldChar w:fldCharType="end"/>
      </w:r>
      <w:r w:rsidRPr="002D1DD7">
        <w:t xml:space="preserve"> can be useful to explore the potential for heterogeneity in effects across tumours. The adaptive phase can be ignored and the methods can be used to estimate mean outcomes for each histology, with appropriate uncertainty, as well as pooled posterior and predictive mean outcomes which account for the potential lack of uniformity of effect across tumours. The BHM</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r w:rsidRPr="002D1DD7">
        <w:t xml:space="preserve"> is simple to implement and particularly suited to this framework, since it starts from the assumption that treatment effects are exchangeable (rather than identical) across tumours – a more reasonable assumption in the absence of evidence to the contrary – and produces estimates of the level of heterogeneity across tumours and of the pooled treatment effects for each tumour, which can be used to judge whether the assumption of homogeneity is reasonable. In addition, this model allows prediction of the effect in unrepresented tumour types as long as they can also be assumed to have exchangeable effects (i.e. drawn from the same distribution of effects) as the included tumour types. </w:t>
      </w:r>
    </w:p>
    <w:p w14:paraId="38EE2FD9" w14:textId="502200C7" w:rsidR="006858C8" w:rsidRDefault="006858C8" w:rsidP="006858C8">
      <w:r w:rsidRPr="002D1DD7">
        <w:t>The BHM works by assuming that for each tumour type</w:t>
      </w:r>
      <w:r w:rsidR="00D94CF9">
        <w:t xml:space="preserve"> </w:t>
      </w:r>
      <w:r w:rsidR="00D94CF9" w:rsidRPr="00D94CF9">
        <w:rPr>
          <w:i/>
        </w:rPr>
        <w:t>j</w:t>
      </w:r>
      <w:r w:rsidRPr="002D1DD7">
        <w:t xml:space="preserve">, the measures of effect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Pr="002D1DD7">
        <w:t xml:space="preserve"> are exchangeable and follow a Normal distribution</w:t>
      </w:r>
    </w:p>
    <w:p w14:paraId="700C95A1" w14:textId="181F8F8B" w:rsidR="007F7E66" w:rsidRPr="007F7E66" w:rsidRDefault="00C974E5" w:rsidP="007F7E66">
      <w:pPr>
        <w:rPr>
          <w:b/>
          <w:bCs/>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θ</m:t>
                  </m:r>
                </m:e>
                <m:sub>
                  <m:r>
                    <w:rPr>
                      <w:rFonts w:ascii="Cambria Math" w:hAnsi="Cambria Math"/>
                    </w:rPr>
                    <m:t>j</m:t>
                  </m:r>
                </m:sub>
              </m:sSub>
              <m:r>
                <m:rPr>
                  <m:sty m:val="p"/>
                </m:rPr>
                <w:rPr>
                  <w:rFonts w:ascii="Cambria Math" w:hAnsi="Cambria Math"/>
                </w:rPr>
                <m:t xml:space="preserve"> ~Normal</m:t>
              </m:r>
              <m:d>
                <m:dPr>
                  <m:ctrlPr>
                    <w:rPr>
                      <w:rFonts w:ascii="Cambria Math" w:hAnsi="Cambria Math"/>
                    </w:rPr>
                  </m:ctrlPr>
                </m:dPr>
                <m:e>
                  <m:r>
                    <w:rPr>
                      <w:rFonts w:ascii="Cambria Math" w:hAnsi="Cambria Math"/>
                    </w:rPr>
                    <m:t>μ</m:t>
                  </m:r>
                  <m:r>
                    <m:rPr>
                      <m:sty m:val="p"/>
                    </m:rPr>
                    <w:rPr>
                      <w:rFonts w:ascii="Cambria Math" w:hAnsi="Cambria Math"/>
                    </w:rPr>
                    <m:t xml:space="preserve">, </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e>
              </m:d>
              <m:r>
                <m:rPr>
                  <m:sty m:val="b"/>
                </m:rPr>
                <w:rPr>
                  <w:rFonts w:ascii="Cambria Math" w:hAnsi="Cambria Math"/>
                </w:rPr>
                <m:t>#</m:t>
              </m:r>
              <m:d>
                <m:dPr>
                  <m:ctrlPr>
                    <w:rPr>
                      <w:rFonts w:ascii="Cambria Math" w:hAnsi="Cambria Math"/>
                    </w:rPr>
                  </m:ctrlPr>
                </m:dPr>
                <m:e>
                  <m:r>
                    <m:rPr>
                      <m:sty m:val="p"/>
                    </m:rPr>
                    <w:rPr>
                      <w:rFonts w:ascii="Cambria Math" w:hAnsi="Cambria Math"/>
                    </w:rPr>
                    <m:t>1</m:t>
                  </m:r>
                </m:e>
              </m:d>
              <m:ctrlPr>
                <w:rPr>
                  <w:rFonts w:ascii="Cambria Math" w:hAnsi="Cambria Math"/>
                  <w:b/>
                  <w:bCs/>
                </w:rPr>
              </m:ctrlPr>
            </m:e>
          </m:eqArr>
        </m:oMath>
      </m:oMathPara>
    </w:p>
    <w:p w14:paraId="5442DA09" w14:textId="0FBF374E" w:rsidR="006858C8" w:rsidRDefault="006858C8" w:rsidP="006858C8">
      <w:r w:rsidRPr="002D1DD7">
        <w:lastRenderedPageBreak/>
        <w:t xml:space="preserve">where </w:t>
      </w:r>
      <w:r w:rsidR="00D94CF9" w:rsidRPr="00D94CF9">
        <w:rPr>
          <w:rFonts w:cs="Times New Roman"/>
          <w:i/>
        </w:rPr>
        <w:t>σ</w:t>
      </w:r>
      <w:r w:rsidRPr="002D1DD7">
        <w:t xml:space="preserve"> is the standard deviation quantifying the between-tumour heterogeneity and </w:t>
      </w:r>
      <w:r w:rsidR="00D94CF9" w:rsidRPr="00D94CF9">
        <w:rPr>
          <w:rFonts w:cs="Times New Roman"/>
          <w:i/>
        </w:rPr>
        <w:t>μ</w:t>
      </w:r>
      <w:r w:rsidRPr="002D1DD7">
        <w:t xml:space="preserve"> is the pooled mean effect across all tumour types. Prior distributions must be selected for</w:t>
      </w:r>
      <w:r w:rsidR="00D94CF9" w:rsidRPr="002D1DD7">
        <w:t xml:space="preserve"> </w:t>
      </w:r>
      <w:r w:rsidR="00D94CF9" w:rsidRPr="00D94CF9">
        <w:rPr>
          <w:rFonts w:cs="Times New Roman"/>
          <w:i/>
        </w:rPr>
        <w:t>μ</w:t>
      </w:r>
      <w:r w:rsidRPr="002D1DD7">
        <w:t xml:space="preserve"> and </w:t>
      </w:r>
      <w:r w:rsidR="00D94CF9" w:rsidRPr="00D94CF9">
        <w:rPr>
          <w:rFonts w:cs="Times New Roman"/>
          <w:i/>
        </w:rPr>
        <w:t>σ</w:t>
      </w:r>
      <w:r w:rsidR="00D94CF9">
        <w:t xml:space="preserve">, </w:t>
      </w:r>
      <w:r w:rsidRPr="002D1DD7">
        <w:t>and are likely to have some influence on the posterior estimates</w:t>
      </w:r>
      <w:r w:rsidR="00307952">
        <w:t>,</w:t>
      </w:r>
      <w:r w:rsidR="006F7FD7">
        <w:fldChar w:fldCharType="begin">
          <w:fldData xml:space="preserve">PEVuZE5vdGU+PENpdGU+PEF1dGhvcj5UaGFsbDwvQXV0aG9yPjxZZWFyPjIwMDM8L1llYXI+PFJl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=
</w:fldData>
        </w:fldChar>
      </w:r>
      <w:r w:rsidR="000E66DE">
        <w:instrText xml:space="preserve"> ADDIN EN.CITE </w:instrText>
      </w:r>
      <w:r w:rsidR="000E66DE">
        <w:fldChar w:fldCharType="begin">
          <w:fldData xml:space="preserve">PEVuZE5vdGU+PENpdGU+PEF1dGhvcj5UaGFsbDwvQXV0aG9yPjxZZWFyPjIwMDM8L1llYXI+PFJl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=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44, 50</w:t>
      </w:r>
      <w:r w:rsidR="006F7FD7">
        <w:fldChar w:fldCharType="end"/>
      </w:r>
      <w:r w:rsidRPr="002D1DD7">
        <w:t xml:space="preserve"> particularly when a small number of tumour types and patients per tumour are included</w:t>
      </w:r>
      <w:r w:rsidR="00D94CF9">
        <w:t>.</w:t>
      </w:r>
      <w:r w:rsidRPr="002D1DD7">
        <w:t xml:space="preserve"> </w:t>
      </w:r>
      <w:r w:rsidR="00D94CF9">
        <w:t>A</w:t>
      </w:r>
      <w:r w:rsidRPr="002D1DD7">
        <w:t xml:space="preserve"> Uniform(0,5) prior distribution was found to be robust in a simulation study.</w:t>
      </w:r>
      <w:r w:rsidR="006F7FD7">
        <w:fldChar w:fldCharType="begin"/>
      </w:r>
      <w:r w:rsidR="000E66DE">
        <w:instrText xml:space="preserve"> ADDIN EN.CITE &lt;EndNote&gt;&lt;Cite&gt;&lt;Author&gt;Cunanan&lt;/Author&gt;&lt;Year&gt;2019&lt;/Year&gt;&lt;RecNum&gt;3408&lt;/RecNum&gt;&lt;DisplayText&gt;&lt;style face="superscript"&gt;50&lt;/style&gt;&lt;/DisplayText&gt;&lt;record&gt;&lt;rec-number&gt;3408&lt;/rec-number&gt;&lt;foreign-keys&gt;&lt;key app="EN" db-id="dwaevxvazfs2f3ewvzmxrd0k0wasw55p2z2w" timestamp="1569599389"&gt;3408&lt;/key&gt;&lt;/foreign-keys&gt;&lt;ref-type name="Journal Article"&gt;17&lt;/ref-type&gt;&lt;contributors&gt;&lt;authors&gt;&lt;author&gt;Cunanan, Kristen M&lt;/author&gt;&lt;author&gt;Iasonos, Alexia&lt;/author&gt;&lt;author&gt;Shen, Ronglai&lt;/author&gt;&lt;author&gt;Gönen, Mithat&lt;/author&gt;&lt;/authors&gt;&lt;/contributors&gt;&lt;titles&gt;&lt;title&gt;Variance prior specification for a basket trial design using Bayesian hierarchical modeling&lt;/title&gt;&lt;secondary-title&gt;Clinical Trials&lt;/secondary-title&gt;&lt;/titles&gt;&lt;periodical&gt;&lt;full-title&gt;Clinical Trials&lt;/full-title&gt;&lt;abbr-1&gt;Clin Trial&lt;/abbr-1&gt;&lt;/periodical&gt;&lt;pages&gt;142-153&lt;/pages&gt;&lt;volume&gt;16&lt;/volume&gt;&lt;number&gt;2&lt;/number&gt;&lt;keywords&gt;&lt;keyword&gt;Basket trial,phase II,Bayesian method,adaptive design,variance prior&lt;/keyword&gt;&lt;/keywords&gt;&lt;dates&gt;&lt;year&gt;2019&lt;/year&gt;&lt;/dates&gt;&lt;accession-num&gt;30526008&lt;/accession-num&gt;&lt;urls&gt;&lt;/urls&gt;&lt;electronic-resource-num&gt;10.1177/1740774518812779&lt;/electronic-resource-num&gt;&lt;research-notes&gt;https://journals.sagepub.com/doi/abs/10.1177/1740774518812779&lt;/research-notes&gt;&lt;/record&gt;&lt;/Cite&gt;&lt;/EndNote&gt;</w:instrText>
      </w:r>
      <w:r w:rsidR="006F7FD7">
        <w:fldChar w:fldCharType="separate"/>
      </w:r>
      <w:r w:rsidR="006F7FD7" w:rsidRPr="006F7FD7">
        <w:rPr>
          <w:noProof/>
          <w:vertAlign w:val="superscript"/>
        </w:rPr>
        <w:t>50</w:t>
      </w:r>
      <w:r w:rsidR="006F7FD7">
        <w:fldChar w:fldCharType="end"/>
      </w:r>
      <w:r w:rsidRPr="002D1DD7">
        <w:t xml:space="preserve"> Sensitivity of results to the prior distributions should be assessed. When the outcome is binary, e</w:t>
      </w:r>
      <w:r w:rsidR="00307952">
        <w:t>.</w:t>
      </w:r>
      <w:r w:rsidRPr="002D1DD7">
        <w:t>g</w:t>
      </w:r>
      <w:r w:rsidR="00307952">
        <w:t>.</w:t>
      </w:r>
      <w:r w:rsidRPr="002D1DD7">
        <w:t xml:space="preserve"> response,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96703A">
        <w:t xml:space="preserve"> </w:t>
      </w:r>
      <w:r w:rsidRPr="002D1DD7">
        <w:t xml:space="preserve">represents the log-odds of response in tumour site </w:t>
      </w:r>
      <w:r w:rsidR="00D94CF9" w:rsidRPr="00D94CF9">
        <w:rPr>
          <w:i/>
        </w:rPr>
        <w:t>j</w:t>
      </w:r>
      <w:r w:rsidRPr="002D1DD7">
        <w:t xml:space="preserve"> and the probability of response in each site,</w:t>
      </w:r>
      <w:r w:rsidR="00D94CF9">
        <w:t xml:space="preserv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2D1DD7">
        <w:t xml:space="preserve">, is recovered as </w:t>
      </w:r>
    </w:p>
    <w:p w14:paraId="4B49130F" w14:textId="17B1CF66" w:rsidR="007F7E66" w:rsidRPr="007F7E66" w:rsidRDefault="00C974E5" w:rsidP="006858C8">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e>
                      </m:d>
                    </m:e>
                  </m:func>
                </m:num>
                <m:den>
                  <m:r>
                    <w:rPr>
                      <w:rFonts w:ascii="Cambria Math" w:hAnsi="Cambria Math"/>
                    </w:rPr>
                    <m:t>1+</m:t>
                  </m:r>
                  <m:func>
                    <m:funcPr>
                      <m:ctrlPr>
                        <w:rPr>
                          <w:rFonts w:ascii="Cambria Math" w:hAnsi="Cambria Math"/>
                        </w:rPr>
                      </m:ctrlPr>
                    </m:funcPr>
                    <m:fName>
                      <m:r>
                        <m:rPr>
                          <m:sty m:val="p"/>
                        </m:rPr>
                        <w:rPr>
                          <w:rFonts w:ascii="Cambria Math" w:hAnsi="Cambria Math"/>
                        </w:rPr>
                        <m:t>e</m:t>
                      </m:r>
                      <m:r>
                        <m:rPr>
                          <m:sty m:val="p"/>
                        </m:rPr>
                        <w:rPr>
                          <w:rFonts w:ascii="Cambria Math" w:hAnsi="Cambria Math"/>
                        </w:rPr>
                        <m:t>xp</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e>
                      </m:d>
                    </m:e>
                  </m:func>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32CAC566" w14:textId="5DC5FE8E" w:rsidR="006858C8" w:rsidRPr="002D1DD7" w:rsidRDefault="006858C8" w:rsidP="006858C8">
      <w:r w:rsidRPr="002D1DD7">
        <w:t>The probabilities that the response rates for each tumour type are at least of a certain magnitude can also be calculated and heterogeneity in these probabilities can guide conclusions on the plausibility of a homogeneous response. Typically</w:t>
      </w:r>
      <w:r w:rsidR="007729F0">
        <w:t>,</w:t>
      </w:r>
      <w:r w:rsidRPr="002D1DD7">
        <w:t xml:space="preserve"> a value of 30% is used to define a meaningful response, but any other value can be used, depending on context.</w:t>
      </w:r>
    </w:p>
    <w:p w14:paraId="2803A9DB" w14:textId="79993725" w:rsidR="006858C8" w:rsidRDefault="006858C8" w:rsidP="006858C8">
      <w:r w:rsidRPr="002D1DD7">
        <w:t xml:space="preserve">In the case where the tumour types included in the trial are not reflective of the entire licensed indication, the predictive distribution of effect (e.g. the probability response) in a new histology, </w:t>
      </w:r>
      <m:oMath>
        <m:sSub>
          <m:sSubPr>
            <m:ctrlPr>
              <w:rPr>
                <w:rFonts w:ascii="Cambria Math" w:hAnsi="Cambria Math"/>
              </w:rPr>
            </m:ctrlPr>
          </m:sSubPr>
          <m:e>
            <m:r>
              <w:rPr>
                <w:rFonts w:ascii="Cambria Math" w:hAnsi="Cambria Math"/>
              </w:rPr>
              <m:t>θ</m:t>
            </m:r>
          </m:e>
          <m:sub>
            <m:r>
              <w:rPr>
                <w:rFonts w:ascii="Cambria Math" w:hAnsi="Cambria Math"/>
              </w:rPr>
              <m:t>NEW</m:t>
            </m:r>
          </m:sub>
        </m:sSub>
      </m:oMath>
      <w:r w:rsidRPr="002D1DD7">
        <w:t>, can be obtained as</w:t>
      </w:r>
    </w:p>
    <w:p w14:paraId="65C38DED" w14:textId="6794AA8D" w:rsidR="00492A8F" w:rsidRPr="007F7E66" w:rsidRDefault="00C974E5" w:rsidP="00C6189A">
      <w:pPr>
        <w:rPr>
          <w:b/>
          <w:bCs/>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θ</m:t>
                  </m:r>
                </m:e>
                <m:sub>
                  <m:r>
                    <w:rPr>
                      <w:rFonts w:ascii="Cambria Math" w:hAnsi="Cambria Math"/>
                    </w:rPr>
                    <m:t>NEW</m:t>
                  </m:r>
                </m:sub>
              </m:sSub>
              <m:r>
                <m:rPr>
                  <m:sty m:val="p"/>
                </m:rPr>
                <w:rPr>
                  <w:rFonts w:ascii="Cambria Math" w:hAnsi="Cambria Math"/>
                </w:rPr>
                <m:t xml:space="preserve"> ~Normal</m:t>
              </m:r>
              <m:d>
                <m:dPr>
                  <m:ctrlPr>
                    <w:rPr>
                      <w:rFonts w:ascii="Cambria Math" w:hAnsi="Cambria Math"/>
                    </w:rPr>
                  </m:ctrlPr>
                </m:dPr>
                <m:e>
                  <m:r>
                    <w:rPr>
                      <w:rFonts w:ascii="Cambria Math" w:hAnsi="Cambria Math"/>
                    </w:rPr>
                    <m:t>μ</m:t>
                  </m:r>
                  <m:r>
                    <m:rPr>
                      <m:sty m:val="p"/>
                    </m:rPr>
                    <w:rPr>
                      <w:rFonts w:ascii="Cambria Math" w:hAnsi="Cambria Math"/>
                    </w:rPr>
                    <m:t xml:space="preserve">, </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e>
              </m:d>
              <m:r>
                <m:rPr>
                  <m:sty m:val="b"/>
                </m:rPr>
                <w:rPr>
                  <w:rFonts w:ascii="Cambria Math" w:hAnsi="Cambria Math"/>
                </w:rPr>
                <m:t>#</m:t>
              </m:r>
              <m:d>
                <m:dPr>
                  <m:ctrlPr>
                    <w:rPr>
                      <w:rFonts w:ascii="Cambria Math" w:hAnsi="Cambria Math"/>
                    </w:rPr>
                  </m:ctrlPr>
                </m:dPr>
                <m:e>
                  <m:r>
                    <w:rPr>
                      <w:rFonts w:ascii="Cambria Math" w:hAnsi="Cambria Math"/>
                    </w:rPr>
                    <m:t>3</m:t>
                  </m:r>
                </m:e>
              </m:d>
              <m:ctrlPr>
                <w:rPr>
                  <w:rFonts w:ascii="Cambria Math" w:hAnsi="Cambria Math"/>
                  <w:b/>
                  <w:bCs/>
                </w:rPr>
              </m:ctrlPr>
            </m:e>
          </m:eqArr>
        </m:oMath>
      </m:oMathPara>
    </w:p>
    <w:p w14:paraId="748C6F53" w14:textId="509D9F64" w:rsidR="006858C8" w:rsidRPr="002D1DD7" w:rsidRDefault="006858C8" w:rsidP="006858C8">
      <w:r w:rsidRPr="002D1DD7">
        <w:t xml:space="preserve">This will reflect the full degree of uncertainty both due to the sample size and the observed heterogeneity in effects across observed tumour sites. The resulting distribution represents the predictive probability of response in a </w:t>
      </w:r>
      <w:r w:rsidR="00307952">
        <w:t>‘</w:t>
      </w:r>
      <w:r w:rsidRPr="002D1DD7">
        <w:t>new</w:t>
      </w:r>
      <w:r w:rsidR="00307952">
        <w:t>’</w:t>
      </w:r>
      <w:r w:rsidRPr="002D1DD7">
        <w:t>, i.e. unrepresented tumour type.</w:t>
      </w:r>
    </w:p>
    <w:p w14:paraId="4A97ABE7" w14:textId="7CCA20FF" w:rsidR="006858C8" w:rsidRPr="002D1DD7" w:rsidRDefault="006858C8" w:rsidP="006858C8">
      <w:r w:rsidRPr="002D1DD7">
        <w:t>Although in theory the BHM can be applied to dichotomous (e.g. tumour response) or time-to-event outcome</w:t>
      </w:r>
      <w:r w:rsidR="00C3231F" w:rsidRPr="002D1DD7">
        <w:t>s</w:t>
      </w:r>
      <w:r w:rsidRPr="002D1DD7">
        <w:t xml:space="preserve"> (e.g. PFS and OS),</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r w:rsidRPr="002D1DD7">
        <w:t xml:space="preserve"> the assumption of exchangeability of the effects of treatment on survival outcomes across tumours outcomes is harder to justify than the equivalent assumption made for the effects of treatment on response. As noted in Section </w:t>
      </w:r>
      <w:r w:rsidR="00D33713" w:rsidRPr="002D1DD7">
        <w:fldChar w:fldCharType="begin"/>
      </w:r>
      <w:r w:rsidR="00D33713" w:rsidRPr="002D1DD7">
        <w:instrText xml:space="preserve"> REF _Ref27389311 \r \h  \* MERGEFORMAT </w:instrText>
      </w:r>
      <w:r w:rsidR="00D33713" w:rsidRPr="002D1DD7">
        <w:fldChar w:fldCharType="separate"/>
      </w:r>
      <w:r w:rsidR="00C663A2">
        <w:t>3</w:t>
      </w:r>
      <w:r w:rsidR="00D33713" w:rsidRPr="002D1DD7">
        <w:fldChar w:fldCharType="end"/>
      </w:r>
      <w:r w:rsidRPr="002D1DD7">
        <w:t>, a critical consideration in designing basket trials is the heterogeneity in survival prognosis across the different histologies, and this is the motivation for evaluating measures such as standardised response rates which reflect tumour shrinkage, rather than survival outcomes.</w:t>
      </w:r>
      <w:r w:rsidR="006F7FD7">
        <w:fldChar w:fldCharType="begin">
          <w:fldData xml:space="preserve">PEVuZE5vdGU+PENpdGU+PEF1dGhvcj5SZW5mcm88L0F1dGhvcj48WWVhcj4yMDE4PC9ZZWFyPjxS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</w:fldData>
        </w:fldChar>
      </w:r>
      <w:r w:rsidR="000E66DE">
        <w:instrText xml:space="preserve"> ADDIN EN.CITE </w:instrText>
      </w:r>
      <w:r w:rsidR="000E66DE">
        <w:fldChar w:fldCharType="begin">
          <w:fldData xml:space="preserve">PEVuZE5vdGU+PENpdGU+PEF1dGhvcj5SZW5mcm88L0F1dGhvcj48WWVhcj4yMDE4PC9ZZWFyPjxS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</w:fldData>
        </w:fldChar>
      </w:r>
      <w:r w:rsidR="000E66DE">
        <w:instrText xml:space="preserve"> ADDIN EN.CITE.DATA </w:instrText>
      </w:r>
      <w:r w:rsidR="000E66DE">
        <w:fldChar w:fldCharType="end"/>
      </w:r>
      <w:r w:rsidR="006F7FD7">
        <w:fldChar w:fldCharType="separate"/>
      </w:r>
      <w:r w:rsidR="006F7FD7" w:rsidRPr="006F7FD7">
        <w:rPr>
          <w:noProof/>
          <w:vertAlign w:val="superscript"/>
        </w:rPr>
        <w:t>27, 28</w:t>
      </w:r>
      <w:r w:rsidR="006F7FD7">
        <w:fldChar w:fldCharType="end"/>
      </w:r>
      <w:r w:rsidRPr="002D1DD7">
        <w:t xml:space="preserve"> In addition, the nature of the survival data available, which tends to be immature and based on only a few patients per tumour type, will make estimation of a hierarchical model challenging, unless informative prior distributions are used on key parameters.</w:t>
      </w:r>
    </w:p>
    <w:p w14:paraId="37AA945C" w14:textId="39DA60E3" w:rsidR="006858C8" w:rsidRPr="002D1DD7" w:rsidRDefault="006858C8">
      <w:r w:rsidRPr="002D1DD7">
        <w:t xml:space="preserve">The model proposed by Leon-Novelo </w:t>
      </w:r>
      <w:r w:rsidRPr="002D1DD7">
        <w:rPr>
          <w:i/>
        </w:rPr>
        <w:t>et al</w:t>
      </w:r>
      <w:r w:rsidRPr="002D1DD7">
        <w:t>.</w:t>
      </w:r>
      <w:r w:rsidR="006F7FD7">
        <w:fldChar w:fldCharType="begin"/>
      </w:r>
      <w:r w:rsidR="000E66DE">
        <w:instrText xml:space="preserve"> ADDIN EN.CITE &lt;EndNote&gt;&lt;Cite&gt;&lt;Author&gt;Leon-Novelo&lt;/Author&gt;&lt;Year&gt;2012&lt;/Year&gt;&lt;RecNum&gt;3449&lt;/RecNum&gt;&lt;DisplayText&gt;&lt;style face="superscript"&gt;51&lt;/style&gt;&lt;/DisplayText&gt;&lt;record&gt;&lt;rec-number&gt;3449&lt;/rec-number&gt;&lt;foreign-keys&gt;&lt;key app="EN" db-id="dwaevxvazfs2f3ewvzmxrd0k0wasw55p2z2w" timestamp="1570035404"&gt;3449&lt;/key&gt;&lt;/foreign-keys&gt;&lt;ref-type name="Journal Article"&gt;17&lt;/ref-type&gt;&lt;contributors&gt;&lt;authors&gt;&lt;author&gt;Leon-Novelo, L. G.&lt;/author&gt;&lt;author&gt;Bekele, B. Nebiyou&lt;/author&gt;&lt;author&gt;Müller, P.&lt;/author&gt;&lt;author&gt;Quintana, F.&lt;/author&gt;&lt;author&gt;Wathen, K.&lt;/author&gt;&lt;/authors&gt;&lt;/contributors&gt;&lt;titles&gt;&lt;title&gt;Borrowing strength with nonexchangeable priors over subpopulations&lt;/title&gt;&lt;secondary-title&gt;Biometrics&lt;/secondary-title&gt;&lt;/titles&gt;&lt;periodical&gt;&lt;full-title&gt;Biometrics&lt;/full-title&gt;&lt;abbr-1&gt;Biometrics&lt;/abbr-1&gt;&lt;/periodical&gt;&lt;pages&gt;550-558&lt;/pages&gt;&lt;volume&gt;68&lt;/volume&gt;&lt;number&gt;2&lt;/number&gt;&lt;dates&gt;&lt;year&gt;2012&lt;/year&gt;&lt;/dates&gt;&lt;isbn&gt;0006-341X&lt;/isbn&gt;&lt;urls&gt;&lt;/urls&gt;&lt;electronic-resource-num&gt;10.1111/j.1541-0420.2011.01693.x&lt;/electronic-resource-num&gt;&lt;research-notes&gt;https://onlinelibrary.wiley.com/doi/abs/10.1111/j.1541-0420.2011.01693.x&lt;/research-notes&gt;&lt;/record&gt;&lt;/Cite&gt;&lt;/EndNote&gt;</w:instrText>
      </w:r>
      <w:r w:rsidR="006F7FD7">
        <w:fldChar w:fldCharType="separate"/>
      </w:r>
      <w:r w:rsidR="006F7FD7" w:rsidRPr="006F7FD7">
        <w:rPr>
          <w:noProof/>
          <w:vertAlign w:val="superscript"/>
        </w:rPr>
        <w:t>51</w:t>
      </w:r>
      <w:r w:rsidR="006F7FD7">
        <w:fldChar w:fldCharType="end"/>
      </w:r>
      <w:r w:rsidRPr="002D1DD7">
        <w:t xml:space="preserve"> can be used in the scenario where it is not expected that all subgroups will be </w:t>
      </w:r>
      <w:r w:rsidRPr="00B96AE7">
        <w:rPr>
          <w:i/>
          <w:iCs/>
        </w:rPr>
        <w:t>a priori</w:t>
      </w:r>
      <w:r w:rsidRPr="002D1DD7">
        <w:t xml:space="preserve"> exchangeable (Section </w:t>
      </w:r>
      <w:r w:rsidR="00D33713" w:rsidRPr="002D1DD7">
        <w:fldChar w:fldCharType="begin"/>
      </w:r>
      <w:r w:rsidR="00D33713" w:rsidRPr="002D1DD7">
        <w:instrText xml:space="preserve"> REF _Ref27389311 \r \h  \* MERGEFORMAT </w:instrText>
      </w:r>
      <w:r w:rsidR="00D33713" w:rsidRPr="002D1DD7">
        <w:fldChar w:fldCharType="separate"/>
      </w:r>
      <w:r w:rsidR="00C663A2">
        <w:t>3</w:t>
      </w:r>
      <w:r w:rsidR="00D33713" w:rsidRPr="002D1DD7">
        <w:fldChar w:fldCharType="end"/>
      </w:r>
      <w:r w:rsidRPr="002D1DD7">
        <w:t xml:space="preserve">) and there is a particular tumour characteristic (e.g. prognosis or type of </w:t>
      </w:r>
      <w:r w:rsidRPr="00B96AE7">
        <w:rPr>
          <w:iCs/>
        </w:rPr>
        <w:t>NTRK</w:t>
      </w:r>
      <w:r w:rsidRPr="002D1DD7">
        <w:t xml:space="preserve"> fusion) that defines exchangeability so that different categories can </w:t>
      </w:r>
      <w:r w:rsidRPr="002D1DD7">
        <w:lastRenderedPageBreak/>
        <w:t xml:space="preserve">be pre-defined (e.g. poor, intermediate, good prognosis). If these </w:t>
      </w:r>
      <w:r w:rsidRPr="00B96AE7">
        <w:rPr>
          <w:i/>
          <w:iCs/>
        </w:rPr>
        <w:t>a priori</w:t>
      </w:r>
      <w:r w:rsidRPr="002D1DD7">
        <w:t xml:space="preserve"> exchangeable categories can be pre-defined, then the approach is similar to the BHM and a prediction for unrepresented tumour types in each category can be made. </w:t>
      </w:r>
      <w:r w:rsidR="007729F0">
        <w:t>However, this</w:t>
      </w:r>
      <w:r w:rsidRPr="002D1DD7">
        <w:t xml:space="preserve"> would no longer generate a truly histology-independent recommendation, as results might differ across tumours in different categories. </w:t>
      </w:r>
    </w:p>
    <w:p w14:paraId="417EF6C5" w14:textId="2883EB71" w:rsidR="00223273" w:rsidRPr="002D1DD7" w:rsidRDefault="006858C8" w:rsidP="005F28AE">
      <w:r w:rsidRPr="002D1DD7">
        <w:t>Hybrid exchangeable/non</w:t>
      </w:r>
      <w:r w:rsidR="002F4B6B">
        <w:t>-</w:t>
      </w:r>
      <w:r w:rsidRPr="002D1DD7">
        <w:t>exchangeable models</w:t>
      </w:r>
      <w:r w:rsidR="00C3231F" w:rsidRPr="002D1DD7">
        <w:t>,</w:t>
      </w:r>
      <w:r w:rsidR="006F7FD7">
        <w:fldChar w:fldCharType="begin">
          <w:fldData xml:space="preserve">PEVuZE5vdGU+PENpdGU+PEF1dGhvcj5OZXVlbnNjaHdhbmRlcjwvQXV0aG9yPjxZZWFyPjIwMTY8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==
</w:fldData>
        </w:fldChar>
      </w:r>
      <w:r w:rsidR="000E66DE">
        <w:instrText xml:space="preserve"> ADDIN EN.CITE </w:instrText>
      </w:r>
      <w:r w:rsidR="000E66DE">
        <w:fldChar w:fldCharType="begin">
          <w:fldData xml:space="preserve">PEVuZE5vdGU+PENpdGU+PEF1dGhvcj5OZXVlbnNjaHdhbmRlcjwvQXV0aG9yPjxZZWFyPjIwMTY8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==
</w:fldData>
        </w:fldChar>
      </w:r>
      <w:r w:rsidR="000E66DE">
        <w:instrText xml:space="preserve"> ADDIN EN.CITE.DATA </w:instrText>
      </w:r>
      <w:r w:rsidR="000E66DE">
        <w:fldChar w:fldCharType="end"/>
      </w:r>
      <w:r w:rsidR="006F7FD7">
        <w:fldChar w:fldCharType="separate"/>
      </w:r>
      <w:r w:rsidR="006F7FD7" w:rsidRPr="006F7FD7">
        <w:rPr>
          <w:noProof/>
          <w:vertAlign w:val="superscript"/>
        </w:rPr>
        <w:t>49, 51</w:t>
      </w:r>
      <w:r w:rsidR="006F7FD7">
        <w:fldChar w:fldCharType="end"/>
      </w:r>
      <w:r w:rsidRPr="002D1DD7">
        <w:t xml:space="preserve"> where exchangeability is determined by the data</w:t>
      </w:r>
      <w:r w:rsidR="00C3231F" w:rsidRPr="002D1DD7">
        <w:t>,</w:t>
      </w:r>
      <w:r w:rsidRPr="002D1DD7">
        <w:t xml:space="preserve"> are less relevant as exploratory models for HTA as their results would be harder to interpret. This is because exchangeability cannot be assumed to apply across all tumour types and predictive distributions of effects can no longer be assumed to represent the expected effect in unrepresented tumour types, since by definition these are not necessarily fully exchangeable with the included tumour types. In addition</w:t>
      </w:r>
      <w:r w:rsidR="00296A72">
        <w:t>,</w:t>
      </w:r>
      <w:r w:rsidRPr="002D1DD7">
        <w:t xml:space="preserve"> in an </w:t>
      </w:r>
      <w:r w:rsidR="0096703A" w:rsidRPr="002D1DD7">
        <w:t>exchangeable/non</w:t>
      </w:r>
      <w:r w:rsidR="002F4B6B">
        <w:t>-</w:t>
      </w:r>
      <w:r w:rsidR="0096703A" w:rsidRPr="002D1DD7">
        <w:t>exchangeable</w:t>
      </w:r>
      <w:r w:rsidRPr="002D1DD7">
        <w:t xml:space="preserve"> scenario, a </w:t>
      </w:r>
      <w:r w:rsidR="00555827">
        <w:t>histology-independent</w:t>
      </w:r>
      <w:r w:rsidRPr="002D1DD7">
        <w:t xml:space="preserve"> recommendation would be hard to justify as the assumption would be that effects differ across tumour types, which could impact on effectiveness and cost-effectiveness estimates.</w:t>
      </w:r>
    </w:p>
    <w:p w14:paraId="7343BAEC" w14:textId="77777777" w:rsidR="008F0A2F" w:rsidRPr="002D1DD7" w:rsidRDefault="008F0A2F" w:rsidP="0096703A">
      <w:pPr>
        <w:pStyle w:val="Heading3"/>
      </w:pPr>
      <w:bookmarkStart w:id="144" w:name="_Ref27559353"/>
      <w:bookmarkStart w:id="145" w:name="_Toc33776200"/>
      <w:r w:rsidRPr="002D1DD7">
        <w:t>Exploring heterogeneity in response – case study</w:t>
      </w:r>
      <w:bookmarkEnd w:id="144"/>
      <w:bookmarkEnd w:id="145"/>
    </w:p>
    <w:p w14:paraId="6DAE3759" w14:textId="11324BEE" w:rsidR="008F0A2F" w:rsidRPr="002D1DD7" w:rsidRDefault="008F0A2F" w:rsidP="0096703A">
      <w:r w:rsidRPr="002D1DD7">
        <w:t xml:space="preserve">To demonstrate the impact of allowing for heterogeneity in response and to explore the potential heterogeneity in effects across tumours, response data </w:t>
      </w:r>
      <w:r w:rsidR="00296A72">
        <w:t>were</w:t>
      </w:r>
      <w:r w:rsidR="00296A72" w:rsidRPr="002D1DD7">
        <w:t xml:space="preserve"> </w:t>
      </w:r>
      <w:r w:rsidRPr="002D1DD7">
        <w:t>analysed using a BHM framework.</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p>
    <w:p w14:paraId="4F8E4F5C" w14:textId="724C399B" w:rsidR="008F0A2F" w:rsidRPr="002D1DD7" w:rsidRDefault="008F0A2F">
      <w:r w:rsidRPr="002D1DD7">
        <w:t xml:space="preserve">For the purpose of this analysis, the response data used was the published efficacy evidence available for the </w:t>
      </w:r>
      <w:r w:rsidR="00296A72">
        <w:t>T</w:t>
      </w:r>
      <w:r w:rsidR="0086402E">
        <w:t>rk-</w:t>
      </w:r>
      <w:r w:rsidRPr="002D1DD7">
        <w:t>inhibitor,</w:t>
      </w:r>
      <w:r w:rsidR="0003530F">
        <w:t xml:space="preserve"> l</w:t>
      </w:r>
      <w:r w:rsidRPr="002D1DD7">
        <w:t>arotrectinib.</w:t>
      </w:r>
      <w:r w:rsidR="006F7FD7">
        <w:fldChar w:fldCharType="begin">
          <w:fldData xml:space="preserve">dmVyc2l0eSBvZiBXYXNoaW5ndG9uLVNlYXR0bGUgQ2FuY2VyIENhcmUgQWxsaWFuY2UgKEMuQi4p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</w:fldData>
        </w:fldChar>
      </w:r>
      <w:r w:rsidR="000E66DE">
        <w:instrText xml:space="preserve"> ADDIN EN.CITE </w:instrText>
      </w:r>
      <w:r w:rsidR="000E66DE">
        <w:fldChar w:fldCharType="begin">
          <w:fldData xml:space="preserve">PEVuZE5vdGU+PENpdGU+PEF1dGhvcj5Ecmlsb248L0F1dGhvcj48WWVhcj4yMDE4PC9ZZWFyPjxS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==
</w:fldData>
        </w:fldChar>
      </w:r>
      <w:r w:rsidR="000E66DE">
        <w:instrText xml:space="preserve"> ADDIN EN.CITE.DATA </w:instrText>
      </w:r>
      <w:r w:rsidR="000E66DE">
        <w:fldChar w:fldCharType="end"/>
      </w:r>
      <w:r w:rsidR="000E66DE">
        <w:fldChar w:fldCharType="begin">
          <w:fldData xml:space="preserve">dGUsIFdlc3QgVmlyZ2luaWEgVW5pdmVyc2l0eSwgTW9yZ2FudG93biAoUC5DLk0uKS4mI3hEO0Zl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==
</w:fldData>
        </w:fldChar>
      </w:r>
      <w:r w:rsidR="000E66DE">
        <w:instrText xml:space="preserve"> ADDIN EN.CITE.DATA </w:instrText>
      </w:r>
      <w:r w:rsidR="000E66DE">
        <w:fldChar w:fldCharType="end"/>
      </w:r>
      <w:r w:rsidR="000E66DE">
        <w:fldChar w:fldCharType="begin">
          <w:fldData xml:space="preserve">dmVyc2l0eSBvZiBXYXNoaW5ndG9uLVNlYXR0bGUgQ2FuY2VyIENhcmUgQWxsaWFuY2UgKEMuQi4p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</w:fldData>
        </w:fldChar>
      </w:r>
      <w:r w:rsidR="000E66DE">
        <w:instrText xml:space="preserve"> ADDIN EN.CITE.DATA </w:instrText>
      </w:r>
      <w:r w:rsidR="000E66DE">
        <w:fldChar w:fldCharType="end"/>
      </w:r>
      <w:r w:rsidR="006F7FD7">
        <w:fldChar w:fldCharType="separate"/>
      </w:r>
      <w:r w:rsidR="004D5B2B" w:rsidRPr="004D5B2B">
        <w:rPr>
          <w:noProof/>
          <w:vertAlign w:val="superscript"/>
        </w:rPr>
        <w:t>3, 148</w:t>
      </w:r>
      <w:r w:rsidR="006F7FD7">
        <w:fldChar w:fldCharType="end"/>
      </w:r>
      <w:r w:rsidRPr="002D1DD7">
        <w:t xml:space="preserve"> </w:t>
      </w:r>
      <w:r w:rsidRPr="002D1DD7">
        <w:rPr>
          <w:shd w:val="clear" w:color="auto" w:fill="FFFFFF"/>
        </w:rPr>
        <w:t xml:space="preserve">The results, presented as a </w:t>
      </w:r>
      <w:r w:rsidRPr="002D1DD7">
        <w:rPr>
          <w:i/>
        </w:rPr>
        <w:t>post hoc</w:t>
      </w:r>
      <w:r w:rsidRPr="002D1DD7">
        <w:t xml:space="preserve"> pooling</w:t>
      </w:r>
      <w:r w:rsidRPr="002D1DD7">
        <w:rPr>
          <w:shd w:val="clear" w:color="auto" w:fill="FFFFFF"/>
        </w:rPr>
        <w:t xml:space="preserve"> of 55 patients covering 12 tumour types from three </w:t>
      </w:r>
      <w:r w:rsidRPr="002D1DD7">
        <w:t xml:space="preserve">non-randomised single-arm Phase I/II basket studies, including the number of patients and responses by tumour type can be seen in </w:t>
      </w:r>
      <w:r w:rsidRPr="002D1DD7">
        <w:fldChar w:fldCharType="begin"/>
      </w:r>
      <w:r w:rsidRPr="002D1DD7">
        <w:instrText xml:space="preserve"> REF _Ref15835146 \h  \* MERGEFORMAT </w:instrText>
      </w:r>
      <w:r w:rsidRPr="002D1DD7">
        <w:fldChar w:fldCharType="separate"/>
      </w:r>
      <w:r w:rsidR="00C9471F" w:rsidRPr="002D1DD7">
        <w:t xml:space="preserve">Table </w:t>
      </w:r>
      <w:r w:rsidR="00C9471F">
        <w:t>11</w:t>
      </w:r>
      <w:r w:rsidRPr="002D1DD7">
        <w:fldChar w:fldCharType="end"/>
      </w:r>
      <w:r w:rsidRPr="002D1DD7">
        <w:t xml:space="preserve">. </w:t>
      </w:r>
    </w:p>
    <w:p w14:paraId="21876A58" w14:textId="03553164" w:rsidR="008F0A2F" w:rsidRPr="002D1DD7" w:rsidRDefault="008F0A2F" w:rsidP="0096703A">
      <w:pPr>
        <w:pStyle w:val="Caption"/>
      </w:pPr>
      <w:bookmarkStart w:id="146" w:name="_Ref15835146"/>
      <w:bookmarkStart w:id="147" w:name="_Toc34033525"/>
      <w:r w:rsidRPr="002D1DD7">
        <w:t xml:space="preserve">Table </w:t>
      </w:r>
      <w:r w:rsidR="00C974E5">
        <w:fldChar w:fldCharType="begin"/>
      </w:r>
      <w:r w:rsidR="00C974E5">
        <w:instrText xml:space="preserve"> SEQ Table \* ARABIC </w:instrText>
      </w:r>
      <w:r w:rsidR="00C974E5">
        <w:fldChar w:fldCharType="separate"/>
      </w:r>
      <w:r w:rsidR="00204911">
        <w:rPr>
          <w:noProof/>
        </w:rPr>
        <w:t>11</w:t>
      </w:r>
      <w:r w:rsidR="00C974E5">
        <w:rPr>
          <w:noProof/>
        </w:rPr>
        <w:fldChar w:fldCharType="end"/>
      </w:r>
      <w:bookmarkEnd w:id="146"/>
      <w:r w:rsidR="008C7423">
        <w:rPr>
          <w:noProof/>
        </w:rPr>
        <w:t>:</w:t>
      </w:r>
      <w:r w:rsidRPr="002D1DD7">
        <w:t xml:space="preserve"> FDA Results of ORR by Tumour Type</w:t>
      </w:r>
      <w:bookmarkEnd w:id="147"/>
    </w:p>
    <w:tbl>
      <w:tblPr>
        <w:tblW w:w="4812" w:type="pct"/>
        <w:jc w:val="center"/>
        <w:tblLayout w:type="fixed"/>
        <w:tblLook w:val="04A0" w:firstRow="1" w:lastRow="0" w:firstColumn="1" w:lastColumn="0" w:noHBand="0" w:noVBand="1"/>
      </w:tblPr>
      <w:tblGrid>
        <w:gridCol w:w="993"/>
        <w:gridCol w:w="2124"/>
        <w:gridCol w:w="1845"/>
        <w:gridCol w:w="1532"/>
        <w:gridCol w:w="2183"/>
      </w:tblGrid>
      <w:tr w:rsidR="008F0A2F" w:rsidRPr="0096703A" w14:paraId="76A90E2E" w14:textId="77777777" w:rsidTr="00C506B9">
        <w:trPr>
          <w:trHeight w:val="283"/>
          <w:jc w:val="center"/>
        </w:trPr>
        <w:tc>
          <w:tcPr>
            <w:tcW w:w="572" w:type="pct"/>
            <w:vMerge w:val="restart"/>
            <w:tcBorders>
              <w:top w:val="single" w:sz="4" w:space="0" w:color="auto"/>
              <w:left w:val="single" w:sz="4" w:space="0" w:color="auto"/>
              <w:right w:val="single" w:sz="4" w:space="0" w:color="auto"/>
            </w:tcBorders>
            <w:shd w:val="clear" w:color="auto" w:fill="auto"/>
            <w:noWrap/>
            <w:vAlign w:val="center"/>
          </w:tcPr>
          <w:p w14:paraId="6307775A"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Tumour</w:t>
            </w:r>
          </w:p>
          <w:p w14:paraId="307A992E"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ID</w:t>
            </w:r>
          </w:p>
        </w:tc>
        <w:tc>
          <w:tcPr>
            <w:tcW w:w="1224" w:type="pct"/>
            <w:vMerge w:val="restart"/>
            <w:tcBorders>
              <w:top w:val="single" w:sz="4" w:space="0" w:color="auto"/>
              <w:left w:val="nil"/>
              <w:right w:val="single" w:sz="4" w:space="0" w:color="auto"/>
            </w:tcBorders>
            <w:shd w:val="clear" w:color="auto" w:fill="auto"/>
            <w:noWrap/>
            <w:vAlign w:val="center"/>
          </w:tcPr>
          <w:p w14:paraId="6A53393F"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Tumour Type</w:t>
            </w:r>
          </w:p>
        </w:tc>
        <w:tc>
          <w:tcPr>
            <w:tcW w:w="1063" w:type="pct"/>
            <w:vMerge w:val="restart"/>
            <w:tcBorders>
              <w:top w:val="single" w:sz="4" w:space="0" w:color="auto"/>
              <w:left w:val="nil"/>
              <w:right w:val="single" w:sz="4" w:space="0" w:color="auto"/>
            </w:tcBorders>
            <w:shd w:val="clear" w:color="auto" w:fill="auto"/>
            <w:noWrap/>
            <w:vAlign w:val="center"/>
          </w:tcPr>
          <w:p w14:paraId="15C8274A"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Patients (n)</w:t>
            </w:r>
          </w:p>
        </w:tc>
        <w:tc>
          <w:tcPr>
            <w:tcW w:w="2141" w:type="pct"/>
            <w:gridSpan w:val="2"/>
            <w:tcBorders>
              <w:top w:val="single" w:sz="4" w:space="0" w:color="auto"/>
              <w:left w:val="nil"/>
              <w:bottom w:val="single" w:sz="4" w:space="0" w:color="auto"/>
              <w:right w:val="single" w:sz="4" w:space="0" w:color="auto"/>
            </w:tcBorders>
            <w:shd w:val="clear" w:color="auto" w:fill="auto"/>
            <w:noWrap/>
            <w:vAlign w:val="center"/>
          </w:tcPr>
          <w:p w14:paraId="3A980FF5" w14:textId="77777777" w:rsidR="008F0A2F" w:rsidRPr="0096703A" w:rsidRDefault="008F0A2F" w:rsidP="0096703A">
            <w:pPr>
              <w:pStyle w:val="NoSpacing"/>
              <w:contextualSpacing/>
              <w:jc w:val="center"/>
              <w:rPr>
                <w:rFonts w:cs="Times New Roman"/>
                <w:sz w:val="20"/>
                <w:szCs w:val="20"/>
                <w:lang w:eastAsia="en-GB"/>
              </w:rPr>
            </w:pPr>
            <w:r w:rsidRPr="0096703A">
              <w:rPr>
                <w:rFonts w:cs="Times New Roman"/>
                <w:sz w:val="20"/>
                <w:szCs w:val="20"/>
                <w:lang w:eastAsia="en-GB"/>
              </w:rPr>
              <w:t>ORR</w:t>
            </w:r>
          </w:p>
        </w:tc>
      </w:tr>
      <w:tr w:rsidR="008F0A2F" w:rsidRPr="0096703A" w14:paraId="0DDB7DA8" w14:textId="77777777" w:rsidTr="00C506B9">
        <w:trPr>
          <w:trHeight w:val="283"/>
          <w:jc w:val="center"/>
        </w:trPr>
        <w:tc>
          <w:tcPr>
            <w:tcW w:w="572" w:type="pct"/>
            <w:vMerge/>
            <w:tcBorders>
              <w:left w:val="single" w:sz="4" w:space="0" w:color="auto"/>
              <w:bottom w:val="single" w:sz="4" w:space="0" w:color="auto"/>
              <w:right w:val="single" w:sz="4" w:space="0" w:color="auto"/>
            </w:tcBorders>
            <w:shd w:val="clear" w:color="auto" w:fill="auto"/>
            <w:noWrap/>
            <w:vAlign w:val="center"/>
            <w:hideMark/>
          </w:tcPr>
          <w:p w14:paraId="4E91F54B" w14:textId="77777777" w:rsidR="008F0A2F" w:rsidRPr="0096703A" w:rsidRDefault="008F0A2F" w:rsidP="0096703A">
            <w:pPr>
              <w:pStyle w:val="NoSpacing"/>
              <w:contextualSpacing/>
              <w:rPr>
                <w:rFonts w:cs="Times New Roman"/>
                <w:sz w:val="20"/>
                <w:szCs w:val="20"/>
                <w:lang w:eastAsia="en-GB"/>
              </w:rPr>
            </w:pPr>
          </w:p>
        </w:tc>
        <w:tc>
          <w:tcPr>
            <w:tcW w:w="1224" w:type="pct"/>
            <w:vMerge/>
            <w:tcBorders>
              <w:left w:val="nil"/>
              <w:bottom w:val="single" w:sz="4" w:space="0" w:color="auto"/>
              <w:right w:val="single" w:sz="4" w:space="0" w:color="auto"/>
            </w:tcBorders>
            <w:shd w:val="clear" w:color="auto" w:fill="auto"/>
            <w:noWrap/>
            <w:vAlign w:val="center"/>
            <w:hideMark/>
          </w:tcPr>
          <w:p w14:paraId="507C1E61" w14:textId="77777777" w:rsidR="008F0A2F" w:rsidRPr="0096703A" w:rsidRDefault="008F0A2F" w:rsidP="0096703A">
            <w:pPr>
              <w:pStyle w:val="NoSpacing"/>
              <w:contextualSpacing/>
              <w:rPr>
                <w:rFonts w:cs="Times New Roman"/>
                <w:sz w:val="20"/>
                <w:szCs w:val="20"/>
                <w:lang w:eastAsia="en-GB"/>
              </w:rPr>
            </w:pPr>
          </w:p>
        </w:tc>
        <w:tc>
          <w:tcPr>
            <w:tcW w:w="1063" w:type="pct"/>
            <w:vMerge/>
            <w:tcBorders>
              <w:left w:val="nil"/>
              <w:bottom w:val="single" w:sz="4" w:space="0" w:color="auto"/>
              <w:right w:val="single" w:sz="4" w:space="0" w:color="auto"/>
            </w:tcBorders>
            <w:shd w:val="clear" w:color="auto" w:fill="auto"/>
            <w:noWrap/>
            <w:vAlign w:val="center"/>
            <w:hideMark/>
          </w:tcPr>
          <w:p w14:paraId="44A64ACD" w14:textId="77777777" w:rsidR="008F0A2F" w:rsidRPr="0096703A" w:rsidRDefault="008F0A2F" w:rsidP="0096703A">
            <w:pPr>
              <w:pStyle w:val="NoSpacing"/>
              <w:contextualSpacing/>
              <w:rPr>
                <w:rFonts w:cs="Times New Roman"/>
                <w:sz w:val="20"/>
                <w:szCs w:val="20"/>
                <w:lang w:eastAsia="en-GB"/>
              </w:rPr>
            </w:pPr>
          </w:p>
        </w:tc>
        <w:tc>
          <w:tcPr>
            <w:tcW w:w="883" w:type="pct"/>
            <w:tcBorders>
              <w:top w:val="nil"/>
              <w:left w:val="nil"/>
              <w:bottom w:val="single" w:sz="4" w:space="0" w:color="auto"/>
              <w:right w:val="single" w:sz="4" w:space="0" w:color="auto"/>
            </w:tcBorders>
            <w:shd w:val="clear" w:color="auto" w:fill="auto"/>
            <w:noWrap/>
            <w:vAlign w:val="center"/>
            <w:hideMark/>
          </w:tcPr>
          <w:p w14:paraId="3A9072F7"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Responders (n)</w:t>
            </w:r>
          </w:p>
        </w:tc>
        <w:tc>
          <w:tcPr>
            <w:tcW w:w="1258" w:type="pct"/>
            <w:tcBorders>
              <w:top w:val="single" w:sz="4" w:space="0" w:color="auto"/>
              <w:left w:val="nil"/>
              <w:bottom w:val="single" w:sz="4" w:space="0" w:color="auto"/>
              <w:right w:val="single" w:sz="4" w:space="0" w:color="auto"/>
            </w:tcBorders>
            <w:shd w:val="clear" w:color="auto" w:fill="auto"/>
            <w:noWrap/>
            <w:vAlign w:val="center"/>
            <w:hideMark/>
          </w:tcPr>
          <w:p w14:paraId="52973510"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Observed response (%)</w:t>
            </w:r>
          </w:p>
        </w:tc>
      </w:tr>
      <w:tr w:rsidR="00BA194D" w:rsidRPr="0096703A" w14:paraId="0E522240"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38705D83"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1</w:t>
            </w:r>
          </w:p>
        </w:tc>
        <w:tc>
          <w:tcPr>
            <w:tcW w:w="1224" w:type="pct"/>
            <w:tcBorders>
              <w:top w:val="nil"/>
              <w:left w:val="nil"/>
              <w:bottom w:val="nil"/>
              <w:right w:val="single" w:sz="4" w:space="0" w:color="auto"/>
            </w:tcBorders>
            <w:shd w:val="clear" w:color="auto" w:fill="auto"/>
            <w:noWrap/>
            <w:vAlign w:val="center"/>
            <w:hideMark/>
          </w:tcPr>
          <w:p w14:paraId="49C04F5E"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Soft tissue sarcoma</w:t>
            </w:r>
          </w:p>
        </w:tc>
        <w:tc>
          <w:tcPr>
            <w:tcW w:w="1063" w:type="pct"/>
            <w:tcBorders>
              <w:top w:val="nil"/>
              <w:left w:val="nil"/>
              <w:bottom w:val="nil"/>
              <w:right w:val="single" w:sz="4" w:space="0" w:color="auto"/>
            </w:tcBorders>
            <w:shd w:val="clear" w:color="auto" w:fill="auto"/>
            <w:noWrap/>
            <w:vAlign w:val="center"/>
            <w:hideMark/>
          </w:tcPr>
          <w:p w14:paraId="71B1AEC0" w14:textId="18FDEB8C" w:rsidR="00BA194D" w:rsidRPr="0096703A" w:rsidRDefault="00BA194D" w:rsidP="0096703A">
            <w:pPr>
              <w:pStyle w:val="NoSpacing"/>
              <w:contextualSpacing/>
              <w:rPr>
                <w:rFonts w:cs="Times New Roman"/>
                <w:sz w:val="20"/>
                <w:szCs w:val="20"/>
              </w:rPr>
            </w:pPr>
            <w:r w:rsidRPr="0096703A">
              <w:rPr>
                <w:rFonts w:cs="Times New Roman"/>
                <w:sz w:val="20"/>
                <w:szCs w:val="20"/>
              </w:rPr>
              <w:t>11</w:t>
            </w:r>
          </w:p>
        </w:tc>
        <w:tc>
          <w:tcPr>
            <w:tcW w:w="883" w:type="pct"/>
            <w:tcBorders>
              <w:top w:val="nil"/>
              <w:left w:val="single" w:sz="4" w:space="0" w:color="auto"/>
              <w:bottom w:val="nil"/>
              <w:right w:val="single" w:sz="4" w:space="0" w:color="auto"/>
            </w:tcBorders>
            <w:shd w:val="clear" w:color="auto" w:fill="auto"/>
            <w:noWrap/>
            <w:vAlign w:val="center"/>
            <w:hideMark/>
          </w:tcPr>
          <w:p w14:paraId="4889E147" w14:textId="7AC14B91"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10</w:t>
            </w:r>
          </w:p>
        </w:tc>
        <w:tc>
          <w:tcPr>
            <w:tcW w:w="1258" w:type="pct"/>
            <w:tcBorders>
              <w:top w:val="nil"/>
              <w:left w:val="single" w:sz="4" w:space="0" w:color="auto"/>
              <w:bottom w:val="nil"/>
              <w:right w:val="single" w:sz="4" w:space="0" w:color="auto"/>
            </w:tcBorders>
            <w:shd w:val="clear" w:color="auto" w:fill="auto"/>
            <w:noWrap/>
            <w:vAlign w:val="center"/>
            <w:hideMark/>
          </w:tcPr>
          <w:p w14:paraId="6C943F6D" w14:textId="639DCE54"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91%</w:t>
            </w:r>
          </w:p>
        </w:tc>
      </w:tr>
      <w:tr w:rsidR="00BA194D" w:rsidRPr="0096703A" w14:paraId="20392835"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7FF8A938"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2</w:t>
            </w:r>
          </w:p>
        </w:tc>
        <w:tc>
          <w:tcPr>
            <w:tcW w:w="1224" w:type="pct"/>
            <w:tcBorders>
              <w:top w:val="nil"/>
              <w:left w:val="nil"/>
              <w:bottom w:val="nil"/>
              <w:right w:val="single" w:sz="4" w:space="0" w:color="auto"/>
            </w:tcBorders>
            <w:shd w:val="clear" w:color="auto" w:fill="auto"/>
            <w:noWrap/>
            <w:vAlign w:val="center"/>
            <w:hideMark/>
          </w:tcPr>
          <w:p w14:paraId="0180BD7D"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Salivary gland</w:t>
            </w:r>
          </w:p>
        </w:tc>
        <w:tc>
          <w:tcPr>
            <w:tcW w:w="1063" w:type="pct"/>
            <w:tcBorders>
              <w:top w:val="nil"/>
              <w:left w:val="nil"/>
              <w:bottom w:val="nil"/>
              <w:right w:val="single" w:sz="4" w:space="0" w:color="auto"/>
            </w:tcBorders>
            <w:shd w:val="clear" w:color="auto" w:fill="auto"/>
            <w:noWrap/>
            <w:vAlign w:val="center"/>
            <w:hideMark/>
          </w:tcPr>
          <w:p w14:paraId="42F20681" w14:textId="1B8DF260" w:rsidR="00BA194D" w:rsidRPr="0096703A" w:rsidRDefault="00BA194D" w:rsidP="0096703A">
            <w:pPr>
              <w:pStyle w:val="NoSpacing"/>
              <w:contextualSpacing/>
              <w:rPr>
                <w:rFonts w:cs="Times New Roman"/>
                <w:sz w:val="20"/>
                <w:szCs w:val="20"/>
              </w:rPr>
            </w:pPr>
            <w:r w:rsidRPr="0096703A">
              <w:rPr>
                <w:rFonts w:cs="Times New Roman"/>
                <w:sz w:val="20"/>
                <w:szCs w:val="20"/>
              </w:rPr>
              <w:t>12</w:t>
            </w:r>
          </w:p>
        </w:tc>
        <w:tc>
          <w:tcPr>
            <w:tcW w:w="883" w:type="pct"/>
            <w:tcBorders>
              <w:top w:val="nil"/>
              <w:left w:val="single" w:sz="4" w:space="0" w:color="auto"/>
              <w:bottom w:val="nil"/>
              <w:right w:val="single" w:sz="4" w:space="0" w:color="auto"/>
            </w:tcBorders>
            <w:shd w:val="clear" w:color="auto" w:fill="auto"/>
            <w:noWrap/>
            <w:vAlign w:val="center"/>
            <w:hideMark/>
          </w:tcPr>
          <w:p w14:paraId="59F04F24" w14:textId="2CE67233"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10</w:t>
            </w:r>
          </w:p>
        </w:tc>
        <w:tc>
          <w:tcPr>
            <w:tcW w:w="1258" w:type="pct"/>
            <w:tcBorders>
              <w:top w:val="nil"/>
              <w:left w:val="single" w:sz="4" w:space="0" w:color="auto"/>
              <w:bottom w:val="nil"/>
              <w:right w:val="single" w:sz="4" w:space="0" w:color="auto"/>
            </w:tcBorders>
            <w:shd w:val="clear" w:color="auto" w:fill="auto"/>
            <w:noWrap/>
            <w:vAlign w:val="center"/>
            <w:hideMark/>
          </w:tcPr>
          <w:p w14:paraId="7318F9EF" w14:textId="72ECD5C6"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83%</w:t>
            </w:r>
          </w:p>
        </w:tc>
      </w:tr>
      <w:tr w:rsidR="00BA194D" w:rsidRPr="0096703A" w14:paraId="3E17145D"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4BC83FC3"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3</w:t>
            </w:r>
          </w:p>
        </w:tc>
        <w:tc>
          <w:tcPr>
            <w:tcW w:w="1224" w:type="pct"/>
            <w:tcBorders>
              <w:top w:val="nil"/>
              <w:left w:val="nil"/>
              <w:bottom w:val="nil"/>
              <w:right w:val="single" w:sz="4" w:space="0" w:color="auto"/>
            </w:tcBorders>
            <w:shd w:val="clear" w:color="auto" w:fill="auto"/>
            <w:noWrap/>
            <w:vAlign w:val="center"/>
            <w:hideMark/>
          </w:tcPr>
          <w:p w14:paraId="5C42F2C1"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IFS</w:t>
            </w:r>
          </w:p>
        </w:tc>
        <w:tc>
          <w:tcPr>
            <w:tcW w:w="1063" w:type="pct"/>
            <w:tcBorders>
              <w:top w:val="nil"/>
              <w:left w:val="nil"/>
              <w:bottom w:val="nil"/>
              <w:right w:val="single" w:sz="4" w:space="0" w:color="auto"/>
            </w:tcBorders>
            <w:shd w:val="clear" w:color="auto" w:fill="auto"/>
            <w:noWrap/>
            <w:vAlign w:val="center"/>
            <w:hideMark/>
          </w:tcPr>
          <w:p w14:paraId="0F67CAEE" w14:textId="61707786" w:rsidR="00BA194D" w:rsidRPr="0096703A" w:rsidRDefault="00BA194D" w:rsidP="0096703A">
            <w:pPr>
              <w:pStyle w:val="NoSpacing"/>
              <w:contextualSpacing/>
              <w:rPr>
                <w:rFonts w:cs="Times New Roman"/>
                <w:sz w:val="20"/>
                <w:szCs w:val="20"/>
              </w:rPr>
            </w:pPr>
            <w:r w:rsidRPr="0096703A">
              <w:rPr>
                <w:rFonts w:cs="Times New Roman"/>
                <w:sz w:val="20"/>
                <w:szCs w:val="20"/>
              </w:rPr>
              <w:t>7</w:t>
            </w:r>
          </w:p>
        </w:tc>
        <w:tc>
          <w:tcPr>
            <w:tcW w:w="883" w:type="pct"/>
            <w:tcBorders>
              <w:top w:val="nil"/>
              <w:left w:val="single" w:sz="4" w:space="0" w:color="auto"/>
              <w:bottom w:val="nil"/>
              <w:right w:val="single" w:sz="4" w:space="0" w:color="auto"/>
            </w:tcBorders>
            <w:shd w:val="clear" w:color="auto" w:fill="auto"/>
            <w:noWrap/>
            <w:vAlign w:val="center"/>
            <w:hideMark/>
          </w:tcPr>
          <w:p w14:paraId="1BE0C6C2" w14:textId="233156A6"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7</w:t>
            </w:r>
          </w:p>
        </w:tc>
        <w:tc>
          <w:tcPr>
            <w:tcW w:w="1258" w:type="pct"/>
            <w:tcBorders>
              <w:top w:val="nil"/>
              <w:left w:val="single" w:sz="4" w:space="0" w:color="auto"/>
              <w:bottom w:val="nil"/>
              <w:right w:val="single" w:sz="4" w:space="0" w:color="auto"/>
            </w:tcBorders>
            <w:shd w:val="clear" w:color="auto" w:fill="auto"/>
            <w:noWrap/>
            <w:vAlign w:val="center"/>
            <w:hideMark/>
          </w:tcPr>
          <w:p w14:paraId="1935C018" w14:textId="51E7D1CF"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100%</w:t>
            </w:r>
          </w:p>
        </w:tc>
      </w:tr>
      <w:tr w:rsidR="00BA194D" w:rsidRPr="0096703A" w14:paraId="0BCBA9F8"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1674FDBE"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4</w:t>
            </w:r>
          </w:p>
        </w:tc>
        <w:tc>
          <w:tcPr>
            <w:tcW w:w="1224" w:type="pct"/>
            <w:tcBorders>
              <w:top w:val="nil"/>
              <w:left w:val="nil"/>
              <w:bottom w:val="nil"/>
              <w:right w:val="single" w:sz="4" w:space="0" w:color="auto"/>
            </w:tcBorders>
            <w:shd w:val="clear" w:color="auto" w:fill="auto"/>
            <w:noWrap/>
            <w:vAlign w:val="center"/>
            <w:hideMark/>
          </w:tcPr>
          <w:p w14:paraId="21372037"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Thyroid</w:t>
            </w:r>
          </w:p>
        </w:tc>
        <w:tc>
          <w:tcPr>
            <w:tcW w:w="1063" w:type="pct"/>
            <w:tcBorders>
              <w:top w:val="nil"/>
              <w:left w:val="nil"/>
              <w:bottom w:val="nil"/>
              <w:right w:val="single" w:sz="4" w:space="0" w:color="auto"/>
            </w:tcBorders>
            <w:shd w:val="clear" w:color="auto" w:fill="auto"/>
            <w:noWrap/>
            <w:vAlign w:val="center"/>
            <w:hideMark/>
          </w:tcPr>
          <w:p w14:paraId="5ADBAEAD" w14:textId="144453F5" w:rsidR="00BA194D" w:rsidRPr="0096703A" w:rsidRDefault="00BA194D" w:rsidP="0096703A">
            <w:pPr>
              <w:pStyle w:val="NoSpacing"/>
              <w:contextualSpacing/>
              <w:rPr>
                <w:rFonts w:cs="Times New Roman"/>
                <w:sz w:val="20"/>
                <w:szCs w:val="20"/>
              </w:rPr>
            </w:pPr>
            <w:r w:rsidRPr="0096703A">
              <w:rPr>
                <w:rFonts w:cs="Times New Roman"/>
                <w:sz w:val="20"/>
                <w:szCs w:val="20"/>
              </w:rPr>
              <w:t>5</w:t>
            </w:r>
          </w:p>
        </w:tc>
        <w:tc>
          <w:tcPr>
            <w:tcW w:w="883" w:type="pct"/>
            <w:tcBorders>
              <w:top w:val="nil"/>
              <w:left w:val="single" w:sz="4" w:space="0" w:color="auto"/>
              <w:bottom w:val="nil"/>
              <w:right w:val="single" w:sz="4" w:space="0" w:color="auto"/>
            </w:tcBorders>
            <w:shd w:val="clear" w:color="auto" w:fill="auto"/>
            <w:noWrap/>
            <w:vAlign w:val="center"/>
            <w:hideMark/>
          </w:tcPr>
          <w:p w14:paraId="38C914BD" w14:textId="4A978C9D"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5</w:t>
            </w:r>
          </w:p>
        </w:tc>
        <w:tc>
          <w:tcPr>
            <w:tcW w:w="1258" w:type="pct"/>
            <w:tcBorders>
              <w:top w:val="nil"/>
              <w:left w:val="single" w:sz="4" w:space="0" w:color="auto"/>
              <w:bottom w:val="nil"/>
              <w:right w:val="single" w:sz="4" w:space="0" w:color="auto"/>
            </w:tcBorders>
            <w:shd w:val="clear" w:color="auto" w:fill="auto"/>
            <w:noWrap/>
            <w:vAlign w:val="center"/>
            <w:hideMark/>
          </w:tcPr>
          <w:p w14:paraId="152D7419" w14:textId="496E54BF"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100%</w:t>
            </w:r>
          </w:p>
        </w:tc>
      </w:tr>
      <w:tr w:rsidR="00BA194D" w:rsidRPr="0096703A" w14:paraId="6F525436"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1F443C21"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5</w:t>
            </w:r>
          </w:p>
        </w:tc>
        <w:tc>
          <w:tcPr>
            <w:tcW w:w="1224" w:type="pct"/>
            <w:tcBorders>
              <w:top w:val="nil"/>
              <w:left w:val="nil"/>
              <w:bottom w:val="nil"/>
              <w:right w:val="single" w:sz="4" w:space="0" w:color="auto"/>
            </w:tcBorders>
            <w:shd w:val="clear" w:color="auto" w:fill="auto"/>
            <w:noWrap/>
            <w:vAlign w:val="center"/>
            <w:hideMark/>
          </w:tcPr>
          <w:p w14:paraId="17C377D6"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Lung</w:t>
            </w:r>
          </w:p>
        </w:tc>
        <w:tc>
          <w:tcPr>
            <w:tcW w:w="1063" w:type="pct"/>
            <w:tcBorders>
              <w:top w:val="nil"/>
              <w:left w:val="nil"/>
              <w:bottom w:val="nil"/>
              <w:right w:val="single" w:sz="4" w:space="0" w:color="auto"/>
            </w:tcBorders>
            <w:shd w:val="clear" w:color="auto" w:fill="auto"/>
            <w:noWrap/>
            <w:vAlign w:val="center"/>
            <w:hideMark/>
          </w:tcPr>
          <w:p w14:paraId="40D908E9" w14:textId="1E995360" w:rsidR="00BA194D" w:rsidRPr="0096703A" w:rsidRDefault="00BA194D" w:rsidP="0096703A">
            <w:pPr>
              <w:pStyle w:val="NoSpacing"/>
              <w:contextualSpacing/>
              <w:rPr>
                <w:rFonts w:cs="Times New Roman"/>
                <w:sz w:val="20"/>
                <w:szCs w:val="20"/>
              </w:rPr>
            </w:pPr>
            <w:r w:rsidRPr="0096703A">
              <w:rPr>
                <w:rFonts w:cs="Times New Roman"/>
                <w:sz w:val="20"/>
                <w:szCs w:val="20"/>
              </w:rPr>
              <w:t>4</w:t>
            </w:r>
          </w:p>
        </w:tc>
        <w:tc>
          <w:tcPr>
            <w:tcW w:w="883" w:type="pct"/>
            <w:tcBorders>
              <w:top w:val="nil"/>
              <w:left w:val="single" w:sz="4" w:space="0" w:color="auto"/>
              <w:bottom w:val="nil"/>
              <w:right w:val="single" w:sz="4" w:space="0" w:color="auto"/>
            </w:tcBorders>
            <w:shd w:val="clear" w:color="auto" w:fill="auto"/>
            <w:noWrap/>
            <w:vAlign w:val="center"/>
            <w:hideMark/>
          </w:tcPr>
          <w:p w14:paraId="6137A703" w14:textId="4A15DBBE"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3</w:t>
            </w:r>
          </w:p>
        </w:tc>
        <w:tc>
          <w:tcPr>
            <w:tcW w:w="1258" w:type="pct"/>
            <w:tcBorders>
              <w:top w:val="nil"/>
              <w:left w:val="single" w:sz="4" w:space="0" w:color="auto"/>
              <w:bottom w:val="nil"/>
              <w:right w:val="single" w:sz="4" w:space="0" w:color="auto"/>
            </w:tcBorders>
            <w:shd w:val="clear" w:color="auto" w:fill="auto"/>
            <w:noWrap/>
            <w:vAlign w:val="center"/>
            <w:hideMark/>
          </w:tcPr>
          <w:p w14:paraId="2F0F0C29" w14:textId="4FC5CC28"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75%</w:t>
            </w:r>
          </w:p>
        </w:tc>
      </w:tr>
      <w:tr w:rsidR="00BA194D" w:rsidRPr="0096703A" w14:paraId="77630250"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44759B38"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6</w:t>
            </w:r>
          </w:p>
        </w:tc>
        <w:tc>
          <w:tcPr>
            <w:tcW w:w="1224" w:type="pct"/>
            <w:tcBorders>
              <w:top w:val="nil"/>
              <w:left w:val="nil"/>
              <w:bottom w:val="nil"/>
              <w:right w:val="single" w:sz="4" w:space="0" w:color="auto"/>
            </w:tcBorders>
            <w:shd w:val="clear" w:color="auto" w:fill="auto"/>
            <w:noWrap/>
            <w:vAlign w:val="center"/>
            <w:hideMark/>
          </w:tcPr>
          <w:p w14:paraId="6ED09A11"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Melanoma</w:t>
            </w:r>
          </w:p>
        </w:tc>
        <w:tc>
          <w:tcPr>
            <w:tcW w:w="1063" w:type="pct"/>
            <w:tcBorders>
              <w:top w:val="nil"/>
              <w:left w:val="nil"/>
              <w:bottom w:val="nil"/>
              <w:right w:val="single" w:sz="4" w:space="0" w:color="auto"/>
            </w:tcBorders>
            <w:shd w:val="clear" w:color="auto" w:fill="auto"/>
            <w:noWrap/>
            <w:vAlign w:val="center"/>
            <w:hideMark/>
          </w:tcPr>
          <w:p w14:paraId="53B37F80" w14:textId="743D928D" w:rsidR="00BA194D" w:rsidRPr="0096703A" w:rsidRDefault="00BA194D" w:rsidP="0096703A">
            <w:pPr>
              <w:pStyle w:val="NoSpacing"/>
              <w:contextualSpacing/>
              <w:rPr>
                <w:rFonts w:cs="Times New Roman"/>
                <w:sz w:val="20"/>
                <w:szCs w:val="20"/>
              </w:rPr>
            </w:pPr>
            <w:r w:rsidRPr="0096703A">
              <w:rPr>
                <w:rFonts w:cs="Times New Roman"/>
                <w:sz w:val="20"/>
                <w:szCs w:val="20"/>
              </w:rPr>
              <w:t>4</w:t>
            </w:r>
          </w:p>
        </w:tc>
        <w:tc>
          <w:tcPr>
            <w:tcW w:w="883" w:type="pct"/>
            <w:tcBorders>
              <w:top w:val="nil"/>
              <w:left w:val="single" w:sz="4" w:space="0" w:color="auto"/>
              <w:bottom w:val="nil"/>
              <w:right w:val="single" w:sz="4" w:space="0" w:color="auto"/>
            </w:tcBorders>
            <w:shd w:val="clear" w:color="auto" w:fill="auto"/>
            <w:noWrap/>
            <w:vAlign w:val="center"/>
            <w:hideMark/>
          </w:tcPr>
          <w:p w14:paraId="282F3F1F" w14:textId="2F0C676D"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2</w:t>
            </w:r>
          </w:p>
        </w:tc>
        <w:tc>
          <w:tcPr>
            <w:tcW w:w="1258" w:type="pct"/>
            <w:tcBorders>
              <w:top w:val="nil"/>
              <w:left w:val="single" w:sz="4" w:space="0" w:color="auto"/>
              <w:bottom w:val="nil"/>
              <w:right w:val="single" w:sz="4" w:space="0" w:color="auto"/>
            </w:tcBorders>
            <w:shd w:val="clear" w:color="auto" w:fill="auto"/>
            <w:noWrap/>
            <w:vAlign w:val="center"/>
            <w:hideMark/>
          </w:tcPr>
          <w:p w14:paraId="37955823" w14:textId="47652C52"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50%</w:t>
            </w:r>
          </w:p>
        </w:tc>
      </w:tr>
      <w:tr w:rsidR="00BA194D" w:rsidRPr="0096703A" w14:paraId="16DF3C8D"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2C5CC1D5"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7</w:t>
            </w:r>
          </w:p>
        </w:tc>
        <w:tc>
          <w:tcPr>
            <w:tcW w:w="1224" w:type="pct"/>
            <w:tcBorders>
              <w:top w:val="nil"/>
              <w:left w:val="nil"/>
              <w:bottom w:val="nil"/>
              <w:right w:val="single" w:sz="4" w:space="0" w:color="auto"/>
            </w:tcBorders>
            <w:shd w:val="clear" w:color="auto" w:fill="auto"/>
            <w:noWrap/>
            <w:vAlign w:val="center"/>
            <w:hideMark/>
          </w:tcPr>
          <w:p w14:paraId="7D84CB23"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Colon</w:t>
            </w:r>
          </w:p>
        </w:tc>
        <w:tc>
          <w:tcPr>
            <w:tcW w:w="1063" w:type="pct"/>
            <w:tcBorders>
              <w:top w:val="nil"/>
              <w:left w:val="nil"/>
              <w:bottom w:val="nil"/>
              <w:right w:val="single" w:sz="4" w:space="0" w:color="auto"/>
            </w:tcBorders>
            <w:shd w:val="clear" w:color="auto" w:fill="auto"/>
            <w:noWrap/>
            <w:vAlign w:val="center"/>
            <w:hideMark/>
          </w:tcPr>
          <w:p w14:paraId="6A71F7D9" w14:textId="400B721A" w:rsidR="00BA194D" w:rsidRPr="0096703A" w:rsidRDefault="00BA194D" w:rsidP="0096703A">
            <w:pPr>
              <w:pStyle w:val="NoSpacing"/>
              <w:contextualSpacing/>
              <w:rPr>
                <w:rFonts w:cs="Times New Roman"/>
                <w:sz w:val="20"/>
                <w:szCs w:val="20"/>
              </w:rPr>
            </w:pPr>
            <w:r w:rsidRPr="0096703A">
              <w:rPr>
                <w:rFonts w:cs="Times New Roman"/>
                <w:sz w:val="20"/>
                <w:szCs w:val="20"/>
              </w:rPr>
              <w:t>4</w:t>
            </w:r>
          </w:p>
        </w:tc>
        <w:tc>
          <w:tcPr>
            <w:tcW w:w="883" w:type="pct"/>
            <w:tcBorders>
              <w:top w:val="nil"/>
              <w:left w:val="single" w:sz="4" w:space="0" w:color="auto"/>
              <w:bottom w:val="nil"/>
              <w:right w:val="single" w:sz="4" w:space="0" w:color="auto"/>
            </w:tcBorders>
            <w:shd w:val="clear" w:color="auto" w:fill="auto"/>
            <w:noWrap/>
            <w:vAlign w:val="center"/>
            <w:hideMark/>
          </w:tcPr>
          <w:p w14:paraId="313E1CAB" w14:textId="3473F483"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1</w:t>
            </w:r>
          </w:p>
        </w:tc>
        <w:tc>
          <w:tcPr>
            <w:tcW w:w="1258" w:type="pct"/>
            <w:tcBorders>
              <w:top w:val="nil"/>
              <w:left w:val="single" w:sz="4" w:space="0" w:color="auto"/>
              <w:bottom w:val="nil"/>
              <w:right w:val="single" w:sz="4" w:space="0" w:color="auto"/>
            </w:tcBorders>
            <w:shd w:val="clear" w:color="auto" w:fill="auto"/>
            <w:noWrap/>
            <w:vAlign w:val="center"/>
            <w:hideMark/>
          </w:tcPr>
          <w:p w14:paraId="36DEA7FC" w14:textId="37FE604B"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25%</w:t>
            </w:r>
          </w:p>
        </w:tc>
      </w:tr>
      <w:tr w:rsidR="00BA194D" w:rsidRPr="0096703A" w14:paraId="5B14D161" w14:textId="77777777" w:rsidTr="00C506B9">
        <w:trPr>
          <w:trHeight w:val="283"/>
          <w:jc w:val="center"/>
        </w:trPr>
        <w:tc>
          <w:tcPr>
            <w:tcW w:w="572" w:type="pct"/>
            <w:tcBorders>
              <w:top w:val="nil"/>
              <w:left w:val="single" w:sz="4" w:space="0" w:color="auto"/>
              <w:bottom w:val="nil"/>
              <w:right w:val="single" w:sz="4" w:space="0" w:color="auto"/>
            </w:tcBorders>
            <w:shd w:val="clear" w:color="auto" w:fill="auto"/>
            <w:noWrap/>
            <w:vAlign w:val="center"/>
            <w:hideMark/>
          </w:tcPr>
          <w:p w14:paraId="0D22A413"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8</w:t>
            </w:r>
          </w:p>
        </w:tc>
        <w:tc>
          <w:tcPr>
            <w:tcW w:w="1224" w:type="pct"/>
            <w:tcBorders>
              <w:top w:val="nil"/>
              <w:left w:val="nil"/>
              <w:bottom w:val="nil"/>
              <w:right w:val="single" w:sz="4" w:space="0" w:color="auto"/>
            </w:tcBorders>
            <w:shd w:val="clear" w:color="auto" w:fill="auto"/>
            <w:noWrap/>
            <w:vAlign w:val="center"/>
            <w:hideMark/>
          </w:tcPr>
          <w:p w14:paraId="04FD1EE2"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GIST</w:t>
            </w:r>
          </w:p>
        </w:tc>
        <w:tc>
          <w:tcPr>
            <w:tcW w:w="1063" w:type="pct"/>
            <w:tcBorders>
              <w:top w:val="nil"/>
              <w:left w:val="nil"/>
              <w:bottom w:val="nil"/>
              <w:right w:val="single" w:sz="4" w:space="0" w:color="auto"/>
            </w:tcBorders>
            <w:shd w:val="clear" w:color="auto" w:fill="auto"/>
            <w:noWrap/>
            <w:vAlign w:val="center"/>
            <w:hideMark/>
          </w:tcPr>
          <w:p w14:paraId="7D967D7E" w14:textId="1E5ACDEC" w:rsidR="00BA194D" w:rsidRPr="0096703A" w:rsidRDefault="00BA194D" w:rsidP="0096703A">
            <w:pPr>
              <w:pStyle w:val="NoSpacing"/>
              <w:contextualSpacing/>
              <w:rPr>
                <w:rFonts w:cs="Times New Roman"/>
                <w:sz w:val="20"/>
                <w:szCs w:val="20"/>
              </w:rPr>
            </w:pPr>
            <w:r w:rsidRPr="0096703A">
              <w:rPr>
                <w:rFonts w:cs="Times New Roman"/>
                <w:sz w:val="20"/>
                <w:szCs w:val="20"/>
              </w:rPr>
              <w:t>3</w:t>
            </w:r>
          </w:p>
        </w:tc>
        <w:tc>
          <w:tcPr>
            <w:tcW w:w="883" w:type="pct"/>
            <w:tcBorders>
              <w:top w:val="nil"/>
              <w:left w:val="single" w:sz="4" w:space="0" w:color="auto"/>
              <w:bottom w:val="nil"/>
              <w:right w:val="single" w:sz="4" w:space="0" w:color="auto"/>
            </w:tcBorders>
            <w:shd w:val="clear" w:color="auto" w:fill="auto"/>
            <w:noWrap/>
            <w:vAlign w:val="center"/>
            <w:hideMark/>
          </w:tcPr>
          <w:p w14:paraId="11595039" w14:textId="179B8F73"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3</w:t>
            </w:r>
          </w:p>
        </w:tc>
        <w:tc>
          <w:tcPr>
            <w:tcW w:w="1258" w:type="pct"/>
            <w:tcBorders>
              <w:top w:val="nil"/>
              <w:left w:val="single" w:sz="4" w:space="0" w:color="auto"/>
              <w:bottom w:val="nil"/>
              <w:right w:val="single" w:sz="4" w:space="0" w:color="auto"/>
            </w:tcBorders>
            <w:shd w:val="clear" w:color="auto" w:fill="auto"/>
            <w:noWrap/>
            <w:vAlign w:val="center"/>
            <w:hideMark/>
          </w:tcPr>
          <w:p w14:paraId="2A676184" w14:textId="28F41649"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100%</w:t>
            </w:r>
          </w:p>
        </w:tc>
      </w:tr>
      <w:tr w:rsidR="00BA194D" w:rsidRPr="0096703A" w14:paraId="79D65E6B" w14:textId="77777777" w:rsidTr="00C506B9">
        <w:trPr>
          <w:trHeight w:val="283"/>
          <w:jc w:val="center"/>
        </w:trPr>
        <w:tc>
          <w:tcPr>
            <w:tcW w:w="572" w:type="pct"/>
            <w:tcBorders>
              <w:top w:val="nil"/>
              <w:left w:val="single" w:sz="4" w:space="0" w:color="auto"/>
              <w:right w:val="single" w:sz="4" w:space="0" w:color="auto"/>
            </w:tcBorders>
            <w:shd w:val="clear" w:color="auto" w:fill="auto"/>
            <w:noWrap/>
            <w:vAlign w:val="center"/>
            <w:hideMark/>
          </w:tcPr>
          <w:p w14:paraId="48B15A91"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9</w:t>
            </w:r>
          </w:p>
        </w:tc>
        <w:tc>
          <w:tcPr>
            <w:tcW w:w="1224" w:type="pct"/>
            <w:tcBorders>
              <w:top w:val="nil"/>
              <w:left w:val="nil"/>
              <w:right w:val="single" w:sz="4" w:space="0" w:color="auto"/>
            </w:tcBorders>
            <w:shd w:val="clear" w:color="auto" w:fill="auto"/>
            <w:noWrap/>
            <w:vAlign w:val="center"/>
            <w:hideMark/>
          </w:tcPr>
          <w:p w14:paraId="56EC4ED5"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Cholangiocarcinoma</w:t>
            </w:r>
          </w:p>
        </w:tc>
        <w:tc>
          <w:tcPr>
            <w:tcW w:w="1063" w:type="pct"/>
            <w:tcBorders>
              <w:top w:val="nil"/>
              <w:left w:val="nil"/>
              <w:right w:val="single" w:sz="4" w:space="0" w:color="auto"/>
            </w:tcBorders>
            <w:shd w:val="clear" w:color="auto" w:fill="auto"/>
            <w:noWrap/>
            <w:vAlign w:val="center"/>
            <w:hideMark/>
          </w:tcPr>
          <w:p w14:paraId="42991945" w14:textId="552258E1" w:rsidR="00BA194D" w:rsidRPr="0096703A" w:rsidRDefault="00BA194D" w:rsidP="0096703A">
            <w:pPr>
              <w:pStyle w:val="NoSpacing"/>
              <w:contextualSpacing/>
              <w:rPr>
                <w:rFonts w:cs="Times New Roman"/>
                <w:sz w:val="20"/>
                <w:szCs w:val="20"/>
              </w:rPr>
            </w:pPr>
            <w:r w:rsidRPr="0096703A">
              <w:rPr>
                <w:rFonts w:cs="Times New Roman"/>
                <w:sz w:val="20"/>
                <w:szCs w:val="20"/>
              </w:rPr>
              <w:t>2</w:t>
            </w:r>
          </w:p>
        </w:tc>
        <w:tc>
          <w:tcPr>
            <w:tcW w:w="883" w:type="pct"/>
            <w:tcBorders>
              <w:top w:val="nil"/>
              <w:left w:val="single" w:sz="4" w:space="0" w:color="auto"/>
              <w:right w:val="single" w:sz="4" w:space="0" w:color="auto"/>
            </w:tcBorders>
            <w:shd w:val="clear" w:color="auto" w:fill="auto"/>
            <w:noWrap/>
            <w:vAlign w:val="center"/>
            <w:hideMark/>
          </w:tcPr>
          <w:p w14:paraId="066B4862" w14:textId="469A76AA"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0</w:t>
            </w:r>
          </w:p>
        </w:tc>
        <w:tc>
          <w:tcPr>
            <w:tcW w:w="1258" w:type="pct"/>
            <w:tcBorders>
              <w:top w:val="nil"/>
              <w:left w:val="single" w:sz="4" w:space="0" w:color="auto"/>
              <w:right w:val="single" w:sz="4" w:space="0" w:color="auto"/>
            </w:tcBorders>
            <w:shd w:val="clear" w:color="auto" w:fill="auto"/>
            <w:noWrap/>
            <w:vAlign w:val="center"/>
            <w:hideMark/>
          </w:tcPr>
          <w:p w14:paraId="5CC482AF" w14:textId="044350C6"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0%</w:t>
            </w:r>
          </w:p>
        </w:tc>
      </w:tr>
      <w:tr w:rsidR="00BA194D" w:rsidRPr="0096703A" w14:paraId="0ABFF22E" w14:textId="77777777" w:rsidTr="00C506B9">
        <w:trPr>
          <w:trHeight w:val="283"/>
          <w:jc w:val="center"/>
        </w:trPr>
        <w:tc>
          <w:tcPr>
            <w:tcW w:w="572" w:type="pct"/>
            <w:tcBorders>
              <w:top w:val="nil"/>
              <w:left w:val="single" w:sz="4" w:space="0" w:color="auto"/>
              <w:right w:val="single" w:sz="4" w:space="0" w:color="auto"/>
            </w:tcBorders>
            <w:shd w:val="clear" w:color="auto" w:fill="auto"/>
            <w:noWrap/>
            <w:vAlign w:val="center"/>
            <w:hideMark/>
          </w:tcPr>
          <w:p w14:paraId="2FF12FD3"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10</w:t>
            </w:r>
          </w:p>
        </w:tc>
        <w:tc>
          <w:tcPr>
            <w:tcW w:w="1224" w:type="pct"/>
            <w:tcBorders>
              <w:top w:val="nil"/>
              <w:left w:val="nil"/>
              <w:right w:val="single" w:sz="4" w:space="0" w:color="auto"/>
            </w:tcBorders>
            <w:shd w:val="clear" w:color="auto" w:fill="auto"/>
            <w:noWrap/>
            <w:vAlign w:val="center"/>
            <w:hideMark/>
          </w:tcPr>
          <w:p w14:paraId="52C47C5B"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Appendix</w:t>
            </w:r>
          </w:p>
        </w:tc>
        <w:tc>
          <w:tcPr>
            <w:tcW w:w="1063" w:type="pct"/>
            <w:tcBorders>
              <w:top w:val="nil"/>
              <w:left w:val="nil"/>
              <w:right w:val="single" w:sz="4" w:space="0" w:color="auto"/>
            </w:tcBorders>
            <w:shd w:val="clear" w:color="auto" w:fill="auto"/>
            <w:noWrap/>
            <w:vAlign w:val="center"/>
            <w:hideMark/>
          </w:tcPr>
          <w:p w14:paraId="56E38C91" w14:textId="6C2DA24B" w:rsidR="00BA194D" w:rsidRPr="0096703A" w:rsidRDefault="00BA194D" w:rsidP="0096703A">
            <w:pPr>
              <w:pStyle w:val="NoSpacing"/>
              <w:contextualSpacing/>
              <w:rPr>
                <w:rFonts w:cs="Times New Roman"/>
                <w:sz w:val="20"/>
                <w:szCs w:val="20"/>
              </w:rPr>
            </w:pPr>
            <w:r w:rsidRPr="0096703A">
              <w:rPr>
                <w:rFonts w:cs="Times New Roman"/>
                <w:sz w:val="20"/>
                <w:szCs w:val="20"/>
              </w:rPr>
              <w:t>1</w:t>
            </w:r>
          </w:p>
        </w:tc>
        <w:tc>
          <w:tcPr>
            <w:tcW w:w="883" w:type="pct"/>
            <w:tcBorders>
              <w:top w:val="nil"/>
              <w:left w:val="single" w:sz="4" w:space="0" w:color="auto"/>
              <w:right w:val="single" w:sz="4" w:space="0" w:color="auto"/>
            </w:tcBorders>
            <w:shd w:val="clear" w:color="auto" w:fill="auto"/>
            <w:noWrap/>
            <w:vAlign w:val="center"/>
            <w:hideMark/>
          </w:tcPr>
          <w:p w14:paraId="72948AE3" w14:textId="3F037C03"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0</w:t>
            </w:r>
          </w:p>
        </w:tc>
        <w:tc>
          <w:tcPr>
            <w:tcW w:w="1258" w:type="pct"/>
            <w:tcBorders>
              <w:top w:val="nil"/>
              <w:left w:val="single" w:sz="4" w:space="0" w:color="auto"/>
              <w:right w:val="single" w:sz="4" w:space="0" w:color="auto"/>
            </w:tcBorders>
            <w:shd w:val="clear" w:color="auto" w:fill="auto"/>
            <w:noWrap/>
            <w:vAlign w:val="center"/>
            <w:hideMark/>
          </w:tcPr>
          <w:p w14:paraId="47A11C1A" w14:textId="026B0852" w:rsidR="00BA194D" w:rsidRPr="0096703A" w:rsidRDefault="00BA194D" w:rsidP="0096703A">
            <w:pPr>
              <w:pStyle w:val="NoSpacing"/>
              <w:contextualSpacing/>
              <w:rPr>
                <w:rFonts w:cs="Times New Roman"/>
                <w:sz w:val="20"/>
                <w:szCs w:val="20"/>
                <w:lang w:eastAsia="en-GB"/>
              </w:rPr>
            </w:pPr>
            <w:r w:rsidRPr="0096703A">
              <w:rPr>
                <w:rFonts w:cs="Times New Roman"/>
                <w:sz w:val="20"/>
                <w:szCs w:val="20"/>
              </w:rPr>
              <w:t>0%</w:t>
            </w:r>
          </w:p>
        </w:tc>
      </w:tr>
      <w:tr w:rsidR="00BA194D" w:rsidRPr="0096703A" w14:paraId="6B56DEC3" w14:textId="77777777" w:rsidTr="00C506B9">
        <w:trPr>
          <w:trHeight w:val="283"/>
          <w:jc w:val="center"/>
        </w:trPr>
        <w:tc>
          <w:tcPr>
            <w:tcW w:w="572" w:type="pct"/>
            <w:tcBorders>
              <w:left w:val="single" w:sz="4" w:space="0" w:color="auto"/>
              <w:right w:val="single" w:sz="4" w:space="0" w:color="auto"/>
            </w:tcBorders>
            <w:shd w:val="clear" w:color="auto" w:fill="auto"/>
            <w:noWrap/>
            <w:vAlign w:val="center"/>
          </w:tcPr>
          <w:p w14:paraId="00BA954C"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11</w:t>
            </w:r>
          </w:p>
        </w:tc>
        <w:tc>
          <w:tcPr>
            <w:tcW w:w="1224" w:type="pct"/>
            <w:tcBorders>
              <w:left w:val="nil"/>
              <w:right w:val="single" w:sz="4" w:space="0" w:color="auto"/>
            </w:tcBorders>
            <w:shd w:val="clear" w:color="auto" w:fill="auto"/>
            <w:noWrap/>
            <w:vAlign w:val="center"/>
          </w:tcPr>
          <w:p w14:paraId="10FE3C22"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Breast</w:t>
            </w:r>
          </w:p>
        </w:tc>
        <w:tc>
          <w:tcPr>
            <w:tcW w:w="1063" w:type="pct"/>
            <w:tcBorders>
              <w:left w:val="nil"/>
              <w:right w:val="single" w:sz="4" w:space="0" w:color="auto"/>
            </w:tcBorders>
            <w:shd w:val="clear" w:color="auto" w:fill="auto"/>
            <w:noWrap/>
            <w:vAlign w:val="center"/>
          </w:tcPr>
          <w:p w14:paraId="0455AEB0" w14:textId="1F6613A0" w:rsidR="00BA194D" w:rsidRPr="0096703A" w:rsidRDefault="00BA194D" w:rsidP="0096703A">
            <w:pPr>
              <w:pStyle w:val="NoSpacing"/>
              <w:contextualSpacing/>
              <w:rPr>
                <w:rFonts w:cs="Times New Roman"/>
                <w:sz w:val="20"/>
                <w:szCs w:val="20"/>
              </w:rPr>
            </w:pPr>
            <w:r w:rsidRPr="0096703A">
              <w:rPr>
                <w:rFonts w:cs="Times New Roman"/>
                <w:sz w:val="20"/>
                <w:szCs w:val="20"/>
              </w:rPr>
              <w:t>1</w:t>
            </w:r>
          </w:p>
        </w:tc>
        <w:tc>
          <w:tcPr>
            <w:tcW w:w="883" w:type="pct"/>
            <w:tcBorders>
              <w:left w:val="single" w:sz="4" w:space="0" w:color="auto"/>
              <w:right w:val="single" w:sz="4" w:space="0" w:color="auto"/>
            </w:tcBorders>
            <w:shd w:val="clear" w:color="auto" w:fill="auto"/>
            <w:noWrap/>
            <w:vAlign w:val="center"/>
          </w:tcPr>
          <w:p w14:paraId="661B35BE" w14:textId="3154C63F"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0</w:t>
            </w:r>
          </w:p>
        </w:tc>
        <w:tc>
          <w:tcPr>
            <w:tcW w:w="1258" w:type="pct"/>
            <w:tcBorders>
              <w:left w:val="single" w:sz="4" w:space="0" w:color="auto"/>
              <w:right w:val="single" w:sz="4" w:space="0" w:color="auto"/>
            </w:tcBorders>
            <w:shd w:val="clear" w:color="auto" w:fill="auto"/>
            <w:noWrap/>
            <w:vAlign w:val="center"/>
          </w:tcPr>
          <w:p w14:paraId="3CE9AB21" w14:textId="3FD62476" w:rsidR="00BA194D" w:rsidRPr="0096703A" w:rsidRDefault="00BA194D" w:rsidP="0096703A">
            <w:pPr>
              <w:pStyle w:val="NoSpacing"/>
              <w:contextualSpacing/>
              <w:rPr>
                <w:rFonts w:cs="Times New Roman"/>
                <w:sz w:val="20"/>
                <w:szCs w:val="20"/>
              </w:rPr>
            </w:pPr>
            <w:r w:rsidRPr="0096703A">
              <w:rPr>
                <w:rFonts w:cs="Times New Roman"/>
                <w:sz w:val="20"/>
                <w:szCs w:val="20"/>
              </w:rPr>
              <w:t>0%</w:t>
            </w:r>
          </w:p>
        </w:tc>
      </w:tr>
      <w:tr w:rsidR="00BA194D" w:rsidRPr="0096703A" w14:paraId="582085A7" w14:textId="77777777" w:rsidTr="00C506B9">
        <w:trPr>
          <w:trHeight w:val="283"/>
          <w:jc w:val="center"/>
        </w:trPr>
        <w:tc>
          <w:tcPr>
            <w:tcW w:w="572" w:type="pct"/>
            <w:tcBorders>
              <w:left w:val="single" w:sz="4" w:space="0" w:color="auto"/>
              <w:bottom w:val="single" w:sz="4" w:space="0" w:color="auto"/>
              <w:right w:val="single" w:sz="4" w:space="0" w:color="auto"/>
            </w:tcBorders>
            <w:shd w:val="clear" w:color="auto" w:fill="auto"/>
            <w:noWrap/>
            <w:vAlign w:val="center"/>
          </w:tcPr>
          <w:p w14:paraId="7EACCD81" w14:textId="77777777" w:rsidR="00BA194D" w:rsidRPr="0096703A" w:rsidRDefault="00BA194D" w:rsidP="0096703A">
            <w:pPr>
              <w:pStyle w:val="NoSpacing"/>
              <w:contextualSpacing/>
              <w:rPr>
                <w:rFonts w:cs="Times New Roman"/>
                <w:sz w:val="20"/>
                <w:szCs w:val="20"/>
                <w:lang w:eastAsia="en-GB"/>
              </w:rPr>
            </w:pPr>
            <w:r w:rsidRPr="0096703A">
              <w:rPr>
                <w:rFonts w:cs="Times New Roman"/>
                <w:sz w:val="20"/>
                <w:szCs w:val="20"/>
                <w:lang w:eastAsia="en-GB"/>
              </w:rPr>
              <w:t>12</w:t>
            </w:r>
          </w:p>
        </w:tc>
        <w:tc>
          <w:tcPr>
            <w:tcW w:w="1224" w:type="pct"/>
            <w:tcBorders>
              <w:left w:val="nil"/>
              <w:bottom w:val="single" w:sz="4" w:space="0" w:color="auto"/>
              <w:right w:val="single" w:sz="4" w:space="0" w:color="auto"/>
            </w:tcBorders>
            <w:shd w:val="clear" w:color="auto" w:fill="auto"/>
            <w:noWrap/>
            <w:vAlign w:val="center"/>
          </w:tcPr>
          <w:p w14:paraId="4654D901" w14:textId="77777777" w:rsidR="00BA194D" w:rsidRPr="0096703A" w:rsidRDefault="00BA194D" w:rsidP="0096703A">
            <w:pPr>
              <w:pStyle w:val="NoSpacing"/>
              <w:contextualSpacing/>
              <w:rPr>
                <w:rFonts w:cs="Times New Roman"/>
                <w:sz w:val="20"/>
                <w:szCs w:val="20"/>
              </w:rPr>
            </w:pPr>
            <w:r w:rsidRPr="0096703A">
              <w:rPr>
                <w:rFonts w:cs="Times New Roman"/>
                <w:sz w:val="20"/>
                <w:szCs w:val="20"/>
              </w:rPr>
              <w:t>Pancreas</w:t>
            </w:r>
          </w:p>
        </w:tc>
        <w:tc>
          <w:tcPr>
            <w:tcW w:w="1063" w:type="pct"/>
            <w:tcBorders>
              <w:left w:val="nil"/>
              <w:bottom w:val="single" w:sz="4" w:space="0" w:color="auto"/>
              <w:right w:val="single" w:sz="4" w:space="0" w:color="auto"/>
            </w:tcBorders>
            <w:shd w:val="clear" w:color="auto" w:fill="auto"/>
            <w:noWrap/>
            <w:vAlign w:val="center"/>
          </w:tcPr>
          <w:p w14:paraId="4015E10B" w14:textId="6B01A9E7" w:rsidR="00BA194D" w:rsidRPr="0096703A" w:rsidRDefault="00BA194D" w:rsidP="0096703A">
            <w:pPr>
              <w:pStyle w:val="NoSpacing"/>
              <w:contextualSpacing/>
              <w:rPr>
                <w:rFonts w:cs="Times New Roman"/>
                <w:sz w:val="20"/>
                <w:szCs w:val="20"/>
              </w:rPr>
            </w:pPr>
            <w:r w:rsidRPr="0096703A">
              <w:rPr>
                <w:rFonts w:cs="Times New Roman"/>
                <w:sz w:val="20"/>
                <w:szCs w:val="20"/>
              </w:rPr>
              <w:t>1</w:t>
            </w:r>
          </w:p>
        </w:tc>
        <w:tc>
          <w:tcPr>
            <w:tcW w:w="883" w:type="pct"/>
            <w:tcBorders>
              <w:left w:val="single" w:sz="4" w:space="0" w:color="auto"/>
              <w:bottom w:val="single" w:sz="4" w:space="0" w:color="auto"/>
              <w:right w:val="single" w:sz="4" w:space="0" w:color="auto"/>
            </w:tcBorders>
            <w:shd w:val="clear" w:color="auto" w:fill="auto"/>
            <w:noWrap/>
            <w:vAlign w:val="center"/>
          </w:tcPr>
          <w:p w14:paraId="22672922" w14:textId="3A9689CF" w:rsidR="00BA194D" w:rsidRPr="0096703A" w:rsidRDefault="00BA194D" w:rsidP="0096703A">
            <w:pPr>
              <w:pStyle w:val="NoSpacing"/>
              <w:contextualSpacing/>
              <w:rPr>
                <w:rFonts w:cs="Times New Roman"/>
                <w:sz w:val="20"/>
                <w:szCs w:val="20"/>
              </w:rPr>
            </w:pPr>
            <w:r w:rsidRPr="0096703A">
              <w:rPr>
                <w:rFonts w:cs="Times New Roman"/>
                <w:color w:val="000000"/>
                <w:sz w:val="20"/>
                <w:szCs w:val="20"/>
              </w:rPr>
              <w:t>0</w:t>
            </w:r>
          </w:p>
        </w:tc>
        <w:tc>
          <w:tcPr>
            <w:tcW w:w="1258" w:type="pct"/>
            <w:tcBorders>
              <w:left w:val="single" w:sz="4" w:space="0" w:color="auto"/>
              <w:bottom w:val="single" w:sz="4" w:space="0" w:color="auto"/>
              <w:right w:val="single" w:sz="4" w:space="0" w:color="auto"/>
            </w:tcBorders>
            <w:shd w:val="clear" w:color="auto" w:fill="auto"/>
            <w:noWrap/>
            <w:vAlign w:val="center"/>
          </w:tcPr>
          <w:p w14:paraId="6AA1B16D" w14:textId="463BD2E2" w:rsidR="00BA194D" w:rsidRPr="0096703A" w:rsidRDefault="00BA194D" w:rsidP="0096703A">
            <w:pPr>
              <w:pStyle w:val="NoSpacing"/>
              <w:contextualSpacing/>
              <w:rPr>
                <w:rFonts w:cs="Times New Roman"/>
                <w:sz w:val="20"/>
                <w:szCs w:val="20"/>
              </w:rPr>
            </w:pPr>
            <w:r w:rsidRPr="0096703A">
              <w:rPr>
                <w:rFonts w:cs="Times New Roman"/>
                <w:sz w:val="20"/>
                <w:szCs w:val="20"/>
              </w:rPr>
              <w:t>0%</w:t>
            </w:r>
          </w:p>
        </w:tc>
      </w:tr>
      <w:tr w:rsidR="008F0A2F" w:rsidRPr="0096703A" w14:paraId="3542822F" w14:textId="77777777" w:rsidTr="00C506B9">
        <w:trPr>
          <w:trHeight w:val="283"/>
          <w:jc w:val="center"/>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43673" w14:textId="77777777" w:rsidR="008F0A2F" w:rsidRPr="0096703A" w:rsidRDefault="008F0A2F" w:rsidP="0096703A">
            <w:pPr>
              <w:pStyle w:val="NoSpacing"/>
              <w:contextualSpacing/>
              <w:rPr>
                <w:rFonts w:cs="Times New Roman"/>
                <w:sz w:val="20"/>
                <w:szCs w:val="20"/>
                <w:lang w:eastAsia="en-GB"/>
              </w:rPr>
            </w:pP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14:paraId="0699D15E"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lang w:eastAsia="en-GB"/>
              </w:rPr>
              <w:t>Total</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14:paraId="5601B2BA" w14:textId="77777777" w:rsidR="008F0A2F" w:rsidRPr="0096703A" w:rsidRDefault="008F0A2F" w:rsidP="0096703A">
            <w:pPr>
              <w:pStyle w:val="NoSpacing"/>
              <w:contextualSpacing/>
              <w:rPr>
                <w:rFonts w:cs="Times New Roman"/>
                <w:sz w:val="20"/>
                <w:szCs w:val="20"/>
              </w:rPr>
            </w:pPr>
            <w:r w:rsidRPr="0096703A">
              <w:rPr>
                <w:rFonts w:cs="Times New Roman"/>
                <w:sz w:val="20"/>
                <w:szCs w:val="20"/>
              </w:rPr>
              <w:t>55</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7086" w14:textId="77777777" w:rsidR="008F0A2F" w:rsidRPr="0096703A" w:rsidRDefault="008F0A2F" w:rsidP="0096703A">
            <w:pPr>
              <w:pStyle w:val="NoSpacing"/>
              <w:contextualSpacing/>
              <w:rPr>
                <w:rFonts w:cs="Times New Roman"/>
                <w:sz w:val="20"/>
                <w:szCs w:val="20"/>
              </w:rPr>
            </w:pPr>
            <w:r w:rsidRPr="0096703A">
              <w:rPr>
                <w:rFonts w:cs="Times New Roman"/>
                <w:sz w:val="20"/>
                <w:szCs w:val="20"/>
              </w:rPr>
              <w:t>41</w:t>
            </w:r>
          </w:p>
        </w:tc>
        <w:tc>
          <w:tcPr>
            <w:tcW w:w="1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38E30" w14:textId="77777777" w:rsidR="008F0A2F" w:rsidRPr="0096703A" w:rsidRDefault="008F0A2F" w:rsidP="0096703A">
            <w:pPr>
              <w:pStyle w:val="NoSpacing"/>
              <w:contextualSpacing/>
              <w:rPr>
                <w:rFonts w:cs="Times New Roman"/>
                <w:sz w:val="20"/>
                <w:szCs w:val="20"/>
                <w:lang w:eastAsia="en-GB"/>
              </w:rPr>
            </w:pPr>
            <w:r w:rsidRPr="0096703A">
              <w:rPr>
                <w:rFonts w:cs="Times New Roman"/>
                <w:sz w:val="20"/>
                <w:szCs w:val="20"/>
              </w:rPr>
              <w:t>74.5%</w:t>
            </w:r>
          </w:p>
        </w:tc>
      </w:tr>
      <w:tr w:rsidR="008F0A2F" w:rsidRPr="0096703A" w14:paraId="4B09EFFF" w14:textId="77777777" w:rsidTr="00C506B9">
        <w:trPr>
          <w:trHeight w:val="283"/>
          <w:jc w:val="center"/>
        </w:trPr>
        <w:tc>
          <w:tcPr>
            <w:tcW w:w="5000" w:type="pct"/>
            <w:gridSpan w:val="5"/>
            <w:tcBorders>
              <w:top w:val="single" w:sz="4" w:space="0" w:color="auto"/>
            </w:tcBorders>
            <w:shd w:val="clear" w:color="auto" w:fill="auto"/>
            <w:noWrap/>
            <w:vAlign w:val="center"/>
          </w:tcPr>
          <w:p w14:paraId="53890822" w14:textId="77777777" w:rsidR="008F0A2F" w:rsidRPr="0096703A" w:rsidRDefault="008F0A2F" w:rsidP="0096703A">
            <w:pPr>
              <w:spacing w:line="240" w:lineRule="auto"/>
              <w:contextualSpacing/>
              <w:rPr>
                <w:rFonts w:cs="Times New Roman"/>
                <w:sz w:val="20"/>
                <w:szCs w:val="20"/>
              </w:rPr>
            </w:pPr>
            <w:r w:rsidRPr="0096703A">
              <w:rPr>
                <w:rFonts w:cs="Times New Roman"/>
                <w:sz w:val="20"/>
                <w:szCs w:val="20"/>
              </w:rPr>
              <w:t>IFS, infantile fibrosarcoma; GIST, gastrointestinal stromal tumours</w:t>
            </w:r>
          </w:p>
        </w:tc>
      </w:tr>
    </w:tbl>
    <w:p w14:paraId="4D72EE20" w14:textId="77777777" w:rsidR="0096703A" w:rsidRDefault="0096703A" w:rsidP="008F0A2F"/>
    <w:p w14:paraId="20406888" w14:textId="4A3B09CC" w:rsidR="008F0A2F" w:rsidRPr="002D1DD7" w:rsidRDefault="008F0A2F" w:rsidP="0096703A">
      <w:r w:rsidRPr="002D1DD7">
        <w:t xml:space="preserve">We can consider each of the tumour types as a </w:t>
      </w:r>
      <w:r w:rsidR="002F4B6B">
        <w:t>‘</w:t>
      </w:r>
      <w:r w:rsidRPr="002D1DD7">
        <w:t>basket</w:t>
      </w:r>
      <w:r w:rsidR="002F4B6B">
        <w:t>’</w:t>
      </w:r>
      <w:r w:rsidRPr="002D1DD7">
        <w:t xml:space="preserve"> or group and analyse the response data using a BHM framework to explore the potential heterogeneity in effects across tumours.</w:t>
      </w:r>
    </w:p>
    <w:p w14:paraId="61F6F18F" w14:textId="77777777" w:rsidR="008F0A2F" w:rsidRPr="002D1DD7" w:rsidRDefault="008F0A2F" w:rsidP="0096703A">
      <w:pPr>
        <w:pStyle w:val="Heading4"/>
      </w:pPr>
      <w:bookmarkStart w:id="148" w:name="_Toc14614638"/>
      <w:bookmarkStart w:id="149" w:name="_Toc15228409"/>
      <w:bookmarkStart w:id="150" w:name="_Toc15296097"/>
      <w:bookmarkStart w:id="151" w:name="_Toc33776201"/>
      <w:r w:rsidRPr="002D1DD7">
        <w:t>Methods</w:t>
      </w:r>
      <w:bookmarkEnd w:id="148"/>
      <w:bookmarkEnd w:id="149"/>
      <w:bookmarkEnd w:id="150"/>
      <w:bookmarkEnd w:id="151"/>
    </w:p>
    <w:p w14:paraId="1C42FE25" w14:textId="4F6E47E1" w:rsidR="008F0A2F" w:rsidRPr="002D1DD7" w:rsidRDefault="008F0A2F" w:rsidP="0096703A">
      <w:r w:rsidRPr="002D1DD7">
        <w:t xml:space="preserve">For the response outcome, data available for each of the tumour types in the published literature are the number of responders,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Pr="002D1DD7">
        <w:t xml:space="preserve">, out of the total number of patients,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rsidR="0096703A">
        <w:t xml:space="preserve"> </w:t>
      </w:r>
      <w:r w:rsidRPr="002D1DD7">
        <w:t xml:space="preserve">for tumour type </w:t>
      </w:r>
      <w:r w:rsidR="0096703A" w:rsidRPr="0096703A">
        <w:rPr>
          <w:i/>
        </w:rPr>
        <w:t>j</w:t>
      </w:r>
      <w:r w:rsidRPr="002D1DD7">
        <w:t>, which are assumed to follow a binomial likelihood</w:t>
      </w:r>
    </w:p>
    <w:p w14:paraId="511C93FA" w14:textId="46D9A430" w:rsidR="008F0A2F" w:rsidRPr="002D1DD7" w:rsidRDefault="00C974E5" w:rsidP="008F0A2F">
      <m:oMathPara>
        <m:oMath>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r>
            <m:rPr>
              <m:sty m:val="p"/>
            </m:rPr>
            <w:rPr>
              <w:rFonts w:ascii="Cambria Math" w:hAnsi="Cambria Math"/>
            </w:rPr>
            <m:t>Binomial</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oMath>
      </m:oMathPara>
    </w:p>
    <w:p w14:paraId="5065C30C" w14:textId="15815A7A" w:rsidR="008F0A2F" w:rsidRPr="002D1DD7" w:rsidRDefault="008F0A2F" w:rsidP="008F0A2F">
      <w:r w:rsidRPr="002D1DD7">
        <w:t xml:space="preserve">where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2D1DD7">
        <w:t xml:space="preserve"> is the probability of response for tumour type</w:t>
      </w:r>
      <w:r w:rsidR="0096703A">
        <w:t xml:space="preserve"> </w:t>
      </w:r>
      <w:r w:rsidR="0096703A" w:rsidRPr="0096703A">
        <w:rPr>
          <w:i/>
        </w:rPr>
        <w:t>j</w:t>
      </w:r>
      <w:r w:rsidRPr="002D1DD7">
        <w:t xml:space="preserve">, with </w:t>
      </w:r>
      <m:oMath>
        <m:r>
          <w:rPr>
            <w:rFonts w:ascii="Cambria Math" w:hAnsi="Cambria Math"/>
          </w:rPr>
          <m:t>j=1,…,G</m:t>
        </m:r>
      </m:oMath>
      <w:r w:rsidRPr="002D1DD7">
        <w:t>, and</w:t>
      </w:r>
      <w:r w:rsidR="00A17F13">
        <w:t xml:space="preserve"> </w:t>
      </w:r>
      <m:oMath>
        <m:r>
          <w:rPr>
            <w:rFonts w:ascii="Cambria Math" w:hAnsi="Cambria Math"/>
          </w:rPr>
          <m:t>G</m:t>
        </m:r>
      </m:oMath>
      <w:r w:rsidRPr="002D1DD7">
        <w:t xml:space="preserve"> is the total number of tumour types. The log-odds of response in tumour type </w:t>
      </w:r>
      <w:r w:rsidR="0096703A" w:rsidRPr="0096703A">
        <w:rPr>
          <w:i/>
        </w:rPr>
        <w:t>j</w:t>
      </w:r>
      <w:r w:rsidRPr="002D1DD7">
        <w:t xml:space="preserve">,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Pr="002D1DD7">
        <w:t xml:space="preserve">, was modelled on the log-odds scale: </w:t>
      </w:r>
      <m:oMath>
        <m: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oMath>
      <w:r w:rsidRPr="002D1DD7">
        <w:t xml:space="preserve">. The BHM assumes that for each of the </w:t>
      </w:r>
      <m:oMath>
        <m:r>
          <w:rPr>
            <w:rFonts w:ascii="Cambria Math" w:hAnsi="Cambria Math"/>
          </w:rPr>
          <m:t>G</m:t>
        </m:r>
      </m:oMath>
      <w:r w:rsidR="00C506B9" w:rsidRPr="002D1DD7">
        <w:t xml:space="preserve"> </w:t>
      </w:r>
      <w:r w:rsidRPr="002D1DD7">
        <w:t xml:space="preserve">tumour types, the log-odds of response,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96703A" w:rsidRPr="002D1DD7">
        <w:t>,</w:t>
      </w:r>
      <w:r w:rsidR="0096703A">
        <w:t xml:space="preserve"> </w:t>
      </w:r>
      <w:r w:rsidRPr="002D1DD7">
        <w:t>are exchangeable and follow a N</w:t>
      </w:r>
      <w:r w:rsidR="00C6189A">
        <w:t>ormal distribution (equation 1</w:t>
      </w:r>
      <w:r w:rsidRPr="002D1DD7">
        <w:t>)</w:t>
      </w:r>
      <w:r w:rsidR="00C6189A">
        <w:t>.</w:t>
      </w:r>
    </w:p>
    <w:p w14:paraId="6AF88C68" w14:textId="2E5C1A30" w:rsidR="008F0A2F" w:rsidRPr="002D1DD7" w:rsidRDefault="008F0A2F" w:rsidP="008F0A2F">
      <w:r w:rsidRPr="002D1DD7">
        <w:t>We used a relatively conservative normal prior distribution for</w:t>
      </w:r>
      <w:r w:rsidR="008250BE">
        <w:t xml:space="preserve"> </w:t>
      </w:r>
      <w:r w:rsidR="008250BE" w:rsidRPr="008250BE">
        <w:rPr>
          <w:rFonts w:cs="Times New Roman"/>
          <w:i/>
        </w:rPr>
        <w:t>μ</w:t>
      </w:r>
      <w:r w:rsidRPr="002D1DD7">
        <w:t xml:space="preserve">, centred around a probability of response of 0.3 (a log-odds of -0.8473) which is often considered as a promising response rate, with a variance of 10 across all tumour types. Sensitivity of the results to </w:t>
      </w:r>
      <w:r w:rsidR="002C0313">
        <w:t xml:space="preserve">a </w:t>
      </w:r>
      <w:r w:rsidRPr="002D1DD7">
        <w:t xml:space="preserve">more favourable prior distribution where the prior probability of response across all tumour types is centred around a mean of 0.5 (a log-odds of 0) with the same variance was assessed. </w:t>
      </w:r>
    </w:p>
    <w:p w14:paraId="5C2F64F2" w14:textId="543025AF" w:rsidR="008F0A2F" w:rsidRPr="002D1DD7" w:rsidRDefault="008F0A2F">
      <w:r w:rsidRPr="002D1DD7">
        <w:t>The prior for the between-tumour heterogeneity standard deviation is specified as Uniform(0,5) which was found to be robust in a simulation study.</w:t>
      </w:r>
      <w:r w:rsidR="006F7FD7">
        <w:fldChar w:fldCharType="begin">
          <w:fldData xml:space="preserve">PEVuZE5vdGU+PENpdGU+PEF1dGhvcj5UaGFsbDwvQXV0aG9yPjxZZWFyPjIwMDM8L1llYXI+PFJl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=
</w:fldData>
        </w:fldChar>
      </w:r>
      <w:r w:rsidR="000E66DE">
        <w:instrText xml:space="preserve"> ADDIN EN.CITE </w:instrText>
      </w:r>
      <w:r w:rsidR="000E66DE">
        <w:fldChar w:fldCharType="begin">
          <w:fldData xml:space="preserve">PEVuZE5vdGU+PENpdGU+PEF1dGhvcj5UaGFsbDwvQXV0aG9yPjxZZWFyPjIwMDM8L1llYXI+PFJl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=
</w:fldData>
        </w:fldChar>
      </w:r>
      <w:r w:rsidR="000E66DE">
        <w:instrText xml:space="preserve"> ADDIN EN.CITE.DATA </w:instrText>
      </w:r>
      <w:r w:rsidR="000E66DE">
        <w:fldChar w:fldCharType="end"/>
      </w:r>
      <w:r w:rsidR="006F7FD7">
        <w:fldChar w:fldCharType="separate"/>
      </w:r>
      <w:r w:rsidR="006F7FD7" w:rsidRPr="006F7FD7">
        <w:rPr>
          <w:noProof/>
          <w:vertAlign w:val="superscript"/>
        </w:rPr>
        <w:t>44, 50</w:t>
      </w:r>
      <w:r w:rsidR="006F7FD7">
        <w:fldChar w:fldCharType="end"/>
      </w:r>
      <w:r w:rsidRPr="002D1DD7">
        <w:t xml:space="preserve"> An Inverse Gamma(2, 20) prior distribution for the between-tumour variance had previously been proposed</w:t>
      </w:r>
      <w:r w:rsidR="00A17F13">
        <w:t>,</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r w:rsidRPr="002D1DD7">
        <w:t xml:space="preserve"> meaning the between-tumour precision has prior mean 0.10 and variance 0.005. Inverse-gamma prior distributions were found to lead to posterior distributions which are highly sensitive to the chosen parameters and are therefore not recommended in most cases.</w:t>
      </w:r>
      <w:r w:rsidR="006F7FD7">
        <w:fldChar w:fldCharType="begin"/>
      </w:r>
      <w:r w:rsidR="000E66DE">
        <w:instrText xml:space="preserve"> ADDIN EN.CITE &lt;EndNote&gt;&lt;Cite&gt;&lt;Author&gt;Cunanan&lt;/Author&gt;&lt;Year&gt;2019&lt;/Year&gt;&lt;RecNum&gt;3408&lt;/RecNum&gt;&lt;DisplayText&gt;&lt;style face="superscript"&gt;50&lt;/style&gt;&lt;/DisplayText&gt;&lt;record&gt;&lt;rec-number&gt;3408&lt;/rec-number&gt;&lt;foreign-keys&gt;&lt;key app="EN" db-id="dwaevxvazfs2f3ewvzmxrd0k0wasw55p2z2w" timestamp="1569599389"&gt;3408&lt;/key&gt;&lt;/foreign-keys&gt;&lt;ref-type name="Journal Article"&gt;17&lt;/ref-type&gt;&lt;contributors&gt;&lt;authors&gt;&lt;author&gt;Cunanan, Kristen M&lt;/author&gt;&lt;author&gt;Iasonos, Alexia&lt;/author&gt;&lt;author&gt;Shen, Ronglai&lt;/author&gt;&lt;author&gt;Gönen, Mithat&lt;/author&gt;&lt;/authors&gt;&lt;/contributors&gt;&lt;titles&gt;&lt;title&gt;Variance prior specification for a basket trial design using Bayesian hierarchical modeling&lt;/title&gt;&lt;secondary-title&gt;Clinical Trials&lt;/secondary-title&gt;&lt;/titles&gt;&lt;periodical&gt;&lt;full-title&gt;Clinical Trials&lt;/full-title&gt;&lt;abbr-1&gt;Clin Trial&lt;/abbr-1&gt;&lt;/periodical&gt;&lt;pages&gt;142-153&lt;/pages&gt;&lt;volume&gt;16&lt;/volume&gt;&lt;number&gt;2&lt;/number&gt;&lt;keywords&gt;&lt;keyword&gt;Basket trial,phase II,Bayesian method,adaptive design,variance prior&lt;/keyword&gt;&lt;/keywords&gt;&lt;dates&gt;&lt;year&gt;2019&lt;/year&gt;&lt;/dates&gt;&lt;accession-num&gt;30526008&lt;/accession-num&gt;&lt;urls&gt;&lt;/urls&gt;&lt;electronic-resource-num&gt;10.1177/1740774518812779&lt;/electronic-resource-num&gt;&lt;research-notes&gt;https://journals.sagepub.com/doi/abs/10.1177/1740774518812779&lt;/research-notes&gt;&lt;/record&gt;&lt;/Cite&gt;&lt;/EndNote&gt;</w:instrText>
      </w:r>
      <w:r w:rsidR="006F7FD7">
        <w:fldChar w:fldCharType="separate"/>
      </w:r>
      <w:r w:rsidR="006F7FD7" w:rsidRPr="006F7FD7">
        <w:rPr>
          <w:noProof/>
          <w:vertAlign w:val="superscript"/>
        </w:rPr>
        <w:t>50</w:t>
      </w:r>
      <w:r w:rsidR="006F7FD7">
        <w:fldChar w:fldCharType="end"/>
      </w:r>
      <w:r w:rsidRPr="002D1DD7">
        <w:t xml:space="preserve"> The sensitivity of the results to the inverse-gamma prior distribution</w:t>
      </w:r>
      <w:r w:rsidR="002F4B6B">
        <w:t>,</w:t>
      </w:r>
      <w:r w:rsidRPr="002D1DD7">
        <w:t xml:space="preserve"> the between-tumour heterogeneity variance</w:t>
      </w:r>
      <w:r w:rsidR="002F4B6B">
        <w:t>,</w:t>
      </w:r>
      <w:r w:rsidRPr="002D1DD7">
        <w:t xml:space="preserve"> and to using different half-normal prior distributions for the between-study standard deviation was assessed.</w:t>
      </w:r>
      <w:r w:rsidR="006F7FD7">
        <w:fldChar w:fldCharType="begin"/>
      </w:r>
      <w:r w:rsidR="000E66DE">
        <w:instrText xml:space="preserve"> ADDIN EN.CITE &lt;EndNote&gt;&lt;Cite&gt;&lt;Author&gt;Cunanan&lt;/Author&gt;&lt;Year&gt;2019&lt;/Year&gt;&lt;RecNum&gt;3408&lt;/RecNum&gt;&lt;DisplayText&gt;&lt;style face="superscript"&gt;50&lt;/style&gt;&lt;/DisplayText&gt;&lt;record&gt;&lt;rec-number&gt;3408&lt;/rec-number&gt;&lt;foreign-keys&gt;&lt;key app="EN" db-id="dwaevxvazfs2f3ewvzmxrd0k0wasw55p2z2w" timestamp="1569599389"&gt;3408&lt;/key&gt;&lt;/foreign-keys&gt;&lt;ref-type name="Journal Article"&gt;17&lt;/ref-type&gt;&lt;contributors&gt;&lt;authors&gt;&lt;author&gt;Cunanan, Kristen M&lt;/author&gt;&lt;author&gt;Iasonos, Alexia&lt;/author&gt;&lt;author&gt;Shen, Ronglai&lt;/author&gt;&lt;author&gt;Gönen, Mithat&lt;/author&gt;&lt;/authors&gt;&lt;/contributors&gt;&lt;titles&gt;&lt;title&gt;Variance prior specification for a basket trial design using Bayesian hierarchical modeling&lt;/title&gt;&lt;secondary-title&gt;Clinical Trials&lt;/secondary-title&gt;&lt;/titles&gt;&lt;periodical&gt;&lt;full-title&gt;Clinical Trials&lt;/full-title&gt;&lt;abbr-1&gt;Clin Trial&lt;/abbr-1&gt;&lt;/periodical&gt;&lt;pages&gt;142-153&lt;/pages&gt;&lt;volume&gt;16&lt;/volume&gt;&lt;number&gt;2&lt;/number&gt;&lt;keywords&gt;&lt;keyword&gt;Basket trial,phase II,Bayesian method,adaptive design,variance prior&lt;/keyword&gt;&lt;/keywords&gt;&lt;dates&gt;&lt;year&gt;2019&lt;/year&gt;&lt;/dates&gt;&lt;accession-num&gt;30526008&lt;/accession-num&gt;&lt;urls&gt;&lt;/urls&gt;&lt;electronic-resource-num&gt;10.1177/1740774518812779&lt;/electronic-resource-num&gt;&lt;research-notes&gt;https://journals.sagepub.com/doi/abs/10.1177/1740774518812779&lt;/research-notes&gt;&lt;/record&gt;&lt;/Cite&gt;&lt;/EndNote&gt;</w:instrText>
      </w:r>
      <w:r w:rsidR="006F7FD7">
        <w:fldChar w:fldCharType="separate"/>
      </w:r>
      <w:r w:rsidR="006F7FD7" w:rsidRPr="006F7FD7">
        <w:rPr>
          <w:noProof/>
          <w:vertAlign w:val="superscript"/>
        </w:rPr>
        <w:t>50</w:t>
      </w:r>
      <w:r w:rsidR="006F7FD7">
        <w:fldChar w:fldCharType="end"/>
      </w:r>
      <w:r w:rsidRPr="002D1DD7">
        <w:t xml:space="preserve"> Half-Normal prior distributions with precision from 0.01 to 0.1 and 1 were</w:t>
      </w:r>
      <w:r w:rsidR="002C0313">
        <w:t xml:space="preserve"> also</w:t>
      </w:r>
      <w:r w:rsidR="00080BB6">
        <w:t xml:space="preserve"> assessed.</w:t>
      </w:r>
    </w:p>
    <w:p w14:paraId="214078CC" w14:textId="021CFD57" w:rsidR="008F0A2F" w:rsidRPr="002D1DD7" w:rsidRDefault="008F0A2F" w:rsidP="008F0A2F">
      <w:r w:rsidRPr="002D1DD7">
        <w:t xml:space="preserve">As the tumour types included in the analysis population are not reflective of the full licensed indication (i.e. a truly histology-independent marketing authorisation will encompass all tumour types, not just those represented in the trial), the predictive distribution for the response rate in a new tumour type is calculated to reflect the full degree of uncertainty both due to the sample size and the observed heterogeneity in effects across the observed tumours. The resulting distribution is the probability of response in a </w:t>
      </w:r>
      <w:r w:rsidR="002F4B6B">
        <w:t>‘</w:t>
      </w:r>
      <w:r w:rsidRPr="002D1DD7">
        <w:t>new</w:t>
      </w:r>
      <w:r w:rsidR="002F4B6B">
        <w:t>’</w:t>
      </w:r>
      <w:r w:rsidRPr="002D1DD7">
        <w:t>, i.e. unrepresented tumour type.</w:t>
      </w:r>
    </w:p>
    <w:p w14:paraId="27433C22" w14:textId="4B7A5009" w:rsidR="008F0A2F" w:rsidRPr="002D1DD7" w:rsidRDefault="008F0A2F">
      <w:r w:rsidRPr="002D1DD7">
        <w:lastRenderedPageBreak/>
        <w:t xml:space="preserve">The model was adapted from Thall </w:t>
      </w:r>
      <w:r w:rsidRPr="00B96AE7">
        <w:t>et al</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r w:rsidRPr="002D1DD7">
        <w:t xml:space="preserve"> and estimated using Markov chain Monte Carlo in OpenBUGS,</w:t>
      </w:r>
      <w:r w:rsidR="006F7FD7">
        <w:fldChar w:fldCharType="begin"/>
      </w:r>
      <w:r w:rsidR="004D5B2B">
        <w:instrText xml:space="preserve"> ADDIN EN.CITE &lt;EndNote&gt;&lt;Cite&gt;&lt;Author&gt;Lunn&lt;/Author&gt;&lt;Year&gt;2013&lt;/Year&gt;&lt;RecNum&gt;19&lt;/RecNum&gt;&lt;IDText&gt;550368&lt;/IDText&gt;&lt;DisplayText&gt;&lt;style face="superscript"&gt;149&lt;/style&gt;&lt;/DisplayText&gt;&lt;record&gt;&lt;rec-number&gt;19&lt;/rec-number&gt;&lt;foreign-keys&gt;&lt;key app="EN" db-id="pz0rrdex3zsv21etatn5ww0i0509tzrzexxd" timestamp="1580649515"&gt;19&lt;/key&gt;&lt;/foreign-keys&gt;&lt;ref-type name="Book"&gt;6&lt;/ref-type&gt;&lt;contributors&gt;&lt;authors&gt;&lt;author&gt;Lunn, D&lt;/author&gt;&lt;author&gt;Jackson, C&lt;/author&gt;&lt;author&gt;Best, N&lt;/author&gt;&lt;author&gt;Thomas, A&lt;/author&gt;&lt;author&gt;Spiegelhalter, D&lt;/author&gt;&lt;/authors&gt;&lt;/contributors&gt;&lt;titles&gt;&lt;title&gt;The BUGS book&lt;/title&gt;&lt;/titles&gt;&lt;dates&gt;&lt;year&gt;2013&lt;/year&gt;&lt;/dates&gt;&lt;pub-location&gt;Boca Raton, FL&lt;/pub-location&gt;&lt;publisher&gt;CRC Press&lt;/publisher&gt;&lt;isbn&gt;978-1-58488-849-9&lt;/isbn&gt;&lt;label&gt;550368&lt;/label&gt;&lt;urls&gt;&lt;/urls&gt;&lt;/record&gt;&lt;/Cite&gt;&lt;/EndNote&gt;</w:instrText>
      </w:r>
      <w:r w:rsidR="006F7FD7">
        <w:fldChar w:fldCharType="separate"/>
      </w:r>
      <w:r w:rsidR="004D5B2B" w:rsidRPr="004D5B2B">
        <w:rPr>
          <w:noProof/>
          <w:vertAlign w:val="superscript"/>
        </w:rPr>
        <w:t>149</w:t>
      </w:r>
      <w:r w:rsidR="006F7FD7">
        <w:fldChar w:fldCharType="end"/>
      </w:r>
      <w:r w:rsidRPr="002D1DD7">
        <w:t xml:space="preserve"> implemented in R</w:t>
      </w:r>
      <w:r w:rsidR="006F7FD7">
        <w:fldChar w:fldCharType="begin"/>
      </w:r>
      <w:r w:rsidR="004D5B2B">
        <w:instrText xml:space="preserve"> ADDIN EN.CITE &lt;EndNote&gt;&lt;Cite&gt;&lt;Author&gt;R Core Team&lt;/Author&gt;&lt;Year&gt;2019&lt;/Year&gt;&lt;RecNum&gt;20&lt;/RecNum&gt;&lt;DisplayText&gt;&lt;style face="superscript"&gt;150&lt;/style&gt;&lt;/DisplayText&gt;&lt;record&gt;&lt;rec-number&gt;20&lt;/rec-number&gt;&lt;foreign-keys&gt;&lt;key app="EN" db-id="pz0rrdex3zsv21etatn5ww0i0509tzrzexxd" timestamp="1580649515"&gt;20&lt;/key&gt;&lt;/foreign-keys&gt;&lt;ref-type name="Computer Program"&gt;9&lt;/ref-type&gt;&lt;contributors&gt;&lt;authors&gt;&lt;author&gt;R Core Team,&lt;/author&gt;&lt;/authors&gt;&lt;/contributors&gt;&lt;titles&gt;&lt;title&gt;R: A language and environment for statistical computing (https://www.R-project.org/)&lt;/title&gt;&lt;/titles&gt;&lt;dates&gt;&lt;year&gt;2019&lt;/year&gt;&lt;/dates&gt;&lt;pub-location&gt;Vienna, Austria&lt;/pub-location&gt;&lt;publisher&gt;R Foundation for Statistical Computing&lt;/publisher&gt;&lt;urls&gt;&lt;related-urls&gt;&lt;url&gt;https://www.R-project.org/&lt;/url&gt;&lt;/related-urls&gt;&lt;/urls&gt;&lt;/record&gt;&lt;/Cite&gt;&lt;/EndNote&gt;</w:instrText>
      </w:r>
      <w:r w:rsidR="006F7FD7">
        <w:fldChar w:fldCharType="separate"/>
      </w:r>
      <w:r w:rsidR="004D5B2B" w:rsidRPr="004D5B2B">
        <w:rPr>
          <w:noProof/>
          <w:vertAlign w:val="superscript"/>
        </w:rPr>
        <w:t>150</w:t>
      </w:r>
      <w:r w:rsidR="006F7FD7">
        <w:fldChar w:fldCharType="end"/>
      </w:r>
      <w:r w:rsidRPr="002D1DD7">
        <w:t xml:space="preserve"> (version 3.6.0) using R2OpenBUGS</w:t>
      </w:r>
      <w:r w:rsidR="006F7FD7">
        <w:fldChar w:fldCharType="begin">
          <w:fldData xml:space="preserve">PEVuZE5vdGU+PENpdGU+PEF1dGhvcj5TdHVydHo8L0F1dGhvcj48WWVhcj4yMDA1PC9ZZWFyPjxS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</w:fldData>
        </w:fldChar>
      </w:r>
      <w:r w:rsidR="004D5B2B">
        <w:instrText xml:space="preserve"> ADDIN EN.CITE </w:instrText>
      </w:r>
      <w:r w:rsidR="004D5B2B">
        <w:fldChar w:fldCharType="begin">
          <w:fldData xml:space="preserve">PEVuZE5vdGU+PENpdGU+PEF1dGhvcj5TdHVydHo8L0F1dGhvcj48WWVhcj4yMDA1PC9ZZWFyPjxS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</w:fldData>
        </w:fldChar>
      </w:r>
      <w:r w:rsidR="004D5B2B">
        <w:instrText xml:space="preserve"> ADDIN EN.CITE.DATA </w:instrText>
      </w:r>
      <w:r w:rsidR="004D5B2B">
        <w:fldChar w:fldCharType="end"/>
      </w:r>
      <w:r w:rsidR="006F7FD7">
        <w:fldChar w:fldCharType="separate"/>
      </w:r>
      <w:r w:rsidR="004D5B2B" w:rsidRPr="004D5B2B">
        <w:rPr>
          <w:noProof/>
          <w:vertAlign w:val="superscript"/>
        </w:rPr>
        <w:t>151</w:t>
      </w:r>
      <w:r w:rsidR="006F7FD7">
        <w:fldChar w:fldCharType="end"/>
      </w:r>
      <w:r w:rsidRPr="002D1DD7">
        <w:t xml:space="preserve"> (version 3.2.3.2)</w:t>
      </w:r>
      <w:r w:rsidR="00080BB6">
        <w:t>.</w:t>
      </w:r>
      <w:r w:rsidR="00F01A38" w:rsidRPr="002D1DD7">
        <w:t xml:space="preserve"> </w:t>
      </w:r>
      <w:r w:rsidR="00080BB6">
        <w:t>T</w:t>
      </w:r>
      <w:r w:rsidR="00F01A38" w:rsidRPr="002D1DD7">
        <w:t>he BUG</w:t>
      </w:r>
      <w:r w:rsidR="002C0313">
        <w:t>S</w:t>
      </w:r>
      <w:r w:rsidR="00F01A38" w:rsidRPr="002D1DD7">
        <w:t xml:space="preserve"> code used is presented in Appendix </w:t>
      </w:r>
      <w:r w:rsidR="00C9471F">
        <w:t>9</w:t>
      </w:r>
      <w:r w:rsidRPr="002D1DD7">
        <w:t>.</w:t>
      </w:r>
    </w:p>
    <w:p w14:paraId="5364E8F3" w14:textId="3A2C4DAA" w:rsidR="008F0A2F" w:rsidRPr="002D1DD7" w:rsidRDefault="008F0A2F" w:rsidP="008F0A2F">
      <w:r w:rsidRPr="002D1DD7">
        <w:t>Model fit was assessed by plotting individual tumour contributions to the residual deviance (in a well-fitting model these are expected to be close to 1) and by comparing the total residual deviance to the number of tumour types,</w:t>
      </w:r>
      <w:r w:rsidR="0094091E">
        <w:t xml:space="preserve"> </w:t>
      </w:r>
      <m:oMath>
        <m:r>
          <w:rPr>
            <w:rFonts w:ascii="Cambria Math" w:hAnsi="Cambria Math"/>
          </w:rPr>
          <m:t>G</m:t>
        </m:r>
      </m:oMath>
      <w:r w:rsidRPr="002D1DD7">
        <w:t>.</w:t>
      </w:r>
      <w:r w:rsidR="00C506B9">
        <w:t xml:space="preserve"> </w:t>
      </w:r>
      <w:r w:rsidRPr="002D1DD7">
        <w:t xml:space="preserve">Convergence was assessed by visual inspection of the Brooks-Gelman-Rubin plots and assessment of the </w:t>
      </w:r>
      <m:oMath>
        <m:acc>
          <m:accPr>
            <m:ctrlPr>
              <w:rPr>
                <w:rFonts w:ascii="Cambria Math" w:hAnsi="Cambria Math"/>
                <w:i/>
              </w:rPr>
            </m:ctrlPr>
          </m:accPr>
          <m:e>
            <m:r>
              <w:rPr>
                <w:rFonts w:ascii="Cambria Math" w:hAnsi="Cambria Math"/>
              </w:rPr>
              <m:t>R</m:t>
            </m:r>
          </m:e>
        </m:acc>
      </m:oMath>
      <w:r w:rsidRPr="002D1DD7">
        <w:t xml:space="preserve"> statistic.</w:t>
      </w:r>
      <w:r w:rsidR="006F7FD7">
        <w:fldChar w:fldCharType="begin"/>
      </w:r>
      <w:r w:rsidR="004D5B2B">
        <w:instrText xml:space="preserve"> ADDIN EN.CITE &lt;EndNote&gt;&lt;Cite&gt;&lt;Author&gt;Brooks&lt;/Author&gt;&lt;Year&gt;1998&lt;/Year&gt;&lt;RecNum&gt;22&lt;/RecNum&gt;&lt;IDText&gt;500232&lt;/IDText&gt;&lt;DisplayText&gt;&lt;style face="superscript"&gt;152, 153&lt;/style&gt;&lt;/DisplayText&gt;&lt;record&gt;&lt;rec-number&gt;22&lt;/rec-number&gt;&lt;foreign-keys&gt;&lt;key app="EN" db-id="pz0rrdex3zsv21etatn5ww0i0509tzrzexxd" timestamp="1580649515"&gt;22&lt;/key&gt;&lt;/foreign-keys&gt;&lt;ref-type name="Journal Article"&gt;17&lt;/ref-type&gt;&lt;contributors&gt;&lt;authors&gt;&lt;author&gt;Brooks,S.P.&lt;/author&gt;&lt;author&gt;Gelman,A.&lt;/author&gt;&lt;/authors&gt;&lt;/contributors&gt;&lt;titles&gt;&lt;title&gt;General methods for monitoring convergence of iterative simulations&lt;/title&gt;&lt;secondary-title&gt;Journal of Computational and Graphical Statistics&lt;/secondary-title&gt;&lt;/titles&gt;&lt;pages&gt;434-455&lt;/pages&gt;&lt;volume&gt;7&lt;/volume&gt;&lt;number&gt;4&lt;/number&gt;&lt;reprint-edition&gt;Not in File&lt;/reprint-edition&gt;&lt;keywords&gt;&lt;keyword&gt;AEAdes&lt;/keyword&gt;&lt;keyword&gt;convergence&lt;/keyword&gt;&lt;keyword&gt;Markov Chain Monte Carlo&lt;/keyword&gt;&lt;/keywords&gt;&lt;dates&gt;&lt;year&gt;1998&lt;/year&gt;&lt;pub-dates&gt;&lt;date&gt;1998&lt;/date&gt;&lt;/pub-dates&gt;&lt;/dates&gt;&lt;label&gt;500232&lt;/label&gt;&lt;urls&gt;&lt;/urls&gt;&lt;/record&gt;&lt;/Cite&gt;&lt;Cite&gt;&lt;Author&gt;Gelman&lt;/Author&gt;&lt;Year&gt;1992&lt;/Year&gt;&lt;RecNum&gt;23&lt;/RecNum&gt;&lt;IDText&gt;500654&lt;/IDText&gt;&lt;record&gt;&lt;rec-number&gt;23&lt;/rec-number&gt;&lt;foreign-keys&gt;&lt;key app="EN" db-id="pz0rrdex3zsv21etatn5ww0i0509tzrzexxd" timestamp="1580649515"&gt;23&lt;/key&gt;&lt;/foreign-keys&gt;&lt;ref-type name="Journal Article"&gt;17&lt;/ref-type&gt;&lt;contributors&gt;&lt;authors&gt;&lt;author&gt;Gelman,A.&lt;/author&gt;&lt;author&gt;Rubin,D.B.&lt;/author&gt;&lt;/authors&gt;&lt;/contributors&gt;&lt;titles&gt;&lt;title&gt;Inferences from iterative simulation using multiple sequences&lt;/title&gt;&lt;secondary-title&gt;Statistical Science&lt;/secondary-title&gt;&lt;/titles&gt;&lt;pages&gt;457-472&lt;/pages&gt;&lt;volume&gt;7&lt;/volume&gt;&lt;reprint-edition&gt;In File&lt;/reprint-edition&gt;&lt;keywords&gt;&lt;keyword&gt;inference&lt;/keyword&gt;&lt;/keywords&gt;&lt;dates&gt;&lt;year&gt;1992&lt;/year&gt;&lt;pub-dates&gt;&lt;date&gt;1992&lt;/date&gt;&lt;/pub-dates&gt;&lt;/dates&gt;&lt;label&gt;500654&lt;/label&gt;&lt;urls&gt;&lt;/urls&gt;&lt;/record&gt;&lt;/Cite&gt;&lt;/EndNote&gt;</w:instrText>
      </w:r>
      <w:r w:rsidR="006F7FD7">
        <w:fldChar w:fldCharType="separate"/>
      </w:r>
      <w:r w:rsidR="004D5B2B" w:rsidRPr="004D5B2B">
        <w:rPr>
          <w:noProof/>
          <w:vertAlign w:val="superscript"/>
        </w:rPr>
        <w:t>152, 153</w:t>
      </w:r>
      <w:r w:rsidR="006F7FD7">
        <w:fldChar w:fldCharType="end"/>
      </w:r>
      <w:r w:rsidR="00F01A38" w:rsidRPr="002D1DD7">
        <w:t xml:space="preserve"> </w:t>
      </w:r>
    </w:p>
    <w:p w14:paraId="614991E2" w14:textId="77777777" w:rsidR="008F0A2F" w:rsidRPr="002D1DD7" w:rsidRDefault="008F0A2F" w:rsidP="0094091E">
      <w:pPr>
        <w:pStyle w:val="Heading4"/>
      </w:pPr>
      <w:bookmarkStart w:id="152" w:name="_Toc33776202"/>
      <w:r w:rsidRPr="002D1DD7">
        <w:t>Results</w:t>
      </w:r>
      <w:bookmarkEnd w:id="152"/>
    </w:p>
    <w:p w14:paraId="733A05A2" w14:textId="40EEFEFC" w:rsidR="002C0313" w:rsidRDefault="002C0313" w:rsidP="0094091E">
      <w:r w:rsidRPr="002D1DD7">
        <w:t xml:space="preserve">For all analyses 55,000 iterations were run on </w:t>
      </w:r>
      <w:r w:rsidR="002F4B6B">
        <w:t>two</w:t>
      </w:r>
      <w:r w:rsidRPr="002D1DD7">
        <w:t xml:space="preserve"> parallel chains and the first 5,000 iterations discarded as </w:t>
      </w:r>
      <w:r w:rsidR="002F4B6B">
        <w:t>‘</w:t>
      </w:r>
      <w:r w:rsidRPr="002D1DD7">
        <w:t>burn-in</w:t>
      </w:r>
      <w:r w:rsidR="002F4B6B">
        <w:t>’</w:t>
      </w:r>
      <w:r w:rsidRPr="002D1DD7">
        <w:t>.</w:t>
      </w:r>
      <w:r>
        <w:t xml:space="preserve"> </w:t>
      </w:r>
      <w:r w:rsidRPr="002D1DD7">
        <w:t xml:space="preserve">Model fit statistics are presented in Appendix </w:t>
      </w:r>
      <w:r w:rsidR="00C9471F">
        <w:t>10</w:t>
      </w:r>
      <w:r w:rsidRPr="002D1DD7">
        <w:t>.</w:t>
      </w:r>
    </w:p>
    <w:p w14:paraId="50959002" w14:textId="4494E612" w:rsidR="008F0A2F" w:rsidRDefault="008F0A2F" w:rsidP="008F0A2F">
      <w:r w:rsidRPr="002D1DD7">
        <w:t>The prior distributions used for the base-case analysis are</w:t>
      </w:r>
    </w:p>
    <w:p w14:paraId="459F241D" w14:textId="5C882E97" w:rsidR="0094091E" w:rsidRPr="0094091E" w:rsidRDefault="0094091E" w:rsidP="008F0A2F">
      <m:oMathPara>
        <m:oMath>
          <m:r>
            <w:rPr>
              <w:rFonts w:ascii="Cambria Math" w:hAnsi="Cambria Math"/>
            </w:rPr>
            <m:t>μ~</m:t>
          </m:r>
          <m:r>
            <m:rPr>
              <m:sty m:val="p"/>
            </m:rPr>
            <w:rPr>
              <w:rFonts w:ascii="Cambria Math" w:hAnsi="Cambria Math"/>
            </w:rPr>
            <m:t>Normal</m:t>
          </m:r>
          <m:d>
            <m:dPr>
              <m:ctrlPr>
                <w:rPr>
                  <w:rFonts w:ascii="Cambria Math" w:hAnsi="Cambria Math"/>
                  <w:i/>
                </w:rPr>
              </m:ctrlPr>
            </m:dPr>
            <m:e>
              <m:r>
                <w:rPr>
                  <w:rFonts w:ascii="Cambria Math" w:hAnsi="Cambria Math"/>
                </w:rPr>
                <m:t>-0.8473,10</m:t>
              </m:r>
            </m:e>
          </m:d>
          <m:r>
            <m:rPr>
              <m:sty m:val="p"/>
            </m:rPr>
            <w:rPr>
              <w:rFonts w:ascii="Cambria Math" w:hAnsi="Cambria Math"/>
            </w:rPr>
            <w:br/>
          </m:r>
        </m:oMath>
        <m:oMath>
          <m:r>
            <w:rPr>
              <w:rFonts w:ascii="Cambria Math" w:hAnsi="Cambria Math"/>
            </w:rPr>
            <m:t>σ~</m:t>
          </m:r>
          <m:r>
            <m:rPr>
              <m:sty m:val="p"/>
            </m:rPr>
            <w:rPr>
              <w:rFonts w:ascii="Cambria Math" w:hAnsi="Cambria Math"/>
            </w:rPr>
            <m:t>Uniform</m:t>
          </m:r>
          <m:d>
            <m:dPr>
              <m:ctrlPr>
                <w:rPr>
                  <w:rFonts w:ascii="Cambria Math" w:hAnsi="Cambria Math"/>
                  <w:i/>
                </w:rPr>
              </m:ctrlPr>
            </m:dPr>
            <m:e>
              <m:r>
                <w:rPr>
                  <w:rFonts w:ascii="Cambria Math" w:hAnsi="Cambria Math"/>
                </w:rPr>
                <m:t>0,5</m:t>
              </m:r>
            </m:e>
          </m:d>
          <m:r>
            <w:rPr>
              <w:rFonts w:ascii="Cambria Math" w:hAnsi="Cambria Math"/>
            </w:rPr>
            <m:t xml:space="preserve"> </m:t>
          </m:r>
        </m:oMath>
      </m:oMathPara>
    </w:p>
    <w:p w14:paraId="57E451B9" w14:textId="613D8302" w:rsidR="008F0A2F" w:rsidRPr="002D1DD7" w:rsidRDefault="008F0A2F" w:rsidP="002C0313">
      <w:r w:rsidRPr="002D1DD7">
        <w:t>The BHM estimates substantial between-group heterogeneity, posterior median 2.86 on the log-odds scale, although there is considerable uncertainty (95% credible interval (CrI) of 0.92</w:t>
      </w:r>
      <w:r w:rsidR="00BC006F">
        <w:t xml:space="preserve"> to</w:t>
      </w:r>
      <w:r w:rsidRPr="002D1DD7">
        <w:t xml:space="preserve"> 4.83) (</w:t>
      </w:r>
      <w:r w:rsidRPr="002D1DD7">
        <w:fldChar w:fldCharType="begin"/>
      </w:r>
      <w:r w:rsidRPr="002D1DD7">
        <w:instrText xml:space="preserve"> REF _Ref26366888 \h </w:instrText>
      </w:r>
      <w:r w:rsidRPr="002D1DD7">
        <w:fldChar w:fldCharType="separate"/>
      </w:r>
      <w:r w:rsidR="00C663A2" w:rsidRPr="002D1DD7">
        <w:t xml:space="preserve">Figure </w:t>
      </w:r>
      <w:r w:rsidR="00C663A2">
        <w:rPr>
          <w:noProof/>
        </w:rPr>
        <w:t>8</w:t>
      </w:r>
      <w:r w:rsidRPr="002D1DD7">
        <w:fldChar w:fldCharType="end"/>
      </w:r>
      <w:r w:rsidRPr="002D1DD7">
        <w:t>). This suggests there is considerable variability across tumour types.</w:t>
      </w:r>
    </w:p>
    <w:p w14:paraId="76E750FB" w14:textId="5C3F76FF" w:rsidR="008F0A2F" w:rsidRPr="002D1DD7" w:rsidRDefault="008F0A2F" w:rsidP="0094091E">
      <w:pPr>
        <w:pStyle w:val="Caption"/>
      </w:pPr>
      <w:bookmarkStart w:id="153" w:name="_Ref26366888"/>
      <w:bookmarkStart w:id="154" w:name="_Toc34033568"/>
      <w:r w:rsidRPr="002D1DD7">
        <w:t xml:space="preserve">Figure </w:t>
      </w:r>
      <w:r w:rsidR="00C974E5">
        <w:fldChar w:fldCharType="begin"/>
      </w:r>
      <w:r w:rsidR="00C974E5">
        <w:instrText xml:space="preserve"> SEQ Figure \* ARABIC </w:instrText>
      </w:r>
      <w:r w:rsidR="00C974E5">
        <w:fldChar w:fldCharType="separate"/>
      </w:r>
      <w:r w:rsidR="00204911">
        <w:rPr>
          <w:noProof/>
        </w:rPr>
        <w:t>8</w:t>
      </w:r>
      <w:r w:rsidR="00C974E5">
        <w:rPr>
          <w:noProof/>
        </w:rPr>
        <w:fldChar w:fldCharType="end"/>
      </w:r>
      <w:bookmarkEnd w:id="153"/>
      <w:r w:rsidR="008C7423">
        <w:rPr>
          <w:noProof/>
        </w:rPr>
        <w:t>:</w:t>
      </w:r>
      <w:r w:rsidRPr="002D1DD7">
        <w:t xml:space="preserve"> Prior and posterior distributions for the between-group heterogeneity standard deviations</w:t>
      </w:r>
      <w:bookmarkEnd w:id="154"/>
    </w:p>
    <w:p w14:paraId="231A9556" w14:textId="77777777" w:rsidR="008F0A2F" w:rsidRPr="002D1DD7" w:rsidRDefault="008F0A2F" w:rsidP="008F0A2F">
      <w:r w:rsidRPr="002D1DD7">
        <w:rPr>
          <w:noProof/>
          <w:lang w:eastAsia="en-GB"/>
        </w:rPr>
        <w:drawing>
          <wp:inline distT="0" distB="0" distL="0" distR="0" wp14:anchorId="672062CC" wp14:editId="60FCD486">
            <wp:extent cx="5730875" cy="3370758"/>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690"/>
                    <a:stretch/>
                  </pic:blipFill>
                  <pic:spPr bwMode="auto">
                    <a:xfrm>
                      <a:off x="0" y="0"/>
                      <a:ext cx="5730875" cy="3370758"/>
                    </a:xfrm>
                    <a:prstGeom prst="rect">
                      <a:avLst/>
                    </a:prstGeom>
                    <a:noFill/>
                    <a:ln>
                      <a:noFill/>
                    </a:ln>
                    <a:extLst>
                      <a:ext uri="{53640926-AAD7-44D8-BBD7-CCE9431645EC}">
                        <a14:shadowObscured xmlns:a14="http://schemas.microsoft.com/office/drawing/2010/main"/>
                      </a:ext>
                    </a:extLst>
                  </pic:spPr>
                </pic:pic>
              </a:graphicData>
            </a:graphic>
          </wp:inline>
        </w:drawing>
      </w:r>
    </w:p>
    <w:p w14:paraId="4DDFCA4D" w14:textId="77777777" w:rsidR="008F0A2F" w:rsidRPr="002D1DD7" w:rsidRDefault="008F0A2F" w:rsidP="008F0A2F"/>
    <w:p w14:paraId="1D60BF72" w14:textId="485E6B89" w:rsidR="008F0A2F" w:rsidRPr="002D1DD7" w:rsidRDefault="008F0A2F" w:rsidP="0094091E">
      <w:pPr>
        <w:pStyle w:val="Caption"/>
      </w:pPr>
      <w:bookmarkStart w:id="155" w:name="_Ref26366948"/>
      <w:bookmarkStart w:id="156" w:name="_Toc34033526"/>
      <w:r w:rsidRPr="002D1DD7">
        <w:lastRenderedPageBreak/>
        <w:t xml:space="preserve">Table </w:t>
      </w:r>
      <w:r w:rsidR="00C974E5">
        <w:fldChar w:fldCharType="begin"/>
      </w:r>
      <w:r w:rsidR="00C974E5">
        <w:instrText xml:space="preserve"> SEQ </w:instrText>
      </w:r>
      <w:r w:rsidR="00C974E5">
        <w:instrText xml:space="preserve">Table \* ARABIC </w:instrText>
      </w:r>
      <w:r w:rsidR="00C974E5">
        <w:fldChar w:fldCharType="separate"/>
      </w:r>
      <w:r w:rsidR="00C9471F">
        <w:rPr>
          <w:noProof/>
        </w:rPr>
        <w:t>12</w:t>
      </w:r>
      <w:r w:rsidR="00C974E5">
        <w:rPr>
          <w:noProof/>
        </w:rPr>
        <w:fldChar w:fldCharType="end"/>
      </w:r>
      <w:bookmarkEnd w:id="155"/>
      <w:r w:rsidR="008C7423">
        <w:rPr>
          <w:noProof/>
        </w:rPr>
        <w:t>:</w:t>
      </w:r>
      <w:r w:rsidRPr="002D1DD7">
        <w:t xml:space="preserve"> Overall posterior probability of response</w:t>
      </w:r>
      <w:bookmarkEnd w:id="156"/>
    </w:p>
    <w:tbl>
      <w:tblPr>
        <w:tblW w:w="8480" w:type="dxa"/>
        <w:tblLook w:val="04A0" w:firstRow="1" w:lastRow="0" w:firstColumn="1" w:lastColumn="0" w:noHBand="0" w:noVBand="1"/>
      </w:tblPr>
      <w:tblGrid>
        <w:gridCol w:w="2271"/>
        <w:gridCol w:w="1840"/>
        <w:gridCol w:w="2126"/>
        <w:gridCol w:w="2243"/>
      </w:tblGrid>
      <w:tr w:rsidR="008F0A2F" w:rsidRPr="0094091E" w14:paraId="35B4F76E" w14:textId="77777777" w:rsidTr="00B0116C">
        <w:trPr>
          <w:trHeight w:val="502"/>
        </w:trPr>
        <w:tc>
          <w:tcPr>
            <w:tcW w:w="2271" w:type="dxa"/>
            <w:tcBorders>
              <w:top w:val="nil"/>
              <w:left w:val="nil"/>
              <w:bottom w:val="nil"/>
              <w:right w:val="nil"/>
            </w:tcBorders>
            <w:shd w:val="clear" w:color="auto" w:fill="auto"/>
            <w:noWrap/>
            <w:hideMark/>
          </w:tcPr>
          <w:p w14:paraId="239D393B" w14:textId="77777777" w:rsidR="008F0A2F" w:rsidRPr="0094091E" w:rsidRDefault="008F0A2F" w:rsidP="0094091E">
            <w:pPr>
              <w:pStyle w:val="NoSpacing"/>
              <w:contextualSpacing/>
              <w:jc w:val="center"/>
              <w:rPr>
                <w:sz w:val="20"/>
                <w:szCs w:val="20"/>
                <w:lang w:eastAsia="en-GB"/>
              </w:rPr>
            </w:pPr>
          </w:p>
        </w:tc>
        <w:tc>
          <w:tcPr>
            <w:tcW w:w="620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A9447A"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lang w:eastAsia="en-GB"/>
              </w:rPr>
              <w:t>Overall posterior probability of response</w:t>
            </w:r>
          </w:p>
        </w:tc>
      </w:tr>
      <w:tr w:rsidR="008F0A2F" w:rsidRPr="0094091E" w14:paraId="5B8CC950" w14:textId="77777777" w:rsidTr="00B0116C">
        <w:trPr>
          <w:trHeight w:val="423"/>
        </w:trPr>
        <w:tc>
          <w:tcPr>
            <w:tcW w:w="2271" w:type="dxa"/>
            <w:tcBorders>
              <w:top w:val="nil"/>
              <w:left w:val="nil"/>
              <w:bottom w:val="nil"/>
              <w:right w:val="nil"/>
            </w:tcBorders>
            <w:shd w:val="clear" w:color="auto" w:fill="auto"/>
            <w:noWrap/>
            <w:hideMark/>
          </w:tcPr>
          <w:p w14:paraId="7A84FB24" w14:textId="77777777" w:rsidR="008F0A2F" w:rsidRPr="0094091E" w:rsidRDefault="008F0A2F" w:rsidP="0094091E">
            <w:pPr>
              <w:pStyle w:val="NoSpacing"/>
              <w:contextualSpacing/>
              <w:jc w:val="center"/>
              <w:rPr>
                <w:color w:val="000000"/>
                <w:sz w:val="20"/>
                <w:szCs w:val="20"/>
                <w:lang w:eastAsia="en-GB"/>
              </w:rPr>
            </w:pP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9F85"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lang w:eastAsia="en-GB"/>
              </w:rPr>
              <w:t>mean</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8C81"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lang w:eastAsia="en-GB"/>
              </w:rPr>
              <w:t>median</w:t>
            </w:r>
          </w:p>
        </w:tc>
        <w:tc>
          <w:tcPr>
            <w:tcW w:w="2243" w:type="dxa"/>
            <w:tcBorders>
              <w:top w:val="single" w:sz="4" w:space="0" w:color="auto"/>
              <w:left w:val="single" w:sz="4" w:space="0" w:color="auto"/>
              <w:bottom w:val="nil"/>
              <w:right w:val="single" w:sz="4" w:space="0" w:color="auto"/>
            </w:tcBorders>
            <w:shd w:val="clear" w:color="auto" w:fill="auto"/>
            <w:noWrap/>
            <w:vAlign w:val="center"/>
            <w:hideMark/>
          </w:tcPr>
          <w:p w14:paraId="6BBA0CDF"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lang w:eastAsia="en-GB"/>
              </w:rPr>
              <w:t>95% CrI</w:t>
            </w:r>
          </w:p>
        </w:tc>
      </w:tr>
      <w:tr w:rsidR="008F0A2F" w:rsidRPr="0094091E" w14:paraId="5131CF8B" w14:textId="77777777" w:rsidTr="00B0116C">
        <w:trPr>
          <w:trHeight w:val="672"/>
        </w:trPr>
        <w:tc>
          <w:tcPr>
            <w:tcW w:w="2271" w:type="dxa"/>
            <w:tcBorders>
              <w:top w:val="single" w:sz="4" w:space="0" w:color="auto"/>
              <w:left w:val="single" w:sz="4" w:space="0" w:color="auto"/>
              <w:bottom w:val="single" w:sz="4" w:space="0" w:color="auto"/>
              <w:right w:val="nil"/>
            </w:tcBorders>
            <w:shd w:val="clear" w:color="auto" w:fill="auto"/>
            <w:vAlign w:val="center"/>
            <w:hideMark/>
          </w:tcPr>
          <w:p w14:paraId="4313D71B"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lang w:eastAsia="en-GB"/>
              </w:rPr>
              <w:t>Posterior probability of response</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006DD"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rPr>
              <w:t>0.609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473E"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rPr>
              <w:t>0.641</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DF235"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rPr>
              <w:t>(0.160,0.918)</w:t>
            </w:r>
          </w:p>
        </w:tc>
      </w:tr>
      <w:tr w:rsidR="008F0A2F" w:rsidRPr="0094091E" w14:paraId="694031D9" w14:textId="77777777" w:rsidTr="00B0116C">
        <w:trPr>
          <w:trHeight w:val="672"/>
        </w:trPr>
        <w:tc>
          <w:tcPr>
            <w:tcW w:w="2271" w:type="dxa"/>
            <w:tcBorders>
              <w:top w:val="nil"/>
              <w:left w:val="single" w:sz="4" w:space="0" w:color="auto"/>
              <w:bottom w:val="single" w:sz="4" w:space="0" w:color="auto"/>
              <w:right w:val="nil"/>
            </w:tcBorders>
            <w:shd w:val="clear" w:color="auto" w:fill="auto"/>
            <w:vAlign w:val="center"/>
            <w:hideMark/>
          </w:tcPr>
          <w:p w14:paraId="7EF3DDBC"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lang w:eastAsia="en-GB"/>
              </w:rPr>
              <w:t>Predictive probability of response</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E781F"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rPr>
              <w:t>0.569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1CCC"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rPr>
              <w:t>0.649</w:t>
            </w:r>
          </w:p>
        </w:tc>
        <w:tc>
          <w:tcPr>
            <w:tcW w:w="2243" w:type="dxa"/>
            <w:tcBorders>
              <w:top w:val="nil"/>
              <w:left w:val="single" w:sz="4" w:space="0" w:color="auto"/>
              <w:bottom w:val="single" w:sz="4" w:space="0" w:color="auto"/>
              <w:right w:val="single" w:sz="4" w:space="0" w:color="auto"/>
            </w:tcBorders>
            <w:shd w:val="clear" w:color="auto" w:fill="auto"/>
            <w:noWrap/>
            <w:vAlign w:val="center"/>
            <w:hideMark/>
          </w:tcPr>
          <w:p w14:paraId="7C94885C" w14:textId="77777777" w:rsidR="008F0A2F" w:rsidRPr="0094091E" w:rsidRDefault="008F0A2F" w:rsidP="0094091E">
            <w:pPr>
              <w:pStyle w:val="NoSpacing"/>
              <w:contextualSpacing/>
              <w:jc w:val="center"/>
              <w:rPr>
                <w:color w:val="000000"/>
                <w:sz w:val="20"/>
                <w:szCs w:val="20"/>
                <w:lang w:eastAsia="en-GB"/>
              </w:rPr>
            </w:pPr>
            <w:r w:rsidRPr="0094091E">
              <w:rPr>
                <w:color w:val="000000"/>
                <w:sz w:val="20"/>
                <w:szCs w:val="20"/>
              </w:rPr>
              <w:t>(0.002,0.999)</w:t>
            </w:r>
          </w:p>
        </w:tc>
      </w:tr>
    </w:tbl>
    <w:p w14:paraId="187ADAFD" w14:textId="77777777" w:rsidR="0094091E" w:rsidRDefault="0094091E" w:rsidP="008F0A2F"/>
    <w:p w14:paraId="002F58D7" w14:textId="49C975CE" w:rsidR="008F0A2F" w:rsidRPr="002D1DD7" w:rsidRDefault="008F0A2F" w:rsidP="008F0A2F">
      <w:r w:rsidRPr="002D1DD7">
        <w:t>The estimated mean response rate across all tumour types is 0.609 with 95% CrI (0.160, 0.918). This is lower than the mean response rate of 0.745 observed in the efficacy evaluable data set. The response probability predicted for an unrepresented tumour type is 0.569; however, the 95% CrI is wide meaning this probability could be as low as 0.2% or as high as 99.9% (</w:t>
      </w:r>
      <w:r w:rsidRPr="002D1DD7">
        <w:fldChar w:fldCharType="begin"/>
      </w:r>
      <w:r w:rsidRPr="002D1DD7">
        <w:instrText xml:space="preserve"> REF _Ref26366948 \h </w:instrText>
      </w:r>
      <w:r w:rsidRPr="002D1DD7">
        <w:fldChar w:fldCharType="separate"/>
      </w:r>
      <w:r w:rsidR="00C9471F" w:rsidRPr="002D1DD7">
        <w:t xml:space="preserve">Table </w:t>
      </w:r>
      <w:r w:rsidR="00C9471F">
        <w:rPr>
          <w:noProof/>
        </w:rPr>
        <w:t>12</w:t>
      </w:r>
      <w:r w:rsidRPr="002D1DD7">
        <w:fldChar w:fldCharType="end"/>
      </w:r>
      <w:r w:rsidRPr="002D1DD7">
        <w:t xml:space="preserve">, </w:t>
      </w:r>
      <w:r w:rsidRPr="002D1DD7">
        <w:fldChar w:fldCharType="begin"/>
      </w:r>
      <w:r w:rsidRPr="002D1DD7">
        <w:instrText xml:space="preserve"> REF _Ref26367017 \h </w:instrText>
      </w:r>
      <w:r w:rsidRPr="002D1DD7">
        <w:fldChar w:fldCharType="separate"/>
      </w:r>
      <w:r w:rsidR="00C663A2" w:rsidRPr="002D1DD7">
        <w:t xml:space="preserve">Figure </w:t>
      </w:r>
      <w:r w:rsidR="00C663A2">
        <w:rPr>
          <w:noProof/>
        </w:rPr>
        <w:t>9</w:t>
      </w:r>
      <w:r w:rsidRPr="002D1DD7">
        <w:fldChar w:fldCharType="end"/>
      </w:r>
      <w:r w:rsidRPr="002D1DD7">
        <w:t xml:space="preserve">). </w:t>
      </w:r>
    </w:p>
    <w:p w14:paraId="6594A725" w14:textId="02351865" w:rsidR="008F0A2F" w:rsidRPr="002D1DD7" w:rsidRDefault="008F0A2F" w:rsidP="0094091E">
      <w:pPr>
        <w:pStyle w:val="Caption"/>
      </w:pPr>
      <w:bookmarkStart w:id="157" w:name="_Ref26367017"/>
      <w:bookmarkStart w:id="158" w:name="_Toc34033569"/>
      <w:r w:rsidRPr="002D1DD7">
        <w:t xml:space="preserve">Figure </w:t>
      </w:r>
      <w:r w:rsidR="00C974E5">
        <w:fldChar w:fldCharType="begin"/>
      </w:r>
      <w:r w:rsidR="00C974E5">
        <w:instrText xml:space="preserve"> SEQ Figure \* ARABIC </w:instrText>
      </w:r>
      <w:r w:rsidR="00C974E5">
        <w:fldChar w:fldCharType="separate"/>
      </w:r>
      <w:r w:rsidR="00204911">
        <w:rPr>
          <w:noProof/>
        </w:rPr>
        <w:t>9</w:t>
      </w:r>
      <w:r w:rsidR="00C974E5">
        <w:rPr>
          <w:noProof/>
        </w:rPr>
        <w:fldChar w:fldCharType="end"/>
      </w:r>
      <w:bookmarkEnd w:id="157"/>
      <w:r w:rsidR="008C7423">
        <w:rPr>
          <w:noProof/>
        </w:rPr>
        <w:t>:</w:t>
      </w:r>
      <w:r w:rsidRPr="002D1DD7">
        <w:t xml:space="preserve"> Posterior and predictive distributions of response probability</w:t>
      </w:r>
      <w:bookmarkEnd w:id="158"/>
    </w:p>
    <w:p w14:paraId="12DD3500" w14:textId="77777777" w:rsidR="008F0A2F" w:rsidRPr="002D1DD7" w:rsidRDefault="008F0A2F" w:rsidP="008F0A2F">
      <w:r w:rsidRPr="002D1DD7">
        <w:rPr>
          <w:noProof/>
          <w:lang w:eastAsia="en-GB"/>
        </w:rPr>
        <w:drawing>
          <wp:inline distT="0" distB="0" distL="0" distR="0" wp14:anchorId="6C943672" wp14:editId="598FEBBE">
            <wp:extent cx="5730875" cy="340001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924"/>
                    <a:stretch/>
                  </pic:blipFill>
                  <pic:spPr bwMode="auto">
                    <a:xfrm>
                      <a:off x="0" y="0"/>
                      <a:ext cx="5730875" cy="3400019"/>
                    </a:xfrm>
                    <a:prstGeom prst="rect">
                      <a:avLst/>
                    </a:prstGeom>
                    <a:noFill/>
                    <a:ln>
                      <a:noFill/>
                    </a:ln>
                    <a:extLst>
                      <a:ext uri="{53640926-AAD7-44D8-BBD7-CCE9431645EC}">
                        <a14:shadowObscured xmlns:a14="http://schemas.microsoft.com/office/drawing/2010/main"/>
                      </a:ext>
                    </a:extLst>
                  </pic:spPr>
                </pic:pic>
              </a:graphicData>
            </a:graphic>
          </wp:inline>
        </w:drawing>
      </w:r>
    </w:p>
    <w:p w14:paraId="5DD2E68E" w14:textId="77777777" w:rsidR="00C506B9" w:rsidRDefault="00C506B9" w:rsidP="008F0A2F"/>
    <w:p w14:paraId="4B46EC75" w14:textId="7264A210" w:rsidR="008F0A2F" w:rsidRPr="002D1DD7" w:rsidRDefault="008F0A2F" w:rsidP="008F0A2F">
      <w:r w:rsidRPr="002D1DD7">
        <w:t xml:space="preserve">The estimated probabilities of response for each tumour type are shown in </w:t>
      </w:r>
      <w:r w:rsidRPr="002D1DD7">
        <w:fldChar w:fldCharType="begin"/>
      </w:r>
      <w:r w:rsidRPr="002D1DD7">
        <w:instrText xml:space="preserve"> REF _Ref26367087 \h </w:instrText>
      </w:r>
      <w:r w:rsidRPr="002D1DD7">
        <w:fldChar w:fldCharType="separate"/>
      </w:r>
      <w:r w:rsidR="00C9471F" w:rsidRPr="002D1DD7">
        <w:t xml:space="preserve">Table </w:t>
      </w:r>
      <w:r w:rsidR="00C9471F">
        <w:rPr>
          <w:noProof/>
        </w:rPr>
        <w:t>13</w:t>
      </w:r>
      <w:r w:rsidRPr="002D1DD7">
        <w:fldChar w:fldCharType="end"/>
      </w:r>
      <w:r w:rsidRPr="002D1DD7">
        <w:t>. The effect of allowing borrowing of information across the tumour types is to shrink the observed response probabilities towards the pooled mean response probability. Tumour types with few patients borrow more information than tumour types with more patients and therefore have values closer to the pooled mean.</w:t>
      </w:r>
    </w:p>
    <w:p w14:paraId="7AEA2BD4" w14:textId="0C603089" w:rsidR="008F0A2F" w:rsidRPr="002D1DD7" w:rsidRDefault="008F0A2F" w:rsidP="0094091E">
      <w:pPr>
        <w:pStyle w:val="Caption"/>
      </w:pPr>
      <w:bookmarkStart w:id="159" w:name="_Ref26367087"/>
      <w:bookmarkStart w:id="160" w:name="_Ref26367066"/>
      <w:bookmarkStart w:id="161" w:name="_Toc34033527"/>
      <w:r w:rsidRPr="002D1DD7">
        <w:lastRenderedPageBreak/>
        <w:t xml:space="preserve">Table </w:t>
      </w:r>
      <w:r w:rsidR="00C974E5">
        <w:fldChar w:fldCharType="begin"/>
      </w:r>
      <w:r w:rsidR="00C974E5">
        <w:instrText xml:space="preserve"> SEQ Table \* ARABIC </w:instrText>
      </w:r>
      <w:r w:rsidR="00C974E5">
        <w:fldChar w:fldCharType="separate"/>
      </w:r>
      <w:r w:rsidR="00C9471F">
        <w:rPr>
          <w:noProof/>
        </w:rPr>
        <w:t>13</w:t>
      </w:r>
      <w:r w:rsidR="00C974E5">
        <w:rPr>
          <w:noProof/>
        </w:rPr>
        <w:fldChar w:fldCharType="end"/>
      </w:r>
      <w:bookmarkEnd w:id="159"/>
      <w:r w:rsidR="008C7423">
        <w:rPr>
          <w:noProof/>
        </w:rPr>
        <w:t>:</w:t>
      </w:r>
      <w:r w:rsidRPr="002D1DD7">
        <w:t xml:space="preserve"> Probabilities of response for all tumour types</w:t>
      </w:r>
      <w:bookmarkEnd w:id="160"/>
      <w:bookmarkEnd w:id="161"/>
    </w:p>
    <w:tbl>
      <w:tblPr>
        <w:tblW w:w="9135" w:type="dxa"/>
        <w:tblLook w:val="04A0" w:firstRow="1" w:lastRow="0" w:firstColumn="1" w:lastColumn="0" w:noHBand="0" w:noVBand="1"/>
      </w:tblPr>
      <w:tblGrid>
        <w:gridCol w:w="2049"/>
        <w:gridCol w:w="1121"/>
        <w:gridCol w:w="1645"/>
        <w:gridCol w:w="1134"/>
        <w:gridCol w:w="1598"/>
        <w:gridCol w:w="1588"/>
      </w:tblGrid>
      <w:tr w:rsidR="008F0A2F" w:rsidRPr="0094091E" w14:paraId="4A53EEAC" w14:textId="77777777" w:rsidTr="002C0313">
        <w:trPr>
          <w:trHeight w:val="1249"/>
        </w:trPr>
        <w:tc>
          <w:tcPr>
            <w:tcW w:w="2049" w:type="dxa"/>
            <w:tcBorders>
              <w:top w:val="single" w:sz="4" w:space="0" w:color="auto"/>
              <w:left w:val="single" w:sz="4" w:space="0" w:color="auto"/>
              <w:bottom w:val="single" w:sz="4" w:space="0" w:color="auto"/>
              <w:right w:val="nil"/>
            </w:tcBorders>
            <w:shd w:val="clear" w:color="auto" w:fill="auto"/>
            <w:vAlign w:val="center"/>
            <w:hideMark/>
          </w:tcPr>
          <w:p w14:paraId="04A0505E"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Tumour Type</w:t>
            </w:r>
          </w:p>
        </w:tc>
        <w:tc>
          <w:tcPr>
            <w:tcW w:w="1121" w:type="dxa"/>
            <w:tcBorders>
              <w:top w:val="single" w:sz="4" w:space="0" w:color="auto"/>
              <w:left w:val="nil"/>
              <w:bottom w:val="single" w:sz="4" w:space="0" w:color="auto"/>
              <w:right w:val="nil"/>
            </w:tcBorders>
            <w:shd w:val="clear" w:color="auto" w:fill="auto"/>
            <w:vAlign w:val="center"/>
            <w:hideMark/>
          </w:tcPr>
          <w:p w14:paraId="1537CC71"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Observed Response</w:t>
            </w:r>
          </w:p>
        </w:tc>
        <w:tc>
          <w:tcPr>
            <w:tcW w:w="1645" w:type="dxa"/>
            <w:tcBorders>
              <w:top w:val="single" w:sz="4" w:space="0" w:color="auto"/>
              <w:left w:val="nil"/>
              <w:bottom w:val="single" w:sz="4" w:space="0" w:color="auto"/>
              <w:right w:val="nil"/>
            </w:tcBorders>
            <w:shd w:val="clear" w:color="auto" w:fill="auto"/>
            <w:vAlign w:val="center"/>
            <w:hideMark/>
          </w:tcPr>
          <w:p w14:paraId="18AAB790"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Estimated mean response based on BHM (%)</w:t>
            </w:r>
          </w:p>
        </w:tc>
        <w:tc>
          <w:tcPr>
            <w:tcW w:w="1134" w:type="dxa"/>
            <w:tcBorders>
              <w:top w:val="single" w:sz="4" w:space="0" w:color="auto"/>
              <w:left w:val="nil"/>
              <w:bottom w:val="single" w:sz="4" w:space="0" w:color="auto"/>
              <w:right w:val="nil"/>
            </w:tcBorders>
            <w:shd w:val="clear" w:color="auto" w:fill="auto"/>
            <w:vAlign w:val="center"/>
            <w:hideMark/>
          </w:tcPr>
          <w:p w14:paraId="6850BEB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95% CrI</w:t>
            </w:r>
          </w:p>
        </w:tc>
        <w:tc>
          <w:tcPr>
            <w:tcW w:w="1598" w:type="dxa"/>
            <w:tcBorders>
              <w:top w:val="single" w:sz="4" w:space="0" w:color="auto"/>
              <w:left w:val="nil"/>
              <w:bottom w:val="single" w:sz="4" w:space="0" w:color="auto"/>
              <w:right w:val="nil"/>
            </w:tcBorders>
            <w:shd w:val="clear" w:color="auto" w:fill="auto"/>
            <w:vAlign w:val="center"/>
            <w:hideMark/>
          </w:tcPr>
          <w:p w14:paraId="7CB25809"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Probability of response rate at least 30%</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60E84961"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Probability of response rate at least 10%</w:t>
            </w:r>
          </w:p>
        </w:tc>
      </w:tr>
      <w:tr w:rsidR="008F0A2F" w:rsidRPr="0094091E" w14:paraId="62D3D447" w14:textId="77777777" w:rsidTr="002C0313">
        <w:trPr>
          <w:trHeight w:val="397"/>
        </w:trPr>
        <w:tc>
          <w:tcPr>
            <w:tcW w:w="2049" w:type="dxa"/>
            <w:tcBorders>
              <w:top w:val="single" w:sz="4" w:space="0" w:color="auto"/>
              <w:left w:val="single" w:sz="4" w:space="0" w:color="auto"/>
              <w:bottom w:val="nil"/>
              <w:right w:val="nil"/>
            </w:tcBorders>
            <w:shd w:val="clear" w:color="auto" w:fill="auto"/>
            <w:noWrap/>
            <w:vAlign w:val="center"/>
            <w:hideMark/>
          </w:tcPr>
          <w:p w14:paraId="10F80D8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Sarcoma</w:t>
            </w:r>
          </w:p>
        </w:tc>
        <w:tc>
          <w:tcPr>
            <w:tcW w:w="1121" w:type="dxa"/>
            <w:tcBorders>
              <w:top w:val="single" w:sz="4" w:space="0" w:color="auto"/>
              <w:left w:val="nil"/>
              <w:bottom w:val="nil"/>
              <w:right w:val="nil"/>
            </w:tcBorders>
            <w:shd w:val="clear" w:color="auto" w:fill="auto"/>
            <w:noWrap/>
            <w:vAlign w:val="center"/>
            <w:hideMark/>
          </w:tcPr>
          <w:p w14:paraId="172CEEF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91%</w:t>
            </w:r>
          </w:p>
        </w:tc>
        <w:tc>
          <w:tcPr>
            <w:tcW w:w="1645" w:type="dxa"/>
            <w:tcBorders>
              <w:top w:val="single" w:sz="4" w:space="0" w:color="auto"/>
              <w:left w:val="nil"/>
              <w:bottom w:val="nil"/>
              <w:right w:val="nil"/>
            </w:tcBorders>
            <w:shd w:val="clear" w:color="auto" w:fill="auto"/>
            <w:noWrap/>
            <w:vAlign w:val="center"/>
            <w:hideMark/>
          </w:tcPr>
          <w:p w14:paraId="31D7F5D6"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88%</w:t>
            </w:r>
          </w:p>
        </w:tc>
        <w:tc>
          <w:tcPr>
            <w:tcW w:w="1134" w:type="dxa"/>
            <w:tcBorders>
              <w:top w:val="single" w:sz="4" w:space="0" w:color="auto"/>
              <w:left w:val="nil"/>
              <w:bottom w:val="nil"/>
              <w:right w:val="nil"/>
            </w:tcBorders>
            <w:shd w:val="clear" w:color="auto" w:fill="auto"/>
            <w:noWrap/>
            <w:vAlign w:val="center"/>
            <w:hideMark/>
          </w:tcPr>
          <w:p w14:paraId="44FEDB7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66 - 99%</w:t>
            </w:r>
          </w:p>
        </w:tc>
        <w:tc>
          <w:tcPr>
            <w:tcW w:w="1598" w:type="dxa"/>
            <w:tcBorders>
              <w:top w:val="single" w:sz="4" w:space="0" w:color="auto"/>
              <w:left w:val="nil"/>
              <w:bottom w:val="nil"/>
              <w:right w:val="nil"/>
            </w:tcBorders>
            <w:shd w:val="clear" w:color="auto" w:fill="auto"/>
            <w:noWrap/>
            <w:vAlign w:val="center"/>
            <w:hideMark/>
          </w:tcPr>
          <w:p w14:paraId="00377F4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c>
          <w:tcPr>
            <w:tcW w:w="1588" w:type="dxa"/>
            <w:tcBorders>
              <w:top w:val="single" w:sz="4" w:space="0" w:color="auto"/>
              <w:left w:val="nil"/>
              <w:bottom w:val="nil"/>
              <w:right w:val="single" w:sz="4" w:space="0" w:color="auto"/>
            </w:tcBorders>
            <w:shd w:val="clear" w:color="auto" w:fill="auto"/>
            <w:noWrap/>
            <w:vAlign w:val="center"/>
            <w:hideMark/>
          </w:tcPr>
          <w:p w14:paraId="6C1AFFCA"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r>
      <w:tr w:rsidR="008F0A2F" w:rsidRPr="0094091E" w14:paraId="125529D1"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7383A59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Salivary</w:t>
            </w:r>
          </w:p>
        </w:tc>
        <w:tc>
          <w:tcPr>
            <w:tcW w:w="1121" w:type="dxa"/>
            <w:tcBorders>
              <w:top w:val="nil"/>
              <w:left w:val="nil"/>
              <w:bottom w:val="nil"/>
              <w:right w:val="nil"/>
            </w:tcBorders>
            <w:shd w:val="clear" w:color="auto" w:fill="auto"/>
            <w:noWrap/>
            <w:vAlign w:val="center"/>
            <w:hideMark/>
          </w:tcPr>
          <w:p w14:paraId="1C74B773"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83%</w:t>
            </w:r>
          </w:p>
        </w:tc>
        <w:tc>
          <w:tcPr>
            <w:tcW w:w="1645" w:type="dxa"/>
            <w:tcBorders>
              <w:top w:val="nil"/>
              <w:left w:val="nil"/>
              <w:bottom w:val="nil"/>
              <w:right w:val="nil"/>
            </w:tcBorders>
            <w:shd w:val="clear" w:color="auto" w:fill="auto"/>
            <w:noWrap/>
            <w:vAlign w:val="center"/>
            <w:hideMark/>
          </w:tcPr>
          <w:p w14:paraId="44AE7AB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82%</w:t>
            </w:r>
          </w:p>
        </w:tc>
        <w:tc>
          <w:tcPr>
            <w:tcW w:w="1134" w:type="dxa"/>
            <w:tcBorders>
              <w:top w:val="nil"/>
              <w:left w:val="nil"/>
              <w:bottom w:val="nil"/>
              <w:right w:val="nil"/>
            </w:tcBorders>
            <w:shd w:val="clear" w:color="auto" w:fill="auto"/>
            <w:noWrap/>
            <w:vAlign w:val="center"/>
            <w:hideMark/>
          </w:tcPr>
          <w:p w14:paraId="74A774D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58 - 97%</w:t>
            </w:r>
          </w:p>
        </w:tc>
        <w:tc>
          <w:tcPr>
            <w:tcW w:w="1598" w:type="dxa"/>
            <w:tcBorders>
              <w:top w:val="nil"/>
              <w:left w:val="nil"/>
              <w:bottom w:val="nil"/>
              <w:right w:val="nil"/>
            </w:tcBorders>
            <w:shd w:val="clear" w:color="auto" w:fill="auto"/>
            <w:noWrap/>
            <w:vAlign w:val="center"/>
            <w:hideMark/>
          </w:tcPr>
          <w:p w14:paraId="5739F6D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c>
          <w:tcPr>
            <w:tcW w:w="1588" w:type="dxa"/>
            <w:tcBorders>
              <w:top w:val="nil"/>
              <w:left w:val="nil"/>
              <w:bottom w:val="nil"/>
              <w:right w:val="single" w:sz="4" w:space="0" w:color="auto"/>
            </w:tcBorders>
            <w:shd w:val="clear" w:color="auto" w:fill="auto"/>
            <w:noWrap/>
            <w:vAlign w:val="center"/>
            <w:hideMark/>
          </w:tcPr>
          <w:p w14:paraId="65C0038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r>
      <w:tr w:rsidR="008F0A2F" w:rsidRPr="0094091E" w14:paraId="25E6B958"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6831F87C"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IFS</w:t>
            </w:r>
          </w:p>
        </w:tc>
        <w:tc>
          <w:tcPr>
            <w:tcW w:w="1121" w:type="dxa"/>
            <w:tcBorders>
              <w:top w:val="nil"/>
              <w:left w:val="nil"/>
              <w:bottom w:val="nil"/>
              <w:right w:val="nil"/>
            </w:tcBorders>
            <w:shd w:val="clear" w:color="auto" w:fill="auto"/>
            <w:noWrap/>
            <w:vAlign w:val="center"/>
            <w:hideMark/>
          </w:tcPr>
          <w:p w14:paraId="6016AAC6"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w:t>
            </w:r>
          </w:p>
        </w:tc>
        <w:tc>
          <w:tcPr>
            <w:tcW w:w="1645" w:type="dxa"/>
            <w:tcBorders>
              <w:top w:val="nil"/>
              <w:left w:val="nil"/>
              <w:bottom w:val="nil"/>
              <w:right w:val="nil"/>
            </w:tcBorders>
            <w:shd w:val="clear" w:color="auto" w:fill="auto"/>
            <w:noWrap/>
            <w:vAlign w:val="center"/>
            <w:hideMark/>
          </w:tcPr>
          <w:p w14:paraId="60A26630"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93%</w:t>
            </w:r>
          </w:p>
        </w:tc>
        <w:tc>
          <w:tcPr>
            <w:tcW w:w="1134" w:type="dxa"/>
            <w:tcBorders>
              <w:top w:val="nil"/>
              <w:left w:val="nil"/>
              <w:bottom w:val="nil"/>
              <w:right w:val="nil"/>
            </w:tcBorders>
            <w:shd w:val="clear" w:color="auto" w:fill="auto"/>
            <w:noWrap/>
            <w:vAlign w:val="center"/>
            <w:hideMark/>
          </w:tcPr>
          <w:p w14:paraId="51372DB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70 - 100%</w:t>
            </w:r>
          </w:p>
        </w:tc>
        <w:tc>
          <w:tcPr>
            <w:tcW w:w="1598" w:type="dxa"/>
            <w:tcBorders>
              <w:top w:val="nil"/>
              <w:left w:val="nil"/>
              <w:bottom w:val="nil"/>
              <w:right w:val="nil"/>
            </w:tcBorders>
            <w:shd w:val="clear" w:color="auto" w:fill="auto"/>
            <w:noWrap/>
            <w:vAlign w:val="center"/>
            <w:hideMark/>
          </w:tcPr>
          <w:p w14:paraId="4CE24729"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c>
          <w:tcPr>
            <w:tcW w:w="1588" w:type="dxa"/>
            <w:tcBorders>
              <w:top w:val="nil"/>
              <w:left w:val="nil"/>
              <w:bottom w:val="nil"/>
              <w:right w:val="single" w:sz="4" w:space="0" w:color="auto"/>
            </w:tcBorders>
            <w:shd w:val="clear" w:color="auto" w:fill="auto"/>
            <w:noWrap/>
            <w:vAlign w:val="center"/>
            <w:hideMark/>
          </w:tcPr>
          <w:p w14:paraId="1FD0BCC6"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r>
      <w:tr w:rsidR="008F0A2F" w:rsidRPr="0094091E" w14:paraId="10BD990B"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1F612E67"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Thyroid</w:t>
            </w:r>
          </w:p>
        </w:tc>
        <w:tc>
          <w:tcPr>
            <w:tcW w:w="1121" w:type="dxa"/>
            <w:tcBorders>
              <w:top w:val="nil"/>
              <w:left w:val="nil"/>
              <w:bottom w:val="nil"/>
              <w:right w:val="nil"/>
            </w:tcBorders>
            <w:shd w:val="clear" w:color="auto" w:fill="auto"/>
            <w:noWrap/>
            <w:vAlign w:val="center"/>
            <w:hideMark/>
          </w:tcPr>
          <w:p w14:paraId="6E3DD931"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w:t>
            </w:r>
          </w:p>
        </w:tc>
        <w:tc>
          <w:tcPr>
            <w:tcW w:w="1645" w:type="dxa"/>
            <w:tcBorders>
              <w:top w:val="nil"/>
              <w:left w:val="nil"/>
              <w:bottom w:val="nil"/>
              <w:right w:val="nil"/>
            </w:tcBorders>
            <w:shd w:val="clear" w:color="auto" w:fill="auto"/>
            <w:noWrap/>
            <w:vAlign w:val="center"/>
            <w:hideMark/>
          </w:tcPr>
          <w:p w14:paraId="55C21A5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92%</w:t>
            </w:r>
          </w:p>
        </w:tc>
        <w:tc>
          <w:tcPr>
            <w:tcW w:w="1134" w:type="dxa"/>
            <w:tcBorders>
              <w:top w:val="nil"/>
              <w:left w:val="nil"/>
              <w:bottom w:val="nil"/>
              <w:right w:val="nil"/>
            </w:tcBorders>
            <w:shd w:val="clear" w:color="auto" w:fill="auto"/>
            <w:noWrap/>
            <w:vAlign w:val="center"/>
            <w:hideMark/>
          </w:tcPr>
          <w:p w14:paraId="12799164"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63 - 100%</w:t>
            </w:r>
          </w:p>
        </w:tc>
        <w:tc>
          <w:tcPr>
            <w:tcW w:w="1598" w:type="dxa"/>
            <w:tcBorders>
              <w:top w:val="nil"/>
              <w:left w:val="nil"/>
              <w:bottom w:val="nil"/>
              <w:right w:val="nil"/>
            </w:tcBorders>
            <w:shd w:val="clear" w:color="auto" w:fill="auto"/>
            <w:noWrap/>
            <w:vAlign w:val="center"/>
            <w:hideMark/>
          </w:tcPr>
          <w:p w14:paraId="5CCB60A0"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c>
          <w:tcPr>
            <w:tcW w:w="1588" w:type="dxa"/>
            <w:tcBorders>
              <w:top w:val="nil"/>
              <w:left w:val="nil"/>
              <w:bottom w:val="nil"/>
              <w:right w:val="single" w:sz="4" w:space="0" w:color="auto"/>
            </w:tcBorders>
            <w:shd w:val="clear" w:color="auto" w:fill="auto"/>
            <w:noWrap/>
            <w:vAlign w:val="center"/>
            <w:hideMark/>
          </w:tcPr>
          <w:p w14:paraId="0146B5E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r>
      <w:tr w:rsidR="008F0A2F" w:rsidRPr="0094091E" w14:paraId="2AF2ADBA"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54A4F5F7"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Lung</w:t>
            </w:r>
          </w:p>
        </w:tc>
        <w:tc>
          <w:tcPr>
            <w:tcW w:w="1121" w:type="dxa"/>
            <w:tcBorders>
              <w:top w:val="nil"/>
              <w:left w:val="nil"/>
              <w:bottom w:val="nil"/>
              <w:right w:val="nil"/>
            </w:tcBorders>
            <w:shd w:val="clear" w:color="auto" w:fill="auto"/>
            <w:noWrap/>
            <w:vAlign w:val="center"/>
            <w:hideMark/>
          </w:tcPr>
          <w:p w14:paraId="577CE832"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75%</w:t>
            </w:r>
          </w:p>
        </w:tc>
        <w:tc>
          <w:tcPr>
            <w:tcW w:w="1645" w:type="dxa"/>
            <w:tcBorders>
              <w:top w:val="nil"/>
              <w:left w:val="nil"/>
              <w:bottom w:val="nil"/>
              <w:right w:val="nil"/>
            </w:tcBorders>
            <w:shd w:val="clear" w:color="auto" w:fill="auto"/>
            <w:noWrap/>
            <w:vAlign w:val="center"/>
            <w:hideMark/>
          </w:tcPr>
          <w:p w14:paraId="6DE4B80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73%</w:t>
            </w:r>
          </w:p>
        </w:tc>
        <w:tc>
          <w:tcPr>
            <w:tcW w:w="1134" w:type="dxa"/>
            <w:tcBorders>
              <w:top w:val="nil"/>
              <w:left w:val="nil"/>
              <w:bottom w:val="nil"/>
              <w:right w:val="nil"/>
            </w:tcBorders>
            <w:shd w:val="clear" w:color="auto" w:fill="auto"/>
            <w:noWrap/>
            <w:vAlign w:val="center"/>
            <w:hideMark/>
          </w:tcPr>
          <w:p w14:paraId="7A75CE8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30 - 98%</w:t>
            </w:r>
          </w:p>
        </w:tc>
        <w:tc>
          <w:tcPr>
            <w:tcW w:w="1598" w:type="dxa"/>
            <w:tcBorders>
              <w:top w:val="nil"/>
              <w:left w:val="nil"/>
              <w:bottom w:val="nil"/>
              <w:right w:val="nil"/>
            </w:tcBorders>
            <w:shd w:val="clear" w:color="auto" w:fill="auto"/>
            <w:noWrap/>
            <w:vAlign w:val="center"/>
            <w:hideMark/>
          </w:tcPr>
          <w:p w14:paraId="1480B1A4"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0.976</w:t>
            </w:r>
          </w:p>
        </w:tc>
        <w:tc>
          <w:tcPr>
            <w:tcW w:w="1588" w:type="dxa"/>
            <w:tcBorders>
              <w:top w:val="nil"/>
              <w:left w:val="nil"/>
              <w:bottom w:val="nil"/>
              <w:right w:val="single" w:sz="4" w:space="0" w:color="auto"/>
            </w:tcBorders>
            <w:shd w:val="clear" w:color="auto" w:fill="auto"/>
            <w:noWrap/>
            <w:vAlign w:val="center"/>
            <w:hideMark/>
          </w:tcPr>
          <w:p w14:paraId="282B94A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0.999</w:t>
            </w:r>
          </w:p>
        </w:tc>
      </w:tr>
      <w:tr w:rsidR="008F0A2F" w:rsidRPr="0094091E" w14:paraId="6AE26EB7"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3AFF70FE"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Melanoma</w:t>
            </w:r>
          </w:p>
        </w:tc>
        <w:tc>
          <w:tcPr>
            <w:tcW w:w="1121" w:type="dxa"/>
            <w:tcBorders>
              <w:top w:val="nil"/>
              <w:left w:val="nil"/>
              <w:bottom w:val="nil"/>
              <w:right w:val="nil"/>
            </w:tcBorders>
            <w:shd w:val="clear" w:color="auto" w:fill="auto"/>
            <w:noWrap/>
            <w:vAlign w:val="center"/>
            <w:hideMark/>
          </w:tcPr>
          <w:p w14:paraId="749E917E"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50%</w:t>
            </w:r>
          </w:p>
        </w:tc>
        <w:tc>
          <w:tcPr>
            <w:tcW w:w="1645" w:type="dxa"/>
            <w:tcBorders>
              <w:top w:val="nil"/>
              <w:left w:val="nil"/>
              <w:bottom w:val="nil"/>
              <w:right w:val="nil"/>
            </w:tcBorders>
            <w:shd w:val="clear" w:color="auto" w:fill="auto"/>
            <w:noWrap/>
            <w:vAlign w:val="center"/>
            <w:hideMark/>
          </w:tcPr>
          <w:p w14:paraId="02408B1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52%</w:t>
            </w:r>
          </w:p>
        </w:tc>
        <w:tc>
          <w:tcPr>
            <w:tcW w:w="1134" w:type="dxa"/>
            <w:tcBorders>
              <w:top w:val="nil"/>
              <w:left w:val="nil"/>
              <w:bottom w:val="nil"/>
              <w:right w:val="nil"/>
            </w:tcBorders>
            <w:shd w:val="clear" w:color="auto" w:fill="auto"/>
            <w:noWrap/>
            <w:vAlign w:val="center"/>
            <w:hideMark/>
          </w:tcPr>
          <w:p w14:paraId="0124654C"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12 - 89%</w:t>
            </w:r>
          </w:p>
        </w:tc>
        <w:tc>
          <w:tcPr>
            <w:tcW w:w="1598" w:type="dxa"/>
            <w:tcBorders>
              <w:top w:val="nil"/>
              <w:left w:val="nil"/>
              <w:bottom w:val="nil"/>
              <w:right w:val="nil"/>
            </w:tcBorders>
            <w:shd w:val="clear" w:color="auto" w:fill="auto"/>
            <w:noWrap/>
            <w:vAlign w:val="center"/>
            <w:hideMark/>
          </w:tcPr>
          <w:p w14:paraId="6C4EBEB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0.835</w:t>
            </w:r>
          </w:p>
        </w:tc>
        <w:tc>
          <w:tcPr>
            <w:tcW w:w="1588" w:type="dxa"/>
            <w:tcBorders>
              <w:top w:val="nil"/>
              <w:left w:val="nil"/>
              <w:bottom w:val="nil"/>
              <w:right w:val="single" w:sz="4" w:space="0" w:color="auto"/>
            </w:tcBorders>
            <w:shd w:val="clear" w:color="auto" w:fill="auto"/>
            <w:noWrap/>
            <w:vAlign w:val="center"/>
            <w:hideMark/>
          </w:tcPr>
          <w:p w14:paraId="23F78CD4"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0.984</w:t>
            </w:r>
          </w:p>
        </w:tc>
      </w:tr>
      <w:tr w:rsidR="008F0A2F" w:rsidRPr="0094091E" w14:paraId="030268E8"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0BBE4A2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Colon</w:t>
            </w:r>
          </w:p>
        </w:tc>
        <w:tc>
          <w:tcPr>
            <w:tcW w:w="1121" w:type="dxa"/>
            <w:tcBorders>
              <w:top w:val="nil"/>
              <w:left w:val="nil"/>
              <w:bottom w:val="nil"/>
              <w:right w:val="nil"/>
            </w:tcBorders>
            <w:shd w:val="clear" w:color="auto" w:fill="auto"/>
            <w:noWrap/>
            <w:vAlign w:val="center"/>
            <w:hideMark/>
          </w:tcPr>
          <w:p w14:paraId="1E30AF8A"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25%</w:t>
            </w:r>
          </w:p>
        </w:tc>
        <w:tc>
          <w:tcPr>
            <w:tcW w:w="1645" w:type="dxa"/>
            <w:tcBorders>
              <w:top w:val="nil"/>
              <w:left w:val="nil"/>
              <w:bottom w:val="nil"/>
              <w:right w:val="nil"/>
            </w:tcBorders>
            <w:shd w:val="clear" w:color="auto" w:fill="auto"/>
            <w:noWrap/>
            <w:vAlign w:val="center"/>
            <w:hideMark/>
          </w:tcPr>
          <w:p w14:paraId="4CCAF907"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32%</w:t>
            </w:r>
          </w:p>
        </w:tc>
        <w:tc>
          <w:tcPr>
            <w:tcW w:w="1134" w:type="dxa"/>
            <w:tcBorders>
              <w:top w:val="nil"/>
              <w:left w:val="nil"/>
              <w:bottom w:val="nil"/>
              <w:right w:val="nil"/>
            </w:tcBorders>
            <w:shd w:val="clear" w:color="auto" w:fill="auto"/>
            <w:noWrap/>
            <w:vAlign w:val="center"/>
            <w:hideMark/>
          </w:tcPr>
          <w:p w14:paraId="21C06EB7"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3 - 75%</w:t>
            </w:r>
          </w:p>
        </w:tc>
        <w:tc>
          <w:tcPr>
            <w:tcW w:w="1598" w:type="dxa"/>
            <w:tcBorders>
              <w:top w:val="nil"/>
              <w:left w:val="nil"/>
              <w:bottom w:val="nil"/>
              <w:right w:val="nil"/>
            </w:tcBorders>
            <w:shd w:val="clear" w:color="auto" w:fill="auto"/>
            <w:noWrap/>
            <w:vAlign w:val="center"/>
            <w:hideMark/>
          </w:tcPr>
          <w:p w14:paraId="6E642EE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0.484</w:t>
            </w:r>
          </w:p>
        </w:tc>
        <w:tc>
          <w:tcPr>
            <w:tcW w:w="1588" w:type="dxa"/>
            <w:tcBorders>
              <w:top w:val="nil"/>
              <w:left w:val="nil"/>
              <w:bottom w:val="nil"/>
              <w:right w:val="single" w:sz="4" w:space="0" w:color="auto"/>
            </w:tcBorders>
            <w:shd w:val="clear" w:color="auto" w:fill="auto"/>
            <w:noWrap/>
            <w:vAlign w:val="center"/>
            <w:hideMark/>
          </w:tcPr>
          <w:p w14:paraId="14685E9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0.854</w:t>
            </w:r>
          </w:p>
        </w:tc>
      </w:tr>
      <w:tr w:rsidR="008F0A2F" w:rsidRPr="0094091E" w14:paraId="5B2872D2"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0E7F44C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GIST</w:t>
            </w:r>
          </w:p>
        </w:tc>
        <w:tc>
          <w:tcPr>
            <w:tcW w:w="1121" w:type="dxa"/>
            <w:tcBorders>
              <w:top w:val="nil"/>
              <w:left w:val="nil"/>
              <w:bottom w:val="nil"/>
              <w:right w:val="nil"/>
            </w:tcBorders>
            <w:shd w:val="clear" w:color="auto" w:fill="auto"/>
            <w:noWrap/>
            <w:vAlign w:val="center"/>
            <w:hideMark/>
          </w:tcPr>
          <w:p w14:paraId="437E5E7C"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w:t>
            </w:r>
          </w:p>
        </w:tc>
        <w:tc>
          <w:tcPr>
            <w:tcW w:w="1645" w:type="dxa"/>
            <w:tcBorders>
              <w:top w:val="nil"/>
              <w:left w:val="nil"/>
              <w:bottom w:val="nil"/>
              <w:right w:val="nil"/>
            </w:tcBorders>
            <w:shd w:val="clear" w:color="auto" w:fill="auto"/>
            <w:noWrap/>
            <w:vAlign w:val="center"/>
            <w:hideMark/>
          </w:tcPr>
          <w:p w14:paraId="61FBA3D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88%</w:t>
            </w:r>
          </w:p>
        </w:tc>
        <w:tc>
          <w:tcPr>
            <w:tcW w:w="1134" w:type="dxa"/>
            <w:tcBorders>
              <w:top w:val="nil"/>
              <w:left w:val="nil"/>
              <w:bottom w:val="nil"/>
              <w:right w:val="nil"/>
            </w:tcBorders>
            <w:shd w:val="clear" w:color="auto" w:fill="auto"/>
            <w:noWrap/>
            <w:vAlign w:val="center"/>
            <w:hideMark/>
          </w:tcPr>
          <w:p w14:paraId="0DCA8046"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49 - 100%</w:t>
            </w:r>
          </w:p>
        </w:tc>
        <w:tc>
          <w:tcPr>
            <w:tcW w:w="1598" w:type="dxa"/>
            <w:tcBorders>
              <w:top w:val="nil"/>
              <w:left w:val="nil"/>
              <w:bottom w:val="nil"/>
              <w:right w:val="nil"/>
            </w:tcBorders>
            <w:shd w:val="clear" w:color="auto" w:fill="auto"/>
            <w:noWrap/>
            <w:vAlign w:val="center"/>
            <w:hideMark/>
          </w:tcPr>
          <w:p w14:paraId="2CA7C43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0.996</w:t>
            </w:r>
          </w:p>
        </w:tc>
        <w:tc>
          <w:tcPr>
            <w:tcW w:w="1588" w:type="dxa"/>
            <w:tcBorders>
              <w:top w:val="nil"/>
              <w:left w:val="nil"/>
              <w:bottom w:val="nil"/>
              <w:right w:val="single" w:sz="4" w:space="0" w:color="auto"/>
            </w:tcBorders>
            <w:shd w:val="clear" w:color="auto" w:fill="auto"/>
            <w:noWrap/>
            <w:vAlign w:val="center"/>
            <w:hideMark/>
          </w:tcPr>
          <w:p w14:paraId="3B202496"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1.000</w:t>
            </w:r>
          </w:p>
        </w:tc>
      </w:tr>
      <w:tr w:rsidR="008F0A2F" w:rsidRPr="0094091E" w14:paraId="0ECBF282"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39C9C472"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Cholangiocarcinoma</w:t>
            </w:r>
          </w:p>
        </w:tc>
        <w:tc>
          <w:tcPr>
            <w:tcW w:w="1121" w:type="dxa"/>
            <w:tcBorders>
              <w:top w:val="nil"/>
              <w:left w:val="nil"/>
              <w:bottom w:val="nil"/>
              <w:right w:val="nil"/>
            </w:tcBorders>
            <w:shd w:val="clear" w:color="auto" w:fill="auto"/>
            <w:noWrap/>
            <w:vAlign w:val="center"/>
            <w:hideMark/>
          </w:tcPr>
          <w:p w14:paraId="0C82214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w:t>
            </w:r>
          </w:p>
        </w:tc>
        <w:tc>
          <w:tcPr>
            <w:tcW w:w="1645" w:type="dxa"/>
            <w:tcBorders>
              <w:top w:val="nil"/>
              <w:left w:val="nil"/>
              <w:bottom w:val="nil"/>
              <w:right w:val="nil"/>
            </w:tcBorders>
            <w:shd w:val="clear" w:color="auto" w:fill="auto"/>
            <w:noWrap/>
            <w:vAlign w:val="center"/>
            <w:hideMark/>
          </w:tcPr>
          <w:p w14:paraId="774489A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21%</w:t>
            </w:r>
          </w:p>
        </w:tc>
        <w:tc>
          <w:tcPr>
            <w:tcW w:w="1134" w:type="dxa"/>
            <w:tcBorders>
              <w:top w:val="nil"/>
              <w:left w:val="nil"/>
              <w:bottom w:val="nil"/>
              <w:right w:val="nil"/>
            </w:tcBorders>
            <w:shd w:val="clear" w:color="auto" w:fill="auto"/>
            <w:noWrap/>
            <w:vAlign w:val="center"/>
            <w:hideMark/>
          </w:tcPr>
          <w:p w14:paraId="1B6176C1"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0 - 76%</w:t>
            </w:r>
          </w:p>
        </w:tc>
        <w:tc>
          <w:tcPr>
            <w:tcW w:w="1598" w:type="dxa"/>
            <w:tcBorders>
              <w:top w:val="nil"/>
              <w:left w:val="nil"/>
              <w:bottom w:val="nil"/>
              <w:right w:val="nil"/>
            </w:tcBorders>
            <w:shd w:val="clear" w:color="auto" w:fill="auto"/>
            <w:noWrap/>
            <w:vAlign w:val="center"/>
            <w:hideMark/>
          </w:tcPr>
          <w:p w14:paraId="05158EA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0.281</w:t>
            </w:r>
          </w:p>
        </w:tc>
        <w:tc>
          <w:tcPr>
            <w:tcW w:w="1588" w:type="dxa"/>
            <w:tcBorders>
              <w:top w:val="nil"/>
              <w:left w:val="nil"/>
              <w:bottom w:val="nil"/>
              <w:right w:val="single" w:sz="4" w:space="0" w:color="auto"/>
            </w:tcBorders>
            <w:shd w:val="clear" w:color="auto" w:fill="auto"/>
            <w:noWrap/>
            <w:vAlign w:val="center"/>
            <w:hideMark/>
          </w:tcPr>
          <w:p w14:paraId="270F3E0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0.555</w:t>
            </w:r>
          </w:p>
        </w:tc>
      </w:tr>
      <w:tr w:rsidR="008F0A2F" w:rsidRPr="0094091E" w14:paraId="18460C35"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412315C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Appendix</w:t>
            </w:r>
          </w:p>
        </w:tc>
        <w:tc>
          <w:tcPr>
            <w:tcW w:w="1121" w:type="dxa"/>
            <w:tcBorders>
              <w:top w:val="nil"/>
              <w:left w:val="nil"/>
              <w:bottom w:val="nil"/>
              <w:right w:val="nil"/>
            </w:tcBorders>
            <w:shd w:val="clear" w:color="auto" w:fill="auto"/>
            <w:noWrap/>
            <w:vAlign w:val="center"/>
            <w:hideMark/>
          </w:tcPr>
          <w:p w14:paraId="7A07681A"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w:t>
            </w:r>
          </w:p>
        </w:tc>
        <w:tc>
          <w:tcPr>
            <w:tcW w:w="1645" w:type="dxa"/>
            <w:tcBorders>
              <w:top w:val="nil"/>
              <w:left w:val="nil"/>
              <w:bottom w:val="nil"/>
              <w:right w:val="nil"/>
            </w:tcBorders>
            <w:shd w:val="clear" w:color="auto" w:fill="auto"/>
            <w:noWrap/>
            <w:vAlign w:val="center"/>
            <w:hideMark/>
          </w:tcPr>
          <w:p w14:paraId="0931B47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30%</w:t>
            </w:r>
          </w:p>
        </w:tc>
        <w:tc>
          <w:tcPr>
            <w:tcW w:w="1134" w:type="dxa"/>
            <w:tcBorders>
              <w:top w:val="nil"/>
              <w:left w:val="nil"/>
              <w:bottom w:val="nil"/>
              <w:right w:val="nil"/>
            </w:tcBorders>
            <w:shd w:val="clear" w:color="auto" w:fill="auto"/>
            <w:noWrap/>
            <w:vAlign w:val="center"/>
            <w:hideMark/>
          </w:tcPr>
          <w:p w14:paraId="52E51F5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0 - 90%</w:t>
            </w:r>
          </w:p>
        </w:tc>
        <w:tc>
          <w:tcPr>
            <w:tcW w:w="1598" w:type="dxa"/>
            <w:tcBorders>
              <w:top w:val="nil"/>
              <w:left w:val="nil"/>
              <w:bottom w:val="nil"/>
              <w:right w:val="nil"/>
            </w:tcBorders>
            <w:shd w:val="clear" w:color="auto" w:fill="auto"/>
            <w:noWrap/>
            <w:vAlign w:val="center"/>
            <w:hideMark/>
          </w:tcPr>
          <w:p w14:paraId="3AF0D601"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0.416</w:t>
            </w:r>
          </w:p>
        </w:tc>
        <w:tc>
          <w:tcPr>
            <w:tcW w:w="1588" w:type="dxa"/>
            <w:tcBorders>
              <w:top w:val="nil"/>
              <w:left w:val="nil"/>
              <w:bottom w:val="nil"/>
              <w:right w:val="single" w:sz="4" w:space="0" w:color="auto"/>
            </w:tcBorders>
            <w:shd w:val="clear" w:color="auto" w:fill="auto"/>
            <w:noWrap/>
            <w:vAlign w:val="center"/>
            <w:hideMark/>
          </w:tcPr>
          <w:p w14:paraId="444EA613"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0.650</w:t>
            </w:r>
          </w:p>
        </w:tc>
      </w:tr>
      <w:tr w:rsidR="008F0A2F" w:rsidRPr="0094091E" w14:paraId="1B47383B" w14:textId="77777777" w:rsidTr="002C0313">
        <w:trPr>
          <w:trHeight w:val="397"/>
        </w:trPr>
        <w:tc>
          <w:tcPr>
            <w:tcW w:w="2049" w:type="dxa"/>
            <w:tcBorders>
              <w:top w:val="nil"/>
              <w:left w:val="single" w:sz="4" w:space="0" w:color="auto"/>
              <w:bottom w:val="nil"/>
              <w:right w:val="nil"/>
            </w:tcBorders>
            <w:shd w:val="clear" w:color="auto" w:fill="auto"/>
            <w:noWrap/>
            <w:vAlign w:val="center"/>
            <w:hideMark/>
          </w:tcPr>
          <w:p w14:paraId="524F16E8"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Breast</w:t>
            </w:r>
          </w:p>
        </w:tc>
        <w:tc>
          <w:tcPr>
            <w:tcW w:w="1121" w:type="dxa"/>
            <w:tcBorders>
              <w:top w:val="nil"/>
              <w:left w:val="nil"/>
              <w:bottom w:val="nil"/>
              <w:right w:val="nil"/>
            </w:tcBorders>
            <w:shd w:val="clear" w:color="auto" w:fill="auto"/>
            <w:noWrap/>
            <w:vAlign w:val="center"/>
            <w:hideMark/>
          </w:tcPr>
          <w:p w14:paraId="3F2EB153"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w:t>
            </w:r>
          </w:p>
        </w:tc>
        <w:tc>
          <w:tcPr>
            <w:tcW w:w="1645" w:type="dxa"/>
            <w:tcBorders>
              <w:top w:val="nil"/>
              <w:left w:val="nil"/>
              <w:bottom w:val="nil"/>
              <w:right w:val="nil"/>
            </w:tcBorders>
            <w:shd w:val="clear" w:color="auto" w:fill="auto"/>
            <w:noWrap/>
            <w:vAlign w:val="center"/>
            <w:hideMark/>
          </w:tcPr>
          <w:p w14:paraId="7D559E5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30%</w:t>
            </w:r>
          </w:p>
        </w:tc>
        <w:tc>
          <w:tcPr>
            <w:tcW w:w="1134" w:type="dxa"/>
            <w:tcBorders>
              <w:top w:val="nil"/>
              <w:left w:val="nil"/>
              <w:bottom w:val="nil"/>
              <w:right w:val="nil"/>
            </w:tcBorders>
            <w:shd w:val="clear" w:color="auto" w:fill="auto"/>
            <w:noWrap/>
            <w:vAlign w:val="center"/>
            <w:hideMark/>
          </w:tcPr>
          <w:p w14:paraId="58A81345"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0 - 90%</w:t>
            </w:r>
          </w:p>
        </w:tc>
        <w:tc>
          <w:tcPr>
            <w:tcW w:w="1598" w:type="dxa"/>
            <w:tcBorders>
              <w:top w:val="nil"/>
              <w:left w:val="nil"/>
              <w:bottom w:val="nil"/>
              <w:right w:val="nil"/>
            </w:tcBorders>
            <w:shd w:val="clear" w:color="auto" w:fill="auto"/>
            <w:noWrap/>
            <w:vAlign w:val="center"/>
            <w:hideMark/>
          </w:tcPr>
          <w:p w14:paraId="42F82997"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0.415</w:t>
            </w:r>
          </w:p>
        </w:tc>
        <w:tc>
          <w:tcPr>
            <w:tcW w:w="1588" w:type="dxa"/>
            <w:tcBorders>
              <w:top w:val="nil"/>
              <w:left w:val="nil"/>
              <w:bottom w:val="nil"/>
              <w:right w:val="single" w:sz="4" w:space="0" w:color="auto"/>
            </w:tcBorders>
            <w:shd w:val="clear" w:color="auto" w:fill="auto"/>
            <w:noWrap/>
            <w:vAlign w:val="center"/>
            <w:hideMark/>
          </w:tcPr>
          <w:p w14:paraId="4560526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0.653</w:t>
            </w:r>
          </w:p>
        </w:tc>
      </w:tr>
      <w:tr w:rsidR="008F0A2F" w:rsidRPr="0094091E" w14:paraId="4FEB4B73" w14:textId="77777777" w:rsidTr="002C0313">
        <w:trPr>
          <w:trHeight w:val="397"/>
        </w:trPr>
        <w:tc>
          <w:tcPr>
            <w:tcW w:w="2049" w:type="dxa"/>
            <w:tcBorders>
              <w:top w:val="nil"/>
              <w:left w:val="single" w:sz="4" w:space="0" w:color="auto"/>
              <w:bottom w:val="single" w:sz="4" w:space="0" w:color="auto"/>
              <w:right w:val="nil"/>
            </w:tcBorders>
            <w:shd w:val="clear" w:color="auto" w:fill="auto"/>
            <w:noWrap/>
            <w:vAlign w:val="center"/>
            <w:hideMark/>
          </w:tcPr>
          <w:p w14:paraId="1644E2FD"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Pancreas</w:t>
            </w:r>
          </w:p>
        </w:tc>
        <w:tc>
          <w:tcPr>
            <w:tcW w:w="1121" w:type="dxa"/>
            <w:tcBorders>
              <w:top w:val="nil"/>
              <w:left w:val="nil"/>
              <w:bottom w:val="single" w:sz="4" w:space="0" w:color="auto"/>
              <w:right w:val="nil"/>
            </w:tcBorders>
            <w:shd w:val="clear" w:color="auto" w:fill="auto"/>
            <w:noWrap/>
            <w:vAlign w:val="center"/>
            <w:hideMark/>
          </w:tcPr>
          <w:p w14:paraId="6BC4B62F"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w:t>
            </w:r>
          </w:p>
        </w:tc>
        <w:tc>
          <w:tcPr>
            <w:tcW w:w="1645" w:type="dxa"/>
            <w:tcBorders>
              <w:top w:val="nil"/>
              <w:left w:val="nil"/>
              <w:bottom w:val="single" w:sz="4" w:space="0" w:color="auto"/>
              <w:right w:val="nil"/>
            </w:tcBorders>
            <w:shd w:val="clear" w:color="auto" w:fill="auto"/>
            <w:noWrap/>
            <w:vAlign w:val="center"/>
            <w:hideMark/>
          </w:tcPr>
          <w:p w14:paraId="748E24B4"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30%</w:t>
            </w:r>
          </w:p>
        </w:tc>
        <w:tc>
          <w:tcPr>
            <w:tcW w:w="1134" w:type="dxa"/>
            <w:tcBorders>
              <w:top w:val="nil"/>
              <w:left w:val="nil"/>
              <w:bottom w:val="single" w:sz="4" w:space="0" w:color="auto"/>
              <w:right w:val="nil"/>
            </w:tcBorders>
            <w:shd w:val="clear" w:color="auto" w:fill="auto"/>
            <w:noWrap/>
            <w:vAlign w:val="center"/>
            <w:hideMark/>
          </w:tcPr>
          <w:p w14:paraId="0C230282"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0 - 90%</w:t>
            </w:r>
          </w:p>
        </w:tc>
        <w:tc>
          <w:tcPr>
            <w:tcW w:w="1598" w:type="dxa"/>
            <w:tcBorders>
              <w:top w:val="nil"/>
              <w:left w:val="nil"/>
              <w:bottom w:val="single" w:sz="4" w:space="0" w:color="auto"/>
              <w:right w:val="nil"/>
            </w:tcBorders>
            <w:shd w:val="clear" w:color="auto" w:fill="auto"/>
            <w:noWrap/>
            <w:vAlign w:val="center"/>
            <w:hideMark/>
          </w:tcPr>
          <w:p w14:paraId="3623E51B"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0.413</w:t>
            </w:r>
          </w:p>
        </w:tc>
        <w:tc>
          <w:tcPr>
            <w:tcW w:w="1588" w:type="dxa"/>
            <w:tcBorders>
              <w:top w:val="nil"/>
              <w:left w:val="nil"/>
              <w:bottom w:val="single" w:sz="4" w:space="0" w:color="auto"/>
              <w:right w:val="single" w:sz="4" w:space="0" w:color="auto"/>
            </w:tcBorders>
            <w:shd w:val="clear" w:color="auto" w:fill="auto"/>
            <w:noWrap/>
            <w:vAlign w:val="center"/>
            <w:hideMark/>
          </w:tcPr>
          <w:p w14:paraId="1A191946" w14:textId="77777777" w:rsidR="008F0A2F" w:rsidRPr="0094091E" w:rsidRDefault="008F0A2F" w:rsidP="0094091E">
            <w:pPr>
              <w:pStyle w:val="NoSpacing"/>
              <w:contextualSpacing/>
              <w:jc w:val="center"/>
              <w:rPr>
                <w:rFonts w:cs="Times New Roman"/>
                <w:sz w:val="20"/>
                <w:szCs w:val="20"/>
                <w:lang w:eastAsia="en-GB"/>
              </w:rPr>
            </w:pPr>
            <w:r w:rsidRPr="0094091E">
              <w:rPr>
                <w:rFonts w:cs="Times New Roman"/>
                <w:sz w:val="20"/>
                <w:szCs w:val="20"/>
                <w:lang w:eastAsia="en-GB"/>
              </w:rPr>
              <w:t>0.648</w:t>
            </w:r>
          </w:p>
        </w:tc>
      </w:tr>
      <w:tr w:rsidR="008F0A2F" w:rsidRPr="0094091E" w14:paraId="26AA0823" w14:textId="77777777" w:rsidTr="002C0313">
        <w:trPr>
          <w:trHeight w:val="1301"/>
        </w:trPr>
        <w:tc>
          <w:tcPr>
            <w:tcW w:w="9135" w:type="dxa"/>
            <w:gridSpan w:val="6"/>
            <w:tcBorders>
              <w:top w:val="single" w:sz="4" w:space="0" w:color="auto"/>
            </w:tcBorders>
            <w:shd w:val="clear" w:color="auto" w:fill="auto"/>
            <w:noWrap/>
          </w:tcPr>
          <w:p w14:paraId="10BA5D63" w14:textId="3EA91D63" w:rsidR="008F0A2F" w:rsidRPr="0094091E" w:rsidRDefault="008F0A2F" w:rsidP="0094091E">
            <w:pPr>
              <w:spacing w:after="0" w:line="276" w:lineRule="auto"/>
              <w:contextualSpacing/>
              <w:rPr>
                <w:rFonts w:cs="Times New Roman"/>
                <w:sz w:val="20"/>
                <w:szCs w:val="20"/>
              </w:rPr>
            </w:pPr>
            <w:r w:rsidRPr="0094091E">
              <w:rPr>
                <w:rFonts w:cs="Times New Roman"/>
                <w:sz w:val="20"/>
                <w:szCs w:val="20"/>
              </w:rPr>
              <w:t>Prior distribution for log-odds of response centred on a probability of 0.3; Uniform prior distribution for the between-tumour standard deviation.</w:t>
            </w:r>
          </w:p>
          <w:p w14:paraId="589D53F0" w14:textId="77777777" w:rsidR="008F0A2F" w:rsidRPr="0094091E" w:rsidRDefault="008F0A2F" w:rsidP="0094091E">
            <w:pPr>
              <w:spacing w:after="0" w:line="276" w:lineRule="auto"/>
              <w:contextualSpacing/>
              <w:rPr>
                <w:rFonts w:eastAsia="Times New Roman" w:cs="Times New Roman"/>
                <w:color w:val="000000"/>
                <w:sz w:val="20"/>
                <w:szCs w:val="20"/>
                <w:lang w:eastAsia="en-GB"/>
              </w:rPr>
            </w:pPr>
            <w:r w:rsidRPr="0094091E">
              <w:rPr>
                <w:rFonts w:cs="Times New Roman"/>
                <w:sz w:val="20"/>
                <w:szCs w:val="20"/>
              </w:rPr>
              <w:t>IFS, infantile fibrosarcoma; GIST, gastrointestinal stromal tumour.</w:t>
            </w:r>
          </w:p>
        </w:tc>
      </w:tr>
    </w:tbl>
    <w:p w14:paraId="7AC163DC" w14:textId="05E573EA" w:rsidR="008F0A2F" w:rsidRPr="002D1DD7" w:rsidRDefault="008F0A2F" w:rsidP="008F0A2F">
      <w:r w:rsidRPr="002D1DD7">
        <w:fldChar w:fldCharType="begin"/>
      </w:r>
      <w:r w:rsidRPr="002D1DD7">
        <w:instrText xml:space="preserve"> REF _Ref26367143 \h  \* MERGEFORMAT </w:instrText>
      </w:r>
      <w:r w:rsidRPr="002D1DD7">
        <w:fldChar w:fldCharType="separate"/>
      </w:r>
      <w:r w:rsidR="00204911" w:rsidRPr="002D1DD7">
        <w:t xml:space="preserve">Figure </w:t>
      </w:r>
      <w:r w:rsidR="00204911">
        <w:t>10</w:t>
      </w:r>
      <w:r w:rsidRPr="002D1DD7">
        <w:fldChar w:fldCharType="end"/>
      </w:r>
      <w:r w:rsidRPr="002D1DD7">
        <w:t xml:space="preserve"> shows the posterior distributions of the probabilities of response for each of the 12 tumour types included in the efficacy evaluable data set. Although the observed response suggested cholangiocarcinoma, appendix, breast and pancreas did not respond to </w:t>
      </w:r>
      <w:r w:rsidR="00424AF8">
        <w:t>l</w:t>
      </w:r>
      <w:r w:rsidR="00424AF8" w:rsidRPr="002D1DD7">
        <w:t>arotrectinib</w:t>
      </w:r>
      <w:r w:rsidRPr="002D1DD7">
        <w:t>, the posterior distributions of these tumour types are wide and their 95% CrI suggest respons</w:t>
      </w:r>
      <w:r w:rsidR="0094091E">
        <w:t>e rates of 76% are plausible.</w:t>
      </w:r>
    </w:p>
    <w:p w14:paraId="3ACC9A2F" w14:textId="338089F6" w:rsidR="00BC006F" w:rsidRPr="002D1DD7" w:rsidRDefault="008F0A2F" w:rsidP="00BC006F">
      <w:r w:rsidRPr="002D1DD7">
        <w:t xml:space="preserve">The results were insensitive to the use of the inverse gamma prior, the half-normal prior and the uniform prior centred </w:t>
      </w:r>
      <w:r w:rsidR="0094091E">
        <w:t>on</w:t>
      </w:r>
      <w:r w:rsidRPr="002D1DD7">
        <w:t xml:space="preserve"> </w:t>
      </w:r>
      <w:r w:rsidR="0094091E">
        <w:t xml:space="preserve">a </w:t>
      </w:r>
      <w:r w:rsidRPr="002D1DD7">
        <w:t>log</w:t>
      </w:r>
      <w:r w:rsidR="00BC006F">
        <w:t>-</w:t>
      </w:r>
      <w:r w:rsidRPr="002D1DD7">
        <w:t>odds of response of 0.5. The results were also insensitive to the use of a more favourable precision of the between</w:t>
      </w:r>
      <w:r w:rsidR="00424AF8">
        <w:t>-</w:t>
      </w:r>
      <w:r w:rsidRPr="002D1DD7">
        <w:t xml:space="preserve">tumour heterogeneity standard deviation of 0.1 and 0.5. For full results of the sensitivity analysis, see Appendix </w:t>
      </w:r>
      <w:r w:rsidR="00F01A38" w:rsidRPr="002D1DD7">
        <w:t>1</w:t>
      </w:r>
      <w:r w:rsidR="00C9471F">
        <w:t>1</w:t>
      </w:r>
      <w:r w:rsidRPr="002D1DD7">
        <w:t>.</w:t>
      </w:r>
    </w:p>
    <w:p w14:paraId="5643DBA2" w14:textId="012ABD67" w:rsidR="00BC006F" w:rsidRPr="002D1DD7" w:rsidRDefault="00BC006F" w:rsidP="00BC006F">
      <w:pPr>
        <w:pStyle w:val="Caption"/>
      </w:pPr>
      <w:bookmarkStart w:id="162" w:name="_Ref26367143"/>
      <w:bookmarkStart w:id="163" w:name="_Toc34033570"/>
      <w:r w:rsidRPr="002D1DD7">
        <w:lastRenderedPageBreak/>
        <w:t xml:space="preserve">Figure </w:t>
      </w:r>
      <w:r w:rsidR="00C974E5">
        <w:fldChar w:fldCharType="begin"/>
      </w:r>
      <w:r w:rsidR="00C974E5">
        <w:instrText xml:space="preserve"> SEQ Figure \* ARABIC </w:instrText>
      </w:r>
      <w:r w:rsidR="00C974E5">
        <w:fldChar w:fldCharType="separate"/>
      </w:r>
      <w:r w:rsidR="00C663A2">
        <w:rPr>
          <w:noProof/>
        </w:rPr>
        <w:t>10</w:t>
      </w:r>
      <w:r w:rsidR="00C974E5">
        <w:rPr>
          <w:noProof/>
        </w:rPr>
        <w:fldChar w:fldCharType="end"/>
      </w:r>
      <w:bookmarkEnd w:id="162"/>
      <w:r>
        <w:rPr>
          <w:noProof/>
        </w:rPr>
        <w:t>:</w:t>
      </w:r>
      <w:r w:rsidRPr="002D1DD7">
        <w:t xml:space="preserve"> Posterior distribution for the probabilities of response by tumours type</w:t>
      </w:r>
      <w:bookmarkEnd w:id="163"/>
    </w:p>
    <w:p w14:paraId="044DB889" w14:textId="77777777" w:rsidR="00BC006F" w:rsidRPr="002D1DD7" w:rsidRDefault="00BC006F" w:rsidP="00BC006F">
      <w:pPr>
        <w:rPr>
          <w:rStyle w:val="CIC"/>
          <w:rFonts w:cs="Times New Roman"/>
          <w:sz w:val="24"/>
          <w:szCs w:val="24"/>
        </w:rPr>
      </w:pPr>
      <w:r w:rsidRPr="002D1DD7">
        <w:rPr>
          <w:rStyle w:val="CommentReference"/>
          <w:rFonts w:cs="Times New Roman"/>
          <w:noProof/>
          <w:sz w:val="24"/>
          <w:szCs w:val="24"/>
          <w:lang w:eastAsia="en-GB"/>
        </w:rPr>
        <w:drawing>
          <wp:inline distT="0" distB="0" distL="0" distR="0" wp14:anchorId="3D03E9FC" wp14:editId="5A343AE4">
            <wp:extent cx="5730623" cy="760227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411"/>
                    <a:stretch/>
                  </pic:blipFill>
                  <pic:spPr bwMode="auto">
                    <a:xfrm>
                      <a:off x="0" y="0"/>
                      <a:ext cx="5730875" cy="7602613"/>
                    </a:xfrm>
                    <a:prstGeom prst="rect">
                      <a:avLst/>
                    </a:prstGeom>
                    <a:noFill/>
                    <a:ln>
                      <a:noFill/>
                    </a:ln>
                    <a:extLst>
                      <a:ext uri="{53640926-AAD7-44D8-BBD7-CCE9431645EC}">
                        <a14:shadowObscured xmlns:a14="http://schemas.microsoft.com/office/drawing/2010/main"/>
                      </a:ext>
                    </a:extLst>
                  </pic:spPr>
                </pic:pic>
              </a:graphicData>
            </a:graphic>
          </wp:inline>
        </w:drawing>
      </w:r>
    </w:p>
    <w:p w14:paraId="34AD1BB7" w14:textId="77777777" w:rsidR="00BC006F" w:rsidRPr="002D1DD7" w:rsidRDefault="00BC006F" w:rsidP="00BC006F">
      <w:pPr>
        <w:spacing w:line="480" w:lineRule="auto"/>
        <w:ind w:left="720"/>
        <w:jc w:val="both"/>
        <w:rPr>
          <w:rStyle w:val="CIC"/>
          <w:rFonts w:cs="Times New Roman"/>
        </w:rPr>
      </w:pPr>
      <w:r w:rsidRPr="002D1DD7">
        <w:rPr>
          <w:rFonts w:cs="Times New Roman"/>
        </w:rPr>
        <w:t>IFS, infantile fibrosarcoma; GIST, gastrointestinal stromal tumour.</w:t>
      </w:r>
    </w:p>
    <w:p w14:paraId="700CFAF1" w14:textId="77777777" w:rsidR="00BC006F" w:rsidRPr="00B4390C" w:rsidRDefault="00BC006F" w:rsidP="00BC006F"/>
    <w:p w14:paraId="4C42686D" w14:textId="18D7FB9C" w:rsidR="008F0A2F" w:rsidRPr="002D1DD7" w:rsidRDefault="008F0A2F" w:rsidP="0094091E">
      <w:pPr>
        <w:pStyle w:val="Heading3"/>
      </w:pPr>
      <w:bookmarkStart w:id="164" w:name="_Toc33776203"/>
      <w:r w:rsidRPr="002D1DD7">
        <w:lastRenderedPageBreak/>
        <w:t xml:space="preserve">Implications for the appraisal of </w:t>
      </w:r>
      <w:r w:rsidR="00555827">
        <w:t>histology-independent</w:t>
      </w:r>
      <w:r w:rsidRPr="002D1DD7">
        <w:t xml:space="preserve"> technologies</w:t>
      </w:r>
      <w:bookmarkEnd w:id="164"/>
      <w:r w:rsidRPr="002D1DD7">
        <w:t xml:space="preserve"> </w:t>
      </w:r>
    </w:p>
    <w:p w14:paraId="296239A7" w14:textId="1DA44885" w:rsidR="008F0A2F" w:rsidRPr="002D1DD7" w:rsidRDefault="00D22295" w:rsidP="0094091E">
      <w:r w:rsidRPr="002D1DD7">
        <w:t xml:space="preserve">Heterogeneity in the </w:t>
      </w:r>
      <w:r w:rsidR="00B96AE7">
        <w:t xml:space="preserve">treatment effects are </w:t>
      </w:r>
      <w:r w:rsidRPr="002D1DD7">
        <w:t xml:space="preserve">likely to be an important issue in the appraisal of </w:t>
      </w:r>
      <w:r w:rsidR="00555827">
        <w:t>histology-independent</w:t>
      </w:r>
      <w:r w:rsidRPr="002D1DD7">
        <w:t xml:space="preserve"> technologies. As can be seen from the results of the worked example</w:t>
      </w:r>
      <w:r w:rsidR="003E17E4">
        <w:t xml:space="preserve">, </w:t>
      </w:r>
      <w:r w:rsidRPr="002D1DD7">
        <w:t xml:space="preserve">the </w:t>
      </w:r>
      <w:r w:rsidR="008F0A2F" w:rsidRPr="002D1DD7">
        <w:t>BHM suggest</w:t>
      </w:r>
      <w:r w:rsidR="002C0313">
        <w:t>s</w:t>
      </w:r>
      <w:r w:rsidR="008F0A2F" w:rsidRPr="002D1DD7">
        <w:t xml:space="preserve"> there is substantial heterogeneity in response across tumour types. This can be seen in the estimate of the between-group heterogeneity, with the BHM estimating a posterior median</w:t>
      </w:r>
      <w:r w:rsidR="009927EA">
        <w:t xml:space="preserve"> standard deviation for the heterogeneity</w:t>
      </w:r>
      <w:r w:rsidR="008F0A2F" w:rsidRPr="002D1DD7">
        <w:t xml:space="preserve"> of 2.86 on the log-odds scale</w:t>
      </w:r>
      <w:r w:rsidR="002C0313">
        <w:t>, which is considered large</w:t>
      </w:r>
      <w:r w:rsidR="008F0A2F" w:rsidRPr="002D1DD7">
        <w:t xml:space="preserve">. Heterogeneity can also be seen in the predictive distribution of response, appearing on visual inspection of the posterior response in </w:t>
      </w:r>
      <w:r w:rsidR="002C0313">
        <w:fldChar w:fldCharType="begin"/>
      </w:r>
      <w:r w:rsidR="002C0313">
        <w:instrText xml:space="preserve"> REF _Ref26367017 \h </w:instrText>
      </w:r>
      <w:r w:rsidR="002C0313">
        <w:fldChar w:fldCharType="separate"/>
      </w:r>
      <w:r w:rsidR="00C663A2" w:rsidRPr="002D1DD7">
        <w:t xml:space="preserve">Figure </w:t>
      </w:r>
      <w:r w:rsidR="00C663A2">
        <w:rPr>
          <w:noProof/>
        </w:rPr>
        <w:t>9</w:t>
      </w:r>
      <w:r w:rsidR="002C0313">
        <w:fldChar w:fldCharType="end"/>
      </w:r>
      <w:r w:rsidR="008F0A2F" w:rsidRPr="002D1DD7">
        <w:t xml:space="preserve"> as a bimodal distribution with density concentrated around a probability of response of 0 and 1. This can be explained by the individual tumour response rates shown in </w:t>
      </w:r>
      <w:r w:rsidR="002C0313">
        <w:fldChar w:fldCharType="begin"/>
      </w:r>
      <w:r w:rsidR="002C0313">
        <w:instrText xml:space="preserve"> REF _Ref26367143 \h </w:instrText>
      </w:r>
      <w:r w:rsidR="002C0313">
        <w:fldChar w:fldCharType="separate"/>
      </w:r>
      <w:r w:rsidR="00C663A2" w:rsidRPr="002D1DD7">
        <w:t xml:space="preserve">Figure </w:t>
      </w:r>
      <w:r w:rsidR="00C663A2">
        <w:rPr>
          <w:noProof/>
        </w:rPr>
        <w:t>10</w:t>
      </w:r>
      <w:r w:rsidR="002C0313">
        <w:fldChar w:fldCharType="end"/>
      </w:r>
      <w:r w:rsidR="008F0A2F" w:rsidRPr="002D1DD7">
        <w:t xml:space="preserve">, which suggest </w:t>
      </w:r>
      <w:r w:rsidR="002C0313">
        <w:t xml:space="preserve">that </w:t>
      </w:r>
      <w:r w:rsidR="008F0A2F" w:rsidRPr="002D1DD7">
        <w:t>even under the assumption of exchangeability of response, there are tumour types in which the data suggest</w:t>
      </w:r>
      <w:r w:rsidR="005B4FD5">
        <w:t xml:space="preserve"> that</w:t>
      </w:r>
      <w:r w:rsidR="008F0A2F" w:rsidRPr="002D1DD7">
        <w:t xml:space="preserve"> response is likely and those in which it is not.</w:t>
      </w:r>
    </w:p>
    <w:p w14:paraId="384A7EBB" w14:textId="2A19FEF0" w:rsidR="008F0A2F" w:rsidRDefault="008F0A2F">
      <w:r w:rsidRPr="002D1DD7">
        <w:t xml:space="preserve">The results of this analysis challenge the strong assumption of homogeneity in response across such a variety of tumour types when treated with </w:t>
      </w:r>
      <w:r w:rsidR="005B4FD5">
        <w:t>l</w:t>
      </w:r>
      <w:r w:rsidRPr="002D1DD7">
        <w:t xml:space="preserve">arotrectinib. The assumption of homogeneity may mask important information about empirical evidence of tumour response and the BHM </w:t>
      </w:r>
      <w:r w:rsidR="005B4FD5">
        <w:t>provides</w:t>
      </w:r>
      <w:r w:rsidR="005B4FD5" w:rsidRPr="002D1DD7">
        <w:t xml:space="preserve"> </w:t>
      </w:r>
      <w:r w:rsidRPr="002D1DD7">
        <w:t xml:space="preserve">a vehicle </w:t>
      </w:r>
      <w:r w:rsidR="005B4FD5">
        <w:t xml:space="preserve">through </w:t>
      </w:r>
      <w:r w:rsidRPr="002D1DD7">
        <w:t xml:space="preserve">which to account for the potential heterogeneity. </w:t>
      </w:r>
    </w:p>
    <w:p w14:paraId="3912DA63" w14:textId="77777777" w:rsidR="00984161" w:rsidRPr="002D1DD7" w:rsidRDefault="00984161" w:rsidP="00EC11CD">
      <w:pPr>
        <w:pStyle w:val="Heading2"/>
      </w:pPr>
      <w:bookmarkStart w:id="165" w:name="_Toc33776204"/>
      <w:r w:rsidRPr="002D1DD7">
        <w:t>Counterfactual</w:t>
      </w:r>
      <w:bookmarkEnd w:id="165"/>
    </w:p>
    <w:p w14:paraId="5968093A" w14:textId="5652CDCA" w:rsidR="004C6D2B" w:rsidRPr="002D1DD7" w:rsidRDefault="00984161" w:rsidP="0094091E">
      <w:r w:rsidRPr="002D1DD7">
        <w:t>The feasibility of conducting RCT</w:t>
      </w:r>
      <w:r w:rsidR="00424AF8">
        <w:t>s</w:t>
      </w:r>
      <w:r w:rsidRPr="002D1DD7">
        <w:t xml:space="preserve"> in </w:t>
      </w:r>
      <w:r w:rsidR="00555827">
        <w:t>histology-independent</w:t>
      </w:r>
      <w:r w:rsidRPr="002D1DD7">
        <w:t xml:space="preserve"> populations is likely to be challenging and it is expected that </w:t>
      </w:r>
      <w:r w:rsidR="00555827">
        <w:t>histology-independent</w:t>
      </w:r>
      <w:r w:rsidRPr="002D1DD7">
        <w:t xml:space="preserve"> technologies will often seek (and receive) EMA/FDA approval with limited or no data from randomised experiments, see Section</w:t>
      </w:r>
      <w:r w:rsidR="00F01A38" w:rsidRPr="002D1DD7">
        <w:t xml:space="preserve">s </w:t>
      </w:r>
      <w:r w:rsidR="00F01A38" w:rsidRPr="002D1DD7">
        <w:fldChar w:fldCharType="begin"/>
      </w:r>
      <w:r w:rsidR="00F01A38" w:rsidRPr="002D1DD7">
        <w:instrText xml:space="preserve"> REF _Ref27390653 \r \h </w:instrText>
      </w:r>
      <w:r w:rsidR="00F01A38" w:rsidRPr="002D1DD7">
        <w:fldChar w:fldCharType="separate"/>
      </w:r>
      <w:r w:rsidR="00C663A2">
        <w:t>2.3.2</w:t>
      </w:r>
      <w:r w:rsidR="00F01A38" w:rsidRPr="002D1DD7">
        <w:fldChar w:fldCharType="end"/>
      </w:r>
      <w:r w:rsidR="00F01A38" w:rsidRPr="002D1DD7">
        <w:t xml:space="preserve"> and </w:t>
      </w:r>
      <w:r w:rsidR="00F01A38" w:rsidRPr="002D1DD7">
        <w:fldChar w:fldCharType="begin"/>
      </w:r>
      <w:r w:rsidR="00F01A38" w:rsidRPr="002D1DD7">
        <w:instrText xml:space="preserve"> REF _Ref27390657 \r \h </w:instrText>
      </w:r>
      <w:r w:rsidR="00F01A38" w:rsidRPr="002D1DD7">
        <w:fldChar w:fldCharType="separate"/>
      </w:r>
      <w:r w:rsidR="00C663A2">
        <w:t>2.3.3</w:t>
      </w:r>
      <w:r w:rsidR="00F01A38" w:rsidRPr="002D1DD7">
        <w:fldChar w:fldCharType="end"/>
      </w:r>
      <w:r w:rsidRPr="002D1DD7">
        <w:t xml:space="preserve">. </w:t>
      </w:r>
      <w:r w:rsidRPr="002D1DD7">
        <w:rPr>
          <w:rFonts w:eastAsia="Times New Roman"/>
        </w:rPr>
        <w:t xml:space="preserve">The lack of control data means that the evaluation of the cost-effectiveness of </w:t>
      </w:r>
      <w:r w:rsidR="00555827">
        <w:t>histology-independent</w:t>
      </w:r>
      <w:r w:rsidRPr="002D1DD7">
        <w:t xml:space="preserve"> technologies will require the generation of a comparator arm</w:t>
      </w:r>
      <w:r w:rsidR="005B4FD5">
        <w:t>,</w:t>
      </w:r>
      <w:r w:rsidR="004C6D2B" w:rsidRPr="002D1DD7">
        <w:t xml:space="preserve"> for example</w:t>
      </w:r>
      <w:r w:rsidR="005B4FD5">
        <w:t>,</w:t>
      </w:r>
      <w:r w:rsidR="004C6D2B" w:rsidRPr="002D1DD7">
        <w:t xml:space="preserve"> by generating a control based on a historical control</w:t>
      </w:r>
      <w:r w:rsidRPr="002D1DD7">
        <w:t xml:space="preserve">. </w:t>
      </w:r>
    </w:p>
    <w:p w14:paraId="14C70858" w14:textId="53A13CFD" w:rsidR="00DB3BC2" w:rsidRPr="002D1DD7" w:rsidRDefault="00DB3BC2" w:rsidP="00DB3BC2">
      <w:pPr>
        <w:rPr>
          <w:rFonts w:cs="AdvTTd3e3db0f"/>
        </w:rPr>
      </w:pPr>
      <w:r w:rsidRPr="002D1DD7">
        <w:rPr>
          <w:rFonts w:cs="AdvTTd3e3db0f"/>
        </w:rPr>
        <w:t>The interpretation of relative effect estimates from single</w:t>
      </w:r>
      <w:r w:rsidR="005B4FD5">
        <w:rPr>
          <w:rFonts w:cs="AdvTTd3e3db0f"/>
        </w:rPr>
        <w:t>-</w:t>
      </w:r>
      <w:r w:rsidRPr="002D1DD7">
        <w:rPr>
          <w:rFonts w:cs="AdvTTd3e3db0f"/>
        </w:rPr>
        <w:t xml:space="preserve">arm studies </w:t>
      </w:r>
      <w:r w:rsidR="004C6D2B" w:rsidRPr="002D1DD7">
        <w:rPr>
          <w:rFonts w:cs="AdvTTd3e3db0f"/>
        </w:rPr>
        <w:t xml:space="preserve">compared </w:t>
      </w:r>
      <w:r w:rsidRPr="002D1DD7">
        <w:rPr>
          <w:rFonts w:cs="AdvTTd3e3db0f"/>
        </w:rPr>
        <w:t xml:space="preserve">with historical controls is </w:t>
      </w:r>
      <w:r w:rsidR="004C6D2B" w:rsidRPr="002D1DD7">
        <w:rPr>
          <w:rFonts w:cs="AdvTTd3e3db0f"/>
        </w:rPr>
        <w:t xml:space="preserve">potentially </w:t>
      </w:r>
      <w:r w:rsidRPr="002D1DD7">
        <w:rPr>
          <w:rFonts w:cs="AdvTTd3e3db0f"/>
        </w:rPr>
        <w:t>subject to bias</w:t>
      </w:r>
      <w:r w:rsidR="004C6D2B" w:rsidRPr="002D1DD7">
        <w:rPr>
          <w:rFonts w:cs="AdvTTd3e3db0f"/>
        </w:rPr>
        <w:t>,</w:t>
      </w:r>
      <w:r w:rsidRPr="002D1DD7">
        <w:rPr>
          <w:rFonts w:cs="AdvTTd3e3db0f"/>
        </w:rPr>
        <w:t xml:space="preserve"> due to differences between patients selected as historical controls and those recruited to the single</w:t>
      </w:r>
      <w:r w:rsidR="005B4FD5">
        <w:rPr>
          <w:rFonts w:cs="AdvTTd3e3db0f"/>
        </w:rPr>
        <w:t>-</w:t>
      </w:r>
      <w:r w:rsidRPr="002D1DD7">
        <w:rPr>
          <w:rFonts w:cs="AdvTTd3e3db0f"/>
        </w:rPr>
        <w:t>arm studies. Differences between the patient populations can arise for a variety of reasons including differences among accrual sites or in patient characteristics (e.g., age, performance status, or other prognostic factors). For example, more recently diagnosed patients may have milder manifestations of a condition due to improved (and therefore commonly increased) diagnostic sensitivity. Treatment effect differences may also be attributable to secular trends in clinical care (e.g., changes in diagnostic methods, classification criteria, or outcome ascertainment) or other unknown confounders.</w:t>
      </w:r>
    </w:p>
    <w:p w14:paraId="2C0A6FEF" w14:textId="29D442B3" w:rsidR="00984161" w:rsidRPr="002D1DD7" w:rsidRDefault="00DB3BC2" w:rsidP="0094091E">
      <w:pPr>
        <w:rPr>
          <w:rFonts w:cs="AdvTTd3e3db0f"/>
        </w:rPr>
      </w:pPr>
      <w:r w:rsidRPr="002D1DD7">
        <w:t>The challenges of generating an appropriate historical control are present in</w:t>
      </w:r>
      <w:r w:rsidR="004C6D2B" w:rsidRPr="002D1DD7">
        <w:t xml:space="preserve"> </w:t>
      </w:r>
      <w:r w:rsidR="00CA386F">
        <w:t>m</w:t>
      </w:r>
      <w:r w:rsidR="004C6D2B" w:rsidRPr="002D1DD7">
        <w:t>any</w:t>
      </w:r>
      <w:r w:rsidRPr="002D1DD7">
        <w:t xml:space="preserve"> appraisals wherever such </w:t>
      </w:r>
      <w:r w:rsidR="004C6D2B" w:rsidRPr="002D1DD7">
        <w:t>comparisons are made</w:t>
      </w:r>
      <w:r w:rsidRPr="002D1DD7">
        <w:t xml:space="preserve">, but may be particularly acute when considering a </w:t>
      </w:r>
      <w:r w:rsidR="00555827">
        <w:t>histology-independent</w:t>
      </w:r>
      <w:r w:rsidRPr="002D1DD7">
        <w:t xml:space="preserve"> technology</w:t>
      </w:r>
      <w:r w:rsidR="00984161" w:rsidRPr="002D1DD7">
        <w:t>.</w:t>
      </w:r>
      <w:r w:rsidRPr="002D1DD7">
        <w:t xml:space="preserve"> </w:t>
      </w:r>
      <w:r w:rsidR="00984161" w:rsidRPr="002D1DD7">
        <w:rPr>
          <w:rFonts w:cs="AdvTTd3e3db0f"/>
        </w:rPr>
        <w:t xml:space="preserve">In the context of a </w:t>
      </w:r>
      <w:r w:rsidR="00555827">
        <w:rPr>
          <w:rFonts w:cs="AdvTTd3e3db0f"/>
        </w:rPr>
        <w:t>histology-independent</w:t>
      </w:r>
      <w:r w:rsidR="00984161" w:rsidRPr="002D1DD7">
        <w:rPr>
          <w:rFonts w:cs="AdvTTd3e3db0f"/>
        </w:rPr>
        <w:t xml:space="preserve"> appraisal, the generation of an appropriate </w:t>
      </w:r>
      <w:r w:rsidR="00984161" w:rsidRPr="002D1DD7">
        <w:rPr>
          <w:rFonts w:cs="AdvTTd3e3db0f"/>
        </w:rPr>
        <w:lastRenderedPageBreak/>
        <w:t xml:space="preserve">historical control data set is complicated by the need to cover multiple tumour types/histologies, which not only creates challenges </w:t>
      </w:r>
      <w:r w:rsidR="005B4FD5">
        <w:rPr>
          <w:rFonts w:cs="AdvTTd3e3db0f"/>
        </w:rPr>
        <w:t>for</w:t>
      </w:r>
      <w:r w:rsidR="00984161" w:rsidRPr="002D1DD7">
        <w:rPr>
          <w:rFonts w:cs="AdvTTd3e3db0f"/>
        </w:rPr>
        <w:t xml:space="preserve"> generating an appropriate comparator data set, but also potentially exacerbates the potential for confounding bias. </w:t>
      </w:r>
    </w:p>
    <w:p w14:paraId="2774DF3F" w14:textId="74672B64" w:rsidR="00984161" w:rsidRPr="002D1DD7" w:rsidRDefault="00984161" w:rsidP="00984161">
      <w:pPr>
        <w:rPr>
          <w:rFonts w:cs="AdvTTd3e3db0f"/>
        </w:rPr>
      </w:pPr>
      <w:r w:rsidRPr="002D1DD7">
        <w:rPr>
          <w:rFonts w:cs="AdvTTd3e3db0f"/>
        </w:rPr>
        <w:t xml:space="preserve">The need to cover multiple tumour types/histologies means that it is unlikely that any single data set will provide sufficient coverage to represent the whole target population. It is therefore likely that multiple data sources will need to be identified, as was implemented in the </w:t>
      </w:r>
      <w:r w:rsidR="00D90104">
        <w:rPr>
          <w:rFonts w:cs="AdvTTd3e3db0f"/>
        </w:rPr>
        <w:t xml:space="preserve">ongoing </w:t>
      </w:r>
      <w:r w:rsidR="003E17E4">
        <w:rPr>
          <w:rFonts w:cs="AdvTTd3e3db0f"/>
        </w:rPr>
        <w:t xml:space="preserve">NICE </w:t>
      </w:r>
      <w:r w:rsidRPr="002D1DD7">
        <w:rPr>
          <w:rFonts w:cs="AdvTTd3e3db0f"/>
        </w:rPr>
        <w:t>appraisal of larotrectinib</w:t>
      </w:r>
      <w:r w:rsidR="00D90104">
        <w:rPr>
          <w:rFonts w:cs="AdvTTd3e3db0f"/>
        </w:rPr>
        <w:t>.</w:t>
      </w:r>
      <w:r w:rsidR="00CB2733">
        <w:rPr>
          <w:rFonts w:cs="AdvTTd3e3db0f"/>
        </w:rPr>
        <w:fldChar w:fldCharType="begin"/>
      </w:r>
      <w:r w:rsidR="004D5B2B">
        <w:rPr>
          <w:rFonts w:cs="AdvTTd3e3db0f"/>
        </w:rPr>
        <w:instrText xml:space="preserve"> ADDIN EN.CITE &lt;EndNote&gt;&lt;Cite&gt;&lt;Author&gt;National Institute for Health and Care Excellence (NICE)&lt;/Author&gt;&lt;Year&gt;2019&lt;/Year&gt;&lt;RecNum&gt;3535&lt;/RecNum&gt;&lt;DisplayText&gt;&lt;style face="superscript"&gt;154&lt;/style&gt;&lt;/DisplayText&gt;&lt;record&gt;&lt;rec-number&gt;3535&lt;/rec-number&gt;&lt;foreign-keys&gt;&lt;key app="EN" db-id="dwaevxvazfs2f3ewvzmxrd0k0wasw55p2z2w" timestamp="1579875628"&gt;3535&lt;/key&gt;&lt;/foreign-keys&gt;&lt;ref-type name="Report"&gt;27&lt;/ref-type&gt;&lt;contributors&gt;&lt;authors&gt;&lt;author&gt;National Institute for Health and Care Excellence (NICE),&lt;/author&gt;&lt;/authors&gt;&lt;/contributors&gt;&lt;titles&gt;&lt;title&gt;Larotrectinib for treating NTRK fusion-positive advanced solid tumours&lt;/title&gt;&lt;secondary-title&gt;Single Technology Appraisal&lt;/secondary-title&gt;&lt;/titles&gt;&lt;dates&gt;&lt;year&gt;2019&lt;/year&gt;&lt;/dates&gt;&lt;publisher&gt;National Institute for Health and Care Excellence&lt;/publisher&gt;&lt;urls&gt;&lt;/urls&gt;&lt;custom4&gt;LUCY&amp;apos;S REFERENCES&lt;/custom4&gt;&lt;/record&gt;&lt;/Cite&gt;&lt;/EndNote&gt;</w:instrText>
      </w:r>
      <w:r w:rsidR="00CB2733">
        <w:rPr>
          <w:rFonts w:cs="AdvTTd3e3db0f"/>
        </w:rPr>
        <w:fldChar w:fldCharType="separate"/>
      </w:r>
      <w:r w:rsidR="004D5B2B" w:rsidRPr="004D5B2B">
        <w:rPr>
          <w:rFonts w:cs="AdvTTd3e3db0f"/>
          <w:noProof/>
          <w:vertAlign w:val="superscript"/>
        </w:rPr>
        <w:t>154</w:t>
      </w:r>
      <w:r w:rsidR="00CB2733">
        <w:rPr>
          <w:rFonts w:cs="AdvTTd3e3db0f"/>
        </w:rPr>
        <w:fldChar w:fldCharType="end"/>
      </w:r>
      <w:r w:rsidR="00B3067C">
        <w:rPr>
          <w:rFonts w:cs="AdvTTd3e3db0f"/>
        </w:rPr>
        <w:t xml:space="preserve"> </w:t>
      </w:r>
      <w:r w:rsidRPr="002D1DD7">
        <w:rPr>
          <w:rFonts w:cs="AdvTTd3e3db0f"/>
        </w:rPr>
        <w:t>Identification of historical control data would ideally be undertaken through an appropriate systematic review</w:t>
      </w:r>
      <w:r w:rsidR="005B4FD5">
        <w:rPr>
          <w:rFonts w:cs="AdvTTd3e3db0f"/>
        </w:rPr>
        <w:t>;</w:t>
      </w:r>
      <w:r w:rsidRPr="002D1DD7">
        <w:rPr>
          <w:rFonts w:cs="AdvTTd3e3db0f"/>
        </w:rPr>
        <w:t xml:space="preserve"> however, this creates practical challenges as the resource required to implement this across multiple tumour types/histologies is extensive. In the larotrectinib appraisal</w:t>
      </w:r>
      <w:r w:rsidR="005B4FD5">
        <w:rPr>
          <w:rFonts w:cs="AdvTTd3e3db0f"/>
        </w:rPr>
        <w:t>,</w:t>
      </w:r>
      <w:r w:rsidRPr="002D1DD7">
        <w:rPr>
          <w:rFonts w:cs="AdvTTd3e3db0f"/>
        </w:rPr>
        <w:t xml:space="preserve"> the focus of company searches for historical control data was limited to previous NICE technology appraisals covering the tumour types included in the company’s single-arm study. While this can be considered a reasonable pragmatic step, there is potential for alternative, and plausibly more relevant, sources of historical data to</w:t>
      </w:r>
      <w:r w:rsidR="00BC006F">
        <w:rPr>
          <w:rFonts w:cs="AdvTTd3e3db0f"/>
        </w:rPr>
        <w:t xml:space="preserve"> be</w:t>
      </w:r>
      <w:r w:rsidRPr="002D1DD7">
        <w:rPr>
          <w:rFonts w:cs="AdvTTd3e3db0f"/>
        </w:rPr>
        <w:t xml:space="preserve"> missed. </w:t>
      </w:r>
    </w:p>
    <w:p w14:paraId="49A528F0" w14:textId="5C57C95D" w:rsidR="00984161" w:rsidRPr="002D1DD7" w:rsidRDefault="00984161" w:rsidP="00984161">
      <w:pPr>
        <w:rPr>
          <w:rFonts w:cs="AdvTTd3e3db0f"/>
        </w:rPr>
      </w:pPr>
      <w:r w:rsidRPr="002D1DD7">
        <w:rPr>
          <w:rFonts w:cs="AdvTTd3e3db0f"/>
        </w:rPr>
        <w:t>Other challenges that result from the need to generate a data set that covers such a broad variety of tumour types</w:t>
      </w:r>
      <w:r w:rsidR="004C6D2B" w:rsidRPr="002D1DD7">
        <w:rPr>
          <w:rFonts w:cs="AdvTTd3e3db0f"/>
        </w:rPr>
        <w:t>,</w:t>
      </w:r>
      <w:r w:rsidRPr="002D1DD7">
        <w:rPr>
          <w:rFonts w:cs="AdvTTd3e3db0f"/>
        </w:rPr>
        <w:t xml:space="preserve"> include the possibility that no relevant data exist for some relevant tumour types. For example, </w:t>
      </w:r>
      <w:r w:rsidRPr="004A4474">
        <w:rPr>
          <w:rFonts w:cs="AdvTTd3e3db0f"/>
          <w:iCs/>
        </w:rPr>
        <w:t>NTRK</w:t>
      </w:r>
      <w:r w:rsidRPr="00A56954">
        <w:rPr>
          <w:rFonts w:cs="AdvTTd3e3db0f"/>
          <w:iCs/>
        </w:rPr>
        <w:t xml:space="preserve"> </w:t>
      </w:r>
      <w:r w:rsidRPr="002D1DD7">
        <w:rPr>
          <w:rFonts w:cs="AdvTTd3e3db0f"/>
        </w:rPr>
        <w:t xml:space="preserve">fusions are present in a number of rare tumour types which have not been subject to NICE guidance and in </w:t>
      </w:r>
      <w:r w:rsidR="00D90104">
        <w:rPr>
          <w:rFonts w:cs="AdvTTd3e3db0f"/>
        </w:rPr>
        <w:t xml:space="preserve">the ongoing </w:t>
      </w:r>
      <w:r w:rsidRPr="002D1DD7">
        <w:rPr>
          <w:rFonts w:cs="AdvTTd3e3db0f"/>
        </w:rPr>
        <w:t xml:space="preserve">larotrectinib </w:t>
      </w:r>
      <w:r w:rsidR="00D90104">
        <w:rPr>
          <w:rFonts w:cs="AdvTTd3e3db0f"/>
        </w:rPr>
        <w:t>a</w:t>
      </w:r>
      <w:r w:rsidRPr="002D1DD7">
        <w:rPr>
          <w:rFonts w:cs="AdvTTd3e3db0f"/>
        </w:rPr>
        <w:t>ppraisal,</w:t>
      </w:r>
      <w:r w:rsidR="00CB2733">
        <w:rPr>
          <w:rFonts w:cs="AdvTTd3e3db0f"/>
        </w:rPr>
        <w:fldChar w:fldCharType="begin"/>
      </w:r>
      <w:r w:rsidR="004D5B2B">
        <w:rPr>
          <w:rFonts w:cs="AdvTTd3e3db0f"/>
        </w:rPr>
        <w:instrText xml:space="preserve"> ADDIN EN.CITE &lt;EndNote&gt;&lt;Cite&gt;&lt;Author&gt;National Institute for Health and Care Excellence (NICE)&lt;/Author&gt;&lt;Year&gt;2019&lt;/Year&gt;&lt;RecNum&gt;3535&lt;/RecNum&gt;&lt;DisplayText&gt;&lt;style face="superscript"&gt;154&lt;/style&gt;&lt;/DisplayText&gt;&lt;record&gt;&lt;rec-number&gt;3535&lt;/rec-number&gt;&lt;foreign-keys&gt;&lt;key app="EN" db-id="dwaevxvazfs2f3ewvzmxrd0k0wasw55p2z2w" timestamp="1579875628"&gt;3535&lt;/key&gt;&lt;/foreign-keys&gt;&lt;ref-type name="Report"&gt;27&lt;/ref-type&gt;&lt;contributors&gt;&lt;authors&gt;&lt;author&gt;National Institute for Health and Care Excellence (NICE),&lt;/author&gt;&lt;/authors&gt;&lt;/contributors&gt;&lt;titles&gt;&lt;title&gt;Larotrectinib for treating NTRK fusion-positive advanced solid tumours&lt;/title&gt;&lt;secondary-title&gt;Single Technology Appraisal&lt;/secondary-title&gt;&lt;/titles&gt;&lt;dates&gt;&lt;year&gt;2019&lt;/year&gt;&lt;/dates&gt;&lt;publisher&gt;National Institute for Health and Care Excellence&lt;/publisher&gt;&lt;urls&gt;&lt;/urls&gt;&lt;custom4&gt;LUCY&amp;apos;S REFERENCES&lt;/custom4&gt;&lt;/record&gt;&lt;/Cite&gt;&lt;/EndNote&gt;</w:instrText>
      </w:r>
      <w:r w:rsidR="00CB2733">
        <w:rPr>
          <w:rFonts w:cs="AdvTTd3e3db0f"/>
        </w:rPr>
        <w:fldChar w:fldCharType="separate"/>
      </w:r>
      <w:r w:rsidR="004D5B2B" w:rsidRPr="004D5B2B">
        <w:rPr>
          <w:rFonts w:cs="AdvTTd3e3db0f"/>
          <w:noProof/>
          <w:vertAlign w:val="superscript"/>
        </w:rPr>
        <w:t>154</w:t>
      </w:r>
      <w:r w:rsidR="00CB2733">
        <w:rPr>
          <w:rFonts w:cs="AdvTTd3e3db0f"/>
        </w:rPr>
        <w:fldChar w:fldCharType="end"/>
      </w:r>
      <w:r w:rsidRPr="002D1DD7">
        <w:rPr>
          <w:rFonts w:cs="AdvTTd3e3db0f"/>
        </w:rPr>
        <w:t xml:space="preserve"> </w:t>
      </w:r>
      <w:r w:rsidR="00D90104">
        <w:rPr>
          <w:rFonts w:cs="AdvTTd3e3db0f"/>
        </w:rPr>
        <w:t xml:space="preserve">the </w:t>
      </w:r>
      <w:r w:rsidRPr="002D1DD7">
        <w:rPr>
          <w:rFonts w:cs="AdvTTd3e3db0f"/>
        </w:rPr>
        <w:t>company submission w</w:t>
      </w:r>
      <w:r w:rsidR="00D90104">
        <w:rPr>
          <w:rFonts w:cs="AdvTTd3e3db0f"/>
        </w:rPr>
        <w:t>as</w:t>
      </w:r>
      <w:r w:rsidRPr="002D1DD7">
        <w:rPr>
          <w:rFonts w:cs="AdvTTd3e3db0f"/>
        </w:rPr>
        <w:t xml:space="preserve"> forced to make arbitrary assumptions regarding the outcomes of patients for whom relevant comparator data could not be identified.</w:t>
      </w:r>
    </w:p>
    <w:p w14:paraId="602049BD" w14:textId="3024C519" w:rsidR="00984161" w:rsidRPr="002D1DD7" w:rsidRDefault="00984161">
      <w:pPr>
        <w:rPr>
          <w:rFonts w:cs="AdvTTd3e3db0f"/>
        </w:rPr>
      </w:pPr>
      <w:r w:rsidRPr="002D1DD7">
        <w:rPr>
          <w:rFonts w:cs="AdvTTd3e3db0f"/>
        </w:rPr>
        <w:t xml:space="preserve">Identification of appropriate historical data will </w:t>
      </w:r>
      <w:r w:rsidR="004C6D2B" w:rsidRPr="002D1DD7">
        <w:rPr>
          <w:rFonts w:cs="AdvTTd3e3db0f"/>
        </w:rPr>
        <w:t xml:space="preserve">also </w:t>
      </w:r>
      <w:r w:rsidRPr="002D1DD7">
        <w:rPr>
          <w:rFonts w:cs="AdvTTd3e3db0f"/>
        </w:rPr>
        <w:t>need to address uncertainties regarding the positioning of therapy and any discrepancy between the licensed indication and the trials. Line of therapy may be an important prognostic factor, as patient</w:t>
      </w:r>
      <w:r w:rsidR="00CA386F">
        <w:rPr>
          <w:rFonts w:cs="AdvTTd3e3db0f"/>
        </w:rPr>
        <w:t>s</w:t>
      </w:r>
      <w:r w:rsidRPr="002D1DD7">
        <w:rPr>
          <w:rFonts w:cs="AdvTTd3e3db0f"/>
        </w:rPr>
        <w:t xml:space="preserve"> in later lines </w:t>
      </w:r>
      <w:r w:rsidR="005B4FD5">
        <w:rPr>
          <w:rFonts w:cs="AdvTTd3e3db0f"/>
        </w:rPr>
        <w:t xml:space="preserve">of therapy </w:t>
      </w:r>
      <w:r w:rsidRPr="002D1DD7">
        <w:rPr>
          <w:rFonts w:cs="AdvTTd3e3db0f"/>
        </w:rPr>
        <w:t>will tend to have fewer treatment options and have potentially also accrued chemotherapy</w:t>
      </w:r>
      <w:r w:rsidR="005B4FD5">
        <w:rPr>
          <w:rFonts w:cs="AdvTTd3e3db0f"/>
        </w:rPr>
        <w:t>-</w:t>
      </w:r>
      <w:r w:rsidRPr="002D1DD7">
        <w:rPr>
          <w:rFonts w:cs="AdvTTd3e3db0f"/>
        </w:rPr>
        <w:t xml:space="preserve">related toxicity limiting their tolerability </w:t>
      </w:r>
      <w:r w:rsidR="004C6D2B" w:rsidRPr="002D1DD7">
        <w:rPr>
          <w:rFonts w:cs="AdvTTd3e3db0f"/>
        </w:rPr>
        <w:t>to</w:t>
      </w:r>
      <w:r w:rsidRPr="002D1DD7">
        <w:rPr>
          <w:rFonts w:cs="AdvTTd3e3db0f"/>
        </w:rPr>
        <w:t xml:space="preserve"> further treatment. </w:t>
      </w:r>
      <w:r w:rsidR="004C6D2B" w:rsidRPr="002D1DD7">
        <w:rPr>
          <w:rFonts w:cs="AdvTTd3e3db0f"/>
        </w:rPr>
        <w:t>A</w:t>
      </w:r>
      <w:r w:rsidRPr="002D1DD7">
        <w:rPr>
          <w:rFonts w:cs="AdvTTd3e3db0f"/>
        </w:rPr>
        <w:t>ttempting to match control patients characteristics to observed line of therapy in the intervention arm, however creates difficulties, as there is a tension as to whether to attempt to generate a comparator data set which is internally valid, i.e. where line</w:t>
      </w:r>
      <w:r w:rsidR="00CA386F">
        <w:rPr>
          <w:rFonts w:cs="AdvTTd3e3db0f"/>
        </w:rPr>
        <w:t>s</w:t>
      </w:r>
      <w:r w:rsidRPr="002D1DD7">
        <w:rPr>
          <w:rFonts w:cs="AdvTTd3e3db0f"/>
        </w:rPr>
        <w:t xml:space="preserve"> of therapy in the historical comparator data set match those of the intervention arm; or whether the historical control should attempt to reflect the eligible population and therefore maintain external validity, in which case the relative effect estimates may be sbiased. Indeed, this tension between internal and external validity may extend to other patient characteristics</w:t>
      </w:r>
      <w:r w:rsidR="0094091E">
        <w:rPr>
          <w:rFonts w:cs="AdvTTd3e3db0f"/>
        </w:rPr>
        <w:t>,</w:t>
      </w:r>
      <w:r w:rsidRPr="002D1DD7">
        <w:rPr>
          <w:rFonts w:cs="AdvTTd3e3db0f"/>
        </w:rPr>
        <w:t xml:space="preserve"> particular</w:t>
      </w:r>
      <w:r w:rsidR="00CA386F">
        <w:rPr>
          <w:rFonts w:cs="AdvTTd3e3db0f"/>
        </w:rPr>
        <w:t>ly</w:t>
      </w:r>
      <w:r w:rsidRPr="002D1DD7">
        <w:rPr>
          <w:rFonts w:cs="AdvTTd3e3db0f"/>
        </w:rPr>
        <w:t xml:space="preserve"> where the pool of patients in the intervention arm for a particular tumour is small</w:t>
      </w:r>
      <w:r w:rsidR="00B3067C">
        <w:rPr>
          <w:rFonts w:cs="AdvTTd3e3db0f"/>
        </w:rPr>
        <w:t>,</w:t>
      </w:r>
      <w:r w:rsidRPr="002D1DD7">
        <w:rPr>
          <w:rFonts w:cs="AdvTTd3e3db0f"/>
        </w:rPr>
        <w:t xml:space="preserve"> as recruited patients </w:t>
      </w:r>
      <w:r w:rsidR="004C6D2B" w:rsidRPr="002D1DD7">
        <w:rPr>
          <w:rFonts w:cs="AdvTTd3e3db0f"/>
        </w:rPr>
        <w:t xml:space="preserve">may not </w:t>
      </w:r>
      <w:r w:rsidRPr="002D1DD7">
        <w:rPr>
          <w:rFonts w:cs="AdvTTd3e3db0f"/>
        </w:rPr>
        <w:t>be fully representative of the eligible population. This tension therefore may typify a general issue of whether to match patient characteristic</w:t>
      </w:r>
      <w:r w:rsidR="00CA386F">
        <w:rPr>
          <w:rFonts w:cs="AdvTTd3e3db0f"/>
        </w:rPr>
        <w:t>s</w:t>
      </w:r>
      <w:r w:rsidRPr="002D1DD7">
        <w:rPr>
          <w:rFonts w:cs="AdvTTd3e3db0f"/>
        </w:rPr>
        <w:t xml:space="preserve"> in the control arm to those in the intervention arm. </w:t>
      </w:r>
    </w:p>
    <w:p w14:paraId="51B9CD99" w14:textId="430C0285" w:rsidR="00984161" w:rsidRPr="002D1DD7" w:rsidRDefault="00984161" w:rsidP="00984161">
      <w:pPr>
        <w:rPr>
          <w:rFonts w:cs="Times New Roman"/>
        </w:rPr>
      </w:pPr>
      <w:r w:rsidRPr="002D1DD7">
        <w:lastRenderedPageBreak/>
        <w:t xml:space="preserve">A further issue with using historical controls is that the target mutation may be prognostic in some or all tumours and it may be difficult to obtain relevant historical data limited to patients that harbour the target mutation, particularly where this mutation is rare. There is also the possibility that the prognostic value of the mutation may differ across tumour sites further complicating any attempt to adjust for the prognostic value of a mutation. In addition, in the context of a new target mutation, the prognostic value in different tumour types may not have been investigated sufficiently and is likely to be unknown for most, if not all, tumour types. For example, there is evidence to suggest an association between the presence of an </w:t>
      </w:r>
      <w:r w:rsidRPr="004A4474">
        <w:rPr>
          <w:iCs/>
        </w:rPr>
        <w:t>NTRK</w:t>
      </w:r>
      <w:r w:rsidRPr="002D1DD7">
        <w:t xml:space="preserve"> fusion and unfavourable disease presentation</w:t>
      </w:r>
      <w:r w:rsidR="006F7FD7">
        <w:fldChar w:fldCharType="begin">
          <w:fldData xml:space="preserve">PEVuZE5vdGU+PENpdGU+PEF1dGhvcj5Cb25nYXJ6b25lPC9BdXRob3I+PFllYXI+MTk5ODwvWWVh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</w:fldData>
        </w:fldChar>
      </w:r>
      <w:r w:rsidR="000E66DE">
        <w:instrText xml:space="preserve"> ADDIN EN.CITE </w:instrText>
      </w:r>
      <w:r w:rsidR="000E66DE">
        <w:fldChar w:fldCharType="begin">
          <w:fldData xml:space="preserve">PEVuZE5vdGU+PENpdGU+PEF1dGhvcj5Cb25nYXJ6b25lPC9BdXRob3I+PFllYXI+MTk5ODwvWWVh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</w:fldData>
        </w:fldChar>
      </w:r>
      <w:r w:rsidR="000E66DE">
        <w:instrText xml:space="preserve"> ADDIN EN.CITE.DATA </w:instrText>
      </w:r>
      <w:r w:rsidR="000E66DE">
        <w:fldChar w:fldCharType="end"/>
      </w:r>
      <w:r w:rsidR="006F7FD7">
        <w:fldChar w:fldCharType="separate"/>
      </w:r>
      <w:r w:rsidR="004D5B2B" w:rsidRPr="004D5B2B">
        <w:rPr>
          <w:noProof/>
          <w:vertAlign w:val="superscript"/>
        </w:rPr>
        <w:t>155, 156</w:t>
      </w:r>
      <w:r w:rsidR="006F7FD7">
        <w:fldChar w:fldCharType="end"/>
      </w:r>
      <w:r w:rsidR="0094091E">
        <w:t xml:space="preserve"> </w:t>
      </w:r>
      <w:r w:rsidRPr="002D1DD7">
        <w:t xml:space="preserve">and better prognosis in patients with congenital mesoblastic nephroma (CMN), who harbour an </w:t>
      </w:r>
      <w:r w:rsidRPr="004A4474">
        <w:rPr>
          <w:iCs/>
        </w:rPr>
        <w:t>NTRK</w:t>
      </w:r>
      <w:r w:rsidRPr="002D1DD7">
        <w:t xml:space="preserve"> fusion compared to those without the genetic abnormality.</w:t>
      </w:r>
      <w:r w:rsidR="006F7FD7">
        <w:fldChar w:fldCharType="begin"/>
      </w:r>
      <w:r w:rsidR="00054FE8">
        <w:instrText xml:space="preserve"> ADDIN EN.CITE &lt;EndNote&gt;&lt;Cite&gt;&lt;Author&gt;Vokuhl&lt;/Author&gt;&lt;Year&gt;2018&lt;/Year&gt;&lt;RecNum&gt;3469&lt;/RecNum&gt;&lt;DisplayText&gt;&lt;style face="superscript"&gt;157&lt;/style&gt;&lt;/DisplayText&gt;&lt;record&gt;&lt;rec-number&gt;3469&lt;/rec-number&gt;&lt;foreign-keys&gt;&lt;key app="EN" db-id="dwaevxvazfs2f3ewvzmxrd0k0was</w:instrText>
      </w:r>
      <w:r w:rsidR="00054FE8">
        <w:rPr>
          <w:rFonts w:hint="eastAsia"/>
        </w:rPr>
        <w:instrText>w55p2z2w" timestamp="1573724911"&gt;3469&lt;/key&gt;&lt;/foreign-keys&gt;&lt;ref-type name="Journal Article"&gt;17&lt;/ref-type&gt;&lt;contributors&gt;&lt;authors&gt;&lt;author&gt;Vokuhl, Christian&lt;/author&gt;&lt;author&gt;Nourkami</w:instrText>
      </w:r>
      <w:r w:rsidR="00054FE8">
        <w:rPr>
          <w:rFonts w:hint="eastAsia"/>
        </w:rPr>
        <w:instrText>‐</w:instrText>
      </w:r>
      <w:r w:rsidR="00054FE8">
        <w:rPr>
          <w:rFonts w:hint="eastAsia"/>
        </w:rPr>
        <w:instrText>Tutdibi, Nasenien&lt;/author&gt;&lt;author&gt;Furtwängler, Rhoikos&lt;/author&gt;&lt;author&gt;Gessle</w:instrText>
      </w:r>
      <w:r w:rsidR="00054FE8">
        <w:instrText>r, Manfred&lt;/author&gt;&lt;author&gt;Graf, Norbert&lt;/author&gt;&lt;author&gt;Leuschner, Ivo&lt;/author&gt;&lt;/authors&gt;&lt;/contributors&gt;&lt;titles&gt;&lt;title&gt;ETV6–NTRK3 in congenital mesoblastic nephroma: A report of the SIOP/GPOH nephroblastoma study&lt;/title&gt;&lt;secondary-title&gt;Pediatric Blood and Cancer&lt;/secondary-title&gt;&lt;/titles&gt;&lt;pages&gt;e26925&lt;/pages&gt;&lt;volume&gt;65&lt;/volume&gt;&lt;number&gt;4&lt;/number&gt;&lt;dates&gt;&lt;year&gt;2018&lt;/year&gt;&lt;/dates&gt;&lt;isbn&gt;1545-5009&lt;/isbn&gt;&lt;urls&gt;&lt;/urls&gt;&lt;/record&gt;&lt;/Cite&gt;&lt;/EndNote&gt;</w:instrText>
      </w:r>
      <w:r w:rsidR="006F7FD7">
        <w:fldChar w:fldCharType="separate"/>
      </w:r>
      <w:r w:rsidR="004D5B2B" w:rsidRPr="004D5B2B">
        <w:rPr>
          <w:noProof/>
          <w:vertAlign w:val="superscript"/>
        </w:rPr>
        <w:t>157</w:t>
      </w:r>
      <w:r w:rsidR="006F7FD7">
        <w:fldChar w:fldCharType="end"/>
      </w:r>
      <w:r w:rsidRPr="002D1DD7">
        <w:t xml:space="preserve"> The evidence across tumour types is </w:t>
      </w:r>
      <w:r w:rsidR="00411258">
        <w:t>limited</w:t>
      </w:r>
      <w:r w:rsidRPr="002D1DD7">
        <w:t xml:space="preserve"> but the</w:t>
      </w:r>
      <w:r w:rsidR="00411258">
        <w:t xml:space="preserve"> </w:t>
      </w:r>
      <w:r w:rsidRPr="002D1DD7">
        <w:t xml:space="preserve">prognosis of patients with </w:t>
      </w:r>
      <w:r w:rsidRPr="004A4474">
        <w:rPr>
          <w:iCs/>
        </w:rPr>
        <w:t>NTRK</w:t>
      </w:r>
      <w:r w:rsidRPr="002D1DD7">
        <w:t xml:space="preserve"> fusions </w:t>
      </w:r>
      <w:r w:rsidR="00411258">
        <w:t xml:space="preserve">may </w:t>
      </w:r>
      <w:r w:rsidRPr="002D1DD7">
        <w:t>var</w:t>
      </w:r>
      <w:r w:rsidR="00411258">
        <w:t>y</w:t>
      </w:r>
      <w:r w:rsidRPr="002D1DD7">
        <w:t xml:space="preserve"> between cancer types and between </w:t>
      </w:r>
      <w:r w:rsidRPr="004A4474">
        <w:rPr>
          <w:iCs/>
        </w:rPr>
        <w:t>NTRK</w:t>
      </w:r>
      <w:r w:rsidRPr="002D1DD7">
        <w:t xml:space="preserve"> fusion types.</w:t>
      </w:r>
      <w:r w:rsidR="006F7FD7">
        <w:fldChar w:fldCharType="begin"/>
      </w:r>
      <w:r w:rsidR="00054FE8">
        <w:instrText xml:space="preserve"> ADDIN EN.CITE &lt;EndNote&gt;&lt;Cite&gt;&lt;Author&gt;Vokuhl&lt;/Author&gt;&lt;Year&gt;2018&lt;/Year&gt;&lt;RecNum&gt;3469&lt;/RecNum&gt;&lt;DisplayText&gt;&lt;style face="superscript"&gt;157&lt;/style&gt;&lt;/DisplayText&gt;&lt;record&gt;&lt;rec-number&gt;3469&lt;/rec-number&gt;&lt;foreign-keys&gt;&lt;key app="EN" db-id="dwaevxvazfs2f3ewvzmxrd0k0was</w:instrText>
      </w:r>
      <w:r w:rsidR="00054FE8">
        <w:rPr>
          <w:rFonts w:hint="eastAsia"/>
        </w:rPr>
        <w:instrText>w55p2z2w" timestamp="1573724911"&gt;3469&lt;/key&gt;&lt;/foreign-keys&gt;&lt;ref-type name="Journal Article"&gt;17&lt;/ref-type&gt;&lt;contributors&gt;&lt;authors&gt;&lt;author&gt;Vokuhl, Christian&lt;/author&gt;&lt;author&gt;Nourkami</w:instrText>
      </w:r>
      <w:r w:rsidR="00054FE8">
        <w:rPr>
          <w:rFonts w:hint="eastAsia"/>
        </w:rPr>
        <w:instrText>‐</w:instrText>
      </w:r>
      <w:r w:rsidR="00054FE8">
        <w:rPr>
          <w:rFonts w:hint="eastAsia"/>
        </w:rPr>
        <w:instrText>Tutdibi, Nasenien&lt;/author&gt;&lt;author&gt;Furtwängler, Rhoikos&lt;/author&gt;&lt;author&gt;Gessle</w:instrText>
      </w:r>
      <w:r w:rsidR="00054FE8">
        <w:instrText>r, Manfred&lt;/author&gt;&lt;author&gt;Graf, Norbert&lt;/author&gt;&lt;author&gt;Leuschner, Ivo&lt;/author&gt;&lt;/authors&gt;&lt;/contributors&gt;&lt;titles&gt;&lt;title&gt;ETV6–NTRK3 in congenital mesoblastic nephroma: A report of the SIOP/GPOH nephroblastoma study&lt;/title&gt;&lt;secondary-title&gt;Pediatric Blood and Cancer&lt;/secondary-title&gt;&lt;/titles&gt;&lt;pages&gt;e26925&lt;/pages&gt;&lt;volume&gt;65&lt;/volume&gt;&lt;number&gt;4&lt;/number&gt;&lt;dates&gt;&lt;year&gt;2018&lt;/year&gt;&lt;/dates&gt;&lt;isbn&gt;1545-5009&lt;/isbn&gt;&lt;urls&gt;&lt;/urls&gt;&lt;/record&gt;&lt;/Cite&gt;&lt;/EndNote&gt;</w:instrText>
      </w:r>
      <w:r w:rsidR="006F7FD7">
        <w:fldChar w:fldCharType="separate"/>
      </w:r>
      <w:r w:rsidR="004D5B2B" w:rsidRPr="004D5B2B">
        <w:rPr>
          <w:noProof/>
          <w:vertAlign w:val="superscript"/>
        </w:rPr>
        <w:t>157</w:t>
      </w:r>
      <w:r w:rsidR="006F7FD7">
        <w:fldChar w:fldCharType="end"/>
      </w:r>
      <w:r w:rsidRPr="002D1DD7">
        <w:t xml:space="preserve"> </w:t>
      </w:r>
      <w:r w:rsidRPr="002D1DD7">
        <w:rPr>
          <w:rFonts w:cs="Times New Roman"/>
        </w:rPr>
        <w:t xml:space="preserve">From the evidence available, it is also unclear whether </w:t>
      </w:r>
      <w:r w:rsidRPr="004A4474">
        <w:rPr>
          <w:rFonts w:cs="Times New Roman"/>
          <w:iCs/>
        </w:rPr>
        <w:t>NTRK</w:t>
      </w:r>
      <w:r w:rsidRPr="002D1DD7">
        <w:rPr>
          <w:rFonts w:cs="Times New Roman"/>
        </w:rPr>
        <w:t xml:space="preserve"> fusions are in themselves prognostic, or whether it is their association with other specific prognostic factors, such as age and </w:t>
      </w:r>
      <w:r w:rsidR="00BC006F" w:rsidRPr="00BC006F">
        <w:rPr>
          <w:rFonts w:cs="Times New Roman"/>
        </w:rPr>
        <w:t>Eastern Cooperative Oncology Group</w:t>
      </w:r>
      <w:r w:rsidR="00BC006F">
        <w:rPr>
          <w:rFonts w:cs="Times New Roman"/>
        </w:rPr>
        <w:t xml:space="preserve"> (</w:t>
      </w:r>
      <w:r w:rsidRPr="002D1DD7">
        <w:rPr>
          <w:rFonts w:cs="Times New Roman"/>
        </w:rPr>
        <w:t>ECOG</w:t>
      </w:r>
      <w:r w:rsidR="00BC006F">
        <w:rPr>
          <w:rFonts w:cs="Times New Roman"/>
        </w:rPr>
        <w:t>)</w:t>
      </w:r>
      <w:r w:rsidRPr="002D1DD7">
        <w:rPr>
          <w:rFonts w:cs="Times New Roman"/>
        </w:rPr>
        <w:t xml:space="preserve"> </w:t>
      </w:r>
      <w:r w:rsidR="00BC006F">
        <w:rPr>
          <w:rFonts w:cs="Times New Roman"/>
        </w:rPr>
        <w:t xml:space="preserve">performance </w:t>
      </w:r>
      <w:r w:rsidRPr="002D1DD7">
        <w:rPr>
          <w:rFonts w:cs="Times New Roman"/>
        </w:rPr>
        <w:t>status, that drives the observed differences in prognosis.</w:t>
      </w:r>
    </w:p>
    <w:p w14:paraId="60113CAC" w14:textId="77777777" w:rsidR="00984161" w:rsidRPr="002D1DD7" w:rsidRDefault="00984161" w:rsidP="00984161">
      <w:pPr>
        <w:pStyle w:val="Heading3"/>
      </w:pPr>
      <w:bookmarkStart w:id="166" w:name="_Toc451932228"/>
      <w:bookmarkStart w:id="167" w:name="_Toc33776205"/>
      <w:r w:rsidRPr="002D1DD7">
        <w:t xml:space="preserve">Adjustment for </w:t>
      </w:r>
      <w:bookmarkEnd w:id="166"/>
      <w:r w:rsidRPr="002D1DD7">
        <w:t>confounding bias</w:t>
      </w:r>
      <w:bookmarkEnd w:id="167"/>
    </w:p>
    <w:p w14:paraId="10518760" w14:textId="23F4FBD4" w:rsidR="00984161" w:rsidRPr="002D1DD7" w:rsidRDefault="00984161" w:rsidP="00984161">
      <w:r w:rsidRPr="002D1DD7">
        <w:t>A key factor in the reliability of estimates of effectiveness based on observational data is the statistical analysis used; a large number of studies have sought to develop and evaluate methods for adjusting and eliminating bias resulting from confounding. These include methods such as regression analysis, propensity scoring and population</w:t>
      </w:r>
      <w:r w:rsidR="00FD7784">
        <w:t>-</w:t>
      </w:r>
      <w:r w:rsidRPr="002D1DD7">
        <w:t>adjusted indirect comparisons (</w:t>
      </w:r>
      <w:r w:rsidR="00E25C4B">
        <w:t xml:space="preserve">MAIC </w:t>
      </w:r>
      <w:r w:rsidRPr="002D1DD7">
        <w:t xml:space="preserve">and </w:t>
      </w:r>
      <w:r w:rsidR="00E25C4B">
        <w:t>STC</w:t>
      </w:r>
      <w:r w:rsidRPr="002D1DD7">
        <w:t>).</w:t>
      </w:r>
      <w:r w:rsidR="006F7FD7">
        <w:fldChar w:fldCharType="begin"/>
      </w:r>
      <w:r w:rsidR="004D5B2B">
        <w:instrText xml:space="preserve"> ADDIN EN.CITE &lt;EndNote&gt;&lt;Cite&gt;&lt;Author&gt;Phillippo&lt;/Author&gt;&lt;Year&gt;2016&lt;/Year&gt;&lt;RecNum&gt;3470&lt;/RecNum&gt;&lt;DisplayText&gt;&lt;style face="superscript"&gt;158&lt;/style&gt;&lt;/DisplayText&gt;&lt;record&gt;&lt;rec-number&gt;3470&lt;/rec-number&gt;&lt;foreign-keys&gt;&lt;key app="EN" db-id="dwaevxvazfs2f3ewvzmxrd0k0wasw55p2z2w" timestamp="1573724955"&gt;3470&lt;/key&gt;&lt;/foreign-keys&gt;&lt;ref-type name="Report"&gt;27&lt;/ref-type&gt;&lt;contributors&gt;&lt;authors&gt;&lt;author&gt;Phillippo, D. M., A. E. Ades, S. Dias, S. Palmer, K. R. Abrams and N. J. Welton. &lt;/author&gt;&lt;/authors&gt;&lt;/contributors&gt;&lt;titles&gt;&lt;title&gt;NICE DSU Technical Support Document 18: Methods for population-adjusted indirect comparisons in submissions to NICE&lt;/title&gt;&lt;/titles&gt;&lt;dates&gt;&lt;year&gt;2016&lt;/year&gt;&lt;/dates&gt;&lt;pub-location&gt;Sheffield, UK, ScHARR, University of Sheffield.&lt;/pub-location&gt;&lt;urls&gt;&lt;related-urls&gt;&lt;url&gt;https://scharr.dept.shef.ac.uk/nicedsu/wp-content/uploads/sites/7/2017/05/Population-adjustment-TSD-FINAL.pdf&lt;/url&gt;&lt;/related-urls&gt;&lt;/urls&gt;&lt;/record&gt;&lt;/Cite&gt;&lt;/EndNote&gt;</w:instrText>
      </w:r>
      <w:r w:rsidR="006F7FD7">
        <w:fldChar w:fldCharType="separate"/>
      </w:r>
      <w:r w:rsidR="004D5B2B" w:rsidRPr="004D5B2B">
        <w:rPr>
          <w:noProof/>
          <w:vertAlign w:val="superscript"/>
        </w:rPr>
        <w:t>158</w:t>
      </w:r>
      <w:r w:rsidR="006F7FD7">
        <w:fldChar w:fldCharType="end"/>
      </w:r>
      <w:r w:rsidRPr="002D1DD7">
        <w:t xml:space="preserve"> These and other methods are frequently used in the liter</w:t>
      </w:r>
      <w:r w:rsidR="00B3067C">
        <w:t xml:space="preserve">ature and have been previously </w:t>
      </w:r>
      <w:r w:rsidRPr="002D1DD7">
        <w:t xml:space="preserve">applied and accepted by NICE appraisal committees where no randomised evidence exists. In theory, these methods could be applied in the context of a </w:t>
      </w:r>
      <w:r w:rsidR="00555827">
        <w:t>histology-independent</w:t>
      </w:r>
      <w:r w:rsidRPr="002D1DD7">
        <w:t xml:space="preserve"> appraisal. Implementing such approaches could, however, be challenging because of the large number of source data sets involved, meaning population characteristics may not be reported across all comparator data sources and would necessarily require strong assumptions about the prognostic value of population characteristics across tumour types. Furthermore, even if a suitable adjusted comparison could be generated, the small sample sizes typical</w:t>
      </w:r>
      <w:r w:rsidR="0070363B">
        <w:t>ly</w:t>
      </w:r>
      <w:r w:rsidRPr="002D1DD7">
        <w:t xml:space="preserve"> seen in the Phase II trials would only be able to account for a small number of observed characteristics. This limits the potential for these methods to fully account for confounding biases and increases the likelihood of residual confounding bias. </w:t>
      </w:r>
      <w:r w:rsidR="00A1109D">
        <w:t>Despite these limitations</w:t>
      </w:r>
      <w:r w:rsidR="0070363B">
        <w:t>,</w:t>
      </w:r>
      <w:r w:rsidR="00A1109D">
        <w:t xml:space="preserve"> such methods would generally </w:t>
      </w:r>
      <w:r w:rsidR="0070363B">
        <w:t xml:space="preserve">be </w:t>
      </w:r>
      <w:r w:rsidR="00A1109D">
        <w:t>considered to be preferable to</w:t>
      </w:r>
      <w:r w:rsidR="00B3067C">
        <w:t xml:space="preserve"> a</w:t>
      </w:r>
      <w:r w:rsidR="00A1109D">
        <w:t xml:space="preserve"> </w:t>
      </w:r>
      <w:r w:rsidR="00B3067C">
        <w:t>naïve comparison which t</w:t>
      </w:r>
      <w:r w:rsidR="00A1109D">
        <w:t xml:space="preserve">akes no account </w:t>
      </w:r>
      <w:r w:rsidR="00B3067C">
        <w:t>of</w:t>
      </w:r>
      <w:r w:rsidR="00A1109D">
        <w:t xml:space="preserve"> differences across groups. </w:t>
      </w:r>
    </w:p>
    <w:p w14:paraId="22C32F24" w14:textId="69F1E596" w:rsidR="00984161" w:rsidRPr="002D1DD7" w:rsidRDefault="00984161" w:rsidP="00984161">
      <w:r w:rsidRPr="002D1DD7">
        <w:t xml:space="preserve">Gaps in the reporting of baseline characteristics, variability in the prognostic value of characteristics across tumour types/histologies and difficulties of matching comparator data to the likely limited available Phase II trial for </w:t>
      </w:r>
      <w:r w:rsidR="00555827">
        <w:t>histology-independent</w:t>
      </w:r>
      <w:r w:rsidRPr="002D1DD7">
        <w:t xml:space="preserve"> technologies will also create additional challenges of </w:t>
      </w:r>
      <w:r w:rsidRPr="002D1DD7">
        <w:lastRenderedPageBreak/>
        <w:t xml:space="preserve">interpretation and validation of comparisons with historical data as it will </w:t>
      </w:r>
      <w:r w:rsidR="0070363B">
        <w:t xml:space="preserve">be </w:t>
      </w:r>
      <w:r w:rsidRPr="002D1DD7">
        <w:t>challenging to assess the comparability of patients in the historical control with those in the available single</w:t>
      </w:r>
      <w:r w:rsidR="00FD7784">
        <w:t>-</w:t>
      </w:r>
      <w:r w:rsidRPr="002D1DD7">
        <w:t xml:space="preserve">arm trial data. </w:t>
      </w:r>
    </w:p>
    <w:p w14:paraId="34F43392" w14:textId="77777777" w:rsidR="00984161" w:rsidRPr="002D1DD7" w:rsidRDefault="00984161" w:rsidP="00984161">
      <w:pPr>
        <w:pStyle w:val="Heading3"/>
        <w:rPr>
          <w:rFonts w:eastAsia="Times New Roman"/>
        </w:rPr>
      </w:pPr>
      <w:bookmarkStart w:id="168" w:name="_Toc33776206"/>
      <w:r w:rsidRPr="002D1DD7">
        <w:rPr>
          <w:rFonts w:eastAsia="Times New Roman"/>
        </w:rPr>
        <w:t>Alternative approaches to developing a comparator</w:t>
      </w:r>
      <w:bookmarkEnd w:id="168"/>
    </w:p>
    <w:p w14:paraId="176B4A6C" w14:textId="4761DDA4" w:rsidR="00984161" w:rsidRPr="00D90104" w:rsidRDefault="00984161" w:rsidP="00947404">
      <w:r w:rsidRPr="002D1DD7">
        <w:t>Because of these significant concerns about confounding bias and the challenges of generating a truly comparable comparator data set, other approaches to generating a comparator data set should be considered</w:t>
      </w:r>
      <w:r w:rsidR="004A4474">
        <w:t xml:space="preserve"> and their limitations explored</w:t>
      </w:r>
      <w:r w:rsidRPr="002D1DD7">
        <w:t xml:space="preserve">. For example, two alternative methods outlined in Hatswell </w:t>
      </w:r>
      <w:r w:rsidRPr="002D1DD7">
        <w:rPr>
          <w:i/>
          <w:iCs/>
        </w:rPr>
        <w:t>et al</w:t>
      </w:r>
      <w:r w:rsidR="006F7FD7">
        <w:rPr>
          <w:iCs/>
        </w:rPr>
        <w:fldChar w:fldCharType="begin"/>
      </w:r>
      <w:r w:rsidR="000E66DE">
        <w:rPr>
          <w:iCs/>
        </w:rPr>
        <w:instrText xml:space="preserve"> ADDIN EN.CITE &lt;EndNote&gt;&lt;Cite&gt;&lt;Author&gt;Hatswell&lt;/Author&gt;&lt;Year&gt;2017&lt;/Year&gt;&lt;RecNum&gt;3465&lt;/RecNum&gt;&lt;DisplayText&gt;&lt;style face="superscript"&gt;159&lt;/style&gt;&lt;/DisplayText&gt;&lt;record&gt;&lt;rec-number&gt;3465&lt;/rec-number&gt;&lt;foreign-keys&gt;&lt;key app="EN" db-id="dwaevxvazfs2f3ewvzmxrd0k0wasw55p2z2w" timestamp="1573724020"&gt;3465&lt;/key&gt;&lt;/foreign-keys&gt;&lt;ref-type name="Journal Article"&gt;17&lt;/ref-type&gt;&lt;contributors&gt;&lt;authors&gt;&lt;author&gt;Hatswell, Anthony J.&lt;/author&gt;&lt;author&gt;Thompson, Gwilym J.&lt;/author&gt;&lt;author&gt;Maroudas, Penny A.&lt;/author&gt;&lt;author&gt;Sofrygin, Oleg&lt;/author&gt;&lt;author&gt;Delea, Thomas E.&lt;/author&gt;&lt;/authors&gt;&lt;/contributors&gt;&lt;titles&gt;&lt;title&gt;Estimating outcomes and cost effectiveness using a single-arm clinical trial: ofatumumab for double-refractory chronic lymphocytic leukemia&lt;/title&gt;&lt;secondary-title&gt;Cost Effectiveness and Resource Allocation&lt;/secondary-title&gt;&lt;/titles&gt;&lt;periodical&gt;&lt;full-title&gt;Cost Effectiveness and Resource Allocation&lt;/full-title&gt;&lt;abbr-1&gt;Cost Eff Resour Alloc&lt;/abbr-1&gt;&lt;/periodical&gt;&lt;pages&gt;8&lt;/pages&gt;&lt;volume&gt;15&lt;/volume&gt;&lt;number&gt;1&lt;/number&gt;&lt;dates&gt;&lt;year&gt;2017&lt;/year&gt;&lt;pub-dates&gt;&lt;date&gt;2017/05/26&lt;/date&gt;&lt;/pub-dates&gt;&lt;/dates&gt;&lt;isbn&gt;1478-7547&lt;/isbn&gt;&lt;urls&gt;&lt;/urls&gt;&lt;electronic-resource-num&gt;10.1186/s12962-017-0071-x&lt;/electronic-resource-num&gt;&lt;research-notes&gt;https://doi.org/10.1186/s12962-017-0071-x&lt;/research-notes&gt;&lt;/record&gt;&lt;/Cite&gt;&lt;/EndNote&gt;</w:instrText>
      </w:r>
      <w:r w:rsidR="006F7FD7">
        <w:rPr>
          <w:iCs/>
        </w:rPr>
        <w:fldChar w:fldCharType="separate"/>
      </w:r>
      <w:r w:rsidR="004D5B2B" w:rsidRPr="004D5B2B">
        <w:rPr>
          <w:iCs/>
          <w:noProof/>
          <w:vertAlign w:val="superscript"/>
        </w:rPr>
        <w:t>159</w:t>
      </w:r>
      <w:r w:rsidR="006F7FD7">
        <w:rPr>
          <w:iCs/>
        </w:rPr>
        <w:fldChar w:fldCharType="end"/>
      </w:r>
      <w:r w:rsidR="00BD352F" w:rsidRPr="00BD352F">
        <w:rPr>
          <w:iCs/>
        </w:rPr>
        <w:t xml:space="preserve"> </w:t>
      </w:r>
      <w:r w:rsidR="00BD352F">
        <w:rPr>
          <w:iCs/>
        </w:rPr>
        <w:t xml:space="preserve">could be used in </w:t>
      </w:r>
      <w:r w:rsidR="00BD352F" w:rsidRPr="00BD352F">
        <w:rPr>
          <w:iCs/>
        </w:rPr>
        <w:t xml:space="preserve">which patients </w:t>
      </w:r>
      <w:r w:rsidR="00BD352F">
        <w:rPr>
          <w:iCs/>
        </w:rPr>
        <w:t xml:space="preserve">in the single arm trial </w:t>
      </w:r>
      <w:r w:rsidR="00BD352F" w:rsidRPr="00BD352F">
        <w:rPr>
          <w:iCs/>
        </w:rPr>
        <w:t>a</w:t>
      </w:r>
      <w:r w:rsidR="00BD352F">
        <w:rPr>
          <w:iCs/>
        </w:rPr>
        <w:t xml:space="preserve">re used to generate a </w:t>
      </w:r>
      <w:r w:rsidR="00BD352F" w:rsidRPr="00BD352F">
        <w:rPr>
          <w:iCs/>
        </w:rPr>
        <w:t>control</w:t>
      </w:r>
      <w:r w:rsidR="00BD352F">
        <w:rPr>
          <w:iCs/>
        </w:rPr>
        <w:t xml:space="preserve"> group</w:t>
      </w:r>
      <w:r w:rsidRPr="00043AF5">
        <w:rPr>
          <w:i/>
          <w:iCs/>
        </w:rPr>
        <w:t>.</w:t>
      </w:r>
      <w:r w:rsidR="00D90104">
        <w:t xml:space="preserve"> </w:t>
      </w:r>
    </w:p>
    <w:p w14:paraId="5C5132FA" w14:textId="0FCBE10E" w:rsidR="00E82199" w:rsidRDefault="00984161">
      <w:pPr>
        <w:rPr>
          <w:szCs w:val="18"/>
        </w:rPr>
      </w:pPr>
      <w:r w:rsidRPr="002D1DD7">
        <w:rPr>
          <w:szCs w:val="18"/>
        </w:rPr>
        <w:t xml:space="preserve">The first approach proposed by Hatswell </w:t>
      </w:r>
      <w:r w:rsidRPr="002D1DD7">
        <w:rPr>
          <w:i/>
          <w:iCs/>
          <w:szCs w:val="18"/>
        </w:rPr>
        <w:t>et al</w:t>
      </w:r>
      <w:r w:rsidRPr="00043AF5">
        <w:rPr>
          <w:i/>
          <w:szCs w:val="18"/>
        </w:rPr>
        <w:t>.</w:t>
      </w:r>
      <w:r w:rsidR="006F7FD7">
        <w:rPr>
          <w:szCs w:val="18"/>
        </w:rPr>
        <w:fldChar w:fldCharType="begin"/>
      </w:r>
      <w:r w:rsidR="000E66DE">
        <w:rPr>
          <w:szCs w:val="18"/>
        </w:rPr>
        <w:instrText xml:space="preserve"> ADDIN EN.CITE &lt;EndNote&gt;&lt;Cite&gt;&lt;Author&gt;Hatswell&lt;/Author&gt;&lt;Year&gt;2017&lt;/Year&gt;&lt;RecNum&gt;3465&lt;/RecNum&gt;&lt;DisplayText&gt;&lt;style face="superscript"&gt;159&lt;/style&gt;&lt;/DisplayText&gt;&lt;record&gt;&lt;rec-number&gt;3465&lt;/rec-number&gt;&lt;foreign-keys&gt;&lt;key app="EN" db-id="dwaevxvazfs2f3ewvzmxrd0k0wasw55p2z2w" timestamp="1573724020"&gt;3465&lt;/key&gt;&lt;/foreign-keys&gt;&lt;ref-type name="Journal Article"&gt;17&lt;/ref-type&gt;&lt;contributors&gt;&lt;authors&gt;&lt;author&gt;Hatswell, Anthony J.&lt;/author&gt;&lt;author&gt;Thompson, Gwilym J.&lt;/author&gt;&lt;author&gt;Maroudas, Penny A.&lt;/author&gt;&lt;author&gt;Sofrygin, Oleg&lt;/author&gt;&lt;author&gt;Delea, Thomas E.&lt;/author&gt;&lt;/authors&gt;&lt;/contributors&gt;&lt;titles&gt;&lt;title&gt;Estimating outcomes and cost effectiveness using a single-arm clinical trial: ofatumumab for double-refractory chronic lymphocytic leukemia&lt;/title&gt;&lt;secondary-title&gt;Cost Effectiveness and Resource Allocation&lt;/secondary-title&gt;&lt;/titles&gt;&lt;periodical&gt;&lt;full-title&gt;Cost Effectiveness and Resource Allocation&lt;/full-title&gt;&lt;abbr-1&gt;Cost Eff Resour Alloc&lt;/abbr-1&gt;&lt;/periodical&gt;&lt;pages&gt;8&lt;/pages&gt;&lt;volume&gt;15&lt;/volume&gt;&lt;number&gt;1&lt;/number&gt;&lt;dates&gt;&lt;year&gt;2017&lt;/year&gt;&lt;pub-dates&gt;&lt;date&gt;2017/05/26&lt;/date&gt;&lt;/pub-dates&gt;&lt;/dates&gt;&lt;isbn&gt;1478-7547&lt;/isbn&gt;&lt;urls&gt;&lt;/urls&gt;&lt;electronic-resource-num&gt;10.1186/s12962-017-0071-x&lt;/electronic-resource-num&gt;&lt;research-notes&gt;https://doi.org/10.1186/s12962-017-0071-x&lt;/research-notes&gt;&lt;/record&gt;&lt;/Cite&gt;&lt;/EndNote&gt;</w:instrText>
      </w:r>
      <w:r w:rsidR="006F7FD7">
        <w:rPr>
          <w:szCs w:val="18"/>
        </w:rPr>
        <w:fldChar w:fldCharType="separate"/>
      </w:r>
      <w:r w:rsidR="004D5B2B" w:rsidRPr="004D5B2B">
        <w:rPr>
          <w:noProof/>
          <w:szCs w:val="18"/>
          <w:vertAlign w:val="superscript"/>
        </w:rPr>
        <w:t>159</w:t>
      </w:r>
      <w:r w:rsidR="006F7FD7">
        <w:rPr>
          <w:szCs w:val="18"/>
        </w:rPr>
        <w:fldChar w:fldCharType="end"/>
      </w:r>
      <w:r w:rsidR="00043AF5">
        <w:rPr>
          <w:sz w:val="16"/>
          <w:szCs w:val="16"/>
        </w:rPr>
        <w:t xml:space="preserve"> </w:t>
      </w:r>
      <w:r w:rsidRPr="002D1DD7">
        <w:rPr>
          <w:szCs w:val="18"/>
        </w:rPr>
        <w:t xml:space="preserve">uses effectiveness data on non-responders as a proxy for patients not receiving an active treatment. Comparator effectiveness estimates of PFS and OS under this approach would therefore be based on observed PFS and OS amongst non-responders in the integrated efficacy analysis. </w:t>
      </w:r>
      <w:r w:rsidRPr="002D1DD7">
        <w:rPr>
          <w:rFonts w:cs="Times New Roman"/>
        </w:rPr>
        <w:t>The advantage of this approach is that all patients in the non-responder subgroup met the same trial inclusion and exclusion criteria,</w:t>
      </w:r>
      <w:r w:rsidRPr="002D1DD7">
        <w:rPr>
          <w:rFonts w:cs="Times New Roman"/>
          <w:lang w:eastAsia="en-GB"/>
        </w:rPr>
        <w:t xml:space="preserve"> and are receiving the same line of treatment</w:t>
      </w:r>
      <w:r w:rsidRPr="002D1DD7">
        <w:rPr>
          <w:rFonts w:cs="Times New Roman"/>
        </w:rPr>
        <w:t xml:space="preserve">. </w:t>
      </w:r>
      <w:r w:rsidRPr="002D1DD7">
        <w:rPr>
          <w:szCs w:val="18"/>
        </w:rPr>
        <w:t xml:space="preserve">The rationale behind this approach is that patients in </w:t>
      </w:r>
      <w:r w:rsidR="00FD7784">
        <w:rPr>
          <w:szCs w:val="18"/>
        </w:rPr>
        <w:t xml:space="preserve">whom </w:t>
      </w:r>
      <w:r w:rsidRPr="002D1DD7">
        <w:rPr>
          <w:szCs w:val="18"/>
        </w:rPr>
        <w:t xml:space="preserve">no response is observed represent those with a lack of treatment effect (as they have no response to treatment) and therefore are representative of a counterfactual where no effective therapy exists. The patient population are therefore likely to be better matched with the intervention arm because they are drawn from the same population. </w:t>
      </w:r>
    </w:p>
    <w:p w14:paraId="664A1B0E" w14:textId="3D69D4ED" w:rsidR="00E82199" w:rsidRDefault="00E82199">
      <w:pPr>
        <w:rPr>
          <w:rFonts w:cs="Times New Roman"/>
        </w:rPr>
      </w:pPr>
      <w:r>
        <w:rPr>
          <w:szCs w:val="18"/>
        </w:rPr>
        <w:t xml:space="preserve">This approach, however, also </w:t>
      </w:r>
      <w:r w:rsidR="00984161" w:rsidRPr="002D1DD7">
        <w:rPr>
          <w:rFonts w:cs="Times New Roman"/>
        </w:rPr>
        <w:t xml:space="preserve">requires strong assumptions, namely that there are no differences other than response status between responders and non-responders that explain the survival outcomes, and that non-responders derive equivalent benefit to that received on current standard of care. </w:t>
      </w:r>
      <w:r w:rsidR="00984161" w:rsidRPr="002D1DD7">
        <w:rPr>
          <w:szCs w:val="18"/>
        </w:rPr>
        <w:t>The reasonableness of these assumptions is likely to be specific to a particular appraisal</w:t>
      </w:r>
      <w:r>
        <w:rPr>
          <w:szCs w:val="18"/>
        </w:rPr>
        <w:t xml:space="preserve">, though as discussed in </w:t>
      </w:r>
      <w:r w:rsidR="00B3067C">
        <w:rPr>
          <w:szCs w:val="18"/>
        </w:rPr>
        <w:t xml:space="preserve">Chapter </w:t>
      </w:r>
      <w:r w:rsidR="00B3067C">
        <w:rPr>
          <w:szCs w:val="18"/>
        </w:rPr>
        <w:fldChar w:fldCharType="begin"/>
      </w:r>
      <w:r w:rsidR="00B3067C">
        <w:rPr>
          <w:szCs w:val="18"/>
        </w:rPr>
        <w:instrText xml:space="preserve"> REF _Ref27555366 \w \h </w:instrText>
      </w:r>
      <w:r w:rsidR="00B3067C">
        <w:rPr>
          <w:szCs w:val="18"/>
        </w:rPr>
      </w:r>
      <w:r w:rsidR="00B3067C">
        <w:rPr>
          <w:szCs w:val="18"/>
        </w:rPr>
        <w:fldChar w:fldCharType="separate"/>
      </w:r>
      <w:r w:rsidR="00C663A2">
        <w:rPr>
          <w:szCs w:val="18"/>
        </w:rPr>
        <w:t>4</w:t>
      </w:r>
      <w:r w:rsidR="00B3067C">
        <w:rPr>
          <w:szCs w:val="18"/>
        </w:rPr>
        <w:fldChar w:fldCharType="end"/>
      </w:r>
      <w:r w:rsidR="0070363B">
        <w:rPr>
          <w:szCs w:val="18"/>
        </w:rPr>
        <w:t>,</w:t>
      </w:r>
      <w:r>
        <w:rPr>
          <w:szCs w:val="18"/>
        </w:rPr>
        <w:t xml:space="preserve"> the reliability of response as a surrogate is likely to be variable across tumour types.</w:t>
      </w:r>
      <w:r w:rsidR="00984161" w:rsidRPr="002D1DD7">
        <w:rPr>
          <w:szCs w:val="18"/>
        </w:rPr>
        <w:t xml:space="preserve"> </w:t>
      </w:r>
      <w:r w:rsidR="00984161" w:rsidRPr="002D1DD7">
        <w:rPr>
          <w:rFonts w:cs="Times New Roman"/>
        </w:rPr>
        <w:t>The assumption of no treatment benefit or harm may also not hold, as some patients may receive some benefit from treatment, even if they do not have a partial or complete response.</w:t>
      </w:r>
      <w:r>
        <w:rPr>
          <w:rFonts w:cs="Times New Roman"/>
        </w:rPr>
        <w:t xml:space="preserve"> </w:t>
      </w:r>
    </w:p>
    <w:p w14:paraId="1D3E89FB" w14:textId="4FD4744F" w:rsidR="00E82199" w:rsidRDefault="00E82199">
      <w:pPr>
        <w:rPr>
          <w:rFonts w:cs="Times New Roman"/>
        </w:rPr>
      </w:pPr>
      <w:r>
        <w:rPr>
          <w:rFonts w:cs="Times New Roman"/>
        </w:rPr>
        <w:t>When considering the appropriateness of this approach</w:t>
      </w:r>
      <w:r w:rsidR="00411258">
        <w:rPr>
          <w:rFonts w:cs="Times New Roman"/>
        </w:rPr>
        <w:t>,</w:t>
      </w:r>
      <w:r>
        <w:rPr>
          <w:rFonts w:cs="Times New Roman"/>
        </w:rPr>
        <w:t xml:space="preserve"> the relative advantages and disadvantages will need to be considered and </w:t>
      </w:r>
      <w:r w:rsidR="00B3067C">
        <w:rPr>
          <w:rFonts w:cs="Times New Roman"/>
        </w:rPr>
        <w:t xml:space="preserve">it </w:t>
      </w:r>
      <w:r>
        <w:rPr>
          <w:rFonts w:cs="Times New Roman"/>
        </w:rPr>
        <w:t>may</w:t>
      </w:r>
      <w:r w:rsidR="00B3067C">
        <w:rPr>
          <w:rFonts w:cs="Times New Roman"/>
        </w:rPr>
        <w:t xml:space="preserve"> </w:t>
      </w:r>
      <w:r>
        <w:rPr>
          <w:rFonts w:cs="Times New Roman"/>
        </w:rPr>
        <w:t xml:space="preserve">be that this approach is only considered reasonable where there is substantive evidence of heterogeneity in treatment effects justifying the need to appropriately account for this heterogeneity in the economic analysis. </w:t>
      </w:r>
    </w:p>
    <w:p w14:paraId="0FE88B13" w14:textId="008FD1C3" w:rsidR="00984161" w:rsidRPr="002D1DD7" w:rsidRDefault="00984161" w:rsidP="00984161">
      <w:pPr>
        <w:rPr>
          <w:szCs w:val="18"/>
        </w:rPr>
      </w:pPr>
      <w:r w:rsidRPr="002D1DD7">
        <w:t>The second approach</w:t>
      </w:r>
      <w:r w:rsidR="006F7FD7">
        <w:fldChar w:fldCharType="begin"/>
      </w:r>
      <w:r w:rsidR="000E66DE">
        <w:instrText xml:space="preserve"> ADDIN EN.CITE &lt;EndNote&gt;&lt;Cite&gt;&lt;Author&gt;Hatswell&lt;/Author&gt;&lt;Year&gt;2019&lt;/Year&gt;&lt;RecNum&gt;3464&lt;/RecNum&gt;&lt;DisplayText&gt;&lt;style face="superscript"&gt;160&lt;/style&gt;&lt;/DisplayText&gt;&lt;record&gt;&lt;rec-number&gt;3464&lt;/rec-number&gt;&lt;foreign-keys&gt;&lt;key app="EN" db-id="dwaevxvazfs2f3ewvzmxrd0k0wasw55p2z2w" timestamp="1573724020"&gt;3464&lt;/key&gt;&lt;/foreign-keys&gt;&lt;ref-type name="Journal Article"&gt;17&lt;/ref-type&gt;&lt;contributors&gt;&lt;authors&gt;&lt;author&gt;Hatswell, A. J.&lt;/author&gt;&lt;author&gt;Sullivan, W. G.&lt;/author&gt;&lt;/authors&gt;&lt;/contributors&gt;&lt;auth-address&gt;Department of Statistical Science, University College London, London, UK.&lt;/auth-address&gt;&lt;titles&gt;&lt;title&gt;Creating historical controls using data from a previous line of treatment - Two non-standard approaches&lt;/title&gt;&lt;secondary-title&gt;Stat Methods Med Res&lt;/secondary-title&gt;&lt;/titles&gt;&lt;periodical&gt;&lt;full-title&gt;Stat Methods Med Res&lt;/full-title&gt;&lt;/periodical&gt;&lt;pages&gt;1-10&lt;/pages&gt;&lt;volume&gt;0&lt;/volume&gt;&lt;num-vols&gt;0&lt;/num-vols&gt;&lt;edition&gt;2019/01/31&lt;/edition&gt;&lt;dates&gt;&lt;year&gt;2019&lt;/year&gt;&lt;pub-dates&gt;&lt;date&gt;Jan 30&lt;/date&gt;&lt;/pub-dates&gt;&lt;/dates&gt;&lt;isbn&gt;1477-0334 (Electronic)&amp;#xD;0962-2802 (Linking)&lt;/isbn&gt;&lt;accession-num&gt;30698076&lt;/accession-num&gt;&lt;urls&gt;&lt;/urls&gt;&lt;electronic-resource-num&gt;10.1177/0962280219826609&lt;/electronic-resource-num&gt;&lt;research-notes&gt;https://www.ncbi.nlm.nih.gov/pubmed/30698076&lt;/research-notes&gt;&lt;language&gt;eng&lt;/language&gt;&lt;/record&gt;&lt;/Cite&gt;&lt;/EndNote&gt;</w:instrText>
      </w:r>
      <w:r w:rsidR="006F7FD7">
        <w:fldChar w:fldCharType="separate"/>
      </w:r>
      <w:r w:rsidR="004D5B2B" w:rsidRPr="004D5B2B">
        <w:rPr>
          <w:noProof/>
          <w:vertAlign w:val="superscript"/>
        </w:rPr>
        <w:t>160</w:t>
      </w:r>
      <w:r w:rsidR="006F7FD7">
        <w:fldChar w:fldCharType="end"/>
      </w:r>
      <w:r w:rsidRPr="002D1DD7">
        <w:t xml:space="preserve"> uses data taken from the trial patients’ previous line of treatment to derive OS and PFS curves. In this approach, the inverse of the </w:t>
      </w:r>
      <w:r w:rsidRPr="002D1DD7">
        <w:rPr>
          <w:szCs w:val="18"/>
        </w:rPr>
        <w:t>ratio between average TTP on their previous therapy and the mean extrapolated PFS with the active therapy (also called the Growth Modulation Index (GMI) multiplier)</w:t>
      </w:r>
      <w:r w:rsidRPr="002D1DD7" w:rsidDel="00656EF5">
        <w:rPr>
          <w:szCs w:val="18"/>
        </w:rPr>
        <w:t xml:space="preserve"> </w:t>
      </w:r>
      <w:r w:rsidRPr="002D1DD7">
        <w:rPr>
          <w:szCs w:val="18"/>
        </w:rPr>
        <w:t>is applied to all health outcomes (</w:t>
      </w:r>
      <w:r w:rsidR="00BD352F">
        <w:rPr>
          <w:szCs w:val="18"/>
        </w:rPr>
        <w:t>PFS and OS</w:t>
      </w:r>
      <w:r w:rsidRPr="002D1DD7">
        <w:rPr>
          <w:szCs w:val="18"/>
        </w:rPr>
        <w:t>) for the active therapy. This crude adjustment assumes that the active therapy</w:t>
      </w:r>
      <w:r w:rsidRPr="002D1DD7" w:rsidDel="00A17346">
        <w:rPr>
          <w:szCs w:val="18"/>
        </w:rPr>
        <w:t xml:space="preserve"> </w:t>
      </w:r>
      <w:r w:rsidRPr="002D1DD7">
        <w:rPr>
          <w:szCs w:val="18"/>
        </w:rPr>
        <w:t xml:space="preserve">is more effective in terms of both PFS and OS than </w:t>
      </w:r>
      <w:r w:rsidRPr="002D1DD7">
        <w:rPr>
          <w:szCs w:val="18"/>
        </w:rPr>
        <w:lastRenderedPageBreak/>
        <w:t>the comparator by the same proportion as the GMI multiplier. Therefore, the resulting GMI-adjusted total mean</w:t>
      </w:r>
      <w:r w:rsidR="00EC222B">
        <w:rPr>
          <w:szCs w:val="18"/>
        </w:rPr>
        <w:t xml:space="preserve"> life years gained</w:t>
      </w:r>
      <w:r w:rsidRPr="002D1DD7">
        <w:rPr>
          <w:szCs w:val="18"/>
        </w:rPr>
        <w:t xml:space="preserve"> </w:t>
      </w:r>
      <w:r w:rsidR="00EC222B">
        <w:rPr>
          <w:szCs w:val="18"/>
        </w:rPr>
        <w:t>(</w:t>
      </w:r>
      <w:r w:rsidRPr="002D1DD7">
        <w:rPr>
          <w:szCs w:val="18"/>
        </w:rPr>
        <w:t>LYG</w:t>
      </w:r>
      <w:r w:rsidR="00EC222B">
        <w:rPr>
          <w:szCs w:val="18"/>
        </w:rPr>
        <w:t>)</w:t>
      </w:r>
      <w:r w:rsidRPr="002D1DD7">
        <w:rPr>
          <w:szCs w:val="18"/>
        </w:rPr>
        <w:t xml:space="preserve"> and </w:t>
      </w:r>
      <w:r w:rsidR="00EC222B">
        <w:rPr>
          <w:szCs w:val="18"/>
        </w:rPr>
        <w:t>quality-adjusted life years (</w:t>
      </w:r>
      <w:r w:rsidRPr="002D1DD7">
        <w:rPr>
          <w:szCs w:val="18"/>
        </w:rPr>
        <w:t>QALYs</w:t>
      </w:r>
      <w:r w:rsidR="00EC222B">
        <w:rPr>
          <w:szCs w:val="18"/>
        </w:rPr>
        <w:t>)</w:t>
      </w:r>
      <w:r w:rsidRPr="002D1DD7">
        <w:rPr>
          <w:szCs w:val="18"/>
        </w:rPr>
        <w:t xml:space="preserve"> are assumed to correspond to comparator outcomes and applied in the calculation of the ICER (based on LYG and QALYs).</w:t>
      </w:r>
      <w:r w:rsidRPr="002D1DD7">
        <w:t xml:space="preserve"> The main advantage is that effect estimates are drawn from the same population as the intervention arm and therefore better matched</w:t>
      </w:r>
      <w:r w:rsidR="00FD7784">
        <w:t>;</w:t>
      </w:r>
      <w:r w:rsidRPr="002D1DD7">
        <w:t xml:space="preserve"> however</w:t>
      </w:r>
      <w:r w:rsidR="00FD7784">
        <w:t>,</w:t>
      </w:r>
      <w:r w:rsidRPr="002D1DD7">
        <w:t xml:space="preserve"> there are also disadvantages. Firstly, this can only be implemented for patients who have received a previous line of therapy. Secondly, it also assumes that the ratio of TTP across lines of therapy is indicative of the treatment effect and it is uncertain to what degree this is likely to hold true. Finally, because this method can only estimate PFS</w:t>
      </w:r>
      <w:r w:rsidR="00FD7784">
        <w:t>,</w:t>
      </w:r>
      <w:r w:rsidRPr="002D1DD7">
        <w:t xml:space="preserve"> it </w:t>
      </w:r>
      <w:r w:rsidR="00BD352F">
        <w:t xml:space="preserve">requires that assumptions be made about the impact of TTP progression gains on OS. Namely that either OS increases proportionally with TTP or that </w:t>
      </w:r>
      <w:r w:rsidRPr="002D1DD7">
        <w:t>PPS survival is the same across therapies which similarly may not hold true.</w:t>
      </w:r>
      <w:r w:rsidR="00534AD8">
        <w:t xml:space="preserve"> Further research considering the reasonableness of these assumptions may be helpful.</w:t>
      </w:r>
      <w:r w:rsidR="00D90104">
        <w:t xml:space="preserve"> Consideration should also be given to the potential role of expert elicitation to inform these judgements.</w:t>
      </w:r>
    </w:p>
    <w:p w14:paraId="672C041C" w14:textId="1D926A4F" w:rsidR="00984161" w:rsidRPr="002D1DD7" w:rsidRDefault="00984161" w:rsidP="00984161">
      <w:pPr>
        <w:pStyle w:val="Heading3"/>
      </w:pPr>
      <w:bookmarkStart w:id="169" w:name="_Toc33776207"/>
      <w:r w:rsidRPr="002D1DD7">
        <w:t xml:space="preserve">Implications for the appraisal of </w:t>
      </w:r>
      <w:r w:rsidR="00555827">
        <w:t>histology-independent</w:t>
      </w:r>
      <w:r w:rsidRPr="002D1DD7">
        <w:t xml:space="preserve"> technologies</w:t>
      </w:r>
      <w:bookmarkEnd w:id="169"/>
      <w:r w:rsidRPr="002D1DD7">
        <w:t xml:space="preserve"> </w:t>
      </w:r>
    </w:p>
    <w:p w14:paraId="1EA68675" w14:textId="01FF6309" w:rsidR="00984161" w:rsidRPr="002D1DD7" w:rsidRDefault="00984161" w:rsidP="00402BF5">
      <w:r w:rsidRPr="002D1DD7">
        <w:t xml:space="preserve">The broad marketing authorisation, heterogeneous populations and uncertainties regarding the position of </w:t>
      </w:r>
      <w:r w:rsidR="00555827">
        <w:t>histology-independent</w:t>
      </w:r>
      <w:r w:rsidRPr="002D1DD7">
        <w:t xml:space="preserve"> technologies creates a number of significant challenges to creating an appropriate historical control data. Confidence in estimates of effect may increase by utilising methods of </w:t>
      </w:r>
      <w:r w:rsidR="004A4474">
        <w:t>population-</w:t>
      </w:r>
      <w:r w:rsidRPr="002D1DD7">
        <w:t xml:space="preserve">adjustment, but the scope of such methods may be more limited in the context of </w:t>
      </w:r>
      <w:r w:rsidR="00555827">
        <w:t>histology-independent</w:t>
      </w:r>
      <w:r w:rsidRPr="002D1DD7">
        <w:t xml:space="preserve"> appraisals. Assessment of the scope for residual confounding bias is also likely to be made more complicated, further reducing confidence in comparisons. It is unclear whether the use of non</w:t>
      </w:r>
      <w:r w:rsidR="00D765F4" w:rsidRPr="002D1DD7">
        <w:t>-</w:t>
      </w:r>
      <w:r w:rsidRPr="002D1DD7">
        <w:t xml:space="preserve">randomised evidence and in particular single-arm studies will ever be considered adequate. Alternative methods of developing a comparator may therefore be of value to decision makers and should be considered as alternatives. </w:t>
      </w:r>
    </w:p>
    <w:p w14:paraId="78623FFA" w14:textId="77777777" w:rsidR="00E8612B" w:rsidRPr="002D1DD7" w:rsidRDefault="00E8612B" w:rsidP="00EC11CD">
      <w:pPr>
        <w:pStyle w:val="Heading2"/>
      </w:pPr>
      <w:bookmarkStart w:id="170" w:name="_Toc33776208"/>
      <w:r w:rsidRPr="002D1DD7">
        <w:t>Generalisability</w:t>
      </w:r>
      <w:bookmarkEnd w:id="170"/>
    </w:p>
    <w:p w14:paraId="0890EB7B" w14:textId="0657E152" w:rsidR="00E8612B" w:rsidRPr="002D1DD7" w:rsidRDefault="00E8612B" w:rsidP="00411258">
      <w:r w:rsidRPr="002D1DD7">
        <w:t xml:space="preserve">The extent to which evidence is generalisable to the population of interest is a key consideration in the appraisal of histology-independent cancer technologies. </w:t>
      </w:r>
      <w:r w:rsidR="00411258">
        <w:t xml:space="preserve">There </w:t>
      </w:r>
      <w:r w:rsidRPr="002D1DD7">
        <w:t xml:space="preserve">may be a number </w:t>
      </w:r>
      <w:r w:rsidR="00EC222B">
        <w:t xml:space="preserve">of </w:t>
      </w:r>
      <w:r w:rsidRPr="002D1DD7">
        <w:t xml:space="preserve">uncertainties concerning the generalisability of available evidence, including the different types and distribution of histologies in the clinical studies (and the extent to which these represent the specific types and distribution of histologies that would be expected in routine clinical practice), the potential impact of unobserved histologies not represented in existing clinical studies and the position in the treatment pathway. Each of these issues is discussed in turn in the sections below. </w:t>
      </w:r>
    </w:p>
    <w:p w14:paraId="3AA692D8" w14:textId="77777777" w:rsidR="00E8612B" w:rsidRPr="002D1DD7" w:rsidRDefault="00E8612B" w:rsidP="00E8612B">
      <w:pPr>
        <w:pStyle w:val="Heading3"/>
      </w:pPr>
      <w:bookmarkStart w:id="171" w:name="_Ref32853471"/>
      <w:bookmarkStart w:id="172" w:name="_Toc33776209"/>
      <w:r w:rsidRPr="002D1DD7">
        <w:t>Distribution of tumour types</w:t>
      </w:r>
      <w:bookmarkEnd w:id="171"/>
      <w:bookmarkEnd w:id="172"/>
    </w:p>
    <w:p w14:paraId="235C350C" w14:textId="660A878A" w:rsidR="00E8612B" w:rsidRPr="002D1DD7" w:rsidRDefault="00E8612B" w:rsidP="00402BF5">
      <w:r w:rsidRPr="002D1DD7">
        <w:t xml:space="preserve">As outlined previously, the nature of the evidence likely to be available for decision making will involve a number of histologies or tumour types with limited data on each. When integrating this </w:t>
      </w:r>
      <w:r w:rsidRPr="002D1DD7">
        <w:lastRenderedPageBreak/>
        <w:t xml:space="preserve">clinical data into a cost-effectiveness analysis one important issue is to consider the distribution of patients across the different tumour types. </w:t>
      </w:r>
    </w:p>
    <w:p w14:paraId="236BD944" w14:textId="3D7C96BB" w:rsidR="00E8612B" w:rsidRPr="002D1DD7" w:rsidRDefault="00E8612B" w:rsidP="00402BF5">
      <w:r w:rsidRPr="002D1DD7">
        <w:t>One approach would be to utilise the distribution of tumour types present in the clinical evidence to generate an average cost-effectiveness</w:t>
      </w:r>
      <w:r w:rsidR="00C14FAF">
        <w:t xml:space="preserve"> estimate</w:t>
      </w:r>
      <w:r w:rsidRPr="002D1DD7">
        <w:t>. Underlying this approach, however, is the assumption that cost-effectiveness of a histology</w:t>
      </w:r>
      <w:r w:rsidR="00D977B6">
        <w:t>-independent</w:t>
      </w:r>
      <w:r w:rsidRPr="002D1DD7">
        <w:t xml:space="preserve"> technology either does not vary across tumour types or that the proportions of histologies are representative of the proportions eligible to receive the intervention in the full licensed population. The former assumption is very unlikely to hold due to the potential for differences in effectiveness across tumour types, differences in prognosis, comparators, costs and HRQoL. Further, as can be seen from the comparison of the distributions in </w:t>
      </w:r>
      <w:r w:rsidR="00C974E5">
        <w:fldChar w:fldCharType="begin"/>
      </w:r>
      <w:r w:rsidR="00C974E5">
        <w:instrText xml:space="preserve"> REF _Ref27558958 </w:instrText>
      </w:r>
      <w:r w:rsidR="00C974E5">
        <w:fldChar w:fldCharType="separate"/>
      </w:r>
      <w:r w:rsidR="00C9471F" w:rsidRPr="002D1DD7">
        <w:t xml:space="preserve">Table </w:t>
      </w:r>
      <w:r w:rsidR="00C9471F">
        <w:rPr>
          <w:noProof/>
        </w:rPr>
        <w:t>14</w:t>
      </w:r>
      <w:r w:rsidR="00C974E5">
        <w:rPr>
          <w:noProof/>
        </w:rPr>
        <w:fldChar w:fldCharType="end"/>
      </w:r>
      <w:r w:rsidRPr="002D1DD7">
        <w:t xml:space="preserve">, there is a mismatch between the distributions of certain histologies in the trial populations. For instance, breast cancer patients represent 11% of the entrectinib trial but only 1.8% of the </w:t>
      </w:r>
      <w:r w:rsidR="00C14FAF">
        <w:t>l</w:t>
      </w:r>
      <w:r w:rsidRPr="002D1DD7">
        <w:t xml:space="preserve">arotrectinib trial. If we imagine larotrectinib and entrectinib produce identical clinical results, then the resulting average cost-effectiveness estimates of the two distributions will be different given </w:t>
      </w:r>
      <w:r w:rsidR="00C14FAF">
        <w:t xml:space="preserve">that </w:t>
      </w:r>
      <w:r w:rsidRPr="002D1DD7">
        <w:t xml:space="preserve">different tumour types have different testing costs (see Section </w:t>
      </w:r>
      <w:r w:rsidR="000A46AE" w:rsidRPr="002D1DD7">
        <w:fldChar w:fldCharType="begin"/>
      </w:r>
      <w:r w:rsidR="000A46AE" w:rsidRPr="002D1DD7">
        <w:instrText xml:space="preserve"> REF _Ref27397381 \r \h </w:instrText>
      </w:r>
      <w:r w:rsidR="000A46AE" w:rsidRPr="002D1DD7">
        <w:fldChar w:fldCharType="separate"/>
      </w:r>
      <w:r w:rsidR="00C9471F">
        <w:t>6.4</w:t>
      </w:r>
      <w:r w:rsidR="000A46AE" w:rsidRPr="002D1DD7">
        <w:fldChar w:fldCharType="end"/>
      </w:r>
      <w:r w:rsidRPr="002D1DD7">
        <w:t xml:space="preserve">), different standard of care costs and outcomes and potentially different prognoses. </w:t>
      </w:r>
    </w:p>
    <w:p w14:paraId="7B7AB940" w14:textId="1503B28E" w:rsidR="00E8612B" w:rsidRPr="002D1DD7" w:rsidRDefault="00E8612B" w:rsidP="00402BF5">
      <w:pPr>
        <w:pStyle w:val="Caption"/>
      </w:pPr>
      <w:bookmarkStart w:id="173" w:name="_Ref27558958"/>
      <w:bookmarkStart w:id="174" w:name="_Toc34033528"/>
      <w:r w:rsidRPr="002D1DD7">
        <w:t xml:space="preserve">Table </w:t>
      </w:r>
      <w:r w:rsidR="00C974E5">
        <w:fldChar w:fldCharType="begin"/>
      </w:r>
      <w:r w:rsidR="00C974E5">
        <w:instrText xml:space="preserve"> SEQ Table \* ARABIC </w:instrText>
      </w:r>
      <w:r w:rsidR="00C974E5">
        <w:fldChar w:fldCharType="separate"/>
      </w:r>
      <w:r w:rsidR="00C9471F">
        <w:rPr>
          <w:noProof/>
        </w:rPr>
        <w:t>14</w:t>
      </w:r>
      <w:r w:rsidR="00C974E5">
        <w:rPr>
          <w:noProof/>
        </w:rPr>
        <w:fldChar w:fldCharType="end"/>
      </w:r>
      <w:bookmarkEnd w:id="173"/>
      <w:r w:rsidR="008C7423">
        <w:rPr>
          <w:noProof/>
        </w:rPr>
        <w:t>:</w:t>
      </w:r>
      <w:r w:rsidRPr="002D1DD7">
        <w:t xml:space="preserve"> Larotrectinib and Entrectinib trial tumour distributions</w:t>
      </w:r>
      <w:bookmarkEnd w:id="174"/>
      <w:r w:rsidR="0027014C">
        <w:t xml:space="preserve"> </w:t>
      </w:r>
    </w:p>
    <w:tbl>
      <w:tblPr>
        <w:tblStyle w:val="TableGrid"/>
        <w:tblW w:w="0" w:type="auto"/>
        <w:tblLook w:val="04A0" w:firstRow="1" w:lastRow="0" w:firstColumn="1" w:lastColumn="0" w:noHBand="0" w:noVBand="1"/>
      </w:tblPr>
      <w:tblGrid>
        <w:gridCol w:w="2254"/>
        <w:gridCol w:w="2254"/>
        <w:gridCol w:w="2254"/>
        <w:gridCol w:w="2254"/>
      </w:tblGrid>
      <w:tr w:rsidR="00E8612B" w:rsidRPr="00402BF5" w14:paraId="6C77F992" w14:textId="77777777" w:rsidTr="00B0116C">
        <w:tc>
          <w:tcPr>
            <w:tcW w:w="4508" w:type="dxa"/>
            <w:gridSpan w:val="2"/>
          </w:tcPr>
          <w:p w14:paraId="2E21CB41" w14:textId="50668B08" w:rsidR="00E8612B" w:rsidRPr="00402BF5" w:rsidRDefault="00E8612B" w:rsidP="00402BF5">
            <w:pPr>
              <w:pStyle w:val="CommentText"/>
              <w:spacing w:line="360" w:lineRule="auto"/>
              <w:contextualSpacing/>
              <w:jc w:val="center"/>
              <w:rPr>
                <w:b/>
              </w:rPr>
            </w:pPr>
            <w:r w:rsidRPr="00402BF5">
              <w:rPr>
                <w:b/>
              </w:rPr>
              <w:t>Larotrectinib Efficacy Evaluable Data Set</w:t>
            </w:r>
            <w:r w:rsidR="00BE1F41">
              <w:rPr>
                <w:b/>
              </w:rPr>
              <w:t xml:space="preserve"> (FDA)</w:t>
            </w:r>
          </w:p>
        </w:tc>
        <w:tc>
          <w:tcPr>
            <w:tcW w:w="4508" w:type="dxa"/>
            <w:gridSpan w:val="2"/>
          </w:tcPr>
          <w:p w14:paraId="617F51F4" w14:textId="59232478" w:rsidR="00E8612B" w:rsidRPr="00402BF5" w:rsidRDefault="00E8612B" w:rsidP="00402BF5">
            <w:pPr>
              <w:pStyle w:val="CommentText"/>
              <w:spacing w:line="360" w:lineRule="auto"/>
              <w:contextualSpacing/>
              <w:jc w:val="center"/>
              <w:rPr>
                <w:b/>
              </w:rPr>
            </w:pPr>
            <w:r w:rsidRPr="00402BF5">
              <w:rPr>
                <w:b/>
              </w:rPr>
              <w:t>Entrectinib Efficacy Evaluable Data Set</w:t>
            </w:r>
            <w:r w:rsidR="00BE1F41">
              <w:rPr>
                <w:b/>
              </w:rPr>
              <w:t xml:space="preserve"> (FDA)</w:t>
            </w:r>
          </w:p>
        </w:tc>
      </w:tr>
      <w:tr w:rsidR="00E8612B" w:rsidRPr="00402BF5" w14:paraId="2C340083" w14:textId="77777777" w:rsidTr="00B0116C">
        <w:tc>
          <w:tcPr>
            <w:tcW w:w="2254" w:type="dxa"/>
            <w:tcBorders>
              <w:bottom w:val="single" w:sz="4" w:space="0" w:color="auto"/>
            </w:tcBorders>
          </w:tcPr>
          <w:p w14:paraId="51AE4083" w14:textId="77777777" w:rsidR="00E8612B" w:rsidRPr="00402BF5" w:rsidRDefault="00E8612B" w:rsidP="00402BF5">
            <w:pPr>
              <w:pStyle w:val="CommentText"/>
              <w:spacing w:line="360" w:lineRule="auto"/>
              <w:contextualSpacing/>
              <w:jc w:val="center"/>
            </w:pPr>
            <w:r w:rsidRPr="00402BF5">
              <w:t>Histology</w:t>
            </w:r>
          </w:p>
        </w:tc>
        <w:tc>
          <w:tcPr>
            <w:tcW w:w="2254" w:type="dxa"/>
            <w:tcBorders>
              <w:bottom w:val="single" w:sz="4" w:space="0" w:color="auto"/>
            </w:tcBorders>
          </w:tcPr>
          <w:p w14:paraId="24EDBFC7" w14:textId="77777777" w:rsidR="00E8612B" w:rsidRPr="00402BF5" w:rsidRDefault="00E8612B" w:rsidP="00402BF5">
            <w:pPr>
              <w:pStyle w:val="CommentText"/>
              <w:spacing w:line="360" w:lineRule="auto"/>
              <w:contextualSpacing/>
              <w:jc w:val="center"/>
            </w:pPr>
            <w:r w:rsidRPr="00402BF5">
              <w:t>Trial proportion</w:t>
            </w:r>
          </w:p>
        </w:tc>
        <w:tc>
          <w:tcPr>
            <w:tcW w:w="2254" w:type="dxa"/>
            <w:tcBorders>
              <w:bottom w:val="single" w:sz="4" w:space="0" w:color="auto"/>
            </w:tcBorders>
          </w:tcPr>
          <w:p w14:paraId="4FE2F522" w14:textId="77777777" w:rsidR="00E8612B" w:rsidRPr="00402BF5" w:rsidRDefault="00E8612B" w:rsidP="00402BF5">
            <w:pPr>
              <w:pStyle w:val="CommentText"/>
              <w:spacing w:line="360" w:lineRule="auto"/>
              <w:contextualSpacing/>
              <w:jc w:val="center"/>
            </w:pPr>
            <w:r w:rsidRPr="00402BF5">
              <w:t>Histology</w:t>
            </w:r>
          </w:p>
        </w:tc>
        <w:tc>
          <w:tcPr>
            <w:tcW w:w="2254" w:type="dxa"/>
            <w:tcBorders>
              <w:bottom w:val="single" w:sz="4" w:space="0" w:color="auto"/>
            </w:tcBorders>
          </w:tcPr>
          <w:p w14:paraId="50E2E9E6" w14:textId="77777777" w:rsidR="00E8612B" w:rsidRPr="00402BF5" w:rsidRDefault="00E8612B" w:rsidP="00402BF5">
            <w:pPr>
              <w:pStyle w:val="CommentText"/>
              <w:spacing w:line="360" w:lineRule="auto"/>
              <w:contextualSpacing/>
              <w:jc w:val="center"/>
            </w:pPr>
            <w:r w:rsidRPr="00402BF5">
              <w:t>Trial proportion</w:t>
            </w:r>
          </w:p>
        </w:tc>
      </w:tr>
      <w:tr w:rsidR="00E8612B" w:rsidRPr="00402BF5" w14:paraId="3DFC84E1" w14:textId="77777777" w:rsidTr="00B0116C">
        <w:tc>
          <w:tcPr>
            <w:tcW w:w="2254" w:type="dxa"/>
            <w:tcBorders>
              <w:top w:val="single" w:sz="4" w:space="0" w:color="auto"/>
              <w:left w:val="single" w:sz="4" w:space="0" w:color="auto"/>
              <w:bottom w:val="nil"/>
              <w:right w:val="single" w:sz="4" w:space="0" w:color="auto"/>
            </w:tcBorders>
            <w:vAlign w:val="center"/>
          </w:tcPr>
          <w:p w14:paraId="620460E7" w14:textId="77777777" w:rsidR="00E8612B" w:rsidRPr="00402BF5" w:rsidRDefault="00E8612B" w:rsidP="00402BF5">
            <w:pPr>
              <w:pStyle w:val="CommentText"/>
              <w:spacing w:line="360" w:lineRule="auto"/>
              <w:contextualSpacing/>
              <w:jc w:val="center"/>
            </w:pPr>
            <w:r w:rsidRPr="00402BF5">
              <w:rPr>
                <w:color w:val="000000"/>
              </w:rPr>
              <w:t>Soft tissue sarcoma</w:t>
            </w:r>
          </w:p>
        </w:tc>
        <w:tc>
          <w:tcPr>
            <w:tcW w:w="2254" w:type="dxa"/>
            <w:tcBorders>
              <w:top w:val="single" w:sz="4" w:space="0" w:color="auto"/>
              <w:left w:val="single" w:sz="4" w:space="0" w:color="auto"/>
              <w:bottom w:val="nil"/>
              <w:right w:val="single" w:sz="4" w:space="0" w:color="auto"/>
            </w:tcBorders>
            <w:vAlign w:val="center"/>
          </w:tcPr>
          <w:p w14:paraId="5D066A6A" w14:textId="77777777" w:rsidR="00E8612B" w:rsidRPr="00402BF5" w:rsidRDefault="00E8612B" w:rsidP="00402BF5">
            <w:pPr>
              <w:pStyle w:val="CommentText"/>
              <w:spacing w:line="360" w:lineRule="auto"/>
              <w:contextualSpacing/>
              <w:jc w:val="center"/>
            </w:pPr>
            <w:r w:rsidRPr="00402BF5">
              <w:rPr>
                <w:color w:val="000000"/>
              </w:rPr>
              <w:t>20.00%</w:t>
            </w:r>
          </w:p>
        </w:tc>
        <w:tc>
          <w:tcPr>
            <w:tcW w:w="2254" w:type="dxa"/>
            <w:tcBorders>
              <w:top w:val="single" w:sz="4" w:space="0" w:color="auto"/>
              <w:left w:val="single" w:sz="4" w:space="0" w:color="auto"/>
              <w:bottom w:val="nil"/>
              <w:right w:val="single" w:sz="4" w:space="0" w:color="auto"/>
            </w:tcBorders>
            <w:vAlign w:val="center"/>
          </w:tcPr>
          <w:p w14:paraId="5A2D3EF2" w14:textId="77777777" w:rsidR="00E8612B" w:rsidRPr="00402BF5" w:rsidRDefault="00E8612B" w:rsidP="00402BF5">
            <w:pPr>
              <w:pStyle w:val="CommentText"/>
              <w:spacing w:line="360" w:lineRule="auto"/>
              <w:contextualSpacing/>
              <w:jc w:val="center"/>
            </w:pPr>
            <w:r w:rsidRPr="00402BF5">
              <w:rPr>
                <w:color w:val="000000"/>
              </w:rPr>
              <w:t>Sarcoma</w:t>
            </w:r>
          </w:p>
        </w:tc>
        <w:tc>
          <w:tcPr>
            <w:tcW w:w="2254" w:type="dxa"/>
            <w:tcBorders>
              <w:top w:val="single" w:sz="4" w:space="0" w:color="auto"/>
              <w:left w:val="single" w:sz="4" w:space="0" w:color="auto"/>
              <w:bottom w:val="nil"/>
              <w:right w:val="single" w:sz="4" w:space="0" w:color="auto"/>
            </w:tcBorders>
            <w:vAlign w:val="center"/>
          </w:tcPr>
          <w:p w14:paraId="14D4ACF9" w14:textId="77777777" w:rsidR="00E8612B" w:rsidRPr="00402BF5" w:rsidRDefault="00E8612B" w:rsidP="00402BF5">
            <w:pPr>
              <w:pStyle w:val="CommentText"/>
              <w:spacing w:line="360" w:lineRule="auto"/>
              <w:contextualSpacing/>
              <w:jc w:val="center"/>
            </w:pPr>
            <w:r w:rsidRPr="00402BF5">
              <w:rPr>
                <w:color w:val="000000"/>
              </w:rPr>
              <w:t>24.00%</w:t>
            </w:r>
          </w:p>
        </w:tc>
      </w:tr>
      <w:tr w:rsidR="00E8612B" w:rsidRPr="00402BF5" w14:paraId="7BE6E8D4" w14:textId="77777777" w:rsidTr="00B0116C">
        <w:tc>
          <w:tcPr>
            <w:tcW w:w="2254" w:type="dxa"/>
            <w:tcBorders>
              <w:top w:val="nil"/>
              <w:left w:val="single" w:sz="4" w:space="0" w:color="auto"/>
              <w:bottom w:val="nil"/>
              <w:right w:val="single" w:sz="4" w:space="0" w:color="auto"/>
            </w:tcBorders>
            <w:vAlign w:val="center"/>
          </w:tcPr>
          <w:p w14:paraId="1B827CF7" w14:textId="192FDCE5" w:rsidR="00E8612B" w:rsidRPr="00402BF5" w:rsidRDefault="00E8612B" w:rsidP="000E180E">
            <w:pPr>
              <w:pStyle w:val="CommentText"/>
              <w:spacing w:line="360" w:lineRule="auto"/>
              <w:contextualSpacing/>
              <w:jc w:val="center"/>
            </w:pPr>
            <w:r w:rsidRPr="00402BF5">
              <w:rPr>
                <w:color w:val="000000"/>
              </w:rPr>
              <w:t>Salivary gland</w:t>
            </w:r>
          </w:p>
        </w:tc>
        <w:tc>
          <w:tcPr>
            <w:tcW w:w="2254" w:type="dxa"/>
            <w:tcBorders>
              <w:top w:val="nil"/>
              <w:left w:val="single" w:sz="4" w:space="0" w:color="auto"/>
              <w:bottom w:val="nil"/>
              <w:right w:val="single" w:sz="4" w:space="0" w:color="auto"/>
            </w:tcBorders>
            <w:vAlign w:val="center"/>
          </w:tcPr>
          <w:p w14:paraId="7800BF4F" w14:textId="77777777" w:rsidR="00E8612B" w:rsidRPr="00402BF5" w:rsidRDefault="00E8612B" w:rsidP="00402BF5">
            <w:pPr>
              <w:pStyle w:val="CommentText"/>
              <w:spacing w:line="360" w:lineRule="auto"/>
              <w:contextualSpacing/>
              <w:jc w:val="center"/>
            </w:pPr>
            <w:r w:rsidRPr="00402BF5">
              <w:rPr>
                <w:color w:val="000000"/>
              </w:rPr>
              <w:t>21.80%</w:t>
            </w:r>
          </w:p>
        </w:tc>
        <w:tc>
          <w:tcPr>
            <w:tcW w:w="2254" w:type="dxa"/>
            <w:tcBorders>
              <w:top w:val="nil"/>
              <w:left w:val="single" w:sz="4" w:space="0" w:color="auto"/>
              <w:bottom w:val="nil"/>
              <w:right w:val="single" w:sz="4" w:space="0" w:color="auto"/>
            </w:tcBorders>
            <w:vAlign w:val="center"/>
          </w:tcPr>
          <w:p w14:paraId="4FB820A6" w14:textId="7DED3EE6" w:rsidR="00E8612B" w:rsidRPr="00402BF5" w:rsidRDefault="00E8612B" w:rsidP="00402BF5">
            <w:pPr>
              <w:pStyle w:val="CommentText"/>
              <w:spacing w:line="360" w:lineRule="auto"/>
              <w:contextualSpacing/>
              <w:jc w:val="center"/>
            </w:pPr>
            <w:r w:rsidRPr="00402BF5">
              <w:rPr>
                <w:color w:val="000000"/>
              </w:rPr>
              <w:t>Salivary gland</w:t>
            </w:r>
            <w:r w:rsidR="000E180E">
              <w:rPr>
                <w:color w:val="000000"/>
              </w:rPr>
              <w:t xml:space="preserve"> (MASC)</w:t>
            </w:r>
          </w:p>
        </w:tc>
        <w:tc>
          <w:tcPr>
            <w:tcW w:w="2254" w:type="dxa"/>
            <w:tcBorders>
              <w:top w:val="nil"/>
              <w:left w:val="single" w:sz="4" w:space="0" w:color="auto"/>
              <w:bottom w:val="nil"/>
              <w:right w:val="single" w:sz="4" w:space="0" w:color="auto"/>
            </w:tcBorders>
            <w:vAlign w:val="center"/>
          </w:tcPr>
          <w:p w14:paraId="65C97052" w14:textId="77777777" w:rsidR="00E8612B" w:rsidRPr="00402BF5" w:rsidRDefault="00E8612B" w:rsidP="00402BF5">
            <w:pPr>
              <w:pStyle w:val="CommentText"/>
              <w:spacing w:line="360" w:lineRule="auto"/>
              <w:contextualSpacing/>
              <w:jc w:val="center"/>
            </w:pPr>
            <w:r w:rsidRPr="00402BF5">
              <w:rPr>
                <w:color w:val="000000"/>
              </w:rPr>
              <w:t>13.00%</w:t>
            </w:r>
          </w:p>
        </w:tc>
      </w:tr>
      <w:tr w:rsidR="00E8612B" w:rsidRPr="00402BF5" w14:paraId="5A3E63C8" w14:textId="77777777" w:rsidTr="00B0116C">
        <w:tc>
          <w:tcPr>
            <w:tcW w:w="2254" w:type="dxa"/>
            <w:tcBorders>
              <w:top w:val="nil"/>
              <w:left w:val="single" w:sz="4" w:space="0" w:color="auto"/>
              <w:bottom w:val="nil"/>
              <w:right w:val="single" w:sz="4" w:space="0" w:color="auto"/>
            </w:tcBorders>
            <w:vAlign w:val="center"/>
          </w:tcPr>
          <w:p w14:paraId="647F148F" w14:textId="77777777" w:rsidR="00E8612B" w:rsidRPr="00402BF5" w:rsidRDefault="00E8612B" w:rsidP="00402BF5">
            <w:pPr>
              <w:pStyle w:val="CommentText"/>
              <w:spacing w:line="360" w:lineRule="auto"/>
              <w:contextualSpacing/>
              <w:jc w:val="center"/>
            </w:pPr>
            <w:r w:rsidRPr="00402BF5">
              <w:rPr>
                <w:color w:val="000000"/>
              </w:rPr>
              <w:t>Thyroid</w:t>
            </w:r>
          </w:p>
        </w:tc>
        <w:tc>
          <w:tcPr>
            <w:tcW w:w="2254" w:type="dxa"/>
            <w:tcBorders>
              <w:top w:val="nil"/>
              <w:left w:val="single" w:sz="4" w:space="0" w:color="auto"/>
              <w:bottom w:val="nil"/>
              <w:right w:val="single" w:sz="4" w:space="0" w:color="auto"/>
            </w:tcBorders>
            <w:vAlign w:val="center"/>
          </w:tcPr>
          <w:p w14:paraId="7A44A26A" w14:textId="77777777" w:rsidR="00E8612B" w:rsidRPr="00402BF5" w:rsidRDefault="00E8612B" w:rsidP="00402BF5">
            <w:pPr>
              <w:pStyle w:val="CommentText"/>
              <w:spacing w:line="360" w:lineRule="auto"/>
              <w:contextualSpacing/>
              <w:jc w:val="center"/>
            </w:pPr>
            <w:r w:rsidRPr="00402BF5">
              <w:rPr>
                <w:color w:val="000000"/>
              </w:rPr>
              <w:t>9.10%</w:t>
            </w:r>
          </w:p>
        </w:tc>
        <w:tc>
          <w:tcPr>
            <w:tcW w:w="2254" w:type="dxa"/>
            <w:tcBorders>
              <w:top w:val="nil"/>
              <w:left w:val="single" w:sz="4" w:space="0" w:color="auto"/>
              <w:bottom w:val="nil"/>
              <w:right w:val="single" w:sz="4" w:space="0" w:color="auto"/>
            </w:tcBorders>
            <w:vAlign w:val="center"/>
          </w:tcPr>
          <w:p w14:paraId="3617AF00" w14:textId="77777777" w:rsidR="00E8612B" w:rsidRPr="00402BF5" w:rsidRDefault="00E8612B" w:rsidP="00402BF5">
            <w:pPr>
              <w:pStyle w:val="CommentText"/>
              <w:spacing w:line="360" w:lineRule="auto"/>
              <w:contextualSpacing/>
              <w:jc w:val="center"/>
            </w:pPr>
            <w:r w:rsidRPr="00402BF5">
              <w:rPr>
                <w:color w:val="000000"/>
              </w:rPr>
              <w:t>Thyroid</w:t>
            </w:r>
          </w:p>
        </w:tc>
        <w:tc>
          <w:tcPr>
            <w:tcW w:w="2254" w:type="dxa"/>
            <w:tcBorders>
              <w:top w:val="nil"/>
              <w:left w:val="single" w:sz="4" w:space="0" w:color="auto"/>
              <w:bottom w:val="nil"/>
              <w:right w:val="single" w:sz="4" w:space="0" w:color="auto"/>
            </w:tcBorders>
            <w:vAlign w:val="center"/>
          </w:tcPr>
          <w:p w14:paraId="45A15B75" w14:textId="77777777" w:rsidR="00E8612B" w:rsidRPr="00402BF5" w:rsidRDefault="00E8612B" w:rsidP="00402BF5">
            <w:pPr>
              <w:pStyle w:val="CommentText"/>
              <w:spacing w:line="360" w:lineRule="auto"/>
              <w:contextualSpacing/>
              <w:jc w:val="center"/>
            </w:pPr>
            <w:r w:rsidRPr="00402BF5">
              <w:rPr>
                <w:color w:val="000000"/>
              </w:rPr>
              <w:t>9.00%</w:t>
            </w:r>
          </w:p>
        </w:tc>
      </w:tr>
      <w:tr w:rsidR="00E8612B" w:rsidRPr="00402BF5" w14:paraId="75EA3568" w14:textId="77777777" w:rsidTr="00B0116C">
        <w:tc>
          <w:tcPr>
            <w:tcW w:w="2254" w:type="dxa"/>
            <w:tcBorders>
              <w:top w:val="nil"/>
              <w:left w:val="single" w:sz="4" w:space="0" w:color="auto"/>
              <w:bottom w:val="nil"/>
              <w:right w:val="single" w:sz="4" w:space="0" w:color="auto"/>
            </w:tcBorders>
            <w:vAlign w:val="center"/>
          </w:tcPr>
          <w:p w14:paraId="2686C60D" w14:textId="77777777" w:rsidR="00E8612B" w:rsidRPr="00402BF5" w:rsidRDefault="00E8612B" w:rsidP="00402BF5">
            <w:pPr>
              <w:pStyle w:val="CommentText"/>
              <w:spacing w:line="360" w:lineRule="auto"/>
              <w:contextualSpacing/>
              <w:jc w:val="center"/>
            </w:pPr>
            <w:r w:rsidRPr="00402BF5">
              <w:rPr>
                <w:color w:val="000000"/>
              </w:rPr>
              <w:t>Lung</w:t>
            </w:r>
          </w:p>
        </w:tc>
        <w:tc>
          <w:tcPr>
            <w:tcW w:w="2254" w:type="dxa"/>
            <w:tcBorders>
              <w:top w:val="nil"/>
              <w:left w:val="single" w:sz="4" w:space="0" w:color="auto"/>
              <w:bottom w:val="nil"/>
              <w:right w:val="single" w:sz="4" w:space="0" w:color="auto"/>
            </w:tcBorders>
            <w:vAlign w:val="center"/>
          </w:tcPr>
          <w:p w14:paraId="1B68A4C3" w14:textId="77777777" w:rsidR="00E8612B" w:rsidRPr="00402BF5" w:rsidRDefault="00E8612B" w:rsidP="00402BF5">
            <w:pPr>
              <w:pStyle w:val="CommentText"/>
              <w:spacing w:line="360" w:lineRule="auto"/>
              <w:contextualSpacing/>
              <w:jc w:val="center"/>
            </w:pPr>
            <w:r w:rsidRPr="00402BF5">
              <w:rPr>
                <w:color w:val="000000"/>
              </w:rPr>
              <w:t>7.30%</w:t>
            </w:r>
          </w:p>
        </w:tc>
        <w:tc>
          <w:tcPr>
            <w:tcW w:w="2254" w:type="dxa"/>
            <w:tcBorders>
              <w:top w:val="nil"/>
              <w:left w:val="single" w:sz="4" w:space="0" w:color="auto"/>
              <w:bottom w:val="nil"/>
              <w:right w:val="single" w:sz="4" w:space="0" w:color="auto"/>
            </w:tcBorders>
            <w:vAlign w:val="center"/>
          </w:tcPr>
          <w:p w14:paraId="18857D9F" w14:textId="77777777" w:rsidR="00E8612B" w:rsidRPr="00402BF5" w:rsidRDefault="00E8612B" w:rsidP="00402BF5">
            <w:pPr>
              <w:pStyle w:val="CommentText"/>
              <w:spacing w:line="360" w:lineRule="auto"/>
              <w:contextualSpacing/>
              <w:jc w:val="center"/>
            </w:pPr>
            <w:r w:rsidRPr="00402BF5">
              <w:rPr>
                <w:color w:val="000000"/>
              </w:rPr>
              <w:t>NSCLC</w:t>
            </w:r>
          </w:p>
        </w:tc>
        <w:tc>
          <w:tcPr>
            <w:tcW w:w="2254" w:type="dxa"/>
            <w:tcBorders>
              <w:top w:val="nil"/>
              <w:left w:val="single" w:sz="4" w:space="0" w:color="auto"/>
              <w:bottom w:val="nil"/>
              <w:right w:val="single" w:sz="4" w:space="0" w:color="auto"/>
            </w:tcBorders>
            <w:vAlign w:val="center"/>
          </w:tcPr>
          <w:p w14:paraId="5430F9C1" w14:textId="77777777" w:rsidR="00E8612B" w:rsidRPr="00402BF5" w:rsidRDefault="00E8612B" w:rsidP="00402BF5">
            <w:pPr>
              <w:pStyle w:val="CommentText"/>
              <w:spacing w:line="360" w:lineRule="auto"/>
              <w:contextualSpacing/>
              <w:jc w:val="center"/>
            </w:pPr>
            <w:r w:rsidRPr="00402BF5">
              <w:rPr>
                <w:color w:val="000000"/>
              </w:rPr>
              <w:t>18.00%</w:t>
            </w:r>
          </w:p>
        </w:tc>
      </w:tr>
      <w:tr w:rsidR="00E8612B" w:rsidRPr="00402BF5" w14:paraId="22C861D2" w14:textId="77777777" w:rsidTr="00B0116C">
        <w:tc>
          <w:tcPr>
            <w:tcW w:w="2254" w:type="dxa"/>
            <w:tcBorders>
              <w:top w:val="nil"/>
              <w:left w:val="single" w:sz="4" w:space="0" w:color="auto"/>
              <w:bottom w:val="nil"/>
              <w:right w:val="single" w:sz="4" w:space="0" w:color="auto"/>
            </w:tcBorders>
            <w:vAlign w:val="center"/>
          </w:tcPr>
          <w:p w14:paraId="350FBDE2" w14:textId="77777777" w:rsidR="00E8612B" w:rsidRPr="00402BF5" w:rsidRDefault="00E8612B" w:rsidP="00402BF5">
            <w:pPr>
              <w:pStyle w:val="CommentText"/>
              <w:spacing w:line="360" w:lineRule="auto"/>
              <w:contextualSpacing/>
              <w:jc w:val="center"/>
            </w:pPr>
            <w:r w:rsidRPr="00402BF5">
              <w:rPr>
                <w:color w:val="000000"/>
              </w:rPr>
              <w:t>Colon</w:t>
            </w:r>
          </w:p>
        </w:tc>
        <w:tc>
          <w:tcPr>
            <w:tcW w:w="2254" w:type="dxa"/>
            <w:tcBorders>
              <w:top w:val="nil"/>
              <w:left w:val="single" w:sz="4" w:space="0" w:color="auto"/>
              <w:bottom w:val="nil"/>
              <w:right w:val="single" w:sz="4" w:space="0" w:color="auto"/>
            </w:tcBorders>
            <w:vAlign w:val="center"/>
          </w:tcPr>
          <w:p w14:paraId="37F45E8B" w14:textId="77777777" w:rsidR="00E8612B" w:rsidRPr="00402BF5" w:rsidRDefault="00E8612B" w:rsidP="00402BF5">
            <w:pPr>
              <w:pStyle w:val="CommentText"/>
              <w:spacing w:line="360" w:lineRule="auto"/>
              <w:contextualSpacing/>
              <w:jc w:val="center"/>
            </w:pPr>
            <w:r w:rsidRPr="00402BF5">
              <w:rPr>
                <w:color w:val="000000"/>
              </w:rPr>
              <w:t>7.30%</w:t>
            </w:r>
          </w:p>
        </w:tc>
        <w:tc>
          <w:tcPr>
            <w:tcW w:w="2254" w:type="dxa"/>
            <w:tcBorders>
              <w:top w:val="nil"/>
              <w:left w:val="single" w:sz="4" w:space="0" w:color="auto"/>
              <w:bottom w:val="nil"/>
              <w:right w:val="single" w:sz="4" w:space="0" w:color="auto"/>
            </w:tcBorders>
            <w:vAlign w:val="center"/>
          </w:tcPr>
          <w:p w14:paraId="34DBD35D" w14:textId="77777777" w:rsidR="00E8612B" w:rsidRPr="00402BF5" w:rsidRDefault="00E8612B" w:rsidP="00402BF5">
            <w:pPr>
              <w:pStyle w:val="CommentText"/>
              <w:spacing w:line="360" w:lineRule="auto"/>
              <w:contextualSpacing/>
              <w:jc w:val="center"/>
            </w:pPr>
            <w:r w:rsidRPr="00402BF5">
              <w:rPr>
                <w:color w:val="000000"/>
              </w:rPr>
              <w:t>Colorectal</w:t>
            </w:r>
          </w:p>
        </w:tc>
        <w:tc>
          <w:tcPr>
            <w:tcW w:w="2254" w:type="dxa"/>
            <w:tcBorders>
              <w:top w:val="nil"/>
              <w:left w:val="single" w:sz="4" w:space="0" w:color="auto"/>
              <w:bottom w:val="nil"/>
              <w:right w:val="single" w:sz="4" w:space="0" w:color="auto"/>
            </w:tcBorders>
            <w:vAlign w:val="center"/>
          </w:tcPr>
          <w:p w14:paraId="70485A98" w14:textId="77777777" w:rsidR="00E8612B" w:rsidRPr="00402BF5" w:rsidRDefault="00E8612B" w:rsidP="00402BF5">
            <w:pPr>
              <w:pStyle w:val="CommentText"/>
              <w:spacing w:line="360" w:lineRule="auto"/>
              <w:contextualSpacing/>
              <w:jc w:val="center"/>
            </w:pPr>
            <w:r w:rsidRPr="00402BF5">
              <w:rPr>
                <w:color w:val="000000"/>
              </w:rPr>
              <w:t>7.00%</w:t>
            </w:r>
          </w:p>
        </w:tc>
      </w:tr>
      <w:tr w:rsidR="00E8612B" w:rsidRPr="00402BF5" w14:paraId="04402E3F" w14:textId="77777777" w:rsidTr="00B0116C">
        <w:tc>
          <w:tcPr>
            <w:tcW w:w="2254" w:type="dxa"/>
            <w:tcBorders>
              <w:top w:val="nil"/>
              <w:left w:val="single" w:sz="4" w:space="0" w:color="auto"/>
              <w:bottom w:val="nil"/>
              <w:right w:val="single" w:sz="4" w:space="0" w:color="auto"/>
            </w:tcBorders>
            <w:vAlign w:val="center"/>
          </w:tcPr>
          <w:p w14:paraId="7C5D7EA4" w14:textId="77777777" w:rsidR="00E8612B" w:rsidRPr="00402BF5" w:rsidRDefault="00E8612B" w:rsidP="00402BF5">
            <w:pPr>
              <w:pStyle w:val="CommentText"/>
              <w:spacing w:line="360" w:lineRule="auto"/>
              <w:contextualSpacing/>
              <w:jc w:val="center"/>
            </w:pPr>
            <w:r w:rsidRPr="00402BF5">
              <w:rPr>
                <w:color w:val="000000"/>
              </w:rPr>
              <w:t>Cholangiocarcinoma</w:t>
            </w:r>
          </w:p>
        </w:tc>
        <w:tc>
          <w:tcPr>
            <w:tcW w:w="2254" w:type="dxa"/>
            <w:tcBorders>
              <w:top w:val="nil"/>
              <w:left w:val="single" w:sz="4" w:space="0" w:color="auto"/>
              <w:bottom w:val="nil"/>
              <w:right w:val="single" w:sz="4" w:space="0" w:color="auto"/>
            </w:tcBorders>
            <w:vAlign w:val="center"/>
          </w:tcPr>
          <w:p w14:paraId="29D0531D" w14:textId="77777777" w:rsidR="00E8612B" w:rsidRPr="00402BF5" w:rsidRDefault="00E8612B" w:rsidP="00402BF5">
            <w:pPr>
              <w:pStyle w:val="CommentText"/>
              <w:spacing w:line="360" w:lineRule="auto"/>
              <w:contextualSpacing/>
              <w:jc w:val="center"/>
            </w:pPr>
            <w:r w:rsidRPr="00402BF5">
              <w:rPr>
                <w:color w:val="000000"/>
              </w:rPr>
              <w:t>3.60%</w:t>
            </w:r>
          </w:p>
        </w:tc>
        <w:tc>
          <w:tcPr>
            <w:tcW w:w="2254" w:type="dxa"/>
            <w:tcBorders>
              <w:top w:val="nil"/>
              <w:left w:val="single" w:sz="4" w:space="0" w:color="auto"/>
              <w:bottom w:val="nil"/>
              <w:right w:val="single" w:sz="4" w:space="0" w:color="auto"/>
            </w:tcBorders>
            <w:vAlign w:val="center"/>
          </w:tcPr>
          <w:p w14:paraId="38114AFD" w14:textId="77777777" w:rsidR="00E8612B" w:rsidRPr="00402BF5" w:rsidRDefault="00E8612B" w:rsidP="00402BF5">
            <w:pPr>
              <w:pStyle w:val="CommentText"/>
              <w:spacing w:line="360" w:lineRule="auto"/>
              <w:contextualSpacing/>
              <w:jc w:val="center"/>
            </w:pPr>
            <w:r w:rsidRPr="00402BF5">
              <w:rPr>
                <w:color w:val="000000"/>
              </w:rPr>
              <w:t>Cholangiocarcinoma</w:t>
            </w:r>
          </w:p>
        </w:tc>
        <w:tc>
          <w:tcPr>
            <w:tcW w:w="2254" w:type="dxa"/>
            <w:tcBorders>
              <w:top w:val="nil"/>
              <w:left w:val="single" w:sz="4" w:space="0" w:color="auto"/>
              <w:bottom w:val="nil"/>
              <w:right w:val="single" w:sz="4" w:space="0" w:color="auto"/>
            </w:tcBorders>
            <w:vAlign w:val="center"/>
          </w:tcPr>
          <w:p w14:paraId="0A76A262" w14:textId="77777777" w:rsidR="00E8612B" w:rsidRPr="00402BF5" w:rsidRDefault="00E8612B" w:rsidP="00402BF5">
            <w:pPr>
              <w:pStyle w:val="CommentText"/>
              <w:spacing w:line="360" w:lineRule="auto"/>
              <w:contextualSpacing/>
              <w:jc w:val="center"/>
            </w:pPr>
            <w:r w:rsidRPr="00402BF5">
              <w:rPr>
                <w:color w:val="000000"/>
              </w:rPr>
              <w:t>2.00%</w:t>
            </w:r>
          </w:p>
        </w:tc>
      </w:tr>
      <w:tr w:rsidR="00E8612B" w:rsidRPr="00402BF5" w14:paraId="122F710C" w14:textId="77777777" w:rsidTr="00B0116C">
        <w:tc>
          <w:tcPr>
            <w:tcW w:w="2254" w:type="dxa"/>
            <w:tcBorders>
              <w:top w:val="nil"/>
              <w:left w:val="single" w:sz="4" w:space="0" w:color="auto"/>
              <w:bottom w:val="nil"/>
              <w:right w:val="single" w:sz="4" w:space="0" w:color="auto"/>
            </w:tcBorders>
            <w:vAlign w:val="center"/>
          </w:tcPr>
          <w:p w14:paraId="2D3AD38C" w14:textId="77777777" w:rsidR="00E8612B" w:rsidRPr="00402BF5" w:rsidRDefault="00E8612B" w:rsidP="00402BF5">
            <w:pPr>
              <w:pStyle w:val="CommentText"/>
              <w:spacing w:line="360" w:lineRule="auto"/>
              <w:contextualSpacing/>
              <w:jc w:val="center"/>
            </w:pPr>
            <w:r w:rsidRPr="00402BF5">
              <w:rPr>
                <w:color w:val="000000"/>
              </w:rPr>
              <w:t>Breast</w:t>
            </w:r>
          </w:p>
        </w:tc>
        <w:tc>
          <w:tcPr>
            <w:tcW w:w="2254" w:type="dxa"/>
            <w:tcBorders>
              <w:top w:val="nil"/>
              <w:left w:val="single" w:sz="4" w:space="0" w:color="auto"/>
              <w:bottom w:val="nil"/>
              <w:right w:val="single" w:sz="4" w:space="0" w:color="auto"/>
            </w:tcBorders>
            <w:vAlign w:val="center"/>
          </w:tcPr>
          <w:p w14:paraId="44D25F3A" w14:textId="77777777" w:rsidR="00E8612B" w:rsidRPr="00402BF5" w:rsidRDefault="00E8612B" w:rsidP="00402BF5">
            <w:pPr>
              <w:pStyle w:val="CommentText"/>
              <w:spacing w:line="360" w:lineRule="auto"/>
              <w:contextualSpacing/>
              <w:jc w:val="center"/>
            </w:pPr>
            <w:r w:rsidRPr="00402BF5">
              <w:rPr>
                <w:color w:val="000000"/>
              </w:rPr>
              <w:t>1.80%</w:t>
            </w:r>
          </w:p>
        </w:tc>
        <w:tc>
          <w:tcPr>
            <w:tcW w:w="2254" w:type="dxa"/>
            <w:tcBorders>
              <w:top w:val="nil"/>
              <w:left w:val="single" w:sz="4" w:space="0" w:color="auto"/>
              <w:bottom w:val="nil"/>
              <w:right w:val="single" w:sz="4" w:space="0" w:color="auto"/>
            </w:tcBorders>
            <w:vAlign w:val="center"/>
          </w:tcPr>
          <w:p w14:paraId="559C04D8" w14:textId="77777777" w:rsidR="00E8612B" w:rsidRPr="00402BF5" w:rsidRDefault="00E8612B" w:rsidP="00402BF5">
            <w:pPr>
              <w:pStyle w:val="CommentText"/>
              <w:spacing w:line="360" w:lineRule="auto"/>
              <w:contextualSpacing/>
              <w:jc w:val="center"/>
            </w:pPr>
            <w:r w:rsidRPr="00402BF5">
              <w:rPr>
                <w:color w:val="000000"/>
              </w:rPr>
              <w:t>Breast</w:t>
            </w:r>
          </w:p>
        </w:tc>
        <w:tc>
          <w:tcPr>
            <w:tcW w:w="2254" w:type="dxa"/>
            <w:tcBorders>
              <w:top w:val="nil"/>
              <w:left w:val="single" w:sz="4" w:space="0" w:color="auto"/>
              <w:bottom w:val="nil"/>
              <w:right w:val="single" w:sz="4" w:space="0" w:color="auto"/>
            </w:tcBorders>
            <w:vAlign w:val="center"/>
          </w:tcPr>
          <w:p w14:paraId="5D72A4F7" w14:textId="77777777" w:rsidR="00E8612B" w:rsidRPr="00402BF5" w:rsidRDefault="00E8612B" w:rsidP="00402BF5">
            <w:pPr>
              <w:pStyle w:val="CommentText"/>
              <w:spacing w:line="360" w:lineRule="auto"/>
              <w:contextualSpacing/>
              <w:jc w:val="center"/>
            </w:pPr>
            <w:r w:rsidRPr="00402BF5">
              <w:rPr>
                <w:color w:val="000000"/>
              </w:rPr>
              <w:t>11.00%</w:t>
            </w:r>
          </w:p>
        </w:tc>
      </w:tr>
      <w:tr w:rsidR="00E8612B" w:rsidRPr="00402BF5" w14:paraId="531F7CD3" w14:textId="77777777" w:rsidTr="00B0116C">
        <w:tc>
          <w:tcPr>
            <w:tcW w:w="2254" w:type="dxa"/>
            <w:tcBorders>
              <w:top w:val="nil"/>
              <w:left w:val="single" w:sz="4" w:space="0" w:color="auto"/>
              <w:bottom w:val="nil"/>
              <w:right w:val="single" w:sz="4" w:space="0" w:color="auto"/>
            </w:tcBorders>
            <w:vAlign w:val="center"/>
          </w:tcPr>
          <w:p w14:paraId="4110A09E" w14:textId="77777777" w:rsidR="00E8612B" w:rsidRPr="00402BF5" w:rsidRDefault="00E8612B" w:rsidP="00402BF5">
            <w:pPr>
              <w:pStyle w:val="CommentText"/>
              <w:spacing w:line="360" w:lineRule="auto"/>
              <w:contextualSpacing/>
              <w:jc w:val="center"/>
            </w:pPr>
            <w:r w:rsidRPr="00402BF5">
              <w:rPr>
                <w:color w:val="000000"/>
              </w:rPr>
              <w:t>Pancreas</w:t>
            </w:r>
          </w:p>
        </w:tc>
        <w:tc>
          <w:tcPr>
            <w:tcW w:w="2254" w:type="dxa"/>
            <w:tcBorders>
              <w:top w:val="nil"/>
              <w:left w:val="single" w:sz="4" w:space="0" w:color="auto"/>
              <w:bottom w:val="nil"/>
              <w:right w:val="single" w:sz="4" w:space="0" w:color="auto"/>
            </w:tcBorders>
            <w:vAlign w:val="center"/>
          </w:tcPr>
          <w:p w14:paraId="35EE9D46" w14:textId="77777777" w:rsidR="00E8612B" w:rsidRPr="00402BF5" w:rsidRDefault="00E8612B" w:rsidP="00402BF5">
            <w:pPr>
              <w:pStyle w:val="CommentText"/>
              <w:spacing w:line="360" w:lineRule="auto"/>
              <w:contextualSpacing/>
              <w:jc w:val="center"/>
            </w:pPr>
            <w:r w:rsidRPr="00402BF5">
              <w:rPr>
                <w:color w:val="000000"/>
              </w:rPr>
              <w:t>1.80%</w:t>
            </w:r>
          </w:p>
        </w:tc>
        <w:tc>
          <w:tcPr>
            <w:tcW w:w="2254" w:type="dxa"/>
            <w:tcBorders>
              <w:top w:val="nil"/>
              <w:left w:val="single" w:sz="4" w:space="0" w:color="auto"/>
              <w:bottom w:val="nil"/>
              <w:right w:val="single" w:sz="4" w:space="0" w:color="auto"/>
            </w:tcBorders>
            <w:vAlign w:val="center"/>
          </w:tcPr>
          <w:p w14:paraId="1E145209" w14:textId="77777777" w:rsidR="00E8612B" w:rsidRPr="00402BF5" w:rsidRDefault="00E8612B" w:rsidP="00402BF5">
            <w:pPr>
              <w:pStyle w:val="CommentText"/>
              <w:spacing w:line="360" w:lineRule="auto"/>
              <w:contextualSpacing/>
              <w:jc w:val="center"/>
            </w:pPr>
            <w:r w:rsidRPr="00402BF5">
              <w:rPr>
                <w:color w:val="000000"/>
              </w:rPr>
              <w:t>Pancreatic</w:t>
            </w:r>
          </w:p>
        </w:tc>
        <w:tc>
          <w:tcPr>
            <w:tcW w:w="2254" w:type="dxa"/>
            <w:tcBorders>
              <w:top w:val="nil"/>
              <w:left w:val="single" w:sz="4" w:space="0" w:color="auto"/>
              <w:bottom w:val="nil"/>
              <w:right w:val="single" w:sz="4" w:space="0" w:color="auto"/>
            </w:tcBorders>
            <w:vAlign w:val="center"/>
          </w:tcPr>
          <w:p w14:paraId="0C9BE150" w14:textId="77777777" w:rsidR="00E8612B" w:rsidRPr="00402BF5" w:rsidRDefault="00E8612B" w:rsidP="00402BF5">
            <w:pPr>
              <w:pStyle w:val="CommentText"/>
              <w:spacing w:line="360" w:lineRule="auto"/>
              <w:contextualSpacing/>
              <w:jc w:val="center"/>
            </w:pPr>
            <w:r w:rsidRPr="00402BF5">
              <w:rPr>
                <w:color w:val="000000"/>
              </w:rPr>
              <w:t>6.00%</w:t>
            </w:r>
          </w:p>
        </w:tc>
      </w:tr>
      <w:tr w:rsidR="00E8612B" w:rsidRPr="00402BF5" w14:paraId="03757092" w14:textId="77777777" w:rsidTr="00B0116C">
        <w:tc>
          <w:tcPr>
            <w:tcW w:w="2254" w:type="dxa"/>
            <w:tcBorders>
              <w:top w:val="nil"/>
              <w:left w:val="single" w:sz="4" w:space="0" w:color="auto"/>
              <w:bottom w:val="nil"/>
              <w:right w:val="single" w:sz="4" w:space="0" w:color="auto"/>
            </w:tcBorders>
            <w:vAlign w:val="center"/>
          </w:tcPr>
          <w:p w14:paraId="7A047E6B" w14:textId="77777777" w:rsidR="00E8612B" w:rsidRPr="00402BF5" w:rsidRDefault="00E8612B" w:rsidP="00402BF5">
            <w:pPr>
              <w:pStyle w:val="CommentText"/>
              <w:spacing w:line="360" w:lineRule="auto"/>
              <w:contextualSpacing/>
              <w:jc w:val="center"/>
            </w:pPr>
            <w:r w:rsidRPr="00402BF5">
              <w:rPr>
                <w:color w:val="000000"/>
              </w:rPr>
              <w:t>IFS</w:t>
            </w:r>
          </w:p>
        </w:tc>
        <w:tc>
          <w:tcPr>
            <w:tcW w:w="2254" w:type="dxa"/>
            <w:tcBorders>
              <w:top w:val="nil"/>
              <w:left w:val="single" w:sz="4" w:space="0" w:color="auto"/>
              <w:bottom w:val="nil"/>
              <w:right w:val="single" w:sz="4" w:space="0" w:color="auto"/>
            </w:tcBorders>
            <w:vAlign w:val="center"/>
          </w:tcPr>
          <w:p w14:paraId="1972D1EC" w14:textId="77777777" w:rsidR="00E8612B" w:rsidRPr="00402BF5" w:rsidRDefault="00E8612B" w:rsidP="00402BF5">
            <w:pPr>
              <w:pStyle w:val="CommentText"/>
              <w:spacing w:line="360" w:lineRule="auto"/>
              <w:contextualSpacing/>
              <w:jc w:val="center"/>
            </w:pPr>
            <w:r w:rsidRPr="00402BF5">
              <w:rPr>
                <w:color w:val="000000"/>
              </w:rPr>
              <w:t>12.70%</w:t>
            </w:r>
          </w:p>
        </w:tc>
        <w:tc>
          <w:tcPr>
            <w:tcW w:w="2254" w:type="dxa"/>
            <w:tcBorders>
              <w:top w:val="nil"/>
              <w:left w:val="single" w:sz="4" w:space="0" w:color="auto"/>
              <w:bottom w:val="nil"/>
              <w:right w:val="single" w:sz="4" w:space="0" w:color="auto"/>
            </w:tcBorders>
            <w:vAlign w:val="center"/>
          </w:tcPr>
          <w:p w14:paraId="64EC18BC" w14:textId="77777777" w:rsidR="00E8612B" w:rsidRPr="00402BF5" w:rsidRDefault="00E8612B" w:rsidP="00402BF5">
            <w:pPr>
              <w:pStyle w:val="CommentText"/>
              <w:spacing w:line="360" w:lineRule="auto"/>
              <w:contextualSpacing/>
              <w:jc w:val="center"/>
            </w:pPr>
            <w:r w:rsidRPr="00402BF5">
              <w:rPr>
                <w:color w:val="000000"/>
              </w:rPr>
              <w:t>Neuroendocrine</w:t>
            </w:r>
          </w:p>
        </w:tc>
        <w:tc>
          <w:tcPr>
            <w:tcW w:w="2254" w:type="dxa"/>
            <w:tcBorders>
              <w:top w:val="nil"/>
              <w:left w:val="single" w:sz="4" w:space="0" w:color="auto"/>
              <w:bottom w:val="nil"/>
              <w:right w:val="single" w:sz="4" w:space="0" w:color="auto"/>
            </w:tcBorders>
            <w:vAlign w:val="center"/>
          </w:tcPr>
          <w:p w14:paraId="507DC182" w14:textId="77777777" w:rsidR="00E8612B" w:rsidRPr="00402BF5" w:rsidRDefault="00E8612B" w:rsidP="00402BF5">
            <w:pPr>
              <w:pStyle w:val="CommentText"/>
              <w:spacing w:line="360" w:lineRule="auto"/>
              <w:contextualSpacing/>
              <w:jc w:val="center"/>
            </w:pPr>
            <w:r w:rsidRPr="00402BF5">
              <w:rPr>
                <w:color w:val="000000"/>
              </w:rPr>
              <w:t>6.00%</w:t>
            </w:r>
          </w:p>
        </w:tc>
      </w:tr>
      <w:tr w:rsidR="00E8612B" w:rsidRPr="00402BF5" w14:paraId="016BD09E" w14:textId="77777777" w:rsidTr="00B0116C">
        <w:tc>
          <w:tcPr>
            <w:tcW w:w="2254" w:type="dxa"/>
            <w:tcBorders>
              <w:top w:val="nil"/>
              <w:left w:val="single" w:sz="4" w:space="0" w:color="auto"/>
              <w:bottom w:val="nil"/>
              <w:right w:val="single" w:sz="4" w:space="0" w:color="auto"/>
            </w:tcBorders>
            <w:vAlign w:val="center"/>
          </w:tcPr>
          <w:p w14:paraId="4B6C4A6F" w14:textId="77777777" w:rsidR="00E8612B" w:rsidRPr="00402BF5" w:rsidRDefault="00E8612B" w:rsidP="00402BF5">
            <w:pPr>
              <w:pStyle w:val="CommentText"/>
              <w:spacing w:line="360" w:lineRule="auto"/>
              <w:contextualSpacing/>
              <w:jc w:val="center"/>
            </w:pPr>
            <w:r w:rsidRPr="00402BF5">
              <w:rPr>
                <w:color w:val="000000"/>
              </w:rPr>
              <w:t>Melanoma</w:t>
            </w:r>
          </w:p>
        </w:tc>
        <w:tc>
          <w:tcPr>
            <w:tcW w:w="2254" w:type="dxa"/>
            <w:tcBorders>
              <w:top w:val="nil"/>
              <w:left w:val="single" w:sz="4" w:space="0" w:color="auto"/>
              <w:bottom w:val="nil"/>
              <w:right w:val="single" w:sz="4" w:space="0" w:color="auto"/>
            </w:tcBorders>
            <w:vAlign w:val="center"/>
          </w:tcPr>
          <w:p w14:paraId="14706369" w14:textId="77777777" w:rsidR="00E8612B" w:rsidRPr="00402BF5" w:rsidRDefault="00E8612B" w:rsidP="00402BF5">
            <w:pPr>
              <w:pStyle w:val="CommentText"/>
              <w:spacing w:line="360" w:lineRule="auto"/>
              <w:contextualSpacing/>
              <w:jc w:val="center"/>
            </w:pPr>
            <w:r w:rsidRPr="00402BF5">
              <w:rPr>
                <w:color w:val="000000"/>
              </w:rPr>
              <w:t>7.30%</w:t>
            </w:r>
          </w:p>
        </w:tc>
        <w:tc>
          <w:tcPr>
            <w:tcW w:w="2254" w:type="dxa"/>
            <w:tcBorders>
              <w:top w:val="nil"/>
              <w:left w:val="single" w:sz="4" w:space="0" w:color="auto"/>
              <w:bottom w:val="nil"/>
              <w:right w:val="single" w:sz="4" w:space="0" w:color="auto"/>
            </w:tcBorders>
            <w:vAlign w:val="center"/>
          </w:tcPr>
          <w:p w14:paraId="36A279E1" w14:textId="77777777" w:rsidR="00E8612B" w:rsidRPr="00402BF5" w:rsidRDefault="00E8612B" w:rsidP="00402BF5">
            <w:pPr>
              <w:pStyle w:val="CommentText"/>
              <w:spacing w:line="360" w:lineRule="auto"/>
              <w:contextualSpacing/>
              <w:jc w:val="center"/>
            </w:pPr>
            <w:r w:rsidRPr="00402BF5">
              <w:rPr>
                <w:color w:val="000000"/>
              </w:rPr>
              <w:t>Gynaecological</w:t>
            </w:r>
          </w:p>
        </w:tc>
        <w:tc>
          <w:tcPr>
            <w:tcW w:w="2254" w:type="dxa"/>
            <w:tcBorders>
              <w:top w:val="nil"/>
              <w:left w:val="single" w:sz="4" w:space="0" w:color="auto"/>
              <w:bottom w:val="nil"/>
              <w:right w:val="single" w:sz="4" w:space="0" w:color="auto"/>
            </w:tcBorders>
            <w:vAlign w:val="center"/>
          </w:tcPr>
          <w:p w14:paraId="122A7233" w14:textId="77777777" w:rsidR="00E8612B" w:rsidRPr="00402BF5" w:rsidRDefault="00E8612B" w:rsidP="00402BF5">
            <w:pPr>
              <w:pStyle w:val="CommentText"/>
              <w:spacing w:line="360" w:lineRule="auto"/>
              <w:contextualSpacing/>
              <w:jc w:val="center"/>
            </w:pPr>
            <w:r w:rsidRPr="00402BF5">
              <w:rPr>
                <w:color w:val="000000"/>
              </w:rPr>
              <w:t>4.00%</w:t>
            </w:r>
          </w:p>
        </w:tc>
      </w:tr>
      <w:tr w:rsidR="00E8612B" w:rsidRPr="00402BF5" w14:paraId="336430D8" w14:textId="77777777" w:rsidTr="00B0116C">
        <w:tc>
          <w:tcPr>
            <w:tcW w:w="2254" w:type="dxa"/>
            <w:tcBorders>
              <w:top w:val="nil"/>
              <w:left w:val="single" w:sz="4" w:space="0" w:color="auto"/>
              <w:bottom w:val="nil"/>
              <w:right w:val="single" w:sz="4" w:space="0" w:color="auto"/>
            </w:tcBorders>
            <w:vAlign w:val="center"/>
          </w:tcPr>
          <w:p w14:paraId="202EF8D2" w14:textId="77777777" w:rsidR="00E8612B" w:rsidRPr="00402BF5" w:rsidRDefault="00E8612B" w:rsidP="00402BF5">
            <w:pPr>
              <w:pStyle w:val="CommentText"/>
              <w:spacing w:line="360" w:lineRule="auto"/>
              <w:contextualSpacing/>
              <w:jc w:val="center"/>
            </w:pPr>
            <w:r w:rsidRPr="00402BF5">
              <w:rPr>
                <w:color w:val="000000"/>
              </w:rPr>
              <w:t>GIST</w:t>
            </w:r>
          </w:p>
        </w:tc>
        <w:tc>
          <w:tcPr>
            <w:tcW w:w="2254" w:type="dxa"/>
            <w:tcBorders>
              <w:top w:val="nil"/>
              <w:left w:val="single" w:sz="4" w:space="0" w:color="auto"/>
              <w:bottom w:val="nil"/>
              <w:right w:val="single" w:sz="4" w:space="0" w:color="auto"/>
            </w:tcBorders>
            <w:vAlign w:val="center"/>
          </w:tcPr>
          <w:p w14:paraId="450C4557" w14:textId="77777777" w:rsidR="00E8612B" w:rsidRPr="00402BF5" w:rsidRDefault="00E8612B" w:rsidP="00402BF5">
            <w:pPr>
              <w:pStyle w:val="CommentText"/>
              <w:spacing w:line="360" w:lineRule="auto"/>
              <w:contextualSpacing/>
              <w:jc w:val="center"/>
            </w:pPr>
            <w:r w:rsidRPr="00402BF5">
              <w:rPr>
                <w:color w:val="000000"/>
              </w:rPr>
              <w:t>5.50%</w:t>
            </w:r>
          </w:p>
        </w:tc>
        <w:tc>
          <w:tcPr>
            <w:tcW w:w="2254" w:type="dxa"/>
            <w:tcBorders>
              <w:top w:val="nil"/>
              <w:left w:val="single" w:sz="4" w:space="0" w:color="auto"/>
              <w:bottom w:val="nil"/>
              <w:right w:val="single" w:sz="4" w:space="0" w:color="auto"/>
            </w:tcBorders>
            <w:vAlign w:val="center"/>
          </w:tcPr>
          <w:p w14:paraId="02CCF0AA" w14:textId="77777777" w:rsidR="00E8612B" w:rsidRPr="00402BF5" w:rsidRDefault="00E8612B" w:rsidP="00402BF5">
            <w:pPr>
              <w:pStyle w:val="CommentText"/>
              <w:spacing w:line="360" w:lineRule="auto"/>
              <w:contextualSpacing/>
              <w:jc w:val="center"/>
            </w:pPr>
            <w:r w:rsidRPr="00402BF5">
              <w:rPr>
                <w:color w:val="000000"/>
              </w:rPr>
              <w:t>-</w:t>
            </w:r>
          </w:p>
        </w:tc>
        <w:tc>
          <w:tcPr>
            <w:tcW w:w="2254" w:type="dxa"/>
            <w:tcBorders>
              <w:top w:val="nil"/>
              <w:left w:val="single" w:sz="4" w:space="0" w:color="auto"/>
              <w:bottom w:val="nil"/>
              <w:right w:val="single" w:sz="4" w:space="0" w:color="auto"/>
            </w:tcBorders>
            <w:vAlign w:val="bottom"/>
          </w:tcPr>
          <w:p w14:paraId="0B3961A8" w14:textId="77777777" w:rsidR="00E8612B" w:rsidRPr="00402BF5" w:rsidRDefault="00E8612B" w:rsidP="00402BF5">
            <w:pPr>
              <w:pStyle w:val="CommentText"/>
              <w:spacing w:line="360" w:lineRule="auto"/>
              <w:contextualSpacing/>
              <w:jc w:val="center"/>
            </w:pPr>
            <w:r w:rsidRPr="00402BF5">
              <w:rPr>
                <w:color w:val="000000"/>
              </w:rPr>
              <w:t>-</w:t>
            </w:r>
          </w:p>
        </w:tc>
      </w:tr>
      <w:tr w:rsidR="00E8612B" w:rsidRPr="00402BF5" w14:paraId="609871AB" w14:textId="77777777" w:rsidTr="000E180E">
        <w:tc>
          <w:tcPr>
            <w:tcW w:w="2254" w:type="dxa"/>
            <w:tcBorders>
              <w:top w:val="nil"/>
              <w:left w:val="single" w:sz="4" w:space="0" w:color="auto"/>
              <w:bottom w:val="single" w:sz="4" w:space="0" w:color="auto"/>
              <w:right w:val="single" w:sz="4" w:space="0" w:color="auto"/>
            </w:tcBorders>
            <w:vAlign w:val="center"/>
          </w:tcPr>
          <w:p w14:paraId="25B28B87" w14:textId="77777777" w:rsidR="00E8612B" w:rsidRPr="00402BF5" w:rsidRDefault="00E8612B" w:rsidP="00402BF5">
            <w:pPr>
              <w:pStyle w:val="CommentText"/>
              <w:spacing w:line="360" w:lineRule="auto"/>
              <w:contextualSpacing/>
              <w:jc w:val="center"/>
            </w:pPr>
            <w:r w:rsidRPr="00402BF5">
              <w:rPr>
                <w:color w:val="000000"/>
              </w:rPr>
              <w:t>Appendix</w:t>
            </w:r>
          </w:p>
        </w:tc>
        <w:tc>
          <w:tcPr>
            <w:tcW w:w="2254" w:type="dxa"/>
            <w:tcBorders>
              <w:top w:val="nil"/>
              <w:left w:val="single" w:sz="4" w:space="0" w:color="auto"/>
              <w:bottom w:val="single" w:sz="4" w:space="0" w:color="auto"/>
              <w:right w:val="single" w:sz="4" w:space="0" w:color="auto"/>
            </w:tcBorders>
            <w:vAlign w:val="center"/>
          </w:tcPr>
          <w:p w14:paraId="4D9F860F" w14:textId="77777777" w:rsidR="00E8612B" w:rsidRPr="00402BF5" w:rsidRDefault="00E8612B" w:rsidP="00402BF5">
            <w:pPr>
              <w:pStyle w:val="CommentText"/>
              <w:spacing w:line="360" w:lineRule="auto"/>
              <w:contextualSpacing/>
              <w:jc w:val="center"/>
            </w:pPr>
            <w:r w:rsidRPr="00402BF5">
              <w:rPr>
                <w:color w:val="000000"/>
              </w:rPr>
              <w:t>1.80%</w:t>
            </w:r>
          </w:p>
        </w:tc>
        <w:tc>
          <w:tcPr>
            <w:tcW w:w="2254" w:type="dxa"/>
            <w:tcBorders>
              <w:top w:val="nil"/>
              <w:left w:val="single" w:sz="4" w:space="0" w:color="auto"/>
              <w:bottom w:val="single" w:sz="4" w:space="0" w:color="auto"/>
              <w:right w:val="single" w:sz="4" w:space="0" w:color="auto"/>
            </w:tcBorders>
            <w:vAlign w:val="center"/>
          </w:tcPr>
          <w:p w14:paraId="7BE6BEA1" w14:textId="77777777" w:rsidR="00E8612B" w:rsidRPr="00402BF5" w:rsidRDefault="00E8612B" w:rsidP="00402BF5">
            <w:pPr>
              <w:pStyle w:val="CommentText"/>
              <w:spacing w:line="360" w:lineRule="auto"/>
              <w:contextualSpacing/>
              <w:jc w:val="center"/>
            </w:pPr>
            <w:r w:rsidRPr="00402BF5">
              <w:rPr>
                <w:color w:val="000000"/>
              </w:rPr>
              <w:t>-</w:t>
            </w:r>
          </w:p>
        </w:tc>
        <w:tc>
          <w:tcPr>
            <w:tcW w:w="2254" w:type="dxa"/>
            <w:tcBorders>
              <w:top w:val="nil"/>
              <w:left w:val="single" w:sz="4" w:space="0" w:color="auto"/>
              <w:bottom w:val="single" w:sz="4" w:space="0" w:color="auto"/>
              <w:right w:val="single" w:sz="4" w:space="0" w:color="auto"/>
            </w:tcBorders>
            <w:vAlign w:val="bottom"/>
          </w:tcPr>
          <w:p w14:paraId="5E2C3274" w14:textId="77777777" w:rsidR="00E8612B" w:rsidRPr="00402BF5" w:rsidRDefault="00E8612B" w:rsidP="00402BF5">
            <w:pPr>
              <w:pStyle w:val="CommentText"/>
              <w:spacing w:line="360" w:lineRule="auto"/>
              <w:contextualSpacing/>
              <w:jc w:val="center"/>
            </w:pPr>
            <w:r w:rsidRPr="00402BF5">
              <w:rPr>
                <w:color w:val="000000"/>
              </w:rPr>
              <w:t>-</w:t>
            </w:r>
          </w:p>
        </w:tc>
      </w:tr>
      <w:tr w:rsidR="000E180E" w:rsidRPr="00402BF5" w14:paraId="406203E2" w14:textId="77777777" w:rsidTr="000E180E">
        <w:tc>
          <w:tcPr>
            <w:tcW w:w="9016" w:type="dxa"/>
            <w:gridSpan w:val="4"/>
            <w:tcBorders>
              <w:top w:val="single" w:sz="4" w:space="0" w:color="auto"/>
              <w:left w:val="nil"/>
              <w:bottom w:val="nil"/>
              <w:right w:val="nil"/>
            </w:tcBorders>
          </w:tcPr>
          <w:p w14:paraId="631BE661" w14:textId="466ABF52" w:rsidR="000E180E" w:rsidRPr="000E180E" w:rsidRDefault="000E180E" w:rsidP="000E180E">
            <w:pPr>
              <w:pStyle w:val="CommentText"/>
              <w:spacing w:line="360" w:lineRule="auto"/>
              <w:contextualSpacing/>
              <w:rPr>
                <w:color w:val="000000"/>
                <w:sz w:val="18"/>
                <w:szCs w:val="18"/>
              </w:rPr>
            </w:pPr>
            <w:r w:rsidRPr="000E180E">
              <w:rPr>
                <w:color w:val="000000"/>
                <w:sz w:val="18"/>
                <w:szCs w:val="18"/>
              </w:rPr>
              <w:t xml:space="preserve">GIST, gastrointestinal stromal tumour; IFS, infantile fibrosarcoma; MASC, </w:t>
            </w:r>
            <w:r>
              <w:rPr>
                <w:sz w:val="18"/>
                <w:szCs w:val="18"/>
              </w:rPr>
              <w:t>m</w:t>
            </w:r>
            <w:r w:rsidRPr="000E180E">
              <w:rPr>
                <w:sz w:val="18"/>
                <w:szCs w:val="18"/>
              </w:rPr>
              <w:t>ammary analogue secretory carcinoma</w:t>
            </w:r>
            <w:r w:rsidRPr="000E180E">
              <w:rPr>
                <w:color w:val="000000"/>
                <w:sz w:val="18"/>
                <w:szCs w:val="18"/>
              </w:rPr>
              <w:t xml:space="preserve">; NSCLC, </w:t>
            </w:r>
            <w:r w:rsidRPr="000E180E">
              <w:rPr>
                <w:sz w:val="18"/>
                <w:szCs w:val="18"/>
              </w:rPr>
              <w:t>non-small cell lung cancer</w:t>
            </w:r>
          </w:p>
        </w:tc>
      </w:tr>
    </w:tbl>
    <w:p w14:paraId="60F474E4" w14:textId="5BCF5D02" w:rsidR="00E8612B" w:rsidRPr="000E180E" w:rsidRDefault="00E8612B" w:rsidP="000E180E">
      <w:pPr>
        <w:jc w:val="both"/>
        <w:rPr>
          <w:rFonts w:cs="Times New Roman"/>
        </w:rPr>
      </w:pPr>
      <w:r w:rsidRPr="002D1DD7">
        <w:t xml:space="preserve">The significance of these differences for the overall assessment of cost-effectiveness will depend on the degree of heterogeneity across separate inputs </w:t>
      </w:r>
      <w:r w:rsidR="003E4C2B">
        <w:t xml:space="preserve">relevant </w:t>
      </w:r>
      <w:r w:rsidRPr="002D1DD7">
        <w:t xml:space="preserve">to economic modelling. If the trial distribution </w:t>
      </w:r>
      <w:r w:rsidRPr="002D1DD7">
        <w:lastRenderedPageBreak/>
        <w:t>is not considered to represent the distribution expected to be seen in the population under a histology-independent license, any decision based on a single ICER estimate for the trial population will be subject to potential bias. The magnitude and direction of this bias will be difficult to determine without a more explicit assessment of heterogeneity in different sources r</w:t>
      </w:r>
      <w:r w:rsidR="00402BF5">
        <w:t>elevant to the economic model.</w:t>
      </w:r>
    </w:p>
    <w:p w14:paraId="1D353123" w14:textId="7073B179" w:rsidR="00E8612B" w:rsidRPr="002D1DD7" w:rsidRDefault="00E8612B" w:rsidP="00402BF5">
      <w:r w:rsidRPr="002D1DD7">
        <w:t xml:space="preserve">Where differences between the trial population and licenced population are considered significant, approaches should be </w:t>
      </w:r>
      <w:r w:rsidR="0090558D">
        <w:t xml:space="preserve">explored </w:t>
      </w:r>
      <w:r w:rsidRPr="002D1DD7">
        <w:t>that allow for the re</w:t>
      </w:r>
      <w:r w:rsidR="00C14FAF">
        <w:t>-</w:t>
      </w:r>
      <w:r w:rsidRPr="002D1DD7">
        <w:t>weight</w:t>
      </w:r>
      <w:r w:rsidR="0090558D">
        <w:t>ing</w:t>
      </w:r>
      <w:r w:rsidRPr="002D1DD7">
        <w:t xml:space="preserve"> of the clinical population so that the model population better reflects </w:t>
      </w:r>
      <w:r w:rsidR="00C14FAF">
        <w:t xml:space="preserve">the </w:t>
      </w:r>
      <w:r w:rsidRPr="002D1DD7">
        <w:t xml:space="preserve">treated population. </w:t>
      </w:r>
    </w:p>
    <w:p w14:paraId="1CAACB2E" w14:textId="77777777" w:rsidR="00E8612B" w:rsidRPr="002D1DD7" w:rsidRDefault="00E8612B" w:rsidP="00E8612B">
      <w:pPr>
        <w:pStyle w:val="Heading3"/>
      </w:pPr>
      <w:bookmarkStart w:id="175" w:name="_Ref27389406"/>
      <w:bookmarkStart w:id="176" w:name="_Toc33776210"/>
      <w:r w:rsidRPr="002D1DD7">
        <w:t>Unrepresented tumour types</w:t>
      </w:r>
      <w:bookmarkEnd w:id="175"/>
      <w:bookmarkEnd w:id="176"/>
    </w:p>
    <w:p w14:paraId="6D9D05DA" w14:textId="43D28DD2" w:rsidR="00E8612B" w:rsidRPr="002D1DD7" w:rsidRDefault="00E8612B" w:rsidP="00402BF5">
      <w:r w:rsidRPr="002D1DD7">
        <w:t>A further issue to consider is whether the trial evidence encompasses all of the histologies covered by marketing authorisation.</w:t>
      </w:r>
      <w:r w:rsidR="003E4C2B">
        <w:t xml:space="preserve"> If </w:t>
      </w:r>
      <w:r w:rsidRPr="002D1DD7">
        <w:t xml:space="preserve">histologies </w:t>
      </w:r>
      <w:r w:rsidR="003E4C2B">
        <w:t xml:space="preserve">exist which are </w:t>
      </w:r>
      <w:r w:rsidRPr="002D1DD7">
        <w:t xml:space="preserve">not represented in the trials </w:t>
      </w:r>
      <w:r w:rsidR="003E4C2B">
        <w:t xml:space="preserve">but are </w:t>
      </w:r>
      <w:r w:rsidRPr="002D1DD7">
        <w:t>covered under the marketing authorisation, decision</w:t>
      </w:r>
      <w:r w:rsidR="00C14FAF">
        <w:t>-</w:t>
      </w:r>
      <w:r w:rsidRPr="002D1DD7">
        <w:t xml:space="preserve">makers will only have evidence on effectiveness from the subset of the total population that is potentially eligible for the intervention. </w:t>
      </w:r>
    </w:p>
    <w:p w14:paraId="3BF66000" w14:textId="10CC9F30" w:rsidR="00E8612B" w:rsidRPr="002D1DD7" w:rsidRDefault="00E8612B" w:rsidP="00402BF5">
      <w:r w:rsidRPr="002D1DD7">
        <w:t xml:space="preserve">For example, </w:t>
      </w:r>
      <w:r w:rsidR="00C14FAF">
        <w:t xml:space="preserve">within </w:t>
      </w:r>
      <w:r w:rsidRPr="002D1DD7">
        <w:t xml:space="preserve">the clinical evidence available for </w:t>
      </w:r>
      <w:r w:rsidR="0027014C">
        <w:t xml:space="preserve">larotrectinib </w:t>
      </w:r>
      <w:r w:rsidRPr="002D1DD7">
        <w:t>(</w:t>
      </w:r>
      <w:r w:rsidR="00C974E5">
        <w:fldChar w:fldCharType="begin"/>
      </w:r>
      <w:r w:rsidR="00C974E5">
        <w:instrText xml:space="preserve"> REF _Ref15835146 </w:instrText>
      </w:r>
      <w:r w:rsidR="00C974E5">
        <w:fldChar w:fldCharType="separate"/>
      </w:r>
      <w:r w:rsidR="00C9471F" w:rsidRPr="002D1DD7">
        <w:t xml:space="preserve">Table </w:t>
      </w:r>
      <w:r w:rsidR="00C9471F">
        <w:rPr>
          <w:noProof/>
        </w:rPr>
        <w:t>11</w:t>
      </w:r>
      <w:r w:rsidR="00C974E5">
        <w:rPr>
          <w:noProof/>
        </w:rPr>
        <w:fldChar w:fldCharType="end"/>
      </w:r>
      <w:r w:rsidRPr="002D1DD7">
        <w:t>), 1</w:t>
      </w:r>
      <w:r w:rsidR="00E07C1D">
        <w:t>2</w:t>
      </w:r>
      <w:r w:rsidRPr="002D1DD7">
        <w:t xml:space="preserve"> histologies</w:t>
      </w:r>
      <w:r w:rsidR="00E07C1D">
        <w:t xml:space="preserve"> were included</w:t>
      </w:r>
      <w:r w:rsidRPr="002D1DD7">
        <w:t>. However, it is know</w:t>
      </w:r>
      <w:r w:rsidR="0090558D">
        <w:t>n</w:t>
      </w:r>
      <w:r w:rsidRPr="002D1DD7">
        <w:t xml:space="preserve"> that upwards of a further 17 histologies have been shown to harbour NTRK fusions and will be covered by the anticipated marketing authorisation</w:t>
      </w:r>
      <w:r w:rsidR="00C14FAF">
        <w:t>;</w:t>
      </w:r>
      <w:r w:rsidRPr="002D1DD7">
        <w:t xml:space="preserve"> </w:t>
      </w:r>
      <w:r w:rsidR="00C14FAF">
        <w:t xml:space="preserve">hence, </w:t>
      </w:r>
      <w:r w:rsidRPr="002D1DD7">
        <w:t>this total could be even higher.</w:t>
      </w:r>
      <w:r w:rsidR="006B1C6D">
        <w:fldChar w:fldCharType="begin"/>
      </w:r>
      <w:r w:rsidR="004D5B2B">
        <w:instrText xml:space="preserve"> ADDIN EN.CITE &lt;EndNote&gt;&lt;Cite&gt;&lt;Author&gt;Hsiao&lt;/Author&gt;&lt;Year&gt;2019&lt;/Year&gt;&lt;RecNum&gt;3479&lt;/RecNum&gt;&lt;DisplayText&gt;&lt;style face="superscript"&gt;161&lt;/style&gt;&lt;/DisplayText&gt;&lt;record&gt;&lt;rec-number&gt;3479&lt;/rec-number&gt;&lt;foreign-keys&gt;&lt;key app="EN" db-id="dwaevxvazfs2f3ewvzmxrd0k0wasw55p2z2w" timestamp="1579606097"&gt;3479&lt;/key&gt;&lt;/foreign-keys&gt;&lt;ref-type name="Journal Article"&gt;17&lt;/ref-type&gt;&lt;contributors&gt;&lt;authors&gt;&lt;author&gt;Hsiao, S. J.&lt;/author&gt;&lt;author&gt;Zehir, A.&lt;/author&gt;&lt;author&gt;Sireci, A. N.&lt;/author&gt;&lt;author&gt;Aisner, D. L.&lt;/author&gt;&lt;/authors&gt;&lt;/contributors&gt;&lt;auth-address&gt;Department of Pathology and Cell Biology, Columbia University Medical Center, New York, New York.&amp;#xD;Department of Pathology, Memorial Sloan Kettering Cancer Center, New York, New York.&amp;#xD;Department of Medical Affairs, Loxo Oncology, Inc., Stamford, Connecticut.&amp;#xD;Department of Pathology, University of Colorado, Aurora, Colorado. Electronic address: dara.aisner@ucdenver.edu.&lt;/auth-address&gt;&lt;titles&gt;&lt;title&gt;Detection of tumor NTRK gene fusions to identify patients who may benefit from tyrosine kinase (TRK) inhibitor therapy&lt;/title&gt;&lt;secondary-title&gt;J Mol Diagn&lt;/secondary-title&gt;&lt;/titles&gt;&lt;pages&gt;553-571&lt;/pages&gt;&lt;volume&gt;21&lt;/volume&gt;&lt;number&gt;4&lt;/number&gt;&lt;edition&gt;2019/05/11&lt;/edition&gt;&lt;dates&gt;&lt;year&gt;2019&lt;/year&gt;&lt;pub-dates&gt;&lt;date&gt;Jul&lt;/date&gt;&lt;/pub-dates&gt;&lt;/dates&gt;&lt;isbn&gt;1943-7811 (Electronic)&amp;#xD;1525-1578 (Linking)&lt;/isbn&gt;&lt;accession-num&gt;31075511&lt;/accession-num&gt;&lt;urls&gt;&lt;/urls&gt;&lt;custom4&gt;STEVE&amp;apos;S REFERENCES&lt;/custom4&gt;&lt;electronic-resource-num&gt;S1525-1578(18)30595-6 [pii]&amp;#xD;10.1016/j.jmoldx.2019.03.008&lt;/electronic-resource-num&gt;&lt;research-notes&gt;https://www.ncbi.nlm.nih.gov/pubmed/31075511&lt;/research-notes&gt;&lt;language&gt;eng&lt;/language&gt;&lt;/record&gt;&lt;/Cite&gt;&lt;/EndNote&gt;</w:instrText>
      </w:r>
      <w:r w:rsidR="006B1C6D">
        <w:fldChar w:fldCharType="separate"/>
      </w:r>
      <w:r w:rsidR="004D5B2B" w:rsidRPr="004D5B2B">
        <w:rPr>
          <w:noProof/>
          <w:vertAlign w:val="superscript"/>
        </w:rPr>
        <w:t>161</w:t>
      </w:r>
      <w:r w:rsidR="006B1C6D">
        <w:fldChar w:fldCharType="end"/>
      </w:r>
      <w:r w:rsidRPr="002D1DD7">
        <w:t xml:space="preserve"> Any decisions made on the evidence alone, would therefore be implicitly assuming that the 1</w:t>
      </w:r>
      <w:r w:rsidR="004A4474">
        <w:t>2</w:t>
      </w:r>
      <w:r w:rsidRPr="002D1DD7">
        <w:t xml:space="preserve"> included types are representative of the full population.  </w:t>
      </w:r>
    </w:p>
    <w:p w14:paraId="700EC265" w14:textId="5992406F" w:rsidR="00E8612B" w:rsidRPr="002D1DD7" w:rsidRDefault="00E8612B" w:rsidP="00402BF5">
      <w:r w:rsidRPr="002D1DD7">
        <w:t xml:space="preserve">The impact of the unrepresented population is potentially </w:t>
      </w:r>
      <w:r w:rsidR="004E1767" w:rsidRPr="002D1DD7">
        <w:t>significant</w:t>
      </w:r>
      <w:r w:rsidRPr="002D1DD7">
        <w:t xml:space="preserve"> and its importance will depend upon the number of unrepresented histologies and the proportion of the eligible population </w:t>
      </w:r>
      <w:r w:rsidR="004A4474">
        <w:t xml:space="preserve">in unrepresented histologies </w:t>
      </w:r>
      <w:r w:rsidRPr="002D1DD7">
        <w:t xml:space="preserve">relative to the observed </w:t>
      </w:r>
      <w:r w:rsidR="004A4474">
        <w:t>histologies</w:t>
      </w:r>
      <w:r w:rsidRPr="002D1DD7">
        <w:t xml:space="preserve"> It is also important to consider unrepresented tumour</w:t>
      </w:r>
      <w:r w:rsidR="00F46E8E">
        <w:t>s</w:t>
      </w:r>
      <w:r w:rsidRPr="002D1DD7">
        <w:t xml:space="preserve"> where there is significant uncertainty regarding the homogeneity of clinical benefits or significant heterogeneity in costs across tumour types. For example, where there is limited support for the assumption of homogenous efficacy across histologies</w:t>
      </w:r>
      <w:r w:rsidR="00C14FAF">
        <w:t>,</w:t>
      </w:r>
      <w:r w:rsidRPr="002D1DD7">
        <w:t xml:space="preserve"> it may be important to characterise the uncertainty in the efficacy within the unobserved population. Equally there is significant evidence of variability of testing costs across tumour type</w:t>
      </w:r>
      <w:r w:rsidR="00722078">
        <w:t>s</w:t>
      </w:r>
      <w:r w:rsidRPr="002D1DD7">
        <w:t xml:space="preserve"> and therefore ignoring unrepresented tumour may impact significant on average testing costs. </w:t>
      </w:r>
    </w:p>
    <w:p w14:paraId="01449CE6" w14:textId="77777777" w:rsidR="00E8612B" w:rsidRPr="002D1DD7" w:rsidRDefault="00E8612B" w:rsidP="00E8612B">
      <w:pPr>
        <w:pStyle w:val="Heading3"/>
      </w:pPr>
      <w:bookmarkStart w:id="177" w:name="_Ref27391919"/>
      <w:bookmarkStart w:id="178" w:name="_Toc33776211"/>
      <w:r w:rsidRPr="002D1DD7">
        <w:t>Position in treatment pathway</w:t>
      </w:r>
      <w:bookmarkEnd w:id="177"/>
      <w:bookmarkEnd w:id="178"/>
    </w:p>
    <w:p w14:paraId="4043CEF0" w14:textId="1B982147" w:rsidR="00E8612B" w:rsidRPr="002D1DD7" w:rsidRDefault="00E8612B" w:rsidP="00403422">
      <w:r w:rsidRPr="002D1DD7">
        <w:t>A further potential limitation regarding the generalisability of available clinical evidence relates to the position in the pathway in which patients are treated. This is complicated in part because the position in the pathway may vary substantively across tumour types according to the availability of alternative treatments, but also because of the potential for a mismatch between</w:t>
      </w:r>
      <w:r w:rsidR="000A46AE" w:rsidRPr="002D1DD7">
        <w:t xml:space="preserve"> the</w:t>
      </w:r>
      <w:r w:rsidRPr="002D1DD7">
        <w:t xml:space="preserve"> trial population and the eligible population as dictated by the marketing authorisation. The latter may be a significant issue, as the recruitment of patients to a </w:t>
      </w:r>
      <w:r w:rsidR="00555827">
        <w:t>histology-independent</w:t>
      </w:r>
      <w:r w:rsidRPr="002D1DD7">
        <w:t xml:space="preserve"> trial is necessarily more complicated and there </w:t>
      </w:r>
      <w:r w:rsidRPr="002D1DD7">
        <w:lastRenderedPageBreak/>
        <w:t xml:space="preserve">are potential significant challenges to identifying patients due to the relative rarity of target genetic mutations. Thus, as observed in the entrectinib and larotrectinib clinical data, patients were recruited across multiple lines of therapy even within the same tumour </w:t>
      </w:r>
      <w:r w:rsidR="000D7FC4">
        <w:t>type</w:t>
      </w:r>
      <w:r w:rsidRPr="002D1DD7">
        <w:t xml:space="preserve">. </w:t>
      </w:r>
    </w:p>
    <w:p w14:paraId="721CA96D" w14:textId="61AD0FC8" w:rsidR="00E8612B" w:rsidRPr="002D1DD7" w:rsidRDefault="00E8612B" w:rsidP="00403422">
      <w:r w:rsidRPr="002D1DD7">
        <w:t xml:space="preserve">This heterogeneity generates a number of issues, not least with respect to the external validity of the trial. Line of therapy may be a significant prognostic factor and failure to adjust for this may impact significantly </w:t>
      </w:r>
      <w:r w:rsidR="000F659B">
        <w:t xml:space="preserve">on </w:t>
      </w:r>
      <w:r w:rsidRPr="002D1DD7">
        <w:t xml:space="preserve">estimates of relative effectiveness, particular if the comparator population is not matched to the position patients were treated in the treatment arm. This issue may also impact </w:t>
      </w:r>
      <w:r w:rsidR="009303C0">
        <w:t>i</w:t>
      </w:r>
      <w:r w:rsidRPr="002D1DD7">
        <w:t>n other ways</w:t>
      </w:r>
      <w:r w:rsidR="009303C0">
        <w:t>,</w:t>
      </w:r>
      <w:r w:rsidRPr="002D1DD7">
        <w:t xml:space="preserve"> including upon the final distribution of patients eligible for treatment, because fewer patients will be eligible for treatment in second and subsequent lines of therapy. Further, it may have implications for testing, either impacting on the total costs of testing or the population that will be eligible for testing</w:t>
      </w:r>
      <w:r w:rsidR="000A46AE" w:rsidRPr="002D1DD7">
        <w:t>.</w:t>
      </w:r>
    </w:p>
    <w:p w14:paraId="509CA512" w14:textId="71AC30B9" w:rsidR="00E8612B" w:rsidRPr="002D1DD7" w:rsidRDefault="00E8612B" w:rsidP="00E8612B">
      <w:pPr>
        <w:pStyle w:val="Heading3"/>
      </w:pPr>
      <w:bookmarkStart w:id="179" w:name="_Toc33776212"/>
      <w:bookmarkStart w:id="180" w:name="_Ref32853541"/>
      <w:r w:rsidRPr="002D1DD7">
        <w:t>Example</w:t>
      </w:r>
      <w:bookmarkEnd w:id="179"/>
      <w:r w:rsidRPr="002D1DD7">
        <w:t xml:space="preserve"> </w:t>
      </w:r>
      <w:bookmarkEnd w:id="180"/>
    </w:p>
    <w:p w14:paraId="247581BA" w14:textId="037F2600" w:rsidR="00E8612B" w:rsidRPr="002D1DD7" w:rsidRDefault="00E8612B" w:rsidP="00403422">
      <w:r w:rsidRPr="002D1DD7">
        <w:t xml:space="preserve">The example considers the </w:t>
      </w:r>
      <w:r w:rsidR="009303C0">
        <w:t>T</w:t>
      </w:r>
      <w:r w:rsidR="00443742">
        <w:t>rk-</w:t>
      </w:r>
      <w:r w:rsidRPr="002D1DD7">
        <w:t xml:space="preserve">inhibitor, </w:t>
      </w:r>
      <w:r w:rsidR="004E1767">
        <w:t>l</w:t>
      </w:r>
      <w:r w:rsidRPr="002D1DD7">
        <w:t>arotrectinib</w:t>
      </w:r>
      <w:r w:rsidR="00C3526F">
        <w:t xml:space="preserve">, used for the treatment of solid tumours harbouring an NTRK gene fusion, </w:t>
      </w:r>
      <w:r w:rsidRPr="002D1DD7">
        <w:t xml:space="preserve">and the proportion of tumour types presented in the clinical evidence, as outlined in </w:t>
      </w:r>
      <w:r w:rsidR="004F07FE">
        <w:t xml:space="preserve">Section </w:t>
      </w:r>
      <w:r w:rsidR="00C974E5">
        <w:fldChar w:fldCharType="begin"/>
      </w:r>
      <w:r w:rsidR="00C974E5">
        <w:instrText xml:space="preserve"> REF _Ref27559353 \w </w:instrText>
      </w:r>
      <w:r w:rsidR="00C974E5">
        <w:fldChar w:fldCharType="separate"/>
      </w:r>
      <w:r w:rsidR="00C663A2">
        <w:t>6.1.1</w:t>
      </w:r>
      <w:r w:rsidR="00C974E5">
        <w:fldChar w:fldCharType="end"/>
      </w:r>
      <w:r w:rsidRPr="002D1DD7">
        <w:t>.</w:t>
      </w:r>
    </w:p>
    <w:p w14:paraId="4AFE7C69" w14:textId="663A245D" w:rsidR="00E8612B" w:rsidRDefault="00E8612B">
      <w:pPr>
        <w:rPr>
          <w:rFonts w:cs="Times New Roman"/>
        </w:rPr>
      </w:pPr>
      <w:r w:rsidRPr="002D1DD7">
        <w:rPr>
          <w:rFonts w:cs="Times New Roman"/>
        </w:rPr>
        <w:t xml:space="preserve">First, in order to quantify the size of the population to benefit from </w:t>
      </w:r>
      <w:r w:rsidR="009303C0">
        <w:rPr>
          <w:rFonts w:cs="Times New Roman"/>
        </w:rPr>
        <w:t>T</w:t>
      </w:r>
      <w:r w:rsidR="00443742">
        <w:rPr>
          <w:rFonts w:cs="Times New Roman"/>
        </w:rPr>
        <w:t>rk</w:t>
      </w:r>
      <w:r w:rsidRPr="002D1DD7">
        <w:rPr>
          <w:rFonts w:cs="Times New Roman"/>
        </w:rPr>
        <w:t xml:space="preserve">-inhibitors, the total number of patients eligible each year was calculated. This was estimated by using the tumour-specific NTRK fusion prevalence, cancer incidence and proportion of patients with advanced or metastatic disease. </w:t>
      </w:r>
    </w:p>
    <w:p w14:paraId="301E9E4B" w14:textId="15E83468" w:rsidR="00403422" w:rsidRPr="00403422" w:rsidRDefault="00C974E5">
      <w:pPr>
        <w:rPr>
          <w:rFonts w:cs="Times New Roman"/>
          <w:sz w:val="20"/>
        </w:rPr>
      </w:pPr>
      <m:oMathPara>
        <m:oMath>
          <m:eqArr>
            <m:eqArrPr>
              <m:maxDist m:val="1"/>
              <m:ctrlPr>
                <w:rPr>
                  <w:rFonts w:ascii="Cambria Math" w:hAnsi="Cambria Math" w:cs="Times New Roman"/>
                  <w:i/>
                  <w:sz w:val="20"/>
                </w:rPr>
              </m:ctrlPr>
            </m:eqArrPr>
            <m:e>
              <m:r>
                <w:rPr>
                  <w:rFonts w:ascii="Cambria Math" w:hAnsi="Cambria Math" w:cs="Times New Roman"/>
                  <w:sz w:val="20"/>
                </w:rPr>
                <m:t>Annual</m:t>
              </m:r>
              <m:r>
                <w:rPr>
                  <w:rFonts w:ascii="Cambria Math" w:hAnsi="Cambria Math" w:cs="Times New Roman"/>
                  <w:sz w:val="20"/>
                </w:rPr>
                <m:t xml:space="preserve"> </m:t>
              </m:r>
              <m:r>
                <w:rPr>
                  <w:rFonts w:ascii="Cambria Math" w:hAnsi="Cambria Math" w:cs="Times New Roman"/>
                  <w:sz w:val="20"/>
                </w:rPr>
                <m:t>Eligible</m:t>
              </m:r>
              <m:r>
                <w:rPr>
                  <w:rFonts w:ascii="Cambria Math" w:hAnsi="Cambria Math" w:cs="Times New Roman"/>
                  <w:sz w:val="20"/>
                </w:rPr>
                <m:t xml:space="preserve"> </m:t>
              </m:r>
              <m:r>
                <w:rPr>
                  <w:rFonts w:ascii="Cambria Math" w:hAnsi="Cambria Math" w:cs="Times New Roman"/>
                  <w:sz w:val="20"/>
                </w:rPr>
                <m:t>Population</m:t>
              </m:r>
              <m:r>
                <w:rPr>
                  <w:rFonts w:ascii="Cambria Math" w:hAnsi="Cambria Math" w:cs="Times New Roman"/>
                  <w:sz w:val="20"/>
                </w:rPr>
                <m:t>=</m:t>
              </m:r>
              <m:r>
                <w:rPr>
                  <w:rFonts w:ascii="Cambria Math" w:hAnsi="Cambria Math" w:cs="Times New Roman"/>
                  <w:sz w:val="20"/>
                </w:rPr>
                <m:t>NTRK</m:t>
              </m:r>
              <m:r>
                <w:rPr>
                  <w:rFonts w:ascii="Cambria Math" w:hAnsi="Cambria Math" w:cs="Times New Roman"/>
                  <w:sz w:val="20"/>
                </w:rPr>
                <m:t xml:space="preserve"> </m:t>
              </m:r>
              <m:r>
                <w:rPr>
                  <w:rFonts w:ascii="Cambria Math" w:hAnsi="Cambria Math" w:cs="Times New Roman"/>
                  <w:sz w:val="20"/>
                </w:rPr>
                <m:t>prevalence</m:t>
              </m:r>
              <m:r>
                <w:rPr>
                  <w:rFonts w:ascii="Cambria Math" w:hAnsi="Cambria Math" w:cs="Times New Roman"/>
                  <w:sz w:val="20"/>
                </w:rPr>
                <m:t>×</m:t>
              </m:r>
              <m:r>
                <w:rPr>
                  <w:rFonts w:ascii="Cambria Math" w:hAnsi="Cambria Math" w:cs="Times New Roman"/>
                  <w:sz w:val="20"/>
                </w:rPr>
                <m:t>Canc</m:t>
              </m:r>
              <m:r>
                <w:rPr>
                  <w:rFonts w:ascii="Cambria Math" w:hAnsi="Cambria Math" w:cs="Times New Roman"/>
                  <w:sz w:val="20"/>
                </w:rPr>
                <m:t>er</m:t>
              </m:r>
              <m:r>
                <w:rPr>
                  <w:rFonts w:ascii="Cambria Math" w:hAnsi="Cambria Math" w:cs="Times New Roman"/>
                  <w:sz w:val="20"/>
                </w:rPr>
                <m:t xml:space="preserve"> </m:t>
              </m:r>
              <m:r>
                <w:rPr>
                  <w:rFonts w:ascii="Cambria Math" w:hAnsi="Cambria Math" w:cs="Times New Roman"/>
                  <w:sz w:val="20"/>
                </w:rPr>
                <m:t>Incidence</m:t>
              </m:r>
              <m:r>
                <w:rPr>
                  <w:rFonts w:ascii="Cambria Math" w:hAnsi="Cambria Math" w:cs="Times New Roman"/>
                  <w:sz w:val="20"/>
                </w:rPr>
                <m:t>×</m:t>
              </m:r>
              <m:f>
                <m:fPr>
                  <m:ctrlPr>
                    <w:rPr>
                      <w:rFonts w:ascii="Cambria Math" w:hAnsi="Cambria Math" w:cs="Times New Roman"/>
                      <w:i/>
                      <w:sz w:val="20"/>
                    </w:rPr>
                  </m:ctrlPr>
                </m:fPr>
                <m:num>
                  <m:r>
                    <w:rPr>
                      <w:rFonts w:ascii="Cambria Math" w:hAnsi="Cambria Math" w:cs="Times New Roman"/>
                      <w:sz w:val="20"/>
                    </w:rPr>
                    <m:t>Advanced</m:t>
                  </m:r>
                </m:num>
                <m:den>
                  <m:r>
                    <w:rPr>
                      <w:rFonts w:ascii="Cambria Math" w:hAnsi="Cambria Math" w:cs="Times New Roman"/>
                      <w:sz w:val="20"/>
                    </w:rPr>
                    <m:t>Metastatic</m:t>
                  </m:r>
                </m:den>
              </m:f>
              <m:r>
                <w:rPr>
                  <w:rFonts w:ascii="Cambria Math" w:hAnsi="Cambria Math" w:cs="Times New Roman"/>
                  <w:sz w:val="20"/>
                </w:rPr>
                <m:t>Disease</m:t>
              </m:r>
              <m:r>
                <w:rPr>
                  <w:rFonts w:ascii="Cambria Math" w:hAnsi="Cambria Math" w:cs="Times New Roman"/>
                  <w:sz w:val="20"/>
                </w:rPr>
                <m:t xml:space="preserve"> #</m:t>
              </m:r>
              <m:d>
                <m:dPr>
                  <m:ctrlPr>
                    <w:rPr>
                      <w:rFonts w:ascii="Cambria Math" w:hAnsi="Cambria Math" w:cs="Times New Roman"/>
                      <w:i/>
                      <w:sz w:val="20"/>
                    </w:rPr>
                  </m:ctrlPr>
                </m:dPr>
                <m:e>
                  <m:r>
                    <w:rPr>
                      <w:rFonts w:ascii="Cambria Math" w:hAnsi="Cambria Math" w:cs="Times New Roman"/>
                      <w:sz w:val="20"/>
                    </w:rPr>
                    <m:t>4</m:t>
                  </m:r>
                </m:e>
              </m:d>
            </m:e>
          </m:eqArr>
        </m:oMath>
      </m:oMathPara>
    </w:p>
    <w:p w14:paraId="48F499B5" w14:textId="77777777" w:rsidR="00722078" w:rsidRDefault="00E8612B" w:rsidP="00403422">
      <w:r w:rsidRPr="002D1DD7">
        <w:t xml:space="preserve">The full method of calculating the annual eligible population is described in </w:t>
      </w:r>
      <w:r w:rsidRPr="00555827">
        <w:t xml:space="preserve">Appendix </w:t>
      </w:r>
      <w:r w:rsidR="007278C1" w:rsidRPr="002D1DD7">
        <w:t>1</w:t>
      </w:r>
      <w:r w:rsidR="00C9471F">
        <w:t>2</w:t>
      </w:r>
      <w:r w:rsidRPr="002D1DD7">
        <w:t xml:space="preserve">. </w:t>
      </w:r>
    </w:p>
    <w:p w14:paraId="78A9A241" w14:textId="3FE17FE7" w:rsidR="00E8612B" w:rsidRPr="002D1DD7" w:rsidRDefault="00E8612B" w:rsidP="00403422">
      <w:r w:rsidRPr="002D1DD7">
        <w:fldChar w:fldCharType="begin"/>
      </w:r>
      <w:r w:rsidRPr="002D1DD7">
        <w:instrText xml:space="preserve"> REF _Ref26430570 \h  \* MERGEFORMAT </w:instrText>
      </w:r>
      <w:r w:rsidRPr="002D1DD7">
        <w:fldChar w:fldCharType="separate"/>
      </w:r>
      <w:r w:rsidR="00C9471F" w:rsidRPr="002D1DD7">
        <w:t xml:space="preserve">Table </w:t>
      </w:r>
      <w:r w:rsidR="00C9471F">
        <w:t>15</w:t>
      </w:r>
      <w:r w:rsidRPr="002D1DD7">
        <w:fldChar w:fldCharType="end"/>
      </w:r>
      <w:r w:rsidRPr="002D1DD7">
        <w:t xml:space="preserve"> presents the calculations of the annual eligible population for </w:t>
      </w:r>
      <w:r w:rsidR="00443742">
        <w:t>Trk</w:t>
      </w:r>
      <w:r w:rsidRPr="002D1DD7">
        <w:t xml:space="preserve">-inhibitors, based on the tumour types represented in the larotrectinib trial. The prevalence of NTRK fusion varies across tumour types, ranging from 92.2% (MASC) to 0.07% (Breast Cancer). Paediatric patients with infantile fibrosarcoma, a tumour type with a high NTRK fusion prevalence make up the largest proportion of the eligible population (n = 27). </w:t>
      </w:r>
      <w:r w:rsidR="004E1767">
        <w:t>Despite</w:t>
      </w:r>
      <w:r w:rsidRPr="002D1DD7">
        <w:t xml:space="preserve"> its low NTRK fusion prevalence, patients with colorectal cancer contribute a substantial proportion of the eligible population (n = 23). </w:t>
      </w:r>
    </w:p>
    <w:p w14:paraId="26BEEE11" w14:textId="307FE8CE" w:rsidR="00722078" w:rsidRDefault="00722078" w:rsidP="00403422">
      <w:pPr>
        <w:pStyle w:val="Caption"/>
      </w:pPr>
      <w:bookmarkStart w:id="181" w:name="_Ref26430570"/>
    </w:p>
    <w:p w14:paraId="3612E600" w14:textId="77777777" w:rsidR="00722078" w:rsidRPr="00722078" w:rsidRDefault="00722078" w:rsidP="00722078"/>
    <w:p w14:paraId="29A816D0" w14:textId="77777777" w:rsidR="00722078" w:rsidRDefault="00722078" w:rsidP="00403422">
      <w:pPr>
        <w:pStyle w:val="Caption"/>
      </w:pPr>
    </w:p>
    <w:p w14:paraId="1EC27D4B" w14:textId="05BFC9A9" w:rsidR="00E8612B" w:rsidRPr="002D1DD7" w:rsidRDefault="00E8612B" w:rsidP="00403422">
      <w:pPr>
        <w:pStyle w:val="Caption"/>
      </w:pPr>
      <w:bookmarkStart w:id="182" w:name="_Toc34033529"/>
      <w:r w:rsidRPr="002D1DD7">
        <w:t xml:space="preserve">Table </w:t>
      </w:r>
      <w:r w:rsidR="00C974E5">
        <w:fldChar w:fldCharType="begin"/>
      </w:r>
      <w:r w:rsidR="00C974E5">
        <w:instrText xml:space="preserve"> SEQ Table \* ARABIC </w:instrText>
      </w:r>
      <w:r w:rsidR="00C974E5">
        <w:fldChar w:fldCharType="separate"/>
      </w:r>
      <w:r w:rsidR="00C9471F">
        <w:rPr>
          <w:noProof/>
        </w:rPr>
        <w:t>15</w:t>
      </w:r>
      <w:r w:rsidR="00C974E5">
        <w:rPr>
          <w:noProof/>
        </w:rPr>
        <w:fldChar w:fldCharType="end"/>
      </w:r>
      <w:bookmarkEnd w:id="181"/>
      <w:r w:rsidRPr="002D1DD7">
        <w:t>: Calculation of the Annual Eligible Population for Trk-inhibitors</w:t>
      </w:r>
      <w:bookmarkEnd w:id="182"/>
    </w:p>
    <w:tbl>
      <w:tblPr>
        <w:tblStyle w:val="TableGrid"/>
        <w:tblW w:w="5000" w:type="pct"/>
        <w:jc w:val="center"/>
        <w:tblLook w:val="04A0" w:firstRow="1" w:lastRow="0" w:firstColumn="1" w:lastColumn="0" w:noHBand="0" w:noVBand="1"/>
      </w:tblPr>
      <w:tblGrid>
        <w:gridCol w:w="2394"/>
        <w:gridCol w:w="1468"/>
        <w:gridCol w:w="1544"/>
        <w:gridCol w:w="1625"/>
        <w:gridCol w:w="1985"/>
      </w:tblGrid>
      <w:tr w:rsidR="00E8612B" w:rsidRPr="00403422" w14:paraId="4CE9B02E" w14:textId="77777777" w:rsidTr="00D977B6">
        <w:trPr>
          <w:trHeight w:val="1011"/>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264D6C75" w14:textId="77777777" w:rsidR="00E8612B" w:rsidRPr="00403422" w:rsidRDefault="00E8612B" w:rsidP="00403422">
            <w:pPr>
              <w:contextualSpacing/>
              <w:jc w:val="center"/>
              <w:rPr>
                <w:rFonts w:eastAsia="Times New Roman" w:cs="Times New Roman"/>
                <w:b/>
                <w:bCs/>
                <w:sz w:val="20"/>
                <w:szCs w:val="20"/>
                <w:lang w:eastAsia="en-GB"/>
              </w:rPr>
            </w:pPr>
            <w:r w:rsidRPr="00403422">
              <w:rPr>
                <w:rFonts w:eastAsia="Times New Roman" w:cs="Times New Roman"/>
                <w:b/>
                <w:bCs/>
                <w:sz w:val="20"/>
                <w:szCs w:val="20"/>
                <w:lang w:eastAsia="en-GB"/>
              </w:rPr>
              <w:t>Tumour Type</w:t>
            </w:r>
          </w:p>
        </w:tc>
        <w:tc>
          <w:tcPr>
            <w:tcW w:w="814" w:type="pct"/>
            <w:tcBorders>
              <w:top w:val="single" w:sz="4" w:space="0" w:color="auto"/>
              <w:left w:val="single" w:sz="4" w:space="0" w:color="auto"/>
              <w:bottom w:val="single" w:sz="4" w:space="0" w:color="auto"/>
              <w:right w:val="nil"/>
            </w:tcBorders>
            <w:vAlign w:val="center"/>
            <w:hideMark/>
          </w:tcPr>
          <w:p w14:paraId="03467F8D" w14:textId="77777777" w:rsidR="00E8612B" w:rsidRPr="00403422" w:rsidRDefault="00E8612B" w:rsidP="00403422">
            <w:pPr>
              <w:contextualSpacing/>
              <w:jc w:val="center"/>
              <w:rPr>
                <w:rFonts w:eastAsia="Times New Roman" w:cs="Times New Roman"/>
                <w:b/>
                <w:bCs/>
                <w:sz w:val="20"/>
                <w:szCs w:val="20"/>
                <w:lang w:eastAsia="en-GB"/>
              </w:rPr>
            </w:pPr>
            <w:r w:rsidRPr="00403422">
              <w:rPr>
                <w:rFonts w:eastAsia="Times New Roman" w:cs="Times New Roman"/>
                <w:b/>
                <w:bCs/>
                <w:sz w:val="20"/>
                <w:szCs w:val="20"/>
                <w:lang w:eastAsia="en-GB"/>
              </w:rPr>
              <w:t>Prevalence of NTRK fusion</w:t>
            </w:r>
          </w:p>
        </w:tc>
        <w:tc>
          <w:tcPr>
            <w:tcW w:w="856" w:type="pct"/>
            <w:tcBorders>
              <w:top w:val="single" w:sz="4" w:space="0" w:color="auto"/>
              <w:left w:val="nil"/>
              <w:bottom w:val="single" w:sz="4" w:space="0" w:color="auto"/>
              <w:right w:val="nil"/>
            </w:tcBorders>
            <w:vAlign w:val="center"/>
            <w:hideMark/>
          </w:tcPr>
          <w:p w14:paraId="4297FCCB" w14:textId="7D204F27" w:rsidR="00E8612B" w:rsidRPr="00403422" w:rsidRDefault="00E8612B" w:rsidP="00403422">
            <w:pPr>
              <w:contextualSpacing/>
              <w:jc w:val="center"/>
              <w:rPr>
                <w:rFonts w:eastAsia="Times New Roman" w:cs="Times New Roman"/>
                <w:b/>
                <w:bCs/>
                <w:sz w:val="20"/>
                <w:szCs w:val="20"/>
                <w:lang w:eastAsia="en-GB"/>
              </w:rPr>
            </w:pPr>
            <w:r w:rsidRPr="00403422">
              <w:rPr>
                <w:rFonts w:eastAsia="Times New Roman" w:cs="Times New Roman"/>
                <w:b/>
                <w:bCs/>
                <w:sz w:val="20"/>
                <w:szCs w:val="20"/>
                <w:lang w:eastAsia="en-GB"/>
              </w:rPr>
              <w:t xml:space="preserve">Cancer </w:t>
            </w:r>
            <w:r w:rsidR="005E7045" w:rsidRPr="00403422">
              <w:rPr>
                <w:rFonts w:eastAsia="Times New Roman" w:cs="Times New Roman"/>
                <w:b/>
                <w:bCs/>
                <w:sz w:val="20"/>
                <w:szCs w:val="20"/>
                <w:lang w:eastAsia="en-GB"/>
              </w:rPr>
              <w:t>i</w:t>
            </w:r>
            <w:r w:rsidRPr="00403422">
              <w:rPr>
                <w:rFonts w:eastAsia="Times New Roman" w:cs="Times New Roman"/>
                <w:b/>
                <w:bCs/>
                <w:sz w:val="20"/>
                <w:szCs w:val="20"/>
                <w:lang w:eastAsia="en-GB"/>
              </w:rPr>
              <w:t>ncidence (England)</w:t>
            </w:r>
          </w:p>
        </w:tc>
        <w:tc>
          <w:tcPr>
            <w:tcW w:w="901" w:type="pct"/>
            <w:tcBorders>
              <w:top w:val="single" w:sz="4" w:space="0" w:color="auto"/>
              <w:left w:val="nil"/>
              <w:bottom w:val="single" w:sz="4" w:space="0" w:color="auto"/>
              <w:right w:val="nil"/>
            </w:tcBorders>
            <w:vAlign w:val="center"/>
            <w:hideMark/>
          </w:tcPr>
          <w:p w14:paraId="5BC9D6E8" w14:textId="3974AAD5" w:rsidR="00E8612B" w:rsidRPr="00403422" w:rsidRDefault="00E8612B" w:rsidP="00403422">
            <w:pPr>
              <w:contextualSpacing/>
              <w:jc w:val="center"/>
              <w:rPr>
                <w:rFonts w:eastAsia="Times New Roman" w:cs="Times New Roman"/>
                <w:b/>
                <w:bCs/>
                <w:sz w:val="20"/>
                <w:szCs w:val="20"/>
                <w:lang w:eastAsia="en-GB"/>
              </w:rPr>
            </w:pPr>
            <w:r w:rsidRPr="00403422">
              <w:rPr>
                <w:rFonts w:eastAsia="Times New Roman" w:cs="Times New Roman"/>
                <w:b/>
                <w:bCs/>
                <w:sz w:val="20"/>
                <w:szCs w:val="20"/>
                <w:lang w:eastAsia="en-GB"/>
              </w:rPr>
              <w:t xml:space="preserve">% with </w:t>
            </w:r>
            <w:r w:rsidR="005E7045" w:rsidRPr="00403422">
              <w:rPr>
                <w:rFonts w:eastAsia="Times New Roman" w:cs="Times New Roman"/>
                <w:b/>
                <w:bCs/>
                <w:sz w:val="20"/>
                <w:szCs w:val="20"/>
                <w:lang w:eastAsia="en-GB"/>
              </w:rPr>
              <w:t>s</w:t>
            </w:r>
            <w:r w:rsidRPr="00403422">
              <w:rPr>
                <w:rFonts w:eastAsia="Times New Roman" w:cs="Times New Roman"/>
                <w:b/>
                <w:bCs/>
                <w:sz w:val="20"/>
                <w:szCs w:val="20"/>
                <w:lang w:eastAsia="en-GB"/>
              </w:rPr>
              <w:t xml:space="preserve">tage III/IV </w:t>
            </w:r>
            <w:r w:rsidR="005E7045" w:rsidRPr="00403422">
              <w:rPr>
                <w:rFonts w:eastAsia="Times New Roman" w:cs="Times New Roman"/>
                <w:b/>
                <w:bCs/>
                <w:sz w:val="20"/>
                <w:szCs w:val="20"/>
                <w:lang w:eastAsia="en-GB"/>
              </w:rPr>
              <w:t>c</w:t>
            </w:r>
            <w:r w:rsidRPr="00403422">
              <w:rPr>
                <w:rFonts w:eastAsia="Times New Roman" w:cs="Times New Roman"/>
                <w:b/>
                <w:bCs/>
                <w:sz w:val="20"/>
                <w:szCs w:val="20"/>
                <w:lang w:eastAsia="en-GB"/>
              </w:rPr>
              <w:t>ancer</w:t>
            </w:r>
            <w:r w:rsidR="005E7045" w:rsidRPr="00403422">
              <w:rPr>
                <w:rFonts w:eastAsia="Times New Roman" w:cs="Times New Roman"/>
                <w:b/>
                <w:bCs/>
                <w:sz w:val="20"/>
                <w:szCs w:val="20"/>
                <w:lang w:eastAsia="en-GB"/>
              </w:rPr>
              <w:t xml:space="preserve"> at diagnosis</w:t>
            </w:r>
          </w:p>
        </w:tc>
        <w:tc>
          <w:tcPr>
            <w:tcW w:w="1100" w:type="pct"/>
            <w:tcBorders>
              <w:top w:val="single" w:sz="4" w:space="0" w:color="auto"/>
              <w:left w:val="nil"/>
              <w:bottom w:val="single" w:sz="4" w:space="0" w:color="auto"/>
              <w:right w:val="single" w:sz="4" w:space="0" w:color="auto"/>
            </w:tcBorders>
            <w:vAlign w:val="center"/>
            <w:hideMark/>
          </w:tcPr>
          <w:p w14:paraId="694666FC" w14:textId="66499344" w:rsidR="00E8612B" w:rsidRPr="00403422" w:rsidRDefault="00E8612B" w:rsidP="00403422">
            <w:pPr>
              <w:contextualSpacing/>
              <w:jc w:val="center"/>
              <w:rPr>
                <w:rFonts w:eastAsia="Times New Roman" w:cs="Times New Roman"/>
                <w:b/>
                <w:bCs/>
                <w:sz w:val="20"/>
                <w:szCs w:val="20"/>
                <w:lang w:eastAsia="en-GB"/>
              </w:rPr>
            </w:pPr>
            <w:r w:rsidRPr="00403422">
              <w:rPr>
                <w:rFonts w:eastAsia="Times New Roman" w:cs="Times New Roman"/>
                <w:b/>
                <w:bCs/>
                <w:sz w:val="20"/>
                <w:szCs w:val="20"/>
                <w:lang w:eastAsia="en-GB"/>
              </w:rPr>
              <w:t xml:space="preserve">Annual </w:t>
            </w:r>
            <w:r w:rsidR="00EA6986" w:rsidRPr="00403422">
              <w:rPr>
                <w:rFonts w:eastAsia="Times New Roman" w:cs="Times New Roman"/>
                <w:b/>
                <w:bCs/>
                <w:sz w:val="20"/>
                <w:szCs w:val="20"/>
                <w:lang w:eastAsia="en-GB"/>
              </w:rPr>
              <w:t>T</w:t>
            </w:r>
            <w:r w:rsidR="00EA6986">
              <w:rPr>
                <w:rFonts w:eastAsia="Times New Roman" w:cs="Times New Roman"/>
                <w:b/>
                <w:bCs/>
                <w:sz w:val="20"/>
                <w:szCs w:val="20"/>
                <w:lang w:eastAsia="en-GB"/>
              </w:rPr>
              <w:t>rk</w:t>
            </w:r>
            <w:r w:rsidRPr="00403422">
              <w:rPr>
                <w:rFonts w:eastAsia="Times New Roman" w:cs="Times New Roman"/>
                <w:b/>
                <w:bCs/>
                <w:sz w:val="20"/>
                <w:szCs w:val="20"/>
                <w:lang w:eastAsia="en-GB"/>
              </w:rPr>
              <w:t>-inhibitor eligible population</w:t>
            </w:r>
          </w:p>
        </w:tc>
      </w:tr>
      <w:tr w:rsidR="00E8612B" w:rsidRPr="00403422" w14:paraId="3D843EF3" w14:textId="77777777" w:rsidTr="000E180E">
        <w:trPr>
          <w:trHeight w:val="24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3C18BE5C"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Soft tissue sarcoma</w:t>
            </w:r>
          </w:p>
        </w:tc>
        <w:tc>
          <w:tcPr>
            <w:tcW w:w="814" w:type="pct"/>
            <w:tcBorders>
              <w:top w:val="single" w:sz="4" w:space="0" w:color="auto"/>
              <w:left w:val="single" w:sz="4" w:space="0" w:color="auto"/>
              <w:bottom w:val="single" w:sz="4" w:space="0" w:color="auto"/>
              <w:right w:val="nil"/>
            </w:tcBorders>
            <w:noWrap/>
            <w:vAlign w:val="center"/>
            <w:hideMark/>
          </w:tcPr>
          <w:p w14:paraId="1C4BAD9C"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0.56%</w:t>
            </w:r>
          </w:p>
        </w:tc>
        <w:tc>
          <w:tcPr>
            <w:tcW w:w="856" w:type="pct"/>
            <w:tcBorders>
              <w:top w:val="single" w:sz="4" w:space="0" w:color="auto"/>
              <w:left w:val="nil"/>
              <w:bottom w:val="single" w:sz="4" w:space="0" w:color="auto"/>
              <w:right w:val="nil"/>
            </w:tcBorders>
            <w:noWrap/>
            <w:vAlign w:val="center"/>
            <w:hideMark/>
          </w:tcPr>
          <w:p w14:paraId="1E4FF983"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2740</w:t>
            </w:r>
          </w:p>
        </w:tc>
        <w:tc>
          <w:tcPr>
            <w:tcW w:w="901" w:type="pct"/>
            <w:tcBorders>
              <w:top w:val="single" w:sz="4" w:space="0" w:color="auto"/>
              <w:left w:val="nil"/>
              <w:bottom w:val="single" w:sz="4" w:space="0" w:color="auto"/>
              <w:right w:val="nil"/>
            </w:tcBorders>
            <w:noWrap/>
            <w:vAlign w:val="center"/>
            <w:hideMark/>
          </w:tcPr>
          <w:p w14:paraId="7D23E722"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32%</w:t>
            </w:r>
          </w:p>
        </w:tc>
        <w:tc>
          <w:tcPr>
            <w:tcW w:w="1100" w:type="pct"/>
            <w:tcBorders>
              <w:top w:val="single" w:sz="4" w:space="0" w:color="auto"/>
              <w:left w:val="nil"/>
              <w:bottom w:val="single" w:sz="4" w:space="0" w:color="auto"/>
              <w:right w:val="single" w:sz="4" w:space="0" w:color="auto"/>
            </w:tcBorders>
            <w:noWrap/>
            <w:vAlign w:val="center"/>
            <w:hideMark/>
          </w:tcPr>
          <w:p w14:paraId="65670DAB"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w:t>
            </w:r>
          </w:p>
        </w:tc>
      </w:tr>
      <w:tr w:rsidR="00E8612B" w:rsidRPr="00403422" w14:paraId="05E9FAFC" w14:textId="77777777" w:rsidTr="000E180E">
        <w:trPr>
          <w:trHeight w:val="253"/>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156FC45A"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Appendix</w:t>
            </w:r>
          </w:p>
        </w:tc>
        <w:tc>
          <w:tcPr>
            <w:tcW w:w="814" w:type="pct"/>
            <w:tcBorders>
              <w:top w:val="single" w:sz="4" w:space="0" w:color="auto"/>
              <w:left w:val="single" w:sz="4" w:space="0" w:color="auto"/>
              <w:bottom w:val="single" w:sz="4" w:space="0" w:color="auto"/>
              <w:right w:val="nil"/>
            </w:tcBorders>
            <w:noWrap/>
            <w:vAlign w:val="center"/>
            <w:hideMark/>
          </w:tcPr>
          <w:p w14:paraId="7BCC5C86"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4.00%</w:t>
            </w:r>
          </w:p>
        </w:tc>
        <w:tc>
          <w:tcPr>
            <w:tcW w:w="856" w:type="pct"/>
            <w:tcBorders>
              <w:top w:val="single" w:sz="4" w:space="0" w:color="auto"/>
              <w:left w:val="nil"/>
              <w:bottom w:val="single" w:sz="4" w:space="0" w:color="auto"/>
              <w:right w:val="nil"/>
            </w:tcBorders>
            <w:noWrap/>
            <w:vAlign w:val="center"/>
            <w:hideMark/>
          </w:tcPr>
          <w:p w14:paraId="6A068AD8"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540</w:t>
            </w:r>
          </w:p>
        </w:tc>
        <w:tc>
          <w:tcPr>
            <w:tcW w:w="901" w:type="pct"/>
            <w:tcBorders>
              <w:top w:val="single" w:sz="4" w:space="0" w:color="auto"/>
              <w:left w:val="nil"/>
              <w:bottom w:val="single" w:sz="4" w:space="0" w:color="auto"/>
              <w:right w:val="nil"/>
            </w:tcBorders>
            <w:noWrap/>
            <w:vAlign w:val="center"/>
            <w:hideMark/>
          </w:tcPr>
          <w:p w14:paraId="18097E93"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74%</w:t>
            </w:r>
          </w:p>
        </w:tc>
        <w:tc>
          <w:tcPr>
            <w:tcW w:w="1100" w:type="pct"/>
            <w:tcBorders>
              <w:top w:val="single" w:sz="4" w:space="0" w:color="auto"/>
              <w:left w:val="nil"/>
              <w:bottom w:val="single" w:sz="4" w:space="0" w:color="auto"/>
              <w:right w:val="single" w:sz="4" w:space="0" w:color="auto"/>
            </w:tcBorders>
            <w:noWrap/>
            <w:vAlign w:val="center"/>
            <w:hideMark/>
          </w:tcPr>
          <w:p w14:paraId="3F499BC7"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16</w:t>
            </w:r>
          </w:p>
        </w:tc>
      </w:tr>
      <w:tr w:rsidR="00E8612B" w:rsidRPr="00403422" w14:paraId="7984FE75"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7C4E5947"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Breast</w:t>
            </w:r>
          </w:p>
        </w:tc>
        <w:tc>
          <w:tcPr>
            <w:tcW w:w="814" w:type="pct"/>
            <w:tcBorders>
              <w:top w:val="single" w:sz="4" w:space="0" w:color="auto"/>
              <w:left w:val="single" w:sz="4" w:space="0" w:color="auto"/>
              <w:bottom w:val="single" w:sz="4" w:space="0" w:color="auto"/>
              <w:right w:val="nil"/>
            </w:tcBorders>
            <w:noWrap/>
            <w:vAlign w:val="center"/>
            <w:hideMark/>
          </w:tcPr>
          <w:p w14:paraId="64C400C9"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0.07%</w:t>
            </w:r>
          </w:p>
        </w:tc>
        <w:tc>
          <w:tcPr>
            <w:tcW w:w="856" w:type="pct"/>
            <w:tcBorders>
              <w:top w:val="single" w:sz="4" w:space="0" w:color="auto"/>
              <w:left w:val="nil"/>
              <w:bottom w:val="single" w:sz="4" w:space="0" w:color="auto"/>
              <w:right w:val="nil"/>
            </w:tcBorders>
            <w:noWrap/>
            <w:vAlign w:val="center"/>
            <w:hideMark/>
          </w:tcPr>
          <w:p w14:paraId="4E5F12EF"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46102</w:t>
            </w:r>
          </w:p>
        </w:tc>
        <w:tc>
          <w:tcPr>
            <w:tcW w:w="901" w:type="pct"/>
            <w:tcBorders>
              <w:top w:val="single" w:sz="4" w:space="0" w:color="auto"/>
              <w:left w:val="nil"/>
              <w:bottom w:val="single" w:sz="4" w:space="0" w:color="auto"/>
              <w:right w:val="nil"/>
            </w:tcBorders>
            <w:noWrap/>
            <w:vAlign w:val="center"/>
            <w:hideMark/>
          </w:tcPr>
          <w:p w14:paraId="30663497"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15%</w:t>
            </w:r>
          </w:p>
        </w:tc>
        <w:tc>
          <w:tcPr>
            <w:tcW w:w="1100" w:type="pct"/>
            <w:tcBorders>
              <w:top w:val="single" w:sz="4" w:space="0" w:color="auto"/>
              <w:left w:val="nil"/>
              <w:bottom w:val="single" w:sz="4" w:space="0" w:color="auto"/>
              <w:right w:val="single" w:sz="4" w:space="0" w:color="auto"/>
            </w:tcBorders>
            <w:noWrap/>
            <w:vAlign w:val="center"/>
            <w:hideMark/>
          </w:tcPr>
          <w:p w14:paraId="5BFC4F8F"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w:t>
            </w:r>
          </w:p>
        </w:tc>
      </w:tr>
      <w:tr w:rsidR="00E8612B" w:rsidRPr="00403422" w14:paraId="716B951C"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7E22C2B7"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Cholangiocarcinoma</w:t>
            </w:r>
          </w:p>
        </w:tc>
        <w:tc>
          <w:tcPr>
            <w:tcW w:w="814" w:type="pct"/>
            <w:tcBorders>
              <w:top w:val="single" w:sz="4" w:space="0" w:color="auto"/>
              <w:left w:val="single" w:sz="4" w:space="0" w:color="auto"/>
              <w:bottom w:val="single" w:sz="4" w:space="0" w:color="auto"/>
              <w:right w:val="nil"/>
            </w:tcBorders>
            <w:noWrap/>
            <w:vAlign w:val="center"/>
            <w:hideMark/>
          </w:tcPr>
          <w:p w14:paraId="1694DC32"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0.10%</w:t>
            </w:r>
          </w:p>
        </w:tc>
        <w:tc>
          <w:tcPr>
            <w:tcW w:w="856" w:type="pct"/>
            <w:tcBorders>
              <w:top w:val="single" w:sz="4" w:space="0" w:color="auto"/>
              <w:left w:val="nil"/>
              <w:bottom w:val="single" w:sz="4" w:space="0" w:color="auto"/>
              <w:right w:val="nil"/>
            </w:tcBorders>
            <w:noWrap/>
            <w:vAlign w:val="center"/>
            <w:hideMark/>
          </w:tcPr>
          <w:p w14:paraId="67D02B6D"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556</w:t>
            </w:r>
          </w:p>
        </w:tc>
        <w:tc>
          <w:tcPr>
            <w:tcW w:w="901" w:type="pct"/>
            <w:tcBorders>
              <w:top w:val="single" w:sz="4" w:space="0" w:color="auto"/>
              <w:left w:val="nil"/>
              <w:bottom w:val="single" w:sz="4" w:space="0" w:color="auto"/>
              <w:right w:val="nil"/>
            </w:tcBorders>
            <w:noWrap/>
            <w:vAlign w:val="center"/>
            <w:hideMark/>
          </w:tcPr>
          <w:p w14:paraId="381ED674"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60%</w:t>
            </w:r>
          </w:p>
        </w:tc>
        <w:tc>
          <w:tcPr>
            <w:tcW w:w="1100" w:type="pct"/>
            <w:tcBorders>
              <w:top w:val="single" w:sz="4" w:space="0" w:color="auto"/>
              <w:left w:val="nil"/>
              <w:bottom w:val="single" w:sz="4" w:space="0" w:color="auto"/>
              <w:right w:val="single" w:sz="4" w:space="0" w:color="auto"/>
            </w:tcBorders>
            <w:noWrap/>
            <w:vAlign w:val="center"/>
            <w:hideMark/>
          </w:tcPr>
          <w:p w14:paraId="12160286"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w:t>
            </w:r>
          </w:p>
        </w:tc>
      </w:tr>
      <w:tr w:rsidR="00E8612B" w:rsidRPr="00403422" w14:paraId="4200DC78" w14:textId="77777777" w:rsidTr="000E180E">
        <w:trPr>
          <w:trHeight w:val="24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4744497C"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Colorectal</w:t>
            </w:r>
          </w:p>
        </w:tc>
        <w:tc>
          <w:tcPr>
            <w:tcW w:w="814" w:type="pct"/>
            <w:tcBorders>
              <w:top w:val="single" w:sz="4" w:space="0" w:color="auto"/>
              <w:left w:val="single" w:sz="4" w:space="0" w:color="auto"/>
              <w:bottom w:val="single" w:sz="4" w:space="0" w:color="auto"/>
              <w:right w:val="nil"/>
            </w:tcBorders>
            <w:noWrap/>
            <w:vAlign w:val="center"/>
            <w:hideMark/>
          </w:tcPr>
          <w:p w14:paraId="21C3ECB2"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0.12%</w:t>
            </w:r>
          </w:p>
        </w:tc>
        <w:tc>
          <w:tcPr>
            <w:tcW w:w="856" w:type="pct"/>
            <w:tcBorders>
              <w:top w:val="single" w:sz="4" w:space="0" w:color="auto"/>
              <w:left w:val="nil"/>
              <w:bottom w:val="single" w:sz="4" w:space="0" w:color="auto"/>
              <w:right w:val="nil"/>
            </w:tcBorders>
            <w:noWrap/>
            <w:vAlign w:val="center"/>
            <w:hideMark/>
          </w:tcPr>
          <w:p w14:paraId="745C298D"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34825</w:t>
            </w:r>
          </w:p>
        </w:tc>
        <w:tc>
          <w:tcPr>
            <w:tcW w:w="901" w:type="pct"/>
            <w:tcBorders>
              <w:top w:val="single" w:sz="4" w:space="0" w:color="auto"/>
              <w:left w:val="nil"/>
              <w:bottom w:val="single" w:sz="4" w:space="0" w:color="auto"/>
              <w:right w:val="nil"/>
            </w:tcBorders>
            <w:noWrap/>
            <w:vAlign w:val="center"/>
            <w:hideMark/>
          </w:tcPr>
          <w:p w14:paraId="0EB2EB9B"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55%</w:t>
            </w:r>
          </w:p>
        </w:tc>
        <w:tc>
          <w:tcPr>
            <w:tcW w:w="1100" w:type="pct"/>
            <w:tcBorders>
              <w:top w:val="single" w:sz="4" w:space="0" w:color="auto"/>
              <w:left w:val="nil"/>
              <w:bottom w:val="single" w:sz="4" w:space="0" w:color="auto"/>
              <w:right w:val="single" w:sz="4" w:space="0" w:color="auto"/>
            </w:tcBorders>
            <w:noWrap/>
            <w:vAlign w:val="center"/>
            <w:hideMark/>
          </w:tcPr>
          <w:p w14:paraId="010543A6"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23</w:t>
            </w:r>
          </w:p>
        </w:tc>
      </w:tr>
      <w:tr w:rsidR="00E8612B" w:rsidRPr="00403422" w14:paraId="5839CFBB" w14:textId="77777777" w:rsidTr="000E180E">
        <w:trPr>
          <w:trHeight w:val="242"/>
          <w:jc w:val="center"/>
        </w:trPr>
        <w:tc>
          <w:tcPr>
            <w:tcW w:w="1328" w:type="pct"/>
            <w:tcBorders>
              <w:top w:val="single" w:sz="4" w:space="0" w:color="auto"/>
              <w:left w:val="single" w:sz="4" w:space="0" w:color="auto"/>
              <w:bottom w:val="single" w:sz="4" w:space="0" w:color="auto"/>
              <w:right w:val="single" w:sz="4" w:space="0" w:color="auto"/>
            </w:tcBorders>
            <w:vAlign w:val="center"/>
          </w:tcPr>
          <w:p w14:paraId="3616C508" w14:textId="21CF13B1" w:rsidR="00E8612B" w:rsidRPr="00403422" w:rsidRDefault="000E180E" w:rsidP="00403422">
            <w:pPr>
              <w:contextualSpacing/>
              <w:jc w:val="center"/>
              <w:rPr>
                <w:rFonts w:eastAsia="Times New Roman" w:cs="Times New Roman"/>
                <w:bCs/>
                <w:sz w:val="20"/>
                <w:szCs w:val="20"/>
                <w:lang w:eastAsia="en-GB"/>
              </w:rPr>
            </w:pPr>
            <w:r>
              <w:rPr>
                <w:rFonts w:cs="Times New Roman"/>
                <w:color w:val="000000"/>
                <w:sz w:val="20"/>
                <w:szCs w:val="20"/>
              </w:rPr>
              <w:t>IFS</w:t>
            </w:r>
          </w:p>
        </w:tc>
        <w:tc>
          <w:tcPr>
            <w:tcW w:w="814" w:type="pct"/>
            <w:tcBorders>
              <w:top w:val="single" w:sz="4" w:space="0" w:color="auto"/>
              <w:left w:val="single" w:sz="4" w:space="0" w:color="auto"/>
              <w:bottom w:val="single" w:sz="4" w:space="0" w:color="auto"/>
              <w:right w:val="nil"/>
            </w:tcBorders>
            <w:noWrap/>
            <w:vAlign w:val="center"/>
          </w:tcPr>
          <w:p w14:paraId="22919641"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90.90%</w:t>
            </w:r>
          </w:p>
        </w:tc>
        <w:tc>
          <w:tcPr>
            <w:tcW w:w="856" w:type="pct"/>
            <w:tcBorders>
              <w:top w:val="single" w:sz="4" w:space="0" w:color="auto"/>
              <w:left w:val="nil"/>
              <w:bottom w:val="single" w:sz="4" w:space="0" w:color="auto"/>
              <w:right w:val="nil"/>
            </w:tcBorders>
            <w:noWrap/>
            <w:vAlign w:val="center"/>
          </w:tcPr>
          <w:p w14:paraId="463E06FE"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59</w:t>
            </w:r>
          </w:p>
        </w:tc>
        <w:tc>
          <w:tcPr>
            <w:tcW w:w="901" w:type="pct"/>
            <w:tcBorders>
              <w:top w:val="single" w:sz="4" w:space="0" w:color="auto"/>
              <w:left w:val="nil"/>
              <w:bottom w:val="single" w:sz="4" w:space="0" w:color="auto"/>
              <w:right w:val="nil"/>
            </w:tcBorders>
            <w:noWrap/>
            <w:vAlign w:val="center"/>
          </w:tcPr>
          <w:p w14:paraId="549F0DC5"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51%</w:t>
            </w:r>
          </w:p>
        </w:tc>
        <w:tc>
          <w:tcPr>
            <w:tcW w:w="1100" w:type="pct"/>
            <w:tcBorders>
              <w:top w:val="single" w:sz="4" w:space="0" w:color="auto"/>
              <w:left w:val="nil"/>
              <w:bottom w:val="single" w:sz="4" w:space="0" w:color="auto"/>
              <w:right w:val="single" w:sz="4" w:space="0" w:color="auto"/>
            </w:tcBorders>
            <w:noWrap/>
            <w:vAlign w:val="center"/>
          </w:tcPr>
          <w:p w14:paraId="74E0340D"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27</w:t>
            </w:r>
          </w:p>
        </w:tc>
      </w:tr>
      <w:tr w:rsidR="00E8612B" w:rsidRPr="00403422" w14:paraId="5C1F335C" w14:textId="77777777" w:rsidTr="000E180E">
        <w:trPr>
          <w:trHeight w:val="242"/>
          <w:jc w:val="center"/>
        </w:trPr>
        <w:tc>
          <w:tcPr>
            <w:tcW w:w="1328" w:type="pct"/>
            <w:tcBorders>
              <w:top w:val="single" w:sz="4" w:space="0" w:color="auto"/>
              <w:left w:val="single" w:sz="4" w:space="0" w:color="auto"/>
              <w:bottom w:val="single" w:sz="4" w:space="0" w:color="auto"/>
              <w:right w:val="single" w:sz="4" w:space="0" w:color="auto"/>
            </w:tcBorders>
            <w:vAlign w:val="center"/>
          </w:tcPr>
          <w:p w14:paraId="3CE32043"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MASC</w:t>
            </w:r>
          </w:p>
        </w:tc>
        <w:tc>
          <w:tcPr>
            <w:tcW w:w="814" w:type="pct"/>
            <w:tcBorders>
              <w:top w:val="single" w:sz="4" w:space="0" w:color="auto"/>
              <w:left w:val="single" w:sz="4" w:space="0" w:color="auto"/>
              <w:bottom w:val="single" w:sz="4" w:space="0" w:color="auto"/>
              <w:right w:val="nil"/>
            </w:tcBorders>
            <w:noWrap/>
            <w:vAlign w:val="center"/>
          </w:tcPr>
          <w:p w14:paraId="70597052"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92.90%</w:t>
            </w:r>
          </w:p>
        </w:tc>
        <w:tc>
          <w:tcPr>
            <w:tcW w:w="856" w:type="pct"/>
            <w:tcBorders>
              <w:top w:val="single" w:sz="4" w:space="0" w:color="auto"/>
              <w:left w:val="nil"/>
              <w:bottom w:val="single" w:sz="4" w:space="0" w:color="auto"/>
              <w:right w:val="nil"/>
            </w:tcBorders>
            <w:noWrap/>
            <w:vAlign w:val="center"/>
          </w:tcPr>
          <w:p w14:paraId="3236ECA8"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11</w:t>
            </w:r>
          </w:p>
        </w:tc>
        <w:tc>
          <w:tcPr>
            <w:tcW w:w="901" w:type="pct"/>
            <w:tcBorders>
              <w:top w:val="single" w:sz="4" w:space="0" w:color="auto"/>
              <w:left w:val="nil"/>
              <w:bottom w:val="single" w:sz="4" w:space="0" w:color="auto"/>
              <w:right w:val="nil"/>
            </w:tcBorders>
            <w:noWrap/>
            <w:vAlign w:val="center"/>
          </w:tcPr>
          <w:p w14:paraId="0021AE0B"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22%</w:t>
            </w:r>
          </w:p>
        </w:tc>
        <w:tc>
          <w:tcPr>
            <w:tcW w:w="1100" w:type="pct"/>
            <w:tcBorders>
              <w:top w:val="single" w:sz="4" w:space="0" w:color="auto"/>
              <w:left w:val="nil"/>
              <w:bottom w:val="single" w:sz="4" w:space="0" w:color="auto"/>
              <w:right w:val="single" w:sz="4" w:space="0" w:color="auto"/>
            </w:tcBorders>
            <w:noWrap/>
            <w:vAlign w:val="center"/>
          </w:tcPr>
          <w:p w14:paraId="271E9AA3"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2</w:t>
            </w:r>
          </w:p>
        </w:tc>
      </w:tr>
      <w:tr w:rsidR="00E8612B" w:rsidRPr="00403422" w14:paraId="180CFCC9"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340237F9"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Melanoma</w:t>
            </w:r>
          </w:p>
        </w:tc>
        <w:tc>
          <w:tcPr>
            <w:tcW w:w="814" w:type="pct"/>
            <w:tcBorders>
              <w:top w:val="single" w:sz="4" w:space="0" w:color="auto"/>
              <w:left w:val="single" w:sz="4" w:space="0" w:color="auto"/>
              <w:bottom w:val="single" w:sz="4" w:space="0" w:color="auto"/>
              <w:right w:val="nil"/>
            </w:tcBorders>
            <w:noWrap/>
            <w:vAlign w:val="center"/>
            <w:hideMark/>
          </w:tcPr>
          <w:p w14:paraId="542A2658"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0.21%</w:t>
            </w:r>
          </w:p>
        </w:tc>
        <w:tc>
          <w:tcPr>
            <w:tcW w:w="856" w:type="pct"/>
            <w:tcBorders>
              <w:top w:val="single" w:sz="4" w:space="0" w:color="auto"/>
              <w:left w:val="nil"/>
              <w:bottom w:val="single" w:sz="4" w:space="0" w:color="auto"/>
              <w:right w:val="nil"/>
            </w:tcBorders>
            <w:noWrap/>
            <w:vAlign w:val="center"/>
            <w:hideMark/>
          </w:tcPr>
          <w:p w14:paraId="700DE478"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13740</w:t>
            </w:r>
          </w:p>
        </w:tc>
        <w:tc>
          <w:tcPr>
            <w:tcW w:w="901" w:type="pct"/>
            <w:tcBorders>
              <w:top w:val="single" w:sz="4" w:space="0" w:color="auto"/>
              <w:left w:val="nil"/>
              <w:bottom w:val="single" w:sz="4" w:space="0" w:color="auto"/>
              <w:right w:val="nil"/>
            </w:tcBorders>
            <w:noWrap/>
            <w:vAlign w:val="center"/>
            <w:hideMark/>
          </w:tcPr>
          <w:p w14:paraId="6002BC03"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9%</w:t>
            </w:r>
          </w:p>
        </w:tc>
        <w:tc>
          <w:tcPr>
            <w:tcW w:w="1100" w:type="pct"/>
            <w:tcBorders>
              <w:top w:val="single" w:sz="4" w:space="0" w:color="auto"/>
              <w:left w:val="nil"/>
              <w:bottom w:val="single" w:sz="4" w:space="0" w:color="auto"/>
              <w:right w:val="single" w:sz="4" w:space="0" w:color="auto"/>
            </w:tcBorders>
            <w:noWrap/>
            <w:vAlign w:val="center"/>
            <w:hideMark/>
          </w:tcPr>
          <w:p w14:paraId="63F3B8FF"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3</w:t>
            </w:r>
          </w:p>
        </w:tc>
      </w:tr>
      <w:tr w:rsidR="00E8612B" w:rsidRPr="00403422" w14:paraId="4C524604"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454A5EF2"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NSCLC</w:t>
            </w:r>
          </w:p>
        </w:tc>
        <w:tc>
          <w:tcPr>
            <w:tcW w:w="814" w:type="pct"/>
            <w:tcBorders>
              <w:top w:val="single" w:sz="4" w:space="0" w:color="auto"/>
              <w:left w:val="single" w:sz="4" w:space="0" w:color="auto"/>
              <w:bottom w:val="single" w:sz="4" w:space="0" w:color="auto"/>
              <w:right w:val="nil"/>
            </w:tcBorders>
            <w:noWrap/>
            <w:vAlign w:val="center"/>
            <w:hideMark/>
          </w:tcPr>
          <w:p w14:paraId="51293F08"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0.09%</w:t>
            </w:r>
          </w:p>
        </w:tc>
        <w:tc>
          <w:tcPr>
            <w:tcW w:w="856" w:type="pct"/>
            <w:tcBorders>
              <w:top w:val="single" w:sz="4" w:space="0" w:color="auto"/>
              <w:left w:val="nil"/>
              <w:bottom w:val="single" w:sz="4" w:space="0" w:color="auto"/>
              <w:right w:val="nil"/>
            </w:tcBorders>
            <w:noWrap/>
            <w:vAlign w:val="center"/>
            <w:hideMark/>
          </w:tcPr>
          <w:p w14:paraId="3663FCEF"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32576</w:t>
            </w:r>
          </w:p>
        </w:tc>
        <w:tc>
          <w:tcPr>
            <w:tcW w:w="901" w:type="pct"/>
            <w:tcBorders>
              <w:top w:val="single" w:sz="4" w:space="0" w:color="auto"/>
              <w:left w:val="nil"/>
              <w:bottom w:val="single" w:sz="4" w:space="0" w:color="auto"/>
              <w:right w:val="nil"/>
            </w:tcBorders>
            <w:noWrap/>
            <w:vAlign w:val="center"/>
            <w:hideMark/>
          </w:tcPr>
          <w:p w14:paraId="34EB2D4C"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57%</w:t>
            </w:r>
          </w:p>
        </w:tc>
        <w:tc>
          <w:tcPr>
            <w:tcW w:w="1100" w:type="pct"/>
            <w:tcBorders>
              <w:top w:val="single" w:sz="4" w:space="0" w:color="auto"/>
              <w:left w:val="nil"/>
              <w:bottom w:val="single" w:sz="4" w:space="0" w:color="auto"/>
              <w:right w:val="single" w:sz="4" w:space="0" w:color="auto"/>
            </w:tcBorders>
            <w:noWrap/>
            <w:vAlign w:val="center"/>
            <w:hideMark/>
          </w:tcPr>
          <w:p w14:paraId="3D359999"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17</w:t>
            </w:r>
          </w:p>
        </w:tc>
      </w:tr>
      <w:tr w:rsidR="00E8612B" w:rsidRPr="00403422" w14:paraId="5DD5609C"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0B54F394"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Pancreatic</w:t>
            </w:r>
          </w:p>
        </w:tc>
        <w:tc>
          <w:tcPr>
            <w:tcW w:w="814" w:type="pct"/>
            <w:tcBorders>
              <w:top w:val="single" w:sz="4" w:space="0" w:color="auto"/>
              <w:left w:val="single" w:sz="4" w:space="0" w:color="auto"/>
              <w:bottom w:val="single" w:sz="4" w:space="0" w:color="auto"/>
              <w:right w:val="nil"/>
            </w:tcBorders>
            <w:noWrap/>
            <w:vAlign w:val="center"/>
            <w:hideMark/>
          </w:tcPr>
          <w:p w14:paraId="55112C5D"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0.26%</w:t>
            </w:r>
          </w:p>
        </w:tc>
        <w:tc>
          <w:tcPr>
            <w:tcW w:w="856" w:type="pct"/>
            <w:tcBorders>
              <w:top w:val="single" w:sz="4" w:space="0" w:color="auto"/>
              <w:left w:val="nil"/>
              <w:bottom w:val="single" w:sz="4" w:space="0" w:color="auto"/>
              <w:right w:val="nil"/>
            </w:tcBorders>
            <w:noWrap/>
            <w:vAlign w:val="center"/>
            <w:hideMark/>
          </w:tcPr>
          <w:p w14:paraId="0EDFBD16"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8388</w:t>
            </w:r>
          </w:p>
        </w:tc>
        <w:tc>
          <w:tcPr>
            <w:tcW w:w="901" w:type="pct"/>
            <w:tcBorders>
              <w:top w:val="single" w:sz="4" w:space="0" w:color="auto"/>
              <w:left w:val="nil"/>
              <w:bottom w:val="single" w:sz="4" w:space="0" w:color="auto"/>
              <w:right w:val="nil"/>
            </w:tcBorders>
            <w:noWrap/>
            <w:vAlign w:val="center"/>
            <w:hideMark/>
          </w:tcPr>
          <w:p w14:paraId="3865AB8A"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78%</w:t>
            </w:r>
          </w:p>
        </w:tc>
        <w:tc>
          <w:tcPr>
            <w:tcW w:w="1100" w:type="pct"/>
            <w:tcBorders>
              <w:top w:val="single" w:sz="4" w:space="0" w:color="auto"/>
              <w:left w:val="nil"/>
              <w:bottom w:val="single" w:sz="4" w:space="0" w:color="auto"/>
              <w:right w:val="single" w:sz="4" w:space="0" w:color="auto"/>
            </w:tcBorders>
            <w:noWrap/>
            <w:vAlign w:val="center"/>
            <w:hideMark/>
          </w:tcPr>
          <w:p w14:paraId="2F72AFF7"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17</w:t>
            </w:r>
          </w:p>
        </w:tc>
      </w:tr>
      <w:tr w:rsidR="00E8612B" w:rsidRPr="00403422" w14:paraId="2CB7C59B"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5DE81E41"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Thyroid</w:t>
            </w:r>
          </w:p>
        </w:tc>
        <w:tc>
          <w:tcPr>
            <w:tcW w:w="814" w:type="pct"/>
            <w:tcBorders>
              <w:top w:val="single" w:sz="4" w:space="0" w:color="auto"/>
              <w:left w:val="single" w:sz="4" w:space="0" w:color="auto"/>
              <w:bottom w:val="single" w:sz="4" w:space="0" w:color="auto"/>
              <w:right w:val="nil"/>
            </w:tcBorders>
            <w:noWrap/>
            <w:vAlign w:val="center"/>
            <w:hideMark/>
          </w:tcPr>
          <w:p w14:paraId="2CDD9ECC"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0.92%</w:t>
            </w:r>
          </w:p>
        </w:tc>
        <w:tc>
          <w:tcPr>
            <w:tcW w:w="856" w:type="pct"/>
            <w:tcBorders>
              <w:top w:val="single" w:sz="4" w:space="0" w:color="auto"/>
              <w:left w:val="nil"/>
              <w:bottom w:val="single" w:sz="4" w:space="0" w:color="auto"/>
              <w:right w:val="nil"/>
            </w:tcBorders>
            <w:noWrap/>
            <w:vAlign w:val="center"/>
            <w:hideMark/>
          </w:tcPr>
          <w:p w14:paraId="4D21C343"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2195</w:t>
            </w:r>
          </w:p>
        </w:tc>
        <w:tc>
          <w:tcPr>
            <w:tcW w:w="901" w:type="pct"/>
            <w:tcBorders>
              <w:top w:val="single" w:sz="4" w:space="0" w:color="auto"/>
              <w:left w:val="nil"/>
              <w:bottom w:val="single" w:sz="4" w:space="0" w:color="auto"/>
              <w:right w:val="nil"/>
            </w:tcBorders>
            <w:noWrap/>
            <w:vAlign w:val="center"/>
            <w:hideMark/>
          </w:tcPr>
          <w:p w14:paraId="234CC24D"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31%</w:t>
            </w:r>
          </w:p>
        </w:tc>
        <w:tc>
          <w:tcPr>
            <w:tcW w:w="1100" w:type="pct"/>
            <w:tcBorders>
              <w:top w:val="single" w:sz="4" w:space="0" w:color="auto"/>
              <w:left w:val="nil"/>
              <w:bottom w:val="single" w:sz="4" w:space="0" w:color="auto"/>
              <w:right w:val="single" w:sz="4" w:space="0" w:color="auto"/>
            </w:tcBorders>
            <w:noWrap/>
            <w:vAlign w:val="center"/>
            <w:hideMark/>
          </w:tcPr>
          <w:p w14:paraId="52C6B919"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6</w:t>
            </w:r>
          </w:p>
        </w:tc>
      </w:tr>
      <w:tr w:rsidR="00E8612B" w:rsidRPr="00403422" w14:paraId="0EB29327" w14:textId="77777777" w:rsidTr="000E180E">
        <w:trPr>
          <w:trHeight w:val="230"/>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212496C3" w14:textId="77777777" w:rsidR="00E8612B" w:rsidRPr="00403422" w:rsidRDefault="00E8612B" w:rsidP="00403422">
            <w:pPr>
              <w:contextualSpacing/>
              <w:jc w:val="center"/>
              <w:rPr>
                <w:rFonts w:eastAsia="Times New Roman" w:cs="Times New Roman"/>
                <w:bCs/>
                <w:sz w:val="20"/>
                <w:szCs w:val="20"/>
                <w:lang w:eastAsia="en-GB"/>
              </w:rPr>
            </w:pPr>
            <w:r w:rsidRPr="00403422">
              <w:rPr>
                <w:rFonts w:cs="Times New Roman"/>
                <w:color w:val="000000"/>
                <w:sz w:val="20"/>
                <w:szCs w:val="20"/>
              </w:rPr>
              <w:t>GIST</w:t>
            </w:r>
          </w:p>
        </w:tc>
        <w:tc>
          <w:tcPr>
            <w:tcW w:w="814" w:type="pct"/>
            <w:tcBorders>
              <w:top w:val="single" w:sz="4" w:space="0" w:color="auto"/>
              <w:left w:val="single" w:sz="4" w:space="0" w:color="auto"/>
              <w:bottom w:val="single" w:sz="4" w:space="0" w:color="auto"/>
              <w:right w:val="nil"/>
            </w:tcBorders>
            <w:noWrap/>
            <w:vAlign w:val="center"/>
            <w:hideMark/>
          </w:tcPr>
          <w:p w14:paraId="13B88D4F"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1.28%</w:t>
            </w:r>
          </w:p>
        </w:tc>
        <w:tc>
          <w:tcPr>
            <w:tcW w:w="856" w:type="pct"/>
            <w:tcBorders>
              <w:top w:val="single" w:sz="4" w:space="0" w:color="auto"/>
              <w:left w:val="nil"/>
              <w:bottom w:val="single" w:sz="4" w:space="0" w:color="auto"/>
              <w:right w:val="nil"/>
            </w:tcBorders>
            <w:noWrap/>
            <w:vAlign w:val="center"/>
            <w:hideMark/>
          </w:tcPr>
          <w:p w14:paraId="2A11DAB4"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734</w:t>
            </w:r>
          </w:p>
        </w:tc>
        <w:tc>
          <w:tcPr>
            <w:tcW w:w="901" w:type="pct"/>
            <w:tcBorders>
              <w:top w:val="single" w:sz="4" w:space="0" w:color="auto"/>
              <w:left w:val="nil"/>
              <w:bottom w:val="single" w:sz="4" w:space="0" w:color="auto"/>
              <w:right w:val="nil"/>
            </w:tcBorders>
            <w:noWrap/>
            <w:vAlign w:val="center"/>
            <w:hideMark/>
          </w:tcPr>
          <w:p w14:paraId="09FFFE6A"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40%</w:t>
            </w:r>
          </w:p>
        </w:tc>
        <w:tc>
          <w:tcPr>
            <w:tcW w:w="1100" w:type="pct"/>
            <w:tcBorders>
              <w:top w:val="single" w:sz="4" w:space="0" w:color="auto"/>
              <w:left w:val="nil"/>
              <w:bottom w:val="single" w:sz="4" w:space="0" w:color="auto"/>
              <w:right w:val="single" w:sz="4" w:space="0" w:color="auto"/>
            </w:tcBorders>
            <w:noWrap/>
            <w:vAlign w:val="center"/>
            <w:hideMark/>
          </w:tcPr>
          <w:p w14:paraId="3CCFE5E0" w14:textId="77777777" w:rsidR="00E8612B" w:rsidRPr="00403422" w:rsidRDefault="00E8612B" w:rsidP="00403422">
            <w:pPr>
              <w:contextualSpacing/>
              <w:jc w:val="center"/>
              <w:rPr>
                <w:rFonts w:eastAsia="Times New Roman" w:cs="Times New Roman"/>
                <w:sz w:val="20"/>
                <w:szCs w:val="20"/>
                <w:lang w:eastAsia="en-GB"/>
              </w:rPr>
            </w:pPr>
            <w:r w:rsidRPr="00403422">
              <w:rPr>
                <w:rFonts w:cs="Times New Roman"/>
                <w:color w:val="000000"/>
                <w:sz w:val="20"/>
                <w:szCs w:val="20"/>
              </w:rPr>
              <w:t>4</w:t>
            </w:r>
          </w:p>
        </w:tc>
      </w:tr>
      <w:tr w:rsidR="00E8612B" w:rsidRPr="00403422" w14:paraId="09FAE6AC" w14:textId="77777777" w:rsidTr="000E180E">
        <w:trPr>
          <w:trHeight w:val="230"/>
          <w:jc w:val="center"/>
        </w:trPr>
        <w:tc>
          <w:tcPr>
            <w:tcW w:w="1328" w:type="pct"/>
            <w:tcBorders>
              <w:top w:val="double" w:sz="4" w:space="0" w:color="auto"/>
              <w:left w:val="single" w:sz="4" w:space="0" w:color="auto"/>
              <w:bottom w:val="single" w:sz="4" w:space="0" w:color="auto"/>
              <w:right w:val="single" w:sz="4" w:space="0" w:color="auto"/>
            </w:tcBorders>
            <w:vAlign w:val="center"/>
          </w:tcPr>
          <w:p w14:paraId="73C3EB4C" w14:textId="77777777" w:rsidR="00E8612B" w:rsidRPr="00403422" w:rsidRDefault="00E8612B" w:rsidP="00403422">
            <w:pPr>
              <w:contextualSpacing/>
              <w:jc w:val="center"/>
              <w:rPr>
                <w:rFonts w:eastAsia="Times New Roman" w:cs="Times New Roman"/>
                <w:b/>
                <w:bCs/>
                <w:sz w:val="20"/>
                <w:szCs w:val="20"/>
                <w:lang w:eastAsia="en-GB"/>
              </w:rPr>
            </w:pPr>
            <w:r w:rsidRPr="00403422">
              <w:rPr>
                <w:rFonts w:eastAsia="Times New Roman" w:cs="Times New Roman"/>
                <w:b/>
                <w:bCs/>
                <w:sz w:val="20"/>
                <w:szCs w:val="20"/>
                <w:lang w:eastAsia="en-GB"/>
              </w:rPr>
              <w:t>Total</w:t>
            </w:r>
          </w:p>
        </w:tc>
        <w:tc>
          <w:tcPr>
            <w:tcW w:w="814" w:type="pct"/>
            <w:tcBorders>
              <w:top w:val="double" w:sz="4" w:space="0" w:color="auto"/>
              <w:left w:val="single" w:sz="4" w:space="0" w:color="auto"/>
              <w:bottom w:val="single" w:sz="4" w:space="0" w:color="auto"/>
              <w:right w:val="nil"/>
            </w:tcBorders>
            <w:noWrap/>
            <w:vAlign w:val="center"/>
          </w:tcPr>
          <w:p w14:paraId="3E26C24A" w14:textId="77777777" w:rsidR="00E8612B" w:rsidRPr="00403422" w:rsidRDefault="00E8612B" w:rsidP="00403422">
            <w:pPr>
              <w:contextualSpacing/>
              <w:jc w:val="center"/>
              <w:rPr>
                <w:rFonts w:eastAsia="Times New Roman" w:cs="Times New Roman"/>
                <w:sz w:val="20"/>
                <w:szCs w:val="20"/>
                <w:lang w:eastAsia="en-GB"/>
              </w:rPr>
            </w:pPr>
          </w:p>
        </w:tc>
        <w:tc>
          <w:tcPr>
            <w:tcW w:w="856" w:type="pct"/>
            <w:tcBorders>
              <w:top w:val="double" w:sz="4" w:space="0" w:color="auto"/>
              <w:left w:val="nil"/>
              <w:bottom w:val="single" w:sz="4" w:space="0" w:color="auto"/>
              <w:right w:val="nil"/>
            </w:tcBorders>
            <w:noWrap/>
            <w:vAlign w:val="center"/>
          </w:tcPr>
          <w:p w14:paraId="6FF85823" w14:textId="77777777" w:rsidR="00E8612B" w:rsidRPr="00403422" w:rsidRDefault="00E8612B" w:rsidP="00403422">
            <w:pPr>
              <w:contextualSpacing/>
              <w:jc w:val="center"/>
              <w:rPr>
                <w:rFonts w:eastAsia="Times New Roman" w:cs="Times New Roman"/>
                <w:sz w:val="20"/>
                <w:szCs w:val="20"/>
                <w:lang w:eastAsia="en-GB"/>
              </w:rPr>
            </w:pPr>
          </w:p>
        </w:tc>
        <w:tc>
          <w:tcPr>
            <w:tcW w:w="901" w:type="pct"/>
            <w:tcBorders>
              <w:top w:val="double" w:sz="4" w:space="0" w:color="auto"/>
              <w:left w:val="nil"/>
              <w:bottom w:val="single" w:sz="4" w:space="0" w:color="auto"/>
              <w:right w:val="nil"/>
            </w:tcBorders>
            <w:noWrap/>
            <w:vAlign w:val="center"/>
          </w:tcPr>
          <w:p w14:paraId="255A2CF4" w14:textId="77777777" w:rsidR="00E8612B" w:rsidRPr="00403422" w:rsidRDefault="00E8612B" w:rsidP="00403422">
            <w:pPr>
              <w:contextualSpacing/>
              <w:jc w:val="center"/>
              <w:rPr>
                <w:rFonts w:eastAsia="Times New Roman" w:cs="Times New Roman"/>
                <w:sz w:val="20"/>
                <w:szCs w:val="20"/>
                <w:lang w:eastAsia="en-GB"/>
              </w:rPr>
            </w:pPr>
          </w:p>
        </w:tc>
        <w:tc>
          <w:tcPr>
            <w:tcW w:w="1100" w:type="pct"/>
            <w:tcBorders>
              <w:top w:val="double" w:sz="4" w:space="0" w:color="auto"/>
              <w:left w:val="nil"/>
              <w:bottom w:val="single" w:sz="4" w:space="0" w:color="auto"/>
              <w:right w:val="single" w:sz="4" w:space="0" w:color="auto"/>
            </w:tcBorders>
            <w:noWrap/>
            <w:vAlign w:val="center"/>
          </w:tcPr>
          <w:p w14:paraId="0F7B5865" w14:textId="77777777" w:rsidR="00E8612B" w:rsidRPr="00403422" w:rsidRDefault="00E8612B" w:rsidP="00403422">
            <w:pPr>
              <w:contextualSpacing/>
              <w:jc w:val="center"/>
              <w:rPr>
                <w:rFonts w:cs="Times New Roman"/>
                <w:b/>
                <w:color w:val="000000"/>
                <w:sz w:val="20"/>
                <w:szCs w:val="20"/>
              </w:rPr>
            </w:pPr>
            <w:r w:rsidRPr="00403422">
              <w:rPr>
                <w:rFonts w:cs="Times New Roman"/>
                <w:b/>
                <w:color w:val="000000"/>
                <w:sz w:val="20"/>
                <w:szCs w:val="20"/>
              </w:rPr>
              <w:t>125</w:t>
            </w:r>
          </w:p>
        </w:tc>
      </w:tr>
      <w:tr w:rsidR="000E180E" w:rsidRPr="00403422" w14:paraId="225BA885" w14:textId="77777777" w:rsidTr="000E180E">
        <w:trPr>
          <w:trHeight w:val="230"/>
          <w:jc w:val="center"/>
        </w:trPr>
        <w:tc>
          <w:tcPr>
            <w:tcW w:w="5000" w:type="pct"/>
            <w:gridSpan w:val="5"/>
            <w:tcBorders>
              <w:top w:val="single" w:sz="4" w:space="0" w:color="auto"/>
              <w:left w:val="nil"/>
              <w:bottom w:val="nil"/>
              <w:right w:val="nil"/>
            </w:tcBorders>
          </w:tcPr>
          <w:p w14:paraId="21FDD832" w14:textId="6B790391" w:rsidR="000E180E" w:rsidRPr="00403422" w:rsidRDefault="000E180E" w:rsidP="000E180E">
            <w:pPr>
              <w:contextualSpacing/>
              <w:rPr>
                <w:rFonts w:cs="Times New Roman"/>
                <w:b/>
                <w:color w:val="000000"/>
                <w:sz w:val="20"/>
                <w:szCs w:val="20"/>
              </w:rPr>
            </w:pPr>
            <w:r w:rsidRPr="000E180E">
              <w:rPr>
                <w:color w:val="000000"/>
                <w:szCs w:val="18"/>
              </w:rPr>
              <w:t xml:space="preserve">IFS, infantile fibrosarcoma; MASC, </w:t>
            </w:r>
            <w:r>
              <w:rPr>
                <w:szCs w:val="18"/>
              </w:rPr>
              <w:t>m</w:t>
            </w:r>
            <w:r w:rsidRPr="000E180E">
              <w:rPr>
                <w:szCs w:val="18"/>
              </w:rPr>
              <w:t>ammary analogue secretory carcinoma</w:t>
            </w:r>
            <w:r w:rsidRPr="000E180E">
              <w:rPr>
                <w:color w:val="000000"/>
                <w:szCs w:val="18"/>
              </w:rPr>
              <w:t xml:space="preserve">; NSCLC, </w:t>
            </w:r>
            <w:r w:rsidRPr="000E180E">
              <w:rPr>
                <w:szCs w:val="18"/>
              </w:rPr>
              <w:t>non-small cell lung cancer</w:t>
            </w:r>
          </w:p>
        </w:tc>
      </w:tr>
    </w:tbl>
    <w:p w14:paraId="79700F00" w14:textId="77777777" w:rsidR="00E8612B" w:rsidRPr="002D1DD7" w:rsidRDefault="00E8612B" w:rsidP="00E8612B">
      <w:pPr>
        <w:jc w:val="both"/>
        <w:rPr>
          <w:rFonts w:cs="Times New Roman"/>
        </w:rPr>
      </w:pPr>
    </w:p>
    <w:p w14:paraId="21104CBF" w14:textId="4B67DE68" w:rsidR="00E8612B" w:rsidRPr="002D1DD7" w:rsidRDefault="00E8612B" w:rsidP="00403422">
      <w:r w:rsidRPr="002D1DD7">
        <w:t>The resulting eligible population distribution (</w:t>
      </w:r>
      <w:r w:rsidR="00036323" w:rsidRPr="002D1DD7">
        <w:fldChar w:fldCharType="begin"/>
      </w:r>
      <w:r w:rsidR="00036323" w:rsidRPr="002D1DD7">
        <w:instrText xml:space="preserve"> REF _Ref26803034 \h </w:instrText>
      </w:r>
      <w:r w:rsidR="00036323" w:rsidRPr="002D1DD7">
        <w:fldChar w:fldCharType="separate"/>
      </w:r>
      <w:r w:rsidR="00722078" w:rsidRPr="002D1DD7">
        <w:t xml:space="preserve">Table </w:t>
      </w:r>
      <w:r w:rsidR="00722078">
        <w:rPr>
          <w:noProof/>
        </w:rPr>
        <w:t>16</w:t>
      </w:r>
      <w:r w:rsidR="00036323" w:rsidRPr="002D1DD7">
        <w:fldChar w:fldCharType="end"/>
      </w:r>
      <w:r w:rsidRPr="002D1DD7">
        <w:t>, column (2)) shows the proportions of tumour types in the eligible population differs substantially to the proportions in the larotrectinib trial (</w:t>
      </w:r>
      <w:r w:rsidRPr="002D1DD7">
        <w:fldChar w:fldCharType="begin"/>
      </w:r>
      <w:r w:rsidRPr="002D1DD7">
        <w:instrText xml:space="preserve"> REF _Ref26803034 \h </w:instrText>
      </w:r>
      <w:r w:rsidRPr="002D1DD7">
        <w:fldChar w:fldCharType="separate"/>
      </w:r>
      <w:r w:rsidR="00722078" w:rsidRPr="002D1DD7">
        <w:t xml:space="preserve">Table </w:t>
      </w:r>
      <w:r w:rsidR="00722078">
        <w:rPr>
          <w:noProof/>
        </w:rPr>
        <w:t>16</w:t>
      </w:r>
      <w:r w:rsidRPr="002D1DD7">
        <w:fldChar w:fldCharType="end"/>
      </w:r>
      <w:r w:rsidRPr="002D1DD7">
        <w:t xml:space="preserve">, column (1)). For example, soft tissue sarcoma represents 20% of the population in the larotrectinib trial yet only represents </w:t>
      </w:r>
      <w:r w:rsidR="000E180E">
        <w:t>4</w:t>
      </w:r>
      <w:r w:rsidRPr="002D1DD7">
        <w:t xml:space="preserve">% of the population eligible to receive larotrectinib. </w:t>
      </w:r>
    </w:p>
    <w:p w14:paraId="095D0678" w14:textId="77777777" w:rsidR="00E8612B" w:rsidRPr="002D1DD7" w:rsidRDefault="00E8612B" w:rsidP="000E405B">
      <w:pPr>
        <w:pStyle w:val="Heading6"/>
      </w:pPr>
      <w:r w:rsidRPr="002D1DD7">
        <w:t xml:space="preserve">Unrepresented Tumour Types </w:t>
      </w:r>
    </w:p>
    <w:p w14:paraId="50CDDD38" w14:textId="3F4A94F5" w:rsidR="00E8612B" w:rsidRPr="002D1DD7" w:rsidRDefault="00E8612B" w:rsidP="00403422">
      <w:r w:rsidRPr="002D1DD7">
        <w:t xml:space="preserve">In addition, NTRK fusions have been found in numerous tumour types not included in the larotrectinib trial. </w:t>
      </w:r>
      <w:r w:rsidR="00722078">
        <w:t>Following a histology-indepndent approval decision</w:t>
      </w:r>
      <w:r w:rsidRPr="002D1DD7">
        <w:t>, patients with these tumour types will be eligible for treatment. In addition to the 12 tumour sites included in the larotrectinib trial, there is evidence of NTRK fusions in an additional 17 tumour types or anatomical sites.</w:t>
      </w:r>
      <w:r w:rsidR="006F7FD7">
        <w:fldChar w:fldCharType="begin"/>
      </w:r>
      <w:r w:rsidR="004D5B2B">
        <w:instrText xml:space="preserve"> ADDIN EN.CITE &lt;EndNote&gt;&lt;Cite&gt;&lt;Author&gt;Hsiao&lt;/Author&gt;&lt;Year&gt;2019&lt;/Year&gt;&lt;RecNum&gt;3479&lt;/RecNum&gt;&lt;DisplayText&gt;&lt;style face="superscript"&gt;161&lt;/style&gt;&lt;/DisplayText&gt;&lt;record&gt;&lt;rec-number&gt;3479&lt;/rec-number&gt;&lt;foreign-keys&gt;&lt;key app="EN" db-id="dwaevxvazfs2f3ewvzmxrd0k0wasw55p2z2w" timestamp="1579606097"&gt;3479&lt;/key&gt;&lt;/foreign-keys&gt;&lt;ref-type name="Journal Article"&gt;17&lt;/ref-type&gt;&lt;contributors&gt;&lt;authors&gt;&lt;author&gt;Hsiao, S. J.&lt;/author&gt;&lt;author&gt;Zehir, A.&lt;/author&gt;&lt;author&gt;Sireci, A. N.&lt;/author&gt;&lt;author&gt;Aisner, D. L.&lt;/author&gt;&lt;/authors&gt;&lt;/contributors&gt;&lt;auth-address&gt;Department of Pathology and Cell Biology, Columbia University Medical Center, New York, New York.&amp;#xD;Department of Pathology, Memorial Sloan Kettering Cancer Center, New York, New York.&amp;#xD;Department of Medical Affairs, Loxo Oncology, Inc., Stamford, Connecticut.&amp;#xD;Department of Pathology, University of Colorado, Aurora, Colorado. Electronic address: dara.aisner@ucdenver.edu.&lt;/auth-address&gt;&lt;titles&gt;&lt;title&gt;Detection of tumor NTRK gene fusions to identify patients who may benefit from tyrosine kinase (TRK) inhibitor therapy&lt;/title&gt;&lt;secondary-title&gt;J Mol Diagn&lt;/secondary-title&gt;&lt;/titles&gt;&lt;pages&gt;553-571&lt;/pages&gt;&lt;volume&gt;21&lt;/volume&gt;&lt;number&gt;4&lt;/number&gt;&lt;edition&gt;2019/05/11&lt;/edition&gt;&lt;dates&gt;&lt;year&gt;2019&lt;/year&gt;&lt;pub-dates&gt;&lt;date&gt;Jul&lt;/date&gt;&lt;/pub-dates&gt;&lt;/dates&gt;&lt;isbn&gt;1943-7811 (Electronic)&amp;#xD;1525-1578 (Linking)&lt;/isbn&gt;&lt;accession-num&gt;31075511&lt;/accession-num&gt;&lt;urls&gt;&lt;/urls&gt;&lt;custom4&gt;STEVE&amp;apos;S REFERENCES&lt;/custom4&gt;&lt;electronic-resource-num&gt;S1525-1578(18)30595-6 [pii]&amp;#xD;10.1016/j.jmoldx.2019.03.008&lt;/electronic-resource-num&gt;&lt;research-notes&gt;https://www.ncbi.nlm.nih.gov/pubmed/31075511&lt;/research-notes&gt;&lt;language&gt;eng&lt;/language&gt;&lt;/record&gt;&lt;/Cite&gt;&lt;/EndNote&gt;</w:instrText>
      </w:r>
      <w:r w:rsidR="006F7FD7">
        <w:fldChar w:fldCharType="separate"/>
      </w:r>
      <w:r w:rsidR="004D5B2B" w:rsidRPr="004D5B2B">
        <w:rPr>
          <w:noProof/>
          <w:vertAlign w:val="superscript"/>
        </w:rPr>
        <w:t>161</w:t>
      </w:r>
      <w:r w:rsidR="006F7FD7">
        <w:fldChar w:fldCharType="end"/>
      </w:r>
      <w:r w:rsidRPr="002D1DD7">
        <w:t xml:space="preserve"> The annual eligible population making up the unrepresented tumour types for larotrectinib was again estimated using </w:t>
      </w:r>
      <w:r w:rsidRPr="00403422">
        <w:t xml:space="preserve">equation </w:t>
      </w:r>
      <w:r w:rsidR="00403422">
        <w:t>(4)</w:t>
      </w:r>
      <w:r w:rsidRPr="002D1DD7">
        <w:t xml:space="preserve">. The size of the unrepresented population was calculated to be 152 patients, 55% of the annual eligible population. The calculation of the size of the unrepresented population can be seen </w:t>
      </w:r>
      <w:r w:rsidRPr="00555827">
        <w:t xml:space="preserve">Appendix </w:t>
      </w:r>
      <w:r w:rsidR="007278C1" w:rsidRPr="002D1DD7">
        <w:t>11</w:t>
      </w:r>
      <w:r w:rsidRPr="002D1DD7">
        <w:t xml:space="preserve">. </w:t>
      </w:r>
    </w:p>
    <w:p w14:paraId="04AC8CF5" w14:textId="239E5FE8" w:rsidR="00E8612B" w:rsidRPr="002D1DD7" w:rsidRDefault="00E8612B" w:rsidP="00403422">
      <w:r w:rsidRPr="002D1DD7">
        <w:t xml:space="preserve">The eligible population including the unrepresented population </w:t>
      </w:r>
      <w:r w:rsidR="00CE10A1">
        <w:t xml:space="preserve">is shown </w:t>
      </w:r>
      <w:r w:rsidRPr="002D1DD7">
        <w:t xml:space="preserve">in </w:t>
      </w:r>
      <w:r w:rsidRPr="002D1DD7">
        <w:fldChar w:fldCharType="begin"/>
      </w:r>
      <w:r w:rsidRPr="002D1DD7">
        <w:instrText xml:space="preserve"> REF _Ref26803034 \h </w:instrText>
      </w:r>
      <w:r w:rsidRPr="002D1DD7">
        <w:fldChar w:fldCharType="separate"/>
      </w:r>
      <w:r w:rsidR="003E4C2B" w:rsidRPr="002D1DD7">
        <w:t xml:space="preserve">Table </w:t>
      </w:r>
      <w:r w:rsidR="003E4C2B">
        <w:rPr>
          <w:noProof/>
        </w:rPr>
        <w:t>16</w:t>
      </w:r>
      <w:r w:rsidRPr="002D1DD7">
        <w:fldChar w:fldCharType="end"/>
      </w:r>
      <w:r w:rsidRPr="002D1DD7">
        <w:t xml:space="preserve">. As can be seen from the comparison of the proportion of tumour types in eligible population with and without the inclusion of the unrepresented tumour types, the proportions differ. Individuals with soft tissue sarcoma represented 4% of the tumours in the eligible population and 1.8% when the unrepresented population is included.   </w:t>
      </w:r>
    </w:p>
    <w:p w14:paraId="3F535C7B" w14:textId="56E4925E" w:rsidR="00E8612B" w:rsidRPr="002D1DD7" w:rsidRDefault="00E8612B" w:rsidP="000E405B">
      <w:pPr>
        <w:pStyle w:val="Heading6"/>
      </w:pPr>
      <w:r w:rsidRPr="002D1DD7">
        <w:lastRenderedPageBreak/>
        <w:t xml:space="preserve">Position in Treatment Pathway </w:t>
      </w:r>
    </w:p>
    <w:p w14:paraId="7C0FBF4F" w14:textId="5563B891" w:rsidR="00E8612B" w:rsidRPr="002D1DD7" w:rsidRDefault="00E8612B" w:rsidP="00403422">
      <w:r w:rsidRPr="002D1DD7">
        <w:t xml:space="preserve">If we assume the Trk-inhibitors will be given as a first-line therapy and 100% of patients will receive it in every tumour type, then the distribution of tumour types will be the real-world distribution. However, testing and position in the treatment pathway can impact this distribution. </w:t>
      </w:r>
    </w:p>
    <w:p w14:paraId="032B37BC" w14:textId="24E11EB6" w:rsidR="00E8612B" w:rsidRPr="002D1DD7" w:rsidRDefault="00E8612B" w:rsidP="005B2BE3">
      <w:r w:rsidRPr="002D1DD7">
        <w:t xml:space="preserve">The position in which genomic testing is offered to identify NTRK fusions will alter the annual population eligible for larotrectinib and other Trk-inhibitors. If testing were to be offered at the position in the treatment pathway where larotrectinib would be given, the annual eligible population will be lower </w:t>
      </w:r>
      <w:r w:rsidR="00443742">
        <w:t xml:space="preserve">than the population identified by upfront screening </w:t>
      </w:r>
      <w:r w:rsidRPr="002D1DD7">
        <w:t xml:space="preserve">as some individuals who were NTRK fusion positive could have responded to alternative therapies, not be fit enough or have died before becoming eligible for Trk-inhibitor treatment (See </w:t>
      </w:r>
      <w:r w:rsidRPr="002D1DD7">
        <w:rPr>
          <w:shd w:val="clear" w:color="auto" w:fill="FFFFFF" w:themeFill="background1"/>
        </w:rPr>
        <w:t>Section</w:t>
      </w:r>
      <w:r w:rsidRPr="002D1DD7">
        <w:t xml:space="preserve"> </w:t>
      </w:r>
      <w:r w:rsidR="005E7045">
        <w:fldChar w:fldCharType="begin"/>
      </w:r>
      <w:r w:rsidR="005E7045">
        <w:instrText xml:space="preserve"> REF _Ref27397381 \r \h </w:instrText>
      </w:r>
      <w:r w:rsidR="005E7045">
        <w:fldChar w:fldCharType="separate"/>
      </w:r>
      <w:r w:rsidR="00C663A2">
        <w:t>6.4</w:t>
      </w:r>
      <w:r w:rsidR="005E7045">
        <w:fldChar w:fldCharType="end"/>
      </w:r>
      <w:r w:rsidRPr="002D1DD7">
        <w:t xml:space="preserve">). </w:t>
      </w:r>
    </w:p>
    <w:p w14:paraId="6EB58A4D" w14:textId="002AB48E" w:rsidR="00A436D8" w:rsidRDefault="00E8612B" w:rsidP="005B2BE3">
      <w:r w:rsidRPr="002D1DD7">
        <w:t xml:space="preserve">As the position of larotrectinib is likely to differ between tumours, owing to the availability of other </w:t>
      </w:r>
      <w:r w:rsidR="000F659B">
        <w:t>‘</w:t>
      </w:r>
      <w:r w:rsidRPr="002D1DD7">
        <w:t>satisfactory</w:t>
      </w:r>
      <w:r w:rsidR="000F659B">
        <w:t>’</w:t>
      </w:r>
      <w:r w:rsidRPr="002D1DD7">
        <w:t xml:space="preserve"> therapies, the overall distribution of individuals across tumour types in the eligible population is likely to change</w:t>
      </w:r>
      <w:r w:rsidR="005E7045">
        <w:t xml:space="preserve"> relative to the </w:t>
      </w:r>
      <w:r w:rsidR="00443742">
        <w:t>distribution assuming 100% of eligible patients receive the Trk-inhibitor as a first line therapy</w:t>
      </w:r>
      <w:r w:rsidR="000F659B">
        <w:t>,</w:t>
      </w:r>
      <w:r w:rsidR="00443742">
        <w:t xml:space="preserve"> i.e.</w:t>
      </w:r>
      <w:r w:rsidR="00443742" w:rsidRPr="002D1DD7">
        <w:t xml:space="preserve"> </w:t>
      </w:r>
      <w:r w:rsidR="00443742" w:rsidRPr="002D1DD7">
        <w:fldChar w:fldCharType="begin"/>
      </w:r>
      <w:r w:rsidR="00443742" w:rsidRPr="002D1DD7">
        <w:instrText xml:space="preserve"> REF _Ref26803034 \h </w:instrText>
      </w:r>
      <w:r w:rsidR="00443742" w:rsidRPr="002D1DD7">
        <w:fldChar w:fldCharType="separate"/>
      </w:r>
      <w:r w:rsidR="003E4C2B" w:rsidRPr="002D1DD7">
        <w:t xml:space="preserve">Table </w:t>
      </w:r>
      <w:r w:rsidR="003E4C2B">
        <w:rPr>
          <w:noProof/>
        </w:rPr>
        <w:t>16</w:t>
      </w:r>
      <w:r w:rsidR="00443742" w:rsidRPr="002D1DD7">
        <w:fldChar w:fldCharType="end"/>
      </w:r>
      <w:r w:rsidR="00443742" w:rsidRPr="002D1DD7">
        <w:t>, column (2)</w:t>
      </w:r>
      <w:r w:rsidR="00443742">
        <w:t xml:space="preserve">. </w:t>
      </w:r>
    </w:p>
    <w:p w14:paraId="300DBE16" w14:textId="18A043FC" w:rsidR="007C619C" w:rsidRDefault="00E8612B" w:rsidP="005B2BE3">
      <w:r w:rsidRPr="002D1DD7">
        <w:t>To demonstrate the impact the position in the treatment pathway will have on the distribution</w:t>
      </w:r>
      <w:r w:rsidR="004A4474">
        <w:t xml:space="preserve"> of patients eligible for treatment with larotrectinib</w:t>
      </w:r>
      <w:r w:rsidRPr="002D1DD7">
        <w:t>, an estimate of the likely position was obtained from the FDA review for larotrectinib.</w:t>
      </w:r>
      <w:r w:rsidR="006F7FD7">
        <w:fldChar w:fldCharType="begin"/>
      </w:r>
      <w:r w:rsidR="006F7FD7">
        <w:instrText xml:space="preserve"> ADDIN EN.CITE &lt;EndNote&gt;&lt;Cite&gt;&lt;Author&gt;U.S. Department of Health and Human Services. Food and Drug Administration&lt;/Author&gt;&lt;Year&gt;2018&lt;/Year&gt;&lt;RecNum&gt;3516&lt;/RecNum&gt;&lt;DisplayText&gt;&lt;style face="superscript"&gt;9&lt;/style&gt;&lt;/DisplayText&gt;&lt;record&gt;&lt;rec-number&gt;3516&lt;/rec-number&gt;&lt;foreign-keys&gt;&lt;key app="EN" db-id="dwaevxvazfs2f3ewvzmxrd0k0wasw55p2z2w" timestamp="1579606100"&gt;3516&lt;/key&gt;&lt;/foreign-keys&gt;&lt;ref-type name="Web Page"&gt;12&lt;/ref-type&gt;&lt;contributors&gt;&lt;authors&gt;&lt;author&gt;U.S. Department of Health and Human Services. Food and Drug Administration,&lt;/author&gt;&lt;/authors&gt;&lt;/contributors&gt;&lt;titles&gt;&lt;title&gt;Drug Approval Package: Vitrakvi (larotrectinib)&lt;/title&gt;&lt;/titles&gt;&lt;volume&gt;2020&lt;/volume&gt;&lt;number&gt;17th January&lt;/number&gt;&lt;dates&gt;&lt;year&gt;2018&lt;/year&gt;&lt;/dates&gt;&lt;publisher&gt;FDA&lt;/publisher&gt;&lt;urls&gt;&lt;related-urls&gt;&lt;url&gt;https://www.accessdata.fda.gov/drugsatfda_docs/nda/2018/210861Orig1s000_21171Orig1s000TOC.cfm&lt;/url&gt;&lt;/related-urls&gt;&lt;/urls&gt;&lt;custom4&gt;STEVE&amp;apos;S REFERENCES&lt;/custom4&gt;&lt;/record&gt;&lt;/Cite&gt;&lt;/EndNote&gt;</w:instrText>
      </w:r>
      <w:r w:rsidR="006F7FD7">
        <w:fldChar w:fldCharType="separate"/>
      </w:r>
      <w:r w:rsidR="006F7FD7" w:rsidRPr="006F7FD7">
        <w:rPr>
          <w:noProof/>
          <w:vertAlign w:val="superscript"/>
        </w:rPr>
        <w:t>9</w:t>
      </w:r>
      <w:r w:rsidR="006F7FD7">
        <w:fldChar w:fldCharType="end"/>
      </w:r>
      <w:r w:rsidRPr="002D1DD7">
        <w:t xml:space="preserve"> For the tumour types where there was no indication of where larotrectinib would be positioned, it was assumed that the drug would be offered as a third line therapy. Based on clinical advice, it was assumed that for the tumours where larotrectinib was offered first-line, 90% of </w:t>
      </w:r>
      <w:r w:rsidR="007C619C">
        <w:t xml:space="preserve">eligible </w:t>
      </w:r>
      <w:r w:rsidRPr="002D1DD7">
        <w:t>patients would be fit enough for treatment</w:t>
      </w:r>
      <w:r w:rsidR="007C619C">
        <w:t>. It was assumed</w:t>
      </w:r>
      <w:r w:rsidR="00BC1BD3">
        <w:t xml:space="preserve"> that,</w:t>
      </w:r>
      <w:r w:rsidR="007C619C">
        <w:t xml:space="preserve"> for those in which larotrectinib was offered second line and third line, </w:t>
      </w:r>
      <w:r w:rsidR="007C619C" w:rsidRPr="002D1DD7">
        <w:t>60%</w:t>
      </w:r>
      <w:r w:rsidR="007C619C">
        <w:t xml:space="preserve"> and 30% of the eligible population would be treated with larotrectinib, respectively. </w:t>
      </w:r>
    </w:p>
    <w:p w14:paraId="358EAA04" w14:textId="42A5BC10" w:rsidR="00E8612B" w:rsidRPr="002D1DD7" w:rsidRDefault="00E8612B" w:rsidP="00BC1BD3">
      <w:r w:rsidRPr="002D1DD7">
        <w:t xml:space="preserve">As can be seen in </w:t>
      </w:r>
      <w:r w:rsidRPr="002D1DD7">
        <w:fldChar w:fldCharType="begin"/>
      </w:r>
      <w:r w:rsidRPr="002D1DD7">
        <w:instrText xml:space="preserve"> REF _Ref26803034 \h </w:instrText>
      </w:r>
      <w:r w:rsidRPr="002D1DD7">
        <w:fldChar w:fldCharType="separate"/>
      </w:r>
      <w:r w:rsidR="003E4C2B" w:rsidRPr="002D1DD7">
        <w:t xml:space="preserve">Table </w:t>
      </w:r>
      <w:r w:rsidR="003E4C2B">
        <w:rPr>
          <w:noProof/>
        </w:rPr>
        <w:t>16</w:t>
      </w:r>
      <w:r w:rsidRPr="002D1DD7">
        <w:fldChar w:fldCharType="end"/>
      </w:r>
      <w:r w:rsidRPr="002D1DD7">
        <w:t xml:space="preserve">, column (4), the final distribution when considering positioning in the treatment pathway again changes the distribution of tumour types. For example, infantile fibrosarcoma increased from 9.8% of the population to 22.4% of the population when accounting for position in the treatment pathway. </w:t>
      </w:r>
    </w:p>
    <w:p w14:paraId="3D1D384A" w14:textId="2BD0A8E6" w:rsidR="00E8612B" w:rsidRPr="002D1DD7" w:rsidRDefault="00E8612B" w:rsidP="00BC1BD3">
      <w:r w:rsidRPr="002D1DD7">
        <w:t>By comparing the trial distribution</w:t>
      </w:r>
      <w:r w:rsidR="00357460">
        <w:t xml:space="preserve"> in</w:t>
      </w:r>
      <w:r w:rsidRPr="002D1DD7">
        <w:t xml:space="preserve"> </w:t>
      </w:r>
      <w:r w:rsidRPr="002D1DD7">
        <w:fldChar w:fldCharType="begin"/>
      </w:r>
      <w:r w:rsidRPr="002D1DD7">
        <w:instrText xml:space="preserve"> REF _Ref26803034 \h </w:instrText>
      </w:r>
      <w:r w:rsidRPr="002D1DD7">
        <w:fldChar w:fldCharType="separate"/>
      </w:r>
      <w:r w:rsidR="00C9471F" w:rsidRPr="002D1DD7">
        <w:t xml:space="preserve">Table </w:t>
      </w:r>
      <w:r w:rsidR="00C9471F">
        <w:rPr>
          <w:noProof/>
        </w:rPr>
        <w:t>16</w:t>
      </w:r>
      <w:r w:rsidRPr="002D1DD7">
        <w:fldChar w:fldCharType="end"/>
      </w:r>
      <w:r w:rsidRPr="002D1DD7">
        <w:t xml:space="preserve">, column (1) to the eligible population including the unrepresented tumour types and allowing for the position in the treatment in the pathway, we can see the considerable difference in the proportions of tumour types. As </w:t>
      </w:r>
      <w:r w:rsidR="00357460">
        <w:t>has</w:t>
      </w:r>
      <w:r w:rsidR="00357460" w:rsidRPr="002D1DD7">
        <w:t xml:space="preserve"> </w:t>
      </w:r>
      <w:r w:rsidRPr="002D1DD7">
        <w:t xml:space="preserve">been discussed previously, if </w:t>
      </w:r>
      <w:r w:rsidR="00CE10A1">
        <w:t xml:space="preserve">the cost-effectiveness of </w:t>
      </w:r>
      <w:r w:rsidRPr="002D1DD7">
        <w:t xml:space="preserve">a histology-independent technology </w:t>
      </w:r>
      <w:r w:rsidR="00CE10A1">
        <w:t xml:space="preserve">is based on </w:t>
      </w:r>
      <w:r w:rsidRPr="002D1DD7">
        <w:t xml:space="preserve">single estimates of costs and outcomes based on the average of tumour types present in the clinical evidence, the resulting uncertainty will be significant given incremental costs and outcomes are likely to differ substantially across tumour types. </w:t>
      </w:r>
    </w:p>
    <w:p w14:paraId="4E1F662D" w14:textId="77777777" w:rsidR="00E8612B" w:rsidRPr="002D1DD7" w:rsidRDefault="00E8612B" w:rsidP="009B1EE8">
      <w:pPr>
        <w:sectPr w:rsidR="00E8612B" w:rsidRPr="002D1DD7" w:rsidSect="00B0116C">
          <w:pgSz w:w="11906" w:h="16838"/>
          <w:pgMar w:top="1440" w:right="1440" w:bottom="1440" w:left="1440" w:header="709" w:footer="709" w:gutter="0"/>
          <w:cols w:space="708"/>
          <w:docGrid w:linePitch="360"/>
        </w:sectPr>
      </w:pPr>
      <w:bookmarkStart w:id="183" w:name="_Ref26448466"/>
      <w:bookmarkEnd w:id="183"/>
    </w:p>
    <w:p w14:paraId="259FA4B1" w14:textId="3715D142" w:rsidR="00E8612B" w:rsidRPr="002D1DD7" w:rsidRDefault="00E8612B" w:rsidP="00BC1BD3">
      <w:pPr>
        <w:pStyle w:val="Caption"/>
      </w:pPr>
      <w:bookmarkStart w:id="184" w:name="_Ref26803034"/>
      <w:bookmarkStart w:id="185" w:name="_Toc34033530"/>
      <w:r w:rsidRPr="002D1DD7">
        <w:lastRenderedPageBreak/>
        <w:t xml:space="preserve">Table </w:t>
      </w:r>
      <w:r w:rsidR="00C974E5">
        <w:fldChar w:fldCharType="begin"/>
      </w:r>
      <w:r w:rsidR="00C974E5">
        <w:instrText xml:space="preserve"> SEQ Table \* ARABIC </w:instrText>
      </w:r>
      <w:r w:rsidR="00C974E5">
        <w:fldChar w:fldCharType="separate"/>
      </w:r>
      <w:r w:rsidR="00C9471F">
        <w:rPr>
          <w:noProof/>
        </w:rPr>
        <w:t>16</w:t>
      </w:r>
      <w:r w:rsidR="00C974E5">
        <w:rPr>
          <w:noProof/>
        </w:rPr>
        <w:fldChar w:fldCharType="end"/>
      </w:r>
      <w:bookmarkEnd w:id="184"/>
      <w:r w:rsidR="008C7423">
        <w:rPr>
          <w:noProof/>
        </w:rPr>
        <w:t>:</w:t>
      </w:r>
      <w:r w:rsidRPr="002D1DD7">
        <w:t xml:space="preserve"> Alternative tumour distributions</w:t>
      </w:r>
      <w:bookmarkEnd w:id="185"/>
    </w:p>
    <w:tbl>
      <w:tblPr>
        <w:tblStyle w:val="TableGrid"/>
        <w:tblW w:w="0" w:type="auto"/>
        <w:tblLook w:val="04A0" w:firstRow="1" w:lastRow="0" w:firstColumn="1" w:lastColumn="0" w:noHBand="0" w:noVBand="1"/>
      </w:tblPr>
      <w:tblGrid>
        <w:gridCol w:w="2221"/>
        <w:gridCol w:w="1272"/>
        <w:gridCol w:w="1272"/>
        <w:gridCol w:w="1366"/>
        <w:gridCol w:w="1272"/>
        <w:gridCol w:w="1366"/>
        <w:gridCol w:w="1664"/>
        <w:gridCol w:w="971"/>
        <w:gridCol w:w="1272"/>
        <w:gridCol w:w="1272"/>
      </w:tblGrid>
      <w:tr w:rsidR="00BC1BD3" w:rsidRPr="00BC1BD3" w14:paraId="140B94B2" w14:textId="77777777" w:rsidTr="00BC1BD3">
        <w:trPr>
          <w:trHeight w:val="340"/>
        </w:trPr>
        <w:tc>
          <w:tcPr>
            <w:tcW w:w="2221" w:type="dxa"/>
            <w:tcBorders>
              <w:right w:val="single" w:sz="4" w:space="0" w:color="auto"/>
            </w:tcBorders>
            <w:noWrap/>
            <w:vAlign w:val="center"/>
            <w:hideMark/>
          </w:tcPr>
          <w:p w14:paraId="787DD3B1"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Tumour Type</w:t>
            </w:r>
          </w:p>
        </w:tc>
        <w:tc>
          <w:tcPr>
            <w:tcW w:w="1272" w:type="dxa"/>
            <w:tcBorders>
              <w:right w:val="single" w:sz="4" w:space="0" w:color="auto"/>
            </w:tcBorders>
          </w:tcPr>
          <w:p w14:paraId="13E49D8C" w14:textId="77777777" w:rsidR="00BC1BD3" w:rsidRPr="00BC1BD3" w:rsidRDefault="00BC1BD3" w:rsidP="00BC1BD3">
            <w:pPr>
              <w:pStyle w:val="NoSpacing"/>
              <w:contextualSpacing/>
              <w:jc w:val="center"/>
              <w:rPr>
                <w:rFonts w:cs="Times New Roman"/>
                <w:b/>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0E2F32C0" w14:textId="26EAAC66"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Trial population (n)</w:t>
            </w:r>
          </w:p>
        </w:tc>
        <w:tc>
          <w:tcPr>
            <w:tcW w:w="1366" w:type="dxa"/>
            <w:tcBorders>
              <w:top w:val="single" w:sz="4" w:space="0" w:color="auto"/>
              <w:left w:val="nil"/>
              <w:bottom w:val="single" w:sz="4" w:space="0" w:color="auto"/>
              <w:right w:val="single" w:sz="4" w:space="0" w:color="auto"/>
            </w:tcBorders>
            <w:noWrap/>
            <w:vAlign w:val="center"/>
            <w:hideMark/>
          </w:tcPr>
          <w:p w14:paraId="43BAB68F"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Trial proportions (1)</w:t>
            </w:r>
          </w:p>
        </w:tc>
        <w:tc>
          <w:tcPr>
            <w:tcW w:w="1272" w:type="dxa"/>
            <w:tcBorders>
              <w:top w:val="single" w:sz="4" w:space="0" w:color="auto"/>
              <w:left w:val="single" w:sz="4" w:space="0" w:color="auto"/>
              <w:bottom w:val="single" w:sz="4" w:space="0" w:color="auto"/>
              <w:right w:val="nil"/>
            </w:tcBorders>
            <w:noWrap/>
            <w:vAlign w:val="center"/>
            <w:hideMark/>
          </w:tcPr>
          <w:p w14:paraId="6CFA5860"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Eligible population (n)</w:t>
            </w:r>
          </w:p>
        </w:tc>
        <w:tc>
          <w:tcPr>
            <w:tcW w:w="1366" w:type="dxa"/>
            <w:tcBorders>
              <w:top w:val="single" w:sz="4" w:space="0" w:color="auto"/>
              <w:left w:val="nil"/>
              <w:bottom w:val="single" w:sz="4" w:space="0" w:color="auto"/>
              <w:right w:val="nil"/>
            </w:tcBorders>
            <w:noWrap/>
            <w:vAlign w:val="center"/>
            <w:hideMark/>
          </w:tcPr>
          <w:p w14:paraId="5B1D3F34"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Eligible population proportions (2)</w:t>
            </w:r>
          </w:p>
        </w:tc>
        <w:tc>
          <w:tcPr>
            <w:tcW w:w="1664" w:type="dxa"/>
            <w:tcBorders>
              <w:top w:val="single" w:sz="4" w:space="0" w:color="auto"/>
              <w:left w:val="nil"/>
              <w:bottom w:val="single" w:sz="4" w:space="0" w:color="auto"/>
              <w:right w:val="single" w:sz="4" w:space="0" w:color="auto"/>
            </w:tcBorders>
            <w:noWrap/>
            <w:vAlign w:val="center"/>
            <w:hideMark/>
          </w:tcPr>
          <w:p w14:paraId="0C0E9020"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Eligible population + unrepresented  proportions             (3)</w:t>
            </w:r>
          </w:p>
        </w:tc>
        <w:tc>
          <w:tcPr>
            <w:tcW w:w="971" w:type="dxa"/>
            <w:tcBorders>
              <w:top w:val="single" w:sz="4" w:space="0" w:color="auto"/>
              <w:left w:val="single" w:sz="4" w:space="0" w:color="auto"/>
              <w:bottom w:val="single" w:sz="4" w:space="0" w:color="auto"/>
              <w:right w:val="nil"/>
            </w:tcBorders>
            <w:noWrap/>
            <w:vAlign w:val="center"/>
            <w:hideMark/>
          </w:tcPr>
          <w:p w14:paraId="25BBD41F"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 treated based on line of therapy</w:t>
            </w:r>
          </w:p>
        </w:tc>
        <w:tc>
          <w:tcPr>
            <w:tcW w:w="1272" w:type="dxa"/>
            <w:tcBorders>
              <w:top w:val="single" w:sz="4" w:space="0" w:color="auto"/>
              <w:left w:val="nil"/>
              <w:bottom w:val="single" w:sz="4" w:space="0" w:color="auto"/>
              <w:right w:val="nil"/>
            </w:tcBorders>
            <w:noWrap/>
            <w:vAlign w:val="center"/>
            <w:hideMark/>
          </w:tcPr>
          <w:p w14:paraId="31C58174"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Treated population based on line of therapy</w:t>
            </w:r>
          </w:p>
        </w:tc>
        <w:tc>
          <w:tcPr>
            <w:tcW w:w="1272" w:type="dxa"/>
            <w:tcBorders>
              <w:top w:val="single" w:sz="4" w:space="0" w:color="auto"/>
              <w:left w:val="nil"/>
              <w:bottom w:val="single" w:sz="4" w:space="0" w:color="auto"/>
              <w:right w:val="single" w:sz="4" w:space="0" w:color="auto"/>
            </w:tcBorders>
            <w:noWrap/>
            <w:vAlign w:val="center"/>
            <w:hideMark/>
          </w:tcPr>
          <w:p w14:paraId="010410F7" w14:textId="77777777" w:rsidR="00BC1BD3" w:rsidRPr="00BC1BD3" w:rsidRDefault="00BC1BD3" w:rsidP="00BC1BD3">
            <w:pPr>
              <w:pStyle w:val="NoSpacing"/>
              <w:contextualSpacing/>
              <w:jc w:val="center"/>
              <w:rPr>
                <w:rFonts w:cs="Times New Roman"/>
                <w:b/>
                <w:sz w:val="20"/>
                <w:szCs w:val="20"/>
              </w:rPr>
            </w:pPr>
            <w:r w:rsidRPr="00BC1BD3">
              <w:rPr>
                <w:rFonts w:cs="Times New Roman"/>
                <w:b/>
                <w:sz w:val="20"/>
                <w:szCs w:val="20"/>
              </w:rPr>
              <w:t>Eligible population including line of therapy</w:t>
            </w:r>
          </w:p>
        </w:tc>
      </w:tr>
      <w:tr w:rsidR="000E180E" w:rsidRPr="00BC1BD3" w14:paraId="08C15650" w14:textId="77777777" w:rsidTr="00B3496B">
        <w:trPr>
          <w:trHeight w:val="340"/>
        </w:trPr>
        <w:tc>
          <w:tcPr>
            <w:tcW w:w="13948" w:type="dxa"/>
            <w:gridSpan w:val="10"/>
            <w:shd w:val="clear" w:color="auto" w:fill="BFBFBF" w:themeFill="background1" w:themeFillShade="BF"/>
          </w:tcPr>
          <w:p w14:paraId="1B5436A7" w14:textId="447CCB31" w:rsidR="000E180E" w:rsidRPr="00BC1BD3" w:rsidRDefault="000E180E" w:rsidP="00BC1BD3">
            <w:pPr>
              <w:pStyle w:val="NoSpacing"/>
              <w:contextualSpacing/>
              <w:rPr>
                <w:rFonts w:cs="Times New Roman"/>
                <w:b/>
                <w:sz w:val="20"/>
                <w:szCs w:val="20"/>
              </w:rPr>
            </w:pPr>
            <w:r w:rsidRPr="00BC1BD3">
              <w:rPr>
                <w:rFonts w:cs="Times New Roman"/>
                <w:b/>
                <w:sz w:val="20"/>
                <w:szCs w:val="20"/>
              </w:rPr>
              <w:t>Represented</w:t>
            </w:r>
          </w:p>
        </w:tc>
      </w:tr>
      <w:tr w:rsidR="00BC1BD3" w:rsidRPr="00BC1BD3" w14:paraId="3DAE3752" w14:textId="77777777" w:rsidTr="00BC1BD3">
        <w:trPr>
          <w:trHeight w:val="340"/>
        </w:trPr>
        <w:tc>
          <w:tcPr>
            <w:tcW w:w="2221" w:type="dxa"/>
            <w:tcBorders>
              <w:right w:val="single" w:sz="4" w:space="0" w:color="auto"/>
            </w:tcBorders>
            <w:noWrap/>
            <w:vAlign w:val="center"/>
            <w:hideMark/>
          </w:tcPr>
          <w:p w14:paraId="7C18E847"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Soft tissue sarcoma</w:t>
            </w:r>
          </w:p>
        </w:tc>
        <w:tc>
          <w:tcPr>
            <w:tcW w:w="1272" w:type="dxa"/>
            <w:tcBorders>
              <w:right w:val="single" w:sz="4" w:space="0" w:color="auto"/>
            </w:tcBorders>
          </w:tcPr>
          <w:p w14:paraId="29B90604"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6293F09A" w14:textId="4D289A6C"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w:t>
            </w:r>
          </w:p>
        </w:tc>
        <w:tc>
          <w:tcPr>
            <w:tcW w:w="1366" w:type="dxa"/>
            <w:tcBorders>
              <w:top w:val="single" w:sz="4" w:space="0" w:color="auto"/>
              <w:left w:val="nil"/>
              <w:bottom w:val="single" w:sz="4" w:space="0" w:color="auto"/>
              <w:right w:val="single" w:sz="4" w:space="0" w:color="auto"/>
            </w:tcBorders>
            <w:noWrap/>
            <w:vAlign w:val="center"/>
            <w:hideMark/>
          </w:tcPr>
          <w:p w14:paraId="60822F77"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20%</w:t>
            </w:r>
          </w:p>
        </w:tc>
        <w:tc>
          <w:tcPr>
            <w:tcW w:w="1272" w:type="dxa"/>
            <w:tcBorders>
              <w:top w:val="single" w:sz="4" w:space="0" w:color="auto"/>
              <w:left w:val="single" w:sz="4" w:space="0" w:color="auto"/>
              <w:bottom w:val="single" w:sz="4" w:space="0" w:color="auto"/>
              <w:right w:val="nil"/>
            </w:tcBorders>
            <w:noWrap/>
            <w:vAlign w:val="center"/>
            <w:hideMark/>
          </w:tcPr>
          <w:p w14:paraId="7D63DB2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w:t>
            </w:r>
          </w:p>
        </w:tc>
        <w:tc>
          <w:tcPr>
            <w:tcW w:w="1366" w:type="dxa"/>
            <w:tcBorders>
              <w:top w:val="single" w:sz="4" w:space="0" w:color="auto"/>
              <w:left w:val="nil"/>
              <w:bottom w:val="single" w:sz="4" w:space="0" w:color="auto"/>
              <w:right w:val="nil"/>
            </w:tcBorders>
            <w:noWrap/>
            <w:vAlign w:val="center"/>
            <w:hideMark/>
          </w:tcPr>
          <w:p w14:paraId="7ADBF2E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4.00%</w:t>
            </w:r>
          </w:p>
        </w:tc>
        <w:tc>
          <w:tcPr>
            <w:tcW w:w="1664" w:type="dxa"/>
            <w:tcBorders>
              <w:top w:val="single" w:sz="4" w:space="0" w:color="auto"/>
              <w:left w:val="nil"/>
              <w:bottom w:val="single" w:sz="4" w:space="0" w:color="auto"/>
              <w:right w:val="single" w:sz="4" w:space="0" w:color="auto"/>
            </w:tcBorders>
            <w:noWrap/>
            <w:vAlign w:val="center"/>
            <w:hideMark/>
          </w:tcPr>
          <w:p w14:paraId="6301C87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1.80%</w:t>
            </w:r>
          </w:p>
        </w:tc>
        <w:tc>
          <w:tcPr>
            <w:tcW w:w="971" w:type="dxa"/>
            <w:tcBorders>
              <w:top w:val="single" w:sz="4" w:space="0" w:color="auto"/>
              <w:left w:val="single" w:sz="4" w:space="0" w:color="auto"/>
              <w:bottom w:val="single" w:sz="4" w:space="0" w:color="auto"/>
              <w:right w:val="nil"/>
            </w:tcBorders>
            <w:noWrap/>
            <w:vAlign w:val="center"/>
            <w:hideMark/>
          </w:tcPr>
          <w:p w14:paraId="5673E9D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90%</w:t>
            </w:r>
          </w:p>
        </w:tc>
        <w:tc>
          <w:tcPr>
            <w:tcW w:w="1272" w:type="dxa"/>
            <w:tcBorders>
              <w:top w:val="single" w:sz="4" w:space="0" w:color="auto"/>
              <w:left w:val="nil"/>
              <w:bottom w:val="single" w:sz="4" w:space="0" w:color="auto"/>
              <w:right w:val="nil"/>
            </w:tcBorders>
            <w:noWrap/>
            <w:vAlign w:val="center"/>
            <w:hideMark/>
          </w:tcPr>
          <w:p w14:paraId="37DE1BC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4.5</w:t>
            </w:r>
          </w:p>
        </w:tc>
        <w:tc>
          <w:tcPr>
            <w:tcW w:w="1272" w:type="dxa"/>
            <w:tcBorders>
              <w:top w:val="single" w:sz="4" w:space="0" w:color="auto"/>
              <w:left w:val="nil"/>
              <w:bottom w:val="single" w:sz="4" w:space="0" w:color="auto"/>
              <w:right w:val="single" w:sz="4" w:space="0" w:color="auto"/>
            </w:tcBorders>
            <w:noWrap/>
            <w:vAlign w:val="center"/>
            <w:hideMark/>
          </w:tcPr>
          <w:p w14:paraId="5EDC1F6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4.20%</w:t>
            </w:r>
          </w:p>
        </w:tc>
      </w:tr>
      <w:tr w:rsidR="00BC1BD3" w:rsidRPr="00BC1BD3" w14:paraId="710F38ED" w14:textId="77777777" w:rsidTr="00BC1BD3">
        <w:trPr>
          <w:trHeight w:val="340"/>
        </w:trPr>
        <w:tc>
          <w:tcPr>
            <w:tcW w:w="2221" w:type="dxa"/>
            <w:tcBorders>
              <w:right w:val="single" w:sz="4" w:space="0" w:color="auto"/>
            </w:tcBorders>
            <w:noWrap/>
            <w:vAlign w:val="center"/>
            <w:hideMark/>
          </w:tcPr>
          <w:p w14:paraId="5F8D0A65"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Appendix</w:t>
            </w:r>
          </w:p>
        </w:tc>
        <w:tc>
          <w:tcPr>
            <w:tcW w:w="1272" w:type="dxa"/>
            <w:tcBorders>
              <w:right w:val="single" w:sz="4" w:space="0" w:color="auto"/>
            </w:tcBorders>
          </w:tcPr>
          <w:p w14:paraId="43369220"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40D4BB14" w14:textId="3A289DB2"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w:t>
            </w:r>
          </w:p>
        </w:tc>
        <w:tc>
          <w:tcPr>
            <w:tcW w:w="1366" w:type="dxa"/>
            <w:tcBorders>
              <w:top w:val="single" w:sz="4" w:space="0" w:color="auto"/>
              <w:left w:val="nil"/>
              <w:bottom w:val="single" w:sz="4" w:space="0" w:color="auto"/>
              <w:right w:val="single" w:sz="4" w:space="0" w:color="auto"/>
            </w:tcBorders>
            <w:noWrap/>
            <w:vAlign w:val="center"/>
            <w:hideMark/>
          </w:tcPr>
          <w:p w14:paraId="3C19C7C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272" w:type="dxa"/>
            <w:tcBorders>
              <w:top w:val="single" w:sz="4" w:space="0" w:color="auto"/>
              <w:left w:val="single" w:sz="4" w:space="0" w:color="auto"/>
              <w:bottom w:val="single" w:sz="4" w:space="0" w:color="auto"/>
              <w:right w:val="nil"/>
            </w:tcBorders>
            <w:noWrap/>
            <w:vAlign w:val="center"/>
            <w:hideMark/>
          </w:tcPr>
          <w:p w14:paraId="441305F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16</w:t>
            </w:r>
          </w:p>
        </w:tc>
        <w:tc>
          <w:tcPr>
            <w:tcW w:w="1366" w:type="dxa"/>
            <w:tcBorders>
              <w:top w:val="single" w:sz="4" w:space="0" w:color="auto"/>
              <w:left w:val="nil"/>
              <w:bottom w:val="single" w:sz="4" w:space="0" w:color="auto"/>
              <w:right w:val="nil"/>
            </w:tcBorders>
            <w:noWrap/>
            <w:vAlign w:val="center"/>
            <w:hideMark/>
          </w:tcPr>
          <w:p w14:paraId="28D9F18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12.80%</w:t>
            </w:r>
          </w:p>
        </w:tc>
        <w:tc>
          <w:tcPr>
            <w:tcW w:w="1664" w:type="dxa"/>
            <w:tcBorders>
              <w:top w:val="single" w:sz="4" w:space="0" w:color="auto"/>
              <w:left w:val="nil"/>
              <w:bottom w:val="single" w:sz="4" w:space="0" w:color="auto"/>
              <w:right w:val="single" w:sz="4" w:space="0" w:color="auto"/>
            </w:tcBorders>
            <w:noWrap/>
            <w:vAlign w:val="center"/>
            <w:hideMark/>
          </w:tcPr>
          <w:p w14:paraId="4C12FB5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5.80%</w:t>
            </w:r>
          </w:p>
        </w:tc>
        <w:tc>
          <w:tcPr>
            <w:tcW w:w="971" w:type="dxa"/>
            <w:tcBorders>
              <w:top w:val="single" w:sz="4" w:space="0" w:color="auto"/>
              <w:left w:val="single" w:sz="4" w:space="0" w:color="auto"/>
              <w:bottom w:val="single" w:sz="4" w:space="0" w:color="auto"/>
              <w:right w:val="nil"/>
            </w:tcBorders>
            <w:noWrap/>
            <w:vAlign w:val="center"/>
            <w:hideMark/>
          </w:tcPr>
          <w:p w14:paraId="0F402C4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2BEEFE6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4.8</w:t>
            </w:r>
          </w:p>
        </w:tc>
        <w:tc>
          <w:tcPr>
            <w:tcW w:w="1272" w:type="dxa"/>
            <w:tcBorders>
              <w:top w:val="single" w:sz="4" w:space="0" w:color="auto"/>
              <w:left w:val="nil"/>
              <w:bottom w:val="single" w:sz="4" w:space="0" w:color="auto"/>
              <w:right w:val="single" w:sz="4" w:space="0" w:color="auto"/>
            </w:tcBorders>
            <w:noWrap/>
            <w:vAlign w:val="center"/>
            <w:hideMark/>
          </w:tcPr>
          <w:p w14:paraId="0AA1824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4.40%</w:t>
            </w:r>
          </w:p>
        </w:tc>
      </w:tr>
      <w:tr w:rsidR="00BC1BD3" w:rsidRPr="00BC1BD3" w14:paraId="22957492" w14:textId="77777777" w:rsidTr="00BC1BD3">
        <w:trPr>
          <w:trHeight w:val="340"/>
        </w:trPr>
        <w:tc>
          <w:tcPr>
            <w:tcW w:w="2221" w:type="dxa"/>
            <w:tcBorders>
              <w:right w:val="single" w:sz="4" w:space="0" w:color="auto"/>
            </w:tcBorders>
            <w:noWrap/>
            <w:vAlign w:val="center"/>
            <w:hideMark/>
          </w:tcPr>
          <w:p w14:paraId="7007CE36"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Breast</w:t>
            </w:r>
          </w:p>
        </w:tc>
        <w:tc>
          <w:tcPr>
            <w:tcW w:w="1272" w:type="dxa"/>
            <w:tcBorders>
              <w:right w:val="single" w:sz="4" w:space="0" w:color="auto"/>
            </w:tcBorders>
          </w:tcPr>
          <w:p w14:paraId="0D7CF056"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767EE008" w14:textId="1F90B503"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w:t>
            </w:r>
          </w:p>
        </w:tc>
        <w:tc>
          <w:tcPr>
            <w:tcW w:w="1366" w:type="dxa"/>
            <w:tcBorders>
              <w:top w:val="single" w:sz="4" w:space="0" w:color="auto"/>
              <w:left w:val="nil"/>
              <w:bottom w:val="single" w:sz="4" w:space="0" w:color="auto"/>
              <w:right w:val="single" w:sz="4" w:space="0" w:color="auto"/>
            </w:tcBorders>
            <w:noWrap/>
            <w:vAlign w:val="center"/>
            <w:hideMark/>
          </w:tcPr>
          <w:p w14:paraId="7C657AD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272" w:type="dxa"/>
            <w:tcBorders>
              <w:top w:val="single" w:sz="4" w:space="0" w:color="auto"/>
              <w:left w:val="single" w:sz="4" w:space="0" w:color="auto"/>
              <w:bottom w:val="single" w:sz="4" w:space="0" w:color="auto"/>
              <w:right w:val="nil"/>
            </w:tcBorders>
            <w:noWrap/>
            <w:vAlign w:val="center"/>
            <w:hideMark/>
          </w:tcPr>
          <w:p w14:paraId="5C2614D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w:t>
            </w:r>
          </w:p>
        </w:tc>
        <w:tc>
          <w:tcPr>
            <w:tcW w:w="1366" w:type="dxa"/>
            <w:tcBorders>
              <w:top w:val="single" w:sz="4" w:space="0" w:color="auto"/>
              <w:left w:val="nil"/>
              <w:bottom w:val="single" w:sz="4" w:space="0" w:color="auto"/>
              <w:right w:val="nil"/>
            </w:tcBorders>
            <w:noWrap/>
            <w:vAlign w:val="center"/>
            <w:hideMark/>
          </w:tcPr>
          <w:p w14:paraId="3BF9953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4.00%</w:t>
            </w:r>
          </w:p>
        </w:tc>
        <w:tc>
          <w:tcPr>
            <w:tcW w:w="1664" w:type="dxa"/>
            <w:tcBorders>
              <w:top w:val="single" w:sz="4" w:space="0" w:color="auto"/>
              <w:left w:val="nil"/>
              <w:bottom w:val="single" w:sz="4" w:space="0" w:color="auto"/>
              <w:right w:val="single" w:sz="4" w:space="0" w:color="auto"/>
            </w:tcBorders>
            <w:noWrap/>
            <w:vAlign w:val="center"/>
            <w:hideMark/>
          </w:tcPr>
          <w:p w14:paraId="70DEC33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1.80%</w:t>
            </w:r>
          </w:p>
        </w:tc>
        <w:tc>
          <w:tcPr>
            <w:tcW w:w="971" w:type="dxa"/>
            <w:tcBorders>
              <w:top w:val="single" w:sz="4" w:space="0" w:color="auto"/>
              <w:left w:val="single" w:sz="4" w:space="0" w:color="auto"/>
              <w:bottom w:val="single" w:sz="4" w:space="0" w:color="auto"/>
              <w:right w:val="nil"/>
            </w:tcBorders>
            <w:noWrap/>
            <w:vAlign w:val="center"/>
            <w:hideMark/>
          </w:tcPr>
          <w:p w14:paraId="2CF3D31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20F62FE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1.5</w:t>
            </w:r>
          </w:p>
        </w:tc>
        <w:tc>
          <w:tcPr>
            <w:tcW w:w="1272" w:type="dxa"/>
            <w:tcBorders>
              <w:top w:val="single" w:sz="4" w:space="0" w:color="auto"/>
              <w:left w:val="nil"/>
              <w:bottom w:val="single" w:sz="4" w:space="0" w:color="auto"/>
              <w:right w:val="single" w:sz="4" w:space="0" w:color="auto"/>
            </w:tcBorders>
            <w:noWrap/>
            <w:vAlign w:val="center"/>
            <w:hideMark/>
          </w:tcPr>
          <w:p w14:paraId="1F97EE1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1.40%</w:t>
            </w:r>
          </w:p>
        </w:tc>
      </w:tr>
      <w:tr w:rsidR="00BC1BD3" w:rsidRPr="00BC1BD3" w14:paraId="1B4934FC" w14:textId="77777777" w:rsidTr="00BC1BD3">
        <w:trPr>
          <w:trHeight w:val="340"/>
        </w:trPr>
        <w:tc>
          <w:tcPr>
            <w:tcW w:w="2221" w:type="dxa"/>
            <w:tcBorders>
              <w:right w:val="single" w:sz="4" w:space="0" w:color="auto"/>
            </w:tcBorders>
            <w:noWrap/>
            <w:vAlign w:val="center"/>
            <w:hideMark/>
          </w:tcPr>
          <w:p w14:paraId="5AA5CFD1"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Cholangiocarcinoma</w:t>
            </w:r>
          </w:p>
        </w:tc>
        <w:tc>
          <w:tcPr>
            <w:tcW w:w="1272" w:type="dxa"/>
            <w:tcBorders>
              <w:right w:val="single" w:sz="4" w:space="0" w:color="auto"/>
            </w:tcBorders>
          </w:tcPr>
          <w:p w14:paraId="2439CFEE"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26226968" w14:textId="0D1CC838"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366" w:type="dxa"/>
            <w:tcBorders>
              <w:top w:val="single" w:sz="4" w:space="0" w:color="auto"/>
              <w:left w:val="nil"/>
              <w:bottom w:val="single" w:sz="4" w:space="0" w:color="auto"/>
              <w:right w:val="single" w:sz="4" w:space="0" w:color="auto"/>
            </w:tcBorders>
            <w:noWrap/>
            <w:vAlign w:val="center"/>
            <w:hideMark/>
          </w:tcPr>
          <w:p w14:paraId="1132848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272" w:type="dxa"/>
            <w:tcBorders>
              <w:top w:val="single" w:sz="4" w:space="0" w:color="auto"/>
              <w:left w:val="single" w:sz="4" w:space="0" w:color="auto"/>
              <w:bottom w:val="single" w:sz="4" w:space="0" w:color="auto"/>
              <w:right w:val="nil"/>
            </w:tcBorders>
            <w:noWrap/>
            <w:vAlign w:val="center"/>
            <w:hideMark/>
          </w:tcPr>
          <w:p w14:paraId="5A12653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w:t>
            </w:r>
          </w:p>
        </w:tc>
        <w:tc>
          <w:tcPr>
            <w:tcW w:w="1366" w:type="dxa"/>
            <w:tcBorders>
              <w:top w:val="single" w:sz="4" w:space="0" w:color="auto"/>
              <w:left w:val="nil"/>
              <w:bottom w:val="single" w:sz="4" w:space="0" w:color="auto"/>
              <w:right w:val="nil"/>
            </w:tcBorders>
            <w:noWrap/>
            <w:vAlign w:val="center"/>
            <w:hideMark/>
          </w:tcPr>
          <w:p w14:paraId="0EC2B23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0.00%</w:t>
            </w:r>
          </w:p>
        </w:tc>
        <w:tc>
          <w:tcPr>
            <w:tcW w:w="1664" w:type="dxa"/>
            <w:tcBorders>
              <w:top w:val="single" w:sz="4" w:space="0" w:color="auto"/>
              <w:left w:val="nil"/>
              <w:bottom w:val="single" w:sz="4" w:space="0" w:color="auto"/>
              <w:right w:val="single" w:sz="4" w:space="0" w:color="auto"/>
            </w:tcBorders>
            <w:noWrap/>
            <w:vAlign w:val="center"/>
            <w:hideMark/>
          </w:tcPr>
          <w:p w14:paraId="5E3BFF1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0.00%</w:t>
            </w:r>
          </w:p>
        </w:tc>
        <w:tc>
          <w:tcPr>
            <w:tcW w:w="971" w:type="dxa"/>
            <w:tcBorders>
              <w:top w:val="single" w:sz="4" w:space="0" w:color="auto"/>
              <w:left w:val="single" w:sz="4" w:space="0" w:color="auto"/>
              <w:bottom w:val="single" w:sz="4" w:space="0" w:color="auto"/>
              <w:right w:val="nil"/>
            </w:tcBorders>
            <w:noWrap/>
            <w:vAlign w:val="center"/>
            <w:hideMark/>
          </w:tcPr>
          <w:p w14:paraId="3EB6BD2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03841F5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w:t>
            </w:r>
          </w:p>
        </w:tc>
        <w:tc>
          <w:tcPr>
            <w:tcW w:w="1272" w:type="dxa"/>
            <w:tcBorders>
              <w:top w:val="single" w:sz="4" w:space="0" w:color="auto"/>
              <w:left w:val="nil"/>
              <w:bottom w:val="single" w:sz="4" w:space="0" w:color="auto"/>
              <w:right w:val="single" w:sz="4" w:space="0" w:color="auto"/>
            </w:tcBorders>
            <w:noWrap/>
            <w:vAlign w:val="center"/>
            <w:hideMark/>
          </w:tcPr>
          <w:p w14:paraId="7EB25A9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0.00%</w:t>
            </w:r>
          </w:p>
        </w:tc>
      </w:tr>
      <w:tr w:rsidR="00BC1BD3" w:rsidRPr="00BC1BD3" w14:paraId="13363DDB" w14:textId="77777777" w:rsidTr="00BC1BD3">
        <w:trPr>
          <w:trHeight w:val="340"/>
        </w:trPr>
        <w:tc>
          <w:tcPr>
            <w:tcW w:w="2221" w:type="dxa"/>
            <w:tcBorders>
              <w:right w:val="single" w:sz="4" w:space="0" w:color="auto"/>
            </w:tcBorders>
            <w:noWrap/>
            <w:vAlign w:val="center"/>
            <w:hideMark/>
          </w:tcPr>
          <w:p w14:paraId="628265F6"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Colorectal</w:t>
            </w:r>
          </w:p>
        </w:tc>
        <w:tc>
          <w:tcPr>
            <w:tcW w:w="1272" w:type="dxa"/>
            <w:tcBorders>
              <w:right w:val="single" w:sz="4" w:space="0" w:color="auto"/>
            </w:tcBorders>
          </w:tcPr>
          <w:p w14:paraId="3E9B2140"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3F8E73F8" w14:textId="58EAB128"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single" w:sz="4" w:space="0" w:color="auto"/>
            </w:tcBorders>
            <w:noWrap/>
            <w:vAlign w:val="center"/>
            <w:hideMark/>
          </w:tcPr>
          <w:p w14:paraId="5703D69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7%</w:t>
            </w:r>
          </w:p>
        </w:tc>
        <w:tc>
          <w:tcPr>
            <w:tcW w:w="1272" w:type="dxa"/>
            <w:tcBorders>
              <w:top w:val="single" w:sz="4" w:space="0" w:color="auto"/>
              <w:left w:val="single" w:sz="4" w:space="0" w:color="auto"/>
              <w:bottom w:val="single" w:sz="4" w:space="0" w:color="auto"/>
              <w:right w:val="nil"/>
            </w:tcBorders>
            <w:noWrap/>
            <w:vAlign w:val="center"/>
            <w:hideMark/>
          </w:tcPr>
          <w:p w14:paraId="494D705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23</w:t>
            </w:r>
          </w:p>
        </w:tc>
        <w:tc>
          <w:tcPr>
            <w:tcW w:w="1366" w:type="dxa"/>
            <w:tcBorders>
              <w:top w:val="single" w:sz="4" w:space="0" w:color="auto"/>
              <w:left w:val="nil"/>
              <w:bottom w:val="single" w:sz="4" w:space="0" w:color="auto"/>
              <w:right w:val="nil"/>
            </w:tcBorders>
            <w:noWrap/>
            <w:vAlign w:val="center"/>
            <w:hideMark/>
          </w:tcPr>
          <w:p w14:paraId="3ADADC7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18.40%</w:t>
            </w:r>
          </w:p>
        </w:tc>
        <w:tc>
          <w:tcPr>
            <w:tcW w:w="1664" w:type="dxa"/>
            <w:tcBorders>
              <w:top w:val="single" w:sz="4" w:space="0" w:color="auto"/>
              <w:left w:val="nil"/>
              <w:bottom w:val="single" w:sz="4" w:space="0" w:color="auto"/>
              <w:right w:val="single" w:sz="4" w:space="0" w:color="auto"/>
            </w:tcBorders>
            <w:noWrap/>
            <w:vAlign w:val="center"/>
            <w:hideMark/>
          </w:tcPr>
          <w:p w14:paraId="7948C9E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8.30%</w:t>
            </w:r>
          </w:p>
        </w:tc>
        <w:tc>
          <w:tcPr>
            <w:tcW w:w="971" w:type="dxa"/>
            <w:tcBorders>
              <w:top w:val="single" w:sz="4" w:space="0" w:color="auto"/>
              <w:left w:val="single" w:sz="4" w:space="0" w:color="auto"/>
              <w:bottom w:val="single" w:sz="4" w:space="0" w:color="auto"/>
              <w:right w:val="nil"/>
            </w:tcBorders>
            <w:noWrap/>
            <w:vAlign w:val="center"/>
            <w:hideMark/>
          </w:tcPr>
          <w:p w14:paraId="7876626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70A91DB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6.9</w:t>
            </w:r>
          </w:p>
        </w:tc>
        <w:tc>
          <w:tcPr>
            <w:tcW w:w="1272" w:type="dxa"/>
            <w:tcBorders>
              <w:top w:val="single" w:sz="4" w:space="0" w:color="auto"/>
              <w:left w:val="nil"/>
              <w:bottom w:val="single" w:sz="4" w:space="0" w:color="auto"/>
              <w:right w:val="single" w:sz="4" w:space="0" w:color="auto"/>
            </w:tcBorders>
            <w:noWrap/>
            <w:vAlign w:val="center"/>
            <w:hideMark/>
          </w:tcPr>
          <w:p w14:paraId="22E701A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6.40%</w:t>
            </w:r>
          </w:p>
        </w:tc>
      </w:tr>
      <w:tr w:rsidR="00BC1BD3" w:rsidRPr="00BC1BD3" w14:paraId="287FA234" w14:textId="77777777" w:rsidTr="00BC1BD3">
        <w:trPr>
          <w:trHeight w:val="340"/>
        </w:trPr>
        <w:tc>
          <w:tcPr>
            <w:tcW w:w="2221" w:type="dxa"/>
            <w:tcBorders>
              <w:right w:val="single" w:sz="4" w:space="0" w:color="auto"/>
            </w:tcBorders>
            <w:noWrap/>
            <w:vAlign w:val="center"/>
            <w:hideMark/>
          </w:tcPr>
          <w:p w14:paraId="22EFAF29"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GIST</w:t>
            </w:r>
          </w:p>
        </w:tc>
        <w:tc>
          <w:tcPr>
            <w:tcW w:w="1272" w:type="dxa"/>
            <w:tcBorders>
              <w:right w:val="single" w:sz="4" w:space="0" w:color="auto"/>
            </w:tcBorders>
          </w:tcPr>
          <w:p w14:paraId="13FC477B"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601F7F00" w14:textId="6057664B"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w:t>
            </w:r>
          </w:p>
        </w:tc>
        <w:tc>
          <w:tcPr>
            <w:tcW w:w="1366" w:type="dxa"/>
            <w:tcBorders>
              <w:top w:val="single" w:sz="4" w:space="0" w:color="auto"/>
              <w:left w:val="nil"/>
              <w:bottom w:val="single" w:sz="4" w:space="0" w:color="auto"/>
              <w:right w:val="single" w:sz="4" w:space="0" w:color="auto"/>
            </w:tcBorders>
            <w:noWrap/>
            <w:vAlign w:val="center"/>
            <w:hideMark/>
          </w:tcPr>
          <w:p w14:paraId="33580B4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w:t>
            </w:r>
          </w:p>
        </w:tc>
        <w:tc>
          <w:tcPr>
            <w:tcW w:w="1272" w:type="dxa"/>
            <w:tcBorders>
              <w:top w:val="single" w:sz="4" w:space="0" w:color="auto"/>
              <w:left w:val="single" w:sz="4" w:space="0" w:color="auto"/>
              <w:bottom w:val="single" w:sz="4" w:space="0" w:color="auto"/>
              <w:right w:val="nil"/>
            </w:tcBorders>
            <w:noWrap/>
            <w:vAlign w:val="center"/>
            <w:hideMark/>
          </w:tcPr>
          <w:p w14:paraId="53B65CD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nil"/>
            </w:tcBorders>
            <w:noWrap/>
            <w:vAlign w:val="center"/>
            <w:hideMark/>
          </w:tcPr>
          <w:p w14:paraId="1613A19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3.20%</w:t>
            </w:r>
          </w:p>
        </w:tc>
        <w:tc>
          <w:tcPr>
            <w:tcW w:w="1664" w:type="dxa"/>
            <w:tcBorders>
              <w:top w:val="single" w:sz="4" w:space="0" w:color="auto"/>
              <w:left w:val="nil"/>
              <w:bottom w:val="single" w:sz="4" w:space="0" w:color="auto"/>
              <w:right w:val="single" w:sz="4" w:space="0" w:color="auto"/>
            </w:tcBorders>
            <w:noWrap/>
            <w:vAlign w:val="center"/>
            <w:hideMark/>
          </w:tcPr>
          <w:p w14:paraId="0A2A9AF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1.40%</w:t>
            </w:r>
          </w:p>
        </w:tc>
        <w:tc>
          <w:tcPr>
            <w:tcW w:w="971" w:type="dxa"/>
            <w:tcBorders>
              <w:top w:val="single" w:sz="4" w:space="0" w:color="auto"/>
              <w:left w:val="single" w:sz="4" w:space="0" w:color="auto"/>
              <w:bottom w:val="single" w:sz="4" w:space="0" w:color="auto"/>
              <w:right w:val="nil"/>
            </w:tcBorders>
            <w:noWrap/>
            <w:vAlign w:val="center"/>
            <w:hideMark/>
          </w:tcPr>
          <w:p w14:paraId="1F86997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09B95CF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1.2</w:t>
            </w:r>
          </w:p>
        </w:tc>
        <w:tc>
          <w:tcPr>
            <w:tcW w:w="1272" w:type="dxa"/>
            <w:tcBorders>
              <w:top w:val="single" w:sz="4" w:space="0" w:color="auto"/>
              <w:left w:val="nil"/>
              <w:bottom w:val="single" w:sz="4" w:space="0" w:color="auto"/>
              <w:right w:val="single" w:sz="4" w:space="0" w:color="auto"/>
            </w:tcBorders>
            <w:noWrap/>
            <w:vAlign w:val="center"/>
            <w:hideMark/>
          </w:tcPr>
          <w:p w14:paraId="2731470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1.10%</w:t>
            </w:r>
          </w:p>
        </w:tc>
      </w:tr>
      <w:tr w:rsidR="00BC1BD3" w:rsidRPr="00BC1BD3" w14:paraId="41D183C5" w14:textId="77777777" w:rsidTr="00BC1BD3">
        <w:trPr>
          <w:trHeight w:val="340"/>
        </w:trPr>
        <w:tc>
          <w:tcPr>
            <w:tcW w:w="2221" w:type="dxa"/>
            <w:tcBorders>
              <w:right w:val="single" w:sz="4" w:space="0" w:color="auto"/>
            </w:tcBorders>
            <w:noWrap/>
            <w:vAlign w:val="center"/>
            <w:hideMark/>
          </w:tcPr>
          <w:p w14:paraId="437E6E9F" w14:textId="2A191216" w:rsidR="00BC1BD3" w:rsidRPr="00BC1BD3" w:rsidRDefault="000E180E" w:rsidP="00BC1BD3">
            <w:pPr>
              <w:pStyle w:val="NoSpacing"/>
              <w:contextualSpacing/>
              <w:rPr>
                <w:rFonts w:cs="Times New Roman"/>
                <w:sz w:val="20"/>
                <w:szCs w:val="20"/>
              </w:rPr>
            </w:pPr>
            <w:r>
              <w:rPr>
                <w:rFonts w:cs="Times New Roman"/>
                <w:sz w:val="20"/>
                <w:szCs w:val="20"/>
              </w:rPr>
              <w:t>IFS</w:t>
            </w:r>
          </w:p>
        </w:tc>
        <w:tc>
          <w:tcPr>
            <w:tcW w:w="1272" w:type="dxa"/>
            <w:tcBorders>
              <w:right w:val="single" w:sz="4" w:space="0" w:color="auto"/>
            </w:tcBorders>
          </w:tcPr>
          <w:p w14:paraId="7FD8C4F5"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64669969" w14:textId="504EF34E"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7</w:t>
            </w:r>
          </w:p>
        </w:tc>
        <w:tc>
          <w:tcPr>
            <w:tcW w:w="1366" w:type="dxa"/>
            <w:tcBorders>
              <w:top w:val="single" w:sz="4" w:space="0" w:color="auto"/>
              <w:left w:val="nil"/>
              <w:bottom w:val="single" w:sz="4" w:space="0" w:color="auto"/>
              <w:right w:val="single" w:sz="4" w:space="0" w:color="auto"/>
            </w:tcBorders>
            <w:noWrap/>
            <w:vAlign w:val="center"/>
            <w:hideMark/>
          </w:tcPr>
          <w:p w14:paraId="4F182E3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13%</w:t>
            </w:r>
          </w:p>
        </w:tc>
        <w:tc>
          <w:tcPr>
            <w:tcW w:w="1272" w:type="dxa"/>
            <w:tcBorders>
              <w:top w:val="single" w:sz="4" w:space="0" w:color="auto"/>
              <w:left w:val="single" w:sz="4" w:space="0" w:color="auto"/>
              <w:bottom w:val="single" w:sz="4" w:space="0" w:color="auto"/>
              <w:right w:val="nil"/>
            </w:tcBorders>
            <w:noWrap/>
            <w:vAlign w:val="center"/>
            <w:hideMark/>
          </w:tcPr>
          <w:p w14:paraId="6DB171A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27</w:t>
            </w:r>
          </w:p>
        </w:tc>
        <w:tc>
          <w:tcPr>
            <w:tcW w:w="1366" w:type="dxa"/>
            <w:tcBorders>
              <w:top w:val="single" w:sz="4" w:space="0" w:color="auto"/>
              <w:left w:val="nil"/>
              <w:bottom w:val="single" w:sz="4" w:space="0" w:color="auto"/>
              <w:right w:val="nil"/>
            </w:tcBorders>
            <w:noWrap/>
            <w:vAlign w:val="center"/>
            <w:hideMark/>
          </w:tcPr>
          <w:p w14:paraId="4B62220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21.60%</w:t>
            </w:r>
          </w:p>
        </w:tc>
        <w:tc>
          <w:tcPr>
            <w:tcW w:w="1664" w:type="dxa"/>
            <w:tcBorders>
              <w:top w:val="single" w:sz="4" w:space="0" w:color="auto"/>
              <w:left w:val="nil"/>
              <w:bottom w:val="single" w:sz="4" w:space="0" w:color="auto"/>
              <w:right w:val="single" w:sz="4" w:space="0" w:color="auto"/>
            </w:tcBorders>
            <w:noWrap/>
            <w:vAlign w:val="center"/>
            <w:hideMark/>
          </w:tcPr>
          <w:p w14:paraId="0EC06B3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9.80%</w:t>
            </w:r>
          </w:p>
        </w:tc>
        <w:tc>
          <w:tcPr>
            <w:tcW w:w="971" w:type="dxa"/>
            <w:tcBorders>
              <w:top w:val="single" w:sz="4" w:space="0" w:color="auto"/>
              <w:left w:val="single" w:sz="4" w:space="0" w:color="auto"/>
              <w:bottom w:val="single" w:sz="4" w:space="0" w:color="auto"/>
              <w:right w:val="nil"/>
            </w:tcBorders>
            <w:noWrap/>
            <w:vAlign w:val="center"/>
            <w:hideMark/>
          </w:tcPr>
          <w:p w14:paraId="06DEF74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90%</w:t>
            </w:r>
          </w:p>
        </w:tc>
        <w:tc>
          <w:tcPr>
            <w:tcW w:w="1272" w:type="dxa"/>
            <w:tcBorders>
              <w:top w:val="single" w:sz="4" w:space="0" w:color="auto"/>
              <w:left w:val="nil"/>
              <w:bottom w:val="single" w:sz="4" w:space="0" w:color="auto"/>
              <w:right w:val="nil"/>
            </w:tcBorders>
            <w:noWrap/>
            <w:vAlign w:val="center"/>
            <w:hideMark/>
          </w:tcPr>
          <w:p w14:paraId="32C20D4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24.3</w:t>
            </w:r>
          </w:p>
        </w:tc>
        <w:tc>
          <w:tcPr>
            <w:tcW w:w="1272" w:type="dxa"/>
            <w:tcBorders>
              <w:top w:val="single" w:sz="4" w:space="0" w:color="auto"/>
              <w:left w:val="nil"/>
              <w:bottom w:val="single" w:sz="4" w:space="0" w:color="auto"/>
              <w:right w:val="single" w:sz="4" w:space="0" w:color="auto"/>
            </w:tcBorders>
            <w:noWrap/>
            <w:vAlign w:val="center"/>
            <w:hideMark/>
          </w:tcPr>
          <w:p w14:paraId="5984417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22.40%</w:t>
            </w:r>
          </w:p>
        </w:tc>
      </w:tr>
      <w:tr w:rsidR="00BC1BD3" w:rsidRPr="00BC1BD3" w14:paraId="66C430AC" w14:textId="77777777" w:rsidTr="00BC1BD3">
        <w:trPr>
          <w:trHeight w:val="340"/>
        </w:trPr>
        <w:tc>
          <w:tcPr>
            <w:tcW w:w="2221" w:type="dxa"/>
            <w:tcBorders>
              <w:right w:val="single" w:sz="4" w:space="0" w:color="auto"/>
            </w:tcBorders>
            <w:noWrap/>
            <w:vAlign w:val="center"/>
            <w:hideMark/>
          </w:tcPr>
          <w:p w14:paraId="1DB90638"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MASC</w:t>
            </w:r>
          </w:p>
        </w:tc>
        <w:tc>
          <w:tcPr>
            <w:tcW w:w="1272" w:type="dxa"/>
            <w:tcBorders>
              <w:right w:val="single" w:sz="4" w:space="0" w:color="auto"/>
            </w:tcBorders>
          </w:tcPr>
          <w:p w14:paraId="043C961B"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5E304A2A" w14:textId="3A08F21A"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12</w:t>
            </w:r>
          </w:p>
        </w:tc>
        <w:tc>
          <w:tcPr>
            <w:tcW w:w="1366" w:type="dxa"/>
            <w:tcBorders>
              <w:top w:val="single" w:sz="4" w:space="0" w:color="auto"/>
              <w:left w:val="nil"/>
              <w:bottom w:val="single" w:sz="4" w:space="0" w:color="auto"/>
              <w:right w:val="single" w:sz="4" w:space="0" w:color="auto"/>
            </w:tcBorders>
            <w:noWrap/>
            <w:vAlign w:val="center"/>
            <w:hideMark/>
          </w:tcPr>
          <w:p w14:paraId="7D9A137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22%</w:t>
            </w:r>
          </w:p>
        </w:tc>
        <w:tc>
          <w:tcPr>
            <w:tcW w:w="1272" w:type="dxa"/>
            <w:tcBorders>
              <w:top w:val="single" w:sz="4" w:space="0" w:color="auto"/>
              <w:left w:val="single" w:sz="4" w:space="0" w:color="auto"/>
              <w:bottom w:val="single" w:sz="4" w:space="0" w:color="auto"/>
              <w:right w:val="nil"/>
            </w:tcBorders>
            <w:noWrap/>
            <w:vAlign w:val="center"/>
            <w:hideMark/>
          </w:tcPr>
          <w:p w14:paraId="1AE9666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366" w:type="dxa"/>
            <w:tcBorders>
              <w:top w:val="single" w:sz="4" w:space="0" w:color="auto"/>
              <w:left w:val="nil"/>
              <w:bottom w:val="single" w:sz="4" w:space="0" w:color="auto"/>
              <w:right w:val="nil"/>
            </w:tcBorders>
            <w:noWrap/>
            <w:vAlign w:val="center"/>
            <w:hideMark/>
          </w:tcPr>
          <w:p w14:paraId="070AD48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1.60%</w:t>
            </w:r>
          </w:p>
        </w:tc>
        <w:tc>
          <w:tcPr>
            <w:tcW w:w="1664" w:type="dxa"/>
            <w:tcBorders>
              <w:top w:val="single" w:sz="4" w:space="0" w:color="auto"/>
              <w:left w:val="nil"/>
              <w:bottom w:val="single" w:sz="4" w:space="0" w:color="auto"/>
              <w:right w:val="single" w:sz="4" w:space="0" w:color="auto"/>
            </w:tcBorders>
            <w:noWrap/>
            <w:vAlign w:val="center"/>
            <w:hideMark/>
          </w:tcPr>
          <w:p w14:paraId="4588786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0.70%</w:t>
            </w:r>
          </w:p>
        </w:tc>
        <w:tc>
          <w:tcPr>
            <w:tcW w:w="971" w:type="dxa"/>
            <w:tcBorders>
              <w:top w:val="single" w:sz="4" w:space="0" w:color="auto"/>
              <w:left w:val="single" w:sz="4" w:space="0" w:color="auto"/>
              <w:bottom w:val="single" w:sz="4" w:space="0" w:color="auto"/>
              <w:right w:val="nil"/>
            </w:tcBorders>
            <w:noWrap/>
            <w:vAlign w:val="center"/>
            <w:hideMark/>
          </w:tcPr>
          <w:p w14:paraId="1F8062E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60%</w:t>
            </w:r>
          </w:p>
        </w:tc>
        <w:tc>
          <w:tcPr>
            <w:tcW w:w="1272" w:type="dxa"/>
            <w:tcBorders>
              <w:top w:val="single" w:sz="4" w:space="0" w:color="auto"/>
              <w:left w:val="nil"/>
              <w:bottom w:val="single" w:sz="4" w:space="0" w:color="auto"/>
              <w:right w:val="nil"/>
            </w:tcBorders>
            <w:noWrap/>
            <w:vAlign w:val="center"/>
            <w:hideMark/>
          </w:tcPr>
          <w:p w14:paraId="1B5E52E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1.2</w:t>
            </w:r>
          </w:p>
        </w:tc>
        <w:tc>
          <w:tcPr>
            <w:tcW w:w="1272" w:type="dxa"/>
            <w:tcBorders>
              <w:top w:val="single" w:sz="4" w:space="0" w:color="auto"/>
              <w:left w:val="nil"/>
              <w:bottom w:val="single" w:sz="4" w:space="0" w:color="auto"/>
              <w:right w:val="single" w:sz="4" w:space="0" w:color="auto"/>
            </w:tcBorders>
            <w:noWrap/>
            <w:vAlign w:val="center"/>
            <w:hideMark/>
          </w:tcPr>
          <w:p w14:paraId="0C9FBA8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1.10%</w:t>
            </w:r>
          </w:p>
        </w:tc>
      </w:tr>
      <w:tr w:rsidR="00BC1BD3" w:rsidRPr="00BC1BD3" w14:paraId="7857B153" w14:textId="77777777" w:rsidTr="00BC1BD3">
        <w:trPr>
          <w:trHeight w:val="340"/>
        </w:trPr>
        <w:tc>
          <w:tcPr>
            <w:tcW w:w="2221" w:type="dxa"/>
            <w:tcBorders>
              <w:right w:val="single" w:sz="4" w:space="0" w:color="auto"/>
            </w:tcBorders>
            <w:noWrap/>
            <w:vAlign w:val="center"/>
            <w:hideMark/>
          </w:tcPr>
          <w:p w14:paraId="0F8C2FF2"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Melanoma</w:t>
            </w:r>
          </w:p>
        </w:tc>
        <w:tc>
          <w:tcPr>
            <w:tcW w:w="1272" w:type="dxa"/>
            <w:tcBorders>
              <w:right w:val="single" w:sz="4" w:space="0" w:color="auto"/>
            </w:tcBorders>
          </w:tcPr>
          <w:p w14:paraId="667D782E"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10181B40" w14:textId="2357484D"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single" w:sz="4" w:space="0" w:color="auto"/>
            </w:tcBorders>
            <w:noWrap/>
            <w:vAlign w:val="center"/>
            <w:hideMark/>
          </w:tcPr>
          <w:p w14:paraId="07DA32E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7%</w:t>
            </w:r>
          </w:p>
        </w:tc>
        <w:tc>
          <w:tcPr>
            <w:tcW w:w="1272" w:type="dxa"/>
            <w:tcBorders>
              <w:top w:val="single" w:sz="4" w:space="0" w:color="auto"/>
              <w:left w:val="single" w:sz="4" w:space="0" w:color="auto"/>
              <w:bottom w:val="single" w:sz="4" w:space="0" w:color="auto"/>
              <w:right w:val="nil"/>
            </w:tcBorders>
            <w:noWrap/>
            <w:vAlign w:val="center"/>
            <w:hideMark/>
          </w:tcPr>
          <w:p w14:paraId="58DF9AC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w:t>
            </w:r>
          </w:p>
        </w:tc>
        <w:tc>
          <w:tcPr>
            <w:tcW w:w="1366" w:type="dxa"/>
            <w:tcBorders>
              <w:top w:val="single" w:sz="4" w:space="0" w:color="auto"/>
              <w:left w:val="nil"/>
              <w:bottom w:val="single" w:sz="4" w:space="0" w:color="auto"/>
              <w:right w:val="nil"/>
            </w:tcBorders>
            <w:noWrap/>
            <w:vAlign w:val="center"/>
            <w:hideMark/>
          </w:tcPr>
          <w:p w14:paraId="15420D2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2.40%</w:t>
            </w:r>
          </w:p>
        </w:tc>
        <w:tc>
          <w:tcPr>
            <w:tcW w:w="1664" w:type="dxa"/>
            <w:tcBorders>
              <w:top w:val="single" w:sz="4" w:space="0" w:color="auto"/>
              <w:left w:val="nil"/>
              <w:bottom w:val="single" w:sz="4" w:space="0" w:color="auto"/>
              <w:right w:val="single" w:sz="4" w:space="0" w:color="auto"/>
            </w:tcBorders>
            <w:noWrap/>
            <w:vAlign w:val="center"/>
            <w:hideMark/>
          </w:tcPr>
          <w:p w14:paraId="2200505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1.10%</w:t>
            </w:r>
          </w:p>
        </w:tc>
        <w:tc>
          <w:tcPr>
            <w:tcW w:w="971" w:type="dxa"/>
            <w:tcBorders>
              <w:top w:val="single" w:sz="4" w:space="0" w:color="auto"/>
              <w:left w:val="single" w:sz="4" w:space="0" w:color="auto"/>
              <w:bottom w:val="single" w:sz="4" w:space="0" w:color="auto"/>
              <w:right w:val="nil"/>
            </w:tcBorders>
            <w:noWrap/>
            <w:vAlign w:val="center"/>
            <w:hideMark/>
          </w:tcPr>
          <w:p w14:paraId="0117D18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09CE2EC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0.9</w:t>
            </w:r>
          </w:p>
        </w:tc>
        <w:tc>
          <w:tcPr>
            <w:tcW w:w="1272" w:type="dxa"/>
            <w:tcBorders>
              <w:top w:val="single" w:sz="4" w:space="0" w:color="auto"/>
              <w:left w:val="nil"/>
              <w:bottom w:val="single" w:sz="4" w:space="0" w:color="auto"/>
              <w:right w:val="single" w:sz="4" w:space="0" w:color="auto"/>
            </w:tcBorders>
            <w:noWrap/>
            <w:vAlign w:val="center"/>
            <w:hideMark/>
          </w:tcPr>
          <w:p w14:paraId="45E4DF4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0.80%</w:t>
            </w:r>
          </w:p>
        </w:tc>
      </w:tr>
      <w:tr w:rsidR="00BC1BD3" w:rsidRPr="00BC1BD3" w14:paraId="6B93ECDF" w14:textId="77777777" w:rsidTr="00BC1BD3">
        <w:trPr>
          <w:trHeight w:val="340"/>
        </w:trPr>
        <w:tc>
          <w:tcPr>
            <w:tcW w:w="2221" w:type="dxa"/>
            <w:tcBorders>
              <w:right w:val="single" w:sz="4" w:space="0" w:color="auto"/>
            </w:tcBorders>
            <w:noWrap/>
            <w:vAlign w:val="center"/>
            <w:hideMark/>
          </w:tcPr>
          <w:p w14:paraId="573ABA95"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Lung</w:t>
            </w:r>
          </w:p>
        </w:tc>
        <w:tc>
          <w:tcPr>
            <w:tcW w:w="1272" w:type="dxa"/>
            <w:tcBorders>
              <w:right w:val="single" w:sz="4" w:space="0" w:color="auto"/>
            </w:tcBorders>
          </w:tcPr>
          <w:p w14:paraId="02BF83D6"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0314C2AB" w14:textId="76785E1D"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single" w:sz="4" w:space="0" w:color="auto"/>
            </w:tcBorders>
            <w:noWrap/>
            <w:vAlign w:val="center"/>
            <w:hideMark/>
          </w:tcPr>
          <w:p w14:paraId="4E7CDA1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7%</w:t>
            </w:r>
          </w:p>
        </w:tc>
        <w:tc>
          <w:tcPr>
            <w:tcW w:w="1272" w:type="dxa"/>
            <w:tcBorders>
              <w:top w:val="single" w:sz="4" w:space="0" w:color="auto"/>
              <w:left w:val="single" w:sz="4" w:space="0" w:color="auto"/>
              <w:bottom w:val="single" w:sz="4" w:space="0" w:color="auto"/>
              <w:right w:val="nil"/>
            </w:tcBorders>
            <w:noWrap/>
            <w:vAlign w:val="center"/>
            <w:hideMark/>
          </w:tcPr>
          <w:p w14:paraId="26C842A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17</w:t>
            </w:r>
          </w:p>
        </w:tc>
        <w:tc>
          <w:tcPr>
            <w:tcW w:w="1366" w:type="dxa"/>
            <w:tcBorders>
              <w:top w:val="single" w:sz="4" w:space="0" w:color="auto"/>
              <w:left w:val="nil"/>
              <w:bottom w:val="single" w:sz="4" w:space="0" w:color="auto"/>
              <w:right w:val="nil"/>
            </w:tcBorders>
            <w:noWrap/>
            <w:vAlign w:val="center"/>
            <w:hideMark/>
          </w:tcPr>
          <w:p w14:paraId="6BB219B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13.60%</w:t>
            </w:r>
          </w:p>
        </w:tc>
        <w:tc>
          <w:tcPr>
            <w:tcW w:w="1664" w:type="dxa"/>
            <w:tcBorders>
              <w:top w:val="single" w:sz="4" w:space="0" w:color="auto"/>
              <w:left w:val="nil"/>
              <w:bottom w:val="single" w:sz="4" w:space="0" w:color="auto"/>
              <w:right w:val="single" w:sz="4" w:space="0" w:color="auto"/>
            </w:tcBorders>
            <w:noWrap/>
            <w:vAlign w:val="center"/>
            <w:hideMark/>
          </w:tcPr>
          <w:p w14:paraId="2A9291C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6.20%</w:t>
            </w:r>
          </w:p>
        </w:tc>
        <w:tc>
          <w:tcPr>
            <w:tcW w:w="971" w:type="dxa"/>
            <w:tcBorders>
              <w:top w:val="single" w:sz="4" w:space="0" w:color="auto"/>
              <w:left w:val="single" w:sz="4" w:space="0" w:color="auto"/>
              <w:bottom w:val="single" w:sz="4" w:space="0" w:color="auto"/>
              <w:right w:val="nil"/>
            </w:tcBorders>
            <w:noWrap/>
            <w:vAlign w:val="center"/>
            <w:hideMark/>
          </w:tcPr>
          <w:p w14:paraId="53EE32D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60%</w:t>
            </w:r>
          </w:p>
        </w:tc>
        <w:tc>
          <w:tcPr>
            <w:tcW w:w="1272" w:type="dxa"/>
            <w:tcBorders>
              <w:top w:val="single" w:sz="4" w:space="0" w:color="auto"/>
              <w:left w:val="nil"/>
              <w:bottom w:val="single" w:sz="4" w:space="0" w:color="auto"/>
              <w:right w:val="nil"/>
            </w:tcBorders>
            <w:noWrap/>
            <w:vAlign w:val="center"/>
            <w:hideMark/>
          </w:tcPr>
          <w:p w14:paraId="74203B0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10.2</w:t>
            </w:r>
          </w:p>
        </w:tc>
        <w:tc>
          <w:tcPr>
            <w:tcW w:w="1272" w:type="dxa"/>
            <w:tcBorders>
              <w:top w:val="single" w:sz="4" w:space="0" w:color="auto"/>
              <w:left w:val="nil"/>
              <w:bottom w:val="single" w:sz="4" w:space="0" w:color="auto"/>
              <w:right w:val="single" w:sz="4" w:space="0" w:color="auto"/>
            </w:tcBorders>
            <w:noWrap/>
            <w:vAlign w:val="center"/>
            <w:hideMark/>
          </w:tcPr>
          <w:p w14:paraId="1384E00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9.40%</w:t>
            </w:r>
          </w:p>
        </w:tc>
      </w:tr>
      <w:tr w:rsidR="00BC1BD3" w:rsidRPr="00BC1BD3" w14:paraId="5FB8BAAD" w14:textId="77777777" w:rsidTr="00BC1BD3">
        <w:trPr>
          <w:trHeight w:val="340"/>
        </w:trPr>
        <w:tc>
          <w:tcPr>
            <w:tcW w:w="2221" w:type="dxa"/>
            <w:tcBorders>
              <w:right w:val="single" w:sz="4" w:space="0" w:color="auto"/>
            </w:tcBorders>
            <w:noWrap/>
            <w:vAlign w:val="center"/>
            <w:hideMark/>
          </w:tcPr>
          <w:p w14:paraId="24F30FEA"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Pancreatic</w:t>
            </w:r>
          </w:p>
        </w:tc>
        <w:tc>
          <w:tcPr>
            <w:tcW w:w="1272" w:type="dxa"/>
            <w:tcBorders>
              <w:right w:val="single" w:sz="4" w:space="0" w:color="auto"/>
            </w:tcBorders>
          </w:tcPr>
          <w:p w14:paraId="697A98B4"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1BB642E0" w14:textId="0831619E"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w:t>
            </w:r>
          </w:p>
        </w:tc>
        <w:tc>
          <w:tcPr>
            <w:tcW w:w="1366" w:type="dxa"/>
            <w:tcBorders>
              <w:top w:val="single" w:sz="4" w:space="0" w:color="auto"/>
              <w:left w:val="nil"/>
              <w:bottom w:val="single" w:sz="4" w:space="0" w:color="auto"/>
              <w:right w:val="single" w:sz="4" w:space="0" w:color="auto"/>
            </w:tcBorders>
            <w:noWrap/>
            <w:vAlign w:val="center"/>
            <w:hideMark/>
          </w:tcPr>
          <w:p w14:paraId="3A304E1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272" w:type="dxa"/>
            <w:tcBorders>
              <w:top w:val="single" w:sz="4" w:space="0" w:color="auto"/>
              <w:left w:val="single" w:sz="4" w:space="0" w:color="auto"/>
              <w:bottom w:val="single" w:sz="4" w:space="0" w:color="auto"/>
              <w:right w:val="nil"/>
            </w:tcBorders>
            <w:noWrap/>
            <w:vAlign w:val="center"/>
            <w:hideMark/>
          </w:tcPr>
          <w:p w14:paraId="6A2F889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17</w:t>
            </w:r>
          </w:p>
        </w:tc>
        <w:tc>
          <w:tcPr>
            <w:tcW w:w="1366" w:type="dxa"/>
            <w:tcBorders>
              <w:top w:val="single" w:sz="4" w:space="0" w:color="auto"/>
              <w:left w:val="nil"/>
              <w:bottom w:val="single" w:sz="4" w:space="0" w:color="auto"/>
              <w:right w:val="nil"/>
            </w:tcBorders>
            <w:noWrap/>
            <w:vAlign w:val="center"/>
            <w:hideMark/>
          </w:tcPr>
          <w:p w14:paraId="3C98CFD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13.60%</w:t>
            </w:r>
          </w:p>
        </w:tc>
        <w:tc>
          <w:tcPr>
            <w:tcW w:w="1664" w:type="dxa"/>
            <w:tcBorders>
              <w:top w:val="single" w:sz="4" w:space="0" w:color="auto"/>
              <w:left w:val="nil"/>
              <w:bottom w:val="single" w:sz="4" w:space="0" w:color="auto"/>
              <w:right w:val="single" w:sz="4" w:space="0" w:color="auto"/>
            </w:tcBorders>
            <w:noWrap/>
            <w:vAlign w:val="center"/>
            <w:hideMark/>
          </w:tcPr>
          <w:p w14:paraId="4D6A5F0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6.20%</w:t>
            </w:r>
          </w:p>
        </w:tc>
        <w:tc>
          <w:tcPr>
            <w:tcW w:w="971" w:type="dxa"/>
            <w:tcBorders>
              <w:top w:val="single" w:sz="4" w:space="0" w:color="auto"/>
              <w:left w:val="single" w:sz="4" w:space="0" w:color="auto"/>
              <w:bottom w:val="single" w:sz="4" w:space="0" w:color="auto"/>
              <w:right w:val="nil"/>
            </w:tcBorders>
            <w:noWrap/>
            <w:vAlign w:val="center"/>
            <w:hideMark/>
          </w:tcPr>
          <w:p w14:paraId="04CC1C9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25714AD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5.1</w:t>
            </w:r>
          </w:p>
        </w:tc>
        <w:tc>
          <w:tcPr>
            <w:tcW w:w="1272" w:type="dxa"/>
            <w:tcBorders>
              <w:top w:val="single" w:sz="4" w:space="0" w:color="auto"/>
              <w:left w:val="nil"/>
              <w:bottom w:val="single" w:sz="4" w:space="0" w:color="auto"/>
              <w:right w:val="single" w:sz="4" w:space="0" w:color="auto"/>
            </w:tcBorders>
            <w:noWrap/>
            <w:vAlign w:val="center"/>
            <w:hideMark/>
          </w:tcPr>
          <w:p w14:paraId="0650AAE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4.70%</w:t>
            </w:r>
          </w:p>
        </w:tc>
      </w:tr>
      <w:tr w:rsidR="00BC1BD3" w:rsidRPr="00BC1BD3" w14:paraId="367176FE" w14:textId="77777777" w:rsidTr="00BC1BD3">
        <w:trPr>
          <w:trHeight w:val="340"/>
        </w:trPr>
        <w:tc>
          <w:tcPr>
            <w:tcW w:w="2221" w:type="dxa"/>
            <w:tcBorders>
              <w:right w:val="single" w:sz="4" w:space="0" w:color="auto"/>
            </w:tcBorders>
            <w:noWrap/>
            <w:vAlign w:val="center"/>
            <w:hideMark/>
          </w:tcPr>
          <w:p w14:paraId="4CDE747C"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Thyroid</w:t>
            </w:r>
          </w:p>
        </w:tc>
        <w:tc>
          <w:tcPr>
            <w:tcW w:w="1272" w:type="dxa"/>
            <w:tcBorders>
              <w:right w:val="single" w:sz="4" w:space="0" w:color="auto"/>
            </w:tcBorders>
          </w:tcPr>
          <w:p w14:paraId="22407395"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0D2799A2" w14:textId="1F412BF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w:t>
            </w:r>
          </w:p>
        </w:tc>
        <w:tc>
          <w:tcPr>
            <w:tcW w:w="1366" w:type="dxa"/>
            <w:tcBorders>
              <w:top w:val="single" w:sz="4" w:space="0" w:color="auto"/>
              <w:left w:val="nil"/>
              <w:bottom w:val="single" w:sz="4" w:space="0" w:color="auto"/>
              <w:right w:val="single" w:sz="4" w:space="0" w:color="auto"/>
            </w:tcBorders>
            <w:noWrap/>
            <w:vAlign w:val="center"/>
            <w:hideMark/>
          </w:tcPr>
          <w:p w14:paraId="433D947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9%</w:t>
            </w:r>
          </w:p>
        </w:tc>
        <w:tc>
          <w:tcPr>
            <w:tcW w:w="1272" w:type="dxa"/>
            <w:tcBorders>
              <w:top w:val="single" w:sz="4" w:space="0" w:color="auto"/>
              <w:left w:val="single" w:sz="4" w:space="0" w:color="auto"/>
              <w:bottom w:val="single" w:sz="4" w:space="0" w:color="auto"/>
              <w:right w:val="nil"/>
            </w:tcBorders>
            <w:noWrap/>
            <w:vAlign w:val="center"/>
            <w:hideMark/>
          </w:tcPr>
          <w:p w14:paraId="2C76B24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w:t>
            </w:r>
          </w:p>
        </w:tc>
        <w:tc>
          <w:tcPr>
            <w:tcW w:w="1366" w:type="dxa"/>
            <w:tcBorders>
              <w:top w:val="single" w:sz="4" w:space="0" w:color="auto"/>
              <w:left w:val="nil"/>
              <w:bottom w:val="single" w:sz="4" w:space="0" w:color="auto"/>
              <w:right w:val="nil"/>
            </w:tcBorders>
            <w:noWrap/>
            <w:vAlign w:val="center"/>
            <w:hideMark/>
          </w:tcPr>
          <w:p w14:paraId="60A1A44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4.80%</w:t>
            </w:r>
          </w:p>
        </w:tc>
        <w:tc>
          <w:tcPr>
            <w:tcW w:w="1664" w:type="dxa"/>
            <w:tcBorders>
              <w:top w:val="single" w:sz="4" w:space="0" w:color="auto"/>
              <w:left w:val="nil"/>
              <w:bottom w:val="single" w:sz="4" w:space="0" w:color="auto"/>
              <w:right w:val="single" w:sz="4" w:space="0" w:color="auto"/>
            </w:tcBorders>
            <w:noWrap/>
            <w:vAlign w:val="center"/>
            <w:hideMark/>
          </w:tcPr>
          <w:p w14:paraId="3428463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2.20%</w:t>
            </w:r>
          </w:p>
        </w:tc>
        <w:tc>
          <w:tcPr>
            <w:tcW w:w="971" w:type="dxa"/>
            <w:tcBorders>
              <w:top w:val="single" w:sz="4" w:space="0" w:color="auto"/>
              <w:left w:val="single" w:sz="4" w:space="0" w:color="auto"/>
              <w:bottom w:val="single" w:sz="4" w:space="0" w:color="auto"/>
              <w:right w:val="nil"/>
            </w:tcBorders>
            <w:noWrap/>
            <w:vAlign w:val="center"/>
            <w:hideMark/>
          </w:tcPr>
          <w:p w14:paraId="081B2AB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15435E5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1.8</w:t>
            </w:r>
          </w:p>
        </w:tc>
        <w:tc>
          <w:tcPr>
            <w:tcW w:w="1272" w:type="dxa"/>
            <w:tcBorders>
              <w:top w:val="single" w:sz="4" w:space="0" w:color="auto"/>
              <w:left w:val="nil"/>
              <w:bottom w:val="single" w:sz="4" w:space="0" w:color="auto"/>
              <w:right w:val="single" w:sz="4" w:space="0" w:color="auto"/>
            </w:tcBorders>
            <w:noWrap/>
            <w:vAlign w:val="center"/>
            <w:hideMark/>
          </w:tcPr>
          <w:p w14:paraId="5486121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1.70%</w:t>
            </w:r>
          </w:p>
        </w:tc>
      </w:tr>
      <w:tr w:rsidR="000E180E" w:rsidRPr="00BC1BD3" w14:paraId="16214D7F" w14:textId="77777777" w:rsidTr="00B3496B">
        <w:trPr>
          <w:trHeight w:val="340"/>
        </w:trPr>
        <w:tc>
          <w:tcPr>
            <w:tcW w:w="13948" w:type="dxa"/>
            <w:gridSpan w:val="10"/>
            <w:shd w:val="clear" w:color="auto" w:fill="BFBFBF" w:themeFill="background1" w:themeFillShade="BF"/>
          </w:tcPr>
          <w:p w14:paraId="39EEB84E" w14:textId="1D9ECE3C" w:rsidR="000E180E" w:rsidRPr="00BC1BD3" w:rsidRDefault="000E180E" w:rsidP="00BC1BD3">
            <w:pPr>
              <w:pStyle w:val="NoSpacing"/>
              <w:contextualSpacing/>
              <w:rPr>
                <w:rFonts w:cs="Times New Roman"/>
                <w:b/>
                <w:sz w:val="20"/>
                <w:szCs w:val="20"/>
              </w:rPr>
            </w:pPr>
            <w:r w:rsidRPr="00BC1BD3">
              <w:rPr>
                <w:rFonts w:cs="Times New Roman"/>
                <w:b/>
                <w:sz w:val="20"/>
                <w:szCs w:val="20"/>
              </w:rPr>
              <w:t>Unrepresented</w:t>
            </w:r>
          </w:p>
        </w:tc>
      </w:tr>
      <w:tr w:rsidR="00BC1BD3" w:rsidRPr="00BC1BD3" w14:paraId="562DA0CD" w14:textId="77777777" w:rsidTr="00BC1BD3">
        <w:trPr>
          <w:trHeight w:val="340"/>
        </w:trPr>
        <w:tc>
          <w:tcPr>
            <w:tcW w:w="2221" w:type="dxa"/>
            <w:tcBorders>
              <w:right w:val="single" w:sz="4" w:space="0" w:color="auto"/>
            </w:tcBorders>
            <w:noWrap/>
            <w:vAlign w:val="center"/>
            <w:hideMark/>
          </w:tcPr>
          <w:p w14:paraId="16A6CDB7"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Congenital Mesoblastic Nephroma</w:t>
            </w:r>
          </w:p>
        </w:tc>
        <w:tc>
          <w:tcPr>
            <w:tcW w:w="1272" w:type="dxa"/>
            <w:tcBorders>
              <w:right w:val="single" w:sz="4" w:space="0" w:color="auto"/>
            </w:tcBorders>
          </w:tcPr>
          <w:p w14:paraId="78F3CB9C"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182EB163" w14:textId="5B52221E"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5257D68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0ECD5E9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w:t>
            </w:r>
          </w:p>
        </w:tc>
        <w:tc>
          <w:tcPr>
            <w:tcW w:w="1366" w:type="dxa"/>
            <w:tcBorders>
              <w:top w:val="single" w:sz="4" w:space="0" w:color="auto"/>
              <w:left w:val="nil"/>
              <w:bottom w:val="single" w:sz="4" w:space="0" w:color="auto"/>
              <w:right w:val="nil"/>
            </w:tcBorders>
            <w:noWrap/>
            <w:vAlign w:val="center"/>
            <w:hideMark/>
          </w:tcPr>
          <w:p w14:paraId="77B2C27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1FDC040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0.10%</w:t>
            </w:r>
          </w:p>
        </w:tc>
        <w:tc>
          <w:tcPr>
            <w:tcW w:w="971" w:type="dxa"/>
            <w:tcBorders>
              <w:top w:val="single" w:sz="4" w:space="0" w:color="auto"/>
              <w:left w:val="single" w:sz="4" w:space="0" w:color="auto"/>
              <w:bottom w:val="single" w:sz="4" w:space="0" w:color="auto"/>
              <w:right w:val="nil"/>
            </w:tcBorders>
            <w:noWrap/>
            <w:vAlign w:val="center"/>
            <w:hideMark/>
          </w:tcPr>
          <w:p w14:paraId="5692AF6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545F9A6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0.07</w:t>
            </w:r>
          </w:p>
        </w:tc>
        <w:tc>
          <w:tcPr>
            <w:tcW w:w="1272" w:type="dxa"/>
            <w:tcBorders>
              <w:top w:val="single" w:sz="4" w:space="0" w:color="auto"/>
              <w:left w:val="nil"/>
              <w:bottom w:val="single" w:sz="4" w:space="0" w:color="auto"/>
              <w:right w:val="single" w:sz="4" w:space="0" w:color="auto"/>
            </w:tcBorders>
            <w:noWrap/>
            <w:vAlign w:val="center"/>
            <w:hideMark/>
          </w:tcPr>
          <w:p w14:paraId="72B2F35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0.10%</w:t>
            </w:r>
          </w:p>
        </w:tc>
      </w:tr>
      <w:tr w:rsidR="00BC1BD3" w:rsidRPr="00BC1BD3" w14:paraId="35CED244" w14:textId="77777777" w:rsidTr="00BC1BD3">
        <w:trPr>
          <w:trHeight w:val="340"/>
        </w:trPr>
        <w:tc>
          <w:tcPr>
            <w:tcW w:w="2221" w:type="dxa"/>
            <w:tcBorders>
              <w:right w:val="single" w:sz="4" w:space="0" w:color="auto"/>
            </w:tcBorders>
            <w:noWrap/>
            <w:vAlign w:val="center"/>
            <w:hideMark/>
          </w:tcPr>
          <w:p w14:paraId="2F7EB6CF"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Cervix</w:t>
            </w:r>
          </w:p>
        </w:tc>
        <w:tc>
          <w:tcPr>
            <w:tcW w:w="1272" w:type="dxa"/>
            <w:tcBorders>
              <w:right w:val="single" w:sz="4" w:space="0" w:color="auto"/>
            </w:tcBorders>
          </w:tcPr>
          <w:p w14:paraId="4775C01E"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2B37F0FA" w14:textId="3BD72365"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1C246F2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3CC8035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366" w:type="dxa"/>
            <w:tcBorders>
              <w:top w:val="single" w:sz="4" w:space="0" w:color="auto"/>
              <w:left w:val="nil"/>
              <w:bottom w:val="single" w:sz="4" w:space="0" w:color="auto"/>
              <w:right w:val="nil"/>
            </w:tcBorders>
            <w:noWrap/>
            <w:vAlign w:val="center"/>
            <w:hideMark/>
          </w:tcPr>
          <w:p w14:paraId="60348C2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5AF1777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0.70%</w:t>
            </w:r>
          </w:p>
        </w:tc>
        <w:tc>
          <w:tcPr>
            <w:tcW w:w="971" w:type="dxa"/>
            <w:tcBorders>
              <w:top w:val="single" w:sz="4" w:space="0" w:color="auto"/>
              <w:left w:val="single" w:sz="4" w:space="0" w:color="auto"/>
              <w:bottom w:val="single" w:sz="4" w:space="0" w:color="auto"/>
              <w:right w:val="nil"/>
            </w:tcBorders>
            <w:noWrap/>
            <w:vAlign w:val="center"/>
            <w:hideMark/>
          </w:tcPr>
          <w:p w14:paraId="7C807B5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6808055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0.62</w:t>
            </w:r>
          </w:p>
        </w:tc>
        <w:tc>
          <w:tcPr>
            <w:tcW w:w="1272" w:type="dxa"/>
            <w:tcBorders>
              <w:top w:val="single" w:sz="4" w:space="0" w:color="auto"/>
              <w:left w:val="nil"/>
              <w:bottom w:val="single" w:sz="4" w:space="0" w:color="auto"/>
              <w:right w:val="single" w:sz="4" w:space="0" w:color="auto"/>
            </w:tcBorders>
            <w:noWrap/>
            <w:vAlign w:val="center"/>
            <w:hideMark/>
          </w:tcPr>
          <w:p w14:paraId="16C2449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0.60%</w:t>
            </w:r>
          </w:p>
        </w:tc>
      </w:tr>
      <w:tr w:rsidR="00BC1BD3" w:rsidRPr="00BC1BD3" w14:paraId="268E6750" w14:textId="77777777" w:rsidTr="00BC1BD3">
        <w:trPr>
          <w:trHeight w:val="340"/>
        </w:trPr>
        <w:tc>
          <w:tcPr>
            <w:tcW w:w="2221" w:type="dxa"/>
            <w:tcBorders>
              <w:right w:val="single" w:sz="4" w:space="0" w:color="auto"/>
            </w:tcBorders>
            <w:noWrap/>
            <w:vAlign w:val="center"/>
            <w:hideMark/>
          </w:tcPr>
          <w:p w14:paraId="5A653A04"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Gastro-oesophageal junction</w:t>
            </w:r>
          </w:p>
        </w:tc>
        <w:tc>
          <w:tcPr>
            <w:tcW w:w="1272" w:type="dxa"/>
            <w:tcBorders>
              <w:right w:val="single" w:sz="4" w:space="0" w:color="auto"/>
            </w:tcBorders>
          </w:tcPr>
          <w:p w14:paraId="4F776849"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786F97F2" w14:textId="0B58245B"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6C251FB7"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673E929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nil"/>
            </w:tcBorders>
            <w:noWrap/>
            <w:vAlign w:val="center"/>
            <w:hideMark/>
          </w:tcPr>
          <w:p w14:paraId="668B507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099C129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1.40%</w:t>
            </w:r>
          </w:p>
        </w:tc>
        <w:tc>
          <w:tcPr>
            <w:tcW w:w="971" w:type="dxa"/>
            <w:tcBorders>
              <w:top w:val="single" w:sz="4" w:space="0" w:color="auto"/>
              <w:left w:val="single" w:sz="4" w:space="0" w:color="auto"/>
              <w:bottom w:val="single" w:sz="4" w:space="0" w:color="auto"/>
              <w:right w:val="nil"/>
            </w:tcBorders>
            <w:noWrap/>
            <w:vAlign w:val="center"/>
            <w:hideMark/>
          </w:tcPr>
          <w:p w14:paraId="43813D3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50170A9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1.16</w:t>
            </w:r>
          </w:p>
        </w:tc>
        <w:tc>
          <w:tcPr>
            <w:tcW w:w="1272" w:type="dxa"/>
            <w:tcBorders>
              <w:top w:val="single" w:sz="4" w:space="0" w:color="auto"/>
              <w:left w:val="nil"/>
              <w:bottom w:val="single" w:sz="4" w:space="0" w:color="auto"/>
              <w:right w:val="single" w:sz="4" w:space="0" w:color="auto"/>
            </w:tcBorders>
            <w:noWrap/>
            <w:vAlign w:val="center"/>
            <w:hideMark/>
          </w:tcPr>
          <w:p w14:paraId="1EFE8DB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1.10%</w:t>
            </w:r>
          </w:p>
        </w:tc>
      </w:tr>
      <w:tr w:rsidR="00BC1BD3" w:rsidRPr="00BC1BD3" w14:paraId="5D7B1184" w14:textId="77777777" w:rsidTr="00BC1BD3">
        <w:trPr>
          <w:trHeight w:val="340"/>
        </w:trPr>
        <w:tc>
          <w:tcPr>
            <w:tcW w:w="2221" w:type="dxa"/>
            <w:tcBorders>
              <w:right w:val="single" w:sz="4" w:space="0" w:color="auto"/>
            </w:tcBorders>
            <w:noWrap/>
            <w:vAlign w:val="center"/>
            <w:hideMark/>
          </w:tcPr>
          <w:p w14:paraId="401E41C1"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lastRenderedPageBreak/>
              <w:t>HNSCC</w:t>
            </w:r>
          </w:p>
        </w:tc>
        <w:tc>
          <w:tcPr>
            <w:tcW w:w="1272" w:type="dxa"/>
            <w:tcBorders>
              <w:right w:val="single" w:sz="4" w:space="0" w:color="auto"/>
            </w:tcBorders>
          </w:tcPr>
          <w:p w14:paraId="2134EEB9"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63CD4CD9" w14:textId="32E89F53"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560A027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590D5CB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24</w:t>
            </w:r>
          </w:p>
        </w:tc>
        <w:tc>
          <w:tcPr>
            <w:tcW w:w="1366" w:type="dxa"/>
            <w:tcBorders>
              <w:top w:val="single" w:sz="4" w:space="0" w:color="auto"/>
              <w:left w:val="nil"/>
              <w:bottom w:val="single" w:sz="4" w:space="0" w:color="auto"/>
              <w:right w:val="nil"/>
            </w:tcBorders>
            <w:noWrap/>
            <w:vAlign w:val="center"/>
            <w:hideMark/>
          </w:tcPr>
          <w:p w14:paraId="70AA5E8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52FA160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8.60%</w:t>
            </w:r>
          </w:p>
        </w:tc>
        <w:tc>
          <w:tcPr>
            <w:tcW w:w="971" w:type="dxa"/>
            <w:tcBorders>
              <w:top w:val="single" w:sz="4" w:space="0" w:color="auto"/>
              <w:left w:val="single" w:sz="4" w:space="0" w:color="auto"/>
              <w:bottom w:val="single" w:sz="4" w:space="0" w:color="auto"/>
              <w:right w:val="nil"/>
            </w:tcBorders>
            <w:noWrap/>
            <w:vAlign w:val="center"/>
            <w:hideMark/>
          </w:tcPr>
          <w:p w14:paraId="5F2CA77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4F22848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7.14</w:t>
            </w:r>
          </w:p>
        </w:tc>
        <w:tc>
          <w:tcPr>
            <w:tcW w:w="1272" w:type="dxa"/>
            <w:tcBorders>
              <w:top w:val="single" w:sz="4" w:space="0" w:color="auto"/>
              <w:left w:val="nil"/>
              <w:bottom w:val="single" w:sz="4" w:space="0" w:color="auto"/>
              <w:right w:val="single" w:sz="4" w:space="0" w:color="auto"/>
            </w:tcBorders>
            <w:noWrap/>
            <w:vAlign w:val="center"/>
            <w:hideMark/>
          </w:tcPr>
          <w:p w14:paraId="7A42531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6.60%</w:t>
            </w:r>
          </w:p>
        </w:tc>
      </w:tr>
      <w:tr w:rsidR="00BC1BD3" w:rsidRPr="00BC1BD3" w14:paraId="21B6A653" w14:textId="77777777" w:rsidTr="00BC1BD3">
        <w:trPr>
          <w:trHeight w:val="340"/>
        </w:trPr>
        <w:tc>
          <w:tcPr>
            <w:tcW w:w="2221" w:type="dxa"/>
            <w:tcBorders>
              <w:right w:val="single" w:sz="4" w:space="0" w:color="auto"/>
            </w:tcBorders>
            <w:noWrap/>
            <w:vAlign w:val="center"/>
            <w:hideMark/>
          </w:tcPr>
          <w:p w14:paraId="555BE592"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Neuroendocrine</w:t>
            </w:r>
          </w:p>
        </w:tc>
        <w:tc>
          <w:tcPr>
            <w:tcW w:w="1272" w:type="dxa"/>
            <w:tcBorders>
              <w:right w:val="single" w:sz="4" w:space="0" w:color="auto"/>
            </w:tcBorders>
          </w:tcPr>
          <w:p w14:paraId="33762A7A"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4182EC1A" w14:textId="06B6F232"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56A8880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1A771B3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7</w:t>
            </w:r>
          </w:p>
        </w:tc>
        <w:tc>
          <w:tcPr>
            <w:tcW w:w="1366" w:type="dxa"/>
            <w:tcBorders>
              <w:top w:val="single" w:sz="4" w:space="0" w:color="auto"/>
              <w:left w:val="nil"/>
              <w:bottom w:val="single" w:sz="4" w:space="0" w:color="auto"/>
              <w:right w:val="nil"/>
            </w:tcBorders>
            <w:noWrap/>
            <w:vAlign w:val="center"/>
            <w:hideMark/>
          </w:tcPr>
          <w:p w14:paraId="665B8F9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61A0EE7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2.50%</w:t>
            </w:r>
          </w:p>
        </w:tc>
        <w:tc>
          <w:tcPr>
            <w:tcW w:w="971" w:type="dxa"/>
            <w:tcBorders>
              <w:top w:val="single" w:sz="4" w:space="0" w:color="auto"/>
              <w:left w:val="single" w:sz="4" w:space="0" w:color="auto"/>
              <w:bottom w:val="single" w:sz="4" w:space="0" w:color="auto"/>
              <w:right w:val="nil"/>
            </w:tcBorders>
            <w:noWrap/>
            <w:vAlign w:val="center"/>
            <w:hideMark/>
          </w:tcPr>
          <w:p w14:paraId="75EA590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3A6621A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2.08</w:t>
            </w:r>
          </w:p>
        </w:tc>
        <w:tc>
          <w:tcPr>
            <w:tcW w:w="1272" w:type="dxa"/>
            <w:tcBorders>
              <w:top w:val="single" w:sz="4" w:space="0" w:color="auto"/>
              <w:left w:val="nil"/>
              <w:bottom w:val="single" w:sz="4" w:space="0" w:color="auto"/>
              <w:right w:val="single" w:sz="4" w:space="0" w:color="auto"/>
            </w:tcBorders>
            <w:noWrap/>
            <w:vAlign w:val="center"/>
            <w:hideMark/>
          </w:tcPr>
          <w:p w14:paraId="7B26FCA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1.90%</w:t>
            </w:r>
          </w:p>
        </w:tc>
      </w:tr>
      <w:tr w:rsidR="00BC1BD3" w:rsidRPr="00BC1BD3" w14:paraId="0A4BAF49" w14:textId="77777777" w:rsidTr="00BC1BD3">
        <w:trPr>
          <w:trHeight w:val="340"/>
        </w:trPr>
        <w:tc>
          <w:tcPr>
            <w:tcW w:w="2221" w:type="dxa"/>
            <w:tcBorders>
              <w:right w:val="single" w:sz="4" w:space="0" w:color="auto"/>
            </w:tcBorders>
            <w:noWrap/>
            <w:vAlign w:val="center"/>
            <w:hideMark/>
          </w:tcPr>
          <w:p w14:paraId="77177F1D"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Ovarian</w:t>
            </w:r>
          </w:p>
        </w:tc>
        <w:tc>
          <w:tcPr>
            <w:tcW w:w="1272" w:type="dxa"/>
            <w:tcBorders>
              <w:right w:val="single" w:sz="4" w:space="0" w:color="auto"/>
            </w:tcBorders>
          </w:tcPr>
          <w:p w14:paraId="0DCA3AFF"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5B7467E1" w14:textId="57485AA4"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1BC215C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7FC95FF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nil"/>
            </w:tcBorders>
            <w:noWrap/>
            <w:vAlign w:val="center"/>
            <w:hideMark/>
          </w:tcPr>
          <w:p w14:paraId="6B741C5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60700EB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1.40%</w:t>
            </w:r>
          </w:p>
        </w:tc>
        <w:tc>
          <w:tcPr>
            <w:tcW w:w="971" w:type="dxa"/>
            <w:tcBorders>
              <w:top w:val="single" w:sz="4" w:space="0" w:color="auto"/>
              <w:left w:val="single" w:sz="4" w:space="0" w:color="auto"/>
              <w:bottom w:val="single" w:sz="4" w:space="0" w:color="auto"/>
              <w:right w:val="nil"/>
            </w:tcBorders>
            <w:noWrap/>
            <w:vAlign w:val="center"/>
            <w:hideMark/>
          </w:tcPr>
          <w:p w14:paraId="45F09B7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3A88945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1.13</w:t>
            </w:r>
          </w:p>
        </w:tc>
        <w:tc>
          <w:tcPr>
            <w:tcW w:w="1272" w:type="dxa"/>
            <w:tcBorders>
              <w:top w:val="single" w:sz="4" w:space="0" w:color="auto"/>
              <w:left w:val="nil"/>
              <w:bottom w:val="single" w:sz="4" w:space="0" w:color="auto"/>
              <w:right w:val="single" w:sz="4" w:space="0" w:color="auto"/>
            </w:tcBorders>
            <w:noWrap/>
            <w:vAlign w:val="center"/>
            <w:hideMark/>
          </w:tcPr>
          <w:p w14:paraId="24AFE0B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1.00%</w:t>
            </w:r>
          </w:p>
        </w:tc>
      </w:tr>
      <w:tr w:rsidR="00BC1BD3" w:rsidRPr="00BC1BD3" w14:paraId="556DAB3F" w14:textId="77777777" w:rsidTr="00BC1BD3">
        <w:trPr>
          <w:trHeight w:val="340"/>
        </w:trPr>
        <w:tc>
          <w:tcPr>
            <w:tcW w:w="2221" w:type="dxa"/>
            <w:tcBorders>
              <w:right w:val="single" w:sz="4" w:space="0" w:color="auto"/>
            </w:tcBorders>
            <w:noWrap/>
            <w:vAlign w:val="center"/>
            <w:hideMark/>
          </w:tcPr>
          <w:p w14:paraId="149033DA"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Papillary thyroid tumour</w:t>
            </w:r>
          </w:p>
        </w:tc>
        <w:tc>
          <w:tcPr>
            <w:tcW w:w="1272" w:type="dxa"/>
            <w:tcBorders>
              <w:right w:val="single" w:sz="4" w:space="0" w:color="auto"/>
            </w:tcBorders>
          </w:tcPr>
          <w:p w14:paraId="6FC66EA6"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7B21EBBD" w14:textId="2245EDF4"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5F5D9EA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259D5E2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44</w:t>
            </w:r>
          </w:p>
        </w:tc>
        <w:tc>
          <w:tcPr>
            <w:tcW w:w="1366" w:type="dxa"/>
            <w:tcBorders>
              <w:top w:val="single" w:sz="4" w:space="0" w:color="auto"/>
              <w:left w:val="nil"/>
              <w:bottom w:val="single" w:sz="4" w:space="0" w:color="auto"/>
              <w:right w:val="nil"/>
            </w:tcBorders>
            <w:noWrap/>
            <w:vAlign w:val="center"/>
            <w:hideMark/>
          </w:tcPr>
          <w:p w14:paraId="2131584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7D1392E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15.80%</w:t>
            </w:r>
          </w:p>
        </w:tc>
        <w:tc>
          <w:tcPr>
            <w:tcW w:w="971" w:type="dxa"/>
            <w:tcBorders>
              <w:top w:val="single" w:sz="4" w:space="0" w:color="auto"/>
              <w:left w:val="single" w:sz="4" w:space="0" w:color="auto"/>
              <w:bottom w:val="single" w:sz="4" w:space="0" w:color="auto"/>
              <w:right w:val="nil"/>
            </w:tcBorders>
            <w:noWrap/>
            <w:vAlign w:val="center"/>
            <w:hideMark/>
          </w:tcPr>
          <w:p w14:paraId="72F760D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174BD9E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13.07</w:t>
            </w:r>
          </w:p>
        </w:tc>
        <w:tc>
          <w:tcPr>
            <w:tcW w:w="1272" w:type="dxa"/>
            <w:tcBorders>
              <w:top w:val="single" w:sz="4" w:space="0" w:color="auto"/>
              <w:left w:val="nil"/>
              <w:bottom w:val="single" w:sz="4" w:space="0" w:color="auto"/>
              <w:right w:val="single" w:sz="4" w:space="0" w:color="auto"/>
            </w:tcBorders>
            <w:noWrap/>
            <w:vAlign w:val="center"/>
            <w:hideMark/>
          </w:tcPr>
          <w:p w14:paraId="53F4124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12.10%</w:t>
            </w:r>
          </w:p>
        </w:tc>
      </w:tr>
      <w:tr w:rsidR="00BC1BD3" w:rsidRPr="00BC1BD3" w14:paraId="70B00798" w14:textId="77777777" w:rsidTr="00BC1BD3">
        <w:trPr>
          <w:trHeight w:val="340"/>
        </w:trPr>
        <w:tc>
          <w:tcPr>
            <w:tcW w:w="2221" w:type="dxa"/>
            <w:tcBorders>
              <w:right w:val="single" w:sz="4" w:space="0" w:color="auto"/>
            </w:tcBorders>
            <w:noWrap/>
            <w:vAlign w:val="center"/>
            <w:hideMark/>
          </w:tcPr>
          <w:p w14:paraId="6B4F62FB"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Paediatric High Grade Glioma</w:t>
            </w:r>
          </w:p>
        </w:tc>
        <w:tc>
          <w:tcPr>
            <w:tcW w:w="1272" w:type="dxa"/>
            <w:tcBorders>
              <w:right w:val="single" w:sz="4" w:space="0" w:color="auto"/>
            </w:tcBorders>
          </w:tcPr>
          <w:p w14:paraId="671199D7"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5F9521E1" w14:textId="2A8FBB4F"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7741A7C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2CCD69F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w:t>
            </w:r>
          </w:p>
        </w:tc>
        <w:tc>
          <w:tcPr>
            <w:tcW w:w="1366" w:type="dxa"/>
            <w:tcBorders>
              <w:top w:val="single" w:sz="4" w:space="0" w:color="auto"/>
              <w:left w:val="nil"/>
              <w:bottom w:val="single" w:sz="4" w:space="0" w:color="auto"/>
              <w:right w:val="nil"/>
            </w:tcBorders>
            <w:noWrap/>
            <w:vAlign w:val="center"/>
            <w:hideMark/>
          </w:tcPr>
          <w:p w14:paraId="5F67BE7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2A03A85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1.30%</w:t>
            </w:r>
          </w:p>
        </w:tc>
        <w:tc>
          <w:tcPr>
            <w:tcW w:w="971" w:type="dxa"/>
            <w:tcBorders>
              <w:top w:val="single" w:sz="4" w:space="0" w:color="auto"/>
              <w:left w:val="single" w:sz="4" w:space="0" w:color="auto"/>
              <w:bottom w:val="single" w:sz="4" w:space="0" w:color="auto"/>
              <w:right w:val="nil"/>
            </w:tcBorders>
            <w:noWrap/>
            <w:vAlign w:val="center"/>
            <w:hideMark/>
          </w:tcPr>
          <w:p w14:paraId="695EC14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732A14F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1.06</w:t>
            </w:r>
          </w:p>
        </w:tc>
        <w:tc>
          <w:tcPr>
            <w:tcW w:w="1272" w:type="dxa"/>
            <w:tcBorders>
              <w:top w:val="single" w:sz="4" w:space="0" w:color="auto"/>
              <w:left w:val="nil"/>
              <w:bottom w:val="single" w:sz="4" w:space="0" w:color="auto"/>
              <w:right w:val="single" w:sz="4" w:space="0" w:color="auto"/>
            </w:tcBorders>
            <w:noWrap/>
            <w:vAlign w:val="center"/>
            <w:hideMark/>
          </w:tcPr>
          <w:p w14:paraId="3074175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1.00%</w:t>
            </w:r>
          </w:p>
        </w:tc>
      </w:tr>
      <w:tr w:rsidR="00BC1BD3" w:rsidRPr="00BC1BD3" w14:paraId="01F6C8E1" w14:textId="77777777" w:rsidTr="00BC1BD3">
        <w:trPr>
          <w:trHeight w:val="340"/>
        </w:trPr>
        <w:tc>
          <w:tcPr>
            <w:tcW w:w="2221" w:type="dxa"/>
            <w:tcBorders>
              <w:right w:val="single" w:sz="4" w:space="0" w:color="auto"/>
            </w:tcBorders>
            <w:noWrap/>
            <w:vAlign w:val="center"/>
            <w:hideMark/>
          </w:tcPr>
          <w:p w14:paraId="2C204BC1"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Paediatric melanoma</w:t>
            </w:r>
          </w:p>
        </w:tc>
        <w:tc>
          <w:tcPr>
            <w:tcW w:w="1272" w:type="dxa"/>
            <w:tcBorders>
              <w:right w:val="single" w:sz="4" w:space="0" w:color="auto"/>
            </w:tcBorders>
          </w:tcPr>
          <w:p w14:paraId="42824289"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6E06F690" w14:textId="2947CCA3"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1C2DEF2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293C299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w:t>
            </w:r>
          </w:p>
        </w:tc>
        <w:tc>
          <w:tcPr>
            <w:tcW w:w="1366" w:type="dxa"/>
            <w:tcBorders>
              <w:top w:val="single" w:sz="4" w:space="0" w:color="auto"/>
              <w:left w:val="nil"/>
              <w:bottom w:val="single" w:sz="4" w:space="0" w:color="auto"/>
              <w:right w:val="nil"/>
            </w:tcBorders>
            <w:noWrap/>
            <w:vAlign w:val="center"/>
            <w:hideMark/>
          </w:tcPr>
          <w:p w14:paraId="04148D2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2378D2D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0.80%</w:t>
            </w:r>
          </w:p>
        </w:tc>
        <w:tc>
          <w:tcPr>
            <w:tcW w:w="971" w:type="dxa"/>
            <w:tcBorders>
              <w:top w:val="single" w:sz="4" w:space="0" w:color="auto"/>
              <w:left w:val="single" w:sz="4" w:space="0" w:color="auto"/>
              <w:bottom w:val="single" w:sz="4" w:space="0" w:color="auto"/>
              <w:right w:val="nil"/>
            </w:tcBorders>
            <w:noWrap/>
            <w:vAlign w:val="center"/>
            <w:hideMark/>
          </w:tcPr>
          <w:p w14:paraId="6D3D2D4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5EFE552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0.62</w:t>
            </w:r>
          </w:p>
        </w:tc>
        <w:tc>
          <w:tcPr>
            <w:tcW w:w="1272" w:type="dxa"/>
            <w:tcBorders>
              <w:top w:val="single" w:sz="4" w:space="0" w:color="auto"/>
              <w:left w:val="nil"/>
              <w:bottom w:val="single" w:sz="4" w:space="0" w:color="auto"/>
              <w:right w:val="single" w:sz="4" w:space="0" w:color="auto"/>
            </w:tcBorders>
            <w:noWrap/>
            <w:vAlign w:val="center"/>
            <w:hideMark/>
          </w:tcPr>
          <w:p w14:paraId="5E15B61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0.60%</w:t>
            </w:r>
          </w:p>
        </w:tc>
      </w:tr>
      <w:tr w:rsidR="00BC1BD3" w:rsidRPr="00BC1BD3" w14:paraId="709FCD6F" w14:textId="77777777" w:rsidTr="00BC1BD3">
        <w:trPr>
          <w:trHeight w:val="340"/>
        </w:trPr>
        <w:tc>
          <w:tcPr>
            <w:tcW w:w="2221" w:type="dxa"/>
            <w:tcBorders>
              <w:right w:val="single" w:sz="4" w:space="0" w:color="auto"/>
            </w:tcBorders>
            <w:noWrap/>
            <w:vAlign w:val="center"/>
            <w:hideMark/>
          </w:tcPr>
          <w:p w14:paraId="73850846"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Prostate</w:t>
            </w:r>
          </w:p>
        </w:tc>
        <w:tc>
          <w:tcPr>
            <w:tcW w:w="1272" w:type="dxa"/>
            <w:tcBorders>
              <w:right w:val="single" w:sz="4" w:space="0" w:color="auto"/>
            </w:tcBorders>
          </w:tcPr>
          <w:p w14:paraId="0B682452"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519B4989" w14:textId="1A3F59E3"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4D60F11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1B0E2E3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44</w:t>
            </w:r>
          </w:p>
        </w:tc>
        <w:tc>
          <w:tcPr>
            <w:tcW w:w="1366" w:type="dxa"/>
            <w:tcBorders>
              <w:top w:val="single" w:sz="4" w:space="0" w:color="auto"/>
              <w:left w:val="nil"/>
              <w:bottom w:val="single" w:sz="4" w:space="0" w:color="auto"/>
              <w:right w:val="nil"/>
            </w:tcBorders>
            <w:noWrap/>
            <w:vAlign w:val="center"/>
            <w:hideMark/>
          </w:tcPr>
          <w:p w14:paraId="0A10B20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3D8B790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16.00%</w:t>
            </w:r>
          </w:p>
        </w:tc>
        <w:tc>
          <w:tcPr>
            <w:tcW w:w="971" w:type="dxa"/>
            <w:tcBorders>
              <w:top w:val="single" w:sz="4" w:space="0" w:color="auto"/>
              <w:left w:val="single" w:sz="4" w:space="0" w:color="auto"/>
              <w:bottom w:val="single" w:sz="4" w:space="0" w:color="auto"/>
              <w:right w:val="nil"/>
            </w:tcBorders>
            <w:noWrap/>
            <w:vAlign w:val="center"/>
            <w:hideMark/>
          </w:tcPr>
          <w:p w14:paraId="2AAF1FB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1B609A5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13.29</w:t>
            </w:r>
          </w:p>
        </w:tc>
        <w:tc>
          <w:tcPr>
            <w:tcW w:w="1272" w:type="dxa"/>
            <w:tcBorders>
              <w:top w:val="single" w:sz="4" w:space="0" w:color="auto"/>
              <w:left w:val="nil"/>
              <w:bottom w:val="single" w:sz="4" w:space="0" w:color="auto"/>
              <w:right w:val="single" w:sz="4" w:space="0" w:color="auto"/>
            </w:tcBorders>
            <w:noWrap/>
            <w:vAlign w:val="center"/>
            <w:hideMark/>
          </w:tcPr>
          <w:p w14:paraId="640D631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12.30%</w:t>
            </w:r>
          </w:p>
        </w:tc>
      </w:tr>
      <w:tr w:rsidR="00BC1BD3" w:rsidRPr="00BC1BD3" w14:paraId="4441F161" w14:textId="77777777" w:rsidTr="00BC1BD3">
        <w:trPr>
          <w:trHeight w:val="340"/>
        </w:trPr>
        <w:tc>
          <w:tcPr>
            <w:tcW w:w="2221" w:type="dxa"/>
            <w:tcBorders>
              <w:right w:val="single" w:sz="4" w:space="0" w:color="auto"/>
            </w:tcBorders>
            <w:noWrap/>
            <w:vAlign w:val="center"/>
            <w:hideMark/>
          </w:tcPr>
          <w:p w14:paraId="3D99183B"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Renal cell carcinoma</w:t>
            </w:r>
          </w:p>
        </w:tc>
        <w:tc>
          <w:tcPr>
            <w:tcW w:w="1272" w:type="dxa"/>
            <w:tcBorders>
              <w:right w:val="single" w:sz="4" w:space="0" w:color="auto"/>
            </w:tcBorders>
          </w:tcPr>
          <w:p w14:paraId="5EB4B0FB"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3543617B" w14:textId="354622E0"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74FF818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0919DE3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8</w:t>
            </w:r>
          </w:p>
        </w:tc>
        <w:tc>
          <w:tcPr>
            <w:tcW w:w="1366" w:type="dxa"/>
            <w:tcBorders>
              <w:top w:val="single" w:sz="4" w:space="0" w:color="auto"/>
              <w:left w:val="nil"/>
              <w:bottom w:val="single" w:sz="4" w:space="0" w:color="auto"/>
              <w:right w:val="nil"/>
            </w:tcBorders>
            <w:noWrap/>
            <w:vAlign w:val="center"/>
            <w:hideMark/>
          </w:tcPr>
          <w:p w14:paraId="406E64F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6623CC57"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3.00%</w:t>
            </w:r>
          </w:p>
        </w:tc>
        <w:tc>
          <w:tcPr>
            <w:tcW w:w="971" w:type="dxa"/>
            <w:tcBorders>
              <w:top w:val="single" w:sz="4" w:space="0" w:color="auto"/>
              <w:left w:val="single" w:sz="4" w:space="0" w:color="auto"/>
              <w:bottom w:val="single" w:sz="4" w:space="0" w:color="auto"/>
              <w:right w:val="nil"/>
            </w:tcBorders>
            <w:noWrap/>
            <w:vAlign w:val="center"/>
            <w:hideMark/>
          </w:tcPr>
          <w:p w14:paraId="06630E6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212D703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2.45</w:t>
            </w:r>
          </w:p>
        </w:tc>
        <w:tc>
          <w:tcPr>
            <w:tcW w:w="1272" w:type="dxa"/>
            <w:tcBorders>
              <w:top w:val="single" w:sz="4" w:space="0" w:color="auto"/>
              <w:left w:val="nil"/>
              <w:bottom w:val="single" w:sz="4" w:space="0" w:color="auto"/>
              <w:right w:val="single" w:sz="4" w:space="0" w:color="auto"/>
            </w:tcBorders>
            <w:noWrap/>
            <w:vAlign w:val="center"/>
            <w:hideMark/>
          </w:tcPr>
          <w:p w14:paraId="6737018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2.30%</w:t>
            </w:r>
          </w:p>
        </w:tc>
      </w:tr>
      <w:tr w:rsidR="00BC1BD3" w:rsidRPr="00BC1BD3" w14:paraId="7D3040FF" w14:textId="77777777" w:rsidTr="00BC1BD3">
        <w:trPr>
          <w:trHeight w:val="340"/>
        </w:trPr>
        <w:tc>
          <w:tcPr>
            <w:tcW w:w="2221" w:type="dxa"/>
            <w:tcBorders>
              <w:right w:val="single" w:sz="4" w:space="0" w:color="auto"/>
            </w:tcBorders>
            <w:noWrap/>
            <w:vAlign w:val="center"/>
            <w:hideMark/>
          </w:tcPr>
          <w:p w14:paraId="30D5FA92"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Salivary gland</w:t>
            </w:r>
          </w:p>
        </w:tc>
        <w:tc>
          <w:tcPr>
            <w:tcW w:w="1272" w:type="dxa"/>
            <w:tcBorders>
              <w:right w:val="single" w:sz="4" w:space="0" w:color="auto"/>
            </w:tcBorders>
          </w:tcPr>
          <w:p w14:paraId="10225195"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1BFA6ED6" w14:textId="54F68392"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717AB94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0C22686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w:t>
            </w:r>
          </w:p>
        </w:tc>
        <w:tc>
          <w:tcPr>
            <w:tcW w:w="1366" w:type="dxa"/>
            <w:tcBorders>
              <w:top w:val="single" w:sz="4" w:space="0" w:color="auto"/>
              <w:left w:val="nil"/>
              <w:bottom w:val="single" w:sz="4" w:space="0" w:color="auto"/>
              <w:right w:val="nil"/>
            </w:tcBorders>
            <w:noWrap/>
            <w:vAlign w:val="center"/>
            <w:hideMark/>
          </w:tcPr>
          <w:p w14:paraId="1F0B22B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093E7E6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2.00%</w:t>
            </w:r>
          </w:p>
        </w:tc>
        <w:tc>
          <w:tcPr>
            <w:tcW w:w="971" w:type="dxa"/>
            <w:tcBorders>
              <w:top w:val="single" w:sz="4" w:space="0" w:color="auto"/>
              <w:left w:val="single" w:sz="4" w:space="0" w:color="auto"/>
              <w:bottom w:val="single" w:sz="4" w:space="0" w:color="auto"/>
              <w:right w:val="nil"/>
            </w:tcBorders>
            <w:noWrap/>
            <w:vAlign w:val="center"/>
            <w:hideMark/>
          </w:tcPr>
          <w:p w14:paraId="3D84CFD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2B259C4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1.68</w:t>
            </w:r>
          </w:p>
        </w:tc>
        <w:tc>
          <w:tcPr>
            <w:tcW w:w="1272" w:type="dxa"/>
            <w:tcBorders>
              <w:top w:val="single" w:sz="4" w:space="0" w:color="auto"/>
              <w:left w:val="nil"/>
              <w:bottom w:val="single" w:sz="4" w:space="0" w:color="auto"/>
              <w:right w:val="single" w:sz="4" w:space="0" w:color="auto"/>
            </w:tcBorders>
            <w:noWrap/>
            <w:vAlign w:val="center"/>
            <w:hideMark/>
          </w:tcPr>
          <w:p w14:paraId="5CE94CB2"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1.60%</w:t>
            </w:r>
          </w:p>
        </w:tc>
      </w:tr>
      <w:tr w:rsidR="00BC1BD3" w:rsidRPr="00BC1BD3" w14:paraId="764C11A3" w14:textId="77777777" w:rsidTr="00BC1BD3">
        <w:trPr>
          <w:trHeight w:val="340"/>
        </w:trPr>
        <w:tc>
          <w:tcPr>
            <w:tcW w:w="2221" w:type="dxa"/>
            <w:tcBorders>
              <w:right w:val="single" w:sz="4" w:space="0" w:color="auto"/>
            </w:tcBorders>
            <w:noWrap/>
            <w:vAlign w:val="center"/>
            <w:hideMark/>
          </w:tcPr>
          <w:p w14:paraId="3F3A6BE6"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Secretory Breast Carcinoma</w:t>
            </w:r>
          </w:p>
        </w:tc>
        <w:tc>
          <w:tcPr>
            <w:tcW w:w="1272" w:type="dxa"/>
            <w:tcBorders>
              <w:right w:val="single" w:sz="4" w:space="0" w:color="auto"/>
            </w:tcBorders>
          </w:tcPr>
          <w:p w14:paraId="19FF4BF9"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3F4A3ABC" w14:textId="0FA076EE"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1DBC128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531F321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w:t>
            </w:r>
          </w:p>
        </w:tc>
        <w:tc>
          <w:tcPr>
            <w:tcW w:w="1366" w:type="dxa"/>
            <w:tcBorders>
              <w:top w:val="single" w:sz="4" w:space="0" w:color="auto"/>
              <w:left w:val="nil"/>
              <w:bottom w:val="single" w:sz="4" w:space="0" w:color="auto"/>
              <w:right w:val="nil"/>
            </w:tcBorders>
            <w:noWrap/>
            <w:vAlign w:val="center"/>
            <w:hideMark/>
          </w:tcPr>
          <w:p w14:paraId="6ED1518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6F328D13"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0.20%</w:t>
            </w:r>
          </w:p>
        </w:tc>
        <w:tc>
          <w:tcPr>
            <w:tcW w:w="971" w:type="dxa"/>
            <w:tcBorders>
              <w:top w:val="single" w:sz="4" w:space="0" w:color="auto"/>
              <w:left w:val="single" w:sz="4" w:space="0" w:color="auto"/>
              <w:bottom w:val="single" w:sz="4" w:space="0" w:color="auto"/>
              <w:right w:val="nil"/>
            </w:tcBorders>
            <w:noWrap/>
            <w:vAlign w:val="center"/>
            <w:hideMark/>
          </w:tcPr>
          <w:p w14:paraId="015AFFA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60%</w:t>
            </w:r>
          </w:p>
        </w:tc>
        <w:tc>
          <w:tcPr>
            <w:tcW w:w="1272" w:type="dxa"/>
            <w:tcBorders>
              <w:top w:val="single" w:sz="4" w:space="0" w:color="auto"/>
              <w:left w:val="nil"/>
              <w:bottom w:val="single" w:sz="4" w:space="0" w:color="auto"/>
              <w:right w:val="nil"/>
            </w:tcBorders>
            <w:noWrap/>
            <w:vAlign w:val="center"/>
            <w:hideMark/>
          </w:tcPr>
          <w:p w14:paraId="1B0F475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0.35</w:t>
            </w:r>
          </w:p>
        </w:tc>
        <w:tc>
          <w:tcPr>
            <w:tcW w:w="1272" w:type="dxa"/>
            <w:tcBorders>
              <w:top w:val="single" w:sz="4" w:space="0" w:color="auto"/>
              <w:left w:val="nil"/>
              <w:bottom w:val="single" w:sz="4" w:space="0" w:color="auto"/>
              <w:right w:val="single" w:sz="4" w:space="0" w:color="auto"/>
            </w:tcBorders>
            <w:noWrap/>
            <w:vAlign w:val="center"/>
            <w:hideMark/>
          </w:tcPr>
          <w:p w14:paraId="3431D1D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0.30%</w:t>
            </w:r>
          </w:p>
        </w:tc>
      </w:tr>
      <w:tr w:rsidR="00BC1BD3" w:rsidRPr="00BC1BD3" w14:paraId="723F5E4C" w14:textId="77777777" w:rsidTr="00BC1BD3">
        <w:trPr>
          <w:trHeight w:val="340"/>
        </w:trPr>
        <w:tc>
          <w:tcPr>
            <w:tcW w:w="2221" w:type="dxa"/>
            <w:tcBorders>
              <w:right w:val="single" w:sz="4" w:space="0" w:color="auto"/>
            </w:tcBorders>
            <w:noWrap/>
            <w:vAlign w:val="center"/>
            <w:hideMark/>
          </w:tcPr>
          <w:p w14:paraId="5F4D8B51"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Sinonasal adenocarcinoma</w:t>
            </w:r>
          </w:p>
        </w:tc>
        <w:tc>
          <w:tcPr>
            <w:tcW w:w="1272" w:type="dxa"/>
            <w:tcBorders>
              <w:right w:val="single" w:sz="4" w:space="0" w:color="auto"/>
            </w:tcBorders>
          </w:tcPr>
          <w:p w14:paraId="456750EA"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3CE696A4" w14:textId="72125C2E"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752DE0D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7C17EBC6"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w:t>
            </w:r>
          </w:p>
        </w:tc>
        <w:tc>
          <w:tcPr>
            <w:tcW w:w="1366" w:type="dxa"/>
            <w:tcBorders>
              <w:top w:val="single" w:sz="4" w:space="0" w:color="auto"/>
              <w:left w:val="nil"/>
              <w:bottom w:val="single" w:sz="4" w:space="0" w:color="auto"/>
              <w:right w:val="nil"/>
            </w:tcBorders>
            <w:noWrap/>
            <w:vAlign w:val="center"/>
            <w:hideMark/>
          </w:tcPr>
          <w:p w14:paraId="3CBD106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3C2A200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0.00%</w:t>
            </w:r>
          </w:p>
        </w:tc>
        <w:tc>
          <w:tcPr>
            <w:tcW w:w="971" w:type="dxa"/>
            <w:tcBorders>
              <w:top w:val="single" w:sz="4" w:space="0" w:color="auto"/>
              <w:left w:val="single" w:sz="4" w:space="0" w:color="auto"/>
              <w:bottom w:val="single" w:sz="4" w:space="0" w:color="auto"/>
              <w:right w:val="nil"/>
            </w:tcBorders>
            <w:noWrap/>
            <w:vAlign w:val="center"/>
            <w:hideMark/>
          </w:tcPr>
          <w:p w14:paraId="371C38C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50BB5B5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w:t>
            </w:r>
          </w:p>
        </w:tc>
        <w:tc>
          <w:tcPr>
            <w:tcW w:w="1272" w:type="dxa"/>
            <w:tcBorders>
              <w:top w:val="single" w:sz="4" w:space="0" w:color="auto"/>
              <w:left w:val="nil"/>
              <w:bottom w:val="single" w:sz="4" w:space="0" w:color="auto"/>
              <w:right w:val="single" w:sz="4" w:space="0" w:color="auto"/>
            </w:tcBorders>
            <w:noWrap/>
            <w:vAlign w:val="center"/>
            <w:hideMark/>
          </w:tcPr>
          <w:p w14:paraId="3EAC477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0.00%</w:t>
            </w:r>
          </w:p>
        </w:tc>
      </w:tr>
      <w:tr w:rsidR="00BC1BD3" w:rsidRPr="00BC1BD3" w14:paraId="4F13CB34" w14:textId="77777777" w:rsidTr="00BC1BD3">
        <w:trPr>
          <w:trHeight w:val="340"/>
        </w:trPr>
        <w:tc>
          <w:tcPr>
            <w:tcW w:w="2221" w:type="dxa"/>
            <w:tcBorders>
              <w:right w:val="single" w:sz="4" w:space="0" w:color="auto"/>
            </w:tcBorders>
            <w:noWrap/>
            <w:vAlign w:val="center"/>
            <w:hideMark/>
          </w:tcPr>
          <w:p w14:paraId="04118C4A"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Uterine</w:t>
            </w:r>
          </w:p>
        </w:tc>
        <w:tc>
          <w:tcPr>
            <w:tcW w:w="1272" w:type="dxa"/>
            <w:tcBorders>
              <w:right w:val="single" w:sz="4" w:space="0" w:color="auto"/>
            </w:tcBorders>
          </w:tcPr>
          <w:p w14:paraId="0B48B679"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single" w:sz="4" w:space="0" w:color="auto"/>
              <w:right w:val="nil"/>
            </w:tcBorders>
            <w:noWrap/>
            <w:vAlign w:val="center"/>
            <w:hideMark/>
          </w:tcPr>
          <w:p w14:paraId="303F9DF8" w14:textId="2797F2C2"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single" w:sz="4" w:space="0" w:color="auto"/>
              <w:right w:val="single" w:sz="4" w:space="0" w:color="auto"/>
            </w:tcBorders>
            <w:noWrap/>
            <w:vAlign w:val="center"/>
            <w:hideMark/>
          </w:tcPr>
          <w:p w14:paraId="139BF795"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single" w:sz="4" w:space="0" w:color="auto"/>
              <w:right w:val="nil"/>
            </w:tcBorders>
            <w:noWrap/>
            <w:vAlign w:val="center"/>
            <w:hideMark/>
          </w:tcPr>
          <w:p w14:paraId="6175C35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w:t>
            </w:r>
          </w:p>
        </w:tc>
        <w:tc>
          <w:tcPr>
            <w:tcW w:w="1366" w:type="dxa"/>
            <w:tcBorders>
              <w:top w:val="single" w:sz="4" w:space="0" w:color="auto"/>
              <w:left w:val="nil"/>
              <w:bottom w:val="single" w:sz="4" w:space="0" w:color="auto"/>
              <w:right w:val="nil"/>
            </w:tcBorders>
            <w:noWrap/>
            <w:vAlign w:val="center"/>
            <w:hideMark/>
          </w:tcPr>
          <w:p w14:paraId="7DD444AF"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single" w:sz="4" w:space="0" w:color="auto"/>
              <w:right w:val="single" w:sz="4" w:space="0" w:color="auto"/>
            </w:tcBorders>
            <w:noWrap/>
            <w:vAlign w:val="center"/>
            <w:hideMark/>
          </w:tcPr>
          <w:p w14:paraId="535BEA7B"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0.50%</w:t>
            </w:r>
          </w:p>
        </w:tc>
        <w:tc>
          <w:tcPr>
            <w:tcW w:w="971" w:type="dxa"/>
            <w:tcBorders>
              <w:top w:val="single" w:sz="4" w:space="0" w:color="auto"/>
              <w:left w:val="single" w:sz="4" w:space="0" w:color="auto"/>
              <w:bottom w:val="single" w:sz="4" w:space="0" w:color="auto"/>
              <w:right w:val="nil"/>
            </w:tcBorders>
            <w:noWrap/>
            <w:vAlign w:val="center"/>
            <w:hideMark/>
          </w:tcPr>
          <w:p w14:paraId="083F42B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30%</w:t>
            </w:r>
          </w:p>
        </w:tc>
        <w:tc>
          <w:tcPr>
            <w:tcW w:w="1272" w:type="dxa"/>
            <w:tcBorders>
              <w:top w:val="single" w:sz="4" w:space="0" w:color="auto"/>
              <w:left w:val="nil"/>
              <w:bottom w:val="single" w:sz="4" w:space="0" w:color="auto"/>
              <w:right w:val="nil"/>
            </w:tcBorders>
            <w:noWrap/>
            <w:vAlign w:val="center"/>
            <w:hideMark/>
          </w:tcPr>
          <w:p w14:paraId="7DEFD5C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0.43</w:t>
            </w:r>
          </w:p>
        </w:tc>
        <w:tc>
          <w:tcPr>
            <w:tcW w:w="1272" w:type="dxa"/>
            <w:tcBorders>
              <w:top w:val="single" w:sz="4" w:space="0" w:color="auto"/>
              <w:left w:val="nil"/>
              <w:bottom w:val="single" w:sz="4" w:space="0" w:color="auto"/>
              <w:right w:val="single" w:sz="4" w:space="0" w:color="auto"/>
            </w:tcBorders>
            <w:noWrap/>
            <w:vAlign w:val="center"/>
            <w:hideMark/>
          </w:tcPr>
          <w:p w14:paraId="74E9F974"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0.40%</w:t>
            </w:r>
          </w:p>
        </w:tc>
      </w:tr>
      <w:tr w:rsidR="00BC1BD3" w:rsidRPr="00BC1BD3" w14:paraId="3ACC9F69" w14:textId="77777777" w:rsidTr="00BC1BD3">
        <w:trPr>
          <w:trHeight w:val="340"/>
        </w:trPr>
        <w:tc>
          <w:tcPr>
            <w:tcW w:w="2221" w:type="dxa"/>
            <w:tcBorders>
              <w:bottom w:val="double" w:sz="4" w:space="0" w:color="auto"/>
              <w:right w:val="single" w:sz="4" w:space="0" w:color="auto"/>
            </w:tcBorders>
            <w:noWrap/>
            <w:vAlign w:val="center"/>
            <w:hideMark/>
          </w:tcPr>
          <w:p w14:paraId="456771AB"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High Grade Glioma</w:t>
            </w:r>
          </w:p>
        </w:tc>
        <w:tc>
          <w:tcPr>
            <w:tcW w:w="1272" w:type="dxa"/>
            <w:tcBorders>
              <w:bottom w:val="double" w:sz="4" w:space="0" w:color="auto"/>
              <w:right w:val="single" w:sz="4" w:space="0" w:color="auto"/>
            </w:tcBorders>
          </w:tcPr>
          <w:p w14:paraId="60C7D3F0" w14:textId="77777777" w:rsidR="00BC1BD3" w:rsidRPr="00BC1BD3" w:rsidRDefault="00BC1BD3" w:rsidP="00BC1BD3">
            <w:pPr>
              <w:pStyle w:val="NoSpacing"/>
              <w:contextualSpacing/>
              <w:jc w:val="center"/>
              <w:rPr>
                <w:rFonts w:cs="Times New Roman"/>
                <w:sz w:val="20"/>
                <w:szCs w:val="20"/>
              </w:rPr>
            </w:pPr>
          </w:p>
        </w:tc>
        <w:tc>
          <w:tcPr>
            <w:tcW w:w="1272" w:type="dxa"/>
            <w:tcBorders>
              <w:top w:val="single" w:sz="4" w:space="0" w:color="auto"/>
              <w:left w:val="single" w:sz="4" w:space="0" w:color="auto"/>
              <w:bottom w:val="double" w:sz="4" w:space="0" w:color="auto"/>
              <w:right w:val="nil"/>
            </w:tcBorders>
            <w:noWrap/>
            <w:vAlign w:val="center"/>
            <w:hideMark/>
          </w:tcPr>
          <w:p w14:paraId="2C80768D" w14:textId="7F8D0A0F"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366" w:type="dxa"/>
            <w:tcBorders>
              <w:top w:val="single" w:sz="4" w:space="0" w:color="auto"/>
              <w:left w:val="nil"/>
              <w:bottom w:val="double" w:sz="4" w:space="0" w:color="auto"/>
              <w:right w:val="single" w:sz="4" w:space="0" w:color="auto"/>
            </w:tcBorders>
            <w:noWrap/>
            <w:vAlign w:val="center"/>
            <w:hideMark/>
          </w:tcPr>
          <w:p w14:paraId="5750D95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single" w:sz="4" w:space="0" w:color="auto"/>
              <w:left w:val="single" w:sz="4" w:space="0" w:color="auto"/>
              <w:bottom w:val="double" w:sz="4" w:space="0" w:color="auto"/>
              <w:right w:val="nil"/>
            </w:tcBorders>
            <w:noWrap/>
            <w:vAlign w:val="center"/>
            <w:hideMark/>
          </w:tcPr>
          <w:p w14:paraId="53AF8BF7"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w:t>
            </w:r>
          </w:p>
        </w:tc>
        <w:tc>
          <w:tcPr>
            <w:tcW w:w="1366" w:type="dxa"/>
            <w:tcBorders>
              <w:top w:val="single" w:sz="4" w:space="0" w:color="auto"/>
              <w:left w:val="nil"/>
              <w:bottom w:val="double" w:sz="4" w:space="0" w:color="auto"/>
              <w:right w:val="nil"/>
            </w:tcBorders>
            <w:noWrap/>
            <w:vAlign w:val="center"/>
            <w:hideMark/>
          </w:tcPr>
          <w:p w14:paraId="1099720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664" w:type="dxa"/>
            <w:tcBorders>
              <w:top w:val="single" w:sz="4" w:space="0" w:color="auto"/>
              <w:left w:val="nil"/>
              <w:bottom w:val="double" w:sz="4" w:space="0" w:color="auto"/>
              <w:right w:val="single" w:sz="4" w:space="0" w:color="auto"/>
            </w:tcBorders>
            <w:noWrap/>
            <w:vAlign w:val="center"/>
            <w:hideMark/>
          </w:tcPr>
          <w:p w14:paraId="69B739B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0.50%</w:t>
            </w:r>
          </w:p>
        </w:tc>
        <w:tc>
          <w:tcPr>
            <w:tcW w:w="971" w:type="dxa"/>
            <w:tcBorders>
              <w:top w:val="single" w:sz="4" w:space="0" w:color="auto"/>
              <w:left w:val="single" w:sz="4" w:space="0" w:color="auto"/>
              <w:bottom w:val="double" w:sz="4" w:space="0" w:color="auto"/>
              <w:right w:val="nil"/>
            </w:tcBorders>
            <w:noWrap/>
            <w:vAlign w:val="center"/>
            <w:hideMark/>
          </w:tcPr>
          <w:p w14:paraId="352E523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60%</w:t>
            </w:r>
          </w:p>
        </w:tc>
        <w:tc>
          <w:tcPr>
            <w:tcW w:w="1272" w:type="dxa"/>
            <w:tcBorders>
              <w:top w:val="single" w:sz="4" w:space="0" w:color="auto"/>
              <w:left w:val="nil"/>
              <w:bottom w:val="double" w:sz="4" w:space="0" w:color="auto"/>
              <w:right w:val="nil"/>
            </w:tcBorders>
            <w:noWrap/>
            <w:vAlign w:val="center"/>
            <w:hideMark/>
          </w:tcPr>
          <w:p w14:paraId="4D15B471"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0.8</w:t>
            </w:r>
          </w:p>
        </w:tc>
        <w:tc>
          <w:tcPr>
            <w:tcW w:w="1272" w:type="dxa"/>
            <w:tcBorders>
              <w:top w:val="single" w:sz="4" w:space="0" w:color="auto"/>
              <w:left w:val="nil"/>
              <w:bottom w:val="double" w:sz="4" w:space="0" w:color="auto"/>
              <w:right w:val="single" w:sz="4" w:space="0" w:color="auto"/>
            </w:tcBorders>
            <w:noWrap/>
            <w:vAlign w:val="center"/>
            <w:hideMark/>
          </w:tcPr>
          <w:p w14:paraId="54B83B6D"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0.70%</w:t>
            </w:r>
          </w:p>
        </w:tc>
      </w:tr>
      <w:tr w:rsidR="00BC1BD3" w:rsidRPr="00BC1BD3" w14:paraId="435685BF" w14:textId="77777777" w:rsidTr="000E180E">
        <w:trPr>
          <w:trHeight w:val="340"/>
        </w:trPr>
        <w:tc>
          <w:tcPr>
            <w:tcW w:w="2221" w:type="dxa"/>
            <w:tcBorders>
              <w:top w:val="double" w:sz="4" w:space="0" w:color="auto"/>
              <w:bottom w:val="single" w:sz="4" w:space="0" w:color="auto"/>
              <w:right w:val="single" w:sz="4" w:space="0" w:color="auto"/>
            </w:tcBorders>
            <w:noWrap/>
            <w:vAlign w:val="center"/>
            <w:hideMark/>
          </w:tcPr>
          <w:p w14:paraId="570C5EAD" w14:textId="77777777" w:rsidR="00BC1BD3" w:rsidRPr="00BC1BD3" w:rsidRDefault="00BC1BD3" w:rsidP="00BC1BD3">
            <w:pPr>
              <w:pStyle w:val="NoSpacing"/>
              <w:contextualSpacing/>
              <w:rPr>
                <w:rFonts w:cs="Times New Roman"/>
                <w:sz w:val="20"/>
                <w:szCs w:val="20"/>
              </w:rPr>
            </w:pPr>
            <w:r w:rsidRPr="00BC1BD3">
              <w:rPr>
                <w:rFonts w:cs="Times New Roman"/>
                <w:sz w:val="20"/>
                <w:szCs w:val="20"/>
              </w:rPr>
              <w:t>Total</w:t>
            </w:r>
          </w:p>
        </w:tc>
        <w:tc>
          <w:tcPr>
            <w:tcW w:w="1272" w:type="dxa"/>
            <w:tcBorders>
              <w:top w:val="double" w:sz="4" w:space="0" w:color="auto"/>
              <w:bottom w:val="single" w:sz="4" w:space="0" w:color="auto"/>
              <w:right w:val="single" w:sz="4" w:space="0" w:color="auto"/>
            </w:tcBorders>
          </w:tcPr>
          <w:p w14:paraId="2EA05201" w14:textId="77777777" w:rsidR="00BC1BD3" w:rsidRPr="00BC1BD3" w:rsidRDefault="00BC1BD3" w:rsidP="00BC1BD3">
            <w:pPr>
              <w:pStyle w:val="NoSpacing"/>
              <w:contextualSpacing/>
              <w:jc w:val="center"/>
              <w:rPr>
                <w:rFonts w:cs="Times New Roman"/>
                <w:sz w:val="20"/>
                <w:szCs w:val="20"/>
              </w:rPr>
            </w:pPr>
          </w:p>
        </w:tc>
        <w:tc>
          <w:tcPr>
            <w:tcW w:w="1272" w:type="dxa"/>
            <w:tcBorders>
              <w:top w:val="double" w:sz="4" w:space="0" w:color="auto"/>
              <w:left w:val="single" w:sz="4" w:space="0" w:color="auto"/>
              <w:bottom w:val="single" w:sz="4" w:space="0" w:color="auto"/>
              <w:right w:val="nil"/>
            </w:tcBorders>
            <w:noWrap/>
            <w:vAlign w:val="center"/>
            <w:hideMark/>
          </w:tcPr>
          <w:p w14:paraId="10990365" w14:textId="6D1A8D01"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55</w:t>
            </w:r>
          </w:p>
        </w:tc>
        <w:tc>
          <w:tcPr>
            <w:tcW w:w="1366" w:type="dxa"/>
            <w:tcBorders>
              <w:top w:val="double" w:sz="4" w:space="0" w:color="auto"/>
              <w:left w:val="nil"/>
              <w:bottom w:val="single" w:sz="4" w:space="0" w:color="auto"/>
              <w:right w:val="single" w:sz="4" w:space="0" w:color="auto"/>
            </w:tcBorders>
            <w:noWrap/>
            <w:vAlign w:val="center"/>
            <w:hideMark/>
          </w:tcPr>
          <w:p w14:paraId="5923E66C"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100%</w:t>
            </w:r>
          </w:p>
        </w:tc>
        <w:tc>
          <w:tcPr>
            <w:tcW w:w="1272" w:type="dxa"/>
            <w:tcBorders>
              <w:top w:val="double" w:sz="4" w:space="0" w:color="auto"/>
              <w:left w:val="single" w:sz="4" w:space="0" w:color="auto"/>
              <w:bottom w:val="single" w:sz="4" w:space="0" w:color="auto"/>
              <w:right w:val="nil"/>
            </w:tcBorders>
            <w:noWrap/>
            <w:vAlign w:val="center"/>
            <w:hideMark/>
          </w:tcPr>
          <w:p w14:paraId="514BA7E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276</w:t>
            </w:r>
          </w:p>
        </w:tc>
        <w:tc>
          <w:tcPr>
            <w:tcW w:w="1366" w:type="dxa"/>
            <w:tcBorders>
              <w:top w:val="double" w:sz="4" w:space="0" w:color="auto"/>
              <w:left w:val="nil"/>
              <w:bottom w:val="single" w:sz="4" w:space="0" w:color="auto"/>
              <w:right w:val="nil"/>
            </w:tcBorders>
            <w:noWrap/>
            <w:vAlign w:val="center"/>
            <w:hideMark/>
          </w:tcPr>
          <w:p w14:paraId="5E764879"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100%</w:t>
            </w:r>
          </w:p>
        </w:tc>
        <w:tc>
          <w:tcPr>
            <w:tcW w:w="1664" w:type="dxa"/>
            <w:tcBorders>
              <w:top w:val="double" w:sz="4" w:space="0" w:color="auto"/>
              <w:left w:val="nil"/>
              <w:bottom w:val="single" w:sz="4" w:space="0" w:color="auto"/>
              <w:right w:val="single" w:sz="4" w:space="0" w:color="auto"/>
            </w:tcBorders>
            <w:noWrap/>
            <w:vAlign w:val="center"/>
            <w:hideMark/>
          </w:tcPr>
          <w:p w14:paraId="7AC74330"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100%</w:t>
            </w:r>
          </w:p>
        </w:tc>
        <w:tc>
          <w:tcPr>
            <w:tcW w:w="971" w:type="dxa"/>
            <w:tcBorders>
              <w:top w:val="double" w:sz="4" w:space="0" w:color="auto"/>
              <w:left w:val="single" w:sz="4" w:space="0" w:color="auto"/>
              <w:bottom w:val="single" w:sz="4" w:space="0" w:color="auto"/>
              <w:right w:val="nil"/>
            </w:tcBorders>
            <w:noWrap/>
            <w:vAlign w:val="center"/>
            <w:hideMark/>
          </w:tcPr>
          <w:p w14:paraId="49698498"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w:t>
            </w:r>
          </w:p>
        </w:tc>
        <w:tc>
          <w:tcPr>
            <w:tcW w:w="1272" w:type="dxa"/>
            <w:tcBorders>
              <w:top w:val="double" w:sz="4" w:space="0" w:color="auto"/>
              <w:left w:val="nil"/>
              <w:bottom w:val="single" w:sz="4" w:space="0" w:color="auto"/>
              <w:right w:val="nil"/>
            </w:tcBorders>
            <w:noWrap/>
            <w:vAlign w:val="center"/>
            <w:hideMark/>
          </w:tcPr>
          <w:p w14:paraId="7010944E"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108</w:t>
            </w:r>
          </w:p>
        </w:tc>
        <w:tc>
          <w:tcPr>
            <w:tcW w:w="1272" w:type="dxa"/>
            <w:tcBorders>
              <w:top w:val="double" w:sz="4" w:space="0" w:color="auto"/>
              <w:left w:val="nil"/>
              <w:bottom w:val="single" w:sz="4" w:space="0" w:color="auto"/>
              <w:right w:val="single" w:sz="4" w:space="0" w:color="auto"/>
            </w:tcBorders>
            <w:noWrap/>
            <w:vAlign w:val="center"/>
            <w:hideMark/>
          </w:tcPr>
          <w:p w14:paraId="4716736A" w14:textId="77777777" w:rsidR="00BC1BD3" w:rsidRPr="00BC1BD3" w:rsidRDefault="00BC1BD3" w:rsidP="00BC1BD3">
            <w:pPr>
              <w:pStyle w:val="NoSpacing"/>
              <w:contextualSpacing/>
              <w:jc w:val="center"/>
              <w:rPr>
                <w:rFonts w:cs="Times New Roman"/>
                <w:sz w:val="20"/>
                <w:szCs w:val="20"/>
              </w:rPr>
            </w:pPr>
            <w:r w:rsidRPr="00BC1BD3">
              <w:rPr>
                <w:rFonts w:cs="Times New Roman"/>
                <w:sz w:val="20"/>
                <w:szCs w:val="20"/>
              </w:rPr>
              <w:t>100%</w:t>
            </w:r>
          </w:p>
        </w:tc>
      </w:tr>
      <w:tr w:rsidR="000E180E" w:rsidRPr="00BC1BD3" w14:paraId="61DA9F5F" w14:textId="77777777" w:rsidTr="000E180E">
        <w:trPr>
          <w:trHeight w:val="340"/>
        </w:trPr>
        <w:tc>
          <w:tcPr>
            <w:tcW w:w="13948" w:type="dxa"/>
            <w:gridSpan w:val="10"/>
            <w:tcBorders>
              <w:top w:val="single" w:sz="4" w:space="0" w:color="auto"/>
              <w:left w:val="nil"/>
              <w:bottom w:val="nil"/>
              <w:right w:val="nil"/>
            </w:tcBorders>
            <w:noWrap/>
          </w:tcPr>
          <w:p w14:paraId="4A420585" w14:textId="065E0F3D" w:rsidR="000E180E" w:rsidRPr="00BC1BD3" w:rsidRDefault="000E180E" w:rsidP="000E180E">
            <w:pPr>
              <w:pStyle w:val="NoSpacing"/>
              <w:contextualSpacing/>
              <w:rPr>
                <w:rFonts w:cs="Times New Roman"/>
                <w:sz w:val="20"/>
                <w:szCs w:val="20"/>
              </w:rPr>
            </w:pPr>
            <w:r w:rsidRPr="000E180E">
              <w:rPr>
                <w:color w:val="000000"/>
                <w:szCs w:val="18"/>
              </w:rPr>
              <w:t>GIST, gastrointestinal stromal tumour;</w:t>
            </w:r>
            <w:r>
              <w:rPr>
                <w:color w:val="000000"/>
                <w:szCs w:val="18"/>
              </w:rPr>
              <w:t xml:space="preserve"> HNSCC, h</w:t>
            </w:r>
            <w:r w:rsidRPr="000E180E">
              <w:rPr>
                <w:color w:val="000000"/>
                <w:szCs w:val="18"/>
              </w:rPr>
              <w:t>ead and neck squamous cell carcinoma</w:t>
            </w:r>
            <w:r>
              <w:rPr>
                <w:color w:val="000000"/>
                <w:szCs w:val="18"/>
              </w:rPr>
              <w:t>;</w:t>
            </w:r>
            <w:r w:rsidRPr="000E180E">
              <w:rPr>
                <w:color w:val="000000"/>
                <w:szCs w:val="18"/>
              </w:rPr>
              <w:t xml:space="preserve"> IFS, infantile fibrosarcoma; MASC, </w:t>
            </w:r>
            <w:r>
              <w:rPr>
                <w:szCs w:val="18"/>
              </w:rPr>
              <w:t>m</w:t>
            </w:r>
            <w:r w:rsidRPr="000E180E">
              <w:rPr>
                <w:szCs w:val="18"/>
              </w:rPr>
              <w:t>ammary analogue secretory carcinoma</w:t>
            </w:r>
          </w:p>
        </w:tc>
      </w:tr>
    </w:tbl>
    <w:p w14:paraId="7BA66513" w14:textId="7B6EC807" w:rsidR="00BC1BD3" w:rsidRDefault="00BC1BD3" w:rsidP="00BC1BD3"/>
    <w:p w14:paraId="63FCA5C2" w14:textId="663AE8CB" w:rsidR="00BC1BD3" w:rsidRDefault="00BC1BD3" w:rsidP="00BC1BD3"/>
    <w:p w14:paraId="7D01A230" w14:textId="77777777" w:rsidR="00BC1BD3" w:rsidRPr="00BC1BD3" w:rsidRDefault="00BC1BD3" w:rsidP="00BC1BD3">
      <w:pPr>
        <w:sectPr w:rsidR="00BC1BD3" w:rsidRPr="00BC1BD3" w:rsidSect="00B0116C">
          <w:pgSz w:w="16838" w:h="11906" w:orient="landscape"/>
          <w:pgMar w:top="1440" w:right="1440" w:bottom="1440" w:left="1440" w:header="709" w:footer="709" w:gutter="0"/>
          <w:cols w:space="708"/>
          <w:docGrid w:linePitch="360"/>
        </w:sectPr>
      </w:pPr>
    </w:p>
    <w:p w14:paraId="1BD7FBF2" w14:textId="2FCE39E6" w:rsidR="00F962ED" w:rsidRPr="002D1DD7" w:rsidRDefault="00F962ED" w:rsidP="00BC1BD3">
      <w:pPr>
        <w:pStyle w:val="Heading3"/>
      </w:pPr>
      <w:bookmarkStart w:id="186" w:name="_Toc33776213"/>
      <w:r w:rsidRPr="002D1DD7">
        <w:lastRenderedPageBreak/>
        <w:t xml:space="preserve">Implications for the appraisal of </w:t>
      </w:r>
      <w:r w:rsidR="00555827">
        <w:t>histology-independent</w:t>
      </w:r>
      <w:r w:rsidRPr="002D1DD7">
        <w:t xml:space="preserve"> technologies</w:t>
      </w:r>
      <w:bookmarkEnd w:id="186"/>
      <w:r w:rsidRPr="002D1DD7">
        <w:t xml:space="preserve"> </w:t>
      </w:r>
    </w:p>
    <w:p w14:paraId="573805D5" w14:textId="79EB24D1" w:rsidR="007278C1" w:rsidRPr="002D1DD7" w:rsidRDefault="00E8612B" w:rsidP="00BC1BD3">
      <w:r w:rsidRPr="002D1DD7">
        <w:t xml:space="preserve">In summary, the trial population may include only a subset of the total population potentially eligible for the intervention. </w:t>
      </w:r>
      <w:r w:rsidR="00722078">
        <w:t xml:space="preserve">Indeed, </w:t>
      </w:r>
      <w:r w:rsidRPr="002D1DD7">
        <w:t xml:space="preserve">it is feasible that the majority of histologies potentially harbouring the biomarker </w:t>
      </w:r>
      <w:r w:rsidR="00CE10A1">
        <w:t>will</w:t>
      </w:r>
      <w:r w:rsidR="00CE10A1" w:rsidRPr="002D1DD7">
        <w:t xml:space="preserve"> </w:t>
      </w:r>
      <w:r w:rsidRPr="002D1DD7">
        <w:t xml:space="preserve">not </w:t>
      </w:r>
      <w:r w:rsidR="00CE10A1">
        <w:t xml:space="preserve">be </w:t>
      </w:r>
      <w:r w:rsidRPr="002D1DD7">
        <w:t xml:space="preserve">represented in the evidence. Furthermore, matching of the line of therapy in the trial population to the eligible population is important given the likely prognostic effect of line of therapy. </w:t>
      </w:r>
      <w:r w:rsidR="003901C8">
        <w:t>However, m</w:t>
      </w:r>
      <w:r w:rsidRPr="002D1DD7">
        <w:t>atching can</w:t>
      </w:r>
      <w:r w:rsidR="003901C8">
        <w:t xml:space="preserve"> </w:t>
      </w:r>
      <w:r w:rsidRPr="002D1DD7">
        <w:t xml:space="preserve">be difficult </w:t>
      </w:r>
      <w:r w:rsidR="007278C1" w:rsidRPr="002D1DD7">
        <w:t>if there is</w:t>
      </w:r>
      <w:r w:rsidRPr="002D1DD7">
        <w:t xml:space="preserve"> ambiguity in the treatment position as outlined in the marketing authorisation.</w:t>
      </w:r>
    </w:p>
    <w:p w14:paraId="1F60FBF2" w14:textId="4FEB6B37" w:rsidR="00C35194" w:rsidRPr="002D1DD7" w:rsidRDefault="00C35194" w:rsidP="00EC11CD">
      <w:pPr>
        <w:pStyle w:val="Heading2"/>
      </w:pPr>
      <w:bookmarkStart w:id="187" w:name="_Ref27397381"/>
      <w:bookmarkStart w:id="188" w:name="_Toc33776214"/>
      <w:r w:rsidRPr="002D1DD7">
        <w:t xml:space="preserve">Genomic </w:t>
      </w:r>
      <w:r w:rsidR="0003530F">
        <w:t>t</w:t>
      </w:r>
      <w:r w:rsidRPr="002D1DD7">
        <w:t xml:space="preserve">esting for </w:t>
      </w:r>
      <w:r w:rsidR="0003530F">
        <w:t>h</w:t>
      </w:r>
      <w:r w:rsidR="00555827">
        <w:t>istology-independent</w:t>
      </w:r>
      <w:r w:rsidRPr="002D1DD7">
        <w:t xml:space="preserve"> </w:t>
      </w:r>
      <w:r w:rsidR="0003530F">
        <w:t>d</w:t>
      </w:r>
      <w:r w:rsidRPr="002D1DD7">
        <w:t>rugs</w:t>
      </w:r>
      <w:bookmarkEnd w:id="187"/>
      <w:bookmarkEnd w:id="188"/>
    </w:p>
    <w:p w14:paraId="53235B8E" w14:textId="08BE6F42" w:rsidR="00D765F4" w:rsidRPr="002D1DD7" w:rsidRDefault="00D765F4" w:rsidP="00BC1BD3">
      <w:r w:rsidRPr="002D1DD7">
        <w:t xml:space="preserve">Genomic testing is likely to be integral to identify patients eligible for </w:t>
      </w:r>
      <w:r w:rsidR="00555827">
        <w:t>histology-independent</w:t>
      </w:r>
      <w:r w:rsidRPr="002D1DD7">
        <w:t xml:space="preserve"> therapy. The NICE approval of numerous targeted therapies has been coupled with significant investment in genomic testing services in the NHS</w:t>
      </w:r>
      <w:r w:rsidR="003901C8">
        <w:t>.</w:t>
      </w:r>
      <w:r w:rsidR="006F7FD7">
        <w:fldChar w:fldCharType="begin"/>
      </w:r>
      <w:r w:rsidR="004D5B2B">
        <w:instrText xml:space="preserve"> ADDIN EN.CITE &lt;EndNote&gt;&lt;Cite&gt;&lt;Author&gt;Cancer Research UK&lt;/Author&gt;&lt;Year&gt;2018&lt;/Year&gt;&lt;RecNum&gt;3575&lt;/RecNum&gt;&lt;DisplayText&gt;&lt;style face="superscript"&gt;148&lt;/style&gt;&lt;/DisplayText&gt;&lt;record&gt;&lt;rec-number&gt;3575&lt;/rec-number&gt;&lt;foreign-keys&gt;&lt;key app="EN" db-id="dwaevxvazfs2f3ewvzmxrd0k0wasw55p2z2w" timestamp="1579875628"&gt;3575&lt;/key&gt;&lt;/foreign-keys&gt;&lt;ref-type name="Report"&gt;27&lt;/ref-type&gt;&lt;contributors&gt;&lt;authors&gt;&lt;author&gt;Cancer Research UK,&lt;/author&gt;&lt;/authors&gt;&lt;/contributors&gt;&lt;titles&gt;&lt;title&gt;Cancer Research UK policy statement: Patient access to molecular diagnostics and targeted medicines in England&lt;/title&gt;&lt;/titles&gt;&lt;dates&gt;&lt;year&gt;2018&lt;/year&gt;&lt;/dates&gt;&lt;pub-location&gt;London&lt;/pub-location&gt;&lt;urls&gt;&lt;related-urls&gt;&lt;url&gt;https://www.cancerresearchuk.org/sites/default/files/access_to_molecular_diagnostic_tests_and_targeted_medicines_in_england_0.pdf&lt;/url&gt;&lt;/related-urls&gt;&lt;/urls&gt;&lt;custom4&gt;LUCY&amp;apos;S REFERENCES&lt;/custom4&gt;&lt;/record&gt;&lt;/Cite&gt;&lt;/EndNote&gt;</w:instrText>
      </w:r>
      <w:r w:rsidR="006F7FD7">
        <w:fldChar w:fldCharType="separate"/>
      </w:r>
      <w:r w:rsidR="004D5B2B" w:rsidRPr="004D5B2B">
        <w:rPr>
          <w:noProof/>
          <w:vertAlign w:val="superscript"/>
        </w:rPr>
        <w:t>148</w:t>
      </w:r>
      <w:r w:rsidR="006F7FD7">
        <w:fldChar w:fldCharType="end"/>
      </w:r>
      <w:r w:rsidRPr="002D1DD7">
        <w:t xml:space="preserve"> Although genomic services are currently set up to identify oncogenic mutations in over 60 tumour types</w:t>
      </w:r>
      <w:r w:rsidR="003901C8">
        <w:t>,</w:t>
      </w:r>
      <w:r w:rsidR="006F7FD7">
        <w:fldChar w:fldCharType="begin"/>
      </w:r>
      <w:r w:rsidR="004D5B2B">
        <w:instrText xml:space="preserve"> ADDIN EN.CITE &lt;EndNote&gt;&lt;Cite&gt;&lt;Author&gt;NHS England&lt;/Author&gt;&lt;Year&gt;2019&lt;/Year&gt;&lt;RecNum&gt;3532&lt;/RecNum&gt;&lt;DisplayText&gt;&lt;style face="superscript"&gt;162&lt;/style&gt;&lt;/DisplayText&gt;&lt;record&gt;&lt;rec-number&gt;3532&lt;/rec-number&gt;&lt;foreign-keys&gt;&lt;key app="EN" db-id="dwaevxvazfs2f3ewvzmxrd0k0wasw55p2z2w" timestamp="1579875628"&gt;3532&lt;/key&gt;&lt;/foreign-keys&gt;&lt;ref-type name="Web Page"&gt;12&lt;/ref-type&gt;&lt;contributors&gt;&lt;authors&gt;&lt;author&gt;NHS England,&lt;/author&gt;&lt;/authors&gt;&lt;/contributors&gt;&lt;titles&gt;&lt;title&gt;National Genomic Test Directory&lt;/title&gt;&lt;/titles&gt;&lt;volume&gt;2019&lt;/volume&gt;&lt;number&gt;15th May&lt;/number&gt;&lt;dates&gt;&lt;year&gt;2019&lt;/year&gt;&lt;/dates&gt;&lt;urls&gt;&lt;related-urls&gt;&lt;url&gt;https://www.england.nhs.uk/publication/national-genomic-test-directories/&lt;/url&gt;&lt;/related-urls&gt;&lt;/urls&gt;&lt;custom4&gt;LUCY&amp;apos;S REFERENCES&lt;/custom4&gt;&lt;/record&gt;&lt;/Cite&gt;&lt;/EndNote&gt;</w:instrText>
      </w:r>
      <w:r w:rsidR="006F7FD7">
        <w:fldChar w:fldCharType="separate"/>
      </w:r>
      <w:r w:rsidR="004D5B2B" w:rsidRPr="004D5B2B">
        <w:rPr>
          <w:noProof/>
          <w:vertAlign w:val="superscript"/>
        </w:rPr>
        <w:t>162</w:t>
      </w:r>
      <w:r w:rsidR="006F7FD7">
        <w:fldChar w:fldCharType="end"/>
      </w:r>
      <w:r w:rsidRPr="002D1DD7">
        <w:t xml:space="preserve"> the provision of </w:t>
      </w:r>
      <w:r w:rsidR="00555827">
        <w:t>histology-independent</w:t>
      </w:r>
      <w:r w:rsidRPr="002D1DD7">
        <w:t xml:space="preserve"> testing poses new challenges that need to be </w:t>
      </w:r>
      <w:r w:rsidR="00722078">
        <w:t>considered</w:t>
      </w:r>
      <w:r w:rsidRPr="002D1DD7">
        <w:t xml:space="preserve"> before appraising the value of a </w:t>
      </w:r>
      <w:r w:rsidR="00555827">
        <w:t>histology-independent</w:t>
      </w:r>
      <w:r w:rsidRPr="002D1DD7">
        <w:t xml:space="preserve"> technologie</w:t>
      </w:r>
      <w:r w:rsidR="00722078">
        <w:t>s.</w:t>
      </w:r>
      <w:r w:rsidRPr="002D1DD7">
        <w:t xml:space="preserve"> </w:t>
      </w:r>
    </w:p>
    <w:p w14:paraId="0E7C275D" w14:textId="77777777" w:rsidR="00D765F4" w:rsidRPr="002D1DD7" w:rsidRDefault="00D765F4" w:rsidP="00D765F4">
      <w:pPr>
        <w:pStyle w:val="Heading3"/>
      </w:pPr>
      <w:bookmarkStart w:id="189" w:name="_Toc33776215"/>
      <w:r w:rsidRPr="002D1DD7">
        <w:t>Overview of molecular testing in the UK</w:t>
      </w:r>
      <w:bookmarkEnd w:id="189"/>
    </w:p>
    <w:p w14:paraId="4BFEC6EB" w14:textId="47662165" w:rsidR="00D765F4" w:rsidRPr="002D1DD7" w:rsidRDefault="00D765F4" w:rsidP="00BC1BD3">
      <w:r w:rsidRPr="002D1DD7">
        <w:t xml:space="preserve">Substantial investment and changes to genomic testing services have been undertaken in the last five years after a demand to improve access to genomic services in the NHS, to inform the most effective treatment pathway </w:t>
      </w:r>
      <w:r w:rsidR="005D04D4">
        <w:t>for a patient with cancer</w:t>
      </w:r>
      <w:r w:rsidR="00BC1BD3">
        <w:t>.</w:t>
      </w:r>
      <w:r w:rsidR="006F7FD7">
        <w:fldChar w:fldCharType="begin"/>
      </w:r>
      <w:r w:rsidR="004D5B2B">
        <w:instrText xml:space="preserve"> ADDIN EN.CITE &lt;EndNote&gt;&lt;Cite&gt;&lt;Author&gt;National Institute for Health and Care Excellence (NICE)&lt;/Author&gt;&lt;Year&gt;2019&lt;/Year&gt;&lt;RecNum&gt;3535&lt;/RecNum&gt;&lt;DisplayText&gt;&lt;style face="superscript"&gt;154&lt;/style&gt;&lt;/DisplayText&gt;&lt;record&gt;&lt;rec-number&gt;3535&lt;/rec-number&gt;&lt;foreign-keys&gt;&lt;key app="EN" db-id="dwaevxvazfs2f3ewvzmxrd0k0wasw55p2z2w" timestamp="1579875628"&gt;3535&lt;/key&gt;&lt;/foreign-keys&gt;&lt;ref-type name="Report"&gt;27&lt;/ref-type&gt;&lt;contributors&gt;&lt;authors&gt;&lt;author&gt;National Institute for Health and Care Excellence (NICE),&lt;/author&gt;&lt;/authors&gt;&lt;/contributors&gt;&lt;titles&gt;&lt;title&gt;Larotrectinib for treating NTRK fusion-positive advanced solid tumours&lt;/title&gt;&lt;secondary-title&gt;Single Technology Appraisal&lt;/secondary-title&gt;&lt;/titles&gt;&lt;dates&gt;&lt;year&gt;2019&lt;/year&gt;&lt;/dates&gt;&lt;publisher&gt;National Institute for Health and Care Excellence&lt;/publisher&gt;&lt;urls&gt;&lt;/urls&gt;&lt;custom4&gt;LUCY&amp;apos;S REFERENCES&lt;/custom4&gt;&lt;/record&gt;&lt;/Cite&gt;&lt;/EndNote&gt;</w:instrText>
      </w:r>
      <w:r w:rsidR="006F7FD7">
        <w:fldChar w:fldCharType="separate"/>
      </w:r>
      <w:r w:rsidR="004D5B2B" w:rsidRPr="004D5B2B">
        <w:rPr>
          <w:noProof/>
          <w:vertAlign w:val="superscript"/>
        </w:rPr>
        <w:t>154</w:t>
      </w:r>
      <w:r w:rsidR="006F7FD7">
        <w:fldChar w:fldCharType="end"/>
      </w:r>
      <w:r w:rsidR="005D04D4">
        <w:t xml:space="preserve"> </w:t>
      </w:r>
      <w:r w:rsidRPr="002D1DD7">
        <w:t>In 2018, the NHS launched the Genomic Medicine Service and a National Genomic Testing Strategy, based in seven Genomic Laboratory Hubs across England</w:t>
      </w:r>
      <w:r w:rsidR="00BC1BD3">
        <w:t>.</w:t>
      </w:r>
      <w:r w:rsidR="006F7FD7">
        <w:fldChar w:fldCharType="begin"/>
      </w:r>
      <w:r w:rsidR="004D5B2B">
        <w:instrText xml:space="preserve"> ADDIN EN.CITE &lt;EndNote&gt;&lt;Cite&gt;&lt;Author&gt;Cancer Research UK&lt;/Author&gt;&lt;Year&gt;2018&lt;/Year&gt;&lt;RecNum&gt;3575&lt;/RecNum&gt;&lt;DisplayText&gt;&lt;style face="superscript"&gt;148&lt;/style&gt;&lt;/DisplayText&gt;&lt;record&gt;&lt;rec-number&gt;3575&lt;/rec-number&gt;&lt;foreign-keys&gt;&lt;key app="EN" db-id="dwaevxvazfs2f3ewvzmxrd0k0wasw55p2z2w" timestamp="1579875628"&gt;3575&lt;/key&gt;&lt;/foreign-keys&gt;&lt;ref-type name="Report"&gt;27&lt;/ref-type&gt;&lt;contributors&gt;&lt;authors&gt;&lt;author&gt;Cancer Research UK,&lt;/author&gt;&lt;/authors&gt;&lt;/contributors&gt;&lt;titles&gt;&lt;title&gt;Cancer Research UK policy statement: Patient access to molecular diagnostics and targeted medicines in England&lt;/title&gt;&lt;/titles&gt;&lt;dates&gt;&lt;year&gt;2018&lt;/year&gt;&lt;/dates&gt;&lt;pub-location&gt;London&lt;/pub-location&gt;&lt;urls&gt;&lt;related-urls&gt;&lt;url&gt;https://www.cancerresearchuk.org/sites/default/files/access_to_molecular_diagnostic_tests_and_targeted_medicines_in_england_0.pdf&lt;/url&gt;&lt;/related-urls&gt;&lt;/urls&gt;&lt;custom4&gt;LUCY&amp;apos;S REFERENCES&lt;/custom4&gt;&lt;/record&gt;&lt;/Cite&gt;&lt;/EndNote&gt;</w:instrText>
      </w:r>
      <w:r w:rsidR="006F7FD7">
        <w:fldChar w:fldCharType="separate"/>
      </w:r>
      <w:r w:rsidR="004D5B2B" w:rsidRPr="004D5B2B">
        <w:rPr>
          <w:noProof/>
          <w:vertAlign w:val="superscript"/>
        </w:rPr>
        <w:t>148</w:t>
      </w:r>
      <w:r w:rsidR="006F7FD7">
        <w:fldChar w:fldCharType="end"/>
      </w:r>
      <w:r w:rsidRPr="002D1DD7">
        <w:t xml:space="preserve"> While this is providing positive steps to improve availability of genomic testing across the UK, the services are still being implemented leading to limited capacity in some Genomic Laboratory Hubs. </w:t>
      </w:r>
    </w:p>
    <w:p w14:paraId="0821FEB0" w14:textId="2765C6A6" w:rsidR="00D765F4" w:rsidRPr="002D1DD7" w:rsidRDefault="00D765F4" w:rsidP="00BC1BD3">
      <w:r w:rsidRPr="002D1DD7">
        <w:t>In March 2019, the genomic test directory listed 968 genomic tests available for 64 adult and paediatric tumour types</w:t>
      </w:r>
      <w:r w:rsidR="00106BBA">
        <w:t>.</w:t>
      </w:r>
      <w:r w:rsidR="006F7FD7">
        <w:fldChar w:fldCharType="begin"/>
      </w:r>
      <w:r w:rsidR="004D5B2B">
        <w:instrText xml:space="preserve"> ADDIN EN.CITE &lt;EndNote&gt;&lt;Cite&gt;&lt;Author&gt;NHS England&lt;/Author&gt;&lt;Year&gt;2019&lt;/Year&gt;&lt;RecNum&gt;3532&lt;/RecNum&gt;&lt;DisplayText&gt;&lt;style face="superscript"&gt;162&lt;/style&gt;&lt;/DisplayText&gt;&lt;record&gt;&lt;rec-number&gt;3532&lt;/rec-number&gt;&lt;foreign-keys&gt;&lt;key app="EN" db-id="dwaevxvazfs2f3ewvzmxrd0k0wasw55p2z2w" timestamp="1579875628"&gt;3532&lt;/key&gt;&lt;/foreign-keys&gt;&lt;ref-type name="Web Page"&gt;12&lt;/ref-type&gt;&lt;contributors&gt;&lt;authors&gt;&lt;author&gt;NHS England,&lt;/author&gt;&lt;/authors&gt;&lt;/contributors&gt;&lt;titles&gt;&lt;title&gt;National Genomic Test Directory&lt;/title&gt;&lt;/titles&gt;&lt;volume&gt;2019&lt;/volume&gt;&lt;number&gt;15th May&lt;/number&gt;&lt;dates&gt;&lt;year&gt;2019&lt;/year&gt;&lt;/dates&gt;&lt;urls&gt;&lt;related-urls&gt;&lt;url&gt;https://www.england.nhs.uk/publication/national-genomic-test-directories/&lt;/url&gt;&lt;/related-urls&gt;&lt;/urls&gt;&lt;custom4&gt;LUCY&amp;apos;S REFERENCES&lt;/custom4&gt;&lt;/record&gt;&lt;/Cite&gt;&lt;/EndNote&gt;</w:instrText>
      </w:r>
      <w:r w:rsidR="006F7FD7">
        <w:fldChar w:fldCharType="separate"/>
      </w:r>
      <w:r w:rsidR="004D5B2B" w:rsidRPr="004D5B2B">
        <w:rPr>
          <w:noProof/>
          <w:vertAlign w:val="superscript"/>
        </w:rPr>
        <w:t>162</w:t>
      </w:r>
      <w:r w:rsidR="006F7FD7">
        <w:fldChar w:fldCharType="end"/>
      </w:r>
      <w:r w:rsidR="00106BBA">
        <w:t xml:space="preserve"> </w:t>
      </w:r>
      <w:r w:rsidRPr="002D1DD7">
        <w:t>While this may seem an exhaustive number of test</w:t>
      </w:r>
      <w:r w:rsidR="00357460">
        <w:t>s</w:t>
      </w:r>
      <w:r w:rsidRPr="002D1DD7">
        <w:t xml:space="preserve"> for a large proportion of tumour types, it is far from inclusive. Patients with some common tumours including prostate cancer, a population which contributes 15% of the annual incidence of solid tumours in England, are not eligible for any form of genomic testing</w:t>
      </w:r>
      <w:r w:rsidR="00AB6EA0">
        <w:t>, as there is currently no effective targeted therapies licensed on the NHS</w:t>
      </w:r>
      <w:r w:rsidRPr="002D1DD7">
        <w:t xml:space="preserve">. Although the absence of genomic testing until the present time may be due to limited evidence of known somatic or hereditary mutation that will be of prognostic or diagnostic value, the provision of a targeted </w:t>
      </w:r>
      <w:r w:rsidR="00555827">
        <w:t>histology-independent</w:t>
      </w:r>
      <w:r w:rsidRPr="002D1DD7">
        <w:t xml:space="preserve"> therapy would require pan-cancer screening, regardless of current availability.</w:t>
      </w:r>
    </w:p>
    <w:p w14:paraId="1B346D32" w14:textId="77777777" w:rsidR="00D765F4" w:rsidRPr="002D1DD7" w:rsidRDefault="00D765F4" w:rsidP="00D765F4">
      <w:pPr>
        <w:pStyle w:val="Heading3"/>
      </w:pPr>
      <w:bookmarkStart w:id="190" w:name="_Toc33776216"/>
      <w:r w:rsidRPr="002D1DD7">
        <w:lastRenderedPageBreak/>
        <w:t>Types of Genomic Test</w:t>
      </w:r>
      <w:bookmarkEnd w:id="190"/>
    </w:p>
    <w:p w14:paraId="454DE70A" w14:textId="2D5241D1" w:rsidR="00D765F4" w:rsidRPr="002D1DD7" w:rsidRDefault="00D765F4" w:rsidP="00BC1BD3">
      <w:r w:rsidRPr="002D1DD7">
        <w:t>Tumourigenesis, the process of cancer growth and development, is driven by genetic alterations which result in sustained cell proliferation or the inhibition of cell division and death</w:t>
      </w:r>
      <w:r w:rsidR="00B945D7">
        <w:t>.</w:t>
      </w:r>
      <w:r w:rsidR="006F7FD7">
        <w:fldChar w:fldCharType="begin"/>
      </w:r>
      <w:r w:rsidR="004D5B2B">
        <w:instrText xml:space="preserve"> ADDIN EN.CITE &lt;EndNote&gt;&lt;Cite&gt;&lt;Author&gt;Vogelstein&lt;/Author&gt;&lt;Year&gt;2004&lt;/Year&gt;&lt;RecNum&gt;25&lt;/RecNum&gt;&lt;DisplayText&gt;&lt;style face="superscript"&gt;163&lt;/style&gt;&lt;/DisplayText&gt;&lt;record&gt;&lt;rec-number&gt;25&lt;/rec-number&gt;&lt;foreign-keys&gt;&lt;key app="EN" db-id="pz0rrdex3zsv21etatn5ww0i0509tzrzexxd" timestamp="1580649515"&gt;25&lt;/key&gt;&lt;/foreign-keys&gt;&lt;ref-type name="Journal Article"&gt;17&lt;/ref-type&gt;&lt;contributors&gt;&lt;authors&gt;&lt;author&gt;Vogelstein, Bert&lt;/author&gt;&lt;author&gt;Kinzler, Kenneth W.&lt;/author&gt;&lt;/authors&gt;&lt;/contributors&gt;&lt;titles&gt;&lt;title&gt;Cancer genes and the pathways they control&lt;/title&gt;&lt;secondary-title&gt;Nature medicine&lt;/secondary-title&gt;&lt;/titles&gt;&lt;pages&gt;789&lt;/pages&gt;&lt;volume&gt;10&lt;/volume&gt;&lt;number&gt;8&lt;/number&gt;&lt;dates&gt;&lt;year&gt;2004&lt;/year&gt;&lt;/dates&gt;&lt;isbn&gt;1546-170X&lt;/isbn&gt;&lt;urls&gt;&lt;/urls&gt;&lt;/record&gt;&lt;/Cite&gt;&lt;/EndNote&gt;</w:instrText>
      </w:r>
      <w:r w:rsidR="006F7FD7">
        <w:fldChar w:fldCharType="separate"/>
      </w:r>
      <w:r w:rsidR="004D5B2B" w:rsidRPr="004D5B2B">
        <w:rPr>
          <w:noProof/>
          <w:vertAlign w:val="superscript"/>
        </w:rPr>
        <w:t>163</w:t>
      </w:r>
      <w:r w:rsidR="006F7FD7">
        <w:fldChar w:fldCharType="end"/>
      </w:r>
      <w:r w:rsidRPr="002D1DD7">
        <w:t xml:space="preserve"> In fact, by the time a cancer is diagnosed, there are likely to be millions of genetic mutations within a single malignancy</w:t>
      </w:r>
      <w:r w:rsidR="00B945D7">
        <w:t>.</w:t>
      </w:r>
      <w:r w:rsidR="006F7FD7">
        <w:fldChar w:fldCharType="begin"/>
      </w:r>
      <w:r w:rsidR="004D5B2B">
        <w:instrText xml:space="preserve"> ADDIN EN.CITE &lt;EndNote&gt;&lt;Cite&gt;&lt;Author&gt;Morganti&lt;/Author&gt;&lt;Year&gt;2018&lt;/Year&gt;&lt;RecNum&gt;26&lt;/RecNum&gt;&lt;DisplayText&gt;&lt;style face="superscript"&gt;164&lt;/style&gt;&lt;/DisplayText&gt;&lt;record&gt;&lt;rec-number&gt;26&lt;/rec-number&gt;&lt;foreign-keys&gt;&lt;key app="EN" db-id="pz0rrdex3zsv21etatn5ww0i0509tzrzexxd" timestamp="1580649515"&gt;26&lt;/key&gt;&lt;/foreign-keys&gt;&lt;ref-type name="Journal Article"&gt;17&lt;/ref-type&gt;&lt;contributors&gt;&lt;authors&gt;&lt;author&gt;Morganti, Stefania&lt;/author&gt;&lt;author&gt;Tarantino, Paolo&lt;/author&gt;&lt;author&gt;Ferraro, Emanuela&lt;/author&gt;&lt;author&gt;D’Amico, Paolo&lt;/author&gt;&lt;author&gt;Viale, Giulia&lt;/author&gt;&lt;author&gt;Trapani, Dario&lt;/author&gt;&lt;author&gt;Duso, Bruno Achutti&lt;/author&gt;&lt;author&gt;Curigliano, Giuseppe&lt;/author&gt;&lt;/authors&gt;&lt;/contributors&gt;&lt;titles&gt;&lt;title&gt;Complexity of genome sequencing and reporting: Next generation sequencing (NGS) technologies and implementation of precision medicine in real life&lt;/title&gt;&lt;secondary-title&gt;Critical reviews in oncology/hematology&lt;/secondary-title&gt;&lt;/titles&gt;&lt;dates&gt;&lt;year&gt;2018&lt;/year&gt;&lt;/dates&gt;&lt;isbn&gt;1040-8428&lt;/isbn&gt;&lt;urls&gt;&lt;/urls&gt;&lt;/record&gt;&lt;/Cite&gt;&lt;/EndNote&gt;</w:instrText>
      </w:r>
      <w:r w:rsidR="006F7FD7">
        <w:fldChar w:fldCharType="separate"/>
      </w:r>
      <w:r w:rsidR="004D5B2B" w:rsidRPr="004D5B2B">
        <w:rPr>
          <w:noProof/>
          <w:vertAlign w:val="superscript"/>
        </w:rPr>
        <w:t>164</w:t>
      </w:r>
      <w:r w:rsidR="006F7FD7">
        <w:fldChar w:fldCharType="end"/>
      </w:r>
    </w:p>
    <w:p w14:paraId="58A5363C" w14:textId="70D7F596" w:rsidR="00D765F4" w:rsidRPr="002D1DD7" w:rsidRDefault="00D765F4" w:rsidP="00BC1BD3">
      <w:r w:rsidRPr="002D1DD7">
        <w:t xml:space="preserve">Many of these alterations occur during the tumour development but do not contribute to tumour growth, commonly known as ‘passenger mutations’, and therefore play no functional role in the cancer’s development. These mutations may occur in non-coding sequences of DNA, which, during the transcription of DNA to RNA as part of gene expression, are removed. In contrast, the ‘driver’ mutations are involved in the neoplastic growth of the tumour, which directly result in the prolific growth of the cancer cells. Driver mutations can be differentiated further, </w:t>
      </w:r>
      <w:r w:rsidR="003901C8">
        <w:t>with re</w:t>
      </w:r>
      <w:r w:rsidR="00BC1BD3">
        <w:t>s</w:t>
      </w:r>
      <w:r w:rsidR="003901C8">
        <w:t xml:space="preserve">pect to </w:t>
      </w:r>
      <w:r w:rsidRPr="002D1DD7">
        <w:t>whether they solely influence the initial cancer development, or whether oncogenic growth and proliferation is dependent upon the mutation regardless of its position in the disease pathway</w:t>
      </w:r>
      <w:r w:rsidR="00B945D7">
        <w:t>.</w:t>
      </w:r>
      <w:r w:rsidR="006F7FD7">
        <w:fldChar w:fldCharType="begin"/>
      </w:r>
      <w:r w:rsidR="004D5B2B">
        <w:instrText xml:space="preserve"> ADDIN EN.CITE &lt;EndNote&gt;&lt;Cite&gt;&lt;Author&gt;Eifert&lt;/Author&gt;&lt;Year&gt;2012&lt;/Year&gt;&lt;RecNum&gt;27&lt;/RecNum&gt;&lt;DisplayText&gt;&lt;style face="superscript"&gt;165&lt;/style&gt;&lt;/DisplayText&gt;&lt;record&gt;&lt;rec-number&gt;27&lt;/rec-number&gt;&lt;foreign-keys&gt;&lt;key app="EN" db-id="pz0rrdex3zsv21etatn5ww0i0509tzrzexxd" timestamp="1580649515"&gt;27&lt;/key&gt;&lt;/foreign-keys&gt;&lt;ref-type name="Journal Article"&gt;17&lt;/ref-type&gt;&lt;contributors&gt;&lt;authors&gt;&lt;author&gt;Eifert, Cheryl&lt;/author&gt;&lt;author&gt;Powers, R. Scott&lt;/author&gt;&lt;/authors&gt;&lt;/contributors&gt;&lt;titles&gt;&lt;title&gt;From cancer genomes to oncogenic drivers, tumour dependencies and therapeutic targets&lt;/title&gt;&lt;secondary-title&gt;Nature Reviews Cancer&lt;/secondary-title&gt;&lt;/titles&gt;&lt;pages&gt;572&lt;/pages&gt;&lt;volume&gt;12&lt;/volume&gt;&lt;number&gt;8&lt;/number&gt;&lt;dates&gt;&lt;year&gt;2012&lt;/year&gt;&lt;/dates&gt;&lt;isbn&gt;1474-1768&lt;/isbn&gt;&lt;urls&gt;&lt;/urls&gt;&lt;/record&gt;&lt;/Cite&gt;&lt;/EndNote&gt;</w:instrText>
      </w:r>
      <w:r w:rsidR="006F7FD7">
        <w:fldChar w:fldCharType="separate"/>
      </w:r>
      <w:r w:rsidR="004D5B2B" w:rsidRPr="004D5B2B">
        <w:rPr>
          <w:noProof/>
          <w:vertAlign w:val="superscript"/>
        </w:rPr>
        <w:t>165</w:t>
      </w:r>
      <w:r w:rsidR="006F7FD7">
        <w:fldChar w:fldCharType="end"/>
      </w:r>
    </w:p>
    <w:p w14:paraId="551E8033" w14:textId="77777777" w:rsidR="00D765F4" w:rsidRPr="002D1DD7" w:rsidRDefault="00D765F4" w:rsidP="00BC1BD3">
      <w:r w:rsidRPr="002D1DD7">
        <w:t xml:space="preserve">Therefore, the role of genetic testing is two-fold: first, to detect the presence or absence of a specific mutation, but secondly, to determine whether the mutation is acting as an oncogenic driver or whether it is merely a passenger mutation in tumourigenesis. </w:t>
      </w:r>
    </w:p>
    <w:p w14:paraId="0E290DA8" w14:textId="6AFA3184" w:rsidR="00D765F4" w:rsidRPr="002D1DD7" w:rsidRDefault="00D765F4" w:rsidP="00BC1BD3">
      <w:r w:rsidRPr="002D1DD7">
        <w:t xml:space="preserve">There are a variety of tests that are available to identify the presence of a mutation in individuals. These include DNA and RNA based panel tests, whole genome sequencing (WGS), </w:t>
      </w:r>
      <w:r w:rsidR="00AD35FE">
        <w:t>IHC, FISH</w:t>
      </w:r>
      <w:r w:rsidRPr="002D1DD7">
        <w:t xml:space="preserve"> and RT-PCR. Each of these tests determines the presence or absence of a genetic mutation in different ways, from identifying a known driver mutation using targeted tests in DNA and RNA, to sequencing the entire genome, or determining the level of expression of a particular protein. The suitability of alternative types of test will likely depend on the target mutation and the test’s diagnostic accuracy to correctly detect the respective alteration, the prevalence of the genetic mutation within each tumour type as well as current testing provision. </w:t>
      </w:r>
      <w:r w:rsidRPr="002D1DD7">
        <w:fldChar w:fldCharType="begin"/>
      </w:r>
      <w:r w:rsidRPr="002D1DD7">
        <w:instrText xml:space="preserve"> REF _Ref25221334 \h  \* MERGEFORMAT </w:instrText>
      </w:r>
      <w:r w:rsidRPr="002D1DD7">
        <w:fldChar w:fldCharType="separate"/>
      </w:r>
      <w:r w:rsidR="00C9471F" w:rsidRPr="00C9471F">
        <w:rPr>
          <w:bCs/>
        </w:rPr>
        <w:t>Table 17</w:t>
      </w:r>
      <w:r w:rsidRPr="002D1DD7">
        <w:fldChar w:fldCharType="end"/>
      </w:r>
      <w:r w:rsidRPr="002D1DD7">
        <w:t xml:space="preserve"> summarises the key characteristics of each test type noting key advantages and limitations.  </w:t>
      </w:r>
    </w:p>
    <w:p w14:paraId="57FD9370" w14:textId="6A478424" w:rsidR="00D765F4" w:rsidRPr="002D1DD7" w:rsidRDefault="00D765F4" w:rsidP="00BC1BD3">
      <w:r w:rsidRPr="002D1DD7">
        <w:t>Tests may be combined as part of a testing strategy, where confirmatory testing is implemented to verify that a mutation is being expressed. This allows for diagnostic accuracy to be maintained, while reducing the use of more expensive and resource intensive test types. For example, IHC may be used as a screening tool to detect protein expression, with a further confirmatory test implemented to verify that the protein expression is caused by the mutation of interest. The relevance of strategies based around IHC may, however, be</w:t>
      </w:r>
      <w:r w:rsidR="005D04D4">
        <w:t>come</w:t>
      </w:r>
      <w:r w:rsidRPr="002D1DD7">
        <w:t xml:space="preserve"> more limited as panel testing using NGS is expanded within the NHS. </w:t>
      </w:r>
    </w:p>
    <w:p w14:paraId="360E0C60" w14:textId="455BAD4E" w:rsidR="00D765F4" w:rsidRDefault="00D765F4" w:rsidP="00BC1BD3">
      <w:r w:rsidRPr="002D1DD7">
        <w:t xml:space="preserve">Because of the variable provision of testing in the NHS across tumour types, the most appropriate testing strategy will likely depend on tumour type. For example, all paediatric patients with advanced </w:t>
      </w:r>
      <w:r w:rsidRPr="002D1DD7">
        <w:lastRenderedPageBreak/>
        <w:t>and metastatic cancer in the NHS will receive WGS at diagnosis by 2020</w:t>
      </w:r>
      <w:r w:rsidR="006F7FD7">
        <w:fldChar w:fldCharType="begin"/>
      </w:r>
      <w:r w:rsidR="004D5B2B">
        <w:instrText xml:space="preserve"> ADDIN EN.CITE &lt;EndNote&gt;&lt;Cite&gt;&lt;Author&gt;National Institute for Health and Care Excellence (NICE)&lt;/Author&gt;&lt;Year&gt;2019&lt;/Year&gt;&lt;RecNum&gt;3535&lt;/RecNum&gt;&lt;DisplayText&gt;&lt;style face="superscript"&gt;154&lt;/style&gt;&lt;/DisplayText&gt;&lt;record&gt;&lt;rec-number&gt;3535&lt;/rec-number&gt;&lt;foreign-keys&gt;&lt;key app="EN" db-id="dwaevxvazfs2f3ewvzmxrd0k0wasw55p2z2w" timestamp="1579875628"&gt;3535&lt;/key&gt;&lt;/foreign-keys&gt;&lt;ref-type name="Report"&gt;27&lt;/ref-type&gt;&lt;contributors&gt;&lt;authors&gt;&lt;author&gt;National Institute for Health and Care Excellence (NICE),&lt;/author&gt;&lt;/authors&gt;&lt;/contributors&gt;&lt;titles&gt;&lt;title&gt;Larotrectinib for treating NTRK fusion-positive advanced solid tumours&lt;/title&gt;&lt;secondary-title&gt;Single Technology Appraisal&lt;/secondary-title&gt;&lt;/titles&gt;&lt;dates&gt;&lt;year&gt;2019&lt;/year&gt;&lt;/dates&gt;&lt;publisher&gt;National Institute for Health and Care Excellence&lt;/publisher&gt;&lt;urls&gt;&lt;/urls&gt;&lt;custom4&gt;LUCY&amp;apos;S REFERENCES&lt;/custom4&gt;&lt;/record&gt;&lt;/Cite&gt;&lt;/EndNote&gt;</w:instrText>
      </w:r>
      <w:r w:rsidR="006F7FD7">
        <w:fldChar w:fldCharType="separate"/>
      </w:r>
      <w:r w:rsidR="004D5B2B" w:rsidRPr="004D5B2B">
        <w:rPr>
          <w:noProof/>
          <w:vertAlign w:val="superscript"/>
        </w:rPr>
        <w:t>154</w:t>
      </w:r>
      <w:r w:rsidR="006F7FD7">
        <w:fldChar w:fldCharType="end"/>
      </w:r>
      <w:r w:rsidR="00BC1BD3">
        <w:t xml:space="preserve"> </w:t>
      </w:r>
      <w:r w:rsidRPr="002D1DD7">
        <w:t xml:space="preserve">and therefore any testing strategy is likely to be built upon this provision. The appropriateness of </w:t>
      </w:r>
      <w:r w:rsidR="005D04D4">
        <w:t xml:space="preserve">each </w:t>
      </w:r>
      <w:r w:rsidRPr="002D1DD7">
        <w:t xml:space="preserve">testing strategy will also depend on </w:t>
      </w:r>
      <w:r w:rsidR="005D04D4">
        <w:t xml:space="preserve">the </w:t>
      </w:r>
      <w:r w:rsidRPr="002D1DD7">
        <w:t xml:space="preserve">prevalence </w:t>
      </w:r>
      <w:r w:rsidR="005D04D4">
        <w:t xml:space="preserve">of </w:t>
      </w:r>
      <w:r w:rsidRPr="002D1DD7">
        <w:t>the genetic alternations across tumour types</w:t>
      </w:r>
      <w:r w:rsidR="005D04D4">
        <w:t>.</w:t>
      </w:r>
      <w:r w:rsidRPr="002D1DD7">
        <w:t xml:space="preserve"> </w:t>
      </w:r>
      <w:r w:rsidR="005D04D4">
        <w:t>D</w:t>
      </w:r>
      <w:r w:rsidRPr="002D1DD7">
        <w:t>iagnostic accuracy will vary depending on the prevalence of the genetic alteration within each tumour type even when the sensitivity and specificity are held constant, see example in</w:t>
      </w:r>
      <w:r w:rsidR="00106BBA">
        <w:t xml:space="preserve"> </w:t>
      </w:r>
      <w:r w:rsidR="002F39A6">
        <w:t xml:space="preserve">Appendix </w:t>
      </w:r>
      <w:r w:rsidR="00D26E6E">
        <w:t>1</w:t>
      </w:r>
      <w:r w:rsidR="00C9471F">
        <w:t>2</w:t>
      </w:r>
      <w:r w:rsidRPr="00BC1BD3">
        <w:t>.</w:t>
      </w:r>
      <w:r w:rsidRPr="002D1DD7">
        <w:t xml:space="preserve"> </w:t>
      </w:r>
    </w:p>
    <w:p w14:paraId="0CA15EAA" w14:textId="720103F0" w:rsidR="00BC1BD3" w:rsidRDefault="00BC1BD3" w:rsidP="00BC1BD3"/>
    <w:p w14:paraId="2C011296" w14:textId="77777777" w:rsidR="00BC1BD3" w:rsidRPr="002D1DD7" w:rsidRDefault="00BC1BD3" w:rsidP="00BC1BD3"/>
    <w:p w14:paraId="53FD8CCD" w14:textId="77777777" w:rsidR="00D765F4" w:rsidRPr="002D1DD7" w:rsidRDefault="00D765F4" w:rsidP="00D765F4">
      <w:pPr>
        <w:spacing w:line="276" w:lineRule="auto"/>
        <w:rPr>
          <w:rFonts w:cs="Times New Roman"/>
          <w:b/>
        </w:rPr>
        <w:sectPr w:rsidR="00D765F4" w:rsidRPr="002D1DD7" w:rsidSect="00817B20">
          <w:footerReference w:type="default" r:id="rId20"/>
          <w:pgSz w:w="11906" w:h="16838"/>
          <w:pgMar w:top="1440" w:right="1440" w:bottom="1440" w:left="1440" w:header="709" w:footer="709" w:gutter="0"/>
          <w:cols w:space="708"/>
          <w:docGrid w:linePitch="360"/>
        </w:sectPr>
      </w:pPr>
    </w:p>
    <w:p w14:paraId="410F6AB7" w14:textId="6630F2E5" w:rsidR="00D765F4" w:rsidRPr="002D1DD7" w:rsidRDefault="00D765F4" w:rsidP="00BC1BD3">
      <w:pPr>
        <w:pStyle w:val="Caption"/>
      </w:pPr>
      <w:bookmarkStart w:id="191" w:name="_Ref25221334"/>
      <w:bookmarkStart w:id="192" w:name="_Toc34033531"/>
      <w:r w:rsidRPr="002D1DD7">
        <w:lastRenderedPageBreak/>
        <w:t xml:space="preserve">Table </w:t>
      </w:r>
      <w:r w:rsidR="00C974E5">
        <w:fldChar w:fldCharType="begin"/>
      </w:r>
      <w:r w:rsidR="00C974E5">
        <w:instrText xml:space="preserve"> SEQ Table \* ARABIC </w:instrText>
      </w:r>
      <w:r w:rsidR="00C974E5">
        <w:fldChar w:fldCharType="separate"/>
      </w:r>
      <w:r w:rsidR="00754B8C">
        <w:rPr>
          <w:noProof/>
        </w:rPr>
        <w:t>17</w:t>
      </w:r>
      <w:r w:rsidR="00C974E5">
        <w:rPr>
          <w:noProof/>
        </w:rPr>
        <w:fldChar w:fldCharType="end"/>
      </w:r>
      <w:bookmarkEnd w:id="191"/>
      <w:r w:rsidR="008C7423">
        <w:rPr>
          <w:noProof/>
        </w:rPr>
        <w:t>:</w:t>
      </w:r>
      <w:r w:rsidRPr="002D1DD7">
        <w:t xml:space="preserve"> Summary of </w:t>
      </w:r>
      <w:r w:rsidR="004C4EA1">
        <w:t>t</w:t>
      </w:r>
      <w:r w:rsidRPr="002D1DD7">
        <w:t>est features</w:t>
      </w:r>
      <w:bookmarkEnd w:id="192"/>
    </w:p>
    <w:tbl>
      <w:tblPr>
        <w:tblStyle w:val="TableGrid"/>
        <w:tblW w:w="5087" w:type="pct"/>
        <w:tblLook w:val="04A0" w:firstRow="1" w:lastRow="0" w:firstColumn="1" w:lastColumn="0" w:noHBand="0" w:noVBand="1"/>
      </w:tblPr>
      <w:tblGrid>
        <w:gridCol w:w="1459"/>
        <w:gridCol w:w="3749"/>
        <w:gridCol w:w="4521"/>
        <w:gridCol w:w="4462"/>
      </w:tblGrid>
      <w:tr w:rsidR="00D765F4" w:rsidRPr="00B945D7" w14:paraId="24DB498F" w14:textId="77777777" w:rsidTr="00B0116C">
        <w:trPr>
          <w:trHeight w:val="120"/>
        </w:trPr>
        <w:tc>
          <w:tcPr>
            <w:tcW w:w="514" w:type="pct"/>
          </w:tcPr>
          <w:p w14:paraId="077DCAF2" w14:textId="77777777" w:rsidR="00D765F4" w:rsidRPr="00B945D7" w:rsidRDefault="00D765F4" w:rsidP="00BC1BD3">
            <w:pPr>
              <w:contextualSpacing/>
              <w:rPr>
                <w:rFonts w:cs="Times New Roman"/>
                <w:b/>
                <w:sz w:val="20"/>
                <w:szCs w:val="20"/>
              </w:rPr>
            </w:pPr>
            <w:r w:rsidRPr="00B945D7">
              <w:rPr>
                <w:rFonts w:cs="Times New Roman"/>
                <w:b/>
                <w:sz w:val="20"/>
                <w:szCs w:val="20"/>
              </w:rPr>
              <w:t>Test</w:t>
            </w:r>
          </w:p>
        </w:tc>
        <w:tc>
          <w:tcPr>
            <w:tcW w:w="1321" w:type="pct"/>
          </w:tcPr>
          <w:p w14:paraId="7FDF5EEE" w14:textId="77777777" w:rsidR="00D765F4" w:rsidRPr="00B945D7" w:rsidRDefault="00D765F4" w:rsidP="00BC1BD3">
            <w:pPr>
              <w:contextualSpacing/>
              <w:jc w:val="center"/>
              <w:rPr>
                <w:rFonts w:cs="Times New Roman"/>
                <w:b/>
                <w:sz w:val="20"/>
                <w:szCs w:val="20"/>
              </w:rPr>
            </w:pPr>
            <w:r w:rsidRPr="00B945D7">
              <w:rPr>
                <w:rFonts w:cs="Times New Roman"/>
                <w:b/>
                <w:sz w:val="20"/>
                <w:szCs w:val="20"/>
              </w:rPr>
              <w:t>Methodology</w:t>
            </w:r>
          </w:p>
        </w:tc>
        <w:tc>
          <w:tcPr>
            <w:tcW w:w="1593" w:type="pct"/>
          </w:tcPr>
          <w:p w14:paraId="3749D96E" w14:textId="77777777" w:rsidR="00D765F4" w:rsidRPr="00B945D7" w:rsidRDefault="00D765F4" w:rsidP="00BC1BD3">
            <w:pPr>
              <w:contextualSpacing/>
              <w:jc w:val="center"/>
              <w:rPr>
                <w:rFonts w:cs="Times New Roman"/>
                <w:b/>
                <w:sz w:val="20"/>
                <w:szCs w:val="20"/>
              </w:rPr>
            </w:pPr>
            <w:r w:rsidRPr="00B945D7">
              <w:rPr>
                <w:rFonts w:cs="Times New Roman"/>
                <w:b/>
                <w:sz w:val="20"/>
                <w:szCs w:val="20"/>
              </w:rPr>
              <w:t>Advantages</w:t>
            </w:r>
          </w:p>
        </w:tc>
        <w:tc>
          <w:tcPr>
            <w:tcW w:w="1572" w:type="pct"/>
          </w:tcPr>
          <w:p w14:paraId="27272C4D" w14:textId="77777777" w:rsidR="00D765F4" w:rsidRPr="00B945D7" w:rsidRDefault="00D765F4" w:rsidP="00BC1BD3">
            <w:pPr>
              <w:contextualSpacing/>
              <w:jc w:val="center"/>
              <w:rPr>
                <w:rFonts w:cs="Times New Roman"/>
                <w:b/>
                <w:sz w:val="20"/>
                <w:szCs w:val="20"/>
              </w:rPr>
            </w:pPr>
            <w:r w:rsidRPr="00B945D7">
              <w:rPr>
                <w:rFonts w:cs="Times New Roman"/>
                <w:b/>
                <w:sz w:val="20"/>
                <w:szCs w:val="20"/>
              </w:rPr>
              <w:t>Disadvantages</w:t>
            </w:r>
          </w:p>
        </w:tc>
      </w:tr>
      <w:tr w:rsidR="00D765F4" w:rsidRPr="00B945D7" w14:paraId="7062EC47" w14:textId="77777777" w:rsidTr="00B0116C">
        <w:trPr>
          <w:trHeight w:val="110"/>
        </w:trPr>
        <w:tc>
          <w:tcPr>
            <w:tcW w:w="514" w:type="pct"/>
          </w:tcPr>
          <w:p w14:paraId="0BA1C6A6" w14:textId="77777777" w:rsidR="00D765F4" w:rsidRPr="00B945D7" w:rsidRDefault="00D765F4" w:rsidP="00BC1BD3">
            <w:pPr>
              <w:contextualSpacing/>
              <w:rPr>
                <w:rFonts w:cs="Times New Roman"/>
                <w:b/>
                <w:sz w:val="20"/>
                <w:szCs w:val="20"/>
              </w:rPr>
            </w:pPr>
            <w:r w:rsidRPr="00B945D7">
              <w:rPr>
                <w:rFonts w:cs="Times New Roman"/>
                <w:b/>
                <w:sz w:val="20"/>
                <w:szCs w:val="20"/>
              </w:rPr>
              <w:t>DNA-based NGS</w:t>
            </w:r>
          </w:p>
        </w:tc>
        <w:tc>
          <w:tcPr>
            <w:tcW w:w="1321" w:type="pct"/>
          </w:tcPr>
          <w:p w14:paraId="584E7DA9" w14:textId="77777777" w:rsidR="00D765F4" w:rsidRPr="00B945D7" w:rsidRDefault="00D765F4" w:rsidP="00BC1BD3">
            <w:pPr>
              <w:contextualSpacing/>
              <w:rPr>
                <w:rFonts w:cs="Times New Roman"/>
                <w:b/>
                <w:sz w:val="20"/>
                <w:szCs w:val="20"/>
              </w:rPr>
            </w:pPr>
            <w:r w:rsidRPr="00B945D7">
              <w:rPr>
                <w:rFonts w:cs="Times New Roman"/>
                <w:sz w:val="20"/>
                <w:szCs w:val="20"/>
              </w:rPr>
              <w:t xml:space="preserve">Analyses genomic DNA from a tumour sample, and can be used to identify mutations in multiple genes concurrently. Targeted panels can be used to identify particular DNA rearrangement, known to have an oncogenic effect. </w:t>
            </w:r>
          </w:p>
        </w:tc>
        <w:tc>
          <w:tcPr>
            <w:tcW w:w="1593" w:type="pct"/>
          </w:tcPr>
          <w:p w14:paraId="56378E71" w14:textId="77777777" w:rsidR="00D765F4" w:rsidRPr="00B945D7" w:rsidRDefault="00D765F4" w:rsidP="009A66EC">
            <w:pPr>
              <w:numPr>
                <w:ilvl w:val="0"/>
                <w:numId w:val="88"/>
              </w:numPr>
              <w:spacing w:before="0" w:after="0"/>
              <w:contextualSpacing/>
              <w:rPr>
                <w:rFonts w:cs="Times New Roman"/>
                <w:sz w:val="20"/>
                <w:szCs w:val="20"/>
              </w:rPr>
            </w:pPr>
            <w:r w:rsidRPr="00B945D7">
              <w:rPr>
                <w:rFonts w:cs="Times New Roman"/>
                <w:sz w:val="20"/>
                <w:szCs w:val="20"/>
              </w:rPr>
              <w:t xml:space="preserve">Negligible costs to add an extra mutation target to a panel. </w:t>
            </w:r>
          </w:p>
          <w:p w14:paraId="2C605AEC" w14:textId="77777777" w:rsidR="00D765F4" w:rsidRPr="00B945D7" w:rsidRDefault="00D765F4" w:rsidP="009A66EC">
            <w:pPr>
              <w:numPr>
                <w:ilvl w:val="0"/>
                <w:numId w:val="88"/>
              </w:numPr>
              <w:spacing w:before="0" w:after="0"/>
              <w:contextualSpacing/>
              <w:rPr>
                <w:rFonts w:cs="Times New Roman"/>
                <w:sz w:val="20"/>
                <w:szCs w:val="20"/>
              </w:rPr>
            </w:pPr>
            <w:r w:rsidRPr="00B945D7">
              <w:rPr>
                <w:rFonts w:cs="Times New Roman"/>
                <w:sz w:val="20"/>
                <w:szCs w:val="20"/>
              </w:rPr>
              <w:t xml:space="preserve">Simultaneous detection of more than one mutation. </w:t>
            </w:r>
          </w:p>
          <w:p w14:paraId="078CC95C" w14:textId="061D9A20" w:rsidR="00D765F4" w:rsidRPr="00B945D7" w:rsidRDefault="00D765F4" w:rsidP="004D5B2B">
            <w:pPr>
              <w:numPr>
                <w:ilvl w:val="0"/>
                <w:numId w:val="88"/>
              </w:numPr>
              <w:spacing w:before="0" w:after="0"/>
              <w:contextualSpacing/>
              <w:rPr>
                <w:rFonts w:cs="Times New Roman"/>
                <w:sz w:val="20"/>
                <w:szCs w:val="20"/>
              </w:rPr>
            </w:pPr>
            <w:r w:rsidRPr="00B945D7">
              <w:rPr>
                <w:rFonts w:cs="Times New Roman"/>
                <w:sz w:val="20"/>
                <w:szCs w:val="20"/>
              </w:rPr>
              <w:t>Routinely used in the NHS to detect a variety of structural variants across a range of cancer types.</w:t>
            </w:r>
            <w:r w:rsidR="006F7FD7">
              <w:rPr>
                <w:rFonts w:cs="Times New Roman"/>
                <w:sz w:val="20"/>
                <w:szCs w:val="20"/>
              </w:rPr>
              <w:fldChar w:fldCharType="begin"/>
            </w:r>
            <w:r w:rsidR="004D5B2B">
              <w:rPr>
                <w:rFonts w:cs="Times New Roman"/>
                <w:sz w:val="20"/>
                <w:szCs w:val="20"/>
              </w:rPr>
              <w:instrText xml:space="preserve"> ADDIN EN.CITE &lt;EndNote&gt;&lt;Cite&gt;&lt;Author&gt;NHS England&lt;/Author&gt;&lt;Year&gt;2019&lt;/Year&gt;&lt;RecNum&gt;3532&lt;/RecNum&gt;&lt;DisplayText&gt;&lt;style face="superscript"&gt;162&lt;/style&gt;&lt;/DisplayText&gt;&lt;record&gt;&lt;rec-number&gt;3532&lt;/rec-number&gt;&lt;foreign-keys&gt;&lt;key app="EN" db-id="dwaevxvazfs2f3ewvzmxrd0k0wasw55p2z2w" timestamp="1579875628"&gt;3532&lt;/key&gt;&lt;/foreign-keys&gt;&lt;ref-type name="Web Page"&gt;12&lt;/ref-type&gt;&lt;contributors&gt;&lt;authors&gt;&lt;author&gt;NHS England,&lt;/author&gt;&lt;/authors&gt;&lt;/contributors&gt;&lt;titles&gt;&lt;title&gt;National Genomic Test Directory&lt;/title&gt;&lt;/titles&gt;&lt;volume&gt;2019&lt;/volume&gt;&lt;number&gt;15th May&lt;/number&gt;&lt;dates&gt;&lt;year&gt;2019&lt;/year&gt;&lt;/dates&gt;&lt;urls&gt;&lt;related-urls&gt;&lt;url&gt;https://www.england.nhs.uk/publication/national-genomic-test-directories/&lt;/url&gt;&lt;/related-urls&gt;&lt;/urls&gt;&lt;custom4&gt;LUCY&amp;apos;S REFERENCES&lt;/custom4&gt;&lt;/record&gt;&lt;/Cite&gt;&lt;/EndNote&gt;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162</w:t>
            </w:r>
            <w:r w:rsidR="006F7FD7">
              <w:rPr>
                <w:rFonts w:cs="Times New Roman"/>
                <w:sz w:val="20"/>
                <w:szCs w:val="20"/>
              </w:rPr>
              <w:fldChar w:fldCharType="end"/>
            </w:r>
          </w:p>
        </w:tc>
        <w:tc>
          <w:tcPr>
            <w:tcW w:w="1572" w:type="pct"/>
          </w:tcPr>
          <w:p w14:paraId="3F1575AF" w14:textId="77777777" w:rsidR="00D765F4" w:rsidRPr="00B945D7" w:rsidRDefault="00D765F4" w:rsidP="009A66EC">
            <w:pPr>
              <w:numPr>
                <w:ilvl w:val="0"/>
                <w:numId w:val="88"/>
              </w:numPr>
              <w:spacing w:before="0" w:after="0"/>
              <w:contextualSpacing/>
              <w:rPr>
                <w:rFonts w:cs="Times New Roman"/>
                <w:sz w:val="20"/>
                <w:szCs w:val="20"/>
              </w:rPr>
            </w:pPr>
            <w:r w:rsidRPr="00B945D7">
              <w:rPr>
                <w:rFonts w:cs="Times New Roman"/>
                <w:sz w:val="20"/>
                <w:szCs w:val="20"/>
              </w:rPr>
              <w:t>Limited coverage of non-coding (intronic) regions of DNA potentially leading to false negatives.</w:t>
            </w:r>
          </w:p>
          <w:p w14:paraId="35509B4F" w14:textId="7C54C30E" w:rsidR="00D765F4" w:rsidRPr="00B945D7" w:rsidRDefault="00D765F4" w:rsidP="004D5B2B">
            <w:pPr>
              <w:numPr>
                <w:ilvl w:val="0"/>
                <w:numId w:val="88"/>
              </w:numPr>
              <w:spacing w:before="0" w:after="0"/>
              <w:contextualSpacing/>
              <w:rPr>
                <w:rFonts w:cs="Times New Roman"/>
                <w:sz w:val="20"/>
                <w:szCs w:val="20"/>
              </w:rPr>
            </w:pPr>
            <w:r w:rsidRPr="00B945D7">
              <w:rPr>
                <w:rFonts w:cs="Times New Roman"/>
                <w:sz w:val="20"/>
                <w:szCs w:val="20"/>
              </w:rPr>
              <w:t>DNA-based NGS relies on targeted panels, this means that mutations that have not been previously identified and hence, not available on a target panel, cannot be detected.</w:t>
            </w:r>
            <w:r w:rsidR="006F7FD7">
              <w:rPr>
                <w:rFonts w:cs="Times New Roman"/>
                <w:sz w:val="20"/>
                <w:szCs w:val="20"/>
              </w:rPr>
              <w:fldChar w:fldCharType="begin"/>
            </w:r>
            <w:r w:rsidR="004D5B2B">
              <w:rPr>
                <w:rFonts w:cs="Times New Roman"/>
                <w:sz w:val="20"/>
                <w:szCs w:val="20"/>
              </w:rPr>
              <w:instrText xml:space="preserve"> ADDIN EN.CITE &lt;EndNote&gt;&lt;Cite&gt;&lt;Author&gt;Sheikine&lt;/Author&gt;&lt;Year&gt;2017&lt;/Year&gt;&lt;RecNum&gt;28&lt;/RecNum&gt;&lt;DisplayText&gt;&lt;style face="superscript"&gt;166&lt;/style&gt;&lt;/DisplayText&gt;&lt;record&gt;&lt;rec-number&gt;28&lt;/rec-number&gt;&lt;foreign-keys&gt;&lt;key app="EN" db-id="pz0rrdex3zsv21etatn5ww0i0509tzrzexxd" timestamp="1580649515"&gt;28&lt;/key&gt;&lt;/foreign-keys&gt;&lt;ref-type name="Journal Article"&gt;17&lt;/ref-type&gt;&lt;contributors&gt;&lt;authors&gt;&lt;author&gt;Sheikine, Yuri&lt;/author&gt;&lt;author&gt;Kuo, Frank C.&lt;/author&gt;&lt;author&gt;Lindeman, Neal I.&lt;/author&gt;&lt;/authors&gt;&lt;/contributors&gt;&lt;titles&gt;&lt;title&gt;Clinical and technical aspects of genomic diagnostics for precision oncology&lt;/title&gt;&lt;secondary-title&gt;J Clin Oncol&lt;/secondary-title&gt;&lt;/titles&gt;&lt;pages&gt;929-933&lt;/pages&gt;&lt;volume&gt;35&lt;/volume&gt;&lt;number&gt;9&lt;/number&gt;&lt;dates&gt;&lt;year&gt;2017&lt;/year&gt;&lt;/dates&gt;&lt;urls&gt;&lt;/urls&gt;&lt;/record&gt;&lt;/Cite&gt;&lt;/EndNote&gt;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166</w:t>
            </w:r>
            <w:r w:rsidR="006F7FD7">
              <w:rPr>
                <w:rFonts w:cs="Times New Roman"/>
                <w:sz w:val="20"/>
                <w:szCs w:val="20"/>
              </w:rPr>
              <w:fldChar w:fldCharType="end"/>
            </w:r>
          </w:p>
        </w:tc>
      </w:tr>
      <w:tr w:rsidR="00D765F4" w:rsidRPr="00B945D7" w14:paraId="6B946365" w14:textId="77777777" w:rsidTr="00B0116C">
        <w:trPr>
          <w:trHeight w:val="138"/>
        </w:trPr>
        <w:tc>
          <w:tcPr>
            <w:tcW w:w="514" w:type="pct"/>
          </w:tcPr>
          <w:p w14:paraId="1E0F640B" w14:textId="77777777" w:rsidR="00D765F4" w:rsidRPr="00B945D7" w:rsidRDefault="00D765F4" w:rsidP="00BC1BD3">
            <w:pPr>
              <w:contextualSpacing/>
              <w:rPr>
                <w:rFonts w:cs="Times New Roman"/>
                <w:b/>
                <w:sz w:val="20"/>
                <w:szCs w:val="20"/>
              </w:rPr>
            </w:pPr>
            <w:r w:rsidRPr="00B945D7">
              <w:rPr>
                <w:rFonts w:cs="Times New Roman"/>
                <w:b/>
                <w:sz w:val="20"/>
                <w:szCs w:val="20"/>
              </w:rPr>
              <w:t xml:space="preserve">WGS </w:t>
            </w:r>
          </w:p>
        </w:tc>
        <w:tc>
          <w:tcPr>
            <w:tcW w:w="1321" w:type="pct"/>
          </w:tcPr>
          <w:p w14:paraId="4F7DC466" w14:textId="77777777" w:rsidR="00D765F4" w:rsidRPr="00B945D7" w:rsidRDefault="00D765F4" w:rsidP="00BC1BD3">
            <w:pPr>
              <w:contextualSpacing/>
              <w:rPr>
                <w:rFonts w:cs="Times New Roman"/>
                <w:b/>
                <w:sz w:val="20"/>
                <w:szCs w:val="20"/>
              </w:rPr>
            </w:pPr>
            <w:r w:rsidRPr="00B945D7">
              <w:rPr>
                <w:rFonts w:cs="Times New Roman"/>
                <w:sz w:val="20"/>
                <w:szCs w:val="20"/>
              </w:rPr>
              <w:t>Sequences the entire genome of DNA against a comparator to identify specific genetic alterations known to play a role in tumourigenesis.</w:t>
            </w:r>
          </w:p>
        </w:tc>
        <w:tc>
          <w:tcPr>
            <w:tcW w:w="1593" w:type="pct"/>
          </w:tcPr>
          <w:p w14:paraId="26E4650F" w14:textId="32CF8E99" w:rsidR="00D765F4" w:rsidRPr="00B945D7" w:rsidRDefault="00D765F4" w:rsidP="009A66EC">
            <w:pPr>
              <w:numPr>
                <w:ilvl w:val="0"/>
                <w:numId w:val="90"/>
              </w:numPr>
              <w:spacing w:before="0" w:after="0"/>
              <w:contextualSpacing/>
              <w:rPr>
                <w:rFonts w:cs="Times New Roman"/>
                <w:sz w:val="20"/>
                <w:szCs w:val="20"/>
              </w:rPr>
            </w:pPr>
            <w:r w:rsidRPr="00B945D7">
              <w:rPr>
                <w:rFonts w:cs="Times New Roman"/>
                <w:sz w:val="20"/>
                <w:szCs w:val="20"/>
              </w:rPr>
              <w:t>The most comprehensive method to detect mutations, especially for novel mutations.</w:t>
            </w:r>
            <w:r w:rsidR="006F7FD7">
              <w:rPr>
                <w:rFonts w:cs="Times New Roman"/>
                <w:sz w:val="20"/>
                <w:szCs w:val="20"/>
              </w:rPr>
              <w:fldChar w:fldCharType="begin"/>
            </w:r>
            <w:r w:rsidR="004D5B2B">
              <w:rPr>
                <w:rFonts w:cs="Times New Roman"/>
                <w:sz w:val="20"/>
                <w:szCs w:val="20"/>
              </w:rPr>
              <w:instrText xml:space="preserve"> ADDIN EN.CITE &lt;EndNote&gt;&lt;Cite&gt;&lt;Author&gt;Sheikine&lt;/Author&gt;&lt;Year&gt;2017&lt;/Year&gt;&lt;RecNum&gt;28&lt;/RecNum&gt;&lt;DisplayText&gt;&lt;style face="superscript"&gt;166&lt;/style&gt;&lt;/DisplayText&gt;&lt;record&gt;&lt;rec-number&gt;28&lt;/rec-number&gt;&lt;foreign-keys&gt;&lt;key app="EN" db-id="pz0rrdex3zsv21etatn5ww0i0509tzrzexxd" timestamp="1580649515"&gt;28&lt;/key&gt;&lt;/foreign-keys&gt;&lt;ref-type name="Journal Article"&gt;17&lt;/ref-type&gt;&lt;contributors&gt;&lt;authors&gt;&lt;author&gt;Sheikine, Yuri&lt;/author&gt;&lt;author&gt;Kuo, Frank C.&lt;/author&gt;&lt;author&gt;Lindeman, Neal I.&lt;/author&gt;&lt;/authors&gt;&lt;/contributors&gt;&lt;titles&gt;&lt;title&gt;Clinical and technical aspects of genomic diagnostics for precision oncology&lt;/title&gt;&lt;secondary-title&gt;J Clin Oncol&lt;/secondary-title&gt;&lt;/titles&gt;&lt;pages&gt;929-933&lt;/pages&gt;&lt;volume&gt;35&lt;/volume&gt;&lt;number&gt;9&lt;/number&gt;&lt;dates&gt;&lt;year&gt;2017&lt;/year&gt;&lt;/dates&gt;&lt;urls&gt;&lt;/urls&gt;&lt;/record&gt;&lt;/Cite&gt;&lt;/EndNote&gt;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166</w:t>
            </w:r>
            <w:r w:rsidR="006F7FD7">
              <w:rPr>
                <w:rFonts w:cs="Times New Roman"/>
                <w:sz w:val="20"/>
                <w:szCs w:val="20"/>
              </w:rPr>
              <w:fldChar w:fldCharType="end"/>
            </w:r>
          </w:p>
          <w:p w14:paraId="2305A86C" w14:textId="563474A4" w:rsidR="00D765F4" w:rsidRPr="00B945D7" w:rsidRDefault="00D765F4" w:rsidP="004D5B2B">
            <w:pPr>
              <w:numPr>
                <w:ilvl w:val="0"/>
                <w:numId w:val="90"/>
              </w:numPr>
              <w:spacing w:before="0" w:after="0"/>
              <w:contextualSpacing/>
              <w:rPr>
                <w:rFonts w:cs="Times New Roman"/>
                <w:sz w:val="20"/>
                <w:szCs w:val="20"/>
              </w:rPr>
            </w:pPr>
            <w:r w:rsidRPr="00B945D7">
              <w:rPr>
                <w:rFonts w:cs="Times New Roman"/>
                <w:sz w:val="20"/>
                <w:szCs w:val="20"/>
              </w:rPr>
              <w:t>Currently available for paediatric patients and patients with soft-tissue sarcoma</w:t>
            </w:r>
            <w:r w:rsidR="003901C8">
              <w:rPr>
                <w:rFonts w:cs="Times New Roman"/>
                <w:sz w:val="20"/>
                <w:szCs w:val="20"/>
              </w:rPr>
              <w:t>.</w:t>
            </w:r>
            <w:r w:rsidR="006F7FD7">
              <w:rPr>
                <w:rFonts w:cs="Times New Roman"/>
                <w:sz w:val="20"/>
                <w:szCs w:val="20"/>
              </w:rPr>
              <w:fldChar w:fldCharType="begin"/>
            </w:r>
            <w:r w:rsidR="004D5B2B">
              <w:rPr>
                <w:rFonts w:cs="Times New Roman"/>
                <w:sz w:val="20"/>
                <w:szCs w:val="20"/>
              </w:rPr>
              <w:instrText xml:space="preserve"> ADDIN EN.CITE &lt;EndNote&gt;&lt;Cite&gt;&lt;Author&gt;NHS England&lt;/Author&gt;&lt;Year&gt;2019&lt;/Year&gt;&lt;RecNum&gt;3532&lt;/RecNum&gt;&lt;DisplayText&gt;&lt;style face="superscript"&gt;162&lt;/style&gt;&lt;/DisplayText&gt;&lt;record&gt;&lt;rec-number&gt;3532&lt;/rec-number&gt;&lt;foreign-keys&gt;&lt;key app="EN" db-id="dwaevxvazfs2f3ewvzmxrd0k0wasw55p2z2w" timestamp="1579875628"&gt;3532&lt;/key&gt;&lt;/foreign-keys&gt;&lt;ref-type name="Web Page"&gt;12&lt;/ref-type&gt;&lt;contributors&gt;&lt;authors&gt;&lt;author&gt;NHS England,&lt;/author&gt;&lt;/authors&gt;&lt;/contributors&gt;&lt;titles&gt;&lt;title&gt;National Genomic Test Directory&lt;/title&gt;&lt;/titles&gt;&lt;volume&gt;2019&lt;/volume&gt;&lt;number&gt;15th May&lt;/number&gt;&lt;dates&gt;&lt;year&gt;2019&lt;/year&gt;&lt;/dates&gt;&lt;urls&gt;&lt;related-urls&gt;&lt;url&gt;https://www.england.nhs.uk/publication/national-genomic-test-directories/&lt;/url&gt;&lt;/related-urls&gt;&lt;/urls&gt;&lt;custom4&gt;LUCY&amp;apos;S REFERENCES&lt;/custom4&gt;&lt;/record&gt;&lt;/Cite&gt;&lt;/EndNote&gt;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162</w:t>
            </w:r>
            <w:r w:rsidR="006F7FD7">
              <w:rPr>
                <w:rFonts w:cs="Times New Roman"/>
                <w:sz w:val="20"/>
                <w:szCs w:val="20"/>
              </w:rPr>
              <w:fldChar w:fldCharType="end"/>
            </w:r>
          </w:p>
        </w:tc>
        <w:tc>
          <w:tcPr>
            <w:tcW w:w="1572" w:type="pct"/>
          </w:tcPr>
          <w:p w14:paraId="2B1B0503" w14:textId="2FAB6B24" w:rsidR="00D765F4" w:rsidRPr="00B945D7" w:rsidRDefault="00D765F4" w:rsidP="009A66EC">
            <w:pPr>
              <w:numPr>
                <w:ilvl w:val="0"/>
                <w:numId w:val="87"/>
              </w:numPr>
              <w:spacing w:before="0" w:after="0"/>
              <w:contextualSpacing/>
              <w:rPr>
                <w:rFonts w:cs="Times New Roman"/>
                <w:sz w:val="20"/>
                <w:szCs w:val="20"/>
              </w:rPr>
            </w:pPr>
            <w:r w:rsidRPr="00B945D7">
              <w:rPr>
                <w:rFonts w:cs="Times New Roman"/>
                <w:sz w:val="20"/>
                <w:szCs w:val="20"/>
              </w:rPr>
              <w:t>Depth of coverage is much smaller due to the amount of DNA that needs to be sequenced.</w:t>
            </w:r>
            <w:r w:rsidR="006F7FD7">
              <w:rPr>
                <w:rFonts w:cs="Times New Roman"/>
                <w:sz w:val="20"/>
                <w:szCs w:val="20"/>
              </w:rPr>
              <w:fldChar w:fldCharType="begin"/>
            </w:r>
            <w:r w:rsidR="004D5B2B">
              <w:rPr>
                <w:rFonts w:cs="Times New Roman"/>
                <w:sz w:val="20"/>
                <w:szCs w:val="20"/>
              </w:rPr>
              <w:instrText xml:space="preserve"> ADDIN EN.CITE &lt;EndNote&gt;&lt;Cite&gt;&lt;Author&gt;Sheikine&lt;/Author&gt;&lt;Year&gt;2017&lt;/Year&gt;&lt;RecNum&gt;28&lt;/RecNum&gt;&lt;DisplayText&gt;&lt;style face="superscript"&gt;166&lt;/style&gt;&lt;/DisplayText&gt;&lt;record&gt;&lt;rec-number&gt;28&lt;/rec-number&gt;&lt;foreign-keys&gt;&lt;key app="EN" db-id="pz0rrdex3zsv21etatn5ww0i0509tzrzexxd" timestamp="1580649515"&gt;28&lt;/key&gt;&lt;/foreign-keys&gt;&lt;ref-type name="Journal Article"&gt;17&lt;/ref-type&gt;&lt;contributors&gt;&lt;authors&gt;&lt;author&gt;Sheikine, Yuri&lt;/author&gt;&lt;author&gt;Kuo, Frank C.&lt;/author&gt;&lt;author&gt;Lindeman, Neal I.&lt;/author&gt;&lt;/authors&gt;&lt;/contributors&gt;&lt;titles&gt;&lt;title&gt;Clinical and technical aspects of genomic diagnostics for precision oncology&lt;/title&gt;&lt;secondary-title&gt;J Clin Oncol&lt;/secondary-title&gt;&lt;/titles&gt;&lt;pages&gt;929-933&lt;/pages&gt;&lt;volume&gt;35&lt;/volume&gt;&lt;number&gt;9&lt;/number&gt;&lt;dates&gt;&lt;year&gt;2017&lt;/year&gt;&lt;/dates&gt;&lt;urls&gt;&lt;/urls&gt;&lt;/record&gt;&lt;/Cite&gt;&lt;/EndNote&gt;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166</w:t>
            </w:r>
            <w:r w:rsidR="006F7FD7">
              <w:rPr>
                <w:rFonts w:cs="Times New Roman"/>
                <w:sz w:val="20"/>
                <w:szCs w:val="20"/>
              </w:rPr>
              <w:fldChar w:fldCharType="end"/>
            </w:r>
          </w:p>
          <w:p w14:paraId="469C0C65" w14:textId="5F17676A" w:rsidR="00D765F4" w:rsidRPr="00B945D7" w:rsidRDefault="00D765F4" w:rsidP="004D5B2B">
            <w:pPr>
              <w:numPr>
                <w:ilvl w:val="0"/>
                <w:numId w:val="87"/>
              </w:numPr>
              <w:spacing w:before="0" w:after="0"/>
              <w:contextualSpacing/>
              <w:rPr>
                <w:rFonts w:cs="Times New Roman"/>
                <w:b/>
                <w:sz w:val="20"/>
                <w:szCs w:val="20"/>
              </w:rPr>
            </w:pPr>
            <w:r w:rsidRPr="00B945D7">
              <w:rPr>
                <w:rFonts w:cs="Times New Roman"/>
                <w:sz w:val="20"/>
                <w:szCs w:val="20"/>
              </w:rPr>
              <w:t>Resource intensive as there is significant amounts of data produced.</w:t>
            </w:r>
            <w:r w:rsidR="006F7FD7">
              <w:rPr>
                <w:rFonts w:cs="Times New Roman"/>
                <w:bCs/>
                <w:sz w:val="20"/>
                <w:szCs w:val="20"/>
              </w:rPr>
              <w:fldChar w:fldCharType="begin"/>
            </w:r>
            <w:r w:rsidR="004D5B2B">
              <w:rPr>
                <w:rFonts w:cs="Times New Roman"/>
                <w:bCs/>
                <w:sz w:val="20"/>
                <w:szCs w:val="20"/>
              </w:rPr>
              <w:instrText xml:space="preserve"> ADDIN EN.CITE &lt;EndNote&gt;&lt;Cite&gt;&lt;Author&gt;Morganti&lt;/Author&gt;&lt;Year&gt;2018&lt;/Year&gt;&lt;RecNum&gt;26&lt;/RecNum&gt;&lt;DisplayText&gt;&lt;style face="superscript"&gt;164&lt;/style&gt;&lt;/DisplayText&gt;&lt;record&gt;&lt;rec-number&gt;26&lt;/rec-number&gt;&lt;foreign-keys&gt;&lt;key app="EN" db-id="pz0rrdex3zsv21etatn5ww0i0509tzrzexxd" timestamp="1580649515"&gt;26&lt;/key&gt;&lt;/foreign-keys&gt;&lt;ref-type name="Journal Article"&gt;17&lt;/ref-type&gt;&lt;contributors&gt;&lt;authors&gt;&lt;author&gt;Morganti, Stefania&lt;/author&gt;&lt;author&gt;Tarantino, Paolo&lt;/author&gt;&lt;author&gt;Ferraro, Emanuela&lt;/author&gt;&lt;author&gt;D’Amico, Paolo&lt;/author&gt;&lt;author&gt;Viale, Giulia&lt;/author&gt;&lt;author&gt;Trapani, Dario&lt;/author&gt;&lt;author&gt;Duso, Bruno Achutti&lt;/author&gt;&lt;author&gt;Curigliano, Giuseppe&lt;/author&gt;&lt;/authors&gt;&lt;/contributors&gt;&lt;titles&gt;&lt;title&gt;Complexity of genome sequencing and reporting: Next generation sequencing (NGS) technologies and implementation of precision medicine in real life&lt;/title&gt;&lt;secondary-title&gt;Critical reviews in oncology/hematology&lt;/secondary-title&gt;&lt;/titles&gt;&lt;dates&gt;&lt;year&gt;2018&lt;/year&gt;&lt;/dates&gt;&lt;isbn&gt;1040-8428&lt;/isbn&gt;&lt;urls&gt;&lt;/urls&gt;&lt;/record&gt;&lt;/Cite&gt;&lt;/EndNote&gt;</w:instrText>
            </w:r>
            <w:r w:rsidR="006F7FD7">
              <w:rPr>
                <w:rFonts w:cs="Times New Roman"/>
                <w:bCs/>
                <w:sz w:val="20"/>
                <w:szCs w:val="20"/>
              </w:rPr>
              <w:fldChar w:fldCharType="separate"/>
            </w:r>
            <w:r w:rsidR="004D5B2B" w:rsidRPr="004D5B2B">
              <w:rPr>
                <w:rFonts w:cs="Times New Roman"/>
                <w:bCs/>
                <w:noProof/>
                <w:sz w:val="20"/>
                <w:szCs w:val="20"/>
                <w:vertAlign w:val="superscript"/>
              </w:rPr>
              <w:t>164</w:t>
            </w:r>
            <w:r w:rsidR="006F7FD7">
              <w:rPr>
                <w:rFonts w:cs="Times New Roman"/>
                <w:bCs/>
                <w:sz w:val="20"/>
                <w:szCs w:val="20"/>
              </w:rPr>
              <w:fldChar w:fldCharType="end"/>
            </w:r>
          </w:p>
        </w:tc>
      </w:tr>
      <w:tr w:rsidR="00D765F4" w:rsidRPr="00B945D7" w14:paraId="715152C0" w14:textId="77777777" w:rsidTr="00B0116C">
        <w:trPr>
          <w:trHeight w:val="166"/>
        </w:trPr>
        <w:tc>
          <w:tcPr>
            <w:tcW w:w="514" w:type="pct"/>
          </w:tcPr>
          <w:p w14:paraId="36B5F854" w14:textId="77777777" w:rsidR="00D765F4" w:rsidRPr="00B945D7" w:rsidRDefault="00D765F4" w:rsidP="00BC1BD3">
            <w:pPr>
              <w:contextualSpacing/>
              <w:rPr>
                <w:rFonts w:cs="Times New Roman"/>
                <w:b/>
                <w:sz w:val="20"/>
                <w:szCs w:val="20"/>
              </w:rPr>
            </w:pPr>
            <w:r w:rsidRPr="00B945D7">
              <w:rPr>
                <w:rFonts w:cs="Times New Roman"/>
                <w:b/>
                <w:sz w:val="20"/>
                <w:szCs w:val="20"/>
              </w:rPr>
              <w:t>RNA-based NGS</w:t>
            </w:r>
          </w:p>
        </w:tc>
        <w:tc>
          <w:tcPr>
            <w:tcW w:w="1321" w:type="pct"/>
          </w:tcPr>
          <w:p w14:paraId="7E0471DF" w14:textId="77777777" w:rsidR="00D765F4" w:rsidRPr="00B945D7" w:rsidRDefault="00D765F4" w:rsidP="00BC1BD3">
            <w:pPr>
              <w:contextualSpacing/>
              <w:rPr>
                <w:rFonts w:cs="Times New Roman"/>
                <w:b/>
                <w:sz w:val="20"/>
                <w:szCs w:val="20"/>
              </w:rPr>
            </w:pPr>
            <w:r w:rsidRPr="00B945D7">
              <w:rPr>
                <w:rFonts w:cs="Times New Roman"/>
                <w:sz w:val="20"/>
                <w:szCs w:val="20"/>
              </w:rPr>
              <w:t>Analyses the transcriptome (the collection of all RNA sequences in a cell). RNA-seq provides a more accurate test for determining whether genetic mutations are expressed as proteins.</w:t>
            </w:r>
          </w:p>
        </w:tc>
        <w:tc>
          <w:tcPr>
            <w:tcW w:w="1593" w:type="pct"/>
          </w:tcPr>
          <w:p w14:paraId="0B918388" w14:textId="3AC34866"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RNA-based NGS provides a more accurate proxy to determine whether the DNA-level mutation has led to protein expression</w:t>
            </w:r>
            <w:r w:rsidR="00B945D7">
              <w:rPr>
                <w:rFonts w:cs="Times New Roman"/>
                <w:sz w:val="20"/>
                <w:szCs w:val="20"/>
              </w:rPr>
              <w:t>.</w:t>
            </w:r>
            <w:r w:rsidR="006F7FD7">
              <w:rPr>
                <w:rFonts w:cs="Times New Roman"/>
                <w:sz w:val="20"/>
                <w:szCs w:val="20"/>
              </w:rPr>
              <w:fldChar w:fldCharType="begin"/>
            </w:r>
            <w:r w:rsidR="004D5B2B">
              <w:rPr>
                <w:rFonts w:cs="Times New Roman"/>
                <w:sz w:val="20"/>
                <w:szCs w:val="20"/>
              </w:rPr>
              <w:instrText xml:space="preserve"> ADDIN EN.CITE &lt;EndNote&gt;&lt;Cite&gt;&lt;Author&gt;Morganti&lt;/Author&gt;&lt;Year&gt;2018&lt;/Year&gt;&lt;RecNum&gt;26&lt;/RecNum&gt;&lt;DisplayText&gt;&lt;style face="superscript"&gt;164&lt;/style&gt;&lt;/DisplayText&gt;&lt;record&gt;&lt;rec-number&gt;26&lt;/rec-number&gt;&lt;foreign-keys&gt;&lt;key app="EN" db-id="pz0rrdex3zsv21etatn5ww0i0509tzrzexxd" timestamp="1580649515"&gt;26&lt;/key&gt;&lt;/foreign-keys&gt;&lt;ref-type name="Journal Article"&gt;17&lt;/ref-type&gt;&lt;contributors&gt;&lt;authors&gt;&lt;author&gt;Morganti, Stefania&lt;/author&gt;&lt;author&gt;Tarantino, Paolo&lt;/author&gt;&lt;author&gt;Ferraro, Emanuela&lt;/author&gt;&lt;author&gt;D’Amico, Paolo&lt;/author&gt;&lt;author&gt;Viale, Giulia&lt;/author&gt;&lt;author&gt;Trapani, Dario&lt;/author&gt;&lt;author&gt;Duso, Bruno Achutti&lt;/author&gt;&lt;author&gt;Curigliano, Giuseppe&lt;/author&gt;&lt;/authors&gt;&lt;/contributors&gt;&lt;titles&gt;&lt;title&gt;Complexity of genome sequencing and reporting: Next generation sequencing (NGS) technologies and implementation of precision medicine in real life&lt;/title&gt;&lt;secondary-title&gt;Critical reviews in oncology/hematology&lt;/secondary-title&gt;&lt;/titles&gt;&lt;dates&gt;&lt;year&gt;2018&lt;/year&gt;&lt;/dates&gt;&lt;isbn&gt;1040-8428&lt;/isbn&gt;&lt;urls&gt;&lt;/urls&gt;&lt;/record&gt;&lt;/Cite&gt;&lt;/EndNote&gt;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164</w:t>
            </w:r>
            <w:r w:rsidR="006F7FD7">
              <w:rPr>
                <w:rFonts w:cs="Times New Roman"/>
                <w:sz w:val="20"/>
                <w:szCs w:val="20"/>
              </w:rPr>
              <w:fldChar w:fldCharType="end"/>
            </w:r>
            <w:r w:rsidRPr="00B945D7">
              <w:rPr>
                <w:rFonts w:cs="Times New Roman"/>
                <w:sz w:val="20"/>
                <w:szCs w:val="20"/>
              </w:rPr>
              <w:t xml:space="preserve"> </w:t>
            </w:r>
          </w:p>
          <w:p w14:paraId="686FB446" w14:textId="77777777"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 xml:space="preserve">Simultaneous detection of more than one mutation. </w:t>
            </w:r>
          </w:p>
          <w:p w14:paraId="2063C04B" w14:textId="77777777"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Can also be used to detect novel mutations, which are likely to be missed by targeted panel DNA-based NGS.</w:t>
            </w:r>
          </w:p>
        </w:tc>
        <w:tc>
          <w:tcPr>
            <w:tcW w:w="1572" w:type="pct"/>
          </w:tcPr>
          <w:p w14:paraId="2DD4AF13" w14:textId="29F7D38A"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Requires high quality samples, which may make it unsuitable for high-throughput testing.</w:t>
            </w:r>
            <w:r w:rsidR="006F7FD7">
              <w:rPr>
                <w:rFonts w:cs="Times New Roman"/>
                <w:sz w:val="20"/>
                <w:szCs w:val="20"/>
              </w:rPr>
              <w:fldChar w:fldCharType="begin"/>
            </w:r>
            <w:r w:rsidR="004D5B2B">
              <w:rPr>
                <w:rFonts w:cs="Times New Roman"/>
                <w:sz w:val="20"/>
                <w:szCs w:val="20"/>
              </w:rPr>
              <w:instrText xml:space="preserve"> ADDIN EN.CITE &lt;EndNote&gt;&lt;Cite&gt;&lt;Author&gt;Sheikine&lt;/Author&gt;&lt;Year&gt;2017&lt;/Year&gt;&lt;RecNum&gt;28&lt;/RecNum&gt;&lt;DisplayText&gt;&lt;style face="superscript"&gt;166&lt;/style&gt;&lt;/DisplayText&gt;&lt;record&gt;&lt;rec-number&gt;28&lt;/rec-number&gt;&lt;foreign-keys&gt;&lt;key app="EN" db-id="pz0rrdex3zsv21etatn5ww0i0509tzrzexxd" timestamp="1580649515"&gt;28&lt;/key&gt;&lt;/foreign-keys&gt;&lt;ref-type name="Journal Article"&gt;17&lt;/ref-type&gt;&lt;contributors&gt;&lt;authors&gt;&lt;author&gt;Sheikine, Yuri&lt;/author&gt;&lt;author&gt;Kuo, Frank C.&lt;/author&gt;&lt;author&gt;Lindeman, Neal I.&lt;/author&gt;&lt;/authors&gt;&lt;/contributors&gt;&lt;titles&gt;&lt;title&gt;Clinical and technical aspects of genomic diagnostics for precision oncology&lt;/title&gt;&lt;secondary-title&gt;J Clin Oncol&lt;/secondary-title&gt;&lt;/titles&gt;&lt;pages&gt;929-933&lt;/pages&gt;&lt;volume&gt;35&lt;/volume&gt;&lt;number&gt;9&lt;/number&gt;&lt;dates&gt;&lt;year&gt;2017&lt;/year&gt;&lt;/dates&gt;&lt;urls&gt;&lt;/urls&gt;&lt;/record&gt;&lt;/Cite&gt;&lt;/EndNote&gt;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166</w:t>
            </w:r>
            <w:r w:rsidR="006F7FD7">
              <w:rPr>
                <w:rFonts w:cs="Times New Roman"/>
                <w:sz w:val="20"/>
                <w:szCs w:val="20"/>
              </w:rPr>
              <w:fldChar w:fldCharType="end"/>
            </w:r>
            <w:r w:rsidRPr="00B945D7">
              <w:rPr>
                <w:rFonts w:cs="Times New Roman"/>
                <w:sz w:val="20"/>
                <w:szCs w:val="20"/>
              </w:rPr>
              <w:t xml:space="preserve"> </w:t>
            </w:r>
          </w:p>
          <w:p w14:paraId="534D3DB9" w14:textId="77777777"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High failure rate, which means that samples will have to be re-tested.</w:t>
            </w:r>
          </w:p>
          <w:p w14:paraId="5545C988" w14:textId="5E7AADBE" w:rsidR="00D765F4" w:rsidRPr="00B945D7" w:rsidRDefault="00D765F4" w:rsidP="004D5B2B">
            <w:pPr>
              <w:numPr>
                <w:ilvl w:val="0"/>
                <w:numId w:val="89"/>
              </w:numPr>
              <w:spacing w:before="0" w:after="0"/>
              <w:contextualSpacing/>
              <w:rPr>
                <w:rFonts w:cs="Times New Roman"/>
                <w:b/>
                <w:sz w:val="20"/>
                <w:szCs w:val="20"/>
              </w:rPr>
            </w:pPr>
            <w:r w:rsidRPr="00B945D7">
              <w:rPr>
                <w:rFonts w:cs="Times New Roman"/>
                <w:sz w:val="20"/>
                <w:szCs w:val="20"/>
              </w:rPr>
              <w:t>A relatively new test, so currently not routinely available on the NHS</w:t>
            </w:r>
            <w:r w:rsidR="006F7FD7">
              <w:rPr>
                <w:rFonts w:cs="Times New Roman"/>
                <w:sz w:val="20"/>
                <w:szCs w:val="20"/>
              </w:rPr>
              <w:fldChar w:fldCharType="begin"/>
            </w:r>
            <w:r w:rsidR="004D5B2B">
              <w:rPr>
                <w:rFonts w:cs="Times New Roman"/>
                <w:sz w:val="20"/>
                <w:szCs w:val="20"/>
              </w:rPr>
              <w:instrText xml:space="preserve"> ADDIN EN.CITE &lt;EndNote&gt;&lt;Cite&gt;&lt;Author&gt;NHS England&lt;/Author&gt;&lt;Year&gt;2019&lt;/Year&gt;&lt;RecNum&gt;3532&lt;/RecNum&gt;&lt;DisplayText&gt;&lt;style face="superscript"&gt;162&lt;/style&gt;&lt;/DisplayText&gt;&lt;record&gt;&lt;rec-number&gt;3532&lt;/rec-number&gt;&lt;foreign-keys&gt;&lt;key app="EN" db-id="dwaevxvazfs2f3ewvzmxrd0k0wasw55p2z2w" timestamp="1579875628"&gt;3532&lt;/key&gt;&lt;/foreign-keys&gt;&lt;ref-type name="Web Page"&gt;12&lt;/ref-type&gt;&lt;contributors&gt;&lt;authors&gt;&lt;author&gt;NHS England,&lt;/author&gt;&lt;/authors&gt;&lt;/contributors&gt;&lt;titles&gt;&lt;title&gt;National Genomic Test Directory&lt;/title&gt;&lt;/titles&gt;&lt;volume&gt;2019&lt;/volume&gt;&lt;number&gt;15th May&lt;/number&gt;&lt;dates&gt;&lt;year&gt;2019&lt;/year&gt;&lt;/dates&gt;&lt;urls&gt;&lt;related-urls&gt;&lt;url&gt;https://www.england.nhs.uk/publication/national-genomic-test-directories/&lt;/url&gt;&lt;/related-urls&gt;&lt;/urls&gt;&lt;custom4&gt;LUCY&amp;apos;S REFERENCES&lt;/custom4&gt;&lt;/record&gt;&lt;/Cite&gt;&lt;/EndNote&gt;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162</w:t>
            </w:r>
            <w:r w:rsidR="006F7FD7">
              <w:rPr>
                <w:rFonts w:cs="Times New Roman"/>
                <w:sz w:val="20"/>
                <w:szCs w:val="20"/>
              </w:rPr>
              <w:fldChar w:fldCharType="end"/>
            </w:r>
          </w:p>
        </w:tc>
      </w:tr>
      <w:tr w:rsidR="00D765F4" w:rsidRPr="00B945D7" w14:paraId="2373FE90" w14:textId="77777777" w:rsidTr="00B0116C">
        <w:trPr>
          <w:trHeight w:val="172"/>
        </w:trPr>
        <w:tc>
          <w:tcPr>
            <w:tcW w:w="514" w:type="pct"/>
          </w:tcPr>
          <w:p w14:paraId="57E0829D" w14:textId="77777777" w:rsidR="00D765F4" w:rsidRPr="00B945D7" w:rsidRDefault="00D765F4" w:rsidP="00BC1BD3">
            <w:pPr>
              <w:contextualSpacing/>
              <w:rPr>
                <w:rFonts w:cs="Times New Roman"/>
                <w:b/>
                <w:sz w:val="20"/>
                <w:szCs w:val="20"/>
              </w:rPr>
            </w:pPr>
            <w:r w:rsidRPr="00B945D7">
              <w:rPr>
                <w:rFonts w:cs="Times New Roman"/>
                <w:b/>
                <w:sz w:val="20"/>
                <w:szCs w:val="20"/>
              </w:rPr>
              <w:t>IHC</w:t>
            </w:r>
          </w:p>
        </w:tc>
        <w:tc>
          <w:tcPr>
            <w:tcW w:w="1321" w:type="pct"/>
          </w:tcPr>
          <w:p w14:paraId="5AFFAC68" w14:textId="77777777" w:rsidR="00D765F4" w:rsidRPr="00B945D7" w:rsidRDefault="00D765F4" w:rsidP="00BC1BD3">
            <w:pPr>
              <w:contextualSpacing/>
              <w:rPr>
                <w:rFonts w:cs="Times New Roman"/>
                <w:bCs/>
                <w:sz w:val="20"/>
                <w:szCs w:val="20"/>
              </w:rPr>
            </w:pPr>
            <w:r w:rsidRPr="00B945D7">
              <w:rPr>
                <w:rFonts w:cs="Times New Roman"/>
                <w:bCs/>
                <w:sz w:val="20"/>
                <w:szCs w:val="20"/>
              </w:rPr>
              <w:t xml:space="preserve">IHC detects the expression of a protein through the use of antibodies, which bind to a specific receptor (or antigen) on the protein of interest. A tag attached to the antibody will react if bound, producing a stain, signalling the expression of the protein.  </w:t>
            </w:r>
          </w:p>
        </w:tc>
        <w:tc>
          <w:tcPr>
            <w:tcW w:w="1593" w:type="pct"/>
          </w:tcPr>
          <w:p w14:paraId="1D85F6C9" w14:textId="658F9C12" w:rsidR="00D765F4" w:rsidRPr="00B945D7" w:rsidRDefault="00D765F4" w:rsidP="004D5B2B">
            <w:pPr>
              <w:numPr>
                <w:ilvl w:val="0"/>
                <w:numId w:val="89"/>
              </w:numPr>
              <w:spacing w:before="0" w:after="0"/>
              <w:contextualSpacing/>
              <w:rPr>
                <w:rFonts w:cs="Times New Roman"/>
                <w:sz w:val="20"/>
                <w:szCs w:val="20"/>
              </w:rPr>
            </w:pPr>
            <w:r w:rsidRPr="00B945D7">
              <w:rPr>
                <w:rFonts w:cs="Times New Roman"/>
                <w:sz w:val="20"/>
                <w:szCs w:val="20"/>
              </w:rPr>
              <w:t>Inexpensive and high throughput</w:t>
            </w:r>
            <w:r w:rsidR="006F7FD7">
              <w:rPr>
                <w:rFonts w:cs="Times New Roman"/>
                <w:sz w:val="20"/>
                <w:szCs w:val="20"/>
              </w:rPr>
              <w:fldChar w:fldCharType="begin"/>
            </w:r>
            <w:r w:rsidR="004D5B2B">
              <w:rPr>
                <w:rFonts w:cs="Times New Roman"/>
                <w:sz w:val="20"/>
                <w:szCs w:val="20"/>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167</w:t>
            </w:r>
            <w:r w:rsidR="006F7FD7">
              <w:rPr>
                <w:rFonts w:cs="Times New Roman"/>
                <w:sz w:val="20"/>
                <w:szCs w:val="20"/>
              </w:rPr>
              <w:fldChar w:fldCharType="end"/>
            </w:r>
          </w:p>
        </w:tc>
        <w:tc>
          <w:tcPr>
            <w:tcW w:w="1572" w:type="pct"/>
          </w:tcPr>
          <w:p w14:paraId="3759512A" w14:textId="762A52D6"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Diagnostic accuracy can be highly variable depending upon target biomarker</w:t>
            </w:r>
            <w:r w:rsidR="003901C8">
              <w:rPr>
                <w:rFonts w:cs="Times New Roman"/>
                <w:sz w:val="20"/>
                <w:szCs w:val="20"/>
              </w:rPr>
              <w:t>.</w:t>
            </w:r>
            <w:r w:rsidR="006F7FD7">
              <w:rPr>
                <w:rFonts w:cs="Times New Roman"/>
                <w:sz w:val="20"/>
                <w:szCs w:val="20"/>
              </w:rPr>
              <w:fldChar w:fldCharType="begin">
                <w:fldData xml:space="preserve">PEVuZE5vdGU+PENpdGU+PEF1dGhvcj5QZW5hdWx0LUxsb3JjYTwvQXV0aG9yPjxZZWFyPjIwMTk8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</w:fldData>
              </w:fldChar>
            </w:r>
            <w:r w:rsidR="00054FE8">
              <w:rPr>
                <w:rFonts w:cs="Times New Roman"/>
                <w:sz w:val="20"/>
                <w:szCs w:val="20"/>
              </w:rPr>
              <w:instrText xml:space="preserve"> ADDIN EN.CITE </w:instrText>
            </w:r>
            <w:r w:rsidR="00054FE8">
              <w:rPr>
                <w:rFonts w:cs="Times New Roman"/>
                <w:sz w:val="20"/>
                <w:szCs w:val="20"/>
              </w:rPr>
              <w:fldChar w:fldCharType="begin">
                <w:fldData xml:space="preserve">PEVuZE5vdGU+PENpdGU+PEF1dGhvcj5QZW5hdWx0LUxsb3JjYTwvQXV0aG9yPjxZZWFyPjIwMTk8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</w:fldData>
              </w:fldChar>
            </w:r>
            <w:r w:rsidR="00054FE8">
              <w:rPr>
                <w:rFonts w:cs="Times New Roman"/>
                <w:sz w:val="20"/>
                <w:szCs w:val="20"/>
              </w:rPr>
              <w:instrText xml:space="preserve"> ADDIN EN.CITE.DATA </w:instrText>
            </w:r>
            <w:r w:rsidR="00054FE8">
              <w:rPr>
                <w:rFonts w:cs="Times New Roman"/>
                <w:sz w:val="20"/>
                <w:szCs w:val="20"/>
              </w:rPr>
            </w:r>
            <w:r w:rsidR="00054FE8">
              <w:rPr>
                <w:rFonts w:cs="Times New Roman"/>
                <w:sz w:val="20"/>
                <w:szCs w:val="20"/>
              </w:rPr>
              <w:fldChar w:fldCharType="end"/>
            </w:r>
            <w:r w:rsidR="006F7FD7">
              <w:rPr>
                <w:rFonts w:cs="Times New Roman"/>
                <w:sz w:val="20"/>
                <w:szCs w:val="20"/>
              </w:rPr>
            </w:r>
            <w:r w:rsidR="006F7FD7">
              <w:rPr>
                <w:rFonts w:cs="Times New Roman"/>
                <w:sz w:val="20"/>
                <w:szCs w:val="20"/>
              </w:rPr>
              <w:fldChar w:fldCharType="separate"/>
            </w:r>
            <w:r w:rsidR="004D5B2B" w:rsidRPr="004D5B2B">
              <w:rPr>
                <w:rFonts w:cs="Times New Roman"/>
                <w:noProof/>
                <w:sz w:val="20"/>
                <w:szCs w:val="20"/>
                <w:vertAlign w:val="superscript"/>
              </w:rPr>
              <w:t>168</w:t>
            </w:r>
            <w:r w:rsidR="006F7FD7">
              <w:rPr>
                <w:rFonts w:cs="Times New Roman"/>
                <w:sz w:val="20"/>
                <w:szCs w:val="20"/>
              </w:rPr>
              <w:fldChar w:fldCharType="end"/>
            </w:r>
            <w:r w:rsidRPr="00B945D7">
              <w:rPr>
                <w:rFonts w:cs="Times New Roman"/>
                <w:sz w:val="20"/>
                <w:szCs w:val="20"/>
              </w:rPr>
              <w:t xml:space="preserve"> </w:t>
            </w:r>
          </w:p>
          <w:p w14:paraId="788B916B" w14:textId="58978B10"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If a protein is naturally produced within a cell, IHC cannot differentiate this and the oncogenic, dysfunctional protein.</w:t>
            </w:r>
            <w:r w:rsidR="006F7FD7">
              <w:rPr>
                <w:rFonts w:cs="Times New Roman"/>
                <w:sz w:val="20"/>
                <w:szCs w:val="20"/>
              </w:rPr>
              <w:fldChar w:fldCharType="begin"/>
            </w:r>
            <w:r w:rsidR="004D5B2B">
              <w:rPr>
                <w:rFonts w:cs="Times New Roman"/>
                <w:sz w:val="20"/>
                <w:szCs w:val="20"/>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167</w:t>
            </w:r>
            <w:r w:rsidR="006F7FD7">
              <w:rPr>
                <w:rFonts w:cs="Times New Roman"/>
                <w:sz w:val="20"/>
                <w:szCs w:val="20"/>
              </w:rPr>
              <w:fldChar w:fldCharType="end"/>
            </w:r>
          </w:p>
          <w:p w14:paraId="1D56BBEC" w14:textId="77777777"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 xml:space="preserve">Assays are specific to each individual biomarker so multiple tests would be required to identify multiple mutations. </w:t>
            </w:r>
          </w:p>
        </w:tc>
      </w:tr>
      <w:tr w:rsidR="00D765F4" w:rsidRPr="00B945D7" w14:paraId="72986A1E" w14:textId="77777777" w:rsidTr="00B0116C">
        <w:trPr>
          <w:trHeight w:val="138"/>
        </w:trPr>
        <w:tc>
          <w:tcPr>
            <w:tcW w:w="514" w:type="pct"/>
          </w:tcPr>
          <w:p w14:paraId="33F9AC23" w14:textId="77777777" w:rsidR="00D765F4" w:rsidRPr="00B945D7" w:rsidRDefault="00D765F4" w:rsidP="00BC1BD3">
            <w:pPr>
              <w:contextualSpacing/>
              <w:rPr>
                <w:rFonts w:cs="Times New Roman"/>
                <w:b/>
                <w:sz w:val="20"/>
                <w:szCs w:val="20"/>
              </w:rPr>
            </w:pPr>
            <w:r w:rsidRPr="00B945D7">
              <w:rPr>
                <w:rFonts w:cs="Times New Roman"/>
                <w:b/>
                <w:sz w:val="20"/>
                <w:szCs w:val="20"/>
              </w:rPr>
              <w:t xml:space="preserve">FISH </w:t>
            </w:r>
          </w:p>
        </w:tc>
        <w:tc>
          <w:tcPr>
            <w:tcW w:w="1321" w:type="pct"/>
          </w:tcPr>
          <w:p w14:paraId="0C4D7BAE" w14:textId="2AD60C00" w:rsidR="00D765F4" w:rsidRPr="00B945D7" w:rsidRDefault="00D765F4" w:rsidP="004D5B2B">
            <w:pPr>
              <w:contextualSpacing/>
              <w:rPr>
                <w:rFonts w:cs="Times New Roman"/>
                <w:b/>
                <w:sz w:val="20"/>
                <w:szCs w:val="20"/>
              </w:rPr>
            </w:pPr>
            <w:r w:rsidRPr="00B945D7">
              <w:rPr>
                <w:rFonts w:cs="Times New Roman"/>
                <w:sz w:val="20"/>
                <w:szCs w:val="20"/>
              </w:rPr>
              <w:t>Uses a probe on a sequence of DNA that complements a particular genetic alteration</w:t>
            </w:r>
            <w:r w:rsidR="003901C8">
              <w:rPr>
                <w:rFonts w:cs="Times New Roman"/>
                <w:sz w:val="20"/>
                <w:szCs w:val="20"/>
              </w:rPr>
              <w:t>.</w:t>
            </w:r>
            <w:r w:rsidR="006F7FD7">
              <w:rPr>
                <w:rFonts w:cs="Times New Roman"/>
                <w:sz w:val="20"/>
                <w:szCs w:val="20"/>
              </w:rPr>
              <w:fldChar w:fldCharType="begin"/>
            </w:r>
            <w:r w:rsidR="004D5B2B">
              <w:rPr>
                <w:rFonts w:cs="Times New Roman"/>
                <w:sz w:val="20"/>
                <w:szCs w:val="20"/>
              </w:rPr>
              <w:instrText xml:space="preserve"> ADDIN EN.CITE &lt;EndNote&gt;&lt;Cite&gt;&lt;Author&gt;Wright&lt;/Author&gt;&lt;Year&gt;2015&lt;/Year&gt;&lt;RecNum&gt;30&lt;/RecNum&gt;&lt;DisplayText&gt;&lt;style face="superscript"&gt;169&lt;/style&gt;&lt;/DisplayText&gt;&lt;record&gt;&lt;rec-number&gt;30&lt;/rec-number&gt;&lt;foreign-keys&gt;&lt;key app="EN" db-id="pz0rrdex3zsv21etatn5ww0i0509tzrzexxd" timestamp="1580649515"&gt;30&lt;/key&gt;&lt;/foreign-keys&gt;&lt;ref-type name="Book Section"&gt;5&lt;/ref-type&gt;&lt;contributors&gt;&lt;authors&gt;&lt;author&gt;Wright, C&lt;/author&gt;&lt;/authors&gt;&lt;secondary-authors&gt;&lt;author&gt;Gray, S&lt;/author&gt;&lt;/secondary-authors&gt;&lt;/contributors&gt;&lt;titles&gt;&lt;title&gt;Long Noncoding RNAs and Cancer&lt;/title&gt;&lt;secondary-title&gt;Epigenetic Cancer Therapy&lt;/secondary-title&gt;&lt;/titles&gt;&lt;pages&gt;91-114&lt;/pages&gt;&lt;section&gt;5&lt;/section&gt;&lt;dates&gt;&lt;year&gt;2015&lt;/year&gt;&lt;/dates&gt;&lt;publisher&gt;Acadmic Press&lt;/publisher&gt;&lt;urls&gt;&lt;/urls&gt;&lt;/record&gt;&lt;/Cite&gt;&lt;/EndNote&gt;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169</w:t>
            </w:r>
            <w:r w:rsidR="006F7FD7">
              <w:rPr>
                <w:rFonts w:cs="Times New Roman"/>
                <w:sz w:val="20"/>
                <w:szCs w:val="20"/>
              </w:rPr>
              <w:fldChar w:fldCharType="end"/>
            </w:r>
            <w:r w:rsidRPr="00B945D7">
              <w:rPr>
                <w:rFonts w:cs="Times New Roman"/>
                <w:sz w:val="20"/>
                <w:szCs w:val="20"/>
              </w:rPr>
              <w:t xml:space="preserve"> Each probe is labelled with a fluorescent marker, which when illuminated, will indicate the presence of the mutation.</w:t>
            </w:r>
          </w:p>
        </w:tc>
        <w:tc>
          <w:tcPr>
            <w:tcW w:w="1593" w:type="pct"/>
          </w:tcPr>
          <w:p w14:paraId="138E8832" w14:textId="148DEB15"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Inexpensive</w:t>
            </w:r>
            <w:r w:rsidR="006F7FD7">
              <w:rPr>
                <w:rFonts w:cs="Times New Roman"/>
                <w:sz w:val="20"/>
                <w:szCs w:val="20"/>
              </w:rPr>
              <w:fldChar w:fldCharType="begin"/>
            </w:r>
            <w:r w:rsidR="004D5B2B">
              <w:rPr>
                <w:rFonts w:cs="Times New Roman"/>
                <w:sz w:val="20"/>
                <w:szCs w:val="20"/>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167</w:t>
            </w:r>
            <w:r w:rsidR="006F7FD7">
              <w:rPr>
                <w:rFonts w:cs="Times New Roman"/>
                <w:sz w:val="20"/>
                <w:szCs w:val="20"/>
              </w:rPr>
              <w:fldChar w:fldCharType="end"/>
            </w:r>
          </w:p>
          <w:p w14:paraId="5E0BB2AA" w14:textId="59DD288A" w:rsidR="00D765F4" w:rsidRPr="00B945D7" w:rsidRDefault="00D765F4" w:rsidP="004D5B2B">
            <w:pPr>
              <w:numPr>
                <w:ilvl w:val="0"/>
                <w:numId w:val="89"/>
              </w:numPr>
              <w:spacing w:before="0" w:after="0"/>
              <w:contextualSpacing/>
              <w:rPr>
                <w:rFonts w:cs="Times New Roman"/>
                <w:sz w:val="20"/>
                <w:szCs w:val="20"/>
              </w:rPr>
            </w:pPr>
            <w:r w:rsidRPr="00B945D7">
              <w:rPr>
                <w:rFonts w:cs="Times New Roman"/>
                <w:sz w:val="20"/>
                <w:szCs w:val="20"/>
              </w:rPr>
              <w:t>Relatively high sensitivity and specificity</w:t>
            </w:r>
            <w:r w:rsidR="006F7FD7">
              <w:rPr>
                <w:rFonts w:cs="Times New Roman"/>
                <w:sz w:val="20"/>
                <w:szCs w:val="20"/>
              </w:rPr>
              <w:fldChar w:fldCharType="begin"/>
            </w:r>
            <w:r w:rsidR="004D5B2B">
              <w:rPr>
                <w:rFonts w:cs="Times New Roman"/>
                <w:sz w:val="20"/>
                <w:szCs w:val="20"/>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167</w:t>
            </w:r>
            <w:r w:rsidR="006F7FD7">
              <w:rPr>
                <w:rFonts w:cs="Times New Roman"/>
                <w:sz w:val="20"/>
                <w:szCs w:val="20"/>
              </w:rPr>
              <w:fldChar w:fldCharType="end"/>
            </w:r>
            <w:r w:rsidRPr="00B945D7">
              <w:rPr>
                <w:rFonts w:cs="Times New Roman"/>
                <w:sz w:val="20"/>
                <w:szCs w:val="20"/>
              </w:rPr>
              <w:t xml:space="preserve"> </w:t>
            </w:r>
          </w:p>
        </w:tc>
        <w:tc>
          <w:tcPr>
            <w:tcW w:w="1572" w:type="pct"/>
          </w:tcPr>
          <w:p w14:paraId="01D20F0F" w14:textId="0218B865" w:rsidR="00D765F4" w:rsidRPr="00B945D7" w:rsidRDefault="00D765F4" w:rsidP="004D5B2B">
            <w:pPr>
              <w:numPr>
                <w:ilvl w:val="0"/>
                <w:numId w:val="91"/>
              </w:numPr>
              <w:spacing w:before="0" w:after="0"/>
              <w:contextualSpacing/>
              <w:rPr>
                <w:rFonts w:cs="Times New Roman"/>
                <w:b/>
                <w:sz w:val="20"/>
                <w:szCs w:val="20"/>
              </w:rPr>
            </w:pPr>
            <w:r w:rsidRPr="00B945D7">
              <w:rPr>
                <w:rFonts w:cs="Times New Roman"/>
                <w:sz w:val="20"/>
                <w:szCs w:val="20"/>
              </w:rPr>
              <w:t>As the probes are often specific to each mutation, identifying novel mutation or multiple targets using conventional FISH is more challenging</w:t>
            </w:r>
            <w:r w:rsidR="003901C8">
              <w:rPr>
                <w:rFonts w:cs="Times New Roman"/>
                <w:sz w:val="20"/>
                <w:szCs w:val="20"/>
              </w:rPr>
              <w:t>.</w:t>
            </w:r>
            <w:r w:rsidR="006F7FD7">
              <w:rPr>
                <w:rFonts w:cs="Times New Roman"/>
                <w:sz w:val="20"/>
                <w:szCs w:val="20"/>
              </w:rPr>
              <w:fldChar w:fldCharType="begin"/>
            </w:r>
            <w:r w:rsidR="004D5B2B">
              <w:rPr>
                <w:rFonts w:cs="Times New Roman"/>
                <w:sz w:val="20"/>
                <w:szCs w:val="20"/>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167</w:t>
            </w:r>
            <w:r w:rsidR="006F7FD7">
              <w:rPr>
                <w:rFonts w:cs="Times New Roman"/>
                <w:sz w:val="20"/>
                <w:szCs w:val="20"/>
              </w:rPr>
              <w:fldChar w:fldCharType="end"/>
            </w:r>
            <w:r w:rsidRPr="00B945D7">
              <w:rPr>
                <w:rFonts w:cs="Times New Roman"/>
                <w:sz w:val="20"/>
                <w:szCs w:val="20"/>
              </w:rPr>
              <w:t xml:space="preserve">  </w:t>
            </w:r>
          </w:p>
        </w:tc>
      </w:tr>
      <w:tr w:rsidR="00D765F4" w:rsidRPr="00B945D7" w14:paraId="2821699E" w14:textId="77777777" w:rsidTr="00B0116C">
        <w:trPr>
          <w:trHeight w:val="138"/>
        </w:trPr>
        <w:tc>
          <w:tcPr>
            <w:tcW w:w="514" w:type="pct"/>
          </w:tcPr>
          <w:p w14:paraId="5C2BFF87" w14:textId="77777777" w:rsidR="00D765F4" w:rsidRPr="00B945D7" w:rsidRDefault="00D765F4" w:rsidP="00BC1BD3">
            <w:pPr>
              <w:contextualSpacing/>
              <w:rPr>
                <w:rFonts w:cs="Times New Roman"/>
                <w:b/>
                <w:sz w:val="20"/>
                <w:szCs w:val="20"/>
              </w:rPr>
            </w:pPr>
            <w:r w:rsidRPr="00B945D7">
              <w:rPr>
                <w:rFonts w:cs="Times New Roman"/>
                <w:b/>
                <w:sz w:val="20"/>
                <w:szCs w:val="20"/>
              </w:rPr>
              <w:lastRenderedPageBreak/>
              <w:t>RT-PCR</w:t>
            </w:r>
          </w:p>
        </w:tc>
        <w:tc>
          <w:tcPr>
            <w:tcW w:w="1321" w:type="pct"/>
          </w:tcPr>
          <w:p w14:paraId="1EF6CDEA" w14:textId="7E48C373" w:rsidR="00D765F4" w:rsidRPr="00B945D7" w:rsidRDefault="00D765F4" w:rsidP="004D5B2B">
            <w:pPr>
              <w:contextualSpacing/>
              <w:rPr>
                <w:rFonts w:cs="Times New Roman"/>
                <w:sz w:val="20"/>
                <w:szCs w:val="20"/>
              </w:rPr>
            </w:pPr>
            <w:r w:rsidRPr="00B945D7">
              <w:rPr>
                <w:rFonts w:cs="Times New Roman"/>
                <w:sz w:val="20"/>
                <w:szCs w:val="20"/>
              </w:rPr>
              <w:t>Uses a probe on a sequence of RNA that complements a particular genetic alteration</w:t>
            </w:r>
            <w:r w:rsidR="003901C8">
              <w:rPr>
                <w:rFonts w:cs="Times New Roman"/>
                <w:sz w:val="20"/>
                <w:szCs w:val="20"/>
              </w:rPr>
              <w:t>.</w:t>
            </w:r>
            <w:r w:rsidR="006F7FD7">
              <w:rPr>
                <w:rFonts w:cs="Times New Roman"/>
                <w:sz w:val="20"/>
                <w:szCs w:val="20"/>
              </w:rPr>
              <w:fldChar w:fldCharType="begin"/>
            </w:r>
            <w:r w:rsidR="004D5B2B">
              <w:rPr>
                <w:rFonts w:cs="Times New Roman"/>
                <w:sz w:val="20"/>
                <w:szCs w:val="20"/>
              </w:rPr>
              <w:instrText xml:space="preserve"> ADDIN EN.CITE &lt;EndNote&gt;&lt;Cite&gt;&lt;Author&gt;Wright&lt;/Author&gt;&lt;Year&gt;2015&lt;/Year&gt;&lt;RecNum&gt;30&lt;/RecNum&gt;&lt;DisplayText&gt;&lt;style face="superscript"&gt;169&lt;/style&gt;&lt;/DisplayText&gt;&lt;record&gt;&lt;rec-number&gt;30&lt;/rec-number&gt;&lt;foreign-keys&gt;&lt;key app="EN" db-id="pz0rrdex3zsv21etatn5ww0i0509tzrzexxd" timestamp="1580649515"&gt;30&lt;/key&gt;&lt;/foreign-keys&gt;&lt;ref-type name="Book Section"&gt;5&lt;/ref-type&gt;&lt;contributors&gt;&lt;authors&gt;&lt;author&gt;Wright, C&lt;/author&gt;&lt;/authors&gt;&lt;secondary-authors&gt;&lt;author&gt;Gray, S&lt;/author&gt;&lt;/secondary-authors&gt;&lt;/contributors&gt;&lt;titles&gt;&lt;title&gt;Long Noncoding RNAs and Cancer&lt;/title&gt;&lt;secondary-title&gt;Epigenetic Cancer Therapy&lt;/secondary-title&gt;&lt;/titles&gt;&lt;pages&gt;91-114&lt;/pages&gt;&lt;section&gt;5&lt;/section&gt;&lt;dates&gt;&lt;year&gt;2015&lt;/year&gt;&lt;/dates&gt;&lt;publisher&gt;Acadmic Press&lt;/publisher&gt;&lt;urls&gt;&lt;/urls&gt;&lt;/record&gt;&lt;/Cite&gt;&lt;/EndNote&gt;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169</w:t>
            </w:r>
            <w:r w:rsidR="006F7FD7">
              <w:rPr>
                <w:rFonts w:cs="Times New Roman"/>
                <w:sz w:val="20"/>
                <w:szCs w:val="20"/>
              </w:rPr>
              <w:fldChar w:fldCharType="end"/>
            </w:r>
            <w:r w:rsidRPr="00B945D7">
              <w:rPr>
                <w:rFonts w:cs="Times New Roman"/>
                <w:sz w:val="20"/>
                <w:szCs w:val="20"/>
              </w:rPr>
              <w:t xml:space="preserve"> Each probe is labelled with a fluorescent marker, which when illuminated, will indicate the presence of the mutation.</w:t>
            </w:r>
          </w:p>
        </w:tc>
        <w:tc>
          <w:tcPr>
            <w:tcW w:w="1593" w:type="pct"/>
          </w:tcPr>
          <w:p w14:paraId="7D4644C0" w14:textId="588628DB"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Inexpensive</w:t>
            </w:r>
            <w:r w:rsidR="006F7FD7">
              <w:rPr>
                <w:rFonts w:cs="Times New Roman"/>
                <w:sz w:val="20"/>
                <w:szCs w:val="20"/>
              </w:rPr>
              <w:fldChar w:fldCharType="begin">
                <w:fldData xml:space="preserve">PEVuZE5vdGU+PENpdGU+PEF1dGhvcj5QZW5hdWx0LUxsb3JjYTwvQXV0aG9yPjxZZWFyPjIwMTk8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</w:fldData>
              </w:fldChar>
            </w:r>
            <w:r w:rsidR="00054FE8">
              <w:rPr>
                <w:rFonts w:cs="Times New Roman"/>
                <w:sz w:val="20"/>
                <w:szCs w:val="20"/>
              </w:rPr>
              <w:instrText xml:space="preserve"> ADDIN EN.CITE </w:instrText>
            </w:r>
            <w:r w:rsidR="00054FE8">
              <w:rPr>
                <w:rFonts w:cs="Times New Roman"/>
                <w:sz w:val="20"/>
                <w:szCs w:val="20"/>
              </w:rPr>
              <w:fldChar w:fldCharType="begin">
                <w:fldData xml:space="preserve">PEVuZE5vdGU+PENpdGU+PEF1dGhvcj5QZW5hdWx0LUxsb3JjYTwvQXV0aG9yPjxZZWFyPjIwMTk8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</w:fldData>
              </w:fldChar>
            </w:r>
            <w:r w:rsidR="00054FE8">
              <w:rPr>
                <w:rFonts w:cs="Times New Roman"/>
                <w:sz w:val="20"/>
                <w:szCs w:val="20"/>
              </w:rPr>
              <w:instrText xml:space="preserve"> ADDIN EN.CITE.DATA </w:instrText>
            </w:r>
            <w:r w:rsidR="00054FE8">
              <w:rPr>
                <w:rFonts w:cs="Times New Roman"/>
                <w:sz w:val="20"/>
                <w:szCs w:val="20"/>
              </w:rPr>
            </w:r>
            <w:r w:rsidR="00054FE8">
              <w:rPr>
                <w:rFonts w:cs="Times New Roman"/>
                <w:sz w:val="20"/>
                <w:szCs w:val="20"/>
              </w:rPr>
              <w:fldChar w:fldCharType="end"/>
            </w:r>
            <w:r w:rsidR="006F7FD7">
              <w:rPr>
                <w:rFonts w:cs="Times New Roman"/>
                <w:sz w:val="20"/>
                <w:szCs w:val="20"/>
              </w:rPr>
            </w:r>
            <w:r w:rsidR="006F7FD7">
              <w:rPr>
                <w:rFonts w:cs="Times New Roman"/>
                <w:sz w:val="20"/>
                <w:szCs w:val="20"/>
              </w:rPr>
              <w:fldChar w:fldCharType="separate"/>
            </w:r>
            <w:r w:rsidR="004D5B2B" w:rsidRPr="004D5B2B">
              <w:rPr>
                <w:rFonts w:cs="Times New Roman"/>
                <w:noProof/>
                <w:sz w:val="20"/>
                <w:szCs w:val="20"/>
                <w:vertAlign w:val="superscript"/>
              </w:rPr>
              <w:t>168</w:t>
            </w:r>
            <w:r w:rsidR="006F7FD7">
              <w:rPr>
                <w:rFonts w:cs="Times New Roman"/>
                <w:sz w:val="20"/>
                <w:szCs w:val="20"/>
              </w:rPr>
              <w:fldChar w:fldCharType="end"/>
            </w:r>
          </w:p>
          <w:p w14:paraId="0BC8632D" w14:textId="4A77E1DE" w:rsidR="00D765F4" w:rsidRPr="00B945D7" w:rsidRDefault="00D765F4" w:rsidP="004D5B2B">
            <w:pPr>
              <w:numPr>
                <w:ilvl w:val="0"/>
                <w:numId w:val="89"/>
              </w:numPr>
              <w:spacing w:before="0" w:after="0"/>
              <w:contextualSpacing/>
              <w:rPr>
                <w:rFonts w:cs="Times New Roman"/>
                <w:sz w:val="20"/>
                <w:szCs w:val="20"/>
              </w:rPr>
            </w:pPr>
            <w:r w:rsidRPr="00B945D7">
              <w:rPr>
                <w:rFonts w:cs="Times New Roman"/>
                <w:sz w:val="20"/>
                <w:szCs w:val="20"/>
              </w:rPr>
              <w:t>Currently used to detect mutations including gene-fusions</w:t>
            </w:r>
            <w:r w:rsidR="006F7FD7">
              <w:rPr>
                <w:rFonts w:cs="Times New Roman"/>
                <w:sz w:val="20"/>
                <w:szCs w:val="20"/>
              </w:rPr>
              <w:fldChar w:fldCharType="begin"/>
            </w:r>
            <w:r w:rsidR="004D5B2B">
              <w:rPr>
                <w:rFonts w:cs="Times New Roman"/>
                <w:sz w:val="20"/>
                <w:szCs w:val="20"/>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167</w:t>
            </w:r>
            <w:r w:rsidR="006F7FD7">
              <w:rPr>
                <w:rFonts w:cs="Times New Roman"/>
                <w:sz w:val="20"/>
                <w:szCs w:val="20"/>
              </w:rPr>
              <w:fldChar w:fldCharType="end"/>
            </w:r>
          </w:p>
        </w:tc>
        <w:tc>
          <w:tcPr>
            <w:tcW w:w="1572" w:type="pct"/>
          </w:tcPr>
          <w:p w14:paraId="21917EB4" w14:textId="2B711BA4"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Knowledge of the mutation and target sequence is required.</w:t>
            </w:r>
            <w:r w:rsidR="006F7FD7">
              <w:rPr>
                <w:rFonts w:cs="Times New Roman"/>
                <w:sz w:val="20"/>
                <w:szCs w:val="20"/>
              </w:rPr>
              <w:fldChar w:fldCharType="begin">
                <w:fldData xml:space="preserve">PEVuZE5vdGU+PENpdGU+PEF1dGhvcj5QZW5hdWx0LUxsb3JjYTwvQXV0aG9yPjxZZWFyPjIwMTk8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</w:fldData>
              </w:fldChar>
            </w:r>
            <w:r w:rsidR="00054FE8">
              <w:rPr>
                <w:rFonts w:cs="Times New Roman"/>
                <w:sz w:val="20"/>
                <w:szCs w:val="20"/>
              </w:rPr>
              <w:instrText xml:space="preserve"> ADDIN EN.CITE </w:instrText>
            </w:r>
            <w:r w:rsidR="00054FE8">
              <w:rPr>
                <w:rFonts w:cs="Times New Roman"/>
                <w:sz w:val="20"/>
                <w:szCs w:val="20"/>
              </w:rPr>
              <w:fldChar w:fldCharType="begin">
                <w:fldData xml:space="preserve">PEVuZE5vdGU+PENpdGU+PEF1dGhvcj5QZW5hdWx0LUxsb3JjYTwvQXV0aG9yPjxZZWFyPjIwMTk8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</w:fldData>
              </w:fldChar>
            </w:r>
            <w:r w:rsidR="00054FE8">
              <w:rPr>
                <w:rFonts w:cs="Times New Roman"/>
                <w:sz w:val="20"/>
                <w:szCs w:val="20"/>
              </w:rPr>
              <w:instrText xml:space="preserve"> ADDIN EN.CITE.DATA </w:instrText>
            </w:r>
            <w:r w:rsidR="00054FE8">
              <w:rPr>
                <w:rFonts w:cs="Times New Roman"/>
                <w:sz w:val="20"/>
                <w:szCs w:val="20"/>
              </w:rPr>
            </w:r>
            <w:r w:rsidR="00054FE8">
              <w:rPr>
                <w:rFonts w:cs="Times New Roman"/>
                <w:sz w:val="20"/>
                <w:szCs w:val="20"/>
              </w:rPr>
              <w:fldChar w:fldCharType="end"/>
            </w:r>
            <w:r w:rsidR="006F7FD7">
              <w:rPr>
                <w:rFonts w:cs="Times New Roman"/>
                <w:sz w:val="20"/>
                <w:szCs w:val="20"/>
              </w:rPr>
            </w:r>
            <w:r w:rsidR="006F7FD7">
              <w:rPr>
                <w:rFonts w:cs="Times New Roman"/>
                <w:sz w:val="20"/>
                <w:szCs w:val="20"/>
              </w:rPr>
              <w:fldChar w:fldCharType="separate"/>
            </w:r>
            <w:r w:rsidR="004D5B2B" w:rsidRPr="004D5B2B">
              <w:rPr>
                <w:rFonts w:cs="Times New Roman"/>
                <w:noProof/>
                <w:sz w:val="20"/>
                <w:szCs w:val="20"/>
                <w:vertAlign w:val="superscript"/>
              </w:rPr>
              <w:t>168</w:t>
            </w:r>
            <w:r w:rsidR="006F7FD7">
              <w:rPr>
                <w:rFonts w:cs="Times New Roman"/>
                <w:sz w:val="20"/>
                <w:szCs w:val="20"/>
              </w:rPr>
              <w:fldChar w:fldCharType="end"/>
            </w:r>
          </w:p>
          <w:p w14:paraId="65B6928F" w14:textId="77777777" w:rsidR="00D765F4" w:rsidRPr="00B945D7" w:rsidRDefault="00D765F4" w:rsidP="009A66EC">
            <w:pPr>
              <w:numPr>
                <w:ilvl w:val="0"/>
                <w:numId w:val="89"/>
              </w:numPr>
              <w:spacing w:before="0" w:after="0"/>
              <w:contextualSpacing/>
              <w:rPr>
                <w:rFonts w:cs="Times New Roman"/>
                <w:sz w:val="20"/>
                <w:szCs w:val="20"/>
              </w:rPr>
            </w:pPr>
            <w:r w:rsidRPr="00B945D7">
              <w:rPr>
                <w:rFonts w:cs="Times New Roman"/>
                <w:sz w:val="20"/>
                <w:szCs w:val="20"/>
              </w:rPr>
              <w:t xml:space="preserve">High quality RNA is required. </w:t>
            </w:r>
          </w:p>
        </w:tc>
      </w:tr>
    </w:tbl>
    <w:p w14:paraId="24DD9AEE" w14:textId="020EA7DD" w:rsidR="00D765F4" w:rsidRDefault="00D765F4" w:rsidP="00BC1BD3"/>
    <w:p w14:paraId="074A8B27" w14:textId="6A489E97" w:rsidR="00BC1BD3" w:rsidRDefault="00BC1BD3" w:rsidP="00BC1BD3"/>
    <w:p w14:paraId="7EF8E509" w14:textId="77777777" w:rsidR="00BC1BD3" w:rsidRPr="002D1DD7" w:rsidRDefault="00BC1BD3" w:rsidP="00BC1BD3">
      <w:pPr>
        <w:sectPr w:rsidR="00BC1BD3" w:rsidRPr="002D1DD7" w:rsidSect="00817B20">
          <w:pgSz w:w="16838" w:h="11906" w:orient="landscape"/>
          <w:pgMar w:top="1440" w:right="1440" w:bottom="1440" w:left="1440" w:header="709" w:footer="709" w:gutter="0"/>
          <w:cols w:space="708"/>
          <w:docGrid w:linePitch="360"/>
        </w:sectPr>
      </w:pPr>
    </w:p>
    <w:p w14:paraId="648D6FB4" w14:textId="367DC166" w:rsidR="00D765F4" w:rsidRPr="002D1DD7" w:rsidRDefault="00D765F4" w:rsidP="00D765F4">
      <w:pPr>
        <w:pStyle w:val="Heading3"/>
      </w:pPr>
      <w:bookmarkStart w:id="193" w:name="_Toc33776217"/>
      <w:r w:rsidRPr="002D1DD7">
        <w:lastRenderedPageBreak/>
        <w:t xml:space="preserve">Implications of testing for appraisal of </w:t>
      </w:r>
      <w:r w:rsidR="00555827">
        <w:t>histology-independent</w:t>
      </w:r>
      <w:r w:rsidRPr="002D1DD7">
        <w:t xml:space="preserve"> technologies</w:t>
      </w:r>
      <w:bookmarkEnd w:id="193"/>
    </w:p>
    <w:p w14:paraId="21034507" w14:textId="3C14A85C" w:rsidR="00D765F4" w:rsidRPr="002D1DD7" w:rsidRDefault="00D765F4" w:rsidP="00BC1BD3">
      <w:r w:rsidRPr="002D1DD7">
        <w:t xml:space="preserve">The need for companion diagnostic testing to implement </w:t>
      </w:r>
      <w:r w:rsidR="00555827">
        <w:t>histology-independent</w:t>
      </w:r>
      <w:r w:rsidRPr="002D1DD7">
        <w:t xml:space="preserve"> technologies has several consequences for cost-effectiveness. These considerations include resource implications associated with implementing testing, the impact of alternative testing strategies on the modelled population, as well as broader implications regarding the feasibility of expanding testing services. These issues are briefly discussed in turn below and followed by a worked example considering the implementatio</w:t>
      </w:r>
      <w:r w:rsidR="00B945D7">
        <w:t xml:space="preserve">n of testing for NTRK fusions. </w:t>
      </w:r>
    </w:p>
    <w:p w14:paraId="157BE1F5" w14:textId="77777777" w:rsidR="00D765F4" w:rsidRPr="002D1DD7" w:rsidRDefault="00D765F4" w:rsidP="00D765F4">
      <w:pPr>
        <w:pStyle w:val="Heading4"/>
      </w:pPr>
      <w:bookmarkStart w:id="194" w:name="_Toc33776218"/>
      <w:r w:rsidRPr="002D1DD7">
        <w:t>Costs</w:t>
      </w:r>
      <w:bookmarkEnd w:id="194"/>
    </w:p>
    <w:p w14:paraId="0340D618" w14:textId="3D8A0464" w:rsidR="00D765F4" w:rsidRPr="002D1DD7" w:rsidRDefault="00D765F4" w:rsidP="00BC1BD3">
      <w:r w:rsidRPr="002D1DD7">
        <w:t>The costs associated with identifying patients will be driven by a range of factors including the testing strategy adopted and current provision of testing in the NHS. Because these may vary across tumour types, incremental testing costs may also vary across tumour types. Variability in testing costs across tumour types will also be determined by variability in the frequency of a genetic mutation across specific tumour types, with increased rarity increasing the costs of identifying an eligible patient. As is illustrated in the worked example of NTRK fusions below, variability in the frequency of target genetic alterations can be significant</w:t>
      </w:r>
      <w:r w:rsidR="005D04D4">
        <w:t>,</w:t>
      </w:r>
      <w:r w:rsidRPr="002D1DD7">
        <w:t xml:space="preserve"> ranging from &lt;0.2% to &gt;90%. This has a significant impact on the number of patients that need to be screened (NNS) and as a consequence</w:t>
      </w:r>
      <w:r w:rsidR="009508E1">
        <w:t>,</w:t>
      </w:r>
      <w:r w:rsidRPr="002D1DD7">
        <w:t xml:space="preserve"> the</w:t>
      </w:r>
      <w:r w:rsidR="005D04D4">
        <w:t xml:space="preserve"> variability in the</w:t>
      </w:r>
      <w:r w:rsidRPr="002D1DD7">
        <w:t xml:space="preserve"> tumour type specific costs of identifying patients is similarly wide. Testing costs are a significant source of heterogeneity and</w:t>
      </w:r>
      <w:r w:rsidR="009508E1">
        <w:t>,</w:t>
      </w:r>
      <w:r w:rsidRPr="002D1DD7">
        <w:t xml:space="preserve"> </w:t>
      </w:r>
      <w:r w:rsidR="001411F3">
        <w:t>if all testing costs are attributable to a single histology</w:t>
      </w:r>
      <w:r w:rsidR="00FD3AF1">
        <w:t>-</w:t>
      </w:r>
      <w:r w:rsidR="001411F3">
        <w:t>independent drug</w:t>
      </w:r>
      <w:r w:rsidR="00BC1BD3">
        <w:t>,</w:t>
      </w:r>
      <w:r w:rsidR="00687842">
        <w:t xml:space="preserve"> are </w:t>
      </w:r>
      <w:r w:rsidR="00687842" w:rsidRPr="002D1DD7">
        <w:t>likely to render a technology cost-ineffective</w:t>
      </w:r>
      <w:r w:rsidR="00687842">
        <w:t xml:space="preserve"> for some tumour types</w:t>
      </w:r>
      <w:r w:rsidRPr="002D1DD7">
        <w:t xml:space="preserve">. In the context of NTRK fusions, which on average occur in &lt;0.5% of all </w:t>
      </w:r>
      <w:r w:rsidR="00687842">
        <w:t>advanced cancer patients</w:t>
      </w:r>
      <w:r w:rsidRPr="002D1DD7">
        <w:t xml:space="preserve">, the average costs of testing are high and are likely to represent a significant proportion of </w:t>
      </w:r>
      <w:r w:rsidR="005D04D4">
        <w:t xml:space="preserve">the </w:t>
      </w:r>
      <w:r w:rsidRPr="002D1DD7">
        <w:t>total incremental costs associated with the implementation of T</w:t>
      </w:r>
      <w:r w:rsidR="005D04D4">
        <w:t>rk</w:t>
      </w:r>
      <w:r w:rsidRPr="002D1DD7">
        <w:t xml:space="preserve"> inhibitors. </w:t>
      </w:r>
    </w:p>
    <w:p w14:paraId="69620685" w14:textId="77777777" w:rsidR="00D765F4" w:rsidRPr="002D1DD7" w:rsidRDefault="00D765F4" w:rsidP="00D765F4">
      <w:pPr>
        <w:pStyle w:val="Heading4"/>
      </w:pPr>
      <w:bookmarkStart w:id="195" w:name="_Toc33776219"/>
      <w:r w:rsidRPr="002D1DD7">
        <w:t>Attributing testing costs</w:t>
      </w:r>
      <w:bookmarkEnd w:id="195"/>
    </w:p>
    <w:p w14:paraId="119C0D7A" w14:textId="551DA9E7" w:rsidR="003358FF" w:rsidRDefault="00D765F4" w:rsidP="00B17C5F">
      <w:pPr>
        <w:rPr>
          <w:rFonts w:cs="Times New Roman"/>
        </w:rPr>
      </w:pPr>
      <w:r w:rsidRPr="002D1DD7">
        <w:rPr>
          <w:rFonts w:cs="Times New Roman"/>
        </w:rPr>
        <w:t>The current NICE methods guide outlines that the costs of testing should be included if they are specifically associated with the provision of the technology being appraised.</w:t>
      </w:r>
      <w:r w:rsidR="006F7FD7">
        <w:rPr>
          <w:rFonts w:cs="Times New Roman"/>
        </w:rPr>
        <w:fldChar w:fldCharType="begin"/>
      </w:r>
      <w:r w:rsidR="006F7FD7">
        <w:rPr>
          <w:rFonts w:cs="Times New Roman"/>
        </w:rPr>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rsidR="006F7FD7">
        <w:rPr>
          <w:rFonts w:cs="Times New Roman"/>
        </w:rPr>
        <w:fldChar w:fldCharType="separate"/>
      </w:r>
      <w:r w:rsidR="006F7FD7" w:rsidRPr="006F7FD7">
        <w:rPr>
          <w:rFonts w:cs="Times New Roman"/>
          <w:noProof/>
          <w:vertAlign w:val="superscript"/>
        </w:rPr>
        <w:t>4</w:t>
      </w:r>
      <w:r w:rsidR="006F7FD7">
        <w:rPr>
          <w:rFonts w:cs="Times New Roman"/>
        </w:rPr>
        <w:fldChar w:fldCharType="end"/>
      </w:r>
      <w:r w:rsidRPr="002D1DD7">
        <w:rPr>
          <w:rFonts w:cs="Times New Roman"/>
        </w:rPr>
        <w:t xml:space="preserve"> The implementation of wide scale genomic testing is</w:t>
      </w:r>
      <w:r w:rsidR="004C4EA1">
        <w:rPr>
          <w:rFonts w:cs="Times New Roman"/>
        </w:rPr>
        <w:t>,</w:t>
      </w:r>
      <w:r w:rsidRPr="002D1DD7">
        <w:rPr>
          <w:rFonts w:cs="Times New Roman"/>
        </w:rPr>
        <w:t xml:space="preserve"> however, likely to represent a public good which may allow for the identification of other relevant genetic alterations (e.g. where wide spread panel testing is implemented). This may be of particular relevance where there are multiple targeted therapies available or likely to become available in the near future. Accounting for such positive externalities may be important, as testing costs may not justify the implementation of a specific single </w:t>
      </w:r>
      <w:r w:rsidR="0090558D" w:rsidRPr="002D1DD7">
        <w:rPr>
          <w:rFonts w:cs="Times New Roman"/>
        </w:rPr>
        <w:t>technology but</w:t>
      </w:r>
      <w:r w:rsidRPr="002D1DD7">
        <w:rPr>
          <w:rFonts w:cs="Times New Roman"/>
        </w:rPr>
        <w:t xml:space="preserve"> may be justifiable when shared across multiple technologies. Estimation of the magnitude of any positive externalities resulting from test</w:t>
      </w:r>
      <w:r w:rsidR="00BC1BD3">
        <w:rPr>
          <w:rFonts w:cs="Times New Roman"/>
        </w:rPr>
        <w:t>ing is however, non-trivial and</w:t>
      </w:r>
      <w:r w:rsidRPr="002D1DD7">
        <w:rPr>
          <w:rFonts w:cs="Times New Roman"/>
        </w:rPr>
        <w:t xml:space="preserve"> methods of how to attribute testing costs across multiple technolog</w:t>
      </w:r>
      <w:r w:rsidR="00FB76EF">
        <w:rPr>
          <w:rFonts w:cs="Times New Roman"/>
        </w:rPr>
        <w:t>ies</w:t>
      </w:r>
      <w:r w:rsidRPr="002D1DD7">
        <w:rPr>
          <w:rFonts w:cs="Times New Roman"/>
        </w:rPr>
        <w:t xml:space="preserve"> </w:t>
      </w:r>
      <w:r w:rsidR="004C4EA1">
        <w:rPr>
          <w:rFonts w:cs="Times New Roman"/>
        </w:rPr>
        <w:t>have not been established</w:t>
      </w:r>
      <w:r w:rsidRPr="002D1DD7">
        <w:rPr>
          <w:rFonts w:cs="Times New Roman"/>
        </w:rPr>
        <w:t xml:space="preserve">. </w:t>
      </w:r>
      <w:r w:rsidR="00754B8C">
        <w:rPr>
          <w:rFonts w:cs="Times New Roman"/>
        </w:rPr>
        <w:t xml:space="preserve"> How </w:t>
      </w:r>
      <w:r w:rsidRPr="002D1DD7">
        <w:rPr>
          <w:rFonts w:cs="Times New Roman"/>
        </w:rPr>
        <w:t xml:space="preserve">costs </w:t>
      </w:r>
      <w:r w:rsidR="004C4EA1">
        <w:rPr>
          <w:rFonts w:cs="Times New Roman"/>
        </w:rPr>
        <w:t>sh</w:t>
      </w:r>
      <w:r w:rsidRPr="002D1DD7">
        <w:rPr>
          <w:rFonts w:cs="Times New Roman"/>
        </w:rPr>
        <w:t xml:space="preserve">ould be attributed across technologies is </w:t>
      </w:r>
      <w:r w:rsidR="004C4EA1">
        <w:rPr>
          <w:rFonts w:cs="Times New Roman"/>
        </w:rPr>
        <w:t>currently</w:t>
      </w:r>
      <w:r w:rsidRPr="002D1DD7">
        <w:rPr>
          <w:rFonts w:cs="Times New Roman"/>
        </w:rPr>
        <w:t xml:space="preserve"> unclear</w:t>
      </w:r>
      <w:r w:rsidR="00FB76EF">
        <w:rPr>
          <w:rFonts w:cs="Times New Roman"/>
        </w:rPr>
        <w:t>:</w:t>
      </w:r>
      <w:r w:rsidRPr="002D1DD7">
        <w:rPr>
          <w:rFonts w:cs="Times New Roman"/>
        </w:rPr>
        <w:t xml:space="preserve"> </w:t>
      </w:r>
      <w:r w:rsidR="00FB76EF">
        <w:rPr>
          <w:rFonts w:cs="Times New Roman"/>
        </w:rPr>
        <w:t xml:space="preserve">for example, </w:t>
      </w:r>
      <w:r w:rsidRPr="002D1DD7">
        <w:rPr>
          <w:rFonts w:cs="Times New Roman"/>
        </w:rPr>
        <w:t xml:space="preserve">costs could be split equally or by the size of the </w:t>
      </w:r>
      <w:r w:rsidRPr="002D1DD7">
        <w:rPr>
          <w:rFonts w:cs="Times New Roman"/>
        </w:rPr>
        <w:lastRenderedPageBreak/>
        <w:t xml:space="preserve">eligible population and would necessitate a coordinating role for either NHS England or NICE to potentially set a tariff upon which attributable testing </w:t>
      </w:r>
      <w:r w:rsidR="00B17C5F">
        <w:rPr>
          <w:rFonts w:cs="Times New Roman"/>
        </w:rPr>
        <w:t>costs could be based.</w:t>
      </w:r>
      <w:r w:rsidR="006F7FD7">
        <w:rPr>
          <w:rFonts w:cs="Times New Roman"/>
        </w:rPr>
        <w:fldChar w:fldCharType="begin"/>
      </w:r>
      <w:r w:rsidR="006F7FD7">
        <w:rPr>
          <w:rFonts w:cs="Times New Roman"/>
        </w:rPr>
        <w:instrText xml:space="preserve"> ADDIN EN.CITE &lt;EndNote&gt;&lt;Cite&gt;&lt;Author&gt;U.S. Department of Health and Human Services. Food and Drug Administration. Center for Drug Evaluation and Research&lt;/Author&gt;&lt;Year&gt;2019&lt;/Year&gt;&lt;RecNum&gt;3517&lt;/RecNum&gt;&lt;DisplayText&gt;&lt;style face="superscript"&gt;9, 10&lt;/style&gt;&lt;/DisplayText&gt;&lt;record&gt;&lt;rec-number&gt;3517&lt;/rec-number&gt;&lt;foreign-keys&gt;&lt;key app="EN" db-id="dwaevxvazfs2f3ewvzmxrd0k0wasw55p2z2w" timestamp="1579606100"&gt;3517&lt;/key&gt;&lt;/foreign-keys&gt;&lt;ref-type name="Report"&gt;27&lt;/ref-type&gt;&lt;contributors&gt;&lt;authors&gt;&lt;author&gt;U.S. Department of Health and Human Services. Food and Drug Administration. Center for Drug Evaluation and Research,&lt;/author&gt;&lt;/authors&gt;&lt;/contributors&gt;&lt;titles&gt;&lt;title&gt;Approval Package for application number 212725Orig1s000, 212726Orig1s000. Trade Name: ROZLYTREK® capsules, 100mg and 200 mg (entrectinib)&lt;/title&gt;&lt;/titles&gt;&lt;dates&gt;&lt;year&gt;2019&lt;/year&gt;&lt;/dates&gt;&lt;pub-location&gt;Rockville, Maryland, United States&lt;/pub-location&gt;&lt;urls&gt;&lt;related-urls&gt;&lt;url&gt;https://www.accessdata.fda.gov/drugsatfda_docs/nda/2019/212725Orig1s000,%20212726Orig1s000Approv.pdf&lt;/url&gt;&lt;/related-urls&gt;&lt;/urls&gt;&lt;custom4&gt;STEVE&amp;apos;S REFERENCES&lt;/custom4&gt;&lt;/record&gt;&lt;/Cite&gt;&lt;Cite&gt;&lt;Author&gt;U.S. Department of Health and Human Services. Food and Drug Administration&lt;/Author&gt;&lt;Year&gt;2018&lt;/Year&gt;&lt;RecNum&gt;3516&lt;/RecNum&gt;&lt;record&gt;&lt;rec-number&gt;3516&lt;/rec-number&gt;&lt;foreign-keys&gt;&lt;key app="EN" db-id="dwaevxvazfs2f3ewvzmxrd0k0wasw55p2z2w" timestamp="1579606100"&gt;3516&lt;/key&gt;&lt;/foreign-keys&gt;&lt;ref-type name="Web Page"&gt;12&lt;/ref-type&gt;&lt;contributors&gt;&lt;authors&gt;&lt;author&gt;U.S. Department of Health and Human Services. Food and Drug Administration,&lt;/author&gt;&lt;/authors&gt;&lt;/contributors&gt;&lt;titles&gt;&lt;title&gt;Drug Approval Package: Vitrakvi (larotrectinib)&lt;/title&gt;&lt;/titles&gt;&lt;volume&gt;2020&lt;/volume&gt;&lt;number&gt;17th January&lt;/number&gt;&lt;dates&gt;&lt;year&gt;2018&lt;/year&gt;&lt;/dates&gt;&lt;publisher&gt;FDA&lt;/publisher&gt;&lt;urls&gt;&lt;related-urls&gt;&lt;url&gt;https://www.accessdata.fda.gov/drugsatfda_docs/nda/2018/210861Orig1s000_21171Orig1s000TOC.cfm&lt;/url&gt;&lt;/related-urls&gt;&lt;/urls&gt;&lt;custom4&gt;STEVE&amp;apos;S REFERENCES&lt;/custom4&gt;&lt;/record&gt;&lt;/Cite&gt;&lt;/EndNote&gt;</w:instrText>
      </w:r>
      <w:r w:rsidR="006F7FD7">
        <w:rPr>
          <w:rFonts w:cs="Times New Roman"/>
        </w:rPr>
        <w:fldChar w:fldCharType="separate"/>
      </w:r>
      <w:r w:rsidR="006F7FD7" w:rsidRPr="006F7FD7">
        <w:rPr>
          <w:rFonts w:cs="Times New Roman"/>
          <w:noProof/>
          <w:vertAlign w:val="superscript"/>
        </w:rPr>
        <w:t>9, 10</w:t>
      </w:r>
      <w:r w:rsidR="006F7FD7">
        <w:rPr>
          <w:rFonts w:cs="Times New Roman"/>
        </w:rPr>
        <w:fldChar w:fldCharType="end"/>
      </w:r>
    </w:p>
    <w:p w14:paraId="13D2C6E4" w14:textId="2EF9DA18" w:rsidR="00D765F4" w:rsidRPr="002D1DD7" w:rsidRDefault="00D765F4" w:rsidP="000E4C2A">
      <w:pPr>
        <w:pStyle w:val="Heading4"/>
      </w:pPr>
      <w:bookmarkStart w:id="196" w:name="_Toc33776220"/>
      <w:r w:rsidRPr="002D1DD7">
        <w:t>Feasibility</w:t>
      </w:r>
      <w:bookmarkEnd w:id="196"/>
      <w:r w:rsidRPr="002D1DD7">
        <w:t xml:space="preserve"> </w:t>
      </w:r>
    </w:p>
    <w:p w14:paraId="1824DFF0" w14:textId="212813CC" w:rsidR="00D765F4" w:rsidRDefault="00D765F4" w:rsidP="00124A95">
      <w:r w:rsidRPr="002D1DD7">
        <w:t xml:space="preserve">Although there is currently provision for genomic testing for several cancers within the NHS, there are significant uncertainties surrounding the practical feasibility of providing wide-scale </w:t>
      </w:r>
      <w:r w:rsidR="00555827">
        <w:t>histology-independent</w:t>
      </w:r>
      <w:r w:rsidRPr="002D1DD7">
        <w:t xml:space="preserve"> testing. </w:t>
      </w:r>
    </w:p>
    <w:p w14:paraId="7FC0B210" w14:textId="34BB2658" w:rsidR="00C516CA" w:rsidRDefault="00C516CA" w:rsidP="00124A95">
      <w:r>
        <w:t xml:space="preserve">The feasibility of testing is also dependent on whether testing is offered at </w:t>
      </w:r>
      <w:r w:rsidR="004C4EA1">
        <w:t xml:space="preserve">the point of </w:t>
      </w:r>
      <w:r>
        <w:t>diagnosis</w:t>
      </w:r>
      <w:r w:rsidRPr="002D1DD7">
        <w:t xml:space="preserve">, or at the position in the treatment pathway where the drug would be given. </w:t>
      </w:r>
      <w:r>
        <w:t xml:space="preserve">Where testing is implemented upon eligibility for treatment, the NNS will be indicative of the number of patients who will go </w:t>
      </w:r>
      <w:r w:rsidR="00124A95">
        <w:t xml:space="preserve">on </w:t>
      </w:r>
      <w:r>
        <w:t>to receive treatment</w:t>
      </w:r>
      <w:r w:rsidR="00124A95">
        <w:t>,</w:t>
      </w:r>
      <w:r>
        <w:t xml:space="preserve"> as it is expected that all patients that test positive receive </w:t>
      </w:r>
      <w:r w:rsidR="00124A95">
        <w:t xml:space="preserve">the </w:t>
      </w:r>
      <w:r>
        <w:t xml:space="preserve">therapy. Given that </w:t>
      </w:r>
      <w:r w:rsidR="00124A95">
        <w:t>e</w:t>
      </w:r>
      <w:r>
        <w:t xml:space="preserve">ntrectinib and </w:t>
      </w:r>
      <w:r w:rsidR="00124A95">
        <w:t>l</w:t>
      </w:r>
      <w:r>
        <w:t xml:space="preserve">arotrectinib are offered when there is no </w:t>
      </w:r>
      <w:r w:rsidR="009508E1">
        <w:t>‘</w:t>
      </w:r>
      <w:r>
        <w:t>acceptable</w:t>
      </w:r>
      <w:r w:rsidR="009508E1">
        <w:t>’</w:t>
      </w:r>
      <w:r>
        <w:t xml:space="preserve"> alternative therapy</w:t>
      </w:r>
      <w:r w:rsidR="00124A95">
        <w:t>,</w:t>
      </w:r>
      <w:r w:rsidR="006F7FD7">
        <w:fldChar w:fldCharType="begin"/>
      </w:r>
      <w:r w:rsidR="006F7FD7">
        <w:instrText xml:space="preserve"> ADDIN EN.CITE &lt;EndNote&gt;&lt;Cite&gt;&lt;Author&gt;U.S. Department of Health and Human Services. Food and Drug Administration. Center for Drug Evaluation and Research&lt;/Author&gt;&lt;Year&gt;2019&lt;/Year&gt;&lt;RecNum&gt;3517&lt;/RecNum&gt;&lt;DisplayText&gt;&lt;style face="superscript"&gt;9, 10&lt;/style&gt;&lt;/DisplayText&gt;&lt;record&gt;&lt;rec-number&gt;3517&lt;/rec-number&gt;&lt;foreign-keys&gt;&lt;key app="EN" db-id="dwaevxvazfs2f3ewvzmxrd0k0wasw55p2z2w" timestamp="1579606100"&gt;3517&lt;/key&gt;&lt;/foreign-keys&gt;&lt;ref-type name="Report"&gt;27&lt;/ref-type&gt;&lt;contributors&gt;&lt;authors&gt;&lt;author&gt;U.S. Department of Health and Human Services. Food and Drug Administration. Center for Drug Evaluation and Research,&lt;/author&gt;&lt;/authors&gt;&lt;/contributors&gt;&lt;titles&gt;&lt;title&gt;Approval Package for application number 212725Orig1s000, 212726Orig1s000. Trade Name: ROZLYTREK® capsules, 100mg and 200 mg (entrectinib)&lt;/title&gt;&lt;/titles&gt;&lt;dates&gt;&lt;year&gt;2019&lt;/year&gt;&lt;/dates&gt;&lt;pub-location&gt;Rockville, Maryland, United States&lt;/pub-location&gt;&lt;urls&gt;&lt;related-urls&gt;&lt;url&gt;https://www.accessdata.fda.gov/drugsatfda_docs/nda/2019/212725Orig1s000,%20212726Orig1s000Approv.pdf&lt;/url&gt;&lt;/related-urls&gt;&lt;/urls&gt;&lt;custom4&gt;STEVE&amp;apos;S REFERENCES&lt;/custom4&gt;&lt;/record&gt;&lt;/Cite&gt;&lt;Cite&gt;&lt;Author&gt;U.S. Department of Health and Human Services. Food and Drug Administration&lt;/Author&gt;&lt;Year&gt;2018&lt;/Year&gt;&lt;RecNum&gt;3516&lt;/RecNum&gt;&lt;record&gt;&lt;rec-number&gt;3516&lt;/rec-number&gt;&lt;foreign-keys&gt;&lt;key app="EN" db-id="dwaevxvazfs2f3ewvzmxrd0k0wasw55p2z2w" timestamp="1579606100"&gt;3516&lt;/key&gt;&lt;/foreign-keys&gt;&lt;ref-type name="Web Page"&gt;12&lt;/ref-type&gt;&lt;contributors&gt;&lt;authors&gt;&lt;author&gt;U.S. Department of Health and Human Services. Food and Drug Administration,&lt;/author&gt;&lt;/authors&gt;&lt;/contributors&gt;&lt;titles&gt;&lt;title&gt;Drug Approval Package: Vitrakvi (larotrectinib)&lt;/title&gt;&lt;/titles&gt;&lt;volume&gt;2020&lt;/volume&gt;&lt;number&gt;17th January&lt;/number&gt;&lt;dates&gt;&lt;year&gt;2018&lt;/year&gt;&lt;/dates&gt;&lt;publisher&gt;FDA&lt;/publisher&gt;&lt;urls&gt;&lt;related-urls&gt;&lt;url&gt;https://www.accessdata.fda.gov/drugsatfda_docs/nda/2018/210861Orig1s000_21171Orig1s000TOC.cfm&lt;/url&gt;&lt;/related-urls&gt;&lt;/urls&gt;&lt;custom4&gt;STEVE&amp;apos;S REFERENCES&lt;/custom4&gt;&lt;/record&gt;&lt;/Cite&gt;&lt;/EndNote&gt;</w:instrText>
      </w:r>
      <w:r w:rsidR="006F7FD7">
        <w:fldChar w:fldCharType="separate"/>
      </w:r>
      <w:r w:rsidR="006F7FD7" w:rsidRPr="006F7FD7">
        <w:rPr>
          <w:noProof/>
          <w:vertAlign w:val="superscript"/>
        </w:rPr>
        <w:t>9, 10</w:t>
      </w:r>
      <w:r w:rsidR="006F7FD7">
        <w:fldChar w:fldCharType="end"/>
      </w:r>
      <w:r>
        <w:t xml:space="preserve"> there may be significant disparity between</w:t>
      </w:r>
      <w:r w:rsidR="00124A95">
        <w:t xml:space="preserve"> the</w:t>
      </w:r>
      <w:r>
        <w:t xml:space="preserve"> NNS and the final number of patients that go on to receive therapy. This is because there is significant attrition in the number of patients that go on to receive second </w:t>
      </w:r>
      <w:r w:rsidR="00124A95">
        <w:t xml:space="preserve">or </w:t>
      </w:r>
      <w:r>
        <w:t>later lines of therapy</w:t>
      </w:r>
      <w:r w:rsidR="00124A95">
        <w:t>,</w:t>
      </w:r>
      <w:r>
        <w:t xml:space="preserve"> either as a result of patients dying or becoming unfit for treatment. </w:t>
      </w:r>
    </w:p>
    <w:p w14:paraId="38CD5D62" w14:textId="1F291C3C" w:rsidR="00C516CA" w:rsidRDefault="00C516CA" w:rsidP="00C45AF7">
      <w:r w:rsidRPr="002D1DD7">
        <w:t xml:space="preserve">Given </w:t>
      </w:r>
      <w:r w:rsidR="00C45AF7">
        <w:t>the</w:t>
      </w:r>
      <w:r w:rsidRPr="002D1DD7">
        <w:t xml:space="preserve"> potential variety of histology-independent drugs that could be available across a range of positions in treatment pathways in each tumour type, genomic testing at diagnosis of advanced or metastatic cancer is the most plausible, even though the initial investment would be significant. Based on the annual incidence of cancer in the UK, and the average proportion of individuals with advanced or metastatic cancer, 94,595 individuals would require genomic testing each year. This figure represents a significant increase in the number of molecular and genomic tests and given the variability in the UK’s capacity to implement wide scale NGS testing</w:t>
      </w:r>
      <w:r w:rsidR="009508E1">
        <w:t>,</w:t>
      </w:r>
      <w:r w:rsidRPr="002D1DD7">
        <w:t xml:space="preserve"> it is expected that it will take some time for appropriate infrastructure to be put in place. A phased introduction of NGS panel testing is likely over the next few years with NHS England anticipating that full implementation of pan</w:t>
      </w:r>
      <w:r>
        <w:t>-</w:t>
      </w:r>
      <w:r w:rsidRPr="002D1DD7">
        <w:t>cancer testing will be in place by the end of 2022.</w:t>
      </w:r>
      <w:r w:rsidR="006F7FD7">
        <w:fldChar w:fldCharType="begin"/>
      </w:r>
      <w:r w:rsidR="004D5B2B">
        <w:instrText xml:space="preserve"> ADDIN EN.CITE &lt;EndNote&gt;&lt;Cite&gt;&lt;Author&gt;National Institute for Health and Care Excellence (NICE)&lt;/Author&gt;&lt;Year&gt;2019&lt;/Year&gt;&lt;RecNum&gt;3535&lt;/RecNum&gt;&lt;DisplayText&gt;&lt;style face="superscript"&gt;154&lt;/style&gt;&lt;/DisplayText&gt;&lt;record&gt;&lt;rec-number&gt;3535&lt;/rec-number&gt;&lt;foreign-keys&gt;&lt;key app="EN" db-id="dwaevxvazfs2f3ewvzmxrd0k0wasw55p2z2w" timestamp="1579875628"&gt;3535&lt;/key&gt;&lt;/foreign-keys&gt;&lt;ref-type name="Report"&gt;27&lt;/ref-type&gt;&lt;contributors&gt;&lt;authors&gt;&lt;author&gt;National Institute for Health and Care Excellence (NICE),&lt;/author&gt;&lt;/authors&gt;&lt;/contributors&gt;&lt;titles&gt;&lt;title&gt;Larotrectinib for treating NTRK fusion-positive advanced solid tumours&lt;/title&gt;&lt;secondary-title&gt;Single Technology Appraisal&lt;/secondary-title&gt;&lt;/titles&gt;&lt;dates&gt;&lt;year&gt;2019&lt;/year&gt;&lt;/dates&gt;&lt;publisher&gt;National Institute for Health and Care Excellence&lt;/publisher&gt;&lt;urls&gt;&lt;/urls&gt;&lt;custom4&gt;LUCY&amp;apos;S REFERENCES&lt;/custom4&gt;&lt;/record&gt;&lt;/Cite&gt;&lt;/EndNote&gt;</w:instrText>
      </w:r>
      <w:r w:rsidR="006F7FD7">
        <w:fldChar w:fldCharType="separate"/>
      </w:r>
      <w:r w:rsidR="004D5B2B" w:rsidRPr="004D5B2B">
        <w:rPr>
          <w:noProof/>
          <w:vertAlign w:val="superscript"/>
        </w:rPr>
        <w:t>154</w:t>
      </w:r>
      <w:r w:rsidR="006F7FD7">
        <w:fldChar w:fldCharType="end"/>
      </w:r>
    </w:p>
    <w:p w14:paraId="59AFBC20" w14:textId="77777777" w:rsidR="00D765F4" w:rsidRPr="002D1DD7" w:rsidRDefault="00D765F4" w:rsidP="00C45AF7">
      <w:pPr>
        <w:pStyle w:val="Heading3"/>
      </w:pPr>
      <w:bookmarkStart w:id="197" w:name="_Ref30673592"/>
      <w:bookmarkStart w:id="198" w:name="_Toc33776221"/>
      <w:r w:rsidRPr="002D1DD7">
        <w:t>Identifying patients eligible for Trk-inhibitors based on the presence of an NTRK fusion a worked example</w:t>
      </w:r>
      <w:bookmarkEnd w:id="197"/>
      <w:bookmarkEnd w:id="198"/>
    </w:p>
    <w:p w14:paraId="45D0EB78" w14:textId="4C5C5F43" w:rsidR="00D765F4" w:rsidRPr="002D1DD7" w:rsidRDefault="00D765F4" w:rsidP="00C45AF7">
      <w:r w:rsidRPr="002D1DD7">
        <w:t>Th</w:t>
      </w:r>
      <w:r w:rsidR="00C45AF7">
        <w:t>is</w:t>
      </w:r>
      <w:r w:rsidRPr="002D1DD7">
        <w:t xml:space="preserve"> section considers how testing for NTRK fusions might be implemented in the NHS and provides an illustrative example of how both NNS and testing costs might vary across tumour types. </w:t>
      </w:r>
    </w:p>
    <w:p w14:paraId="7AE63E3F" w14:textId="0EE2208C" w:rsidR="00D765F4" w:rsidRPr="002D1DD7" w:rsidRDefault="00D765F4" w:rsidP="00C45AF7">
      <w:r w:rsidRPr="002D1DD7">
        <w:t xml:space="preserve">A variety of testing strategies have been proposed for identifying patients with an NTRK fusion, pending the approval of two </w:t>
      </w:r>
      <w:r w:rsidR="00555827">
        <w:t>histology-independent</w:t>
      </w:r>
      <w:r w:rsidRPr="002D1DD7">
        <w:t xml:space="preserve"> Trk-inhibitors.</w:t>
      </w:r>
      <w:r w:rsidR="006F7FD7">
        <w:fldChar w:fldCharType="begin">
          <w:fldData xml:space="preserve">PEVuZE5vdGU+PENpdGU+PEF1dGhvcj5QZW5hdWx0LUxsb3JjYTwvQXV0aG9yPjxZZWFyPjIwMTk8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</w:fldData>
        </w:fldChar>
      </w:r>
      <w:r w:rsidR="000E66DE">
        <w:instrText xml:space="preserve"> ADDIN EN.CITE </w:instrText>
      </w:r>
      <w:r w:rsidR="000E66DE">
        <w:fldChar w:fldCharType="begin">
          <w:fldData xml:space="preserve">PEVuZE5vdGU+PENpdGU+PEF1dGhvcj5QZW5hdWx0LUxsb3JjYTwvQXV0aG9yPjxZZWFyPjIwMTk8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</w:fldData>
        </w:fldChar>
      </w:r>
      <w:r w:rsidR="000E66DE">
        <w:instrText xml:space="preserve"> ADDIN EN.CITE.DATA </w:instrText>
      </w:r>
      <w:r w:rsidR="000E66DE">
        <w:fldChar w:fldCharType="end"/>
      </w:r>
      <w:r w:rsidR="006F7FD7">
        <w:fldChar w:fldCharType="separate"/>
      </w:r>
      <w:r w:rsidR="004D5B2B" w:rsidRPr="004D5B2B">
        <w:rPr>
          <w:noProof/>
          <w:vertAlign w:val="superscript"/>
        </w:rPr>
        <w:t>168, 170</w:t>
      </w:r>
      <w:r w:rsidR="006F7FD7">
        <w:fldChar w:fldCharType="end"/>
      </w:r>
      <w:r w:rsidRPr="002D1DD7">
        <w:t xml:space="preserve"> ESMO propose</w:t>
      </w:r>
      <w:r w:rsidR="00EA7198">
        <w:t>s</w:t>
      </w:r>
      <w:r w:rsidRPr="002D1DD7">
        <w:t xml:space="preserve"> that the standard testing pathway should differ depending on the frequency of </w:t>
      </w:r>
      <w:r w:rsidRPr="007478F3">
        <w:rPr>
          <w:iCs/>
        </w:rPr>
        <w:t>NTRK</w:t>
      </w:r>
      <w:r w:rsidRPr="002D1DD7">
        <w:t xml:space="preserve"> fusions in each tumour type, and whether genomic sequencing is currently provided by the NHS</w:t>
      </w:r>
      <w:r w:rsidR="00C45AF7">
        <w:t>.</w:t>
      </w:r>
      <w:r w:rsidR="006F7FD7">
        <w:fldChar w:fldCharType="begin"/>
      </w:r>
      <w:r w:rsidR="004D5B2B">
        <w:instrText xml:space="preserve"> ADDIN EN.CITE &lt;EndNote&gt;&lt;Cite&gt;&lt;Author&gt;NHS England&lt;/Author&gt;&lt;Year&gt;2019&lt;/Year&gt;&lt;RecNum&gt;3532&lt;/RecNum&gt;&lt;DisplayText&gt;&lt;style face="superscript"&gt;162&lt;/style&gt;&lt;/DisplayText&gt;&lt;record&gt;&lt;rec-number&gt;3532&lt;/rec-number&gt;&lt;foreign-keys&gt;&lt;key app="EN" db-id="dwaevxvazfs2f3ewvzmxrd0k0wasw55p2z2w" timestamp="1579875628"&gt;3532&lt;/key&gt;&lt;/foreign-keys&gt;&lt;ref-type name="Web Page"&gt;12&lt;/ref-type&gt;&lt;contributors&gt;&lt;authors&gt;&lt;author&gt;NHS England,&lt;/author&gt;&lt;/authors&gt;&lt;/contributors&gt;&lt;titles&gt;&lt;title&gt;National Genomic Test Directory&lt;/title&gt;&lt;/titles&gt;&lt;volume&gt;2019&lt;/volume&gt;&lt;number&gt;15th May&lt;/number&gt;&lt;dates&gt;&lt;year&gt;2019&lt;/year&gt;&lt;/dates&gt;&lt;urls&gt;&lt;related-urls&gt;&lt;url&gt;https://www.england.nhs.uk/publication/national-genomic-test-directories/&lt;/url&gt;&lt;/related-urls&gt;&lt;/urls&gt;&lt;custom4&gt;LUCY&amp;apos;S REFERENCES&lt;/custom4&gt;&lt;/record&gt;&lt;/Cite&gt;&lt;/EndNote&gt;</w:instrText>
      </w:r>
      <w:r w:rsidR="006F7FD7">
        <w:fldChar w:fldCharType="separate"/>
      </w:r>
      <w:r w:rsidR="004D5B2B" w:rsidRPr="004D5B2B">
        <w:rPr>
          <w:noProof/>
          <w:vertAlign w:val="superscript"/>
        </w:rPr>
        <w:t>162</w:t>
      </w:r>
      <w:r w:rsidR="006F7FD7">
        <w:fldChar w:fldCharType="end"/>
      </w:r>
      <w:r w:rsidRPr="002D1DD7">
        <w:t xml:space="preserve"> In the tumour types where there is a lower frequency of </w:t>
      </w:r>
      <w:r w:rsidRPr="007478F3">
        <w:rPr>
          <w:iCs/>
        </w:rPr>
        <w:t>NTRK</w:t>
      </w:r>
      <w:r w:rsidRPr="002D1DD7">
        <w:rPr>
          <w:i/>
        </w:rPr>
        <w:t xml:space="preserve"> </w:t>
      </w:r>
      <w:r w:rsidRPr="002D1DD7">
        <w:t xml:space="preserve">fusions and where there is no genomic testing available, it is suggested that IHC is used for initial screening; </w:t>
      </w:r>
      <w:r w:rsidRPr="007478F3">
        <w:rPr>
          <w:iCs/>
        </w:rPr>
        <w:t>NTRK</w:t>
      </w:r>
      <w:r w:rsidRPr="002D1DD7">
        <w:rPr>
          <w:i/>
        </w:rPr>
        <w:t xml:space="preserve"> </w:t>
      </w:r>
      <w:r w:rsidRPr="002D1DD7">
        <w:t xml:space="preserve">gene rearrangements are then confirmed </w:t>
      </w:r>
      <w:r w:rsidRPr="002D1DD7">
        <w:lastRenderedPageBreak/>
        <w:t xml:space="preserve">using RNA-based NGS. IHC is high-throughput and inexpensive, making it a practical screening tool to use in a large population. Following this </w:t>
      </w:r>
      <w:r w:rsidR="004C4EA1">
        <w:t xml:space="preserve">with </w:t>
      </w:r>
      <w:r w:rsidRPr="002D1DD7">
        <w:t xml:space="preserve"> more expensive</w:t>
      </w:r>
      <w:r w:rsidR="004C4EA1">
        <w:t xml:space="preserve"> and </w:t>
      </w:r>
      <w:r w:rsidRPr="002D1DD7">
        <w:t xml:space="preserve">highly accurate RNA-based NGS is a plausible testing strategy for identifying tumours. Diagnostic accuracy is further taken into account by stratifying the tumour types into different testing strategies, depending on their NTRK fusion prevalence. </w:t>
      </w:r>
    </w:p>
    <w:p w14:paraId="6DEEE70D" w14:textId="56C34ED6" w:rsidR="00D765F4" w:rsidRPr="002D1DD7" w:rsidRDefault="00D765F4">
      <w:pPr>
        <w:rPr>
          <w:rFonts w:cs="Times New Roman"/>
        </w:rPr>
      </w:pPr>
      <w:r w:rsidRPr="002D1DD7">
        <w:rPr>
          <w:rFonts w:cs="Times New Roman"/>
        </w:rPr>
        <w:t xml:space="preserve">Conversely, </w:t>
      </w:r>
      <w:r w:rsidR="004C4EA1">
        <w:rPr>
          <w:rFonts w:cs="Times New Roman"/>
        </w:rPr>
        <w:t>it has also been suggeste that</w:t>
      </w:r>
      <w:r w:rsidRPr="002D1DD7">
        <w:rPr>
          <w:rFonts w:cs="Times New Roman"/>
        </w:rPr>
        <w:t xml:space="preserve"> front-line NGS should be offered to all individuals </w:t>
      </w:r>
      <w:r w:rsidR="00370DB8">
        <w:rPr>
          <w:rFonts w:cs="Times New Roman"/>
        </w:rPr>
        <w:t>to detect</w:t>
      </w:r>
      <w:r w:rsidR="00370DB8" w:rsidRPr="002D1DD7">
        <w:rPr>
          <w:rFonts w:cs="Times New Roman"/>
        </w:rPr>
        <w:t xml:space="preserve"> </w:t>
      </w:r>
      <w:r w:rsidRPr="002D1DD7">
        <w:rPr>
          <w:rFonts w:cs="Times New Roman"/>
        </w:rPr>
        <w:t>an NTRK fusion.</w:t>
      </w:r>
      <w:r w:rsidR="006F7FD7">
        <w:rPr>
          <w:rFonts w:cs="Times New Roman"/>
        </w:rPr>
        <w:fldChar w:fldCharType="begin"/>
      </w:r>
      <w:r w:rsidR="000E66DE">
        <w:rPr>
          <w:rFonts w:cs="Times New Roman"/>
        </w:rPr>
        <w:instrText xml:space="preserve"> ADDIN EN.CITE &lt;EndNote&gt;&lt;Cite&gt;&lt;Author&gt;Marchiò&lt;/Author&gt;&lt;Year&gt;2019&lt;/Year&gt;&lt;RecNum&gt;3543&lt;/RecNum&gt;&lt;DisplayText&gt;&lt;style face="superscript"&gt;170&lt;/style&gt;&lt;/DisplayText&gt;&lt;record&gt;&lt;rec-number&gt;3543&lt;/rec-number&gt;&lt;foreign-keys&gt;&lt;key app="EN" db-id="dwaevxvazfs2f3ewvzmxrd0k0wasw55p2z2w" timestamp="1579875628"&gt;3543&lt;/key&gt;&lt;/foreign-keys&gt;&lt;ref-type name="Journal Article"&gt;17&lt;/ref-type&gt;&lt;contributors&gt;&lt;authors&gt;&lt;author&gt;Marchiò, C.&lt;/author&gt;&lt;author&gt;Scaltriti, M.&lt;/author&gt;&lt;author&gt;Ladanyi, M.&lt;/author&gt;&lt;author&gt;Iafrate, A.J.&lt;/author&gt;&lt;author&gt;Bibeau, F.&lt;/author&gt;&lt;author&gt;Dietel, M.&lt;/author&gt;&lt;author&gt;Hechtman, J.F.&lt;/author&gt;&lt;author&gt;Troiani, T.&lt;/author&gt;&lt;author&gt;López-Rios, F.&lt;/author&gt;&lt;author&gt;Douillard, J-Y.&lt;/author&gt;&lt;/authors&gt;&lt;/contributors&gt;&lt;titles&gt;&lt;title&gt;ESMO recommendations on the standard methods to detect NTRK fusions in daily practice and clinical research&lt;/title&gt;&lt;secondary-title&gt;Annals of Oncology&lt;/secondary-title&gt;&lt;/titles&gt;&lt;periodical&gt;&lt;full-title&gt;Annals of Oncology&lt;/full-title&gt;&lt;abbr-1&gt;Ann Oncol&lt;/abbr-1&gt;&lt;/periodical&gt;&lt;dates&gt;&lt;year&gt;2019&lt;/year&gt;&lt;/dates&gt;&lt;urls&gt;&lt;/urls&gt;&lt;custom4&gt;LUCY&amp;apos;S REFERENCES&lt;/custom4&gt;&lt;/record&gt;&lt;/Cite&gt;&lt;/EndNote&gt;</w:instrText>
      </w:r>
      <w:r w:rsidR="006F7FD7">
        <w:rPr>
          <w:rFonts w:cs="Times New Roman"/>
        </w:rPr>
        <w:fldChar w:fldCharType="separate"/>
      </w:r>
      <w:r w:rsidR="004D5B2B" w:rsidRPr="004D5B2B">
        <w:rPr>
          <w:rFonts w:cs="Times New Roman"/>
          <w:noProof/>
          <w:vertAlign w:val="superscript"/>
        </w:rPr>
        <w:t>170</w:t>
      </w:r>
      <w:r w:rsidR="006F7FD7">
        <w:rPr>
          <w:rFonts w:cs="Times New Roman"/>
        </w:rPr>
        <w:fldChar w:fldCharType="end"/>
      </w:r>
      <w:r w:rsidR="00C45AF7">
        <w:rPr>
          <w:rFonts w:cs="Times New Roman"/>
        </w:rPr>
        <w:t xml:space="preserve"> </w:t>
      </w:r>
      <w:r w:rsidRPr="002D1DD7">
        <w:rPr>
          <w:rFonts w:cs="Times New Roman"/>
        </w:rPr>
        <w:t xml:space="preserve">Whilst this would require substantial investment, this testing strategy would ‘future-proof’ </w:t>
      </w:r>
      <w:r w:rsidR="00555827">
        <w:rPr>
          <w:rFonts w:cs="Times New Roman"/>
        </w:rPr>
        <w:t>histology-independent</w:t>
      </w:r>
      <w:r w:rsidRPr="002D1DD7">
        <w:rPr>
          <w:rFonts w:cs="Times New Roman"/>
        </w:rPr>
        <w:t xml:space="preserve"> testing, as additional mutations could be added to pre-existing panels. This would mean a single tumour sample could be screened to identify a number of genetic alterations. </w:t>
      </w:r>
      <w:r w:rsidR="001D1184">
        <w:rPr>
          <w:rFonts w:cs="Times New Roman"/>
        </w:rPr>
        <w:t>However, i</w:t>
      </w:r>
      <w:r w:rsidRPr="002D1DD7">
        <w:rPr>
          <w:rFonts w:cs="Times New Roman"/>
        </w:rPr>
        <w:t>n the short-term</w:t>
      </w:r>
      <w:r w:rsidR="001D1184">
        <w:rPr>
          <w:rFonts w:cs="Times New Roman"/>
        </w:rPr>
        <w:t>,</w:t>
      </w:r>
      <w:r w:rsidRPr="002D1DD7">
        <w:rPr>
          <w:rFonts w:cs="Times New Roman"/>
        </w:rPr>
        <w:t xml:space="preserve"> this testing strategy will require significant resource</w:t>
      </w:r>
      <w:r w:rsidR="00370DB8">
        <w:rPr>
          <w:rFonts w:cs="Times New Roman"/>
        </w:rPr>
        <w:t>s</w:t>
      </w:r>
      <w:r w:rsidRPr="002D1DD7">
        <w:rPr>
          <w:rFonts w:cs="Times New Roman"/>
        </w:rPr>
        <w:t xml:space="preserve"> to implement nationally.</w:t>
      </w:r>
    </w:p>
    <w:p w14:paraId="0122DAC8" w14:textId="77777777" w:rsidR="00D765F4" w:rsidRPr="002D1DD7" w:rsidRDefault="00D765F4" w:rsidP="00511D3F">
      <w:r w:rsidRPr="002D1DD7">
        <w:t xml:space="preserve">The most exhaustive approach to identify NTRK fusions utilises DNA-based NGS and RNA-seq. As DNA-based NGS is currently available for some tumours, there will be reduced incremental investment in providing RNA-seq, which would be used to confirm protein expression in the positive cases. </w:t>
      </w:r>
    </w:p>
    <w:p w14:paraId="312FE447" w14:textId="03AEAAC1" w:rsidR="00D765F4" w:rsidRPr="002D1DD7" w:rsidRDefault="00D765F4" w:rsidP="00511D3F">
      <w:r w:rsidRPr="002D1DD7">
        <w:t>While there is the potential for NTRK fusions to be observed in any tumour type, current evidence only documents the occurrence of NTRK fusions in a</w:t>
      </w:r>
      <w:r w:rsidR="007478F3">
        <w:t>round</w:t>
      </w:r>
      <w:r w:rsidRPr="002D1DD7">
        <w:t xml:space="preserve"> 30 different tumour types.</w:t>
      </w:r>
      <w:r w:rsidR="006F7FD7">
        <w:fldChar w:fldCharType="begin">
          <w:fldData xml:space="preserve">PEVuZE5vdGU+PENpdGU+PEF1dGhvcj5TaWdhbDwvQXV0aG9yPjxZZWFyPjIwMTg8L1llYXI+PFJl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</w:fldData>
        </w:fldChar>
      </w:r>
      <w:r w:rsidR="004D5B2B">
        <w:instrText xml:space="preserve"> ADDIN EN.CITE </w:instrText>
      </w:r>
      <w:r w:rsidR="004D5B2B">
        <w:fldChar w:fldCharType="begin">
          <w:fldData xml:space="preserve">PEVuZE5vdGU+PENpdGU+PEF1dGhvcj5TaWdhbDwvQXV0aG9yPjxZZWFyPjIwMTg8L1llYXI+PFJl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</w:fldData>
        </w:fldChar>
      </w:r>
      <w:r w:rsidR="004D5B2B">
        <w:instrText xml:space="preserve"> ADDIN EN.CITE.DATA </w:instrText>
      </w:r>
      <w:r w:rsidR="004D5B2B">
        <w:fldChar w:fldCharType="end"/>
      </w:r>
      <w:r w:rsidR="006F7FD7">
        <w:fldChar w:fldCharType="separate"/>
      </w:r>
      <w:r w:rsidR="004D5B2B" w:rsidRPr="004D5B2B">
        <w:rPr>
          <w:noProof/>
          <w:vertAlign w:val="superscript"/>
        </w:rPr>
        <w:t>171-174</w:t>
      </w:r>
      <w:r w:rsidR="006F7FD7">
        <w:fldChar w:fldCharType="end"/>
      </w:r>
      <w:r w:rsidRPr="002D1DD7">
        <w:t xml:space="preserve"> </w:t>
      </w:r>
      <w:r w:rsidR="001D1184">
        <w:t>However, t</w:t>
      </w:r>
      <w:r w:rsidRPr="002D1DD7">
        <w:t>his list cannot be considered complete. It is plausible that NTRK fusions occur in common tumour types, but with such rarity that they are yet to be detected. There are also likely to be a number of rarer tumour types which express NTRK fusions, but which are not included in any current database. To align with the available evidence on the prevalence of NTRK fusion, we only distinguish between tumour types within a single anatomical site when there is supporting evidence on the prevalence of NTRK fusions to do so.</w:t>
      </w:r>
    </w:p>
    <w:p w14:paraId="1555456C" w14:textId="77777777" w:rsidR="00D765F4" w:rsidRPr="002D1DD7" w:rsidRDefault="00D765F4" w:rsidP="00511D3F">
      <w:pPr>
        <w:pStyle w:val="Heading4"/>
      </w:pPr>
      <w:bookmarkStart w:id="199" w:name="_Toc33776222"/>
      <w:r w:rsidRPr="002D1DD7">
        <w:t>Methods</w:t>
      </w:r>
      <w:bookmarkEnd w:id="199"/>
    </w:p>
    <w:p w14:paraId="0355061C" w14:textId="77777777" w:rsidR="00D765F4" w:rsidRPr="002D1DD7" w:rsidRDefault="00D765F4" w:rsidP="00511D3F">
      <w:r w:rsidRPr="002D1DD7">
        <w:t xml:space="preserve">For each tumour type where there is evidence to support the prevalence of NTRK fusions, we estimated the following: </w:t>
      </w:r>
    </w:p>
    <w:p w14:paraId="6FD80F09" w14:textId="77777777" w:rsidR="00D765F4" w:rsidRPr="00D977B6" w:rsidRDefault="00D765F4" w:rsidP="009A66EC">
      <w:pPr>
        <w:pStyle w:val="ListParagraph"/>
        <w:numPr>
          <w:ilvl w:val="0"/>
          <w:numId w:val="100"/>
        </w:numPr>
        <w:spacing w:before="0"/>
        <w:rPr>
          <w:rFonts w:cs="Times New Roman"/>
        </w:rPr>
      </w:pPr>
      <w:r w:rsidRPr="00D977B6">
        <w:rPr>
          <w:rFonts w:cs="Times New Roman"/>
        </w:rPr>
        <w:t>The number of individuals who would require genomic testing each year to identify one individual with an NTRK fusion (NNS)</w:t>
      </w:r>
    </w:p>
    <w:p w14:paraId="4EC5D0EF" w14:textId="77777777" w:rsidR="00D765F4" w:rsidRPr="00D977B6" w:rsidRDefault="00D765F4" w:rsidP="009A66EC">
      <w:pPr>
        <w:pStyle w:val="ListParagraph"/>
        <w:numPr>
          <w:ilvl w:val="0"/>
          <w:numId w:val="100"/>
        </w:numPr>
        <w:spacing w:before="0"/>
        <w:rPr>
          <w:rFonts w:cs="Times New Roman"/>
        </w:rPr>
      </w:pPr>
      <w:r w:rsidRPr="00D977B6">
        <w:rPr>
          <w:rFonts w:cs="Times New Roman"/>
        </w:rPr>
        <w:t>The average cost of testing associated with identifying one NTRK-fusion patient</w:t>
      </w:r>
    </w:p>
    <w:p w14:paraId="472FF19B" w14:textId="4389068E" w:rsidR="00D765F4" w:rsidRPr="00D977B6" w:rsidRDefault="00D765F4" w:rsidP="009A66EC">
      <w:pPr>
        <w:pStyle w:val="ListParagraph"/>
        <w:numPr>
          <w:ilvl w:val="0"/>
          <w:numId w:val="100"/>
        </w:numPr>
        <w:spacing w:before="0"/>
        <w:rPr>
          <w:rFonts w:cs="Times New Roman"/>
        </w:rPr>
      </w:pPr>
      <w:r w:rsidRPr="00D977B6">
        <w:rPr>
          <w:rFonts w:cs="Times New Roman"/>
        </w:rPr>
        <w:t xml:space="preserve">An illustration of the cost-effectiveness of NTRK testing for each tumour type. </w:t>
      </w:r>
    </w:p>
    <w:p w14:paraId="15549769" w14:textId="77777777" w:rsidR="00D765F4" w:rsidRPr="002D1DD7" w:rsidRDefault="00D765F4" w:rsidP="00511D3F">
      <w:r w:rsidRPr="002D1DD7">
        <w:t xml:space="preserve">This was implemented for three testing strategies that could be adopted to identify patients with NTRK fusions. </w:t>
      </w:r>
    </w:p>
    <w:p w14:paraId="69415149" w14:textId="0D9BEAAD" w:rsidR="00D765F4" w:rsidRPr="002D1DD7" w:rsidRDefault="00D765F4" w:rsidP="00511D3F">
      <w:r w:rsidRPr="002D1DD7">
        <w:lastRenderedPageBreak/>
        <w:t xml:space="preserve">The first testing strategy is based on recent recommendations for identification of NTRK fusions published by the </w:t>
      </w:r>
      <w:r w:rsidR="00AD35FE">
        <w:t>ESMO</w:t>
      </w:r>
      <w:r w:rsidRPr="002D1DD7">
        <w:t>.</w:t>
      </w:r>
      <w:r w:rsidR="006F7FD7">
        <w:fldChar w:fldCharType="begin"/>
      </w:r>
      <w:r w:rsidR="000E66DE">
        <w:instrText xml:space="preserve"> ADDIN EN.CITE &lt;EndNote&gt;&lt;Cite&gt;&lt;Author&gt;Marchiò&lt;/Author&gt;&lt;Year&gt;2019&lt;/Year&gt;&lt;RecNum&gt;3543&lt;/RecNum&gt;&lt;DisplayText&gt;&lt;style face="superscript"&gt;170&lt;/style&gt;&lt;/DisplayText&gt;&lt;record&gt;&lt;rec-number&gt;3543&lt;/rec-number&gt;&lt;foreign-keys&gt;&lt;key app="EN" db-id="dwaevxvazfs2f3ewvzmxrd0k0wasw55p2z2w" timestamp="1579875628"&gt;3543&lt;/key&gt;&lt;/foreign-keys&gt;&lt;ref-type name="Journal Article"&gt;17&lt;/ref-type&gt;&lt;contributors&gt;&lt;authors&gt;&lt;author&gt;Marchiò, C.&lt;/author&gt;&lt;author&gt;Scaltriti, M.&lt;/author&gt;&lt;author&gt;Ladanyi, M.&lt;/author&gt;&lt;author&gt;Iafrate, A.J.&lt;/author&gt;&lt;author&gt;Bibeau, F.&lt;/author&gt;&lt;author&gt;Dietel, M.&lt;/author&gt;&lt;author&gt;Hechtman, J.F.&lt;/author&gt;&lt;author&gt;Troiani, T.&lt;/author&gt;&lt;author&gt;López-Rios, F.&lt;/author&gt;&lt;author&gt;Douillard, J-Y.&lt;/author&gt;&lt;/authors&gt;&lt;/contributors&gt;&lt;titles&gt;&lt;title&gt;ESMO recommendations on the standard methods to detect NTRK fusions in daily practice and clinical research&lt;/title&gt;&lt;secondary-title&gt;Annals of Oncology&lt;/secondary-title&gt;&lt;/titles&gt;&lt;periodical&gt;&lt;full-title&gt;Annals of Oncology&lt;/full-title&gt;&lt;abbr-1&gt;Ann Oncol&lt;/abbr-1&gt;&lt;/periodical&gt;&lt;dates&gt;&lt;year&gt;2019&lt;/year&gt;&lt;/dates&gt;&lt;urls&gt;&lt;/urls&gt;&lt;custom4&gt;LUCY&amp;apos;S REFERENCES&lt;/custom4&gt;&lt;/record&gt;&lt;/Cite&gt;&lt;/EndNote&gt;</w:instrText>
      </w:r>
      <w:r w:rsidR="006F7FD7">
        <w:fldChar w:fldCharType="separate"/>
      </w:r>
      <w:r w:rsidR="004D5B2B" w:rsidRPr="004D5B2B">
        <w:rPr>
          <w:noProof/>
          <w:vertAlign w:val="superscript"/>
        </w:rPr>
        <w:t>170</w:t>
      </w:r>
      <w:r w:rsidR="006F7FD7">
        <w:fldChar w:fldCharType="end"/>
      </w:r>
      <w:r w:rsidRPr="002D1DD7">
        <w:t xml:space="preserve"> IHC followed by confirmatory RNA-based NGS would be recommended for the tumour types where NTRK fusions are rare. In the tumours where NTRK fusions are highly prevalent, first-line FISH should be utilised. For the tumour types where WGS is currently available and reimbursed by the NHS, RNA-based NGS would be required to confirm the presence of an oncogenic NTRK fusion.  </w:t>
      </w:r>
    </w:p>
    <w:p w14:paraId="09D85BED" w14:textId="77777777" w:rsidR="00D765F4" w:rsidRPr="002D1DD7" w:rsidRDefault="00D765F4" w:rsidP="00511D3F">
      <w:r w:rsidRPr="002D1DD7">
        <w:t xml:space="preserve">To complement the substantial investment in genomic testing services in the NHS, the second strategy was assumed to be based on using RNA-based NGS as a first-line test for all patients. For tumour types where whole genome sequencing is currently available, it was assumed that RNA-based NGS would be used to confirm the presence of an oncogenic NTRK fusion. </w:t>
      </w:r>
    </w:p>
    <w:p w14:paraId="4C4B56FB" w14:textId="0B70920D" w:rsidR="00D765F4" w:rsidRPr="002D1DD7" w:rsidRDefault="00D765F4" w:rsidP="00D765F4">
      <w:pPr>
        <w:rPr>
          <w:rFonts w:cs="Times New Roman"/>
        </w:rPr>
      </w:pPr>
      <w:r w:rsidRPr="002D1DD7">
        <w:rPr>
          <w:rFonts w:cs="Times New Roman"/>
        </w:rPr>
        <w:t>Finally, an alternative testing strategy was considered based on an exhaustive approach outlined by ESMO, which seeks</w:t>
      </w:r>
      <w:r w:rsidR="00DE1E22" w:rsidRPr="002D1DD7">
        <w:rPr>
          <w:rFonts w:cs="Times New Roman"/>
        </w:rPr>
        <w:t xml:space="preserve"> to</w:t>
      </w:r>
      <w:r w:rsidRPr="002D1DD7">
        <w:rPr>
          <w:rFonts w:cs="Times New Roman"/>
        </w:rPr>
        <w:t xml:space="preserve"> maximise current testing availability of DNA-based NGS in each tumour type. Under this approach DNA-based NGS is used as a first-line screening tool, followed by confirmatory RNA-based NGS. This was suggested by ESMO to be the most exhaustive approach to identify NTRK fusions</w:t>
      </w:r>
      <w:r w:rsidR="00511D3F">
        <w:rPr>
          <w:rFonts w:cs="Times New Roman"/>
        </w:rPr>
        <w:t>.</w:t>
      </w:r>
      <w:r w:rsidR="006F7FD7">
        <w:rPr>
          <w:rFonts w:cs="Times New Roman"/>
        </w:rPr>
        <w:fldChar w:fldCharType="begin"/>
      </w:r>
      <w:r w:rsidR="000E66DE">
        <w:rPr>
          <w:rFonts w:cs="Times New Roman"/>
        </w:rPr>
        <w:instrText xml:space="preserve"> ADDIN EN.CITE &lt;EndNote&gt;&lt;Cite&gt;&lt;Author&gt;Marchiò&lt;/Author&gt;&lt;Year&gt;2019&lt;/Year&gt;&lt;RecNum&gt;3543&lt;/RecNum&gt;&lt;DisplayText&gt;&lt;style face="superscript"&gt;170&lt;/style&gt;&lt;/DisplayText&gt;&lt;record&gt;&lt;rec-number&gt;3543&lt;/rec-number&gt;&lt;foreign-keys&gt;&lt;key app="EN" db-id="dwaevxvazfs2f3ewvzmxrd0k0wasw55p2z2w" timestamp="1579875628"&gt;3543&lt;/key&gt;&lt;/foreign-keys&gt;&lt;ref-type name="Journal Article"&gt;17&lt;/ref-type&gt;&lt;contributors&gt;&lt;authors&gt;&lt;author&gt;Marchiò, C.&lt;/author&gt;&lt;author&gt;Scaltriti, M.&lt;/author&gt;&lt;author&gt;Ladanyi, M.&lt;/author&gt;&lt;author&gt;Iafrate, A.J.&lt;/author&gt;&lt;author&gt;Bibeau, F.&lt;/author&gt;&lt;author&gt;Dietel, M.&lt;/author&gt;&lt;author&gt;Hechtman, J.F.&lt;/author&gt;&lt;author&gt;Troiani, T.&lt;/author&gt;&lt;author&gt;López-Rios, F.&lt;/author&gt;&lt;author&gt;Douillard, J-Y.&lt;/author&gt;&lt;/authors&gt;&lt;/contributors&gt;&lt;titles&gt;&lt;title&gt;ESMO recommendations on the standard methods to detect NTRK fusions in daily practice and clinical research&lt;/title&gt;&lt;secondary-title&gt;Annals of Oncology&lt;/secondary-title&gt;&lt;/titles&gt;&lt;periodical&gt;&lt;full-title&gt;Annals of Oncology&lt;/full-title&gt;&lt;abbr-1&gt;Ann Oncol&lt;/abbr-1&gt;&lt;/periodical&gt;&lt;dates&gt;&lt;year&gt;2019&lt;/year&gt;&lt;/dates&gt;&lt;urls&gt;&lt;/urls&gt;&lt;custom4&gt;LUCY&amp;apos;S REFERENCES&lt;/custom4&gt;&lt;/record&gt;&lt;/Cite&gt;&lt;/EndNote&gt;</w:instrText>
      </w:r>
      <w:r w:rsidR="006F7FD7">
        <w:rPr>
          <w:rFonts w:cs="Times New Roman"/>
        </w:rPr>
        <w:fldChar w:fldCharType="separate"/>
      </w:r>
      <w:r w:rsidR="004D5B2B" w:rsidRPr="004D5B2B">
        <w:rPr>
          <w:rFonts w:cs="Times New Roman"/>
          <w:noProof/>
          <w:vertAlign w:val="superscript"/>
        </w:rPr>
        <w:t>170</w:t>
      </w:r>
      <w:r w:rsidR="006F7FD7">
        <w:rPr>
          <w:rFonts w:cs="Times New Roman"/>
        </w:rPr>
        <w:fldChar w:fldCharType="end"/>
      </w:r>
      <w:r w:rsidR="00511D3F">
        <w:rPr>
          <w:rFonts w:cs="Times New Roman"/>
        </w:rPr>
        <w:t xml:space="preserve"> </w:t>
      </w:r>
    </w:p>
    <w:p w14:paraId="0154CAC2" w14:textId="77777777" w:rsidR="00D765F4" w:rsidRPr="002D1DD7" w:rsidRDefault="00D765F4" w:rsidP="00D977B6">
      <w:pPr>
        <w:pStyle w:val="Heading5"/>
      </w:pPr>
      <w:r w:rsidRPr="002D1DD7">
        <w:t>Number Needed to Screen</w:t>
      </w:r>
    </w:p>
    <w:p w14:paraId="2CF31359" w14:textId="692D92C8" w:rsidR="00D765F4" w:rsidRPr="002D1DD7" w:rsidRDefault="00D765F4" w:rsidP="00D765F4">
      <w:pPr>
        <w:rPr>
          <w:rFonts w:cs="Times New Roman"/>
        </w:rPr>
      </w:pPr>
      <w:r w:rsidRPr="002D1DD7">
        <w:rPr>
          <w:rFonts w:cs="Times New Roman"/>
        </w:rPr>
        <w:t xml:space="preserve">The </w:t>
      </w:r>
      <w:r w:rsidR="00AD35FE">
        <w:rPr>
          <w:rFonts w:cs="Times New Roman"/>
        </w:rPr>
        <w:t>NNS</w:t>
      </w:r>
      <w:r w:rsidRPr="002D1DD7">
        <w:rPr>
          <w:rFonts w:cs="Times New Roman"/>
        </w:rPr>
        <w:t xml:space="preserve"> in order to identify one patient eligible for Trk-inhibitors is based on NTRK fusion prevalence and the diagnostic accuracy of the respective tests</w:t>
      </w:r>
      <w:r w:rsidR="00653412">
        <w:rPr>
          <w:rFonts w:cs="Times New Roman"/>
        </w:rPr>
        <w:t xml:space="preserve">, see </w:t>
      </w:r>
      <w:r w:rsidR="00653412" w:rsidRPr="00511D3F">
        <w:rPr>
          <w:rFonts w:cs="Times New Roman"/>
        </w:rPr>
        <w:t xml:space="preserve">Appendix </w:t>
      </w:r>
      <w:r w:rsidR="00511D3F" w:rsidRPr="00511D3F">
        <w:rPr>
          <w:rFonts w:cs="Times New Roman"/>
        </w:rPr>
        <w:t>11</w:t>
      </w:r>
      <w:r w:rsidR="00511D3F">
        <w:rPr>
          <w:rFonts w:cs="Times New Roman"/>
        </w:rPr>
        <w:t xml:space="preserve"> </w:t>
      </w:r>
      <w:r w:rsidR="00653412">
        <w:rPr>
          <w:rFonts w:cs="Times New Roman"/>
        </w:rPr>
        <w:t>for details of calcu</w:t>
      </w:r>
      <w:r w:rsidR="00511D3F">
        <w:rPr>
          <w:rFonts w:cs="Times New Roman"/>
        </w:rPr>
        <w:t>l</w:t>
      </w:r>
      <w:r w:rsidR="00653412">
        <w:rPr>
          <w:rFonts w:cs="Times New Roman"/>
        </w:rPr>
        <w:t>ations</w:t>
      </w:r>
      <w:r w:rsidRPr="002D1DD7">
        <w:rPr>
          <w:rFonts w:cs="Times New Roman"/>
        </w:rPr>
        <w:t xml:space="preserve">. To our knowledge, there is no literature concerning the diagnostic accuracy of WGS in detecting NTRK fusions. As a result, the diagnostic accuracy of WGS for detecting NTRK fusions was based on sensitivity and specificity estimates of DNA-based NGS. </w:t>
      </w:r>
      <w:r w:rsidRPr="002D1DD7">
        <w:rPr>
          <w:rFonts w:cs="Times New Roman"/>
        </w:rPr>
        <w:fldChar w:fldCharType="begin"/>
      </w:r>
      <w:r w:rsidRPr="002D1DD7">
        <w:rPr>
          <w:rFonts w:cs="Times New Roman"/>
        </w:rPr>
        <w:instrText xml:space="preserve"> REF _Ref25245074 \h  \* MERGEFORMAT </w:instrText>
      </w:r>
      <w:r w:rsidRPr="002D1DD7">
        <w:rPr>
          <w:rFonts w:cs="Times New Roman"/>
        </w:rPr>
      </w:r>
      <w:r w:rsidRPr="002D1DD7">
        <w:rPr>
          <w:rFonts w:cs="Times New Roman"/>
        </w:rPr>
        <w:fldChar w:fldCharType="separate"/>
      </w:r>
      <w:r w:rsidR="00754B8C" w:rsidRPr="00754B8C">
        <w:rPr>
          <w:rFonts w:cs="Times New Roman"/>
        </w:rPr>
        <w:t>Table 18</w:t>
      </w:r>
      <w:r w:rsidRPr="002D1DD7">
        <w:rPr>
          <w:rFonts w:cs="Times New Roman"/>
        </w:rPr>
        <w:fldChar w:fldCharType="end"/>
      </w:r>
      <w:r w:rsidRPr="002D1DD7">
        <w:rPr>
          <w:rFonts w:cs="Times New Roman"/>
        </w:rPr>
        <w:t xml:space="preserve"> presents the diagnostic accuracy for each test. </w:t>
      </w:r>
    </w:p>
    <w:p w14:paraId="043A10E2" w14:textId="78BFA780" w:rsidR="00D765F4" w:rsidRPr="002D1DD7" w:rsidRDefault="00D765F4" w:rsidP="00511D3F">
      <w:pPr>
        <w:pStyle w:val="Caption"/>
      </w:pPr>
      <w:bookmarkStart w:id="200" w:name="_Ref25245074"/>
      <w:bookmarkStart w:id="201" w:name="_Toc34033532"/>
      <w:r w:rsidRPr="002D1DD7">
        <w:t xml:space="preserve">Table </w:t>
      </w:r>
      <w:r w:rsidR="00C974E5">
        <w:fldChar w:fldCharType="begin"/>
      </w:r>
      <w:r w:rsidR="00C974E5">
        <w:instrText xml:space="preserve"> SEQ Table \* ARABIC </w:instrText>
      </w:r>
      <w:r w:rsidR="00C974E5">
        <w:fldChar w:fldCharType="separate"/>
      </w:r>
      <w:r w:rsidR="00C9471F">
        <w:rPr>
          <w:noProof/>
        </w:rPr>
        <w:t>18</w:t>
      </w:r>
      <w:r w:rsidR="00C974E5">
        <w:rPr>
          <w:noProof/>
        </w:rPr>
        <w:fldChar w:fldCharType="end"/>
      </w:r>
      <w:bookmarkEnd w:id="200"/>
      <w:r w:rsidRPr="002D1DD7">
        <w:t>: Sensitivity and Specificity of each Genomic Test for identifying NTRK fusions</w:t>
      </w:r>
      <w:bookmarkEnd w:id="201"/>
    </w:p>
    <w:tbl>
      <w:tblPr>
        <w:tblStyle w:val="TableGrid"/>
        <w:tblW w:w="0" w:type="auto"/>
        <w:jc w:val="center"/>
        <w:tblLook w:val="04A0" w:firstRow="1" w:lastRow="0" w:firstColumn="1" w:lastColumn="0" w:noHBand="0" w:noVBand="1"/>
      </w:tblPr>
      <w:tblGrid>
        <w:gridCol w:w="5251"/>
        <w:gridCol w:w="1158"/>
        <w:gridCol w:w="1417"/>
      </w:tblGrid>
      <w:tr w:rsidR="00D765F4" w:rsidRPr="002D1DD7" w14:paraId="1C10C9B0" w14:textId="77777777" w:rsidTr="00B0116C">
        <w:trPr>
          <w:jc w:val="center"/>
        </w:trPr>
        <w:tc>
          <w:tcPr>
            <w:tcW w:w="5251" w:type="dxa"/>
            <w:tcBorders>
              <w:bottom w:val="single" w:sz="4" w:space="0" w:color="auto"/>
              <w:right w:val="single" w:sz="4" w:space="0" w:color="auto"/>
            </w:tcBorders>
          </w:tcPr>
          <w:p w14:paraId="42A65B05" w14:textId="77777777" w:rsidR="00D765F4" w:rsidRPr="002D1DD7" w:rsidRDefault="00D765F4" w:rsidP="00B0116C">
            <w:pPr>
              <w:rPr>
                <w:rFonts w:cs="Times New Roman"/>
              </w:rPr>
            </w:pPr>
          </w:p>
        </w:tc>
        <w:tc>
          <w:tcPr>
            <w:tcW w:w="1158" w:type="dxa"/>
            <w:tcBorders>
              <w:left w:val="single" w:sz="4" w:space="0" w:color="auto"/>
              <w:bottom w:val="single" w:sz="4" w:space="0" w:color="auto"/>
            </w:tcBorders>
          </w:tcPr>
          <w:p w14:paraId="02FEB7C2" w14:textId="77777777" w:rsidR="00D765F4" w:rsidRPr="002D1DD7" w:rsidRDefault="00D765F4" w:rsidP="00B0116C">
            <w:pPr>
              <w:jc w:val="center"/>
              <w:rPr>
                <w:rFonts w:cs="Times New Roman"/>
                <w:b/>
              </w:rPr>
            </w:pPr>
            <w:r w:rsidRPr="002D1DD7">
              <w:rPr>
                <w:rFonts w:cs="Times New Roman"/>
                <w:b/>
              </w:rPr>
              <w:t>Sensitivity</w:t>
            </w:r>
          </w:p>
        </w:tc>
        <w:tc>
          <w:tcPr>
            <w:tcW w:w="1417" w:type="dxa"/>
            <w:tcBorders>
              <w:bottom w:val="single" w:sz="4" w:space="0" w:color="auto"/>
            </w:tcBorders>
          </w:tcPr>
          <w:p w14:paraId="00DC3CB0" w14:textId="77777777" w:rsidR="00D765F4" w:rsidRPr="002D1DD7" w:rsidRDefault="00D765F4" w:rsidP="00B0116C">
            <w:pPr>
              <w:jc w:val="center"/>
              <w:rPr>
                <w:rFonts w:cs="Times New Roman"/>
                <w:b/>
              </w:rPr>
            </w:pPr>
            <w:r w:rsidRPr="002D1DD7">
              <w:rPr>
                <w:rFonts w:cs="Times New Roman"/>
                <w:b/>
              </w:rPr>
              <w:t>Specificity</w:t>
            </w:r>
          </w:p>
        </w:tc>
      </w:tr>
      <w:tr w:rsidR="00D765F4" w:rsidRPr="002D1DD7" w14:paraId="3C758854" w14:textId="77777777" w:rsidTr="00B0116C">
        <w:trPr>
          <w:jc w:val="center"/>
        </w:trPr>
        <w:tc>
          <w:tcPr>
            <w:tcW w:w="5251" w:type="dxa"/>
            <w:tcBorders>
              <w:top w:val="single" w:sz="4" w:space="0" w:color="auto"/>
              <w:right w:val="single" w:sz="4" w:space="0" w:color="auto"/>
            </w:tcBorders>
          </w:tcPr>
          <w:p w14:paraId="4B1633AE" w14:textId="5B98B441" w:rsidR="00D765F4" w:rsidRPr="002D1DD7" w:rsidRDefault="00D765F4" w:rsidP="004D5B2B">
            <w:pPr>
              <w:rPr>
                <w:rFonts w:cs="Times New Roman"/>
              </w:rPr>
            </w:pPr>
            <w:r w:rsidRPr="002D1DD7">
              <w:rPr>
                <w:rFonts w:cs="Times New Roman"/>
              </w:rPr>
              <w:t xml:space="preserve">RNA-seq </w:t>
            </w:r>
            <w:r w:rsidRPr="002D1DD7">
              <w:t xml:space="preserve"> </w:t>
            </w:r>
            <w:r w:rsidR="006F7FD7">
              <w:rPr>
                <w:rFonts w:cs="Times New Roman"/>
              </w:rPr>
              <w:fldChar w:fldCharType="begin"/>
            </w:r>
            <w:r w:rsidR="004D5B2B">
              <w:rPr>
                <w:rFonts w:cs="Times New Roman"/>
              </w:rPr>
              <w:instrText xml:space="preserve"> ADDIN EN.CITE &lt;EndNote&gt;&lt;Cite&gt;&lt;Author&gt;Williams&lt;/Author&gt;&lt;Year&gt;2018&lt;/Year&gt;&lt;RecNum&gt;31&lt;/RecNum&gt;&lt;DisplayText&gt;&lt;style face="superscript"&gt;175&lt;/style&gt;&lt;/DisplayText&gt;&lt;record&gt;&lt;rec-number&gt;31&lt;/rec-number&gt;&lt;foreign-keys&gt;&lt;key app="EN" db-id="pz0rrdex3zsv21etatn5ww0i0509tzrzexxd" timestamp="1580649516"&gt;31&lt;/key&gt;&lt;/foreign-keys&gt;&lt;ref-type name="Journal Article"&gt;17&lt;/ref-type&gt;&lt;contributors&gt;&lt;authors&gt;&lt;author&gt;Williams, Hannah L.&lt;/author&gt;&lt;author&gt;Walsh, Kathy&lt;/author&gt;&lt;author&gt;Diamond, Austin&lt;/author&gt;&lt;author&gt;Oniscu, Anca&lt;/author&gt;&lt;author&gt;Deans, Zandra C.&lt;/author&gt;&lt;/authors&gt;&lt;/contributors&gt;&lt;titles&gt;&lt;title&gt;Validation of the Oncomine™ focus panel for next-generation sequencing of clinical tumour samples&lt;/title&gt;&lt;secondary-title&gt;Virchows Archiv&lt;/secondary-title&gt;&lt;/titles&gt;&lt;pages&gt;489-503&lt;/pages&gt;&lt;volume&gt;473&lt;/volume&gt;&lt;number&gt;4&lt;/number&gt;&lt;dates&gt;&lt;year&gt;2018&lt;/year&gt;&lt;/dates&gt;&lt;isbn&gt;0945-6317&lt;/isbn&gt;&lt;urls&gt;&lt;/urls&gt;&lt;/record&gt;&lt;/Cite&gt;&lt;/EndNote&gt;</w:instrText>
            </w:r>
            <w:r w:rsidR="006F7FD7">
              <w:rPr>
                <w:rFonts w:cs="Times New Roman"/>
              </w:rPr>
              <w:fldChar w:fldCharType="separate"/>
            </w:r>
            <w:r w:rsidR="004D5B2B" w:rsidRPr="004D5B2B">
              <w:rPr>
                <w:rFonts w:cs="Times New Roman"/>
                <w:noProof/>
                <w:vertAlign w:val="superscript"/>
              </w:rPr>
              <w:t>175</w:t>
            </w:r>
            <w:r w:rsidR="006F7FD7">
              <w:rPr>
                <w:rFonts w:cs="Times New Roman"/>
              </w:rPr>
              <w:fldChar w:fldCharType="end"/>
            </w:r>
          </w:p>
        </w:tc>
        <w:tc>
          <w:tcPr>
            <w:tcW w:w="1158" w:type="dxa"/>
            <w:tcBorders>
              <w:top w:val="single" w:sz="4" w:space="0" w:color="auto"/>
              <w:left w:val="single" w:sz="4" w:space="0" w:color="auto"/>
            </w:tcBorders>
          </w:tcPr>
          <w:p w14:paraId="2DC98399" w14:textId="77777777" w:rsidR="00D765F4" w:rsidRPr="002D1DD7" w:rsidRDefault="00D765F4" w:rsidP="00B0116C">
            <w:pPr>
              <w:jc w:val="center"/>
              <w:rPr>
                <w:rFonts w:cs="Times New Roman"/>
              </w:rPr>
            </w:pPr>
            <w:r w:rsidRPr="002D1DD7">
              <w:rPr>
                <w:rFonts w:cs="Times New Roman"/>
              </w:rPr>
              <w:t>100.00%</w:t>
            </w:r>
          </w:p>
        </w:tc>
        <w:tc>
          <w:tcPr>
            <w:tcW w:w="1417" w:type="dxa"/>
            <w:tcBorders>
              <w:top w:val="single" w:sz="4" w:space="0" w:color="auto"/>
            </w:tcBorders>
          </w:tcPr>
          <w:p w14:paraId="26CA5D99" w14:textId="77777777" w:rsidR="00D765F4" w:rsidRPr="002D1DD7" w:rsidRDefault="00D765F4" w:rsidP="00B0116C">
            <w:pPr>
              <w:jc w:val="center"/>
              <w:rPr>
                <w:rFonts w:cs="Times New Roman"/>
              </w:rPr>
            </w:pPr>
            <w:r w:rsidRPr="002D1DD7">
              <w:rPr>
                <w:rFonts w:cs="Times New Roman"/>
              </w:rPr>
              <w:t>100.00%</w:t>
            </w:r>
          </w:p>
        </w:tc>
      </w:tr>
      <w:tr w:rsidR="00D765F4" w:rsidRPr="002D1DD7" w14:paraId="610FCF04" w14:textId="77777777" w:rsidTr="00B0116C">
        <w:trPr>
          <w:jc w:val="center"/>
        </w:trPr>
        <w:tc>
          <w:tcPr>
            <w:tcW w:w="5251" w:type="dxa"/>
            <w:tcBorders>
              <w:right w:val="single" w:sz="4" w:space="0" w:color="auto"/>
            </w:tcBorders>
          </w:tcPr>
          <w:p w14:paraId="03FBDEE1" w14:textId="159DD6D4" w:rsidR="00D765F4" w:rsidRPr="002D1DD7" w:rsidRDefault="00D765F4" w:rsidP="004D5B2B">
            <w:pPr>
              <w:rPr>
                <w:rFonts w:cs="Times New Roman"/>
              </w:rPr>
            </w:pPr>
            <w:r w:rsidRPr="002D1DD7">
              <w:rPr>
                <w:rFonts w:cs="Times New Roman"/>
              </w:rPr>
              <w:t>Whole Genome Sequencing and DNA-based NGS</w:t>
            </w:r>
            <w:r w:rsidR="006F7FD7">
              <w:rPr>
                <w:rFonts w:cs="Times New Roman"/>
              </w:rPr>
              <w:fldChar w:fldCharType="begin"/>
            </w:r>
            <w:r w:rsidR="004D5B2B">
              <w:rPr>
                <w:rFonts w:cs="Times New Roman"/>
              </w:rPr>
              <w:instrText xml:space="preserve"> ADDIN EN.CITE &lt;EndNote&gt;&lt;Cite&gt;&lt;Author&gt;Solomon&lt;/Author&gt;&lt;Year&gt;2019&lt;/Year&gt;&lt;RecNum&gt;29&lt;/RecNum&gt;&lt;DisplayText&gt;&lt;style face="superscript"&gt;167&lt;/style&gt;&lt;/DisplayText&gt;&lt;record&gt;&lt;rec-number&gt;29&lt;/rec-number&gt;&lt;foreign-keys&gt;&lt;key app="EN" db-id="pz0rrdex3zsv21etatn5ww0i0509tzrzexxd" timestamp="1580649515"&gt;29&lt;/key&gt;&lt;/foreign-keys&gt;&lt;ref-type name="Journal Article"&gt;17&lt;/ref-type&gt;&lt;contributors&gt;&lt;authors&gt;&lt;author&gt;Solomon, J.P.&lt;/author&gt;&lt;author&gt;Hechtman, J.F.&lt;/author&gt;&lt;/authors&gt;&lt;/contributors&gt;&lt;titles&gt;&lt;title&gt;Detection of NTRK Fusions: Merits and Limitations of Current Diagnostic Platforms&lt;/title&gt;&lt;secondary-title&gt;Cancer Research&lt;/secondary-title&gt;&lt;/titles&gt;&lt;dates&gt;&lt;year&gt;2019&lt;/year&gt;&lt;/dates&gt;&lt;isbn&gt;0008-5472&lt;/isbn&gt;&lt;urls&gt;&lt;/urls&gt;&lt;electronic-resource-num&gt;10.1158/0008-5472.CAN-19-0372&lt;/electronic-resource-num&gt;&lt;/record&gt;&lt;/Cite&gt;&lt;/EndNote&gt;</w:instrText>
            </w:r>
            <w:r w:rsidR="006F7FD7">
              <w:rPr>
                <w:rFonts w:cs="Times New Roman"/>
              </w:rPr>
              <w:fldChar w:fldCharType="separate"/>
            </w:r>
            <w:r w:rsidR="004D5B2B" w:rsidRPr="004D5B2B">
              <w:rPr>
                <w:rFonts w:cs="Times New Roman"/>
                <w:noProof/>
                <w:vertAlign w:val="superscript"/>
              </w:rPr>
              <w:t>167</w:t>
            </w:r>
            <w:r w:rsidR="006F7FD7">
              <w:rPr>
                <w:rFonts w:cs="Times New Roman"/>
              </w:rPr>
              <w:fldChar w:fldCharType="end"/>
            </w:r>
          </w:p>
        </w:tc>
        <w:tc>
          <w:tcPr>
            <w:tcW w:w="1158" w:type="dxa"/>
            <w:tcBorders>
              <w:left w:val="single" w:sz="4" w:space="0" w:color="auto"/>
            </w:tcBorders>
          </w:tcPr>
          <w:p w14:paraId="70A2017A" w14:textId="77777777" w:rsidR="00D765F4" w:rsidRPr="002D1DD7" w:rsidRDefault="00D765F4" w:rsidP="00B0116C">
            <w:pPr>
              <w:jc w:val="center"/>
              <w:rPr>
                <w:rFonts w:cs="Times New Roman"/>
              </w:rPr>
            </w:pPr>
            <w:r w:rsidRPr="002D1DD7">
              <w:rPr>
                <w:rFonts w:cs="Times New Roman"/>
              </w:rPr>
              <w:t>81.10%</w:t>
            </w:r>
          </w:p>
        </w:tc>
        <w:tc>
          <w:tcPr>
            <w:tcW w:w="1417" w:type="dxa"/>
          </w:tcPr>
          <w:p w14:paraId="121F97D0" w14:textId="77777777" w:rsidR="00D765F4" w:rsidRPr="002D1DD7" w:rsidRDefault="00D765F4" w:rsidP="00B0116C">
            <w:pPr>
              <w:jc w:val="center"/>
              <w:rPr>
                <w:rFonts w:cs="Times New Roman"/>
              </w:rPr>
            </w:pPr>
            <w:r w:rsidRPr="002D1DD7">
              <w:rPr>
                <w:rFonts w:cs="Times New Roman"/>
              </w:rPr>
              <w:t>99.86%</w:t>
            </w:r>
          </w:p>
        </w:tc>
      </w:tr>
      <w:tr w:rsidR="00D765F4" w:rsidRPr="002D1DD7" w14:paraId="2830C62F" w14:textId="77777777" w:rsidTr="00B0116C">
        <w:trPr>
          <w:jc w:val="center"/>
        </w:trPr>
        <w:tc>
          <w:tcPr>
            <w:tcW w:w="5251" w:type="dxa"/>
            <w:tcBorders>
              <w:right w:val="single" w:sz="4" w:space="0" w:color="auto"/>
            </w:tcBorders>
          </w:tcPr>
          <w:p w14:paraId="3685BF18" w14:textId="205D6F0B" w:rsidR="00D765F4" w:rsidRPr="002D1DD7" w:rsidRDefault="00D765F4" w:rsidP="00054FE8">
            <w:pPr>
              <w:rPr>
                <w:rFonts w:cs="Times New Roman"/>
              </w:rPr>
            </w:pPr>
            <w:r w:rsidRPr="002D1DD7">
              <w:rPr>
                <w:rFonts w:cs="Times New Roman"/>
              </w:rPr>
              <w:t xml:space="preserve">Immunohistochemistry </w:t>
            </w:r>
            <w:r w:rsidR="006F7FD7">
              <w:rPr>
                <w:rFonts w:cs="Times New Roman"/>
              </w:rPr>
              <w:fldChar w:fldCharType="begin"/>
            </w:r>
            <w:r w:rsidR="00054FE8">
              <w:rPr>
                <w:rFonts w:cs="Times New Roman"/>
              </w:rPr>
              <w:instrText xml:space="preserve"> ADDIN EN.CITE &lt;EndNote&gt;&lt;Cite&gt;&lt;Author&gt;Solomon&lt;/Author&gt;&lt;Year&gt;2019&lt;/Year&gt;&lt;RecNum&gt;3557&lt;/RecNum&gt;&lt;DisplayText&gt;&lt;style face="superscript"&gt;176&lt;/style&gt;&lt;/DisplayText&gt;&lt;record&gt;&lt;rec-number&gt;3557&lt;/rec-number&gt;&lt;foreign-keys&gt;&lt;key app="EN" db-id="dwaevxvazfs2f3ewvzmxrd0k0wasw55p2z2w" timestamp="1579875628"&gt;3557&lt;/key&gt;&lt;/foreign-keys&gt;&lt;ref-type name="Journal Article"&gt;17&lt;/ref-type&gt;&lt;contributors&gt;&lt;authors&gt;&lt;author&gt;Solomon, James P.&lt;/author&gt;&lt;author&gt;Linkov, Irina&lt;/author&gt;&lt;author&gt;Rosado, Andrea&lt;/author&gt;&lt;author&gt;Mullaney, Kerry&lt;/author&gt;&lt;author&gt;Rosen, Ezra Y.&lt;/author&gt;&lt;author&gt;Frosina, Denise&lt;/author&gt;&lt;author&gt;Jungbluth, Achim A.&lt;/author&gt;&lt;author&gt;Zehir, Ahmet&lt;/author&gt;&lt;author&gt;Benayed, Ryma&lt;/author&gt;&lt;author&gt;Drilon, Alexander&lt;/author&gt;&lt;author&gt;Hyman, David M.&lt;/author&gt;&lt;author&gt;Ladanyi, Marc&lt;/author&gt;&lt;author&gt;Sireci, Anthony N.&lt;/author&gt;&lt;author&gt;Hechtman, Jaclyn F.&lt;/author&gt;&lt;/authors&gt;&lt;/contributors&gt;&lt;titles&gt;&lt;title&gt;NTRK fusion detection across multiple assays and 33,997 cases: diagnostic implications and pitfalls&lt;/title&gt;&lt;secondary-title&gt;Modern Pathology&lt;/secondary-title&gt;&lt;/titles&gt;&lt;pages&gt;38-46&lt;/pages&gt;&lt;volume&gt;33&lt;/volume&gt;&lt;dates&gt;&lt;year&gt;2019&lt;/year&gt;&lt;pub-dates&gt;&lt;date&gt;2019/08/02&lt;/date&gt;&lt;/pub-dates&gt;&lt;/dates&gt;&lt;isbn&gt;1530-0285&lt;/isbn&gt;&lt;urls&gt;&lt;/urls&gt;&lt;custom4&gt;LUCY&amp;apos;S REFERENCES&lt;/custom4&gt;&lt;electronic-resource-num&gt;10.1038/s41379-019-0324-7&lt;/electronic-resource-num&gt;&lt;/record&gt;&lt;/Cite&gt;&lt;/EndNote&gt;</w:instrText>
            </w:r>
            <w:r w:rsidR="006F7FD7">
              <w:rPr>
                <w:rFonts w:cs="Times New Roman"/>
              </w:rPr>
              <w:fldChar w:fldCharType="separate"/>
            </w:r>
            <w:r w:rsidR="004D5B2B" w:rsidRPr="004D5B2B">
              <w:rPr>
                <w:rFonts w:cs="Times New Roman"/>
                <w:noProof/>
                <w:vertAlign w:val="superscript"/>
              </w:rPr>
              <w:t>176</w:t>
            </w:r>
            <w:r w:rsidR="006F7FD7">
              <w:rPr>
                <w:rFonts w:cs="Times New Roman"/>
              </w:rPr>
              <w:fldChar w:fldCharType="end"/>
            </w:r>
          </w:p>
        </w:tc>
        <w:tc>
          <w:tcPr>
            <w:tcW w:w="1158" w:type="dxa"/>
            <w:tcBorders>
              <w:left w:val="single" w:sz="4" w:space="0" w:color="auto"/>
            </w:tcBorders>
          </w:tcPr>
          <w:p w14:paraId="4400D21C" w14:textId="77777777" w:rsidR="00D765F4" w:rsidRPr="002D1DD7" w:rsidRDefault="00D765F4" w:rsidP="00B0116C">
            <w:pPr>
              <w:jc w:val="center"/>
              <w:rPr>
                <w:rFonts w:cs="Times New Roman"/>
              </w:rPr>
            </w:pPr>
            <w:r w:rsidRPr="002D1DD7">
              <w:rPr>
                <w:rFonts w:cs="Times New Roman"/>
              </w:rPr>
              <w:t>87.90%</w:t>
            </w:r>
          </w:p>
        </w:tc>
        <w:tc>
          <w:tcPr>
            <w:tcW w:w="1417" w:type="dxa"/>
          </w:tcPr>
          <w:p w14:paraId="6E896691" w14:textId="77777777" w:rsidR="00D765F4" w:rsidRPr="002D1DD7" w:rsidRDefault="00D765F4" w:rsidP="00B0116C">
            <w:pPr>
              <w:jc w:val="center"/>
              <w:rPr>
                <w:rFonts w:cs="Times New Roman"/>
              </w:rPr>
            </w:pPr>
            <w:r w:rsidRPr="002D1DD7">
              <w:rPr>
                <w:rFonts w:cs="Times New Roman"/>
              </w:rPr>
              <w:t>81.10%</w:t>
            </w:r>
          </w:p>
        </w:tc>
      </w:tr>
      <w:tr w:rsidR="00D765F4" w:rsidRPr="002D1DD7" w14:paraId="4A4E9C0D" w14:textId="77777777" w:rsidTr="00B0116C">
        <w:trPr>
          <w:jc w:val="center"/>
        </w:trPr>
        <w:tc>
          <w:tcPr>
            <w:tcW w:w="5251" w:type="dxa"/>
            <w:tcBorders>
              <w:right w:val="single" w:sz="4" w:space="0" w:color="auto"/>
            </w:tcBorders>
          </w:tcPr>
          <w:p w14:paraId="722FB623" w14:textId="0F0712C7" w:rsidR="00D765F4" w:rsidRPr="002D1DD7" w:rsidRDefault="00D765F4" w:rsidP="004D5B2B">
            <w:pPr>
              <w:rPr>
                <w:rFonts w:cs="Times New Roman"/>
              </w:rPr>
            </w:pPr>
            <w:r w:rsidRPr="002D1DD7">
              <w:rPr>
                <w:rFonts w:cs="Times New Roman"/>
              </w:rPr>
              <w:t xml:space="preserve">Fluorescent in-situ Hybridisation (ETV6-NTRK3) </w:t>
            </w:r>
            <w:r w:rsidR="006F7FD7">
              <w:rPr>
                <w:rFonts w:cs="Times New Roman"/>
              </w:rPr>
              <w:fldChar w:fldCharType="begin"/>
            </w:r>
            <w:r w:rsidR="004D5B2B">
              <w:rPr>
                <w:rFonts w:cs="Times New Roman"/>
              </w:rPr>
              <w:instrText xml:space="preserve"> ADDIN EN.CITE &lt;EndNote&gt;&lt;Cite&gt;&lt;Author&gt;Makretsov&lt;/Author&gt;&lt;Year&gt;2004&lt;/Year&gt;&lt;RecNum&gt;33&lt;/RecNum&gt;&lt;DisplayText&gt;&lt;style face="superscript"&gt;177&lt;/style&gt;&lt;/DisplayText&gt;&lt;record&gt;&lt;rec-number&gt;33&lt;/rec-number&gt;&lt;foreign-keys&gt;&lt;key app="EN" db-id="pz0rrdex3zsv21etatn5ww0i0509tzrzexxd" timestamp="1580649516"&gt;33&lt;/key&gt;&lt;/foreign-keys&gt;&lt;ref-type name="Journal Article"&gt;17&lt;/ref-type&gt;&lt;contributors&gt;&lt;authors&gt;&lt;author&gt;Makretsov, Nikita&lt;/author&gt;&lt;author&gt;He, May&lt;/author&gt;&lt;author&gt;Hayes, Malcolm&lt;/author&gt;&lt;author&gt;Chia, Stephen&lt;/author&gt;&lt;author&gt;Hors</w:instrText>
            </w:r>
            <w:r w:rsidR="004D5B2B">
              <w:rPr>
                <w:rFonts w:cs="Times New Roman" w:hint="eastAsia"/>
              </w:rPr>
              <w:instrText>man, Doug E.&lt;/author&gt;&lt;author&gt;Sorensen, Poul H. B.&lt;/author&gt;&lt;author&gt;Huntsman, David G.&lt;/author&gt;&lt;/authors&gt;&lt;/contributors&gt;&lt;titles&gt;&lt;title&gt;A fluorescence in situ hybridization study of ETV6</w:instrText>
            </w:r>
            <w:r w:rsidR="004D5B2B">
              <w:rPr>
                <w:rFonts w:cs="Times New Roman" w:hint="eastAsia"/>
              </w:rPr>
              <w:instrText>‐</w:instrText>
            </w:r>
            <w:r w:rsidR="004D5B2B">
              <w:rPr>
                <w:rFonts w:cs="Times New Roman" w:hint="eastAsia"/>
              </w:rPr>
              <w:instrText>NTRK3 fusion gene in secretory breast carcinoma&lt;/title&gt;&lt;secondary-title</w:instrText>
            </w:r>
            <w:r w:rsidR="004D5B2B">
              <w:rPr>
                <w:rFonts w:cs="Times New Roman"/>
              </w:rPr>
              <w:instrText>&gt;Genes, Chromosomes and Cancer&lt;/secondary-title&gt;&lt;/titles&gt;&lt;pages&gt;152-157&lt;/pages&gt;&lt;volume&gt;40&lt;/volume&gt;&lt;number&gt;2&lt;/number&gt;&lt;dates&gt;&lt;year&gt;2004&lt;/year&gt;&lt;/dates&gt;&lt;isbn&gt;1045-2257&lt;/isbn&gt;&lt;urls&gt;&lt;/urls&gt;&lt;/record&gt;&lt;/Cite&gt;&lt;Cite&gt;&lt;Author&gt;Makretsov&lt;/Author&gt;&lt;Year&gt;2004&lt;/Year&gt;&lt;RecNum&gt;33&lt;/RecNum&gt;&lt;record&gt;&lt;rec-number&gt;33&lt;/rec-number&gt;&lt;foreign-keys&gt;&lt;key app="EN" db-id="pz0rrdex3zsv21etatn5ww0i0509tzrzexxd" timestamp="1580649516"&gt;33&lt;/key&gt;&lt;/foreign-keys&gt;&lt;ref-type name="Journal Article"&gt;17&lt;/ref-type&gt;&lt;contributors&gt;&lt;authors&gt;&lt;author&gt;Makretsov, Nikita&lt;/author&gt;&lt;author&gt;He, May&lt;/author&gt;&lt;author&gt;Hayes, Malcolm&lt;/author&gt;&lt;author&gt;Chia, Stephen&lt;/author&gt;&lt;author&gt;Horsman, Doug E.&lt;/author&gt;&lt;author&gt;Sorensen, Poul H. B.&lt;/author&gt;&lt;author&gt;Huntsman, David G.&lt;/author&gt;&lt;/authors&gt;&lt;/contributors&gt;&lt;titles&gt;&lt;title&gt;A fluoresce</w:instrText>
            </w:r>
            <w:r w:rsidR="004D5B2B">
              <w:rPr>
                <w:rFonts w:cs="Times New Roman" w:hint="eastAsia"/>
              </w:rPr>
              <w:instrText>nce in situ hybridization study of ETV6</w:instrText>
            </w:r>
            <w:r w:rsidR="004D5B2B">
              <w:rPr>
                <w:rFonts w:cs="Times New Roman" w:hint="eastAsia"/>
              </w:rPr>
              <w:instrText>‐</w:instrText>
            </w:r>
            <w:r w:rsidR="004D5B2B">
              <w:rPr>
                <w:rFonts w:cs="Times New Roman" w:hint="eastAsia"/>
              </w:rPr>
              <w:instrText>NTRK3 fusion gene in secretory breast carcinoma&lt;/title&gt;&lt;secondary-title&gt;Genes, Chromosomes and Cancer&lt;/secondary-title&gt;&lt;/titles&gt;&lt;pages&gt;152-157&lt;/pages&gt;&lt;volume&gt;40&lt;/volume&gt;&lt;number&gt;2&lt;/number&gt;&lt;dates&gt;&lt;year&gt;2004&lt;/year&gt;&lt;/da</w:instrText>
            </w:r>
            <w:r w:rsidR="004D5B2B">
              <w:rPr>
                <w:rFonts w:cs="Times New Roman"/>
              </w:rPr>
              <w:instrText>tes&gt;&lt;isbn&gt;1045-2257&lt;/isbn&gt;&lt;urls&gt;&lt;/urls&gt;&lt;/record&gt;&lt;/Cite&gt;&lt;/EndNote&gt;</w:instrText>
            </w:r>
            <w:r w:rsidR="006F7FD7">
              <w:rPr>
                <w:rFonts w:cs="Times New Roman"/>
              </w:rPr>
              <w:fldChar w:fldCharType="separate"/>
            </w:r>
            <w:r w:rsidR="004D5B2B" w:rsidRPr="004D5B2B">
              <w:rPr>
                <w:rFonts w:cs="Times New Roman"/>
                <w:noProof/>
                <w:vertAlign w:val="superscript"/>
              </w:rPr>
              <w:t>177</w:t>
            </w:r>
            <w:r w:rsidR="006F7FD7">
              <w:rPr>
                <w:rFonts w:cs="Times New Roman"/>
              </w:rPr>
              <w:fldChar w:fldCharType="end"/>
            </w:r>
          </w:p>
        </w:tc>
        <w:tc>
          <w:tcPr>
            <w:tcW w:w="1158" w:type="dxa"/>
            <w:tcBorders>
              <w:left w:val="single" w:sz="4" w:space="0" w:color="auto"/>
            </w:tcBorders>
          </w:tcPr>
          <w:p w14:paraId="2B6B5E58" w14:textId="77777777" w:rsidR="00D765F4" w:rsidRPr="002D1DD7" w:rsidRDefault="00D765F4" w:rsidP="00B0116C">
            <w:pPr>
              <w:jc w:val="center"/>
              <w:rPr>
                <w:rFonts w:cs="Times New Roman"/>
              </w:rPr>
            </w:pPr>
            <w:r w:rsidRPr="002D1DD7">
              <w:rPr>
                <w:rFonts w:cs="Times New Roman"/>
              </w:rPr>
              <w:t>80.00%</w:t>
            </w:r>
          </w:p>
        </w:tc>
        <w:tc>
          <w:tcPr>
            <w:tcW w:w="1417" w:type="dxa"/>
          </w:tcPr>
          <w:p w14:paraId="510F12BC" w14:textId="77777777" w:rsidR="00D765F4" w:rsidRPr="002D1DD7" w:rsidRDefault="00D765F4" w:rsidP="00B0116C">
            <w:pPr>
              <w:jc w:val="center"/>
              <w:rPr>
                <w:rFonts w:cs="Times New Roman"/>
              </w:rPr>
            </w:pPr>
            <w:r w:rsidRPr="002D1DD7">
              <w:rPr>
                <w:rFonts w:cs="Times New Roman"/>
              </w:rPr>
              <w:t>100.00%</w:t>
            </w:r>
          </w:p>
        </w:tc>
      </w:tr>
    </w:tbl>
    <w:p w14:paraId="57B0FCB4" w14:textId="77777777" w:rsidR="00511D3F" w:rsidRDefault="00511D3F" w:rsidP="00D765F4">
      <w:pPr>
        <w:spacing w:before="240"/>
        <w:rPr>
          <w:rFonts w:cs="Times New Roman"/>
        </w:rPr>
      </w:pPr>
    </w:p>
    <w:p w14:paraId="44C56BD3" w14:textId="53B4BC84" w:rsidR="00D765F4" w:rsidRPr="002D1DD7" w:rsidRDefault="00D765F4" w:rsidP="00D765F4">
      <w:pPr>
        <w:spacing w:before="240"/>
        <w:rPr>
          <w:rFonts w:cs="Times New Roman"/>
        </w:rPr>
      </w:pPr>
      <w:r w:rsidRPr="002D1DD7">
        <w:rPr>
          <w:rFonts w:cs="Times New Roman"/>
        </w:rPr>
        <w:t xml:space="preserve">The NNS with a first-line (FL) test was estimated using the tumour type specific prevalence of NTRK fusions and the respective first-line test sensitivity (Sn) using the following equation. </w:t>
      </w:r>
    </w:p>
    <w:p w14:paraId="64C653F8" w14:textId="77777777" w:rsidR="00D765F4" w:rsidRPr="002D1DD7" w:rsidRDefault="00C974E5" w:rsidP="00D765F4">
      <w:pPr>
        <w:rPr>
          <w:rFonts w:cs="Times New Roman"/>
          <w:sz w:val="20"/>
        </w:rPr>
      </w:pPr>
      <m:oMathPara>
        <m:oMath>
          <m:sSub>
            <m:sSubPr>
              <m:ctrlPr>
                <w:rPr>
                  <w:rFonts w:ascii="Cambria Math" w:hAnsi="Cambria Math" w:cs="Times New Roman"/>
                  <w:i/>
                </w:rPr>
              </m:ctrlPr>
            </m:sSubPr>
            <m:e>
              <m:r>
                <w:rPr>
                  <w:rFonts w:ascii="Cambria Math" w:hAnsi="Cambria Math" w:cs="Times New Roman"/>
                </w:rPr>
                <m:t>NNS</m:t>
              </m:r>
            </m:e>
            <m:sub>
              <m:r>
                <w:rPr>
                  <w:rFonts w:ascii="Cambria Math" w:hAnsi="Cambria Math" w:cs="Times New Roman"/>
                </w:rPr>
                <m:t>FL</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Sn</m:t>
              </m:r>
              <m:r>
                <w:rPr>
                  <w:rFonts w:ascii="Cambria Math" w:hAnsi="Cambria Math" w:cs="Times New Roman"/>
                </w:rPr>
                <m:t xml:space="preserve"> ×</m:t>
              </m:r>
              <m:r>
                <w:rPr>
                  <w:rFonts w:ascii="Cambria Math" w:hAnsi="Cambria Math" w:cs="Times New Roman"/>
                </w:rPr>
                <m:t>NTRK</m:t>
              </m:r>
              <m:r>
                <w:rPr>
                  <w:rFonts w:ascii="Cambria Math" w:hAnsi="Cambria Math" w:cs="Times New Roman"/>
                </w:rPr>
                <m:t xml:space="preserve"> </m:t>
              </m:r>
              <m:r>
                <w:rPr>
                  <w:rFonts w:ascii="Cambria Math" w:hAnsi="Cambria Math" w:cs="Times New Roman"/>
                </w:rPr>
                <m:t>Prevalence</m:t>
              </m:r>
            </m:den>
          </m:f>
        </m:oMath>
      </m:oMathPara>
    </w:p>
    <w:p w14:paraId="27903487" w14:textId="77777777" w:rsidR="00D765F4" w:rsidRPr="002D1DD7" w:rsidRDefault="00D765F4" w:rsidP="00D765F4">
      <w:pPr>
        <w:rPr>
          <w:rFonts w:cs="Times New Roman"/>
        </w:rPr>
      </w:pPr>
      <w:r w:rsidRPr="002D1DD7">
        <w:rPr>
          <w:rFonts w:cs="Times New Roman"/>
        </w:rPr>
        <w:lastRenderedPageBreak/>
        <w:t xml:space="preserve">Confirmatory RNA-testing is required for patients who require first-line IHC, WGS or DNA-based NGS. The NNS with a confirmatory (C) test was estimated using the sensitivity and specificity of the respective test and the tumour-specific NTRK fusion prevalence.  </w:t>
      </w:r>
    </w:p>
    <w:p w14:paraId="623BD3F1" w14:textId="77777777" w:rsidR="00D765F4" w:rsidRPr="002D1DD7" w:rsidRDefault="00C974E5" w:rsidP="00511D3F">
      <w:pPr>
        <w:rPr>
          <w:sz w:val="20"/>
        </w:rPr>
      </w:pPr>
      <m:oMathPara>
        <m:oMath>
          <m:sSub>
            <m:sSubPr>
              <m:ctrlPr>
                <w:rPr>
                  <w:rFonts w:ascii="Cambria Math" w:hAnsi="Cambria Math"/>
                </w:rPr>
              </m:ctrlPr>
            </m:sSubPr>
            <m:e>
              <m:r>
                <w:rPr>
                  <w:rFonts w:ascii="Cambria Math" w:hAnsi="Cambria Math"/>
                </w:rPr>
                <m:t>NNS</m:t>
              </m:r>
            </m:e>
            <m:sub>
              <m:r>
                <w:rPr>
                  <w:rFonts w:ascii="Cambria Math" w:hAnsi="Cambria Math"/>
                </w:rPr>
                <m:t>C</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Sn</m:t>
                  </m:r>
                  <m:r>
                    <m:rPr>
                      <m:sty m:val="p"/>
                    </m:rPr>
                    <w:rPr>
                      <w:rFonts w:ascii="Cambria Math" w:hAnsi="Cambria Math"/>
                    </w:rPr>
                    <m:t xml:space="preserve"> ×</m:t>
                  </m:r>
                  <m:r>
                    <w:rPr>
                      <w:rFonts w:ascii="Cambria Math" w:hAnsi="Cambria Math"/>
                    </w:rPr>
                    <m:t>NTRK</m:t>
                  </m:r>
                  <m:r>
                    <m:rPr>
                      <m:sty m:val="p"/>
                    </m:rPr>
                    <w:rPr>
                      <w:rFonts w:ascii="Cambria Math" w:hAnsi="Cambria Math"/>
                    </w:rPr>
                    <m:t xml:space="preserve"> </m:t>
                  </m:r>
                  <m:r>
                    <w:rPr>
                      <w:rFonts w:ascii="Cambria Math" w:hAnsi="Cambria Math"/>
                    </w:rPr>
                    <m:t>prevalence</m:t>
                  </m:r>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Sp</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NTRK</m:t>
                  </m:r>
                  <m:r>
                    <m:rPr>
                      <m:sty m:val="p"/>
                    </m:rPr>
                    <w:rPr>
                      <w:rFonts w:ascii="Cambria Math" w:hAnsi="Cambria Math"/>
                    </w:rPr>
                    <m:t xml:space="preserve"> </m:t>
                  </m:r>
                  <m:r>
                    <w:rPr>
                      <w:rFonts w:ascii="Cambria Math" w:hAnsi="Cambria Math"/>
                    </w:rPr>
                    <m:t>Prevalence</m:t>
                  </m:r>
                </m:e>
              </m:d>
              <m:r>
                <m:rPr>
                  <m:sty m:val="p"/>
                </m:rPr>
                <w:rPr>
                  <w:rFonts w:ascii="Cambria Math" w:hAnsi="Cambria Math"/>
                </w:rPr>
                <m:t>)</m:t>
              </m:r>
            </m:den>
          </m:f>
        </m:oMath>
      </m:oMathPara>
    </w:p>
    <w:p w14:paraId="5D00DB47" w14:textId="77777777" w:rsidR="00511D3F" w:rsidRDefault="00511D3F" w:rsidP="00511D3F"/>
    <w:p w14:paraId="2C3EA788" w14:textId="1EB33B91" w:rsidR="00D765F4" w:rsidRPr="002D1DD7" w:rsidRDefault="00D765F4" w:rsidP="00511D3F">
      <w:pPr>
        <w:pStyle w:val="Heading5"/>
      </w:pPr>
      <w:r w:rsidRPr="002D1DD7">
        <w:t>Cost of Testing to Identify One Eligible Patient for Trk-inhibitors</w:t>
      </w:r>
    </w:p>
    <w:p w14:paraId="7AADE438" w14:textId="0EF3047D" w:rsidR="00D765F4" w:rsidRPr="002D1DD7" w:rsidRDefault="00D765F4" w:rsidP="00511D3F">
      <w:r w:rsidRPr="002D1DD7">
        <w:t>The incremental cost of testing in order to identify one eligible patient was estimated for each tumou</w:t>
      </w:r>
      <w:r w:rsidR="004C4EA1">
        <w:t>r</w:t>
      </w:r>
      <w:r w:rsidRPr="002D1DD7">
        <w:t>. Genomic testing, in the form of DNA-based NGS, WGS and FISH, are currently reimbursed by the NHS for some tumours. The price</w:t>
      </w:r>
      <w:r w:rsidR="00221973">
        <w:t>s</w:t>
      </w:r>
      <w:r w:rsidRPr="002D1DD7">
        <w:t xml:space="preserve"> for each test were acquired from a UK Genomic Centre; IHC and FISH were costed at £150, DNA and RNA-based NGS were priced at £250 and £350</w:t>
      </w:r>
      <w:r w:rsidR="00221973">
        <w:t>,</w:t>
      </w:r>
      <w:r w:rsidRPr="002D1DD7">
        <w:t xml:space="preserve"> respectively. The cost of WGS was assumed to be £800</w:t>
      </w:r>
      <w:r w:rsidR="00221973">
        <w:t>.</w:t>
      </w:r>
      <w:r w:rsidR="006F7FD7">
        <w:fldChar w:fldCharType="begin"/>
      </w:r>
      <w:r w:rsidR="004D5B2B">
        <w:instrText xml:space="preserve"> ADDIN EN.CITE &lt;EndNote&gt;&lt;Cite&gt;&lt;Author&gt;Council&lt;/Author&gt;&lt;Year&gt;2019&lt;/Year&gt;&lt;RecNum&gt;34&lt;/RecNum&gt;&lt;DisplayText&gt;&lt;style face="superscript"&gt;178&lt;/style&gt;&lt;/DisplayText&gt;&lt;record&gt;&lt;rec-number&gt;34&lt;/rec-number&gt;&lt;foreign-keys&gt;&lt;key app="EN" db-id="pz0rrdex3zsv21etatn5ww0i0509tzrzexxd" timestamp="1580649516"&gt;34&lt;/key&gt;&lt;/foreign-keys&gt;&lt;ref-type name="Report"&gt;27&lt;/ref-type&gt;&lt;contributors&gt;&lt;authors&gt;&lt;author&gt;Scottish Science Advisory Council&lt;/author&gt;&lt;/authors&gt;&lt;secondary-authors&gt;&lt;author&gt;Scottish Science Advisory Council&lt;/author&gt;&lt;/secondary-authors&gt;&lt;/contributors&gt;&lt;titles&gt;&lt;title&gt;Informing the Future of Genomic Medicine in Scotland&lt;/title&gt;&lt;/titles&gt;&lt;dates&gt;&lt;year&gt;2019&lt;/year&gt;&lt;/dates&gt;&lt;urls&gt;&lt;/urls&gt;&lt;/record&gt;&lt;/Cite&gt;&lt;/EndNote&gt;</w:instrText>
      </w:r>
      <w:r w:rsidR="006F7FD7">
        <w:fldChar w:fldCharType="separate"/>
      </w:r>
      <w:r w:rsidR="004D5B2B" w:rsidRPr="004D5B2B">
        <w:rPr>
          <w:noProof/>
          <w:vertAlign w:val="superscript"/>
        </w:rPr>
        <w:t>178</w:t>
      </w:r>
      <w:r w:rsidR="006F7FD7">
        <w:fldChar w:fldCharType="end"/>
      </w:r>
      <w:r w:rsidRPr="002D1DD7">
        <w:t xml:space="preserve"> </w:t>
      </w:r>
    </w:p>
    <w:p w14:paraId="7C19340C" w14:textId="77777777" w:rsidR="00D765F4" w:rsidRPr="002D1DD7" w:rsidRDefault="00D765F4" w:rsidP="00511D3F">
      <w:r w:rsidRPr="002D1DD7">
        <w:t xml:space="preserve">The incremental cost to identify one eligible patient in each tumour type was calculated by: </w:t>
      </w:r>
    </w:p>
    <w:p w14:paraId="6DEEAC5D" w14:textId="77777777" w:rsidR="00D765F4" w:rsidRPr="002D1DD7" w:rsidRDefault="00D765F4" w:rsidP="00D765F4">
      <w:pPr>
        <w:jc w:val="center"/>
        <w:rPr>
          <w:rFonts w:cs="Times New Roman"/>
        </w:rPr>
      </w:pPr>
      <m:oMathPara>
        <m:oMath>
          <m:r>
            <w:rPr>
              <w:rFonts w:ascii="Cambria Math" w:hAnsi="Cambria Math" w:cs="Times New Roman"/>
            </w:rPr>
            <m:t>Cost=</m:t>
          </m:r>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NNS</m:t>
                  </m:r>
                </m:e>
                <m:sub>
                  <m:r>
                    <w:rPr>
                      <w:rFonts w:ascii="Cambria Math" w:hAnsi="Cambria Math" w:cs="Times New Roman"/>
                    </w:rPr>
                    <m:t>FL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Cost</m:t>
                  </m:r>
                </m:e>
                <m:sub>
                  <m:r>
                    <w:rPr>
                      <w:rFonts w:ascii="Cambria Math" w:hAnsi="Cambria Math" w:cs="Times New Roman"/>
                    </w:rPr>
                    <m:t>FL Test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NNs</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Cost</m:t>
                  </m:r>
                </m:e>
                <m:sub>
                  <m:r>
                    <w:rPr>
                      <w:rFonts w:ascii="Cambria Math" w:hAnsi="Cambria Math" w:cs="Times New Roman"/>
                    </w:rPr>
                    <m:t>RNA NGS</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NNS</m:t>
              </m:r>
            </m:e>
            <m:sub>
              <m:r>
                <w:rPr>
                  <w:rFonts w:ascii="Cambria Math" w:hAnsi="Cambria Math" w:cs="Times New Roman"/>
                </w:rPr>
                <m:t>FL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Cost</m:t>
              </m:r>
            </m:e>
            <m:sub>
              <m:r>
                <w:rPr>
                  <w:rFonts w:ascii="Cambria Math" w:hAnsi="Cambria Math" w:cs="Times New Roman"/>
                </w:rPr>
                <m:t>Current Test</m:t>
              </m:r>
            </m:sub>
          </m:sSub>
          <m:r>
            <w:rPr>
              <w:rFonts w:ascii="Cambria Math" w:hAnsi="Cambria Math" w:cs="Times New Roman"/>
            </w:rPr>
            <m:t>)</m:t>
          </m:r>
        </m:oMath>
      </m:oMathPara>
    </w:p>
    <w:p w14:paraId="78575D4C" w14:textId="63197C33" w:rsidR="00D765F4" w:rsidRPr="002D1DD7" w:rsidRDefault="00D765F4" w:rsidP="00511D3F">
      <w:r w:rsidRPr="002D1DD7">
        <w:t xml:space="preserve">An average of the tumour-specific testing costs </w:t>
      </w:r>
      <w:r w:rsidR="00221973">
        <w:t>was</w:t>
      </w:r>
      <w:r w:rsidR="00221973" w:rsidRPr="002D1DD7">
        <w:t xml:space="preserve"> </w:t>
      </w:r>
      <w:r w:rsidRPr="002D1DD7">
        <w:t xml:space="preserve">used to calculate the cost of identifying one individual with an NTRK fusion for each testing strategy. The average cost was weighted in accordance with the annual eligible population for Trk-inhibitors in each tumour.  </w:t>
      </w:r>
    </w:p>
    <w:p w14:paraId="4AA33401" w14:textId="77777777" w:rsidR="00D765F4" w:rsidRPr="002D1DD7" w:rsidRDefault="00D765F4" w:rsidP="00511D3F">
      <w:pPr>
        <w:pStyle w:val="Heading5"/>
      </w:pPr>
      <w:r w:rsidRPr="002D1DD7">
        <w:t>Value of implementing NTRK testing</w:t>
      </w:r>
    </w:p>
    <w:p w14:paraId="720EECE4" w14:textId="227C2D35" w:rsidR="00D765F4" w:rsidRPr="002D1DD7" w:rsidRDefault="00D765F4">
      <w:pPr>
        <w:rPr>
          <w:rFonts w:cs="Times New Roman"/>
        </w:rPr>
      </w:pPr>
      <w:r w:rsidRPr="002D1DD7">
        <w:rPr>
          <w:rFonts w:cs="Times New Roman"/>
        </w:rPr>
        <w:t>In order to illustrate how cost-effectiveness may vary across tumour types because of the variation in testing costs</w:t>
      </w:r>
      <w:r w:rsidR="00221973">
        <w:rPr>
          <w:rFonts w:cs="Times New Roman"/>
        </w:rPr>
        <w:t>,</w:t>
      </w:r>
      <w:r w:rsidRPr="002D1DD7">
        <w:rPr>
          <w:rFonts w:cs="Times New Roman"/>
        </w:rPr>
        <w:t xml:space="preserve"> a hypothetical scenario was considered in which incremental cost</w:t>
      </w:r>
      <w:r w:rsidR="00221973">
        <w:rPr>
          <w:rFonts w:cs="Times New Roman"/>
        </w:rPr>
        <w:t>-</w:t>
      </w:r>
      <w:r w:rsidRPr="002D1DD7">
        <w:rPr>
          <w:rFonts w:cs="Times New Roman"/>
        </w:rPr>
        <w:t>effectiveness ratios (ICERs) were calculated for each tumour type. This analysis was based on the incremental costs of testing only and excludes other costs associated with the treatment (e.g. drug costs). The ICERs estimated the difference in testing costs between testing for NTRK and current testing provision, relative to the benefits (quantified by QALYs). Incremental benefits were based on the Canadian Agency for Drugs and Technologies in Health (CADTH)</w:t>
      </w:r>
      <w:r w:rsidR="006F7FD7">
        <w:rPr>
          <w:rFonts w:cs="Times New Roman"/>
        </w:rPr>
        <w:fldChar w:fldCharType="begin"/>
      </w:r>
      <w:r w:rsidR="004D5B2B">
        <w:rPr>
          <w:rFonts w:cs="Times New Roman"/>
        </w:rPr>
        <w:instrText xml:space="preserve"> ADDIN EN.CITE &lt;EndNote&gt;&lt;Cite&gt;&lt;Author&gt;CADTH&lt;/Author&gt;&lt;Year&gt;2019&lt;/Year&gt;&lt;RecNum&gt;35&lt;/RecNum&gt;&lt;DisplayText&gt;&lt;style face="superscript"&gt;179&lt;/style&gt;&lt;/DisplayText&gt;&lt;record&gt;&lt;rec-number&gt;35&lt;/rec-number&gt;&lt;foreign-keys&gt;&lt;key app="EN" db-id="pz0rrdex3zsv21etatn5ww0i0509tzrzexxd" timestamp="1580649516"&gt;35&lt;/key&gt;&lt;/foreign-keys&gt;&lt;ref-type name="Report"&gt;27&lt;/ref-type&gt;&lt;contributors&gt;&lt;authors&gt;&lt;author&gt;CADTH&lt;/author&gt;&lt;/authors&gt;&lt;secondary-authors&gt;&lt;author&gt;Canadian Agency for Drugs and Technologies in Health &lt;/author&gt;&lt;/secondary-authors&gt;&lt;tertiary-authors&gt;&lt;author&gt;Canadian Agency for Drugs and Technologies in Health &lt;/author&gt;&lt;/tertiary-authors&gt;&lt;/contributors&gt;&lt;titles&gt;&lt;title&gt;Larotrectinib (Vitrakvi) for Neurotrophic Tyrosine Receptor Kinase (NTRK) Positive Solid Tumours: pan-Canadian Oncology Drug Review. Final Economic Guidance Report &lt;/title&gt;&lt;/titles&gt;&lt;dates&gt;&lt;year&gt;2019&lt;/year&gt;&lt;/dates&gt;&lt;urls&gt;&lt;/urls&gt;&lt;/record&gt;&lt;/Cite&gt;&lt;/EndNote&gt;</w:instrText>
      </w:r>
      <w:r w:rsidR="006F7FD7">
        <w:rPr>
          <w:rFonts w:cs="Times New Roman"/>
        </w:rPr>
        <w:fldChar w:fldCharType="separate"/>
      </w:r>
      <w:r w:rsidR="004D5B2B" w:rsidRPr="004D5B2B">
        <w:rPr>
          <w:rFonts w:cs="Times New Roman"/>
          <w:noProof/>
          <w:vertAlign w:val="superscript"/>
        </w:rPr>
        <w:t>179</w:t>
      </w:r>
      <w:r w:rsidR="006F7FD7">
        <w:rPr>
          <w:rFonts w:cs="Times New Roman"/>
        </w:rPr>
        <w:fldChar w:fldCharType="end"/>
      </w:r>
      <w:r w:rsidRPr="002D1DD7">
        <w:rPr>
          <w:rFonts w:cs="Times New Roman"/>
        </w:rPr>
        <w:t xml:space="preserve"> assessment of the cost-effectiveness of larotrectinib</w:t>
      </w:r>
      <w:r w:rsidR="00221973">
        <w:rPr>
          <w:rFonts w:cs="Times New Roman"/>
        </w:rPr>
        <w:t>,</w:t>
      </w:r>
      <w:r w:rsidRPr="002D1DD7">
        <w:rPr>
          <w:rFonts w:cs="Times New Roman"/>
        </w:rPr>
        <w:t xml:space="preserve"> which estimated that larotrectinib produced an additional 0.833 QALYs per patient compared to standard care.</w:t>
      </w:r>
    </w:p>
    <w:p w14:paraId="41A2E190" w14:textId="77777777" w:rsidR="00D765F4" w:rsidRPr="002D1DD7" w:rsidRDefault="00D765F4" w:rsidP="00511D3F">
      <w:pPr>
        <w:pStyle w:val="Heading4"/>
      </w:pPr>
      <w:bookmarkStart w:id="202" w:name="_Toc33776223"/>
      <w:r w:rsidRPr="002D1DD7">
        <w:t>Results</w:t>
      </w:r>
      <w:bookmarkEnd w:id="202"/>
    </w:p>
    <w:p w14:paraId="20B4192C" w14:textId="658C77DE" w:rsidR="00D765F4" w:rsidRPr="002D1DD7" w:rsidRDefault="00D765F4" w:rsidP="00511D3F">
      <w:r w:rsidRPr="002D1DD7">
        <w:fldChar w:fldCharType="begin"/>
      </w:r>
      <w:r w:rsidRPr="002D1DD7">
        <w:instrText xml:space="preserve"> REF _Ref25245275 \h  \* MERGEFORMAT </w:instrText>
      </w:r>
      <w:r w:rsidRPr="002D1DD7">
        <w:fldChar w:fldCharType="separate"/>
      </w:r>
      <w:r w:rsidR="00C9471F" w:rsidRPr="00C9471F">
        <w:rPr>
          <w:color w:val="000000" w:themeColor="text1"/>
        </w:rPr>
        <w:t>Table 19</w:t>
      </w:r>
      <w:r w:rsidRPr="002D1DD7">
        <w:fldChar w:fldCharType="end"/>
      </w:r>
      <w:r w:rsidRPr="002D1DD7">
        <w:t xml:space="preserve">, </w:t>
      </w:r>
      <w:r w:rsidRPr="002D1DD7">
        <w:fldChar w:fldCharType="begin"/>
      </w:r>
      <w:r w:rsidRPr="002D1DD7">
        <w:instrText xml:space="preserve"> REF _Ref25245277 \h  \* MERGEFORMAT </w:instrText>
      </w:r>
      <w:r w:rsidRPr="002D1DD7">
        <w:fldChar w:fldCharType="separate"/>
      </w:r>
      <w:r w:rsidR="00C9471F" w:rsidRPr="00C9471F">
        <w:rPr>
          <w:bCs/>
        </w:rPr>
        <w:t>Table</w:t>
      </w:r>
      <w:r w:rsidR="00C9471F" w:rsidRPr="00C9471F">
        <w:rPr>
          <w:szCs w:val="20"/>
        </w:rPr>
        <w:t xml:space="preserve"> </w:t>
      </w:r>
      <w:r w:rsidR="00C9471F" w:rsidRPr="00C9471F">
        <w:rPr>
          <w:noProof/>
          <w:szCs w:val="20"/>
        </w:rPr>
        <w:t>20</w:t>
      </w:r>
      <w:r w:rsidRPr="002D1DD7">
        <w:fldChar w:fldCharType="end"/>
      </w:r>
      <w:r w:rsidRPr="002D1DD7">
        <w:t xml:space="preserve"> and </w:t>
      </w:r>
      <w:r w:rsidRPr="002D1DD7">
        <w:fldChar w:fldCharType="begin"/>
      </w:r>
      <w:r w:rsidRPr="002D1DD7">
        <w:instrText xml:space="preserve"> REF _Ref26799969 \h  \* MERGEFORMAT </w:instrText>
      </w:r>
      <w:r w:rsidRPr="002D1DD7">
        <w:fldChar w:fldCharType="separate"/>
      </w:r>
      <w:r w:rsidR="00C9471F" w:rsidRPr="002D1DD7">
        <w:t>Table</w:t>
      </w:r>
      <w:r w:rsidR="00C9471F" w:rsidRPr="00C9471F">
        <w:rPr>
          <w:szCs w:val="20"/>
        </w:rPr>
        <w:t xml:space="preserve"> </w:t>
      </w:r>
      <w:r w:rsidR="00C9471F" w:rsidRPr="00C9471F">
        <w:rPr>
          <w:noProof/>
          <w:szCs w:val="20"/>
        </w:rPr>
        <w:t>21</w:t>
      </w:r>
      <w:r w:rsidRPr="002D1DD7">
        <w:fldChar w:fldCharType="end"/>
      </w:r>
      <w:r w:rsidRPr="002D1DD7">
        <w:t xml:space="preserve"> respectively present, for each testing strategy, the number of individuals who would require testing in order to identify one eligible patient. The incremental cost associated with testing and hypothetical estimates of cost-effectiveness of testing are also presented. </w:t>
      </w:r>
    </w:p>
    <w:p w14:paraId="128B5660" w14:textId="0B02DF25" w:rsidR="00C75BFC" w:rsidRPr="002D1DD7" w:rsidRDefault="00D765F4" w:rsidP="00511D3F">
      <w:pPr>
        <w:pStyle w:val="Heading5"/>
      </w:pPr>
      <w:r w:rsidRPr="002D1DD7">
        <w:lastRenderedPageBreak/>
        <w:t>Hierarchical Approach</w:t>
      </w:r>
      <w:r w:rsidR="00C75BFC" w:rsidRPr="002D1DD7">
        <w:t>: t</w:t>
      </w:r>
      <w:r w:rsidR="00A67742">
        <w:t>reating</w:t>
      </w:r>
      <w:r w:rsidR="00C75BFC" w:rsidRPr="002D1DD7">
        <w:t xml:space="preserve"> at diagnosis</w:t>
      </w:r>
    </w:p>
    <w:p w14:paraId="1A3BF3BD" w14:textId="63CF7787" w:rsidR="00D765F4" w:rsidRPr="002D1DD7" w:rsidRDefault="00D765F4" w:rsidP="00511D3F">
      <w:r w:rsidRPr="002D1DD7">
        <w:t xml:space="preserve">For the tumour types represented in the trial, the tumour specific costs </w:t>
      </w:r>
      <w:r w:rsidR="004C4EA1">
        <w:t>to</w:t>
      </w:r>
      <w:r w:rsidRPr="002D1DD7">
        <w:t xml:space="preserve"> identify one eligible patient </w:t>
      </w:r>
      <w:r w:rsidR="007478F3">
        <w:t xml:space="preserve">ranged </w:t>
      </w:r>
      <w:r w:rsidRPr="002D1DD7">
        <w:t>from £0 (MASC) to £351,567 (Breast). Assuming the eligible population is distributed in line with the trial distribution, the average incremental cost of testing is £</w:t>
      </w:r>
      <w:r w:rsidR="00C57296">
        <w:t>62,</w:t>
      </w:r>
      <w:r w:rsidR="00E407C3">
        <w:t>072</w:t>
      </w:r>
      <w:r w:rsidRPr="002D1DD7">
        <w:t>. Re</w:t>
      </w:r>
      <w:r w:rsidR="00804836">
        <w:t>-</w:t>
      </w:r>
      <w:r w:rsidRPr="002D1DD7">
        <w:t xml:space="preserve">weighting the tumour specific costs so that the tumour types included in the trial aligns with the prevalence of these tumours </w:t>
      </w:r>
      <w:r w:rsidR="004C4EA1">
        <w:t xml:space="preserve">expected </w:t>
      </w:r>
      <w:r w:rsidRPr="002D1DD7">
        <w:t>in the real world increases this £</w:t>
      </w:r>
      <w:r w:rsidR="00E407C3">
        <w:t>10</w:t>
      </w:r>
      <w:r w:rsidR="00E467CF">
        <w:t>8,963</w:t>
      </w:r>
      <w:r w:rsidRPr="002D1DD7">
        <w:t xml:space="preserve">. </w:t>
      </w:r>
      <w:r w:rsidR="000741CA">
        <w:t>However, t</w:t>
      </w:r>
      <w:r w:rsidRPr="002D1DD7">
        <w:t>his</w:t>
      </w:r>
      <w:r w:rsidR="000741CA">
        <w:t xml:space="preserve"> </w:t>
      </w:r>
      <w:r w:rsidRPr="002D1DD7">
        <w:t>does not account for the testing costs associated with tumour</w:t>
      </w:r>
      <w:r w:rsidR="007478F3">
        <w:t xml:space="preserve">s </w:t>
      </w:r>
      <w:r w:rsidRPr="002D1DD7">
        <w:t>not represented in the larotrectinib trial. When these are included and appropriately weighted in line with the prevalence of these tumour types</w:t>
      </w:r>
      <w:r w:rsidR="000741CA">
        <w:t>,</w:t>
      </w:r>
      <w:r w:rsidRPr="002D1DD7">
        <w:t xml:space="preserve"> the average incremental cost to identify one individual eligible for treatment is £</w:t>
      </w:r>
      <w:r w:rsidR="00E467CF">
        <w:t>85,253</w:t>
      </w:r>
      <w:r w:rsidR="00804836">
        <w:t>.</w:t>
      </w:r>
      <w:r w:rsidRPr="002D1DD7">
        <w:t xml:space="preserve"> Based on this </w:t>
      </w:r>
      <w:r w:rsidR="004C4EA1">
        <w:t>cost estimate and</w:t>
      </w:r>
      <w:r w:rsidRPr="002D1DD7">
        <w:t xml:space="preserve">assuming that larotrectinib generates an additional 0.833 incremental QALYs, the ICER </w:t>
      </w:r>
      <w:r w:rsidR="000741CA">
        <w:t xml:space="preserve">is estimated to be </w:t>
      </w:r>
      <w:r w:rsidRPr="002D1DD7">
        <w:t>£</w:t>
      </w:r>
      <w:r w:rsidR="00E467CF">
        <w:t>102,345</w:t>
      </w:r>
      <w:r w:rsidR="00C57296">
        <w:t xml:space="preserve"> </w:t>
      </w:r>
      <w:r w:rsidR="000741CA">
        <w:t xml:space="preserve">per </w:t>
      </w:r>
      <w:r w:rsidRPr="002D1DD7">
        <w:t>QALY</w:t>
      </w:r>
      <w:r w:rsidR="000741CA">
        <w:t xml:space="preserve"> gained</w:t>
      </w:r>
      <w:r w:rsidRPr="002D1DD7">
        <w:t>, with tumour</w:t>
      </w:r>
      <w:r w:rsidR="000741CA">
        <w:t>-</w:t>
      </w:r>
      <w:r w:rsidRPr="002D1DD7">
        <w:t xml:space="preserve">specific ICERs ranging from </w:t>
      </w:r>
      <w:r w:rsidR="00F962ED" w:rsidRPr="002D1DD7">
        <w:t xml:space="preserve">less than </w:t>
      </w:r>
      <w:r w:rsidRPr="002D1DD7">
        <w:t xml:space="preserve">£500 </w:t>
      </w:r>
      <w:r w:rsidR="00D03F7B">
        <w:t xml:space="preserve">per QALY gained </w:t>
      </w:r>
      <w:r w:rsidRPr="002D1DD7">
        <w:t>to over £500,000 per QALY gained.</w:t>
      </w:r>
    </w:p>
    <w:p w14:paraId="09025AB4" w14:textId="4643A89E" w:rsidR="00D765F4" w:rsidRDefault="00D765F4" w:rsidP="00511D3F">
      <w:pPr>
        <w:pStyle w:val="Caption"/>
      </w:pPr>
      <w:bookmarkStart w:id="203" w:name="_Ref25245275"/>
      <w:bookmarkStart w:id="204" w:name="_Toc34033533"/>
      <w:r w:rsidRPr="002D1DD7">
        <w:t xml:space="preserve">Table </w:t>
      </w:r>
      <w:r w:rsidR="00C974E5">
        <w:fldChar w:fldCharType="begin"/>
      </w:r>
      <w:r w:rsidR="00C974E5">
        <w:instrText xml:space="preserve"> S</w:instrText>
      </w:r>
      <w:r w:rsidR="00C974E5">
        <w:instrText xml:space="preserve">EQ Table \* ARABIC </w:instrText>
      </w:r>
      <w:r w:rsidR="00C974E5">
        <w:fldChar w:fldCharType="separate"/>
      </w:r>
      <w:r w:rsidR="00C9471F">
        <w:rPr>
          <w:noProof/>
        </w:rPr>
        <w:t>19</w:t>
      </w:r>
      <w:r w:rsidR="00C974E5">
        <w:rPr>
          <w:noProof/>
        </w:rPr>
        <w:fldChar w:fldCharType="end"/>
      </w:r>
      <w:bookmarkEnd w:id="203"/>
      <w:r w:rsidRPr="002D1DD7">
        <w:t xml:space="preserve">: </w:t>
      </w:r>
      <w:r w:rsidR="00DA4314" w:rsidRPr="002D1DD7">
        <w:t xml:space="preserve">Summary of NNS and testing cost under a </w:t>
      </w:r>
      <w:r w:rsidRPr="002D1DD7">
        <w:t>hierarchical testing approach</w:t>
      </w:r>
      <w:bookmarkEnd w:id="204"/>
    </w:p>
    <w:tbl>
      <w:tblPr>
        <w:tblStyle w:val="TableGrid"/>
        <w:tblW w:w="5481" w:type="pct"/>
        <w:jc w:val="center"/>
        <w:tblLook w:val="04A0" w:firstRow="1" w:lastRow="0" w:firstColumn="1" w:lastColumn="0" w:noHBand="0" w:noVBand="1"/>
      </w:tblPr>
      <w:tblGrid>
        <w:gridCol w:w="2122"/>
        <w:gridCol w:w="1558"/>
        <w:gridCol w:w="1560"/>
        <w:gridCol w:w="1842"/>
        <w:gridCol w:w="2801"/>
      </w:tblGrid>
      <w:tr w:rsidR="00D92C6C" w:rsidRPr="00511D3F" w14:paraId="307B501A" w14:textId="77777777" w:rsidTr="00EC11CD">
        <w:trPr>
          <w:trHeight w:val="417"/>
          <w:jc w:val="center"/>
        </w:trPr>
        <w:tc>
          <w:tcPr>
            <w:tcW w:w="1074" w:type="pct"/>
            <w:vMerge w:val="restart"/>
            <w:tcBorders>
              <w:top w:val="single" w:sz="4" w:space="0" w:color="auto"/>
              <w:left w:val="single" w:sz="4" w:space="0" w:color="auto"/>
              <w:bottom w:val="single" w:sz="4" w:space="0" w:color="auto"/>
              <w:right w:val="single" w:sz="4" w:space="0" w:color="auto"/>
            </w:tcBorders>
            <w:vAlign w:val="center"/>
            <w:hideMark/>
          </w:tcPr>
          <w:p w14:paraId="32362B54" w14:textId="77777777"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Tumour Type</w:t>
            </w:r>
          </w:p>
        </w:tc>
        <w:tc>
          <w:tcPr>
            <w:tcW w:w="1577" w:type="pct"/>
            <w:gridSpan w:val="2"/>
            <w:tcBorders>
              <w:top w:val="single" w:sz="4" w:space="0" w:color="auto"/>
              <w:left w:val="single" w:sz="4" w:space="0" w:color="auto"/>
              <w:bottom w:val="single" w:sz="4" w:space="0" w:color="auto"/>
              <w:right w:val="single" w:sz="4" w:space="0" w:color="auto"/>
            </w:tcBorders>
            <w:vAlign w:val="center"/>
            <w:hideMark/>
          </w:tcPr>
          <w:p w14:paraId="6328F79A" w14:textId="77777777"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Number Needed to Screen</w:t>
            </w:r>
          </w:p>
        </w:tc>
        <w:tc>
          <w:tcPr>
            <w:tcW w:w="932" w:type="pct"/>
            <w:vMerge w:val="restart"/>
            <w:tcBorders>
              <w:top w:val="single" w:sz="4" w:space="0" w:color="auto"/>
              <w:left w:val="single" w:sz="4" w:space="0" w:color="auto"/>
              <w:bottom w:val="single" w:sz="4" w:space="0" w:color="auto"/>
              <w:right w:val="single" w:sz="4" w:space="0" w:color="auto"/>
            </w:tcBorders>
            <w:vAlign w:val="center"/>
            <w:hideMark/>
          </w:tcPr>
          <w:p w14:paraId="35AFB0BA" w14:textId="520027A7"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Incremental cost to identify one patient</w:t>
            </w:r>
          </w:p>
        </w:tc>
        <w:tc>
          <w:tcPr>
            <w:tcW w:w="1417" w:type="pct"/>
            <w:vMerge w:val="restart"/>
            <w:tcBorders>
              <w:top w:val="single" w:sz="4" w:space="0" w:color="auto"/>
              <w:left w:val="single" w:sz="4" w:space="0" w:color="auto"/>
              <w:bottom w:val="single" w:sz="4" w:space="0" w:color="auto"/>
              <w:right w:val="single" w:sz="4" w:space="0" w:color="auto"/>
            </w:tcBorders>
            <w:vAlign w:val="center"/>
            <w:hideMark/>
          </w:tcPr>
          <w:p w14:paraId="098441D7" w14:textId="0331557E"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 xml:space="preserve">Incremental </w:t>
            </w:r>
            <w:r w:rsidR="009D6CA1">
              <w:rPr>
                <w:rFonts w:eastAsia="Times New Roman" w:cs="Times New Roman"/>
                <w:b/>
                <w:sz w:val="20"/>
                <w:szCs w:val="20"/>
              </w:rPr>
              <w:t>Cost-effective</w:t>
            </w:r>
            <w:r w:rsidRPr="00511D3F">
              <w:rPr>
                <w:rFonts w:eastAsia="Times New Roman" w:cs="Times New Roman"/>
                <w:b/>
                <w:sz w:val="20"/>
                <w:szCs w:val="20"/>
              </w:rPr>
              <w:t xml:space="preserve">ness Ratio </w:t>
            </w:r>
          </w:p>
          <w:p w14:paraId="301BAAFC" w14:textId="428EFDC4"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(NTRK fusion testing vs current testing provision)</w:t>
            </w:r>
          </w:p>
        </w:tc>
      </w:tr>
      <w:tr w:rsidR="00D92C6C" w:rsidRPr="00511D3F" w14:paraId="0345A98F" w14:textId="77777777" w:rsidTr="00EC11CD">
        <w:trPr>
          <w:trHeight w:val="542"/>
          <w:jc w:val="center"/>
        </w:trPr>
        <w:tc>
          <w:tcPr>
            <w:tcW w:w="1074" w:type="pct"/>
            <w:vMerge/>
            <w:tcBorders>
              <w:top w:val="single" w:sz="4" w:space="0" w:color="auto"/>
              <w:left w:val="single" w:sz="4" w:space="0" w:color="auto"/>
              <w:bottom w:val="single" w:sz="4" w:space="0" w:color="auto"/>
              <w:right w:val="single" w:sz="4" w:space="0" w:color="auto"/>
            </w:tcBorders>
            <w:vAlign w:val="center"/>
            <w:hideMark/>
          </w:tcPr>
          <w:p w14:paraId="05BCC506" w14:textId="77777777" w:rsidR="00D92C6C" w:rsidRPr="00511D3F" w:rsidRDefault="00D92C6C" w:rsidP="00511D3F">
            <w:pPr>
              <w:spacing w:before="0" w:after="0"/>
              <w:contextualSpacing/>
              <w:rPr>
                <w:rFonts w:eastAsia="Times New Roman" w:cs="Times New Roman"/>
                <w:b/>
                <w:sz w:val="20"/>
                <w:szCs w:val="20"/>
              </w:rPr>
            </w:pPr>
          </w:p>
        </w:tc>
        <w:tc>
          <w:tcPr>
            <w:tcW w:w="788" w:type="pct"/>
            <w:tcBorders>
              <w:top w:val="single" w:sz="4" w:space="0" w:color="auto"/>
              <w:left w:val="single" w:sz="4" w:space="0" w:color="auto"/>
              <w:bottom w:val="single" w:sz="4" w:space="0" w:color="auto"/>
              <w:right w:val="single" w:sz="4" w:space="0" w:color="auto"/>
            </w:tcBorders>
            <w:vAlign w:val="center"/>
            <w:hideMark/>
          </w:tcPr>
          <w:p w14:paraId="35DF26E9" w14:textId="77777777"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First Line</w:t>
            </w:r>
          </w:p>
        </w:tc>
        <w:tc>
          <w:tcPr>
            <w:tcW w:w="789" w:type="pct"/>
            <w:tcBorders>
              <w:top w:val="single" w:sz="4" w:space="0" w:color="auto"/>
              <w:left w:val="single" w:sz="4" w:space="0" w:color="auto"/>
              <w:bottom w:val="single" w:sz="4" w:space="0" w:color="auto"/>
              <w:right w:val="single" w:sz="4" w:space="0" w:color="auto"/>
            </w:tcBorders>
            <w:vAlign w:val="center"/>
            <w:hideMark/>
          </w:tcPr>
          <w:p w14:paraId="4CE4872B" w14:textId="77777777" w:rsidR="00D92C6C" w:rsidRPr="00511D3F" w:rsidRDefault="00D92C6C" w:rsidP="00511D3F">
            <w:pPr>
              <w:contextualSpacing/>
              <w:jc w:val="center"/>
              <w:rPr>
                <w:rFonts w:eastAsia="Times New Roman" w:cs="Times New Roman"/>
                <w:b/>
                <w:sz w:val="20"/>
                <w:szCs w:val="20"/>
              </w:rPr>
            </w:pPr>
            <w:r w:rsidRPr="00511D3F">
              <w:rPr>
                <w:rFonts w:eastAsia="Times New Roman" w:cs="Times New Roman"/>
                <w:b/>
                <w:sz w:val="20"/>
                <w:szCs w:val="20"/>
              </w:rPr>
              <w:t>Confirmatory</w:t>
            </w: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7622643E" w14:textId="77777777" w:rsidR="00D92C6C" w:rsidRPr="00511D3F" w:rsidRDefault="00D92C6C" w:rsidP="00511D3F">
            <w:pPr>
              <w:spacing w:before="0" w:after="0"/>
              <w:contextualSpacing/>
              <w:rPr>
                <w:rFonts w:eastAsia="Times New Roman" w:cs="Times New Roman"/>
                <w:b/>
                <w:sz w:val="20"/>
                <w:szCs w:val="20"/>
              </w:rPr>
            </w:pPr>
          </w:p>
        </w:tc>
        <w:tc>
          <w:tcPr>
            <w:tcW w:w="1417" w:type="pct"/>
            <w:vMerge/>
            <w:tcBorders>
              <w:top w:val="single" w:sz="4" w:space="0" w:color="auto"/>
              <w:left w:val="single" w:sz="4" w:space="0" w:color="auto"/>
              <w:bottom w:val="single" w:sz="4" w:space="0" w:color="auto"/>
              <w:right w:val="single" w:sz="4" w:space="0" w:color="auto"/>
            </w:tcBorders>
            <w:vAlign w:val="center"/>
            <w:hideMark/>
          </w:tcPr>
          <w:p w14:paraId="206CA6BF" w14:textId="77777777" w:rsidR="00D92C6C" w:rsidRPr="00511D3F" w:rsidRDefault="00D92C6C" w:rsidP="00511D3F">
            <w:pPr>
              <w:spacing w:before="0" w:after="0"/>
              <w:contextualSpacing/>
              <w:rPr>
                <w:rFonts w:eastAsia="Times New Roman" w:cs="Times New Roman"/>
                <w:b/>
                <w:sz w:val="20"/>
                <w:szCs w:val="20"/>
              </w:rPr>
            </w:pPr>
          </w:p>
        </w:tc>
      </w:tr>
      <w:tr w:rsidR="00D92C6C" w:rsidRPr="00511D3F" w14:paraId="1D0DFEB7" w14:textId="77777777" w:rsidTr="00EC11CD">
        <w:trPr>
          <w:trHeight w:val="240"/>
          <w:jc w:val="cent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noWrap/>
            <w:hideMark/>
          </w:tcPr>
          <w:p w14:paraId="228680F5" w14:textId="77777777" w:rsidR="00D92C6C" w:rsidRPr="00511D3F" w:rsidRDefault="00D92C6C" w:rsidP="00511D3F">
            <w:pPr>
              <w:contextualSpacing/>
              <w:rPr>
                <w:rFonts w:eastAsia="Times New Roman" w:cs="Times New Roman"/>
                <w:b/>
                <w:sz w:val="20"/>
                <w:szCs w:val="20"/>
              </w:rPr>
            </w:pPr>
            <w:r w:rsidRPr="00511D3F">
              <w:rPr>
                <w:rFonts w:cs="Times New Roman"/>
                <w:b/>
                <w:sz w:val="20"/>
                <w:szCs w:val="20"/>
              </w:rPr>
              <w:t>Tumours in trial</w:t>
            </w:r>
          </w:p>
        </w:tc>
      </w:tr>
      <w:tr w:rsidR="00D92C6C" w:rsidRPr="00511D3F" w14:paraId="491EC450"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3CF17671"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Appendix</w:t>
            </w:r>
          </w:p>
        </w:tc>
        <w:tc>
          <w:tcPr>
            <w:tcW w:w="788" w:type="pct"/>
            <w:tcBorders>
              <w:top w:val="single" w:sz="8" w:space="0" w:color="auto"/>
              <w:left w:val="single" w:sz="4" w:space="0" w:color="auto"/>
              <w:bottom w:val="single" w:sz="4" w:space="0" w:color="auto"/>
              <w:right w:val="single" w:sz="4" w:space="0" w:color="auto"/>
            </w:tcBorders>
            <w:shd w:val="clear" w:color="auto" w:fill="FFFFFF"/>
            <w:noWrap/>
            <w:vAlign w:val="center"/>
            <w:hideMark/>
          </w:tcPr>
          <w:p w14:paraId="16599D3A" w14:textId="77777777" w:rsidR="00D92C6C" w:rsidRPr="00511D3F" w:rsidRDefault="00D92C6C" w:rsidP="00511D3F">
            <w:pPr>
              <w:contextualSpacing/>
              <w:jc w:val="center"/>
              <w:rPr>
                <w:rFonts w:cs="Times New Roman"/>
                <w:sz w:val="20"/>
                <w:szCs w:val="20"/>
              </w:rPr>
            </w:pPr>
            <w:r w:rsidRPr="00511D3F">
              <w:rPr>
                <w:rFonts w:cs="Times New Roman"/>
                <w:sz w:val="20"/>
                <w:szCs w:val="20"/>
              </w:rPr>
              <w:t>30.83</w:t>
            </w:r>
          </w:p>
        </w:tc>
        <w:tc>
          <w:tcPr>
            <w:tcW w:w="789" w:type="pct"/>
            <w:tcBorders>
              <w:top w:val="single" w:sz="8" w:space="0" w:color="auto"/>
              <w:left w:val="nil"/>
              <w:bottom w:val="single" w:sz="4" w:space="0" w:color="auto"/>
              <w:right w:val="single" w:sz="4" w:space="0" w:color="auto"/>
            </w:tcBorders>
            <w:shd w:val="clear" w:color="auto" w:fill="FFFFFF"/>
            <w:noWrap/>
            <w:vAlign w:val="center"/>
            <w:hideMark/>
          </w:tcPr>
          <w:p w14:paraId="06F17B30" w14:textId="77777777" w:rsidR="00D92C6C" w:rsidRPr="00511D3F" w:rsidRDefault="00D92C6C" w:rsidP="00511D3F">
            <w:pPr>
              <w:contextualSpacing/>
              <w:jc w:val="center"/>
              <w:rPr>
                <w:rFonts w:cs="Times New Roman"/>
                <w:sz w:val="20"/>
                <w:szCs w:val="20"/>
              </w:rPr>
            </w:pPr>
            <w:r w:rsidRPr="00511D3F">
              <w:rPr>
                <w:rFonts w:cs="Times New Roman"/>
                <w:sz w:val="20"/>
                <w:szCs w:val="20"/>
              </w:rPr>
              <w:t>1.04</w:t>
            </w:r>
          </w:p>
        </w:tc>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F8DFE" w14:textId="5C97767A" w:rsidR="00D92C6C" w:rsidRPr="00EC11CD" w:rsidRDefault="00CC4B0A" w:rsidP="00C57296">
            <w:pPr>
              <w:contextualSpacing/>
              <w:jc w:val="center"/>
              <w:rPr>
                <w:rFonts w:cs="Times New Roman"/>
                <w:sz w:val="20"/>
                <w:szCs w:val="20"/>
                <w:highlight w:val="yellow"/>
              </w:rPr>
            </w:pPr>
            <w:r>
              <w:rPr>
                <w:rFonts w:cs="Times New Roman"/>
                <w:color w:val="000000"/>
                <w:sz w:val="20"/>
                <w:szCs w:val="20"/>
              </w:rPr>
              <w:t>£</w:t>
            </w:r>
            <w:r w:rsidR="00E407C3">
              <w:rPr>
                <w:rFonts w:cs="Times New Roman"/>
                <w:color w:val="000000"/>
                <w:sz w:val="20"/>
                <w:szCs w:val="20"/>
              </w:rPr>
              <w:t>4,989</w:t>
            </w:r>
          </w:p>
        </w:tc>
        <w:tc>
          <w:tcPr>
            <w:tcW w:w="1417" w:type="pct"/>
            <w:tcBorders>
              <w:top w:val="single" w:sz="4" w:space="0" w:color="auto"/>
              <w:left w:val="nil"/>
              <w:bottom w:val="single" w:sz="4" w:space="0" w:color="auto"/>
              <w:right w:val="single" w:sz="8" w:space="0" w:color="auto"/>
            </w:tcBorders>
            <w:shd w:val="clear" w:color="auto" w:fill="FFFFFF" w:themeFill="background1"/>
            <w:noWrap/>
            <w:vAlign w:val="center"/>
            <w:hideMark/>
          </w:tcPr>
          <w:p w14:paraId="64C733E5" w14:textId="0B655A5E" w:rsidR="00D92C6C" w:rsidRPr="00EC11CD" w:rsidRDefault="00CC4B0A" w:rsidP="00511D3F">
            <w:pPr>
              <w:contextualSpacing/>
              <w:jc w:val="center"/>
              <w:rPr>
                <w:rFonts w:cs="Times New Roman"/>
                <w:sz w:val="20"/>
                <w:szCs w:val="20"/>
                <w:highlight w:val="yellow"/>
              </w:rPr>
            </w:pPr>
            <w:r w:rsidRPr="00CC4B0A">
              <w:rPr>
                <w:rFonts w:cs="Times New Roman"/>
                <w:color w:val="000000"/>
                <w:sz w:val="20"/>
                <w:szCs w:val="20"/>
              </w:rPr>
              <w:t>£</w:t>
            </w:r>
            <w:r w:rsidR="00E407C3">
              <w:rPr>
                <w:rFonts w:cs="Times New Roman"/>
                <w:color w:val="000000"/>
                <w:sz w:val="20"/>
                <w:szCs w:val="20"/>
              </w:rPr>
              <w:t>5,989</w:t>
            </w:r>
          </w:p>
        </w:tc>
      </w:tr>
      <w:tr w:rsidR="00D92C6C" w:rsidRPr="00511D3F" w14:paraId="6E681F16"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3C5E0F06"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 xml:space="preserve">Breast </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7F732A79" w14:textId="77777777" w:rsidR="00D92C6C" w:rsidRPr="00511D3F" w:rsidRDefault="00D92C6C" w:rsidP="00511D3F">
            <w:pPr>
              <w:contextualSpacing/>
              <w:jc w:val="center"/>
              <w:rPr>
                <w:rFonts w:cs="Times New Roman"/>
                <w:sz w:val="20"/>
                <w:szCs w:val="20"/>
              </w:rPr>
            </w:pPr>
            <w:r w:rsidRPr="00511D3F">
              <w:rPr>
                <w:rFonts w:cs="Times New Roman"/>
                <w:sz w:val="20"/>
                <w:szCs w:val="20"/>
              </w:rPr>
              <w:t>1625.22</w:t>
            </w:r>
          </w:p>
        </w:tc>
        <w:tc>
          <w:tcPr>
            <w:tcW w:w="789" w:type="pct"/>
            <w:tcBorders>
              <w:top w:val="nil"/>
              <w:left w:val="nil"/>
              <w:bottom w:val="single" w:sz="4" w:space="0" w:color="auto"/>
              <w:right w:val="single" w:sz="4" w:space="0" w:color="auto"/>
            </w:tcBorders>
            <w:shd w:val="clear" w:color="auto" w:fill="FFFFFF"/>
            <w:noWrap/>
            <w:vAlign w:val="center"/>
            <w:hideMark/>
          </w:tcPr>
          <w:p w14:paraId="0031673C" w14:textId="77777777" w:rsidR="00D92C6C" w:rsidRPr="00511D3F" w:rsidRDefault="00D92C6C" w:rsidP="00511D3F">
            <w:pPr>
              <w:contextualSpacing/>
              <w:jc w:val="center"/>
              <w:rPr>
                <w:rFonts w:cs="Times New Roman"/>
                <w:sz w:val="20"/>
                <w:szCs w:val="20"/>
              </w:rPr>
            </w:pPr>
            <w:r w:rsidRPr="00511D3F">
              <w:rPr>
                <w:rFonts w:cs="Times New Roman"/>
                <w:sz w:val="20"/>
                <w:szCs w:val="20"/>
              </w:rPr>
              <w:t>307.95</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52254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£351,567</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46C6B9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£422,049</w:t>
            </w:r>
          </w:p>
        </w:tc>
      </w:tr>
      <w:tr w:rsidR="00D92C6C" w:rsidRPr="00511D3F" w14:paraId="3F53D198"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2B7D857E"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Cholangiocarcinoma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097703A0" w14:textId="77777777" w:rsidR="00D92C6C" w:rsidRPr="00511D3F" w:rsidRDefault="00D92C6C" w:rsidP="00511D3F">
            <w:pPr>
              <w:contextualSpacing/>
              <w:jc w:val="center"/>
              <w:rPr>
                <w:rFonts w:cs="Times New Roman"/>
                <w:sz w:val="20"/>
                <w:szCs w:val="20"/>
              </w:rPr>
            </w:pPr>
            <w:r w:rsidRPr="00511D3F">
              <w:rPr>
                <w:rFonts w:cs="Times New Roman"/>
                <w:sz w:val="20"/>
                <w:szCs w:val="20"/>
              </w:rPr>
              <w:t>1137.66</w:t>
            </w:r>
          </w:p>
        </w:tc>
        <w:tc>
          <w:tcPr>
            <w:tcW w:w="789" w:type="pct"/>
            <w:tcBorders>
              <w:top w:val="nil"/>
              <w:left w:val="nil"/>
              <w:bottom w:val="single" w:sz="4" w:space="0" w:color="auto"/>
              <w:right w:val="single" w:sz="4" w:space="0" w:color="auto"/>
            </w:tcBorders>
            <w:shd w:val="clear" w:color="auto" w:fill="FFFFFF"/>
            <w:noWrap/>
            <w:vAlign w:val="center"/>
            <w:hideMark/>
          </w:tcPr>
          <w:p w14:paraId="35D2C43A" w14:textId="77777777" w:rsidR="00D92C6C" w:rsidRPr="00511D3F" w:rsidRDefault="00D92C6C" w:rsidP="00511D3F">
            <w:pPr>
              <w:contextualSpacing/>
              <w:jc w:val="center"/>
              <w:rPr>
                <w:rFonts w:cs="Times New Roman"/>
                <w:sz w:val="20"/>
                <w:szCs w:val="20"/>
              </w:rPr>
            </w:pPr>
            <w:r w:rsidRPr="00511D3F">
              <w:rPr>
                <w:rFonts w:cs="Times New Roman"/>
                <w:sz w:val="20"/>
                <w:szCs w:val="20"/>
              </w:rPr>
              <w:t>215.80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BEBA43"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£246,179</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3CFC8A5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£295,533</w:t>
            </w:r>
          </w:p>
        </w:tc>
      </w:tr>
      <w:tr w:rsidR="00D92C6C" w:rsidRPr="00511D3F" w14:paraId="1796C57F"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0D9C9195"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Colorectal</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4A89C10B" w14:textId="77777777" w:rsidR="00D92C6C" w:rsidRPr="00511D3F" w:rsidRDefault="00D92C6C" w:rsidP="00511D3F">
            <w:pPr>
              <w:contextualSpacing/>
              <w:jc w:val="center"/>
              <w:rPr>
                <w:rFonts w:cs="Times New Roman"/>
                <w:sz w:val="20"/>
                <w:szCs w:val="20"/>
              </w:rPr>
            </w:pPr>
            <w:r w:rsidRPr="00511D3F">
              <w:rPr>
                <w:rFonts w:cs="Times New Roman"/>
                <w:sz w:val="20"/>
                <w:szCs w:val="20"/>
              </w:rPr>
              <w:t>948.05</w:t>
            </w:r>
          </w:p>
        </w:tc>
        <w:tc>
          <w:tcPr>
            <w:tcW w:w="789" w:type="pct"/>
            <w:tcBorders>
              <w:top w:val="nil"/>
              <w:left w:val="nil"/>
              <w:bottom w:val="single" w:sz="4" w:space="0" w:color="auto"/>
              <w:right w:val="single" w:sz="4" w:space="0" w:color="auto"/>
            </w:tcBorders>
            <w:shd w:val="clear" w:color="auto" w:fill="FFFFFF"/>
            <w:noWrap/>
            <w:vAlign w:val="center"/>
            <w:hideMark/>
          </w:tcPr>
          <w:p w14:paraId="21BF9A84" w14:textId="77777777" w:rsidR="00D92C6C" w:rsidRPr="00511D3F" w:rsidRDefault="00D92C6C" w:rsidP="00511D3F">
            <w:pPr>
              <w:contextualSpacing/>
              <w:jc w:val="center"/>
              <w:rPr>
                <w:rFonts w:cs="Times New Roman"/>
                <w:sz w:val="20"/>
                <w:szCs w:val="20"/>
              </w:rPr>
            </w:pPr>
            <w:r w:rsidRPr="00511D3F">
              <w:rPr>
                <w:rFonts w:cs="Times New Roman"/>
                <w:sz w:val="20"/>
                <w:szCs w:val="20"/>
              </w:rPr>
              <w:t>179.97</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97736C"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£205,195</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333DC4A"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£246,333</w:t>
            </w:r>
          </w:p>
        </w:tc>
      </w:tr>
      <w:tr w:rsidR="00D92C6C" w:rsidRPr="00511D3F" w14:paraId="766E0A35"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0E235EF9"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GIST</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7DFF3505" w14:textId="77777777" w:rsidR="00D92C6C" w:rsidRPr="00511D3F" w:rsidRDefault="00D92C6C" w:rsidP="00511D3F">
            <w:pPr>
              <w:contextualSpacing/>
              <w:jc w:val="center"/>
              <w:rPr>
                <w:rFonts w:cs="Times New Roman"/>
                <w:sz w:val="20"/>
                <w:szCs w:val="20"/>
              </w:rPr>
            </w:pPr>
            <w:r w:rsidRPr="00511D3F">
              <w:rPr>
                <w:rFonts w:cs="Times New Roman"/>
                <w:sz w:val="20"/>
                <w:szCs w:val="20"/>
              </w:rPr>
              <w:t>88.88</w:t>
            </w:r>
          </w:p>
        </w:tc>
        <w:tc>
          <w:tcPr>
            <w:tcW w:w="789" w:type="pct"/>
            <w:tcBorders>
              <w:top w:val="nil"/>
              <w:left w:val="nil"/>
              <w:bottom w:val="single" w:sz="4" w:space="0" w:color="auto"/>
              <w:right w:val="single" w:sz="4" w:space="0" w:color="auto"/>
            </w:tcBorders>
            <w:shd w:val="clear" w:color="auto" w:fill="FFFFFF"/>
            <w:noWrap/>
            <w:vAlign w:val="center"/>
            <w:hideMark/>
          </w:tcPr>
          <w:p w14:paraId="42A1F45B" w14:textId="77777777" w:rsidR="00D92C6C" w:rsidRPr="00511D3F" w:rsidRDefault="00D92C6C" w:rsidP="00511D3F">
            <w:pPr>
              <w:contextualSpacing/>
              <w:jc w:val="center"/>
              <w:rPr>
                <w:rFonts w:cs="Times New Roman"/>
                <w:sz w:val="20"/>
                <w:szCs w:val="20"/>
              </w:rPr>
            </w:pPr>
            <w:r w:rsidRPr="00511D3F">
              <w:rPr>
                <w:rFonts w:cs="Times New Roman"/>
                <w:sz w:val="20"/>
                <w:szCs w:val="20"/>
              </w:rPr>
              <w:t>17.58</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28247E"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£19,486</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510CE30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£23,393</w:t>
            </w:r>
          </w:p>
        </w:tc>
      </w:tr>
      <w:tr w:rsidR="00D92C6C" w:rsidRPr="00511D3F" w14:paraId="5BB6EB92"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768A99D2"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Infantile fibrosarcoma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3E3C162F" w14:textId="77777777" w:rsidR="00D92C6C" w:rsidRPr="00511D3F" w:rsidRDefault="00D92C6C" w:rsidP="00511D3F">
            <w:pPr>
              <w:contextualSpacing/>
              <w:jc w:val="center"/>
              <w:rPr>
                <w:rFonts w:cs="Times New Roman"/>
                <w:sz w:val="20"/>
                <w:szCs w:val="20"/>
              </w:rPr>
            </w:pPr>
            <w:r w:rsidRPr="00511D3F">
              <w:rPr>
                <w:rFonts w:cs="Times New Roman"/>
                <w:sz w:val="20"/>
                <w:szCs w:val="20"/>
              </w:rPr>
              <w:t>1.36</w:t>
            </w:r>
          </w:p>
        </w:tc>
        <w:tc>
          <w:tcPr>
            <w:tcW w:w="789" w:type="pct"/>
            <w:tcBorders>
              <w:top w:val="nil"/>
              <w:left w:val="nil"/>
              <w:bottom w:val="single" w:sz="4" w:space="0" w:color="auto"/>
              <w:right w:val="single" w:sz="4" w:space="0" w:color="auto"/>
            </w:tcBorders>
            <w:shd w:val="clear" w:color="auto" w:fill="FFFFFF"/>
            <w:noWrap/>
            <w:vAlign w:val="center"/>
            <w:hideMark/>
          </w:tcPr>
          <w:p w14:paraId="222BDD85" w14:textId="77777777" w:rsidR="00D92C6C" w:rsidRPr="00511D3F" w:rsidRDefault="00D92C6C" w:rsidP="00511D3F">
            <w:pPr>
              <w:contextualSpacing/>
              <w:jc w:val="center"/>
              <w:rPr>
                <w:rFonts w:cs="Times New Roman"/>
                <w:sz w:val="20"/>
                <w:szCs w:val="20"/>
              </w:rPr>
            </w:pPr>
            <w:r w:rsidRPr="00511D3F">
              <w:rPr>
                <w:rFonts w:cs="Times New Roman"/>
                <w:sz w:val="20"/>
                <w:szCs w:val="20"/>
              </w:rPr>
              <w:t>1.00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7DE05FF"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£350</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6B98B078"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£420</w:t>
            </w:r>
          </w:p>
        </w:tc>
      </w:tr>
      <w:tr w:rsidR="00D92C6C" w:rsidRPr="00511D3F" w14:paraId="63760700"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1378232C"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MASC</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02EA0E61" w14:textId="77777777" w:rsidR="00D92C6C" w:rsidRPr="00511D3F" w:rsidRDefault="00D92C6C" w:rsidP="00511D3F">
            <w:pPr>
              <w:contextualSpacing/>
              <w:jc w:val="center"/>
              <w:rPr>
                <w:rFonts w:cs="Times New Roman"/>
                <w:sz w:val="20"/>
                <w:szCs w:val="20"/>
              </w:rPr>
            </w:pPr>
            <w:r w:rsidRPr="00511D3F">
              <w:rPr>
                <w:rFonts w:cs="Times New Roman"/>
                <w:sz w:val="20"/>
                <w:szCs w:val="20"/>
              </w:rPr>
              <w:t>1.35</w:t>
            </w:r>
          </w:p>
        </w:tc>
        <w:tc>
          <w:tcPr>
            <w:tcW w:w="789" w:type="pct"/>
            <w:tcBorders>
              <w:top w:val="nil"/>
              <w:left w:val="nil"/>
              <w:bottom w:val="single" w:sz="4" w:space="0" w:color="auto"/>
              <w:right w:val="single" w:sz="4" w:space="0" w:color="auto"/>
            </w:tcBorders>
            <w:shd w:val="clear" w:color="auto" w:fill="FFFFFF"/>
            <w:noWrap/>
            <w:vAlign w:val="center"/>
            <w:hideMark/>
          </w:tcPr>
          <w:p w14:paraId="683645F9" w14:textId="77777777" w:rsidR="00D92C6C" w:rsidRPr="00511D3F" w:rsidRDefault="00D92C6C" w:rsidP="00511D3F">
            <w:pPr>
              <w:contextualSpacing/>
              <w:jc w:val="center"/>
              <w:rPr>
                <w:rFonts w:cs="Times New Roman"/>
                <w:sz w:val="20"/>
                <w:szCs w:val="20"/>
              </w:rPr>
            </w:pPr>
            <w:r w:rsidRPr="00511D3F">
              <w:rPr>
                <w:rFonts w:cs="Times New Roman"/>
                <w:sz w:val="20"/>
                <w:szCs w:val="20"/>
              </w:rPr>
              <w:t>0.00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75E2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£0</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52535F2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£0</w:t>
            </w:r>
          </w:p>
        </w:tc>
      </w:tr>
      <w:tr w:rsidR="00D92C6C" w:rsidRPr="00511D3F" w14:paraId="5BB50211"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noWrap/>
            <w:hideMark/>
          </w:tcPr>
          <w:p w14:paraId="41F76ECE"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Melanoma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4C62AC94" w14:textId="77777777" w:rsidR="00D92C6C" w:rsidRPr="00511D3F" w:rsidRDefault="00D92C6C" w:rsidP="00511D3F">
            <w:pPr>
              <w:contextualSpacing/>
              <w:jc w:val="center"/>
              <w:rPr>
                <w:rFonts w:cs="Times New Roman"/>
                <w:sz w:val="20"/>
                <w:szCs w:val="20"/>
              </w:rPr>
            </w:pPr>
            <w:r w:rsidRPr="00511D3F">
              <w:rPr>
                <w:rFonts w:cs="Times New Roman"/>
                <w:sz w:val="20"/>
                <w:szCs w:val="20"/>
              </w:rPr>
              <w:t>541.74</w:t>
            </w:r>
          </w:p>
        </w:tc>
        <w:tc>
          <w:tcPr>
            <w:tcW w:w="789" w:type="pct"/>
            <w:tcBorders>
              <w:top w:val="nil"/>
              <w:left w:val="nil"/>
              <w:bottom w:val="single" w:sz="4" w:space="0" w:color="auto"/>
              <w:right w:val="single" w:sz="4" w:space="0" w:color="auto"/>
            </w:tcBorders>
            <w:shd w:val="clear" w:color="auto" w:fill="FFFFFF"/>
            <w:noWrap/>
            <w:vAlign w:val="center"/>
            <w:hideMark/>
          </w:tcPr>
          <w:p w14:paraId="00837825" w14:textId="77777777" w:rsidR="00D92C6C" w:rsidRPr="00511D3F" w:rsidRDefault="00D92C6C" w:rsidP="00511D3F">
            <w:pPr>
              <w:contextualSpacing/>
              <w:jc w:val="center"/>
              <w:rPr>
                <w:rFonts w:cs="Times New Roman"/>
                <w:sz w:val="20"/>
                <w:szCs w:val="20"/>
              </w:rPr>
            </w:pPr>
            <w:r w:rsidRPr="00511D3F">
              <w:rPr>
                <w:rFonts w:cs="Times New Roman"/>
                <w:sz w:val="20"/>
                <w:szCs w:val="20"/>
              </w:rPr>
              <w:t>103.17</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A4D6C4"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£117,372</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4D0074E"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£140,903</w:t>
            </w:r>
          </w:p>
        </w:tc>
      </w:tr>
      <w:tr w:rsidR="00D92C6C" w:rsidRPr="00511D3F" w14:paraId="046C4242" w14:textId="77777777" w:rsidTr="00EC11CD">
        <w:trPr>
          <w:trHeight w:val="285"/>
          <w:jc w:val="center"/>
        </w:trPr>
        <w:tc>
          <w:tcPr>
            <w:tcW w:w="1074" w:type="pct"/>
            <w:tcBorders>
              <w:top w:val="single" w:sz="4" w:space="0" w:color="auto"/>
              <w:left w:val="single" w:sz="4" w:space="0" w:color="auto"/>
              <w:bottom w:val="single" w:sz="4" w:space="0" w:color="auto"/>
              <w:right w:val="single" w:sz="4" w:space="0" w:color="auto"/>
            </w:tcBorders>
            <w:hideMark/>
          </w:tcPr>
          <w:p w14:paraId="4A1D31FF"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NSCLC</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5D13EC16" w14:textId="77777777" w:rsidR="00D92C6C" w:rsidRPr="00511D3F" w:rsidRDefault="00D92C6C" w:rsidP="00511D3F">
            <w:pPr>
              <w:contextualSpacing/>
              <w:jc w:val="center"/>
              <w:rPr>
                <w:rFonts w:cs="Times New Roman"/>
                <w:sz w:val="20"/>
                <w:szCs w:val="20"/>
              </w:rPr>
            </w:pPr>
            <w:r w:rsidRPr="00511D3F">
              <w:rPr>
                <w:rFonts w:cs="Times New Roman"/>
                <w:sz w:val="20"/>
                <w:szCs w:val="20"/>
              </w:rPr>
              <w:t>1264.06</w:t>
            </w:r>
          </w:p>
        </w:tc>
        <w:tc>
          <w:tcPr>
            <w:tcW w:w="789" w:type="pct"/>
            <w:tcBorders>
              <w:top w:val="nil"/>
              <w:left w:val="nil"/>
              <w:bottom w:val="single" w:sz="4" w:space="0" w:color="auto"/>
              <w:right w:val="single" w:sz="4" w:space="0" w:color="auto"/>
            </w:tcBorders>
            <w:shd w:val="clear" w:color="auto" w:fill="FFFFFF"/>
            <w:noWrap/>
            <w:vAlign w:val="center"/>
            <w:hideMark/>
          </w:tcPr>
          <w:p w14:paraId="6054E9C6" w14:textId="77777777" w:rsidR="00D92C6C" w:rsidRPr="00511D3F" w:rsidRDefault="00D92C6C" w:rsidP="00511D3F">
            <w:pPr>
              <w:contextualSpacing/>
              <w:jc w:val="center"/>
              <w:rPr>
                <w:rFonts w:cs="Times New Roman"/>
                <w:sz w:val="20"/>
                <w:szCs w:val="20"/>
              </w:rPr>
            </w:pPr>
            <w:r w:rsidRPr="00511D3F">
              <w:rPr>
                <w:rFonts w:cs="Times New Roman"/>
                <w:sz w:val="20"/>
                <w:szCs w:val="20"/>
              </w:rPr>
              <w:t>239.69</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992C58"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£273,502</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7346F68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£328,334</w:t>
            </w:r>
          </w:p>
        </w:tc>
      </w:tr>
      <w:tr w:rsidR="00D92C6C" w:rsidRPr="00511D3F" w14:paraId="76A68BA5"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48368DDB"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Pancreatic</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6FECE704" w14:textId="77777777" w:rsidR="00D92C6C" w:rsidRPr="00511D3F" w:rsidRDefault="00D92C6C" w:rsidP="00511D3F">
            <w:pPr>
              <w:contextualSpacing/>
              <w:jc w:val="center"/>
              <w:rPr>
                <w:rFonts w:cs="Times New Roman"/>
                <w:sz w:val="20"/>
                <w:szCs w:val="20"/>
              </w:rPr>
            </w:pPr>
            <w:r w:rsidRPr="00511D3F">
              <w:rPr>
                <w:rFonts w:cs="Times New Roman"/>
                <w:sz w:val="20"/>
                <w:szCs w:val="20"/>
              </w:rPr>
              <w:t>437.56</w:t>
            </w:r>
          </w:p>
        </w:tc>
        <w:tc>
          <w:tcPr>
            <w:tcW w:w="789" w:type="pct"/>
            <w:tcBorders>
              <w:top w:val="nil"/>
              <w:left w:val="nil"/>
              <w:bottom w:val="single" w:sz="4" w:space="0" w:color="auto"/>
              <w:right w:val="single" w:sz="4" w:space="0" w:color="auto"/>
            </w:tcBorders>
            <w:shd w:val="clear" w:color="auto" w:fill="FFFFFF"/>
            <w:noWrap/>
            <w:vAlign w:val="center"/>
            <w:hideMark/>
          </w:tcPr>
          <w:p w14:paraId="6E678A33" w14:textId="77777777" w:rsidR="00D92C6C" w:rsidRPr="00511D3F" w:rsidRDefault="00D92C6C" w:rsidP="00511D3F">
            <w:pPr>
              <w:contextualSpacing/>
              <w:jc w:val="center"/>
              <w:rPr>
                <w:rFonts w:cs="Times New Roman"/>
                <w:sz w:val="20"/>
                <w:szCs w:val="20"/>
              </w:rPr>
            </w:pPr>
            <w:r w:rsidRPr="00511D3F">
              <w:rPr>
                <w:rFonts w:cs="Times New Roman"/>
                <w:sz w:val="20"/>
                <w:szCs w:val="20"/>
              </w:rPr>
              <w:t>83.48</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2DA93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£94,853</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13C138A3"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£113,870</w:t>
            </w:r>
          </w:p>
        </w:tc>
      </w:tr>
      <w:tr w:rsidR="00D92C6C" w:rsidRPr="00511D3F" w14:paraId="7188B041"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hideMark/>
          </w:tcPr>
          <w:p w14:paraId="6E482F40"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 xml:space="preserve">Soft tissue sarcoma </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6249A342" w14:textId="77777777" w:rsidR="00D92C6C" w:rsidRPr="00511D3F" w:rsidRDefault="00D92C6C" w:rsidP="00511D3F">
            <w:pPr>
              <w:contextualSpacing/>
              <w:jc w:val="center"/>
              <w:rPr>
                <w:rFonts w:cs="Times New Roman"/>
                <w:sz w:val="20"/>
                <w:szCs w:val="20"/>
              </w:rPr>
            </w:pPr>
            <w:r w:rsidRPr="00511D3F">
              <w:rPr>
                <w:rFonts w:cs="Times New Roman"/>
                <w:sz w:val="20"/>
                <w:szCs w:val="20"/>
              </w:rPr>
              <w:t>220.19</w:t>
            </w:r>
          </w:p>
        </w:tc>
        <w:tc>
          <w:tcPr>
            <w:tcW w:w="789" w:type="pct"/>
            <w:tcBorders>
              <w:top w:val="nil"/>
              <w:left w:val="nil"/>
              <w:bottom w:val="single" w:sz="4" w:space="0" w:color="auto"/>
              <w:right w:val="single" w:sz="4" w:space="0" w:color="auto"/>
            </w:tcBorders>
            <w:shd w:val="clear" w:color="auto" w:fill="FFFFFF"/>
            <w:noWrap/>
            <w:vAlign w:val="center"/>
            <w:hideMark/>
          </w:tcPr>
          <w:p w14:paraId="3E09024E" w14:textId="77777777" w:rsidR="00D92C6C" w:rsidRPr="00511D3F" w:rsidRDefault="00D92C6C" w:rsidP="00511D3F">
            <w:pPr>
              <w:contextualSpacing/>
              <w:jc w:val="center"/>
              <w:rPr>
                <w:rFonts w:cs="Times New Roman"/>
                <w:sz w:val="20"/>
                <w:szCs w:val="20"/>
              </w:rPr>
            </w:pPr>
            <w:r w:rsidRPr="00511D3F">
              <w:rPr>
                <w:rFonts w:cs="Times New Roman"/>
                <w:sz w:val="20"/>
                <w:szCs w:val="20"/>
              </w:rPr>
              <w:t>1.31</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AA3051"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£457</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6E0C864A"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£549</w:t>
            </w:r>
          </w:p>
        </w:tc>
      </w:tr>
      <w:tr w:rsidR="00D92C6C" w:rsidRPr="00511D3F" w14:paraId="753C96BA"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hideMark/>
          </w:tcPr>
          <w:p w14:paraId="23DE92B2"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Thyroid</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2CAE6B7D" w14:textId="77777777" w:rsidR="00D92C6C" w:rsidRPr="00511D3F" w:rsidRDefault="00D92C6C" w:rsidP="00511D3F">
            <w:pPr>
              <w:contextualSpacing/>
              <w:jc w:val="center"/>
              <w:rPr>
                <w:rFonts w:cs="Times New Roman"/>
                <w:sz w:val="20"/>
                <w:szCs w:val="20"/>
              </w:rPr>
            </w:pPr>
            <w:r w:rsidRPr="00511D3F">
              <w:rPr>
                <w:rFonts w:cs="Times New Roman"/>
                <w:sz w:val="20"/>
                <w:szCs w:val="20"/>
              </w:rPr>
              <w:t>123.66</w:t>
            </w:r>
          </w:p>
        </w:tc>
        <w:tc>
          <w:tcPr>
            <w:tcW w:w="789" w:type="pct"/>
            <w:tcBorders>
              <w:top w:val="nil"/>
              <w:left w:val="nil"/>
              <w:bottom w:val="single" w:sz="4" w:space="0" w:color="auto"/>
              <w:right w:val="single" w:sz="4" w:space="0" w:color="auto"/>
            </w:tcBorders>
            <w:shd w:val="clear" w:color="auto" w:fill="FFFFFF"/>
            <w:noWrap/>
            <w:vAlign w:val="center"/>
            <w:hideMark/>
          </w:tcPr>
          <w:p w14:paraId="3A5E766C" w14:textId="77777777" w:rsidR="00D92C6C" w:rsidRPr="00511D3F" w:rsidRDefault="00D92C6C" w:rsidP="00511D3F">
            <w:pPr>
              <w:contextualSpacing/>
              <w:jc w:val="center"/>
              <w:rPr>
                <w:rFonts w:cs="Times New Roman"/>
                <w:sz w:val="20"/>
                <w:szCs w:val="20"/>
              </w:rPr>
            </w:pPr>
            <w:r w:rsidRPr="00511D3F">
              <w:rPr>
                <w:rFonts w:cs="Times New Roman"/>
                <w:sz w:val="20"/>
                <w:szCs w:val="20"/>
              </w:rPr>
              <w:t>24.16</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F1E92C"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£27,003</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5F8B11F4"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£32,417</w:t>
            </w:r>
          </w:p>
        </w:tc>
      </w:tr>
      <w:tr w:rsidR="00D92C6C" w:rsidRPr="00511D3F" w14:paraId="3B42288B" w14:textId="77777777" w:rsidTr="00EC11CD">
        <w:trPr>
          <w:trHeight w:val="36"/>
          <w:jc w:val="cent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hideMark/>
          </w:tcPr>
          <w:p w14:paraId="306F5CA6" w14:textId="77777777" w:rsidR="00D92C6C" w:rsidRPr="00511D3F" w:rsidRDefault="00D92C6C" w:rsidP="00511D3F">
            <w:pPr>
              <w:contextualSpacing/>
              <w:rPr>
                <w:rFonts w:cs="Times New Roman"/>
                <w:b/>
                <w:color w:val="000000"/>
                <w:sz w:val="20"/>
                <w:szCs w:val="20"/>
              </w:rPr>
            </w:pPr>
            <w:r w:rsidRPr="00511D3F">
              <w:rPr>
                <w:rFonts w:cs="Times New Roman"/>
                <w:b/>
                <w:color w:val="000000"/>
                <w:sz w:val="20"/>
                <w:szCs w:val="20"/>
              </w:rPr>
              <w:t>Tumours not represented in trial</w:t>
            </w:r>
          </w:p>
        </w:tc>
      </w:tr>
      <w:tr w:rsidR="00D92C6C" w:rsidRPr="00511D3F" w14:paraId="67642701" w14:textId="77777777" w:rsidTr="00EC11CD">
        <w:trPr>
          <w:trHeight w:val="240"/>
          <w:jc w:val="center"/>
        </w:trPr>
        <w:tc>
          <w:tcPr>
            <w:tcW w:w="1074" w:type="pct"/>
            <w:tcBorders>
              <w:top w:val="single" w:sz="4" w:space="0" w:color="auto"/>
              <w:left w:val="single" w:sz="4" w:space="0" w:color="auto"/>
              <w:bottom w:val="single" w:sz="4" w:space="0" w:color="auto"/>
              <w:right w:val="single" w:sz="4" w:space="0" w:color="auto"/>
            </w:tcBorders>
            <w:hideMark/>
          </w:tcPr>
          <w:p w14:paraId="741A26F9"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Cervix</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2A560D6D" w14:textId="77777777" w:rsidR="00D92C6C" w:rsidRPr="00511D3F" w:rsidRDefault="00D92C6C" w:rsidP="00511D3F">
            <w:pPr>
              <w:contextualSpacing/>
              <w:jc w:val="center"/>
              <w:rPr>
                <w:rFonts w:cs="Times New Roman"/>
                <w:sz w:val="20"/>
                <w:szCs w:val="20"/>
              </w:rPr>
            </w:pPr>
            <w:r w:rsidRPr="00511D3F">
              <w:rPr>
                <w:rFonts w:cs="Times New Roman"/>
                <w:sz w:val="20"/>
                <w:szCs w:val="20"/>
              </w:rPr>
              <w:t>344.74</w:t>
            </w:r>
          </w:p>
        </w:tc>
        <w:tc>
          <w:tcPr>
            <w:tcW w:w="789" w:type="pct"/>
            <w:tcBorders>
              <w:top w:val="nil"/>
              <w:left w:val="nil"/>
              <w:bottom w:val="single" w:sz="4" w:space="0" w:color="auto"/>
              <w:right w:val="single" w:sz="4" w:space="0" w:color="auto"/>
            </w:tcBorders>
            <w:shd w:val="clear" w:color="auto" w:fill="FFFFFF"/>
            <w:noWrap/>
            <w:vAlign w:val="center"/>
            <w:hideMark/>
          </w:tcPr>
          <w:p w14:paraId="424DE8E3" w14:textId="77777777" w:rsidR="00D92C6C" w:rsidRPr="00511D3F" w:rsidRDefault="00D92C6C" w:rsidP="00511D3F">
            <w:pPr>
              <w:contextualSpacing/>
              <w:jc w:val="center"/>
              <w:rPr>
                <w:rFonts w:cs="Times New Roman"/>
                <w:sz w:val="20"/>
                <w:szCs w:val="20"/>
              </w:rPr>
            </w:pPr>
            <w:r w:rsidRPr="00511D3F">
              <w:rPr>
                <w:rFonts w:cs="Times New Roman"/>
                <w:sz w:val="20"/>
                <w:szCs w:val="20"/>
              </w:rPr>
              <w:t>65.94</w:t>
            </w:r>
          </w:p>
        </w:tc>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C219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£74,791</w:t>
            </w:r>
          </w:p>
        </w:tc>
        <w:tc>
          <w:tcPr>
            <w:tcW w:w="1417" w:type="pct"/>
            <w:tcBorders>
              <w:top w:val="single" w:sz="4" w:space="0" w:color="auto"/>
              <w:left w:val="nil"/>
              <w:bottom w:val="single" w:sz="4" w:space="0" w:color="auto"/>
              <w:right w:val="single" w:sz="8" w:space="0" w:color="auto"/>
            </w:tcBorders>
            <w:shd w:val="clear" w:color="auto" w:fill="FFFFFF" w:themeFill="background1"/>
            <w:noWrap/>
            <w:vAlign w:val="center"/>
            <w:hideMark/>
          </w:tcPr>
          <w:p w14:paraId="1AD13828"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£89,785</w:t>
            </w:r>
          </w:p>
        </w:tc>
      </w:tr>
      <w:tr w:rsidR="00D92C6C" w:rsidRPr="00511D3F" w14:paraId="68221E37"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08392E5A"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Congenital Mesoblastic Nephroma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14B3F622" w14:textId="77777777" w:rsidR="00D92C6C" w:rsidRPr="00511D3F" w:rsidRDefault="00D92C6C" w:rsidP="00511D3F">
            <w:pPr>
              <w:contextualSpacing/>
              <w:jc w:val="center"/>
              <w:rPr>
                <w:rFonts w:cs="Times New Roman"/>
                <w:sz w:val="20"/>
                <w:szCs w:val="20"/>
              </w:rPr>
            </w:pPr>
            <w:r w:rsidRPr="00511D3F">
              <w:rPr>
                <w:rFonts w:cs="Times New Roman"/>
                <w:sz w:val="20"/>
                <w:szCs w:val="20"/>
              </w:rPr>
              <w:t>2.03</w:t>
            </w:r>
          </w:p>
        </w:tc>
        <w:tc>
          <w:tcPr>
            <w:tcW w:w="789" w:type="pct"/>
            <w:tcBorders>
              <w:top w:val="nil"/>
              <w:left w:val="nil"/>
              <w:bottom w:val="single" w:sz="4" w:space="0" w:color="auto"/>
              <w:right w:val="single" w:sz="4" w:space="0" w:color="auto"/>
            </w:tcBorders>
            <w:shd w:val="clear" w:color="auto" w:fill="FFFFFF"/>
            <w:noWrap/>
            <w:vAlign w:val="center"/>
            <w:hideMark/>
          </w:tcPr>
          <w:p w14:paraId="56F63C1C" w14:textId="77777777" w:rsidR="00D92C6C" w:rsidRPr="00511D3F" w:rsidRDefault="00D92C6C" w:rsidP="00511D3F">
            <w:pPr>
              <w:contextualSpacing/>
              <w:jc w:val="center"/>
              <w:rPr>
                <w:rFonts w:cs="Times New Roman"/>
                <w:sz w:val="20"/>
                <w:szCs w:val="20"/>
              </w:rPr>
            </w:pPr>
            <w:r w:rsidRPr="00511D3F">
              <w:rPr>
                <w:rFonts w:cs="Times New Roman"/>
                <w:sz w:val="20"/>
                <w:szCs w:val="20"/>
              </w:rPr>
              <w:t>1.00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F6CDC22"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£350</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4E45D5A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£421</w:t>
            </w:r>
          </w:p>
        </w:tc>
      </w:tr>
      <w:tr w:rsidR="00D92C6C" w:rsidRPr="00511D3F" w14:paraId="605A2598"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7FEE06CF"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Gastro-esophageal junction</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69882371" w14:textId="77777777" w:rsidR="00D92C6C" w:rsidRPr="00511D3F" w:rsidRDefault="00D92C6C" w:rsidP="00511D3F">
            <w:pPr>
              <w:contextualSpacing/>
              <w:jc w:val="center"/>
              <w:rPr>
                <w:rFonts w:cs="Times New Roman"/>
                <w:sz w:val="20"/>
                <w:szCs w:val="20"/>
              </w:rPr>
            </w:pPr>
            <w:r w:rsidRPr="00511D3F">
              <w:rPr>
                <w:rFonts w:cs="Times New Roman"/>
                <w:sz w:val="20"/>
                <w:szCs w:val="20"/>
              </w:rPr>
              <w:t>1137.66</w:t>
            </w:r>
          </w:p>
        </w:tc>
        <w:tc>
          <w:tcPr>
            <w:tcW w:w="789" w:type="pct"/>
            <w:tcBorders>
              <w:top w:val="nil"/>
              <w:left w:val="nil"/>
              <w:bottom w:val="single" w:sz="4" w:space="0" w:color="auto"/>
              <w:right w:val="single" w:sz="4" w:space="0" w:color="auto"/>
            </w:tcBorders>
            <w:shd w:val="clear" w:color="auto" w:fill="FFFFFF"/>
            <w:noWrap/>
            <w:vAlign w:val="center"/>
            <w:hideMark/>
          </w:tcPr>
          <w:p w14:paraId="26C483CA" w14:textId="77777777" w:rsidR="00D92C6C" w:rsidRPr="00511D3F" w:rsidRDefault="00D92C6C" w:rsidP="00511D3F">
            <w:pPr>
              <w:contextualSpacing/>
              <w:jc w:val="center"/>
              <w:rPr>
                <w:rFonts w:cs="Times New Roman"/>
                <w:sz w:val="20"/>
                <w:szCs w:val="20"/>
              </w:rPr>
            </w:pPr>
            <w:r w:rsidRPr="00511D3F">
              <w:rPr>
                <w:rFonts w:cs="Times New Roman"/>
                <w:sz w:val="20"/>
                <w:szCs w:val="20"/>
              </w:rPr>
              <w:t>215.80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0098C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£246,179</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1DF1CD3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£295,533</w:t>
            </w:r>
          </w:p>
        </w:tc>
      </w:tr>
      <w:tr w:rsidR="00D92C6C" w:rsidRPr="00511D3F" w14:paraId="450A5021"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7D613306"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HNSCC</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14EF6238" w14:textId="77777777" w:rsidR="00D92C6C" w:rsidRPr="00511D3F" w:rsidRDefault="00D92C6C" w:rsidP="00511D3F">
            <w:pPr>
              <w:contextualSpacing/>
              <w:jc w:val="center"/>
              <w:rPr>
                <w:rFonts w:cs="Times New Roman"/>
                <w:sz w:val="20"/>
                <w:szCs w:val="20"/>
              </w:rPr>
            </w:pPr>
            <w:r w:rsidRPr="00511D3F">
              <w:rPr>
                <w:rFonts w:cs="Times New Roman"/>
                <w:sz w:val="20"/>
                <w:szCs w:val="20"/>
              </w:rPr>
              <w:t>299.38</w:t>
            </w:r>
          </w:p>
        </w:tc>
        <w:tc>
          <w:tcPr>
            <w:tcW w:w="789" w:type="pct"/>
            <w:tcBorders>
              <w:top w:val="nil"/>
              <w:left w:val="nil"/>
              <w:bottom w:val="single" w:sz="4" w:space="0" w:color="auto"/>
              <w:right w:val="single" w:sz="4" w:space="0" w:color="auto"/>
            </w:tcBorders>
            <w:shd w:val="clear" w:color="auto" w:fill="FFFFFF"/>
            <w:noWrap/>
            <w:vAlign w:val="center"/>
            <w:hideMark/>
          </w:tcPr>
          <w:p w14:paraId="3E97CDB1" w14:textId="77777777" w:rsidR="00D92C6C" w:rsidRPr="00511D3F" w:rsidRDefault="00D92C6C" w:rsidP="00511D3F">
            <w:pPr>
              <w:contextualSpacing/>
              <w:jc w:val="center"/>
              <w:rPr>
                <w:rFonts w:cs="Times New Roman"/>
                <w:sz w:val="20"/>
                <w:szCs w:val="20"/>
              </w:rPr>
            </w:pPr>
            <w:r w:rsidRPr="00511D3F">
              <w:rPr>
                <w:rFonts w:cs="Times New Roman"/>
                <w:sz w:val="20"/>
                <w:szCs w:val="20"/>
              </w:rPr>
              <w:t>57.37</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0BAE6DA"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£64,986</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7D371414"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£78,015</w:t>
            </w:r>
          </w:p>
        </w:tc>
      </w:tr>
      <w:tr w:rsidR="00D92C6C" w:rsidRPr="00511D3F" w14:paraId="2EAFF912"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37B0EE69"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High grade glioma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19B7059E" w14:textId="77777777" w:rsidR="00D92C6C" w:rsidRPr="00511D3F" w:rsidRDefault="00D92C6C" w:rsidP="00511D3F">
            <w:pPr>
              <w:contextualSpacing/>
              <w:jc w:val="center"/>
              <w:rPr>
                <w:rFonts w:cs="Times New Roman"/>
                <w:sz w:val="20"/>
                <w:szCs w:val="20"/>
              </w:rPr>
            </w:pPr>
            <w:r w:rsidRPr="00511D3F">
              <w:rPr>
                <w:rFonts w:cs="Times New Roman"/>
                <w:sz w:val="20"/>
                <w:szCs w:val="20"/>
              </w:rPr>
              <w:t>2275.31</w:t>
            </w:r>
          </w:p>
        </w:tc>
        <w:tc>
          <w:tcPr>
            <w:tcW w:w="789" w:type="pct"/>
            <w:tcBorders>
              <w:top w:val="nil"/>
              <w:left w:val="nil"/>
              <w:bottom w:val="single" w:sz="4" w:space="0" w:color="auto"/>
              <w:right w:val="single" w:sz="4" w:space="0" w:color="auto"/>
            </w:tcBorders>
            <w:shd w:val="clear" w:color="auto" w:fill="FFFFFF"/>
            <w:noWrap/>
            <w:vAlign w:val="center"/>
            <w:hideMark/>
          </w:tcPr>
          <w:p w14:paraId="1D5F3F37" w14:textId="77777777" w:rsidR="00D92C6C" w:rsidRPr="00511D3F" w:rsidRDefault="00D92C6C" w:rsidP="00511D3F">
            <w:pPr>
              <w:contextualSpacing/>
              <w:jc w:val="center"/>
              <w:rPr>
                <w:rFonts w:cs="Times New Roman"/>
                <w:sz w:val="20"/>
                <w:szCs w:val="20"/>
              </w:rPr>
            </w:pPr>
            <w:r w:rsidRPr="00511D3F">
              <w:rPr>
                <w:rFonts w:cs="Times New Roman"/>
                <w:sz w:val="20"/>
                <w:szCs w:val="20"/>
              </w:rPr>
              <w:t>430.82</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8D90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£492,084</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707AB649"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£590,737</w:t>
            </w:r>
          </w:p>
        </w:tc>
      </w:tr>
      <w:tr w:rsidR="00D92C6C" w:rsidRPr="00511D3F" w14:paraId="7777617C"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2FF2E668"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Neuroendocrine</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147DE678" w14:textId="77777777" w:rsidR="00D92C6C" w:rsidRPr="00511D3F" w:rsidRDefault="00D92C6C" w:rsidP="00511D3F">
            <w:pPr>
              <w:contextualSpacing/>
              <w:jc w:val="center"/>
              <w:rPr>
                <w:rFonts w:cs="Times New Roman"/>
                <w:sz w:val="20"/>
                <w:szCs w:val="20"/>
              </w:rPr>
            </w:pPr>
            <w:r w:rsidRPr="00511D3F">
              <w:rPr>
                <w:rFonts w:cs="Times New Roman"/>
                <w:sz w:val="20"/>
                <w:szCs w:val="20"/>
              </w:rPr>
              <w:t>379.22</w:t>
            </w:r>
          </w:p>
        </w:tc>
        <w:tc>
          <w:tcPr>
            <w:tcW w:w="789" w:type="pct"/>
            <w:tcBorders>
              <w:top w:val="nil"/>
              <w:left w:val="nil"/>
              <w:bottom w:val="single" w:sz="4" w:space="0" w:color="auto"/>
              <w:right w:val="single" w:sz="4" w:space="0" w:color="auto"/>
            </w:tcBorders>
            <w:shd w:val="clear" w:color="auto" w:fill="FFFFFF"/>
            <w:noWrap/>
            <w:vAlign w:val="center"/>
            <w:hideMark/>
          </w:tcPr>
          <w:p w14:paraId="3CFF5665" w14:textId="77777777" w:rsidR="00D92C6C" w:rsidRPr="00511D3F" w:rsidRDefault="00D92C6C" w:rsidP="00511D3F">
            <w:pPr>
              <w:contextualSpacing/>
              <w:jc w:val="center"/>
              <w:rPr>
                <w:rFonts w:cs="Times New Roman"/>
                <w:sz w:val="20"/>
                <w:szCs w:val="20"/>
              </w:rPr>
            </w:pPr>
            <w:r w:rsidRPr="00511D3F">
              <w:rPr>
                <w:rFonts w:cs="Times New Roman"/>
                <w:sz w:val="20"/>
                <w:szCs w:val="20"/>
              </w:rPr>
              <w:t>72.46</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A24180"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£82,243</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DB7990D"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£98,731</w:t>
            </w:r>
          </w:p>
        </w:tc>
      </w:tr>
      <w:tr w:rsidR="00D92C6C" w:rsidRPr="00511D3F" w14:paraId="511CA686"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39E3C31D"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Ovarian</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71C10D1E" w14:textId="77777777" w:rsidR="00D92C6C" w:rsidRPr="00511D3F" w:rsidRDefault="00D92C6C" w:rsidP="00511D3F">
            <w:pPr>
              <w:contextualSpacing/>
              <w:jc w:val="center"/>
              <w:rPr>
                <w:rFonts w:cs="Times New Roman"/>
                <w:sz w:val="20"/>
                <w:szCs w:val="20"/>
              </w:rPr>
            </w:pPr>
            <w:r w:rsidRPr="00511D3F">
              <w:rPr>
                <w:rFonts w:cs="Times New Roman"/>
                <w:sz w:val="20"/>
                <w:szCs w:val="20"/>
              </w:rPr>
              <w:t>455.06</w:t>
            </w:r>
          </w:p>
        </w:tc>
        <w:tc>
          <w:tcPr>
            <w:tcW w:w="789" w:type="pct"/>
            <w:tcBorders>
              <w:top w:val="nil"/>
              <w:left w:val="nil"/>
              <w:bottom w:val="single" w:sz="4" w:space="0" w:color="auto"/>
              <w:right w:val="single" w:sz="4" w:space="0" w:color="auto"/>
            </w:tcBorders>
            <w:shd w:val="clear" w:color="auto" w:fill="FFFFFF"/>
            <w:noWrap/>
            <w:vAlign w:val="center"/>
            <w:hideMark/>
          </w:tcPr>
          <w:p w14:paraId="16213315" w14:textId="77777777" w:rsidR="00D92C6C" w:rsidRPr="00511D3F" w:rsidRDefault="00D92C6C" w:rsidP="00511D3F">
            <w:pPr>
              <w:contextualSpacing/>
              <w:jc w:val="center"/>
              <w:rPr>
                <w:rFonts w:cs="Times New Roman"/>
                <w:sz w:val="20"/>
                <w:szCs w:val="20"/>
              </w:rPr>
            </w:pPr>
            <w:r w:rsidRPr="00511D3F">
              <w:rPr>
                <w:rFonts w:cs="Times New Roman"/>
                <w:sz w:val="20"/>
                <w:szCs w:val="20"/>
              </w:rPr>
              <w:t>86.79</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B177C9"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£98,637</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3D4D149D"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£118,411</w:t>
            </w:r>
          </w:p>
        </w:tc>
      </w:tr>
      <w:tr w:rsidR="00D92C6C" w:rsidRPr="00511D3F" w14:paraId="19C08578"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532D3433"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Papillary thyroid tumour</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08387A59" w14:textId="77777777" w:rsidR="00D92C6C" w:rsidRPr="00511D3F" w:rsidRDefault="00D92C6C" w:rsidP="00511D3F">
            <w:pPr>
              <w:contextualSpacing/>
              <w:jc w:val="center"/>
              <w:rPr>
                <w:rFonts w:cs="Times New Roman"/>
                <w:sz w:val="20"/>
                <w:szCs w:val="20"/>
              </w:rPr>
            </w:pPr>
            <w:r w:rsidRPr="00511D3F">
              <w:rPr>
                <w:rFonts w:cs="Times New Roman"/>
                <w:sz w:val="20"/>
                <w:szCs w:val="20"/>
              </w:rPr>
              <w:t>8.55</w:t>
            </w:r>
          </w:p>
        </w:tc>
        <w:tc>
          <w:tcPr>
            <w:tcW w:w="789" w:type="pct"/>
            <w:tcBorders>
              <w:top w:val="nil"/>
              <w:left w:val="nil"/>
              <w:bottom w:val="single" w:sz="4" w:space="0" w:color="auto"/>
              <w:right w:val="single" w:sz="4" w:space="0" w:color="auto"/>
            </w:tcBorders>
            <w:shd w:val="clear" w:color="auto" w:fill="FFFFFF"/>
            <w:noWrap/>
            <w:vAlign w:val="center"/>
            <w:hideMark/>
          </w:tcPr>
          <w:p w14:paraId="79BA586F" w14:textId="77777777" w:rsidR="00D92C6C" w:rsidRPr="00511D3F" w:rsidRDefault="00D92C6C" w:rsidP="00511D3F">
            <w:pPr>
              <w:contextualSpacing/>
              <w:jc w:val="center"/>
              <w:rPr>
                <w:rFonts w:cs="Times New Roman"/>
                <w:sz w:val="20"/>
                <w:szCs w:val="20"/>
              </w:rPr>
            </w:pPr>
            <w:r w:rsidRPr="00511D3F">
              <w:rPr>
                <w:rFonts w:cs="Times New Roman"/>
                <w:sz w:val="20"/>
                <w:szCs w:val="20"/>
              </w:rPr>
              <w:t>2.40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CDF8BB0"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£2,124</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6FED86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£2,549</w:t>
            </w:r>
          </w:p>
        </w:tc>
      </w:tr>
      <w:tr w:rsidR="00D92C6C" w:rsidRPr="00511D3F" w14:paraId="21468C70"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09CCF9DB"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lastRenderedPageBreak/>
              <w:t>Paediatric high grade glioma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1799EEF3" w14:textId="77777777" w:rsidR="00D92C6C" w:rsidRPr="00511D3F" w:rsidRDefault="00D92C6C" w:rsidP="00511D3F">
            <w:pPr>
              <w:contextualSpacing/>
              <w:jc w:val="center"/>
              <w:rPr>
                <w:rFonts w:cs="Times New Roman"/>
                <w:sz w:val="20"/>
                <w:szCs w:val="20"/>
              </w:rPr>
            </w:pPr>
            <w:r w:rsidRPr="00511D3F">
              <w:rPr>
                <w:rFonts w:cs="Times New Roman"/>
                <w:sz w:val="20"/>
                <w:szCs w:val="20"/>
              </w:rPr>
              <w:t>23.27</w:t>
            </w:r>
          </w:p>
        </w:tc>
        <w:tc>
          <w:tcPr>
            <w:tcW w:w="789" w:type="pct"/>
            <w:tcBorders>
              <w:top w:val="nil"/>
              <w:left w:val="nil"/>
              <w:bottom w:val="single" w:sz="4" w:space="0" w:color="auto"/>
              <w:right w:val="single" w:sz="4" w:space="0" w:color="auto"/>
            </w:tcBorders>
            <w:shd w:val="clear" w:color="auto" w:fill="FFFFFF"/>
            <w:noWrap/>
            <w:vAlign w:val="center"/>
            <w:hideMark/>
          </w:tcPr>
          <w:p w14:paraId="07709016" w14:textId="77777777" w:rsidR="00D92C6C" w:rsidRPr="00511D3F" w:rsidRDefault="00D92C6C" w:rsidP="00511D3F">
            <w:pPr>
              <w:contextualSpacing/>
              <w:jc w:val="center"/>
              <w:rPr>
                <w:rFonts w:cs="Times New Roman"/>
                <w:sz w:val="20"/>
                <w:szCs w:val="20"/>
              </w:rPr>
            </w:pPr>
            <w:r w:rsidRPr="00511D3F">
              <w:rPr>
                <w:rFonts w:cs="Times New Roman"/>
                <w:sz w:val="20"/>
                <w:szCs w:val="20"/>
              </w:rPr>
              <w:t>1.03</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544B20"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£361</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30D2C7C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£433</w:t>
            </w:r>
          </w:p>
        </w:tc>
      </w:tr>
      <w:tr w:rsidR="00D92C6C" w:rsidRPr="00511D3F" w14:paraId="6DC9EE9E"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2A865D2F"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Paediatric melanoma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7FB1AC43" w14:textId="77777777" w:rsidR="00D92C6C" w:rsidRPr="00511D3F" w:rsidRDefault="00D92C6C" w:rsidP="00511D3F">
            <w:pPr>
              <w:contextualSpacing/>
              <w:jc w:val="center"/>
              <w:rPr>
                <w:rFonts w:cs="Times New Roman"/>
                <w:sz w:val="20"/>
                <w:szCs w:val="20"/>
              </w:rPr>
            </w:pPr>
            <w:r w:rsidRPr="00511D3F">
              <w:rPr>
                <w:rFonts w:cs="Times New Roman"/>
                <w:sz w:val="20"/>
                <w:szCs w:val="20"/>
              </w:rPr>
              <w:t>11.10</w:t>
            </w:r>
          </w:p>
        </w:tc>
        <w:tc>
          <w:tcPr>
            <w:tcW w:w="789" w:type="pct"/>
            <w:tcBorders>
              <w:top w:val="nil"/>
              <w:left w:val="nil"/>
              <w:bottom w:val="single" w:sz="4" w:space="0" w:color="auto"/>
              <w:right w:val="single" w:sz="4" w:space="0" w:color="auto"/>
            </w:tcBorders>
            <w:shd w:val="clear" w:color="auto" w:fill="FFFFFF"/>
            <w:noWrap/>
            <w:vAlign w:val="center"/>
            <w:hideMark/>
          </w:tcPr>
          <w:p w14:paraId="5E2A7E86" w14:textId="77777777" w:rsidR="00D92C6C" w:rsidRPr="00511D3F" w:rsidRDefault="00D92C6C" w:rsidP="00511D3F">
            <w:pPr>
              <w:contextualSpacing/>
              <w:jc w:val="center"/>
              <w:rPr>
                <w:rFonts w:cs="Times New Roman"/>
                <w:sz w:val="20"/>
                <w:szCs w:val="20"/>
              </w:rPr>
            </w:pPr>
            <w:r w:rsidRPr="00511D3F">
              <w:rPr>
                <w:rFonts w:cs="Times New Roman"/>
                <w:sz w:val="20"/>
                <w:szCs w:val="20"/>
              </w:rPr>
              <w:t>1.01</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44C202"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£355</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BD38CB6"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£426</w:t>
            </w:r>
          </w:p>
        </w:tc>
      </w:tr>
      <w:tr w:rsidR="00D92C6C" w:rsidRPr="00511D3F" w14:paraId="126B67E2"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76D40EB1"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 xml:space="preserve">Prostate </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4044A0B3" w14:textId="77777777" w:rsidR="00D92C6C" w:rsidRPr="00511D3F" w:rsidRDefault="00D92C6C" w:rsidP="00511D3F">
            <w:pPr>
              <w:contextualSpacing/>
              <w:jc w:val="center"/>
              <w:rPr>
                <w:rFonts w:cs="Times New Roman"/>
                <w:sz w:val="20"/>
                <w:szCs w:val="20"/>
              </w:rPr>
            </w:pPr>
            <w:r w:rsidRPr="00511D3F">
              <w:rPr>
                <w:rFonts w:cs="Times New Roman"/>
                <w:sz w:val="20"/>
                <w:szCs w:val="20"/>
              </w:rPr>
              <w:t>455.06</w:t>
            </w:r>
          </w:p>
        </w:tc>
        <w:tc>
          <w:tcPr>
            <w:tcW w:w="789" w:type="pct"/>
            <w:tcBorders>
              <w:top w:val="nil"/>
              <w:left w:val="nil"/>
              <w:bottom w:val="single" w:sz="4" w:space="0" w:color="auto"/>
              <w:right w:val="single" w:sz="4" w:space="0" w:color="auto"/>
            </w:tcBorders>
            <w:shd w:val="clear" w:color="auto" w:fill="FFFFFF"/>
            <w:noWrap/>
            <w:vAlign w:val="center"/>
            <w:hideMark/>
          </w:tcPr>
          <w:p w14:paraId="23D5CB5F" w14:textId="77777777" w:rsidR="00D92C6C" w:rsidRPr="00511D3F" w:rsidRDefault="00D92C6C" w:rsidP="00511D3F">
            <w:pPr>
              <w:contextualSpacing/>
              <w:jc w:val="center"/>
              <w:rPr>
                <w:rFonts w:cs="Times New Roman"/>
                <w:sz w:val="20"/>
                <w:szCs w:val="20"/>
              </w:rPr>
            </w:pPr>
            <w:r w:rsidRPr="00511D3F">
              <w:rPr>
                <w:rFonts w:cs="Times New Roman"/>
                <w:sz w:val="20"/>
                <w:szCs w:val="20"/>
              </w:rPr>
              <w:t>86.79</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E7B4E8"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£98,637</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6314075D"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£118,411</w:t>
            </w:r>
          </w:p>
        </w:tc>
      </w:tr>
      <w:tr w:rsidR="00D92C6C" w:rsidRPr="00511D3F" w14:paraId="35BE6FC1"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3D7D0E90"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Renal cell carcinoma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01A46C67" w14:textId="77777777" w:rsidR="00D92C6C" w:rsidRPr="00511D3F" w:rsidRDefault="00D92C6C" w:rsidP="00511D3F">
            <w:pPr>
              <w:contextualSpacing/>
              <w:jc w:val="center"/>
              <w:rPr>
                <w:rFonts w:cs="Times New Roman"/>
                <w:sz w:val="20"/>
                <w:szCs w:val="20"/>
              </w:rPr>
            </w:pPr>
            <w:r w:rsidRPr="00511D3F">
              <w:rPr>
                <w:rFonts w:cs="Times New Roman"/>
                <w:sz w:val="20"/>
                <w:szCs w:val="20"/>
              </w:rPr>
              <w:t>455.06</w:t>
            </w:r>
          </w:p>
        </w:tc>
        <w:tc>
          <w:tcPr>
            <w:tcW w:w="789" w:type="pct"/>
            <w:tcBorders>
              <w:top w:val="nil"/>
              <w:left w:val="nil"/>
              <w:bottom w:val="single" w:sz="4" w:space="0" w:color="auto"/>
              <w:right w:val="single" w:sz="4" w:space="0" w:color="auto"/>
            </w:tcBorders>
            <w:shd w:val="clear" w:color="auto" w:fill="FFFFFF"/>
            <w:noWrap/>
            <w:vAlign w:val="center"/>
            <w:hideMark/>
          </w:tcPr>
          <w:p w14:paraId="1BDF66D7" w14:textId="77777777" w:rsidR="00D92C6C" w:rsidRPr="00511D3F" w:rsidRDefault="00D92C6C" w:rsidP="00511D3F">
            <w:pPr>
              <w:contextualSpacing/>
              <w:jc w:val="center"/>
              <w:rPr>
                <w:rFonts w:cs="Times New Roman"/>
                <w:sz w:val="20"/>
                <w:szCs w:val="20"/>
              </w:rPr>
            </w:pPr>
            <w:r w:rsidRPr="00511D3F">
              <w:rPr>
                <w:rFonts w:cs="Times New Roman"/>
                <w:sz w:val="20"/>
                <w:szCs w:val="20"/>
              </w:rPr>
              <w:t>86.79</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78FB27"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£98,637</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10480397"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£118,411</w:t>
            </w:r>
          </w:p>
        </w:tc>
      </w:tr>
      <w:tr w:rsidR="00D92C6C" w:rsidRPr="00511D3F" w14:paraId="7F91DCA8"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65D205EB"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Salivary gland</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4539FB29" w14:textId="77777777" w:rsidR="00D92C6C" w:rsidRPr="00511D3F" w:rsidRDefault="00D92C6C" w:rsidP="00511D3F">
            <w:pPr>
              <w:contextualSpacing/>
              <w:jc w:val="center"/>
              <w:rPr>
                <w:rFonts w:cs="Times New Roman"/>
                <w:sz w:val="20"/>
                <w:szCs w:val="20"/>
              </w:rPr>
            </w:pPr>
            <w:r w:rsidRPr="00511D3F">
              <w:rPr>
                <w:rFonts w:cs="Times New Roman"/>
                <w:sz w:val="20"/>
                <w:szCs w:val="20"/>
              </w:rPr>
              <w:t>66.14</w:t>
            </w:r>
          </w:p>
        </w:tc>
        <w:tc>
          <w:tcPr>
            <w:tcW w:w="789" w:type="pct"/>
            <w:tcBorders>
              <w:top w:val="nil"/>
              <w:left w:val="nil"/>
              <w:bottom w:val="single" w:sz="4" w:space="0" w:color="auto"/>
              <w:right w:val="single" w:sz="4" w:space="0" w:color="auto"/>
            </w:tcBorders>
            <w:shd w:val="clear" w:color="auto" w:fill="FFFFFF"/>
            <w:noWrap/>
            <w:vAlign w:val="center"/>
            <w:hideMark/>
          </w:tcPr>
          <w:p w14:paraId="5C653839" w14:textId="77777777" w:rsidR="00D92C6C" w:rsidRPr="00511D3F" w:rsidRDefault="00D92C6C" w:rsidP="00511D3F">
            <w:pPr>
              <w:contextualSpacing/>
              <w:jc w:val="center"/>
              <w:rPr>
                <w:rFonts w:cs="Times New Roman"/>
                <w:sz w:val="20"/>
                <w:szCs w:val="20"/>
              </w:rPr>
            </w:pPr>
            <w:r w:rsidRPr="00511D3F">
              <w:rPr>
                <w:rFonts w:cs="Times New Roman"/>
                <w:sz w:val="20"/>
                <w:szCs w:val="20"/>
              </w:rPr>
              <w:t>13.29</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2AC4DD"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£14,572</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2DCF2A2D"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£17,493</w:t>
            </w:r>
          </w:p>
        </w:tc>
      </w:tr>
      <w:tr w:rsidR="00D92C6C" w:rsidRPr="00511D3F" w14:paraId="2195F367"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19CB10D8"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Secretory breast carcinoma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1E51F308" w14:textId="77777777" w:rsidR="00D92C6C" w:rsidRPr="00511D3F" w:rsidRDefault="00D92C6C" w:rsidP="00511D3F">
            <w:pPr>
              <w:contextualSpacing/>
              <w:jc w:val="center"/>
              <w:rPr>
                <w:rFonts w:cs="Times New Roman"/>
                <w:sz w:val="20"/>
                <w:szCs w:val="20"/>
              </w:rPr>
            </w:pPr>
            <w:r w:rsidRPr="00511D3F">
              <w:rPr>
                <w:rFonts w:cs="Times New Roman"/>
                <w:sz w:val="20"/>
                <w:szCs w:val="20"/>
              </w:rPr>
              <w:t>1.36</w:t>
            </w:r>
          </w:p>
        </w:tc>
        <w:tc>
          <w:tcPr>
            <w:tcW w:w="789" w:type="pct"/>
            <w:tcBorders>
              <w:top w:val="nil"/>
              <w:left w:val="nil"/>
              <w:bottom w:val="single" w:sz="4" w:space="0" w:color="auto"/>
              <w:right w:val="single" w:sz="4" w:space="0" w:color="auto"/>
            </w:tcBorders>
            <w:shd w:val="clear" w:color="auto" w:fill="FFFFFF"/>
            <w:noWrap/>
            <w:vAlign w:val="center"/>
            <w:hideMark/>
          </w:tcPr>
          <w:p w14:paraId="48E53519" w14:textId="77777777" w:rsidR="00D92C6C" w:rsidRPr="00511D3F" w:rsidRDefault="00D92C6C" w:rsidP="00511D3F">
            <w:pPr>
              <w:contextualSpacing/>
              <w:jc w:val="center"/>
              <w:rPr>
                <w:rFonts w:cs="Times New Roman"/>
                <w:sz w:val="20"/>
                <w:szCs w:val="20"/>
              </w:rPr>
            </w:pPr>
            <w:r w:rsidRPr="00511D3F">
              <w:rPr>
                <w:rFonts w:cs="Times New Roman"/>
                <w:sz w:val="20"/>
                <w:szCs w:val="20"/>
              </w:rPr>
              <w:t>0.00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32ECF5"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£0</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68B9238E"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£0</w:t>
            </w:r>
          </w:p>
        </w:tc>
      </w:tr>
      <w:tr w:rsidR="00D92C6C" w:rsidRPr="00511D3F" w14:paraId="188F6ACB"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10A770B7"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Sinonasal adenocarcinoma</w:t>
            </w:r>
          </w:p>
        </w:tc>
        <w:tc>
          <w:tcPr>
            <w:tcW w:w="788" w:type="pct"/>
            <w:tcBorders>
              <w:top w:val="nil"/>
              <w:left w:val="single" w:sz="4" w:space="0" w:color="auto"/>
              <w:bottom w:val="single" w:sz="4" w:space="0" w:color="auto"/>
              <w:right w:val="single" w:sz="4" w:space="0" w:color="auto"/>
            </w:tcBorders>
            <w:shd w:val="clear" w:color="auto" w:fill="FFFFFF"/>
            <w:noWrap/>
            <w:vAlign w:val="center"/>
            <w:hideMark/>
          </w:tcPr>
          <w:p w14:paraId="029BDC19" w14:textId="77777777" w:rsidR="00D92C6C" w:rsidRPr="00511D3F" w:rsidRDefault="00D92C6C" w:rsidP="00511D3F">
            <w:pPr>
              <w:contextualSpacing/>
              <w:jc w:val="center"/>
              <w:rPr>
                <w:rFonts w:cs="Times New Roman"/>
                <w:sz w:val="20"/>
                <w:szCs w:val="20"/>
              </w:rPr>
            </w:pPr>
            <w:r w:rsidRPr="00511D3F">
              <w:rPr>
                <w:rFonts w:cs="Times New Roman"/>
                <w:sz w:val="20"/>
                <w:szCs w:val="20"/>
              </w:rPr>
              <w:t>455.06</w:t>
            </w:r>
          </w:p>
        </w:tc>
        <w:tc>
          <w:tcPr>
            <w:tcW w:w="789" w:type="pct"/>
            <w:tcBorders>
              <w:top w:val="nil"/>
              <w:left w:val="nil"/>
              <w:bottom w:val="single" w:sz="4" w:space="0" w:color="auto"/>
              <w:right w:val="single" w:sz="4" w:space="0" w:color="auto"/>
            </w:tcBorders>
            <w:shd w:val="clear" w:color="auto" w:fill="FFFFFF"/>
            <w:noWrap/>
            <w:vAlign w:val="center"/>
            <w:hideMark/>
          </w:tcPr>
          <w:p w14:paraId="305766BA" w14:textId="77777777" w:rsidR="00D92C6C" w:rsidRPr="00511D3F" w:rsidRDefault="00D92C6C" w:rsidP="00511D3F">
            <w:pPr>
              <w:contextualSpacing/>
              <w:jc w:val="center"/>
              <w:rPr>
                <w:rFonts w:cs="Times New Roman"/>
                <w:sz w:val="20"/>
                <w:szCs w:val="20"/>
              </w:rPr>
            </w:pPr>
            <w:r w:rsidRPr="00511D3F">
              <w:rPr>
                <w:rFonts w:cs="Times New Roman"/>
                <w:sz w:val="20"/>
                <w:szCs w:val="20"/>
              </w:rPr>
              <w:t>86.79</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0CB787"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£98,637</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16E98B3D"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£118,411</w:t>
            </w:r>
          </w:p>
        </w:tc>
      </w:tr>
      <w:tr w:rsidR="00D92C6C" w:rsidRPr="00511D3F" w14:paraId="43B3D7B6" w14:textId="77777777" w:rsidTr="00EC11CD">
        <w:trPr>
          <w:trHeight w:val="227"/>
          <w:jc w:val="center"/>
        </w:trPr>
        <w:tc>
          <w:tcPr>
            <w:tcW w:w="1074" w:type="pct"/>
            <w:tcBorders>
              <w:top w:val="single" w:sz="4" w:space="0" w:color="auto"/>
              <w:left w:val="single" w:sz="4" w:space="0" w:color="auto"/>
              <w:bottom w:val="single" w:sz="4" w:space="0" w:color="auto"/>
              <w:right w:val="single" w:sz="4" w:space="0" w:color="auto"/>
            </w:tcBorders>
            <w:hideMark/>
          </w:tcPr>
          <w:p w14:paraId="5100BA19" w14:textId="77777777" w:rsidR="00D92C6C" w:rsidRPr="00511D3F" w:rsidRDefault="00D92C6C" w:rsidP="00511D3F">
            <w:pPr>
              <w:contextualSpacing/>
              <w:rPr>
                <w:rFonts w:eastAsia="Times New Roman" w:cs="Times New Roman"/>
                <w:sz w:val="20"/>
                <w:szCs w:val="20"/>
              </w:rPr>
            </w:pPr>
            <w:r w:rsidRPr="00511D3F">
              <w:rPr>
                <w:rFonts w:eastAsia="Times New Roman" w:cs="Times New Roman"/>
                <w:sz w:val="20"/>
                <w:szCs w:val="20"/>
              </w:rPr>
              <w:t>Uterine</w:t>
            </w:r>
          </w:p>
        </w:tc>
        <w:tc>
          <w:tcPr>
            <w:tcW w:w="788" w:type="pct"/>
            <w:tcBorders>
              <w:top w:val="nil"/>
              <w:left w:val="single" w:sz="4" w:space="0" w:color="auto"/>
              <w:bottom w:val="single" w:sz="8" w:space="0" w:color="auto"/>
              <w:right w:val="single" w:sz="4" w:space="0" w:color="auto"/>
            </w:tcBorders>
            <w:shd w:val="clear" w:color="auto" w:fill="FFFFFF"/>
            <w:noWrap/>
            <w:vAlign w:val="center"/>
            <w:hideMark/>
          </w:tcPr>
          <w:p w14:paraId="23F02E72" w14:textId="77777777" w:rsidR="00D92C6C" w:rsidRPr="00511D3F" w:rsidRDefault="00D92C6C" w:rsidP="00511D3F">
            <w:pPr>
              <w:contextualSpacing/>
              <w:jc w:val="center"/>
              <w:rPr>
                <w:rFonts w:cs="Times New Roman"/>
                <w:sz w:val="20"/>
                <w:szCs w:val="20"/>
              </w:rPr>
            </w:pPr>
            <w:r w:rsidRPr="00511D3F">
              <w:rPr>
                <w:rFonts w:cs="Times New Roman"/>
                <w:sz w:val="20"/>
                <w:szCs w:val="20"/>
              </w:rPr>
              <w:t>1137.66</w:t>
            </w:r>
          </w:p>
        </w:tc>
        <w:tc>
          <w:tcPr>
            <w:tcW w:w="789" w:type="pct"/>
            <w:tcBorders>
              <w:top w:val="nil"/>
              <w:left w:val="nil"/>
              <w:bottom w:val="single" w:sz="8" w:space="0" w:color="auto"/>
              <w:right w:val="single" w:sz="4" w:space="0" w:color="auto"/>
            </w:tcBorders>
            <w:shd w:val="clear" w:color="auto" w:fill="FFFFFF"/>
            <w:noWrap/>
            <w:vAlign w:val="center"/>
            <w:hideMark/>
          </w:tcPr>
          <w:p w14:paraId="50328B54" w14:textId="77777777" w:rsidR="00D92C6C" w:rsidRPr="00511D3F" w:rsidRDefault="00D92C6C" w:rsidP="00511D3F">
            <w:pPr>
              <w:contextualSpacing/>
              <w:jc w:val="center"/>
              <w:rPr>
                <w:rFonts w:cs="Times New Roman"/>
                <w:sz w:val="20"/>
                <w:szCs w:val="20"/>
              </w:rPr>
            </w:pPr>
            <w:r w:rsidRPr="00511D3F">
              <w:rPr>
                <w:rFonts w:cs="Times New Roman"/>
                <w:sz w:val="20"/>
                <w:szCs w:val="20"/>
              </w:rPr>
              <w:t>215.80</w:t>
            </w:r>
          </w:p>
        </w:tc>
        <w:tc>
          <w:tcPr>
            <w:tcW w:w="9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17ED08"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£246,179</w:t>
            </w:r>
          </w:p>
        </w:tc>
        <w:tc>
          <w:tcPr>
            <w:tcW w:w="1417" w:type="pct"/>
            <w:tcBorders>
              <w:top w:val="nil"/>
              <w:left w:val="nil"/>
              <w:bottom w:val="single" w:sz="4" w:space="0" w:color="auto"/>
              <w:right w:val="single" w:sz="8" w:space="0" w:color="auto"/>
            </w:tcBorders>
            <w:shd w:val="clear" w:color="auto" w:fill="FFFFFF" w:themeFill="background1"/>
            <w:noWrap/>
            <w:vAlign w:val="center"/>
            <w:hideMark/>
          </w:tcPr>
          <w:p w14:paraId="36ED2BBE" w14:textId="77777777" w:rsidR="00D92C6C" w:rsidRPr="00511D3F" w:rsidRDefault="00D92C6C" w:rsidP="00511D3F">
            <w:pPr>
              <w:contextualSpacing/>
              <w:jc w:val="center"/>
              <w:rPr>
                <w:rFonts w:cs="Times New Roman"/>
                <w:sz w:val="20"/>
                <w:szCs w:val="20"/>
              </w:rPr>
            </w:pPr>
            <w:r w:rsidRPr="00511D3F">
              <w:rPr>
                <w:rFonts w:cs="Times New Roman"/>
                <w:color w:val="000000"/>
                <w:sz w:val="20"/>
                <w:szCs w:val="20"/>
              </w:rPr>
              <w:t>£295,533</w:t>
            </w:r>
          </w:p>
        </w:tc>
      </w:tr>
    </w:tbl>
    <w:p w14:paraId="741E16BC" w14:textId="77777777" w:rsidR="00D92C6C" w:rsidRPr="00D92C6C" w:rsidRDefault="00D92C6C" w:rsidP="00EC11CD"/>
    <w:p w14:paraId="57C9C10E" w14:textId="142096B9" w:rsidR="00D765F4" w:rsidRPr="002D1DD7" w:rsidRDefault="00D765F4" w:rsidP="0018000D">
      <w:pPr>
        <w:pStyle w:val="Heading5"/>
      </w:pPr>
      <w:r w:rsidRPr="002D1DD7">
        <w:t>First line RNA-based NGS</w:t>
      </w:r>
      <w:r w:rsidR="00C75BFC" w:rsidRPr="002D1DD7">
        <w:t>: t</w:t>
      </w:r>
      <w:r w:rsidR="00A67742">
        <w:t>reating</w:t>
      </w:r>
      <w:r w:rsidR="00C75BFC" w:rsidRPr="002D1DD7">
        <w:t xml:space="preserve"> at diagnosis</w:t>
      </w:r>
    </w:p>
    <w:p w14:paraId="72001CF6" w14:textId="76CB1279" w:rsidR="00D765F4" w:rsidRPr="002D1DD7" w:rsidRDefault="00D765F4" w:rsidP="0018000D">
      <w:r w:rsidRPr="002D1DD7">
        <w:t>The incremental cost of testing to identify one individual eligible for Trk-inhibitors using first-line RNA-based NGS is higher across tumour types compared to the hierarchical approach (with the exception of the tumours where WGS is available). For the tumours included in the larotrectinib trial, the incremental testing costs range</w:t>
      </w:r>
      <w:r w:rsidR="00AD35FE">
        <w:t xml:space="preserve"> from £215 (MASC) to £500,000 (breast c</w:t>
      </w:r>
      <w:r w:rsidRPr="002D1DD7">
        <w:t>ancer). Based on the trial distribution</w:t>
      </w:r>
      <w:r w:rsidR="000741CA">
        <w:t>,</w:t>
      </w:r>
      <w:r w:rsidRPr="002D1DD7">
        <w:t xml:space="preserve"> the average incremental cost to identify one eligible patient is</w:t>
      </w:r>
      <w:r w:rsidR="002373DA">
        <w:t xml:space="preserve"> </w:t>
      </w:r>
      <w:r w:rsidR="00C57296">
        <w:t>£</w:t>
      </w:r>
      <w:r w:rsidR="00E467CF">
        <w:t>95,324</w:t>
      </w:r>
      <w:r w:rsidRPr="002D1DD7">
        <w:t xml:space="preserve">. Using the </w:t>
      </w:r>
      <w:r w:rsidR="0090558D" w:rsidRPr="002D1DD7">
        <w:t>real-world</w:t>
      </w:r>
      <w:r w:rsidRPr="002D1DD7">
        <w:t xml:space="preserve"> distribution</w:t>
      </w:r>
      <w:r w:rsidR="000741CA">
        <w:t>,</w:t>
      </w:r>
      <w:r w:rsidRPr="002D1DD7">
        <w:t xml:space="preserve"> this increases substantially to </w:t>
      </w:r>
      <w:r w:rsidR="00483F3F">
        <w:t>£</w:t>
      </w:r>
      <w:r w:rsidR="00E467CF">
        <w:t>159,960</w:t>
      </w:r>
      <w:r w:rsidR="00C57296">
        <w:t xml:space="preserve"> </w:t>
      </w:r>
      <w:r w:rsidRPr="002D1DD7">
        <w:t>per patient identified. When including the unrepresented tumour types</w:t>
      </w:r>
      <w:r w:rsidR="000741CA">
        <w:t>,</w:t>
      </w:r>
      <w:r w:rsidRPr="002D1DD7">
        <w:t xml:space="preserve"> the average incremental costs fall slightly to £</w:t>
      </w:r>
      <w:r w:rsidR="00E467CF">
        <w:t>123,023</w:t>
      </w:r>
      <w:r w:rsidR="00483F3F">
        <w:t xml:space="preserve"> </w:t>
      </w:r>
      <w:r w:rsidRPr="002D1DD7">
        <w:t>per patient identified. If larotrectinib were to provide an incremental clinical benefit of 0.833 QALYs,</w:t>
      </w:r>
      <w:r w:rsidR="00F3130D">
        <w:t xml:space="preserve"> and assuming zero treatment costs</w:t>
      </w:r>
      <w:r w:rsidR="002373DA">
        <w:t>,</w:t>
      </w:r>
      <w:r w:rsidR="00F3130D">
        <w:t xml:space="preserve"> these testing costs would imply an </w:t>
      </w:r>
      <w:r w:rsidRPr="002D1DD7">
        <w:t xml:space="preserve">ICER </w:t>
      </w:r>
      <w:r w:rsidR="00F3130D">
        <w:t>of</w:t>
      </w:r>
      <w:r w:rsidRPr="002D1DD7">
        <w:t xml:space="preserve"> £</w:t>
      </w:r>
      <w:r w:rsidR="00E467CF">
        <w:t>147,687</w:t>
      </w:r>
      <w:r w:rsidR="00483F3F">
        <w:t xml:space="preserve"> </w:t>
      </w:r>
      <w:r w:rsidRPr="002D1DD7">
        <w:t xml:space="preserve">per QALY gained.  </w:t>
      </w:r>
    </w:p>
    <w:p w14:paraId="0963F245" w14:textId="1FA2FBFF" w:rsidR="00D765F4" w:rsidRDefault="00D765F4" w:rsidP="0018000D">
      <w:pPr>
        <w:pStyle w:val="Caption"/>
      </w:pPr>
      <w:bookmarkStart w:id="205" w:name="_Ref25245277"/>
      <w:bookmarkStart w:id="206" w:name="_Toc34033534"/>
      <w:r w:rsidRPr="002D1DD7">
        <w:t xml:space="preserve">Table </w:t>
      </w:r>
      <w:r w:rsidR="00C974E5">
        <w:fldChar w:fldCharType="begin"/>
      </w:r>
      <w:r w:rsidR="00C974E5">
        <w:instrText xml:space="preserve"> SEQ Table \* ARABIC </w:instrText>
      </w:r>
      <w:r w:rsidR="00C974E5">
        <w:fldChar w:fldCharType="separate"/>
      </w:r>
      <w:r w:rsidR="00C9471F">
        <w:rPr>
          <w:noProof/>
        </w:rPr>
        <w:t>20</w:t>
      </w:r>
      <w:r w:rsidR="00C974E5">
        <w:rPr>
          <w:noProof/>
        </w:rPr>
        <w:fldChar w:fldCharType="end"/>
      </w:r>
      <w:bookmarkEnd w:id="205"/>
      <w:r w:rsidRPr="002D1DD7">
        <w:t xml:space="preserve">: </w:t>
      </w:r>
      <w:r w:rsidR="00DA4314" w:rsidRPr="002D1DD7">
        <w:t>Summary of NNS and testing cost under first-line</w:t>
      </w:r>
      <w:r w:rsidRPr="002D1DD7">
        <w:t xml:space="preserve"> RNA-based NGS </w:t>
      </w:r>
      <w:r w:rsidR="00DA4314" w:rsidRPr="002D1DD7">
        <w:t>approach</w:t>
      </w:r>
      <w:bookmarkEnd w:id="206"/>
      <w:r w:rsidRPr="002D1DD7">
        <w:t xml:space="preserve"> </w:t>
      </w:r>
    </w:p>
    <w:tbl>
      <w:tblPr>
        <w:tblStyle w:val="HeaderTable1"/>
        <w:tblW w:w="5001" w:type="pct"/>
        <w:jc w:val="center"/>
        <w:tblLook w:val="04A0" w:firstRow="1" w:lastRow="0" w:firstColumn="1" w:lastColumn="0" w:noHBand="0" w:noVBand="1"/>
      </w:tblPr>
      <w:tblGrid>
        <w:gridCol w:w="2689"/>
        <w:gridCol w:w="1558"/>
        <w:gridCol w:w="1418"/>
        <w:gridCol w:w="1560"/>
        <w:gridCol w:w="1793"/>
      </w:tblGrid>
      <w:tr w:rsidR="00D92C6C" w:rsidRPr="0018000D" w14:paraId="2C254F78" w14:textId="77777777" w:rsidTr="00D92C6C">
        <w:trPr>
          <w:trHeight w:val="416"/>
          <w:jc w:val="center"/>
        </w:trPr>
        <w:tc>
          <w:tcPr>
            <w:tcW w:w="1491" w:type="pct"/>
            <w:vMerge w:val="restart"/>
            <w:tcBorders>
              <w:top w:val="single" w:sz="4" w:space="0" w:color="auto"/>
              <w:left w:val="single" w:sz="4" w:space="0" w:color="auto"/>
              <w:bottom w:val="single" w:sz="4" w:space="0" w:color="auto"/>
              <w:right w:val="single" w:sz="4" w:space="0" w:color="auto"/>
            </w:tcBorders>
            <w:vAlign w:val="center"/>
            <w:hideMark/>
          </w:tcPr>
          <w:p w14:paraId="0A855CDB" w14:textId="77777777" w:rsidR="00D92C6C" w:rsidRPr="0018000D" w:rsidRDefault="00D92C6C" w:rsidP="0018000D">
            <w:pPr>
              <w:contextualSpacing/>
              <w:jc w:val="center"/>
              <w:rPr>
                <w:rFonts w:cs="Times New Roman"/>
                <w:b/>
                <w:sz w:val="20"/>
                <w:szCs w:val="20"/>
              </w:rPr>
            </w:pPr>
            <w:r w:rsidRPr="0018000D">
              <w:rPr>
                <w:rFonts w:cs="Times New Roman"/>
                <w:b/>
                <w:sz w:val="20"/>
                <w:szCs w:val="20"/>
              </w:rPr>
              <w:t>Tumour Type</w:t>
            </w:r>
          </w:p>
        </w:tc>
        <w:tc>
          <w:tcPr>
            <w:tcW w:w="1650" w:type="pct"/>
            <w:gridSpan w:val="2"/>
            <w:tcBorders>
              <w:top w:val="single" w:sz="4" w:space="0" w:color="auto"/>
              <w:left w:val="single" w:sz="4" w:space="0" w:color="auto"/>
              <w:bottom w:val="single" w:sz="4" w:space="0" w:color="auto"/>
              <w:right w:val="single" w:sz="4" w:space="0" w:color="auto"/>
            </w:tcBorders>
            <w:vAlign w:val="center"/>
            <w:hideMark/>
          </w:tcPr>
          <w:p w14:paraId="3947F382" w14:textId="77777777" w:rsidR="00D92C6C" w:rsidRPr="0018000D" w:rsidRDefault="00D92C6C" w:rsidP="0018000D">
            <w:pPr>
              <w:contextualSpacing/>
              <w:jc w:val="center"/>
              <w:rPr>
                <w:rFonts w:cs="Times New Roman"/>
                <w:b/>
                <w:sz w:val="20"/>
                <w:szCs w:val="20"/>
              </w:rPr>
            </w:pPr>
            <w:r w:rsidRPr="0018000D">
              <w:rPr>
                <w:rFonts w:cs="Times New Roman"/>
                <w:b/>
                <w:sz w:val="20"/>
                <w:szCs w:val="20"/>
              </w:rPr>
              <w:t>Number Needed to Screen</w:t>
            </w:r>
          </w:p>
        </w:tc>
        <w:tc>
          <w:tcPr>
            <w:tcW w:w="865" w:type="pct"/>
            <w:vMerge w:val="restart"/>
            <w:tcBorders>
              <w:top w:val="single" w:sz="4" w:space="0" w:color="auto"/>
              <w:left w:val="single" w:sz="4" w:space="0" w:color="auto"/>
              <w:bottom w:val="single" w:sz="4" w:space="0" w:color="auto"/>
              <w:right w:val="single" w:sz="4" w:space="0" w:color="auto"/>
            </w:tcBorders>
            <w:vAlign w:val="center"/>
            <w:hideMark/>
          </w:tcPr>
          <w:p w14:paraId="185593AD" w14:textId="77777777" w:rsidR="00D92C6C" w:rsidRPr="0018000D" w:rsidRDefault="00D92C6C" w:rsidP="0018000D">
            <w:pPr>
              <w:contextualSpacing/>
              <w:jc w:val="center"/>
              <w:rPr>
                <w:rFonts w:cs="Times New Roman"/>
                <w:b/>
                <w:sz w:val="20"/>
                <w:szCs w:val="20"/>
              </w:rPr>
            </w:pPr>
            <w:r w:rsidRPr="0018000D">
              <w:rPr>
                <w:rFonts w:cs="Times New Roman"/>
                <w:b/>
                <w:sz w:val="20"/>
                <w:szCs w:val="20"/>
              </w:rPr>
              <w:t>Incremental Cost to identify one patient</w:t>
            </w: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14:paraId="260F1856" w14:textId="7F7A97CA" w:rsidR="00D92C6C" w:rsidRPr="0018000D" w:rsidRDefault="00D92C6C" w:rsidP="0018000D">
            <w:pPr>
              <w:contextualSpacing/>
              <w:jc w:val="center"/>
              <w:rPr>
                <w:rFonts w:cs="Times New Roman"/>
                <w:b/>
                <w:sz w:val="20"/>
                <w:szCs w:val="20"/>
              </w:rPr>
            </w:pPr>
            <w:r w:rsidRPr="0018000D">
              <w:rPr>
                <w:rFonts w:cs="Times New Roman"/>
                <w:b/>
                <w:sz w:val="20"/>
                <w:szCs w:val="20"/>
              </w:rPr>
              <w:t xml:space="preserve">Incremental </w:t>
            </w:r>
            <w:r w:rsidR="009D6CA1">
              <w:rPr>
                <w:rFonts w:cs="Times New Roman"/>
                <w:b/>
                <w:sz w:val="20"/>
                <w:szCs w:val="20"/>
              </w:rPr>
              <w:t>Cost-effective</w:t>
            </w:r>
            <w:r w:rsidRPr="0018000D">
              <w:rPr>
                <w:rFonts w:cs="Times New Roman"/>
                <w:b/>
                <w:sz w:val="20"/>
                <w:szCs w:val="20"/>
              </w:rPr>
              <w:t>ness Ratio</w:t>
            </w:r>
          </w:p>
        </w:tc>
      </w:tr>
      <w:tr w:rsidR="00D92C6C" w:rsidRPr="0018000D" w14:paraId="1FD799A2" w14:textId="77777777" w:rsidTr="00D92C6C">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67939" w14:textId="77777777" w:rsidR="00D92C6C" w:rsidRPr="0018000D" w:rsidRDefault="00D92C6C" w:rsidP="0018000D">
            <w:pPr>
              <w:spacing w:before="0" w:after="0"/>
              <w:contextualSpacing/>
              <w:rPr>
                <w:rFonts w:cs="Times New Roman"/>
                <w:b/>
                <w:sz w:val="20"/>
                <w:szCs w:val="20"/>
              </w:rPr>
            </w:pPr>
          </w:p>
        </w:tc>
        <w:tc>
          <w:tcPr>
            <w:tcW w:w="864" w:type="pct"/>
            <w:tcBorders>
              <w:top w:val="single" w:sz="4" w:space="0" w:color="auto"/>
              <w:left w:val="single" w:sz="4" w:space="0" w:color="auto"/>
              <w:bottom w:val="single" w:sz="4" w:space="0" w:color="auto"/>
              <w:right w:val="single" w:sz="4" w:space="0" w:color="auto"/>
            </w:tcBorders>
            <w:vAlign w:val="center"/>
            <w:hideMark/>
          </w:tcPr>
          <w:p w14:paraId="2C455640" w14:textId="77777777" w:rsidR="00D92C6C" w:rsidRPr="0018000D" w:rsidRDefault="00D92C6C" w:rsidP="0018000D">
            <w:pPr>
              <w:contextualSpacing/>
              <w:jc w:val="center"/>
              <w:rPr>
                <w:rFonts w:cs="Times New Roman"/>
                <w:b/>
                <w:sz w:val="20"/>
                <w:szCs w:val="20"/>
              </w:rPr>
            </w:pPr>
            <w:r w:rsidRPr="0018000D">
              <w:rPr>
                <w:rFonts w:cs="Times New Roman"/>
                <w:b/>
                <w:sz w:val="20"/>
                <w:szCs w:val="20"/>
              </w:rPr>
              <w:t>First Line</w:t>
            </w:r>
          </w:p>
        </w:tc>
        <w:tc>
          <w:tcPr>
            <w:tcW w:w="786" w:type="pct"/>
            <w:tcBorders>
              <w:top w:val="single" w:sz="4" w:space="0" w:color="auto"/>
              <w:left w:val="single" w:sz="4" w:space="0" w:color="auto"/>
              <w:bottom w:val="single" w:sz="4" w:space="0" w:color="auto"/>
              <w:right w:val="single" w:sz="4" w:space="0" w:color="auto"/>
            </w:tcBorders>
            <w:vAlign w:val="center"/>
            <w:hideMark/>
          </w:tcPr>
          <w:p w14:paraId="7B0AA738" w14:textId="77777777" w:rsidR="00D92C6C" w:rsidRPr="0018000D" w:rsidRDefault="00D92C6C" w:rsidP="0018000D">
            <w:pPr>
              <w:contextualSpacing/>
              <w:jc w:val="center"/>
              <w:rPr>
                <w:rFonts w:cs="Times New Roman"/>
                <w:b/>
                <w:sz w:val="20"/>
                <w:szCs w:val="20"/>
              </w:rPr>
            </w:pPr>
            <w:r w:rsidRPr="0018000D">
              <w:rPr>
                <w:rFonts w:cs="Times New Roman"/>
                <w:b/>
                <w:sz w:val="20"/>
                <w:szCs w:val="20"/>
              </w:rPr>
              <w:t>Confirmatory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E049B" w14:textId="77777777" w:rsidR="00D92C6C" w:rsidRPr="0018000D" w:rsidRDefault="00D92C6C" w:rsidP="0018000D">
            <w:pPr>
              <w:spacing w:before="0" w:after="0"/>
              <w:contextualSpacing/>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3927D" w14:textId="77777777" w:rsidR="00D92C6C" w:rsidRPr="0018000D" w:rsidRDefault="00D92C6C" w:rsidP="0018000D">
            <w:pPr>
              <w:spacing w:before="0" w:after="0"/>
              <w:contextualSpacing/>
              <w:rPr>
                <w:rFonts w:cs="Times New Roman"/>
                <w:b/>
                <w:sz w:val="20"/>
                <w:szCs w:val="20"/>
              </w:rPr>
            </w:pPr>
          </w:p>
        </w:tc>
      </w:tr>
      <w:tr w:rsidR="00D92C6C" w:rsidRPr="0018000D" w14:paraId="48D1D053" w14:textId="77777777" w:rsidTr="00D92C6C">
        <w:trPr>
          <w:trHeight w:val="239"/>
          <w:jc w:val="cent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noWrap/>
            <w:hideMark/>
          </w:tcPr>
          <w:p w14:paraId="2D2D959F" w14:textId="77777777" w:rsidR="00D92C6C" w:rsidRPr="0018000D" w:rsidRDefault="00D92C6C" w:rsidP="0018000D">
            <w:pPr>
              <w:contextualSpacing/>
              <w:rPr>
                <w:rFonts w:cs="Times New Roman"/>
                <w:b/>
                <w:sz w:val="20"/>
                <w:szCs w:val="20"/>
              </w:rPr>
            </w:pPr>
            <w:r w:rsidRPr="0018000D">
              <w:rPr>
                <w:rFonts w:cs="Times New Roman"/>
                <w:b/>
                <w:sz w:val="20"/>
                <w:szCs w:val="20"/>
              </w:rPr>
              <w:t>Tumours in Trial</w:t>
            </w:r>
          </w:p>
        </w:tc>
      </w:tr>
      <w:tr w:rsidR="00D92C6C" w:rsidRPr="0018000D" w14:paraId="4B55E299"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3431D8A5" w14:textId="77777777" w:rsidR="00D92C6C" w:rsidRPr="0018000D" w:rsidRDefault="00D92C6C" w:rsidP="0018000D">
            <w:pPr>
              <w:contextualSpacing/>
              <w:rPr>
                <w:rFonts w:cs="Times New Roman"/>
                <w:sz w:val="20"/>
                <w:szCs w:val="20"/>
              </w:rPr>
            </w:pPr>
            <w:r w:rsidRPr="0018000D">
              <w:rPr>
                <w:rFonts w:cs="Times New Roman"/>
                <w:sz w:val="20"/>
                <w:szCs w:val="20"/>
              </w:rPr>
              <w:t>Appendix</w:t>
            </w:r>
          </w:p>
        </w:tc>
        <w:tc>
          <w:tcPr>
            <w:tcW w:w="864" w:type="pct"/>
            <w:tcBorders>
              <w:top w:val="single" w:sz="8" w:space="0" w:color="auto"/>
              <w:left w:val="single" w:sz="4" w:space="0" w:color="auto"/>
              <w:bottom w:val="single" w:sz="4" w:space="0" w:color="auto"/>
              <w:right w:val="single" w:sz="4" w:space="0" w:color="auto"/>
            </w:tcBorders>
            <w:shd w:val="clear" w:color="auto" w:fill="FFFFFF"/>
            <w:noWrap/>
            <w:vAlign w:val="center"/>
            <w:hideMark/>
          </w:tcPr>
          <w:p w14:paraId="7750F945" w14:textId="77777777" w:rsidR="00D92C6C" w:rsidRPr="0018000D" w:rsidRDefault="00D92C6C" w:rsidP="0018000D">
            <w:pPr>
              <w:contextualSpacing/>
              <w:jc w:val="center"/>
              <w:rPr>
                <w:rFonts w:cs="Times New Roman"/>
                <w:sz w:val="20"/>
                <w:szCs w:val="20"/>
              </w:rPr>
            </w:pPr>
            <w:r w:rsidRPr="0018000D">
              <w:rPr>
                <w:rFonts w:cs="Times New Roman"/>
                <w:sz w:val="20"/>
                <w:szCs w:val="20"/>
              </w:rPr>
              <w:t>30.83</w:t>
            </w:r>
          </w:p>
        </w:tc>
        <w:tc>
          <w:tcPr>
            <w:tcW w:w="786" w:type="pct"/>
            <w:tcBorders>
              <w:top w:val="single" w:sz="8" w:space="0" w:color="auto"/>
              <w:left w:val="nil"/>
              <w:bottom w:val="single" w:sz="4" w:space="0" w:color="auto"/>
              <w:right w:val="single" w:sz="4" w:space="0" w:color="auto"/>
            </w:tcBorders>
            <w:shd w:val="clear" w:color="auto" w:fill="FFFFFF"/>
            <w:noWrap/>
            <w:vAlign w:val="center"/>
            <w:hideMark/>
          </w:tcPr>
          <w:p w14:paraId="7877C945" w14:textId="77777777" w:rsidR="00D92C6C" w:rsidRPr="0018000D" w:rsidRDefault="00D92C6C" w:rsidP="0018000D">
            <w:pPr>
              <w:contextualSpacing/>
              <w:jc w:val="center"/>
              <w:rPr>
                <w:rFonts w:cs="Times New Roman"/>
                <w:sz w:val="20"/>
                <w:szCs w:val="20"/>
              </w:rPr>
            </w:pPr>
            <w:r w:rsidRPr="0018000D">
              <w:rPr>
                <w:rFonts w:cs="Times New Roman"/>
                <w:sz w:val="20"/>
                <w:szCs w:val="20"/>
              </w:rPr>
              <w:t>1.04</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149FD" w14:textId="662B3C27" w:rsidR="00D92C6C" w:rsidRPr="0018000D" w:rsidRDefault="00D92C6C" w:rsidP="00CC4B0A">
            <w:pPr>
              <w:contextualSpacing/>
              <w:jc w:val="center"/>
              <w:rPr>
                <w:rFonts w:cs="Times New Roman"/>
                <w:sz w:val="20"/>
                <w:szCs w:val="20"/>
              </w:rPr>
            </w:pPr>
            <w:r w:rsidRPr="0018000D">
              <w:rPr>
                <w:rFonts w:cs="Times New Roman"/>
                <w:color w:val="000000"/>
                <w:sz w:val="20"/>
                <w:szCs w:val="20"/>
              </w:rPr>
              <w:t>£</w:t>
            </w:r>
            <w:r w:rsidR="00C57296">
              <w:rPr>
                <w:rFonts w:cs="Times New Roman"/>
                <w:color w:val="000000"/>
                <w:sz w:val="20"/>
                <w:szCs w:val="20"/>
              </w:rPr>
              <w:t>10,791</w:t>
            </w:r>
          </w:p>
        </w:tc>
        <w:tc>
          <w:tcPr>
            <w:tcW w:w="994" w:type="pct"/>
            <w:tcBorders>
              <w:top w:val="single" w:sz="4" w:space="0" w:color="auto"/>
              <w:left w:val="nil"/>
              <w:bottom w:val="single" w:sz="4" w:space="0" w:color="auto"/>
              <w:right w:val="single" w:sz="8" w:space="0" w:color="auto"/>
            </w:tcBorders>
            <w:shd w:val="clear" w:color="auto" w:fill="FFFFFF" w:themeFill="background1"/>
            <w:noWrap/>
            <w:vAlign w:val="center"/>
            <w:hideMark/>
          </w:tcPr>
          <w:p w14:paraId="6330345E" w14:textId="7A42C166" w:rsidR="00D92C6C" w:rsidRPr="0018000D" w:rsidRDefault="00CC4B0A" w:rsidP="00C57296">
            <w:pPr>
              <w:contextualSpacing/>
              <w:jc w:val="center"/>
              <w:rPr>
                <w:rFonts w:cs="Times New Roman"/>
                <w:sz w:val="20"/>
                <w:szCs w:val="20"/>
              </w:rPr>
            </w:pPr>
            <w:r>
              <w:rPr>
                <w:rFonts w:cs="Times New Roman"/>
                <w:color w:val="000000"/>
                <w:sz w:val="20"/>
                <w:szCs w:val="20"/>
              </w:rPr>
              <w:t>£</w:t>
            </w:r>
            <w:r w:rsidR="00C57296">
              <w:rPr>
                <w:rFonts w:cs="Times New Roman"/>
                <w:color w:val="000000"/>
                <w:sz w:val="20"/>
                <w:szCs w:val="20"/>
              </w:rPr>
              <w:t>12,954</w:t>
            </w:r>
          </w:p>
        </w:tc>
      </w:tr>
      <w:tr w:rsidR="00D92C6C" w:rsidRPr="0018000D" w14:paraId="30FAF3E9"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38E2E95D" w14:textId="77777777" w:rsidR="00D92C6C" w:rsidRPr="0018000D" w:rsidRDefault="00D92C6C" w:rsidP="0018000D">
            <w:pPr>
              <w:contextualSpacing/>
              <w:rPr>
                <w:rFonts w:cs="Times New Roman"/>
                <w:sz w:val="20"/>
                <w:szCs w:val="20"/>
              </w:rPr>
            </w:pPr>
            <w:r w:rsidRPr="0018000D">
              <w:rPr>
                <w:rFonts w:cs="Times New Roman"/>
                <w:sz w:val="20"/>
                <w:szCs w:val="20"/>
              </w:rPr>
              <w:t xml:space="preserve">Breast </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741F7032" w14:textId="77777777" w:rsidR="00D92C6C" w:rsidRPr="0018000D" w:rsidRDefault="00D92C6C" w:rsidP="0018000D">
            <w:pPr>
              <w:contextualSpacing/>
              <w:jc w:val="center"/>
              <w:rPr>
                <w:rFonts w:cs="Times New Roman"/>
                <w:sz w:val="20"/>
                <w:szCs w:val="20"/>
              </w:rPr>
            </w:pPr>
            <w:r w:rsidRPr="0018000D">
              <w:rPr>
                <w:rFonts w:cs="Times New Roman"/>
                <w:sz w:val="20"/>
                <w:szCs w:val="20"/>
              </w:rPr>
              <w:t>1428.57</w:t>
            </w:r>
          </w:p>
        </w:tc>
        <w:tc>
          <w:tcPr>
            <w:tcW w:w="786" w:type="pct"/>
            <w:tcBorders>
              <w:top w:val="nil"/>
              <w:left w:val="nil"/>
              <w:bottom w:val="single" w:sz="4" w:space="0" w:color="auto"/>
              <w:right w:val="single" w:sz="4" w:space="0" w:color="auto"/>
            </w:tcBorders>
            <w:shd w:val="clear" w:color="auto" w:fill="FFFFFF"/>
            <w:noWrap/>
            <w:vAlign w:val="center"/>
            <w:hideMark/>
          </w:tcPr>
          <w:p w14:paraId="75201F14"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C553846"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£500,000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1C5CD8E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£600,240</w:t>
            </w:r>
          </w:p>
        </w:tc>
      </w:tr>
      <w:tr w:rsidR="00D92C6C" w:rsidRPr="0018000D" w14:paraId="78440A55"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266BF622" w14:textId="77777777" w:rsidR="00D92C6C" w:rsidRPr="0018000D" w:rsidRDefault="00D92C6C" w:rsidP="0018000D">
            <w:pPr>
              <w:contextualSpacing/>
              <w:rPr>
                <w:rFonts w:cs="Times New Roman"/>
                <w:sz w:val="20"/>
                <w:szCs w:val="20"/>
              </w:rPr>
            </w:pPr>
            <w:r w:rsidRPr="0018000D">
              <w:rPr>
                <w:rFonts w:cs="Times New Roman"/>
                <w:sz w:val="20"/>
                <w:szCs w:val="20"/>
              </w:rPr>
              <w:t>Cholangiocarcinoma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16CE2A94" w14:textId="77777777" w:rsidR="00D92C6C" w:rsidRPr="0018000D" w:rsidRDefault="00D92C6C" w:rsidP="0018000D">
            <w:pPr>
              <w:contextualSpacing/>
              <w:jc w:val="center"/>
              <w:rPr>
                <w:rFonts w:cs="Times New Roman"/>
                <w:sz w:val="20"/>
                <w:szCs w:val="20"/>
              </w:rPr>
            </w:pPr>
            <w:r w:rsidRPr="0018000D">
              <w:rPr>
                <w:rFonts w:cs="Times New Roman"/>
                <w:sz w:val="20"/>
                <w:szCs w:val="20"/>
              </w:rPr>
              <w:t>1000.00</w:t>
            </w:r>
          </w:p>
        </w:tc>
        <w:tc>
          <w:tcPr>
            <w:tcW w:w="786" w:type="pct"/>
            <w:tcBorders>
              <w:top w:val="nil"/>
              <w:left w:val="nil"/>
              <w:bottom w:val="single" w:sz="4" w:space="0" w:color="auto"/>
              <w:right w:val="single" w:sz="4" w:space="0" w:color="auto"/>
            </w:tcBorders>
            <w:shd w:val="clear" w:color="auto" w:fill="FFFFFF"/>
            <w:noWrap/>
            <w:vAlign w:val="center"/>
            <w:hideMark/>
          </w:tcPr>
          <w:p w14:paraId="7E443A64"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810B3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6398CED7"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£420,168</w:t>
            </w:r>
          </w:p>
        </w:tc>
      </w:tr>
      <w:tr w:rsidR="00D92C6C" w:rsidRPr="0018000D" w14:paraId="2478AD25"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654D6539" w14:textId="77777777" w:rsidR="00D92C6C" w:rsidRPr="0018000D" w:rsidRDefault="00D92C6C" w:rsidP="0018000D">
            <w:pPr>
              <w:contextualSpacing/>
              <w:rPr>
                <w:rFonts w:cs="Times New Roman"/>
                <w:sz w:val="20"/>
                <w:szCs w:val="20"/>
              </w:rPr>
            </w:pPr>
            <w:r w:rsidRPr="0018000D">
              <w:rPr>
                <w:rFonts w:cs="Times New Roman"/>
                <w:sz w:val="20"/>
                <w:szCs w:val="20"/>
              </w:rPr>
              <w:t>Colorectal</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65312FC5" w14:textId="77777777" w:rsidR="00D92C6C" w:rsidRPr="0018000D" w:rsidRDefault="00D92C6C" w:rsidP="0018000D">
            <w:pPr>
              <w:contextualSpacing/>
              <w:jc w:val="center"/>
              <w:rPr>
                <w:rFonts w:cs="Times New Roman"/>
                <w:sz w:val="20"/>
                <w:szCs w:val="20"/>
              </w:rPr>
            </w:pPr>
            <w:r w:rsidRPr="0018000D">
              <w:rPr>
                <w:rFonts w:cs="Times New Roman"/>
                <w:sz w:val="20"/>
                <w:szCs w:val="20"/>
              </w:rPr>
              <w:t>833.33</w:t>
            </w:r>
          </w:p>
        </w:tc>
        <w:tc>
          <w:tcPr>
            <w:tcW w:w="786" w:type="pct"/>
            <w:tcBorders>
              <w:top w:val="nil"/>
              <w:left w:val="nil"/>
              <w:bottom w:val="single" w:sz="4" w:space="0" w:color="auto"/>
              <w:right w:val="single" w:sz="4" w:space="0" w:color="auto"/>
            </w:tcBorders>
            <w:shd w:val="clear" w:color="auto" w:fill="FFFFFF"/>
            <w:noWrap/>
            <w:vAlign w:val="center"/>
            <w:hideMark/>
          </w:tcPr>
          <w:p w14:paraId="2B028045"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FF998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£291,667</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7DB1AE4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£350,140</w:t>
            </w:r>
          </w:p>
        </w:tc>
      </w:tr>
      <w:tr w:rsidR="00D92C6C" w:rsidRPr="0018000D" w14:paraId="23396235"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449730F1" w14:textId="77777777" w:rsidR="00D92C6C" w:rsidRPr="0018000D" w:rsidRDefault="00D92C6C" w:rsidP="0018000D">
            <w:pPr>
              <w:contextualSpacing/>
              <w:rPr>
                <w:rFonts w:cs="Times New Roman"/>
                <w:sz w:val="20"/>
                <w:szCs w:val="20"/>
              </w:rPr>
            </w:pPr>
            <w:r w:rsidRPr="0018000D">
              <w:rPr>
                <w:rFonts w:cs="Times New Roman"/>
                <w:sz w:val="20"/>
                <w:szCs w:val="20"/>
              </w:rPr>
              <w:t>GIST</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773D78D8" w14:textId="77777777" w:rsidR="00D92C6C" w:rsidRPr="0018000D" w:rsidRDefault="00D92C6C" w:rsidP="0018000D">
            <w:pPr>
              <w:contextualSpacing/>
              <w:jc w:val="center"/>
              <w:rPr>
                <w:rFonts w:cs="Times New Roman"/>
                <w:sz w:val="20"/>
                <w:szCs w:val="20"/>
              </w:rPr>
            </w:pPr>
            <w:r w:rsidRPr="0018000D">
              <w:rPr>
                <w:rFonts w:cs="Times New Roman"/>
                <w:sz w:val="20"/>
                <w:szCs w:val="20"/>
              </w:rPr>
              <w:t>78.13</w:t>
            </w:r>
          </w:p>
        </w:tc>
        <w:tc>
          <w:tcPr>
            <w:tcW w:w="786" w:type="pct"/>
            <w:tcBorders>
              <w:top w:val="nil"/>
              <w:left w:val="nil"/>
              <w:bottom w:val="single" w:sz="4" w:space="0" w:color="auto"/>
              <w:right w:val="single" w:sz="4" w:space="0" w:color="auto"/>
            </w:tcBorders>
            <w:shd w:val="clear" w:color="auto" w:fill="FFFFFF"/>
            <w:noWrap/>
            <w:vAlign w:val="center"/>
            <w:hideMark/>
          </w:tcPr>
          <w:p w14:paraId="0C51FADF"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11EEF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£27,344</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0B0A3FA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£32,826</w:t>
            </w:r>
          </w:p>
        </w:tc>
      </w:tr>
      <w:tr w:rsidR="00D92C6C" w:rsidRPr="0018000D" w14:paraId="36BBD75C"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6B7951FC" w14:textId="77777777" w:rsidR="00D92C6C" w:rsidRPr="0018000D" w:rsidRDefault="00D92C6C" w:rsidP="0018000D">
            <w:pPr>
              <w:contextualSpacing/>
              <w:rPr>
                <w:rFonts w:cs="Times New Roman"/>
                <w:sz w:val="20"/>
                <w:szCs w:val="20"/>
              </w:rPr>
            </w:pPr>
            <w:r w:rsidRPr="0018000D">
              <w:rPr>
                <w:rFonts w:cs="Times New Roman"/>
                <w:sz w:val="20"/>
                <w:szCs w:val="20"/>
              </w:rPr>
              <w:t>Infantile fibrosarcoma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284B1C5F" w14:textId="77777777" w:rsidR="00D92C6C" w:rsidRPr="0018000D" w:rsidRDefault="00D92C6C" w:rsidP="0018000D">
            <w:pPr>
              <w:contextualSpacing/>
              <w:jc w:val="center"/>
              <w:rPr>
                <w:rFonts w:cs="Times New Roman"/>
                <w:sz w:val="20"/>
                <w:szCs w:val="20"/>
              </w:rPr>
            </w:pPr>
            <w:r w:rsidRPr="0018000D">
              <w:rPr>
                <w:rFonts w:cs="Times New Roman"/>
                <w:sz w:val="20"/>
                <w:szCs w:val="20"/>
              </w:rPr>
              <w:t>1.36</w:t>
            </w:r>
          </w:p>
        </w:tc>
        <w:tc>
          <w:tcPr>
            <w:tcW w:w="786" w:type="pct"/>
            <w:tcBorders>
              <w:top w:val="nil"/>
              <w:left w:val="nil"/>
              <w:bottom w:val="single" w:sz="4" w:space="0" w:color="auto"/>
              <w:right w:val="single" w:sz="4" w:space="0" w:color="auto"/>
            </w:tcBorders>
            <w:shd w:val="clear" w:color="auto" w:fill="FFFFFF"/>
            <w:noWrap/>
            <w:vAlign w:val="center"/>
            <w:hideMark/>
          </w:tcPr>
          <w:p w14:paraId="648C2AAC"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4DF13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792C6216"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£420</w:t>
            </w:r>
          </w:p>
        </w:tc>
      </w:tr>
      <w:tr w:rsidR="00D92C6C" w:rsidRPr="0018000D" w14:paraId="23CF3158"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5F41B784" w14:textId="77777777" w:rsidR="00D92C6C" w:rsidRPr="0018000D" w:rsidRDefault="00D92C6C" w:rsidP="0018000D">
            <w:pPr>
              <w:contextualSpacing/>
              <w:rPr>
                <w:rFonts w:cs="Times New Roman"/>
                <w:sz w:val="20"/>
                <w:szCs w:val="20"/>
              </w:rPr>
            </w:pPr>
            <w:r w:rsidRPr="0018000D">
              <w:rPr>
                <w:rFonts w:cs="Times New Roman"/>
                <w:sz w:val="20"/>
                <w:szCs w:val="20"/>
              </w:rPr>
              <w:t>MASC</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772A2DA6" w14:textId="77777777" w:rsidR="00D92C6C" w:rsidRPr="0018000D" w:rsidRDefault="00D92C6C" w:rsidP="0018000D">
            <w:pPr>
              <w:contextualSpacing/>
              <w:jc w:val="center"/>
              <w:rPr>
                <w:rFonts w:cs="Times New Roman"/>
                <w:sz w:val="20"/>
                <w:szCs w:val="20"/>
              </w:rPr>
            </w:pPr>
            <w:r w:rsidRPr="0018000D">
              <w:rPr>
                <w:rFonts w:cs="Times New Roman"/>
                <w:sz w:val="20"/>
                <w:szCs w:val="20"/>
              </w:rPr>
              <w:t>1.08</w:t>
            </w:r>
          </w:p>
        </w:tc>
        <w:tc>
          <w:tcPr>
            <w:tcW w:w="786" w:type="pct"/>
            <w:tcBorders>
              <w:top w:val="nil"/>
              <w:left w:val="nil"/>
              <w:bottom w:val="single" w:sz="4" w:space="0" w:color="auto"/>
              <w:right w:val="single" w:sz="4" w:space="0" w:color="auto"/>
            </w:tcBorders>
            <w:shd w:val="clear" w:color="auto" w:fill="FFFFFF"/>
            <w:noWrap/>
            <w:vAlign w:val="center"/>
            <w:hideMark/>
          </w:tcPr>
          <w:p w14:paraId="28262C52"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7F18B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£215</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35E4C10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£258</w:t>
            </w:r>
          </w:p>
        </w:tc>
      </w:tr>
      <w:tr w:rsidR="00D92C6C" w:rsidRPr="0018000D" w14:paraId="54D0BF0F"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noWrap/>
            <w:hideMark/>
          </w:tcPr>
          <w:p w14:paraId="5EA4CF17" w14:textId="77777777" w:rsidR="00D92C6C" w:rsidRPr="0018000D" w:rsidRDefault="00D92C6C" w:rsidP="0018000D">
            <w:pPr>
              <w:contextualSpacing/>
              <w:rPr>
                <w:rFonts w:cs="Times New Roman"/>
                <w:sz w:val="20"/>
                <w:szCs w:val="20"/>
              </w:rPr>
            </w:pPr>
            <w:r w:rsidRPr="0018000D">
              <w:rPr>
                <w:rFonts w:cs="Times New Roman"/>
                <w:sz w:val="20"/>
                <w:szCs w:val="20"/>
              </w:rPr>
              <w:t>Melanoma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73A98230" w14:textId="77777777" w:rsidR="00D92C6C" w:rsidRPr="0018000D" w:rsidRDefault="00D92C6C" w:rsidP="0018000D">
            <w:pPr>
              <w:contextualSpacing/>
              <w:jc w:val="center"/>
              <w:rPr>
                <w:rFonts w:cs="Times New Roman"/>
                <w:sz w:val="20"/>
                <w:szCs w:val="20"/>
              </w:rPr>
            </w:pPr>
            <w:r w:rsidRPr="0018000D">
              <w:rPr>
                <w:rFonts w:cs="Times New Roman"/>
                <w:sz w:val="20"/>
                <w:szCs w:val="20"/>
              </w:rPr>
              <w:t>476.19</w:t>
            </w:r>
          </w:p>
        </w:tc>
        <w:tc>
          <w:tcPr>
            <w:tcW w:w="786" w:type="pct"/>
            <w:tcBorders>
              <w:top w:val="nil"/>
              <w:left w:val="nil"/>
              <w:bottom w:val="single" w:sz="4" w:space="0" w:color="auto"/>
              <w:right w:val="single" w:sz="4" w:space="0" w:color="auto"/>
            </w:tcBorders>
            <w:shd w:val="clear" w:color="auto" w:fill="FFFFFF"/>
            <w:noWrap/>
            <w:vAlign w:val="center"/>
            <w:hideMark/>
          </w:tcPr>
          <w:p w14:paraId="48F46DAA"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1FE0E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£166,667</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36040F6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£200,080</w:t>
            </w:r>
          </w:p>
        </w:tc>
      </w:tr>
      <w:tr w:rsidR="00D92C6C" w:rsidRPr="0018000D" w14:paraId="4554A030" w14:textId="77777777" w:rsidTr="00D92C6C">
        <w:trPr>
          <w:trHeight w:val="284"/>
          <w:jc w:val="center"/>
        </w:trPr>
        <w:tc>
          <w:tcPr>
            <w:tcW w:w="1491" w:type="pct"/>
            <w:tcBorders>
              <w:top w:val="single" w:sz="4" w:space="0" w:color="auto"/>
              <w:left w:val="single" w:sz="4" w:space="0" w:color="auto"/>
              <w:bottom w:val="single" w:sz="4" w:space="0" w:color="auto"/>
              <w:right w:val="single" w:sz="4" w:space="0" w:color="auto"/>
            </w:tcBorders>
            <w:hideMark/>
          </w:tcPr>
          <w:p w14:paraId="673E82F4" w14:textId="77777777" w:rsidR="00D92C6C" w:rsidRPr="0018000D" w:rsidRDefault="00D92C6C" w:rsidP="0018000D">
            <w:pPr>
              <w:contextualSpacing/>
              <w:rPr>
                <w:rFonts w:cs="Times New Roman"/>
                <w:sz w:val="20"/>
                <w:szCs w:val="20"/>
              </w:rPr>
            </w:pPr>
            <w:r w:rsidRPr="0018000D">
              <w:rPr>
                <w:rFonts w:cs="Times New Roman"/>
                <w:sz w:val="20"/>
                <w:szCs w:val="20"/>
              </w:rPr>
              <w:t>NSCLC</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6432C90B" w14:textId="77777777" w:rsidR="00D92C6C" w:rsidRPr="0018000D" w:rsidRDefault="00D92C6C" w:rsidP="0018000D">
            <w:pPr>
              <w:contextualSpacing/>
              <w:jc w:val="center"/>
              <w:rPr>
                <w:rFonts w:cs="Times New Roman"/>
                <w:sz w:val="20"/>
                <w:szCs w:val="20"/>
              </w:rPr>
            </w:pPr>
            <w:r w:rsidRPr="0018000D">
              <w:rPr>
                <w:rFonts w:cs="Times New Roman"/>
                <w:sz w:val="20"/>
                <w:szCs w:val="20"/>
              </w:rPr>
              <w:t>1111.11</w:t>
            </w:r>
          </w:p>
        </w:tc>
        <w:tc>
          <w:tcPr>
            <w:tcW w:w="786" w:type="pct"/>
            <w:tcBorders>
              <w:top w:val="nil"/>
              <w:left w:val="nil"/>
              <w:bottom w:val="single" w:sz="4" w:space="0" w:color="auto"/>
              <w:right w:val="single" w:sz="4" w:space="0" w:color="auto"/>
            </w:tcBorders>
            <w:shd w:val="clear" w:color="auto" w:fill="FFFFFF"/>
            <w:noWrap/>
            <w:vAlign w:val="center"/>
            <w:hideMark/>
          </w:tcPr>
          <w:p w14:paraId="0B57953F"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055B1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£388,889</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7A846CF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£466,853</w:t>
            </w:r>
          </w:p>
        </w:tc>
      </w:tr>
      <w:tr w:rsidR="00D92C6C" w:rsidRPr="0018000D" w14:paraId="1FD97031"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5A92194B" w14:textId="77777777" w:rsidR="00D92C6C" w:rsidRPr="0018000D" w:rsidRDefault="00D92C6C" w:rsidP="0018000D">
            <w:pPr>
              <w:contextualSpacing/>
              <w:rPr>
                <w:rFonts w:cs="Times New Roman"/>
                <w:sz w:val="20"/>
                <w:szCs w:val="20"/>
              </w:rPr>
            </w:pPr>
            <w:r w:rsidRPr="0018000D">
              <w:rPr>
                <w:rFonts w:cs="Times New Roman"/>
                <w:sz w:val="20"/>
                <w:szCs w:val="20"/>
              </w:rPr>
              <w:t>Pancreatic</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31E13381" w14:textId="77777777" w:rsidR="00D92C6C" w:rsidRPr="0018000D" w:rsidRDefault="00D92C6C" w:rsidP="0018000D">
            <w:pPr>
              <w:contextualSpacing/>
              <w:jc w:val="center"/>
              <w:rPr>
                <w:rFonts w:cs="Times New Roman"/>
                <w:sz w:val="20"/>
                <w:szCs w:val="20"/>
              </w:rPr>
            </w:pPr>
            <w:r w:rsidRPr="0018000D">
              <w:rPr>
                <w:rFonts w:cs="Times New Roman"/>
                <w:sz w:val="20"/>
                <w:szCs w:val="20"/>
              </w:rPr>
              <w:t>384.62</w:t>
            </w:r>
          </w:p>
        </w:tc>
        <w:tc>
          <w:tcPr>
            <w:tcW w:w="786" w:type="pct"/>
            <w:tcBorders>
              <w:top w:val="nil"/>
              <w:left w:val="nil"/>
              <w:bottom w:val="single" w:sz="4" w:space="0" w:color="auto"/>
              <w:right w:val="single" w:sz="4" w:space="0" w:color="auto"/>
            </w:tcBorders>
            <w:shd w:val="clear" w:color="auto" w:fill="FFFFFF"/>
            <w:noWrap/>
            <w:vAlign w:val="center"/>
            <w:hideMark/>
          </w:tcPr>
          <w:p w14:paraId="2781ACDD"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D15B5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£134,615</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5EA94C1A"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£161,603</w:t>
            </w:r>
          </w:p>
        </w:tc>
      </w:tr>
      <w:tr w:rsidR="00D92C6C" w:rsidRPr="0018000D" w14:paraId="1EC2AD78"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hideMark/>
          </w:tcPr>
          <w:p w14:paraId="73B1CD1B" w14:textId="77777777" w:rsidR="00D92C6C" w:rsidRPr="0018000D" w:rsidRDefault="00D92C6C" w:rsidP="0018000D">
            <w:pPr>
              <w:contextualSpacing/>
              <w:rPr>
                <w:rFonts w:cs="Times New Roman"/>
                <w:sz w:val="20"/>
                <w:szCs w:val="20"/>
              </w:rPr>
            </w:pPr>
            <w:r w:rsidRPr="0018000D">
              <w:rPr>
                <w:rFonts w:cs="Times New Roman"/>
                <w:sz w:val="20"/>
                <w:szCs w:val="20"/>
              </w:rPr>
              <w:t>Thyroid</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071685B0" w14:textId="77777777" w:rsidR="00D92C6C" w:rsidRPr="0018000D" w:rsidRDefault="00D92C6C" w:rsidP="0018000D">
            <w:pPr>
              <w:contextualSpacing/>
              <w:jc w:val="center"/>
              <w:rPr>
                <w:rFonts w:cs="Times New Roman"/>
                <w:sz w:val="20"/>
                <w:szCs w:val="20"/>
              </w:rPr>
            </w:pPr>
            <w:r w:rsidRPr="0018000D">
              <w:rPr>
                <w:rFonts w:cs="Times New Roman"/>
                <w:sz w:val="20"/>
                <w:szCs w:val="20"/>
              </w:rPr>
              <w:t>220.19</w:t>
            </w:r>
          </w:p>
        </w:tc>
        <w:tc>
          <w:tcPr>
            <w:tcW w:w="786" w:type="pct"/>
            <w:tcBorders>
              <w:top w:val="nil"/>
              <w:left w:val="nil"/>
              <w:bottom w:val="single" w:sz="4" w:space="0" w:color="auto"/>
              <w:right w:val="single" w:sz="4" w:space="0" w:color="auto"/>
            </w:tcBorders>
            <w:shd w:val="clear" w:color="auto" w:fill="FFFFFF"/>
            <w:noWrap/>
            <w:vAlign w:val="center"/>
            <w:hideMark/>
          </w:tcPr>
          <w:p w14:paraId="0613749A" w14:textId="77777777" w:rsidR="00D92C6C" w:rsidRPr="0018000D" w:rsidRDefault="00D92C6C" w:rsidP="0018000D">
            <w:pPr>
              <w:contextualSpacing/>
              <w:jc w:val="center"/>
              <w:rPr>
                <w:rFonts w:cs="Times New Roman"/>
                <w:sz w:val="20"/>
                <w:szCs w:val="20"/>
              </w:rPr>
            </w:pPr>
            <w:r w:rsidRPr="0018000D">
              <w:rPr>
                <w:rFonts w:cs="Times New Roman"/>
                <w:sz w:val="20"/>
                <w:szCs w:val="20"/>
              </w:rPr>
              <w:t>1.31</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6CEC3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£457</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74AFFE7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£549</w:t>
            </w:r>
          </w:p>
        </w:tc>
      </w:tr>
      <w:tr w:rsidR="00D92C6C" w:rsidRPr="0018000D" w14:paraId="12FE5405"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hideMark/>
          </w:tcPr>
          <w:p w14:paraId="2D85A6F1" w14:textId="77777777" w:rsidR="00D92C6C" w:rsidRPr="0018000D" w:rsidRDefault="00D92C6C" w:rsidP="0018000D">
            <w:pPr>
              <w:contextualSpacing/>
              <w:rPr>
                <w:rFonts w:cs="Times New Roman"/>
                <w:sz w:val="20"/>
                <w:szCs w:val="20"/>
              </w:rPr>
            </w:pPr>
            <w:r w:rsidRPr="0018000D">
              <w:rPr>
                <w:rFonts w:cs="Times New Roman"/>
                <w:sz w:val="20"/>
                <w:szCs w:val="20"/>
              </w:rPr>
              <w:t xml:space="preserve">Soft tissue sarcoma </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7B6236ED" w14:textId="77777777" w:rsidR="00D92C6C" w:rsidRPr="0018000D" w:rsidRDefault="00D92C6C" w:rsidP="0018000D">
            <w:pPr>
              <w:contextualSpacing/>
              <w:jc w:val="center"/>
              <w:rPr>
                <w:rFonts w:cs="Times New Roman"/>
                <w:sz w:val="20"/>
                <w:szCs w:val="20"/>
              </w:rPr>
            </w:pPr>
            <w:r w:rsidRPr="0018000D">
              <w:rPr>
                <w:rFonts w:cs="Times New Roman"/>
                <w:sz w:val="20"/>
                <w:szCs w:val="20"/>
              </w:rPr>
              <w:t>108.70</w:t>
            </w:r>
          </w:p>
        </w:tc>
        <w:tc>
          <w:tcPr>
            <w:tcW w:w="786" w:type="pct"/>
            <w:tcBorders>
              <w:top w:val="nil"/>
              <w:left w:val="nil"/>
              <w:bottom w:val="single" w:sz="4" w:space="0" w:color="auto"/>
              <w:right w:val="single" w:sz="4" w:space="0" w:color="auto"/>
            </w:tcBorders>
            <w:shd w:val="clear" w:color="auto" w:fill="FFFFFF"/>
            <w:noWrap/>
            <w:vAlign w:val="center"/>
            <w:hideMark/>
          </w:tcPr>
          <w:p w14:paraId="01E217F7"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9BE0791"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£38,043</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6A351F4A"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£45,670</w:t>
            </w:r>
          </w:p>
        </w:tc>
      </w:tr>
      <w:tr w:rsidR="00D92C6C" w:rsidRPr="0018000D" w14:paraId="482E0501" w14:textId="77777777" w:rsidTr="007357C6">
        <w:trPr>
          <w:trHeight w:val="36"/>
          <w:jc w:val="cent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hideMark/>
          </w:tcPr>
          <w:p w14:paraId="41E9FA24" w14:textId="46262875" w:rsidR="00D92C6C" w:rsidRPr="0018000D" w:rsidRDefault="00D92C6C" w:rsidP="007357C6">
            <w:pPr>
              <w:contextualSpacing/>
              <w:rPr>
                <w:rFonts w:cs="Times New Roman"/>
                <w:sz w:val="20"/>
                <w:szCs w:val="20"/>
              </w:rPr>
            </w:pPr>
            <w:r w:rsidRPr="0018000D">
              <w:rPr>
                <w:rFonts w:cs="Times New Roman"/>
                <w:b/>
                <w:color w:val="000000"/>
                <w:sz w:val="20"/>
                <w:szCs w:val="20"/>
              </w:rPr>
              <w:lastRenderedPageBreak/>
              <w:t xml:space="preserve">Tumours </w:t>
            </w:r>
            <w:r w:rsidR="007357C6">
              <w:rPr>
                <w:rFonts w:cs="Times New Roman"/>
                <w:b/>
                <w:color w:val="000000"/>
                <w:sz w:val="20"/>
                <w:szCs w:val="20"/>
              </w:rPr>
              <w:t>not represented</w:t>
            </w:r>
            <w:r w:rsidRPr="0018000D">
              <w:rPr>
                <w:rFonts w:cs="Times New Roman"/>
                <w:b/>
                <w:color w:val="000000"/>
                <w:sz w:val="20"/>
                <w:szCs w:val="20"/>
              </w:rPr>
              <w:t xml:space="preserve"> in trial</w:t>
            </w:r>
          </w:p>
        </w:tc>
      </w:tr>
      <w:tr w:rsidR="00D92C6C" w:rsidRPr="0018000D" w14:paraId="424546A3" w14:textId="77777777" w:rsidTr="00D92C6C">
        <w:trPr>
          <w:trHeight w:val="239"/>
          <w:jc w:val="center"/>
        </w:trPr>
        <w:tc>
          <w:tcPr>
            <w:tcW w:w="1491" w:type="pct"/>
            <w:tcBorders>
              <w:top w:val="single" w:sz="4" w:space="0" w:color="auto"/>
              <w:left w:val="single" w:sz="4" w:space="0" w:color="auto"/>
              <w:bottom w:val="single" w:sz="4" w:space="0" w:color="auto"/>
              <w:right w:val="single" w:sz="4" w:space="0" w:color="auto"/>
            </w:tcBorders>
            <w:hideMark/>
          </w:tcPr>
          <w:p w14:paraId="2882CD9C" w14:textId="77777777" w:rsidR="00D92C6C" w:rsidRPr="0018000D" w:rsidRDefault="00D92C6C" w:rsidP="0018000D">
            <w:pPr>
              <w:contextualSpacing/>
              <w:rPr>
                <w:rFonts w:cs="Times New Roman"/>
                <w:sz w:val="20"/>
                <w:szCs w:val="20"/>
              </w:rPr>
            </w:pPr>
            <w:r w:rsidRPr="0018000D">
              <w:rPr>
                <w:rFonts w:cs="Times New Roman"/>
                <w:sz w:val="20"/>
                <w:szCs w:val="20"/>
              </w:rPr>
              <w:t>Cervix</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3D168FC5" w14:textId="77777777" w:rsidR="00D92C6C" w:rsidRPr="0018000D" w:rsidRDefault="00D92C6C" w:rsidP="0018000D">
            <w:pPr>
              <w:contextualSpacing/>
              <w:jc w:val="center"/>
              <w:rPr>
                <w:rFonts w:cs="Times New Roman"/>
                <w:sz w:val="20"/>
                <w:szCs w:val="20"/>
              </w:rPr>
            </w:pPr>
            <w:r w:rsidRPr="0018000D">
              <w:rPr>
                <w:rFonts w:cs="Times New Roman"/>
                <w:sz w:val="20"/>
                <w:szCs w:val="20"/>
              </w:rPr>
              <w:t>303.03</w:t>
            </w:r>
          </w:p>
        </w:tc>
        <w:tc>
          <w:tcPr>
            <w:tcW w:w="786" w:type="pct"/>
            <w:tcBorders>
              <w:top w:val="nil"/>
              <w:left w:val="nil"/>
              <w:bottom w:val="single" w:sz="4" w:space="0" w:color="auto"/>
              <w:right w:val="single" w:sz="4" w:space="0" w:color="auto"/>
            </w:tcBorders>
            <w:shd w:val="clear" w:color="auto" w:fill="FFFFFF"/>
            <w:noWrap/>
            <w:vAlign w:val="center"/>
            <w:hideMark/>
          </w:tcPr>
          <w:p w14:paraId="259657F4"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B8E7E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£106,061</w:t>
            </w:r>
          </w:p>
        </w:tc>
        <w:tc>
          <w:tcPr>
            <w:tcW w:w="994" w:type="pct"/>
            <w:tcBorders>
              <w:top w:val="single" w:sz="4" w:space="0" w:color="auto"/>
              <w:left w:val="nil"/>
              <w:bottom w:val="single" w:sz="4" w:space="0" w:color="auto"/>
              <w:right w:val="single" w:sz="8" w:space="0" w:color="auto"/>
            </w:tcBorders>
            <w:shd w:val="clear" w:color="auto" w:fill="FFFFFF" w:themeFill="background1"/>
            <w:noWrap/>
            <w:vAlign w:val="center"/>
            <w:hideMark/>
          </w:tcPr>
          <w:p w14:paraId="37A4A471"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£127,324</w:t>
            </w:r>
          </w:p>
        </w:tc>
      </w:tr>
      <w:tr w:rsidR="00D92C6C" w:rsidRPr="0018000D" w14:paraId="27736CA4"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76B3AEE8" w14:textId="77777777" w:rsidR="00D92C6C" w:rsidRPr="0018000D" w:rsidRDefault="00D92C6C" w:rsidP="0018000D">
            <w:pPr>
              <w:contextualSpacing/>
              <w:rPr>
                <w:rFonts w:cs="Times New Roman"/>
                <w:sz w:val="20"/>
                <w:szCs w:val="20"/>
              </w:rPr>
            </w:pPr>
            <w:r w:rsidRPr="0018000D">
              <w:rPr>
                <w:rFonts w:cs="Times New Roman"/>
                <w:sz w:val="20"/>
                <w:szCs w:val="20"/>
              </w:rPr>
              <w:t>Congenital Mesoblastic Nephroma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6649F65C" w14:textId="77777777" w:rsidR="00D92C6C" w:rsidRPr="0018000D" w:rsidRDefault="00D92C6C" w:rsidP="0018000D">
            <w:pPr>
              <w:contextualSpacing/>
              <w:jc w:val="center"/>
              <w:rPr>
                <w:rFonts w:cs="Times New Roman"/>
                <w:sz w:val="20"/>
                <w:szCs w:val="20"/>
              </w:rPr>
            </w:pPr>
            <w:r w:rsidRPr="0018000D">
              <w:rPr>
                <w:rFonts w:cs="Times New Roman"/>
                <w:sz w:val="20"/>
                <w:szCs w:val="20"/>
              </w:rPr>
              <w:t>2.03</w:t>
            </w:r>
          </w:p>
        </w:tc>
        <w:tc>
          <w:tcPr>
            <w:tcW w:w="786" w:type="pct"/>
            <w:tcBorders>
              <w:top w:val="nil"/>
              <w:left w:val="nil"/>
              <w:bottom w:val="single" w:sz="4" w:space="0" w:color="auto"/>
              <w:right w:val="single" w:sz="4" w:space="0" w:color="auto"/>
            </w:tcBorders>
            <w:shd w:val="clear" w:color="auto" w:fill="FFFFFF"/>
            <w:noWrap/>
            <w:vAlign w:val="center"/>
            <w:hideMark/>
          </w:tcPr>
          <w:p w14:paraId="3E7D1FD5"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13B043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301EC4D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£421</w:t>
            </w:r>
          </w:p>
        </w:tc>
      </w:tr>
      <w:tr w:rsidR="00D92C6C" w:rsidRPr="0018000D" w14:paraId="7B569C5B"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121B89F3" w14:textId="77777777" w:rsidR="00D92C6C" w:rsidRPr="0018000D" w:rsidRDefault="00D92C6C" w:rsidP="0018000D">
            <w:pPr>
              <w:contextualSpacing/>
              <w:rPr>
                <w:rFonts w:cs="Times New Roman"/>
                <w:sz w:val="20"/>
                <w:szCs w:val="20"/>
              </w:rPr>
            </w:pPr>
            <w:r w:rsidRPr="0018000D">
              <w:rPr>
                <w:rFonts w:cs="Times New Roman"/>
                <w:sz w:val="20"/>
                <w:szCs w:val="20"/>
              </w:rPr>
              <w:t>Gastro-esophageal junction</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4587F5DC" w14:textId="77777777" w:rsidR="00D92C6C" w:rsidRPr="0018000D" w:rsidRDefault="00D92C6C" w:rsidP="0018000D">
            <w:pPr>
              <w:contextualSpacing/>
              <w:jc w:val="center"/>
              <w:rPr>
                <w:rFonts w:cs="Times New Roman"/>
                <w:sz w:val="20"/>
                <w:szCs w:val="20"/>
              </w:rPr>
            </w:pPr>
            <w:r w:rsidRPr="0018000D">
              <w:rPr>
                <w:rFonts w:cs="Times New Roman"/>
                <w:sz w:val="20"/>
                <w:szCs w:val="20"/>
              </w:rPr>
              <w:t>1000.00</w:t>
            </w:r>
          </w:p>
        </w:tc>
        <w:tc>
          <w:tcPr>
            <w:tcW w:w="786" w:type="pct"/>
            <w:tcBorders>
              <w:top w:val="nil"/>
              <w:left w:val="nil"/>
              <w:bottom w:val="single" w:sz="4" w:space="0" w:color="auto"/>
              <w:right w:val="single" w:sz="4" w:space="0" w:color="auto"/>
            </w:tcBorders>
            <w:shd w:val="clear" w:color="auto" w:fill="FFFFFF"/>
            <w:noWrap/>
            <w:vAlign w:val="center"/>
            <w:hideMark/>
          </w:tcPr>
          <w:p w14:paraId="0BEFD6CF"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108D8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1512551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£420,168</w:t>
            </w:r>
          </w:p>
        </w:tc>
      </w:tr>
      <w:tr w:rsidR="00D92C6C" w:rsidRPr="0018000D" w14:paraId="09FAFEEF"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44B942D3" w14:textId="77777777" w:rsidR="00D92C6C" w:rsidRPr="0018000D" w:rsidRDefault="00D92C6C" w:rsidP="0018000D">
            <w:pPr>
              <w:contextualSpacing/>
              <w:rPr>
                <w:rFonts w:cs="Times New Roman"/>
                <w:sz w:val="20"/>
                <w:szCs w:val="20"/>
              </w:rPr>
            </w:pPr>
            <w:r w:rsidRPr="0018000D">
              <w:rPr>
                <w:rFonts w:cs="Times New Roman"/>
                <w:sz w:val="20"/>
                <w:szCs w:val="20"/>
              </w:rPr>
              <w:t>HNSCC</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1245648F" w14:textId="77777777" w:rsidR="00D92C6C" w:rsidRPr="0018000D" w:rsidRDefault="00D92C6C" w:rsidP="0018000D">
            <w:pPr>
              <w:contextualSpacing/>
              <w:jc w:val="center"/>
              <w:rPr>
                <w:rFonts w:cs="Times New Roman"/>
                <w:sz w:val="20"/>
                <w:szCs w:val="20"/>
              </w:rPr>
            </w:pPr>
            <w:r w:rsidRPr="0018000D">
              <w:rPr>
                <w:rFonts w:cs="Times New Roman"/>
                <w:sz w:val="20"/>
                <w:szCs w:val="20"/>
              </w:rPr>
              <w:t>263.16</w:t>
            </w:r>
          </w:p>
        </w:tc>
        <w:tc>
          <w:tcPr>
            <w:tcW w:w="786" w:type="pct"/>
            <w:tcBorders>
              <w:top w:val="nil"/>
              <w:left w:val="nil"/>
              <w:bottom w:val="single" w:sz="4" w:space="0" w:color="auto"/>
              <w:right w:val="single" w:sz="4" w:space="0" w:color="auto"/>
            </w:tcBorders>
            <w:shd w:val="clear" w:color="auto" w:fill="FFFFFF"/>
            <w:noWrap/>
            <w:vAlign w:val="center"/>
            <w:hideMark/>
          </w:tcPr>
          <w:p w14:paraId="0B2F7581"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BB882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£92,105</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5362A25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£110,571</w:t>
            </w:r>
          </w:p>
        </w:tc>
      </w:tr>
      <w:tr w:rsidR="00D92C6C" w:rsidRPr="0018000D" w14:paraId="5B9A7F93"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7D12DF0D" w14:textId="77777777" w:rsidR="00D92C6C" w:rsidRPr="0018000D" w:rsidRDefault="00D92C6C" w:rsidP="0018000D">
            <w:pPr>
              <w:contextualSpacing/>
              <w:rPr>
                <w:rFonts w:cs="Times New Roman"/>
                <w:sz w:val="20"/>
                <w:szCs w:val="20"/>
              </w:rPr>
            </w:pPr>
            <w:r w:rsidRPr="0018000D">
              <w:rPr>
                <w:rFonts w:cs="Times New Roman"/>
                <w:sz w:val="20"/>
                <w:szCs w:val="20"/>
              </w:rPr>
              <w:t>High grade glioma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5803F9D2" w14:textId="77777777" w:rsidR="00D92C6C" w:rsidRPr="0018000D" w:rsidRDefault="00D92C6C" w:rsidP="0018000D">
            <w:pPr>
              <w:contextualSpacing/>
              <w:jc w:val="center"/>
              <w:rPr>
                <w:rFonts w:cs="Times New Roman"/>
                <w:sz w:val="20"/>
                <w:szCs w:val="20"/>
              </w:rPr>
            </w:pPr>
            <w:r w:rsidRPr="0018000D">
              <w:rPr>
                <w:rFonts w:cs="Times New Roman"/>
                <w:sz w:val="20"/>
                <w:szCs w:val="20"/>
              </w:rPr>
              <w:t>2000.00</w:t>
            </w:r>
          </w:p>
        </w:tc>
        <w:tc>
          <w:tcPr>
            <w:tcW w:w="786" w:type="pct"/>
            <w:tcBorders>
              <w:top w:val="nil"/>
              <w:left w:val="nil"/>
              <w:bottom w:val="single" w:sz="4" w:space="0" w:color="auto"/>
              <w:right w:val="single" w:sz="4" w:space="0" w:color="auto"/>
            </w:tcBorders>
            <w:shd w:val="clear" w:color="auto" w:fill="FFFFFF"/>
            <w:noWrap/>
            <w:vAlign w:val="center"/>
            <w:hideMark/>
          </w:tcPr>
          <w:p w14:paraId="2B93D01F"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0A3FF2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£700,000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0E7FE5A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£840,336</w:t>
            </w:r>
          </w:p>
        </w:tc>
      </w:tr>
      <w:tr w:rsidR="00D92C6C" w:rsidRPr="0018000D" w14:paraId="42B500D7"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511D1BEB" w14:textId="77777777" w:rsidR="00D92C6C" w:rsidRPr="0018000D" w:rsidRDefault="00D92C6C" w:rsidP="0018000D">
            <w:pPr>
              <w:contextualSpacing/>
              <w:rPr>
                <w:rFonts w:cs="Times New Roman"/>
                <w:sz w:val="20"/>
                <w:szCs w:val="20"/>
              </w:rPr>
            </w:pPr>
            <w:r w:rsidRPr="0018000D">
              <w:rPr>
                <w:rFonts w:cs="Times New Roman"/>
                <w:sz w:val="20"/>
                <w:szCs w:val="20"/>
              </w:rPr>
              <w:t>Neuroendocrine</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64C4E754" w14:textId="77777777" w:rsidR="00D92C6C" w:rsidRPr="0018000D" w:rsidRDefault="00D92C6C" w:rsidP="0018000D">
            <w:pPr>
              <w:contextualSpacing/>
              <w:jc w:val="center"/>
              <w:rPr>
                <w:rFonts w:cs="Times New Roman"/>
                <w:sz w:val="20"/>
                <w:szCs w:val="20"/>
              </w:rPr>
            </w:pPr>
            <w:r w:rsidRPr="0018000D">
              <w:rPr>
                <w:rFonts w:cs="Times New Roman"/>
                <w:sz w:val="20"/>
                <w:szCs w:val="20"/>
              </w:rPr>
              <w:t>333.33</w:t>
            </w:r>
          </w:p>
        </w:tc>
        <w:tc>
          <w:tcPr>
            <w:tcW w:w="786" w:type="pct"/>
            <w:tcBorders>
              <w:top w:val="nil"/>
              <w:left w:val="nil"/>
              <w:bottom w:val="single" w:sz="4" w:space="0" w:color="auto"/>
              <w:right w:val="single" w:sz="4" w:space="0" w:color="auto"/>
            </w:tcBorders>
            <w:shd w:val="clear" w:color="auto" w:fill="FFFFFF"/>
            <w:noWrap/>
            <w:vAlign w:val="center"/>
            <w:hideMark/>
          </w:tcPr>
          <w:p w14:paraId="70EB5D00"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5BC0E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£116,667</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2B038FE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£140,056</w:t>
            </w:r>
          </w:p>
        </w:tc>
      </w:tr>
      <w:tr w:rsidR="00D92C6C" w:rsidRPr="0018000D" w14:paraId="585A4A62"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34EE031C" w14:textId="77777777" w:rsidR="00D92C6C" w:rsidRPr="0018000D" w:rsidRDefault="00D92C6C" w:rsidP="0018000D">
            <w:pPr>
              <w:contextualSpacing/>
              <w:rPr>
                <w:rFonts w:cs="Times New Roman"/>
                <w:sz w:val="20"/>
                <w:szCs w:val="20"/>
              </w:rPr>
            </w:pPr>
            <w:r w:rsidRPr="0018000D">
              <w:rPr>
                <w:rFonts w:cs="Times New Roman"/>
                <w:sz w:val="20"/>
                <w:szCs w:val="20"/>
              </w:rPr>
              <w:t>Ovarian</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29FA1C32" w14:textId="77777777" w:rsidR="00D92C6C" w:rsidRPr="0018000D" w:rsidRDefault="00D92C6C" w:rsidP="0018000D">
            <w:pPr>
              <w:contextualSpacing/>
              <w:jc w:val="center"/>
              <w:rPr>
                <w:rFonts w:cs="Times New Roman"/>
                <w:sz w:val="20"/>
                <w:szCs w:val="20"/>
              </w:rPr>
            </w:pPr>
            <w:r w:rsidRPr="0018000D">
              <w:rPr>
                <w:rFonts w:cs="Times New Roman"/>
                <w:sz w:val="20"/>
                <w:szCs w:val="20"/>
              </w:rPr>
              <w:t>400.00</w:t>
            </w:r>
          </w:p>
        </w:tc>
        <w:tc>
          <w:tcPr>
            <w:tcW w:w="786" w:type="pct"/>
            <w:tcBorders>
              <w:top w:val="nil"/>
              <w:left w:val="nil"/>
              <w:bottom w:val="single" w:sz="4" w:space="0" w:color="auto"/>
              <w:right w:val="single" w:sz="4" w:space="0" w:color="auto"/>
            </w:tcBorders>
            <w:shd w:val="clear" w:color="auto" w:fill="FFFFFF"/>
            <w:noWrap/>
            <w:vAlign w:val="center"/>
            <w:hideMark/>
          </w:tcPr>
          <w:p w14:paraId="7B186787"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489D2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£140,000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66C2C05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£168,067</w:t>
            </w:r>
          </w:p>
        </w:tc>
      </w:tr>
      <w:tr w:rsidR="00D92C6C" w:rsidRPr="0018000D" w14:paraId="1432F683"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1AE47DF3" w14:textId="77777777" w:rsidR="00D92C6C" w:rsidRPr="0018000D" w:rsidRDefault="00D92C6C" w:rsidP="0018000D">
            <w:pPr>
              <w:contextualSpacing/>
              <w:rPr>
                <w:rFonts w:cs="Times New Roman"/>
                <w:sz w:val="20"/>
                <w:szCs w:val="20"/>
              </w:rPr>
            </w:pPr>
            <w:r w:rsidRPr="0018000D">
              <w:rPr>
                <w:rFonts w:cs="Times New Roman"/>
                <w:sz w:val="20"/>
                <w:szCs w:val="20"/>
              </w:rPr>
              <w:t>Papillary thyroid tumour</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4AC09FC7" w14:textId="77777777" w:rsidR="00D92C6C" w:rsidRPr="0018000D" w:rsidRDefault="00D92C6C" w:rsidP="0018000D">
            <w:pPr>
              <w:contextualSpacing/>
              <w:jc w:val="center"/>
              <w:rPr>
                <w:rFonts w:cs="Times New Roman"/>
                <w:sz w:val="20"/>
                <w:szCs w:val="20"/>
              </w:rPr>
            </w:pPr>
            <w:r w:rsidRPr="0018000D">
              <w:rPr>
                <w:rFonts w:cs="Times New Roman"/>
                <w:sz w:val="20"/>
                <w:szCs w:val="20"/>
              </w:rPr>
              <w:t>7.52</w:t>
            </w:r>
          </w:p>
        </w:tc>
        <w:tc>
          <w:tcPr>
            <w:tcW w:w="786" w:type="pct"/>
            <w:tcBorders>
              <w:top w:val="nil"/>
              <w:left w:val="nil"/>
              <w:bottom w:val="single" w:sz="4" w:space="0" w:color="auto"/>
              <w:right w:val="single" w:sz="4" w:space="0" w:color="auto"/>
            </w:tcBorders>
            <w:shd w:val="clear" w:color="auto" w:fill="FFFFFF"/>
            <w:noWrap/>
            <w:vAlign w:val="center"/>
            <w:hideMark/>
          </w:tcPr>
          <w:p w14:paraId="5ABE8097"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957FEE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£2,632</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1FDA491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£3,159</w:t>
            </w:r>
          </w:p>
        </w:tc>
      </w:tr>
      <w:tr w:rsidR="00D92C6C" w:rsidRPr="0018000D" w14:paraId="228ADF7C"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0227BC70" w14:textId="77777777" w:rsidR="00D92C6C" w:rsidRPr="0018000D" w:rsidRDefault="00D92C6C" w:rsidP="0018000D">
            <w:pPr>
              <w:contextualSpacing/>
              <w:rPr>
                <w:rFonts w:cs="Times New Roman"/>
                <w:sz w:val="20"/>
                <w:szCs w:val="20"/>
              </w:rPr>
            </w:pPr>
            <w:r w:rsidRPr="0018000D">
              <w:rPr>
                <w:rFonts w:cs="Times New Roman"/>
                <w:sz w:val="20"/>
                <w:szCs w:val="20"/>
              </w:rPr>
              <w:t>Paediatric high grade glioma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4974B4AE" w14:textId="77777777" w:rsidR="00D92C6C" w:rsidRPr="0018000D" w:rsidRDefault="00D92C6C" w:rsidP="0018000D">
            <w:pPr>
              <w:contextualSpacing/>
              <w:jc w:val="center"/>
              <w:rPr>
                <w:rFonts w:cs="Times New Roman"/>
                <w:sz w:val="20"/>
                <w:szCs w:val="20"/>
              </w:rPr>
            </w:pPr>
            <w:r w:rsidRPr="0018000D">
              <w:rPr>
                <w:rFonts w:cs="Times New Roman"/>
                <w:sz w:val="20"/>
                <w:szCs w:val="20"/>
              </w:rPr>
              <w:t>23.27</w:t>
            </w:r>
          </w:p>
        </w:tc>
        <w:tc>
          <w:tcPr>
            <w:tcW w:w="786" w:type="pct"/>
            <w:tcBorders>
              <w:top w:val="nil"/>
              <w:left w:val="nil"/>
              <w:bottom w:val="single" w:sz="4" w:space="0" w:color="auto"/>
              <w:right w:val="single" w:sz="4" w:space="0" w:color="auto"/>
            </w:tcBorders>
            <w:shd w:val="clear" w:color="auto" w:fill="FFFFFF"/>
            <w:noWrap/>
            <w:vAlign w:val="center"/>
            <w:hideMark/>
          </w:tcPr>
          <w:p w14:paraId="1D44668F" w14:textId="77777777" w:rsidR="00D92C6C" w:rsidRPr="0018000D" w:rsidRDefault="00D92C6C" w:rsidP="0018000D">
            <w:pPr>
              <w:contextualSpacing/>
              <w:jc w:val="center"/>
              <w:rPr>
                <w:rFonts w:cs="Times New Roman"/>
                <w:sz w:val="20"/>
                <w:szCs w:val="20"/>
              </w:rPr>
            </w:pPr>
            <w:r w:rsidRPr="0018000D">
              <w:rPr>
                <w:rFonts w:cs="Times New Roman"/>
                <w:sz w:val="20"/>
                <w:szCs w:val="20"/>
              </w:rPr>
              <w:t>1.03</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1F4347"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£361</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1E64F800"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£433</w:t>
            </w:r>
          </w:p>
        </w:tc>
      </w:tr>
      <w:tr w:rsidR="00D92C6C" w:rsidRPr="0018000D" w14:paraId="1DBA7067"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44AC5676" w14:textId="77777777" w:rsidR="00D92C6C" w:rsidRPr="0018000D" w:rsidRDefault="00D92C6C" w:rsidP="0018000D">
            <w:pPr>
              <w:contextualSpacing/>
              <w:rPr>
                <w:rFonts w:cs="Times New Roman"/>
                <w:sz w:val="20"/>
                <w:szCs w:val="20"/>
              </w:rPr>
            </w:pPr>
            <w:r w:rsidRPr="0018000D">
              <w:rPr>
                <w:rFonts w:cs="Times New Roman"/>
                <w:sz w:val="20"/>
                <w:szCs w:val="20"/>
              </w:rPr>
              <w:t>Paediatric melanoma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227DD279" w14:textId="77777777" w:rsidR="00D92C6C" w:rsidRPr="0018000D" w:rsidRDefault="00D92C6C" w:rsidP="0018000D">
            <w:pPr>
              <w:contextualSpacing/>
              <w:jc w:val="center"/>
              <w:rPr>
                <w:rFonts w:cs="Times New Roman"/>
                <w:sz w:val="20"/>
                <w:szCs w:val="20"/>
              </w:rPr>
            </w:pPr>
            <w:r w:rsidRPr="0018000D">
              <w:rPr>
                <w:rFonts w:cs="Times New Roman"/>
                <w:sz w:val="20"/>
                <w:szCs w:val="20"/>
              </w:rPr>
              <w:t>11.10</w:t>
            </w:r>
          </w:p>
        </w:tc>
        <w:tc>
          <w:tcPr>
            <w:tcW w:w="786" w:type="pct"/>
            <w:tcBorders>
              <w:top w:val="nil"/>
              <w:left w:val="nil"/>
              <w:bottom w:val="single" w:sz="4" w:space="0" w:color="auto"/>
              <w:right w:val="single" w:sz="4" w:space="0" w:color="auto"/>
            </w:tcBorders>
            <w:shd w:val="clear" w:color="auto" w:fill="FFFFFF"/>
            <w:noWrap/>
            <w:vAlign w:val="center"/>
            <w:hideMark/>
          </w:tcPr>
          <w:p w14:paraId="50002B1F" w14:textId="77777777" w:rsidR="00D92C6C" w:rsidRPr="0018000D" w:rsidRDefault="00D92C6C" w:rsidP="0018000D">
            <w:pPr>
              <w:contextualSpacing/>
              <w:jc w:val="center"/>
              <w:rPr>
                <w:rFonts w:cs="Times New Roman"/>
                <w:sz w:val="20"/>
                <w:szCs w:val="20"/>
              </w:rPr>
            </w:pPr>
            <w:r w:rsidRPr="0018000D">
              <w:rPr>
                <w:rFonts w:cs="Times New Roman"/>
                <w:sz w:val="20"/>
                <w:szCs w:val="20"/>
              </w:rPr>
              <w:t>1.01</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8322D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£355</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0EDBB4F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£426</w:t>
            </w:r>
          </w:p>
        </w:tc>
      </w:tr>
      <w:tr w:rsidR="00D92C6C" w:rsidRPr="0018000D" w14:paraId="4ECD300A"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1476DEE3" w14:textId="77777777" w:rsidR="00D92C6C" w:rsidRPr="0018000D" w:rsidRDefault="00D92C6C" w:rsidP="0018000D">
            <w:pPr>
              <w:contextualSpacing/>
              <w:rPr>
                <w:rFonts w:cs="Times New Roman"/>
                <w:sz w:val="20"/>
                <w:szCs w:val="20"/>
              </w:rPr>
            </w:pPr>
            <w:r w:rsidRPr="0018000D">
              <w:rPr>
                <w:rFonts w:cs="Times New Roman"/>
                <w:sz w:val="20"/>
                <w:szCs w:val="20"/>
              </w:rPr>
              <w:t xml:space="preserve">Prostate </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2F51582C" w14:textId="77777777" w:rsidR="00D92C6C" w:rsidRPr="0018000D" w:rsidRDefault="00D92C6C" w:rsidP="0018000D">
            <w:pPr>
              <w:contextualSpacing/>
              <w:jc w:val="center"/>
              <w:rPr>
                <w:rFonts w:cs="Times New Roman"/>
                <w:sz w:val="20"/>
                <w:szCs w:val="20"/>
              </w:rPr>
            </w:pPr>
            <w:r w:rsidRPr="0018000D">
              <w:rPr>
                <w:rFonts w:cs="Times New Roman"/>
                <w:sz w:val="20"/>
                <w:szCs w:val="20"/>
              </w:rPr>
              <w:t>400.00</w:t>
            </w:r>
          </w:p>
        </w:tc>
        <w:tc>
          <w:tcPr>
            <w:tcW w:w="786" w:type="pct"/>
            <w:tcBorders>
              <w:top w:val="nil"/>
              <w:left w:val="nil"/>
              <w:bottom w:val="single" w:sz="4" w:space="0" w:color="auto"/>
              <w:right w:val="single" w:sz="4" w:space="0" w:color="auto"/>
            </w:tcBorders>
            <w:shd w:val="clear" w:color="auto" w:fill="FFFFFF"/>
            <w:noWrap/>
            <w:vAlign w:val="center"/>
            <w:hideMark/>
          </w:tcPr>
          <w:p w14:paraId="5EB0622E"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B3628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£140,000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0FD739B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£168,067</w:t>
            </w:r>
          </w:p>
        </w:tc>
      </w:tr>
      <w:tr w:rsidR="00D92C6C" w:rsidRPr="0018000D" w14:paraId="44D4D036"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30B8C953" w14:textId="77777777" w:rsidR="00D92C6C" w:rsidRPr="0018000D" w:rsidRDefault="00D92C6C" w:rsidP="0018000D">
            <w:pPr>
              <w:contextualSpacing/>
              <w:rPr>
                <w:rFonts w:cs="Times New Roman"/>
                <w:sz w:val="20"/>
                <w:szCs w:val="20"/>
              </w:rPr>
            </w:pPr>
            <w:r w:rsidRPr="0018000D">
              <w:rPr>
                <w:rFonts w:cs="Times New Roman"/>
                <w:sz w:val="20"/>
                <w:szCs w:val="20"/>
              </w:rPr>
              <w:t>Renal cell carcinoma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3C1038E3" w14:textId="77777777" w:rsidR="00D92C6C" w:rsidRPr="0018000D" w:rsidRDefault="00D92C6C" w:rsidP="0018000D">
            <w:pPr>
              <w:contextualSpacing/>
              <w:jc w:val="center"/>
              <w:rPr>
                <w:rFonts w:cs="Times New Roman"/>
                <w:sz w:val="20"/>
                <w:szCs w:val="20"/>
              </w:rPr>
            </w:pPr>
            <w:r w:rsidRPr="0018000D">
              <w:rPr>
                <w:rFonts w:cs="Times New Roman"/>
                <w:sz w:val="20"/>
                <w:szCs w:val="20"/>
              </w:rPr>
              <w:t>400.00</w:t>
            </w:r>
          </w:p>
        </w:tc>
        <w:tc>
          <w:tcPr>
            <w:tcW w:w="786" w:type="pct"/>
            <w:tcBorders>
              <w:top w:val="nil"/>
              <w:left w:val="nil"/>
              <w:bottom w:val="single" w:sz="4" w:space="0" w:color="auto"/>
              <w:right w:val="single" w:sz="4" w:space="0" w:color="auto"/>
            </w:tcBorders>
            <w:shd w:val="clear" w:color="auto" w:fill="FFFFFF"/>
            <w:noWrap/>
            <w:vAlign w:val="center"/>
            <w:hideMark/>
          </w:tcPr>
          <w:p w14:paraId="55633E18"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52128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£140,000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769ECAB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£168,067</w:t>
            </w:r>
          </w:p>
        </w:tc>
      </w:tr>
      <w:tr w:rsidR="00D92C6C" w:rsidRPr="0018000D" w14:paraId="46F33A34"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334484C1" w14:textId="77777777" w:rsidR="00D92C6C" w:rsidRPr="0018000D" w:rsidRDefault="00D92C6C" w:rsidP="0018000D">
            <w:pPr>
              <w:contextualSpacing/>
              <w:rPr>
                <w:rFonts w:cs="Times New Roman"/>
                <w:sz w:val="20"/>
                <w:szCs w:val="20"/>
              </w:rPr>
            </w:pPr>
            <w:r w:rsidRPr="0018000D">
              <w:rPr>
                <w:rFonts w:cs="Times New Roman"/>
                <w:sz w:val="20"/>
                <w:szCs w:val="20"/>
              </w:rPr>
              <w:t>Salivary gland</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66A5B17C" w14:textId="77777777" w:rsidR="00D92C6C" w:rsidRPr="0018000D" w:rsidRDefault="00D92C6C" w:rsidP="0018000D">
            <w:pPr>
              <w:contextualSpacing/>
              <w:jc w:val="center"/>
              <w:rPr>
                <w:rFonts w:cs="Times New Roman"/>
                <w:sz w:val="20"/>
                <w:szCs w:val="20"/>
              </w:rPr>
            </w:pPr>
            <w:r w:rsidRPr="0018000D">
              <w:rPr>
                <w:rFonts w:cs="Times New Roman"/>
                <w:sz w:val="20"/>
                <w:szCs w:val="20"/>
              </w:rPr>
              <w:t>58.14</w:t>
            </w:r>
          </w:p>
        </w:tc>
        <w:tc>
          <w:tcPr>
            <w:tcW w:w="786" w:type="pct"/>
            <w:tcBorders>
              <w:top w:val="nil"/>
              <w:left w:val="nil"/>
              <w:bottom w:val="single" w:sz="4" w:space="0" w:color="auto"/>
              <w:right w:val="single" w:sz="4" w:space="0" w:color="auto"/>
            </w:tcBorders>
            <w:shd w:val="clear" w:color="auto" w:fill="FFFFFF"/>
            <w:noWrap/>
            <w:vAlign w:val="center"/>
            <w:hideMark/>
          </w:tcPr>
          <w:p w14:paraId="7D96C5EC"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33F3C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£20,349</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101D1675"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£24,428</w:t>
            </w:r>
          </w:p>
        </w:tc>
      </w:tr>
      <w:tr w:rsidR="00D92C6C" w:rsidRPr="0018000D" w14:paraId="4D54E238"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7C0CC377" w14:textId="77777777" w:rsidR="00D92C6C" w:rsidRPr="0018000D" w:rsidRDefault="00D92C6C" w:rsidP="0018000D">
            <w:pPr>
              <w:contextualSpacing/>
              <w:rPr>
                <w:rFonts w:cs="Times New Roman"/>
                <w:sz w:val="20"/>
                <w:szCs w:val="20"/>
              </w:rPr>
            </w:pPr>
            <w:r w:rsidRPr="0018000D">
              <w:rPr>
                <w:rFonts w:cs="Times New Roman"/>
                <w:sz w:val="20"/>
                <w:szCs w:val="20"/>
              </w:rPr>
              <w:t>Secretory breast carcinoma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10B39FA0" w14:textId="77777777" w:rsidR="00D92C6C" w:rsidRPr="0018000D" w:rsidRDefault="00D92C6C" w:rsidP="0018000D">
            <w:pPr>
              <w:contextualSpacing/>
              <w:jc w:val="center"/>
              <w:rPr>
                <w:rFonts w:cs="Times New Roman"/>
                <w:sz w:val="20"/>
                <w:szCs w:val="20"/>
              </w:rPr>
            </w:pPr>
            <w:r w:rsidRPr="0018000D">
              <w:rPr>
                <w:rFonts w:cs="Times New Roman"/>
                <w:sz w:val="20"/>
                <w:szCs w:val="20"/>
              </w:rPr>
              <w:t>1.09</w:t>
            </w:r>
          </w:p>
        </w:tc>
        <w:tc>
          <w:tcPr>
            <w:tcW w:w="786" w:type="pct"/>
            <w:tcBorders>
              <w:top w:val="nil"/>
              <w:left w:val="nil"/>
              <w:bottom w:val="single" w:sz="4" w:space="0" w:color="auto"/>
              <w:right w:val="single" w:sz="4" w:space="0" w:color="auto"/>
            </w:tcBorders>
            <w:shd w:val="clear" w:color="auto" w:fill="FFFFFF"/>
            <w:noWrap/>
            <w:vAlign w:val="center"/>
            <w:hideMark/>
          </w:tcPr>
          <w:p w14:paraId="55FF661C"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1FD27B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£218</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27E9BF1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£262</w:t>
            </w:r>
          </w:p>
        </w:tc>
      </w:tr>
      <w:tr w:rsidR="00D92C6C" w:rsidRPr="0018000D" w14:paraId="4E9DED50"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4C776AC4" w14:textId="77777777" w:rsidR="00D92C6C" w:rsidRPr="0018000D" w:rsidRDefault="00D92C6C" w:rsidP="0018000D">
            <w:pPr>
              <w:contextualSpacing/>
              <w:rPr>
                <w:rFonts w:cs="Times New Roman"/>
                <w:sz w:val="20"/>
                <w:szCs w:val="20"/>
              </w:rPr>
            </w:pPr>
            <w:r w:rsidRPr="0018000D">
              <w:rPr>
                <w:rFonts w:cs="Times New Roman"/>
                <w:sz w:val="20"/>
                <w:szCs w:val="20"/>
              </w:rPr>
              <w:t>Sinonasal adenocarcinoma</w:t>
            </w:r>
          </w:p>
        </w:tc>
        <w:tc>
          <w:tcPr>
            <w:tcW w:w="864" w:type="pct"/>
            <w:tcBorders>
              <w:top w:val="nil"/>
              <w:left w:val="single" w:sz="4" w:space="0" w:color="auto"/>
              <w:bottom w:val="single" w:sz="4" w:space="0" w:color="auto"/>
              <w:right w:val="single" w:sz="4" w:space="0" w:color="auto"/>
            </w:tcBorders>
            <w:shd w:val="clear" w:color="auto" w:fill="FFFFFF"/>
            <w:noWrap/>
            <w:vAlign w:val="center"/>
            <w:hideMark/>
          </w:tcPr>
          <w:p w14:paraId="1C47B4AD" w14:textId="77777777" w:rsidR="00D92C6C" w:rsidRPr="0018000D" w:rsidRDefault="00D92C6C" w:rsidP="0018000D">
            <w:pPr>
              <w:contextualSpacing/>
              <w:jc w:val="center"/>
              <w:rPr>
                <w:rFonts w:cs="Times New Roman"/>
                <w:sz w:val="20"/>
                <w:szCs w:val="20"/>
              </w:rPr>
            </w:pPr>
            <w:r w:rsidRPr="0018000D">
              <w:rPr>
                <w:rFonts w:cs="Times New Roman"/>
                <w:sz w:val="20"/>
                <w:szCs w:val="20"/>
              </w:rPr>
              <w:t>400.00</w:t>
            </w:r>
          </w:p>
        </w:tc>
        <w:tc>
          <w:tcPr>
            <w:tcW w:w="786" w:type="pct"/>
            <w:tcBorders>
              <w:top w:val="nil"/>
              <w:left w:val="nil"/>
              <w:bottom w:val="single" w:sz="4" w:space="0" w:color="auto"/>
              <w:right w:val="single" w:sz="4" w:space="0" w:color="auto"/>
            </w:tcBorders>
            <w:shd w:val="clear" w:color="auto" w:fill="FFFFFF"/>
            <w:noWrap/>
            <w:vAlign w:val="center"/>
            <w:hideMark/>
          </w:tcPr>
          <w:p w14:paraId="05EB11AA"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6115EC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£140,000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036ED995"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£168,067</w:t>
            </w:r>
          </w:p>
        </w:tc>
      </w:tr>
      <w:tr w:rsidR="00D92C6C" w:rsidRPr="0018000D" w14:paraId="7415E5D3" w14:textId="77777777" w:rsidTr="00D92C6C">
        <w:trPr>
          <w:trHeight w:val="227"/>
          <w:jc w:val="center"/>
        </w:trPr>
        <w:tc>
          <w:tcPr>
            <w:tcW w:w="1491" w:type="pct"/>
            <w:tcBorders>
              <w:top w:val="single" w:sz="4" w:space="0" w:color="auto"/>
              <w:left w:val="single" w:sz="4" w:space="0" w:color="auto"/>
              <w:bottom w:val="single" w:sz="4" w:space="0" w:color="auto"/>
              <w:right w:val="single" w:sz="4" w:space="0" w:color="auto"/>
            </w:tcBorders>
            <w:hideMark/>
          </w:tcPr>
          <w:p w14:paraId="1BA5FB25" w14:textId="77777777" w:rsidR="00D92C6C" w:rsidRPr="0018000D" w:rsidRDefault="00D92C6C" w:rsidP="0018000D">
            <w:pPr>
              <w:contextualSpacing/>
              <w:rPr>
                <w:rFonts w:cs="Times New Roman"/>
                <w:sz w:val="20"/>
                <w:szCs w:val="20"/>
              </w:rPr>
            </w:pPr>
            <w:r w:rsidRPr="0018000D">
              <w:rPr>
                <w:rFonts w:cs="Times New Roman"/>
                <w:sz w:val="20"/>
                <w:szCs w:val="20"/>
              </w:rPr>
              <w:t>Uterine</w:t>
            </w:r>
          </w:p>
        </w:tc>
        <w:tc>
          <w:tcPr>
            <w:tcW w:w="864" w:type="pct"/>
            <w:tcBorders>
              <w:top w:val="nil"/>
              <w:left w:val="single" w:sz="4" w:space="0" w:color="auto"/>
              <w:bottom w:val="single" w:sz="8" w:space="0" w:color="auto"/>
              <w:right w:val="single" w:sz="4" w:space="0" w:color="auto"/>
            </w:tcBorders>
            <w:shd w:val="clear" w:color="auto" w:fill="FFFFFF"/>
            <w:noWrap/>
            <w:vAlign w:val="center"/>
            <w:hideMark/>
          </w:tcPr>
          <w:p w14:paraId="49A06F31" w14:textId="77777777" w:rsidR="00D92C6C" w:rsidRPr="0018000D" w:rsidRDefault="00D92C6C" w:rsidP="0018000D">
            <w:pPr>
              <w:contextualSpacing/>
              <w:jc w:val="center"/>
              <w:rPr>
                <w:rFonts w:cs="Times New Roman"/>
                <w:sz w:val="20"/>
                <w:szCs w:val="20"/>
              </w:rPr>
            </w:pPr>
            <w:r w:rsidRPr="0018000D">
              <w:rPr>
                <w:rFonts w:cs="Times New Roman"/>
                <w:sz w:val="20"/>
                <w:szCs w:val="20"/>
              </w:rPr>
              <w:t>1000.00</w:t>
            </w:r>
          </w:p>
        </w:tc>
        <w:tc>
          <w:tcPr>
            <w:tcW w:w="786" w:type="pct"/>
            <w:tcBorders>
              <w:top w:val="nil"/>
              <w:left w:val="nil"/>
              <w:bottom w:val="single" w:sz="8" w:space="0" w:color="auto"/>
              <w:right w:val="single" w:sz="4" w:space="0" w:color="auto"/>
            </w:tcBorders>
            <w:shd w:val="clear" w:color="auto" w:fill="FFFFFF"/>
            <w:noWrap/>
            <w:vAlign w:val="center"/>
            <w:hideMark/>
          </w:tcPr>
          <w:p w14:paraId="2AD67FD9" w14:textId="77777777" w:rsidR="00D92C6C" w:rsidRPr="0018000D" w:rsidRDefault="00D92C6C" w:rsidP="0018000D">
            <w:pPr>
              <w:contextualSpacing/>
              <w:jc w:val="center"/>
              <w:rPr>
                <w:rFonts w:cs="Times New Roman"/>
                <w:sz w:val="20"/>
                <w:szCs w:val="20"/>
              </w:rPr>
            </w:pPr>
            <w:r w:rsidRPr="0018000D">
              <w:rPr>
                <w:rFonts w:cs="Times New Roman"/>
                <w:sz w:val="20"/>
                <w:szCs w:val="20"/>
              </w:rPr>
              <w:t>0.00</w:t>
            </w:r>
          </w:p>
        </w:tc>
        <w:tc>
          <w:tcPr>
            <w:tcW w:w="86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3618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£350,000</w:t>
            </w:r>
          </w:p>
        </w:tc>
        <w:tc>
          <w:tcPr>
            <w:tcW w:w="994" w:type="pct"/>
            <w:tcBorders>
              <w:top w:val="nil"/>
              <w:left w:val="nil"/>
              <w:bottom w:val="single" w:sz="4" w:space="0" w:color="auto"/>
              <w:right w:val="single" w:sz="8" w:space="0" w:color="auto"/>
            </w:tcBorders>
            <w:shd w:val="clear" w:color="auto" w:fill="FFFFFF" w:themeFill="background1"/>
            <w:noWrap/>
            <w:vAlign w:val="center"/>
            <w:hideMark/>
          </w:tcPr>
          <w:p w14:paraId="70F14CA2"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£420,168</w:t>
            </w:r>
          </w:p>
        </w:tc>
      </w:tr>
    </w:tbl>
    <w:p w14:paraId="19D3A9CA" w14:textId="77777777" w:rsidR="003E53FD" w:rsidRPr="003E53FD" w:rsidRDefault="003E53FD" w:rsidP="003E53FD"/>
    <w:p w14:paraId="153691B8" w14:textId="6B581968" w:rsidR="00D765F4" w:rsidRPr="002D1DD7" w:rsidRDefault="00D765F4" w:rsidP="0018000D">
      <w:pPr>
        <w:pStyle w:val="Heading5"/>
      </w:pPr>
      <w:r w:rsidRPr="002D1DD7">
        <w:t>Exhaustive Approach</w:t>
      </w:r>
      <w:r w:rsidR="00472C36" w:rsidRPr="002D1DD7">
        <w:t>: t</w:t>
      </w:r>
      <w:r w:rsidR="00A67742">
        <w:t>reating</w:t>
      </w:r>
      <w:r w:rsidR="00472C36" w:rsidRPr="002D1DD7">
        <w:t xml:space="preserve"> at diagnosis</w:t>
      </w:r>
    </w:p>
    <w:p w14:paraId="61BEBFDF" w14:textId="6DE5CA6D" w:rsidR="0009369F" w:rsidRDefault="00D765F4" w:rsidP="0018000D">
      <w:r w:rsidRPr="002D1DD7">
        <w:t xml:space="preserve">Under the most exhaustive approach where DNA-based NGS is used as a first-line test, followed by confirmatory NGS, the incremental costs of testing are significantly higher than under the other two strategies. The current reimbursement of WGS, the incremental cost associated with identifying an individual who is eligible for a Trk-inhibitor is lowest in </w:t>
      </w:r>
      <w:r w:rsidR="00AD35FE">
        <w:t xml:space="preserve">IFS </w:t>
      </w:r>
      <w:r w:rsidRPr="002D1DD7">
        <w:t>(£350). As there is no genomic testing current</w:t>
      </w:r>
      <w:r w:rsidR="00AD35FE">
        <w:t>ly available for patients with c</w:t>
      </w:r>
      <w:r w:rsidRPr="002D1DD7">
        <w:t>holangiocarcinoma, identifying one patient eligible for a Trk-inhibitor is the most costly (£739,827) within the trial population. Based on the distribution of tumour types within the trial, the average incremental testing costs associated with identifying one individual eligible for treatment equals £</w:t>
      </w:r>
      <w:r w:rsidR="00E467CF">
        <w:t>133,601</w:t>
      </w:r>
      <w:r w:rsidR="0018000D">
        <w:t>.</w:t>
      </w:r>
    </w:p>
    <w:p w14:paraId="69810BAB" w14:textId="350EC236" w:rsidR="00D765F4" w:rsidRPr="002D1DD7" w:rsidRDefault="00D765F4" w:rsidP="00D765F4">
      <w:pPr>
        <w:spacing w:before="240"/>
        <w:rPr>
          <w:rFonts w:cs="Times New Roman"/>
        </w:rPr>
      </w:pPr>
      <w:r w:rsidRPr="002D1DD7">
        <w:rPr>
          <w:rFonts w:cs="Times New Roman"/>
        </w:rPr>
        <w:t xml:space="preserve">Under the </w:t>
      </w:r>
      <w:r w:rsidR="0090558D" w:rsidRPr="002D1DD7">
        <w:rPr>
          <w:rFonts w:cs="Times New Roman"/>
        </w:rPr>
        <w:t>real-world</w:t>
      </w:r>
      <w:r w:rsidRPr="002D1DD7">
        <w:rPr>
          <w:rFonts w:cs="Times New Roman"/>
        </w:rPr>
        <w:t xml:space="preserve"> distribution</w:t>
      </w:r>
      <w:r w:rsidR="000741CA">
        <w:rPr>
          <w:rFonts w:cs="Times New Roman"/>
        </w:rPr>
        <w:t>,</w:t>
      </w:r>
      <w:r w:rsidRPr="002D1DD7">
        <w:rPr>
          <w:rFonts w:cs="Times New Roman"/>
        </w:rPr>
        <w:t xml:space="preserve"> this increases £</w:t>
      </w:r>
      <w:r w:rsidR="00E467CF">
        <w:rPr>
          <w:rFonts w:cs="Times New Roman"/>
        </w:rPr>
        <w:t>205,652</w:t>
      </w:r>
      <w:r w:rsidRPr="002D1DD7">
        <w:rPr>
          <w:rFonts w:cs="Times New Roman"/>
        </w:rPr>
        <w:t xml:space="preserve"> per patient identified. The average incremental cost to identify one individual eligible for treatment, including the tumour types unrep</w:t>
      </w:r>
      <w:r w:rsidR="00B0116C" w:rsidRPr="002D1DD7">
        <w:rPr>
          <w:rFonts w:cs="Times New Roman"/>
        </w:rPr>
        <w:t>resented in the trial is £</w:t>
      </w:r>
      <w:r w:rsidR="00E467CF">
        <w:rPr>
          <w:rFonts w:cs="Times New Roman"/>
        </w:rPr>
        <w:t>198,993</w:t>
      </w:r>
      <w:r w:rsidRPr="002D1DD7">
        <w:rPr>
          <w:rFonts w:cs="Times New Roman"/>
        </w:rPr>
        <w:t>. The associated ICER was £</w:t>
      </w:r>
      <w:r w:rsidR="00E467CF">
        <w:rPr>
          <w:rFonts w:cs="Times New Roman"/>
        </w:rPr>
        <w:t>238,887</w:t>
      </w:r>
      <w:r w:rsidR="00FC01B1">
        <w:rPr>
          <w:rFonts w:cs="Times New Roman"/>
        </w:rPr>
        <w:t xml:space="preserve"> </w:t>
      </w:r>
      <w:r w:rsidRPr="002D1DD7">
        <w:rPr>
          <w:rFonts w:cs="Times New Roman"/>
        </w:rPr>
        <w:t xml:space="preserve">per QALY gained. </w:t>
      </w:r>
    </w:p>
    <w:p w14:paraId="17A3E9FB" w14:textId="6D999623" w:rsidR="00FC01B1" w:rsidRDefault="00D765F4" w:rsidP="0018000D">
      <w:pPr>
        <w:pStyle w:val="Caption"/>
      </w:pPr>
      <w:bookmarkStart w:id="207" w:name="_Ref26799969"/>
      <w:bookmarkStart w:id="208" w:name="_Toc34033535"/>
      <w:r w:rsidRPr="002D1DD7">
        <w:t xml:space="preserve">Table </w:t>
      </w:r>
      <w:r w:rsidR="00C974E5">
        <w:fldChar w:fldCharType="begin"/>
      </w:r>
      <w:r w:rsidR="00C974E5">
        <w:instrText xml:space="preserve"> SEQ Table \* ARABIC </w:instrText>
      </w:r>
      <w:r w:rsidR="00C974E5">
        <w:fldChar w:fldCharType="separate"/>
      </w:r>
      <w:r w:rsidR="00C9471F">
        <w:rPr>
          <w:noProof/>
        </w:rPr>
        <w:t>21</w:t>
      </w:r>
      <w:r w:rsidR="00C974E5">
        <w:rPr>
          <w:noProof/>
        </w:rPr>
        <w:fldChar w:fldCharType="end"/>
      </w:r>
      <w:bookmarkEnd w:id="207"/>
      <w:r w:rsidRPr="002D1DD7">
        <w:t xml:space="preserve">: </w:t>
      </w:r>
      <w:r w:rsidR="00DA4314" w:rsidRPr="002D1DD7">
        <w:t>Summary of NNS and testing cost under ex</w:t>
      </w:r>
      <w:r w:rsidRPr="002D1DD7">
        <w:t>haustive testing strategy</w:t>
      </w:r>
      <w:bookmarkEnd w:id="208"/>
    </w:p>
    <w:tbl>
      <w:tblPr>
        <w:tblStyle w:val="TableGrid"/>
        <w:tblW w:w="5107" w:type="pct"/>
        <w:jc w:val="center"/>
        <w:tblLook w:val="04A0" w:firstRow="1" w:lastRow="0" w:firstColumn="1" w:lastColumn="0" w:noHBand="0" w:noVBand="1"/>
      </w:tblPr>
      <w:tblGrid>
        <w:gridCol w:w="2695"/>
        <w:gridCol w:w="1558"/>
        <w:gridCol w:w="1418"/>
        <w:gridCol w:w="1764"/>
        <w:gridCol w:w="1774"/>
      </w:tblGrid>
      <w:tr w:rsidR="00D92C6C" w:rsidRPr="0018000D" w14:paraId="5B443B9B" w14:textId="77777777" w:rsidTr="00D92C6C">
        <w:trPr>
          <w:trHeight w:val="416"/>
          <w:jc w:val="center"/>
        </w:trPr>
        <w:tc>
          <w:tcPr>
            <w:tcW w:w="1463" w:type="pct"/>
            <w:vMerge w:val="restart"/>
            <w:tcBorders>
              <w:top w:val="single" w:sz="4" w:space="0" w:color="auto"/>
              <w:left w:val="single" w:sz="4" w:space="0" w:color="auto"/>
              <w:bottom w:val="single" w:sz="4" w:space="0" w:color="auto"/>
              <w:right w:val="single" w:sz="4" w:space="0" w:color="auto"/>
            </w:tcBorders>
            <w:vAlign w:val="center"/>
            <w:hideMark/>
          </w:tcPr>
          <w:p w14:paraId="2DC9A38E" w14:textId="77777777" w:rsidR="00D92C6C" w:rsidRPr="0018000D" w:rsidRDefault="00D92C6C" w:rsidP="0018000D">
            <w:pPr>
              <w:contextualSpacing/>
              <w:jc w:val="center"/>
              <w:rPr>
                <w:rFonts w:eastAsia="Times New Roman" w:cs="Times New Roman"/>
                <w:b/>
                <w:sz w:val="20"/>
                <w:szCs w:val="20"/>
              </w:rPr>
            </w:pPr>
            <w:r w:rsidRPr="0018000D">
              <w:rPr>
                <w:rFonts w:eastAsia="Times New Roman" w:cs="Times New Roman"/>
                <w:b/>
                <w:sz w:val="20"/>
                <w:szCs w:val="20"/>
              </w:rPr>
              <w:t>Tumour Type</w:t>
            </w:r>
          </w:p>
        </w:tc>
        <w:tc>
          <w:tcPr>
            <w:tcW w:w="1616" w:type="pct"/>
            <w:gridSpan w:val="2"/>
            <w:tcBorders>
              <w:top w:val="single" w:sz="4" w:space="0" w:color="auto"/>
              <w:left w:val="single" w:sz="4" w:space="0" w:color="auto"/>
              <w:bottom w:val="single" w:sz="4" w:space="0" w:color="auto"/>
              <w:right w:val="single" w:sz="4" w:space="0" w:color="auto"/>
            </w:tcBorders>
            <w:vAlign w:val="center"/>
            <w:hideMark/>
          </w:tcPr>
          <w:p w14:paraId="2B943A15" w14:textId="77777777" w:rsidR="00D92C6C" w:rsidRPr="0018000D" w:rsidRDefault="00D92C6C" w:rsidP="0018000D">
            <w:pPr>
              <w:contextualSpacing/>
              <w:jc w:val="center"/>
              <w:rPr>
                <w:rFonts w:eastAsia="Times New Roman" w:cs="Times New Roman"/>
                <w:b/>
                <w:sz w:val="20"/>
                <w:szCs w:val="20"/>
              </w:rPr>
            </w:pPr>
            <w:r w:rsidRPr="0018000D">
              <w:rPr>
                <w:rFonts w:eastAsia="Times New Roman" w:cs="Times New Roman"/>
                <w:b/>
                <w:sz w:val="20"/>
                <w:szCs w:val="20"/>
              </w:rPr>
              <w:t>Number Needed to Screen</w:t>
            </w:r>
          </w:p>
        </w:tc>
        <w:tc>
          <w:tcPr>
            <w:tcW w:w="958" w:type="pct"/>
            <w:vMerge w:val="restart"/>
            <w:tcBorders>
              <w:top w:val="single" w:sz="4" w:space="0" w:color="auto"/>
              <w:left w:val="single" w:sz="4" w:space="0" w:color="auto"/>
              <w:bottom w:val="single" w:sz="4" w:space="0" w:color="auto"/>
              <w:right w:val="single" w:sz="4" w:space="0" w:color="auto"/>
            </w:tcBorders>
            <w:vAlign w:val="center"/>
            <w:hideMark/>
          </w:tcPr>
          <w:p w14:paraId="7084F3A5" w14:textId="77777777" w:rsidR="00D92C6C" w:rsidRPr="0018000D" w:rsidRDefault="00D92C6C" w:rsidP="0018000D">
            <w:pPr>
              <w:contextualSpacing/>
              <w:jc w:val="center"/>
              <w:rPr>
                <w:rFonts w:eastAsia="Times New Roman" w:cs="Times New Roman"/>
                <w:b/>
                <w:sz w:val="20"/>
                <w:szCs w:val="20"/>
              </w:rPr>
            </w:pPr>
            <w:r w:rsidRPr="0018000D">
              <w:rPr>
                <w:rFonts w:eastAsia="Times New Roman" w:cs="Times New Roman"/>
                <w:b/>
                <w:sz w:val="20"/>
                <w:szCs w:val="20"/>
              </w:rPr>
              <w:t>Incremental Cost to identify one patient</w:t>
            </w:r>
          </w:p>
        </w:tc>
        <w:tc>
          <w:tcPr>
            <w:tcW w:w="963" w:type="pct"/>
            <w:vMerge w:val="restart"/>
            <w:tcBorders>
              <w:top w:val="single" w:sz="4" w:space="0" w:color="auto"/>
              <w:left w:val="single" w:sz="4" w:space="0" w:color="auto"/>
              <w:bottom w:val="single" w:sz="4" w:space="0" w:color="auto"/>
              <w:right w:val="single" w:sz="4" w:space="0" w:color="auto"/>
            </w:tcBorders>
            <w:vAlign w:val="center"/>
            <w:hideMark/>
          </w:tcPr>
          <w:p w14:paraId="3783EDBD" w14:textId="27F1AAF3" w:rsidR="00D92C6C" w:rsidRPr="0018000D" w:rsidRDefault="00D92C6C" w:rsidP="0018000D">
            <w:pPr>
              <w:contextualSpacing/>
              <w:jc w:val="center"/>
              <w:rPr>
                <w:rFonts w:eastAsia="Times New Roman" w:cs="Times New Roman"/>
                <w:b/>
                <w:sz w:val="20"/>
                <w:szCs w:val="20"/>
              </w:rPr>
            </w:pPr>
            <w:r w:rsidRPr="0018000D">
              <w:rPr>
                <w:rFonts w:eastAsia="Times New Roman" w:cs="Times New Roman"/>
                <w:b/>
                <w:sz w:val="20"/>
                <w:szCs w:val="20"/>
              </w:rPr>
              <w:t xml:space="preserve">Incremental </w:t>
            </w:r>
            <w:r w:rsidR="009D6CA1">
              <w:rPr>
                <w:rFonts w:eastAsia="Times New Roman" w:cs="Times New Roman"/>
                <w:b/>
                <w:sz w:val="20"/>
                <w:szCs w:val="20"/>
              </w:rPr>
              <w:t>Cost-effective</w:t>
            </w:r>
            <w:r w:rsidRPr="0018000D">
              <w:rPr>
                <w:rFonts w:eastAsia="Times New Roman" w:cs="Times New Roman"/>
                <w:b/>
                <w:sz w:val="20"/>
                <w:szCs w:val="20"/>
              </w:rPr>
              <w:t>ness Ratio</w:t>
            </w:r>
          </w:p>
        </w:tc>
      </w:tr>
      <w:tr w:rsidR="00D92C6C" w:rsidRPr="0018000D" w14:paraId="32C2BD5C" w14:textId="77777777" w:rsidTr="00D92C6C">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FA23E" w14:textId="77777777" w:rsidR="00D92C6C" w:rsidRPr="0018000D" w:rsidRDefault="00D92C6C" w:rsidP="0018000D">
            <w:pPr>
              <w:spacing w:before="0" w:after="0"/>
              <w:contextualSpacing/>
              <w:rPr>
                <w:rFonts w:eastAsia="Times New Roman" w:cs="Times New Roman"/>
                <w:b/>
                <w:sz w:val="20"/>
                <w:szCs w:val="20"/>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63F004CE" w14:textId="77777777" w:rsidR="00D92C6C" w:rsidRPr="0018000D" w:rsidRDefault="00D92C6C" w:rsidP="0018000D">
            <w:pPr>
              <w:contextualSpacing/>
              <w:jc w:val="center"/>
              <w:rPr>
                <w:rFonts w:eastAsia="Times New Roman" w:cs="Times New Roman"/>
                <w:b/>
                <w:sz w:val="20"/>
                <w:szCs w:val="20"/>
              </w:rPr>
            </w:pPr>
            <w:r w:rsidRPr="0018000D">
              <w:rPr>
                <w:rFonts w:eastAsia="Times New Roman" w:cs="Times New Roman"/>
                <w:b/>
                <w:sz w:val="20"/>
                <w:szCs w:val="20"/>
              </w:rPr>
              <w:t>First Line</w:t>
            </w:r>
          </w:p>
        </w:tc>
        <w:tc>
          <w:tcPr>
            <w:tcW w:w="770" w:type="pct"/>
            <w:tcBorders>
              <w:top w:val="single" w:sz="4" w:space="0" w:color="auto"/>
              <w:left w:val="single" w:sz="4" w:space="0" w:color="auto"/>
              <w:bottom w:val="single" w:sz="4" w:space="0" w:color="auto"/>
              <w:right w:val="single" w:sz="4" w:space="0" w:color="auto"/>
            </w:tcBorders>
            <w:vAlign w:val="center"/>
            <w:hideMark/>
          </w:tcPr>
          <w:p w14:paraId="09F53C57" w14:textId="77777777" w:rsidR="00D92C6C" w:rsidRPr="0018000D" w:rsidRDefault="00D92C6C" w:rsidP="0018000D">
            <w:pPr>
              <w:contextualSpacing/>
              <w:jc w:val="center"/>
              <w:rPr>
                <w:rFonts w:eastAsia="Times New Roman" w:cs="Times New Roman"/>
                <w:b/>
                <w:sz w:val="20"/>
                <w:szCs w:val="20"/>
              </w:rPr>
            </w:pPr>
            <w:r w:rsidRPr="0018000D">
              <w:rPr>
                <w:rFonts w:eastAsia="Times New Roman" w:cs="Times New Roman"/>
                <w:b/>
                <w:sz w:val="20"/>
                <w:szCs w:val="20"/>
              </w:rPr>
              <w:t>Confirmatory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87F7E" w14:textId="77777777" w:rsidR="00D92C6C" w:rsidRPr="0018000D" w:rsidRDefault="00D92C6C" w:rsidP="0018000D">
            <w:pPr>
              <w:spacing w:before="0" w:after="0"/>
              <w:contextualSpacing/>
              <w:rPr>
                <w:rFonts w:eastAsia="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FCCDA" w14:textId="77777777" w:rsidR="00D92C6C" w:rsidRPr="0018000D" w:rsidRDefault="00D92C6C" w:rsidP="0018000D">
            <w:pPr>
              <w:spacing w:before="0" w:after="0"/>
              <w:contextualSpacing/>
              <w:rPr>
                <w:rFonts w:eastAsia="Times New Roman" w:cs="Times New Roman"/>
                <w:b/>
                <w:sz w:val="20"/>
                <w:szCs w:val="20"/>
              </w:rPr>
            </w:pPr>
          </w:p>
        </w:tc>
      </w:tr>
      <w:tr w:rsidR="00D92C6C" w:rsidRPr="0018000D" w14:paraId="0837FC9D" w14:textId="77777777" w:rsidTr="00D92C6C">
        <w:trPr>
          <w:trHeight w:val="239"/>
          <w:jc w:val="cent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noWrap/>
            <w:hideMark/>
          </w:tcPr>
          <w:p w14:paraId="73E7370E" w14:textId="77777777" w:rsidR="00D92C6C" w:rsidRPr="0018000D" w:rsidRDefault="00D92C6C" w:rsidP="0018000D">
            <w:pPr>
              <w:contextualSpacing/>
              <w:rPr>
                <w:rFonts w:eastAsia="Times New Roman" w:cs="Times New Roman"/>
                <w:b/>
                <w:sz w:val="20"/>
                <w:szCs w:val="20"/>
              </w:rPr>
            </w:pPr>
            <w:r w:rsidRPr="0018000D">
              <w:rPr>
                <w:rFonts w:cs="Times New Roman"/>
                <w:b/>
                <w:sz w:val="20"/>
                <w:szCs w:val="20"/>
              </w:rPr>
              <w:t>Tumours in trial</w:t>
            </w:r>
          </w:p>
        </w:tc>
      </w:tr>
      <w:tr w:rsidR="00D92C6C" w:rsidRPr="0018000D" w14:paraId="67043591"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66E2D57F"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Appendix</w:t>
            </w:r>
          </w:p>
        </w:tc>
        <w:tc>
          <w:tcPr>
            <w:tcW w:w="846" w:type="pct"/>
            <w:tcBorders>
              <w:top w:val="single" w:sz="8" w:space="0" w:color="auto"/>
              <w:left w:val="single" w:sz="4" w:space="0" w:color="auto"/>
              <w:bottom w:val="single" w:sz="4" w:space="0" w:color="auto"/>
              <w:right w:val="single" w:sz="4" w:space="0" w:color="auto"/>
            </w:tcBorders>
            <w:shd w:val="clear" w:color="auto" w:fill="FFFFFF"/>
            <w:noWrap/>
            <w:vAlign w:val="center"/>
            <w:hideMark/>
          </w:tcPr>
          <w:p w14:paraId="27254766" w14:textId="77777777" w:rsidR="00D92C6C" w:rsidRPr="0018000D" w:rsidRDefault="00D92C6C" w:rsidP="0018000D">
            <w:pPr>
              <w:contextualSpacing/>
              <w:jc w:val="center"/>
              <w:rPr>
                <w:rFonts w:cs="Times New Roman"/>
                <w:sz w:val="20"/>
                <w:szCs w:val="20"/>
              </w:rPr>
            </w:pPr>
            <w:r w:rsidRPr="0018000D">
              <w:rPr>
                <w:rFonts w:cs="Times New Roman"/>
                <w:sz w:val="20"/>
                <w:szCs w:val="20"/>
              </w:rPr>
              <w:t>30.83</w:t>
            </w:r>
          </w:p>
        </w:tc>
        <w:tc>
          <w:tcPr>
            <w:tcW w:w="770" w:type="pct"/>
            <w:tcBorders>
              <w:top w:val="single" w:sz="8" w:space="0" w:color="auto"/>
              <w:left w:val="nil"/>
              <w:bottom w:val="single" w:sz="4" w:space="0" w:color="auto"/>
              <w:right w:val="single" w:sz="4" w:space="0" w:color="auto"/>
            </w:tcBorders>
            <w:shd w:val="clear" w:color="auto" w:fill="FFFFFF"/>
            <w:noWrap/>
            <w:vAlign w:val="center"/>
            <w:hideMark/>
          </w:tcPr>
          <w:p w14:paraId="5C30DADC" w14:textId="77777777" w:rsidR="00D92C6C" w:rsidRPr="0018000D" w:rsidRDefault="00D92C6C" w:rsidP="0018000D">
            <w:pPr>
              <w:contextualSpacing/>
              <w:jc w:val="center"/>
              <w:rPr>
                <w:rFonts w:cs="Times New Roman"/>
                <w:sz w:val="20"/>
                <w:szCs w:val="20"/>
              </w:rPr>
            </w:pPr>
            <w:r w:rsidRPr="0018000D">
              <w:rPr>
                <w:rFonts w:cs="Times New Roman"/>
                <w:sz w:val="20"/>
                <w:szCs w:val="20"/>
              </w:rPr>
              <w:t>1.04</w:t>
            </w:r>
          </w:p>
        </w:tc>
        <w:tc>
          <w:tcPr>
            <w:tcW w:w="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91CB6" w14:textId="71BAA201" w:rsidR="00D92C6C" w:rsidRPr="0018000D" w:rsidRDefault="00CC4B0A" w:rsidP="00C57296">
            <w:pPr>
              <w:contextualSpacing/>
              <w:jc w:val="center"/>
              <w:rPr>
                <w:rFonts w:cs="Times New Roman"/>
                <w:sz w:val="20"/>
                <w:szCs w:val="20"/>
              </w:rPr>
            </w:pPr>
            <w:r>
              <w:rPr>
                <w:rFonts w:cs="Times New Roman"/>
                <w:color w:val="000000"/>
                <w:sz w:val="20"/>
                <w:szCs w:val="20"/>
              </w:rPr>
              <w:t>£18,49</w:t>
            </w:r>
            <w:r w:rsidR="00C57296">
              <w:rPr>
                <w:rFonts w:cs="Times New Roman"/>
                <w:color w:val="000000"/>
                <w:sz w:val="20"/>
                <w:szCs w:val="20"/>
              </w:rPr>
              <w:t>8</w:t>
            </w:r>
          </w:p>
        </w:tc>
        <w:tc>
          <w:tcPr>
            <w:tcW w:w="963" w:type="pct"/>
            <w:tcBorders>
              <w:top w:val="single" w:sz="4" w:space="0" w:color="auto"/>
              <w:left w:val="nil"/>
              <w:bottom w:val="single" w:sz="4" w:space="0" w:color="auto"/>
              <w:right w:val="single" w:sz="8" w:space="0" w:color="auto"/>
            </w:tcBorders>
            <w:shd w:val="clear" w:color="auto" w:fill="FFFFFF" w:themeFill="background1"/>
            <w:noWrap/>
            <w:vAlign w:val="center"/>
            <w:hideMark/>
          </w:tcPr>
          <w:p w14:paraId="64DF5672" w14:textId="3B97CC0E" w:rsidR="00D92C6C" w:rsidRPr="0018000D" w:rsidRDefault="00D92C6C" w:rsidP="00CC4B0A">
            <w:pPr>
              <w:contextualSpacing/>
              <w:jc w:val="center"/>
              <w:rPr>
                <w:rFonts w:cs="Times New Roman"/>
                <w:sz w:val="20"/>
                <w:szCs w:val="20"/>
              </w:rPr>
            </w:pPr>
            <w:r w:rsidRPr="0018000D">
              <w:rPr>
                <w:rFonts w:cs="Times New Roman"/>
                <w:color w:val="000000"/>
                <w:sz w:val="20"/>
                <w:szCs w:val="20"/>
              </w:rPr>
              <w:t>£</w:t>
            </w:r>
            <w:r w:rsidR="00C57296">
              <w:rPr>
                <w:rFonts w:cs="Times New Roman"/>
                <w:color w:val="000000"/>
                <w:sz w:val="20"/>
                <w:szCs w:val="20"/>
              </w:rPr>
              <w:t>22,206</w:t>
            </w:r>
          </w:p>
        </w:tc>
      </w:tr>
      <w:tr w:rsidR="00D92C6C" w:rsidRPr="0018000D" w14:paraId="4CC494BD"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2787F9EF"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 xml:space="preserve">Breast </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268BFBC6" w14:textId="77777777" w:rsidR="00D92C6C" w:rsidRPr="0018000D" w:rsidRDefault="00D92C6C" w:rsidP="0018000D">
            <w:pPr>
              <w:contextualSpacing/>
              <w:jc w:val="center"/>
              <w:rPr>
                <w:rFonts w:cs="Times New Roman"/>
                <w:sz w:val="20"/>
                <w:szCs w:val="20"/>
              </w:rPr>
            </w:pPr>
            <w:r w:rsidRPr="0018000D">
              <w:rPr>
                <w:rFonts w:cs="Times New Roman"/>
                <w:sz w:val="20"/>
                <w:szCs w:val="20"/>
              </w:rPr>
              <w:t>1761.49</w:t>
            </w:r>
          </w:p>
        </w:tc>
        <w:tc>
          <w:tcPr>
            <w:tcW w:w="770" w:type="pct"/>
            <w:tcBorders>
              <w:top w:val="nil"/>
              <w:left w:val="nil"/>
              <w:bottom w:val="single" w:sz="4" w:space="0" w:color="auto"/>
              <w:right w:val="single" w:sz="4" w:space="0" w:color="auto"/>
            </w:tcBorders>
            <w:shd w:val="clear" w:color="auto" w:fill="FFFFFF"/>
            <w:noWrap/>
            <w:vAlign w:val="center"/>
            <w:hideMark/>
          </w:tcPr>
          <w:p w14:paraId="6346AC60" w14:textId="77777777" w:rsidR="00D92C6C" w:rsidRPr="0018000D" w:rsidRDefault="00D92C6C" w:rsidP="0018000D">
            <w:pPr>
              <w:contextualSpacing/>
              <w:jc w:val="center"/>
              <w:rPr>
                <w:rFonts w:cs="Times New Roman"/>
                <w:sz w:val="20"/>
                <w:szCs w:val="20"/>
              </w:rPr>
            </w:pPr>
            <w:r w:rsidRPr="0018000D">
              <w:rPr>
                <w:rFonts w:cs="Times New Roman"/>
                <w:sz w:val="20"/>
                <w:szCs w:val="20"/>
              </w:rPr>
              <w:t>3.46</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94FC9B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£616,523</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74FA98C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£740,123</w:t>
            </w:r>
          </w:p>
        </w:tc>
      </w:tr>
      <w:tr w:rsidR="00D92C6C" w:rsidRPr="0018000D" w14:paraId="28071B9F"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2C8AED34"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Cholangiocarcinoma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68BAB5DC" w14:textId="77777777" w:rsidR="00D92C6C" w:rsidRPr="0018000D" w:rsidRDefault="00D92C6C" w:rsidP="0018000D">
            <w:pPr>
              <w:contextualSpacing/>
              <w:jc w:val="center"/>
              <w:rPr>
                <w:rFonts w:cs="Times New Roman"/>
                <w:sz w:val="20"/>
                <w:szCs w:val="20"/>
              </w:rPr>
            </w:pPr>
            <w:r w:rsidRPr="0018000D">
              <w:rPr>
                <w:rFonts w:cs="Times New Roman"/>
                <w:sz w:val="20"/>
                <w:szCs w:val="20"/>
              </w:rPr>
              <w:t>1233.05</w:t>
            </w:r>
          </w:p>
        </w:tc>
        <w:tc>
          <w:tcPr>
            <w:tcW w:w="770" w:type="pct"/>
            <w:tcBorders>
              <w:top w:val="nil"/>
              <w:left w:val="nil"/>
              <w:bottom w:val="single" w:sz="4" w:space="0" w:color="auto"/>
              <w:right w:val="single" w:sz="4" w:space="0" w:color="auto"/>
            </w:tcBorders>
            <w:shd w:val="clear" w:color="auto" w:fill="FFFFFF"/>
            <w:noWrap/>
            <w:vAlign w:val="center"/>
            <w:hideMark/>
          </w:tcPr>
          <w:p w14:paraId="5DDFAE2F" w14:textId="77777777" w:rsidR="00D92C6C" w:rsidRPr="0018000D" w:rsidRDefault="00D92C6C" w:rsidP="0018000D">
            <w:pPr>
              <w:contextualSpacing/>
              <w:jc w:val="center"/>
              <w:rPr>
                <w:rFonts w:cs="Times New Roman"/>
                <w:sz w:val="20"/>
                <w:szCs w:val="20"/>
              </w:rPr>
            </w:pPr>
            <w:r w:rsidRPr="0018000D">
              <w:rPr>
                <w:rFonts w:cs="Times New Roman"/>
                <w:sz w:val="20"/>
                <w:szCs w:val="20"/>
              </w:rPr>
              <w:t>2.72</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92A252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£739,827</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10E122F7"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£888,148</w:t>
            </w:r>
          </w:p>
        </w:tc>
      </w:tr>
      <w:tr w:rsidR="00D92C6C" w:rsidRPr="0018000D" w14:paraId="534C1BF7"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33BB7DF3"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lastRenderedPageBreak/>
              <w:t>Colorectal</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3ADBAF4A" w14:textId="77777777" w:rsidR="00D92C6C" w:rsidRPr="0018000D" w:rsidRDefault="00D92C6C" w:rsidP="0018000D">
            <w:pPr>
              <w:contextualSpacing/>
              <w:jc w:val="center"/>
              <w:rPr>
                <w:rFonts w:cs="Times New Roman"/>
                <w:sz w:val="20"/>
                <w:szCs w:val="20"/>
              </w:rPr>
            </w:pPr>
            <w:r w:rsidRPr="0018000D">
              <w:rPr>
                <w:rFonts w:cs="Times New Roman"/>
                <w:sz w:val="20"/>
                <w:szCs w:val="20"/>
              </w:rPr>
              <w:t>1027.54</w:t>
            </w:r>
          </w:p>
        </w:tc>
        <w:tc>
          <w:tcPr>
            <w:tcW w:w="770" w:type="pct"/>
            <w:tcBorders>
              <w:top w:val="nil"/>
              <w:left w:val="nil"/>
              <w:bottom w:val="single" w:sz="4" w:space="0" w:color="auto"/>
              <w:right w:val="single" w:sz="4" w:space="0" w:color="auto"/>
            </w:tcBorders>
            <w:shd w:val="clear" w:color="auto" w:fill="FFFFFF"/>
            <w:noWrap/>
            <w:vAlign w:val="center"/>
            <w:hideMark/>
          </w:tcPr>
          <w:p w14:paraId="18E085D3" w14:textId="77777777" w:rsidR="00D92C6C" w:rsidRPr="0018000D" w:rsidRDefault="00D92C6C" w:rsidP="0018000D">
            <w:pPr>
              <w:contextualSpacing/>
              <w:jc w:val="center"/>
              <w:rPr>
                <w:rFonts w:cs="Times New Roman"/>
                <w:sz w:val="20"/>
                <w:szCs w:val="20"/>
              </w:rPr>
            </w:pPr>
            <w:r w:rsidRPr="0018000D">
              <w:rPr>
                <w:rFonts w:cs="Times New Roman"/>
                <w:sz w:val="20"/>
                <w:szCs w:val="20"/>
              </w:rPr>
              <w:t>2.44</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7A9E41"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£359,638</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13162312"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£431,739</w:t>
            </w:r>
          </w:p>
        </w:tc>
      </w:tr>
      <w:tr w:rsidR="00D92C6C" w:rsidRPr="0018000D" w14:paraId="2DC69B7A"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29D9B5F0"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GIST</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20257E8C" w14:textId="77777777" w:rsidR="00D92C6C" w:rsidRPr="0018000D" w:rsidRDefault="00D92C6C" w:rsidP="0018000D">
            <w:pPr>
              <w:contextualSpacing/>
              <w:jc w:val="center"/>
              <w:rPr>
                <w:rFonts w:cs="Times New Roman"/>
                <w:sz w:val="20"/>
                <w:szCs w:val="20"/>
              </w:rPr>
            </w:pPr>
            <w:r w:rsidRPr="0018000D">
              <w:rPr>
                <w:rFonts w:cs="Times New Roman"/>
                <w:sz w:val="20"/>
                <w:szCs w:val="20"/>
              </w:rPr>
              <w:t>96.33</w:t>
            </w:r>
          </w:p>
        </w:tc>
        <w:tc>
          <w:tcPr>
            <w:tcW w:w="770" w:type="pct"/>
            <w:tcBorders>
              <w:top w:val="nil"/>
              <w:left w:val="nil"/>
              <w:bottom w:val="single" w:sz="4" w:space="0" w:color="auto"/>
              <w:right w:val="single" w:sz="4" w:space="0" w:color="auto"/>
            </w:tcBorders>
            <w:shd w:val="clear" w:color="auto" w:fill="FFFFFF"/>
            <w:noWrap/>
            <w:vAlign w:val="center"/>
            <w:hideMark/>
          </w:tcPr>
          <w:p w14:paraId="597489D7" w14:textId="77777777" w:rsidR="00D92C6C" w:rsidRPr="0018000D" w:rsidRDefault="00D92C6C" w:rsidP="0018000D">
            <w:pPr>
              <w:contextualSpacing/>
              <w:jc w:val="center"/>
              <w:rPr>
                <w:rFonts w:cs="Times New Roman"/>
                <w:sz w:val="20"/>
                <w:szCs w:val="20"/>
              </w:rPr>
            </w:pPr>
            <w:r w:rsidRPr="0018000D">
              <w:rPr>
                <w:rFonts w:cs="Times New Roman"/>
                <w:sz w:val="20"/>
                <w:szCs w:val="20"/>
              </w:rPr>
              <w:t>1.13</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D8D3C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£57,799</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27421905"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£69,387</w:t>
            </w:r>
          </w:p>
        </w:tc>
      </w:tr>
      <w:tr w:rsidR="00D92C6C" w:rsidRPr="0018000D" w14:paraId="1AAD4EFC"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374755D0"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Infantile fibrosarcoma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46B3D2C5" w14:textId="77777777" w:rsidR="00D92C6C" w:rsidRPr="0018000D" w:rsidRDefault="00D92C6C" w:rsidP="0018000D">
            <w:pPr>
              <w:contextualSpacing/>
              <w:jc w:val="center"/>
              <w:rPr>
                <w:rFonts w:cs="Times New Roman"/>
                <w:sz w:val="20"/>
                <w:szCs w:val="20"/>
              </w:rPr>
            </w:pPr>
            <w:r w:rsidRPr="0018000D">
              <w:rPr>
                <w:rFonts w:cs="Times New Roman"/>
                <w:sz w:val="20"/>
                <w:szCs w:val="20"/>
              </w:rPr>
              <w:t>1.36</w:t>
            </w:r>
          </w:p>
        </w:tc>
        <w:tc>
          <w:tcPr>
            <w:tcW w:w="770" w:type="pct"/>
            <w:tcBorders>
              <w:top w:val="nil"/>
              <w:left w:val="nil"/>
              <w:bottom w:val="single" w:sz="4" w:space="0" w:color="auto"/>
              <w:right w:val="single" w:sz="4" w:space="0" w:color="auto"/>
            </w:tcBorders>
            <w:shd w:val="clear" w:color="auto" w:fill="FFFFFF"/>
            <w:noWrap/>
            <w:vAlign w:val="center"/>
            <w:hideMark/>
          </w:tcPr>
          <w:p w14:paraId="7BA9B0F8"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7F71F6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1E7C1E90"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£420</w:t>
            </w:r>
          </w:p>
        </w:tc>
      </w:tr>
      <w:tr w:rsidR="00D92C6C" w:rsidRPr="0018000D" w14:paraId="3ACB2566"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05BBD6C4"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MASC</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122AE00B" w14:textId="77777777" w:rsidR="00D92C6C" w:rsidRPr="0018000D" w:rsidRDefault="00D92C6C" w:rsidP="0018000D">
            <w:pPr>
              <w:contextualSpacing/>
              <w:jc w:val="center"/>
              <w:rPr>
                <w:rFonts w:cs="Times New Roman"/>
                <w:sz w:val="20"/>
                <w:szCs w:val="20"/>
              </w:rPr>
            </w:pPr>
            <w:r w:rsidRPr="0018000D">
              <w:rPr>
                <w:rFonts w:cs="Times New Roman"/>
                <w:sz w:val="20"/>
                <w:szCs w:val="20"/>
              </w:rPr>
              <w:t>1.33</w:t>
            </w:r>
          </w:p>
        </w:tc>
        <w:tc>
          <w:tcPr>
            <w:tcW w:w="770" w:type="pct"/>
            <w:tcBorders>
              <w:top w:val="nil"/>
              <w:left w:val="nil"/>
              <w:bottom w:val="single" w:sz="4" w:space="0" w:color="auto"/>
              <w:right w:val="single" w:sz="4" w:space="0" w:color="auto"/>
            </w:tcBorders>
            <w:shd w:val="clear" w:color="auto" w:fill="FFFFFF"/>
            <w:noWrap/>
            <w:vAlign w:val="center"/>
            <w:hideMark/>
          </w:tcPr>
          <w:p w14:paraId="11E1BA60"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BB7A71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£597</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6F917890"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£717</w:t>
            </w:r>
          </w:p>
        </w:tc>
      </w:tr>
      <w:tr w:rsidR="00D92C6C" w:rsidRPr="0018000D" w14:paraId="21B65277"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noWrap/>
            <w:hideMark/>
          </w:tcPr>
          <w:p w14:paraId="1E6681EA"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Melanoma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5D92A8E6" w14:textId="77777777" w:rsidR="00D92C6C" w:rsidRPr="0018000D" w:rsidRDefault="00D92C6C" w:rsidP="0018000D">
            <w:pPr>
              <w:contextualSpacing/>
              <w:jc w:val="center"/>
              <w:rPr>
                <w:rFonts w:cs="Times New Roman"/>
                <w:sz w:val="20"/>
                <w:szCs w:val="20"/>
              </w:rPr>
            </w:pPr>
            <w:r w:rsidRPr="0018000D">
              <w:rPr>
                <w:rFonts w:cs="Times New Roman"/>
                <w:sz w:val="20"/>
                <w:szCs w:val="20"/>
              </w:rPr>
              <w:t>587.16</w:t>
            </w:r>
          </w:p>
        </w:tc>
        <w:tc>
          <w:tcPr>
            <w:tcW w:w="770" w:type="pct"/>
            <w:tcBorders>
              <w:top w:val="nil"/>
              <w:left w:val="nil"/>
              <w:bottom w:val="single" w:sz="4" w:space="0" w:color="auto"/>
              <w:right w:val="single" w:sz="4" w:space="0" w:color="auto"/>
            </w:tcBorders>
            <w:shd w:val="clear" w:color="auto" w:fill="FFFFFF"/>
            <w:noWrap/>
            <w:vAlign w:val="center"/>
            <w:hideMark/>
          </w:tcPr>
          <w:p w14:paraId="5E6676EA" w14:textId="77777777" w:rsidR="00D92C6C" w:rsidRPr="0018000D" w:rsidRDefault="00D92C6C" w:rsidP="0018000D">
            <w:pPr>
              <w:contextualSpacing/>
              <w:jc w:val="center"/>
              <w:rPr>
                <w:rFonts w:cs="Times New Roman"/>
                <w:sz w:val="20"/>
                <w:szCs w:val="20"/>
              </w:rPr>
            </w:pPr>
            <w:r w:rsidRPr="0018000D">
              <w:rPr>
                <w:rFonts w:cs="Times New Roman"/>
                <w:sz w:val="20"/>
                <w:szCs w:val="20"/>
              </w:rPr>
              <w:t>1.82</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BECD66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£205,508</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67EA471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£246,708</w:t>
            </w:r>
          </w:p>
        </w:tc>
      </w:tr>
      <w:tr w:rsidR="00D92C6C" w:rsidRPr="0018000D" w14:paraId="1B8BA64E" w14:textId="77777777" w:rsidTr="00D92C6C">
        <w:trPr>
          <w:trHeight w:val="284"/>
          <w:jc w:val="center"/>
        </w:trPr>
        <w:tc>
          <w:tcPr>
            <w:tcW w:w="1463" w:type="pct"/>
            <w:tcBorders>
              <w:top w:val="single" w:sz="4" w:space="0" w:color="auto"/>
              <w:left w:val="single" w:sz="4" w:space="0" w:color="auto"/>
              <w:bottom w:val="single" w:sz="4" w:space="0" w:color="auto"/>
              <w:right w:val="single" w:sz="4" w:space="0" w:color="auto"/>
            </w:tcBorders>
            <w:hideMark/>
          </w:tcPr>
          <w:p w14:paraId="6A866489"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NSCLC</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40CBDCA5" w14:textId="77777777" w:rsidR="00D92C6C" w:rsidRPr="0018000D" w:rsidRDefault="00D92C6C" w:rsidP="0018000D">
            <w:pPr>
              <w:contextualSpacing/>
              <w:jc w:val="center"/>
              <w:rPr>
                <w:rFonts w:cs="Times New Roman"/>
                <w:sz w:val="20"/>
                <w:szCs w:val="20"/>
              </w:rPr>
            </w:pPr>
            <w:r w:rsidRPr="0018000D">
              <w:rPr>
                <w:rFonts w:cs="Times New Roman"/>
                <w:sz w:val="20"/>
                <w:szCs w:val="20"/>
              </w:rPr>
              <w:t>1370.05</w:t>
            </w:r>
          </w:p>
        </w:tc>
        <w:tc>
          <w:tcPr>
            <w:tcW w:w="770" w:type="pct"/>
            <w:tcBorders>
              <w:top w:val="nil"/>
              <w:left w:val="nil"/>
              <w:bottom w:val="single" w:sz="4" w:space="0" w:color="auto"/>
              <w:right w:val="single" w:sz="4" w:space="0" w:color="auto"/>
            </w:tcBorders>
            <w:shd w:val="clear" w:color="auto" w:fill="FFFFFF"/>
            <w:noWrap/>
            <w:vAlign w:val="center"/>
            <w:hideMark/>
          </w:tcPr>
          <w:p w14:paraId="67DC8FF6" w14:textId="77777777" w:rsidR="00D92C6C" w:rsidRPr="0018000D" w:rsidRDefault="00D92C6C" w:rsidP="0018000D">
            <w:pPr>
              <w:contextualSpacing/>
              <w:jc w:val="center"/>
              <w:rPr>
                <w:rFonts w:cs="Times New Roman"/>
                <w:sz w:val="20"/>
                <w:szCs w:val="20"/>
              </w:rPr>
            </w:pPr>
            <w:r w:rsidRPr="0018000D">
              <w:rPr>
                <w:rFonts w:cs="Times New Roman"/>
                <w:sz w:val="20"/>
                <w:szCs w:val="20"/>
              </w:rPr>
              <w:t>2.92</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38BD166"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£479,518</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75ECE14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£575,652</w:t>
            </w:r>
          </w:p>
        </w:tc>
      </w:tr>
      <w:tr w:rsidR="00D92C6C" w:rsidRPr="0018000D" w14:paraId="6DB40005"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5777D0AE"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Pancreatic</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2A8D94F4" w14:textId="77777777" w:rsidR="00D92C6C" w:rsidRPr="0018000D" w:rsidRDefault="00D92C6C" w:rsidP="0018000D">
            <w:pPr>
              <w:contextualSpacing/>
              <w:jc w:val="center"/>
              <w:rPr>
                <w:rFonts w:cs="Times New Roman"/>
                <w:sz w:val="20"/>
                <w:szCs w:val="20"/>
              </w:rPr>
            </w:pPr>
            <w:r w:rsidRPr="0018000D">
              <w:rPr>
                <w:rFonts w:cs="Times New Roman"/>
                <w:sz w:val="20"/>
                <w:szCs w:val="20"/>
              </w:rPr>
              <w:t>474.25</w:t>
            </w:r>
          </w:p>
        </w:tc>
        <w:tc>
          <w:tcPr>
            <w:tcW w:w="770" w:type="pct"/>
            <w:tcBorders>
              <w:top w:val="nil"/>
              <w:left w:val="nil"/>
              <w:bottom w:val="single" w:sz="4" w:space="0" w:color="auto"/>
              <w:right w:val="single" w:sz="4" w:space="0" w:color="auto"/>
            </w:tcBorders>
            <w:shd w:val="clear" w:color="auto" w:fill="FFFFFF"/>
            <w:noWrap/>
            <w:vAlign w:val="center"/>
            <w:hideMark/>
          </w:tcPr>
          <w:p w14:paraId="14982424" w14:textId="77777777" w:rsidR="00D92C6C" w:rsidRPr="0018000D" w:rsidRDefault="00D92C6C" w:rsidP="0018000D">
            <w:pPr>
              <w:contextualSpacing/>
              <w:jc w:val="center"/>
              <w:rPr>
                <w:rFonts w:cs="Times New Roman"/>
                <w:sz w:val="20"/>
                <w:szCs w:val="20"/>
              </w:rPr>
            </w:pPr>
            <w:r w:rsidRPr="0018000D">
              <w:rPr>
                <w:rFonts w:cs="Times New Roman"/>
                <w:sz w:val="20"/>
                <w:szCs w:val="20"/>
              </w:rPr>
              <w:t>1.66</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AF483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£284,549</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7E71C58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£341,595</w:t>
            </w:r>
          </w:p>
        </w:tc>
      </w:tr>
      <w:tr w:rsidR="00D92C6C" w:rsidRPr="0018000D" w14:paraId="760D1D2A"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hideMark/>
          </w:tcPr>
          <w:p w14:paraId="2D71A559"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Thyroid</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7BE0FF9A" w14:textId="77777777" w:rsidR="00D92C6C" w:rsidRPr="0018000D" w:rsidRDefault="00D92C6C" w:rsidP="0018000D">
            <w:pPr>
              <w:contextualSpacing/>
              <w:jc w:val="center"/>
              <w:rPr>
                <w:rFonts w:cs="Times New Roman"/>
                <w:sz w:val="20"/>
                <w:szCs w:val="20"/>
              </w:rPr>
            </w:pPr>
            <w:r w:rsidRPr="0018000D">
              <w:rPr>
                <w:rFonts w:cs="Times New Roman"/>
                <w:sz w:val="20"/>
                <w:szCs w:val="20"/>
              </w:rPr>
              <w:t>220.19</w:t>
            </w:r>
          </w:p>
        </w:tc>
        <w:tc>
          <w:tcPr>
            <w:tcW w:w="770" w:type="pct"/>
            <w:tcBorders>
              <w:top w:val="nil"/>
              <w:left w:val="nil"/>
              <w:bottom w:val="single" w:sz="4" w:space="0" w:color="auto"/>
              <w:right w:val="single" w:sz="4" w:space="0" w:color="auto"/>
            </w:tcBorders>
            <w:shd w:val="clear" w:color="auto" w:fill="FFFFFF"/>
            <w:noWrap/>
            <w:vAlign w:val="center"/>
            <w:hideMark/>
          </w:tcPr>
          <w:p w14:paraId="01BAA099" w14:textId="77777777" w:rsidR="00D92C6C" w:rsidRPr="0018000D" w:rsidRDefault="00D92C6C" w:rsidP="0018000D">
            <w:pPr>
              <w:contextualSpacing/>
              <w:jc w:val="center"/>
              <w:rPr>
                <w:rFonts w:cs="Times New Roman"/>
                <w:sz w:val="20"/>
                <w:szCs w:val="20"/>
              </w:rPr>
            </w:pPr>
            <w:r w:rsidRPr="0018000D">
              <w:rPr>
                <w:rFonts w:cs="Times New Roman"/>
                <w:sz w:val="20"/>
                <w:szCs w:val="20"/>
              </w:rPr>
              <w:t>1.31</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FAFC58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£457</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453AA65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£549</w:t>
            </w:r>
          </w:p>
        </w:tc>
      </w:tr>
      <w:tr w:rsidR="00D92C6C" w:rsidRPr="0018000D" w14:paraId="33B83294"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hideMark/>
          </w:tcPr>
          <w:p w14:paraId="7024DD39"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 xml:space="preserve">Soft tissue sarcoma </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5147D568" w14:textId="77777777" w:rsidR="00D92C6C" w:rsidRPr="0018000D" w:rsidRDefault="00D92C6C" w:rsidP="0018000D">
            <w:pPr>
              <w:contextualSpacing/>
              <w:jc w:val="center"/>
              <w:rPr>
                <w:rFonts w:cs="Times New Roman"/>
                <w:sz w:val="20"/>
                <w:szCs w:val="20"/>
              </w:rPr>
            </w:pPr>
            <w:r w:rsidRPr="0018000D">
              <w:rPr>
                <w:rFonts w:cs="Times New Roman"/>
                <w:sz w:val="20"/>
                <w:szCs w:val="20"/>
              </w:rPr>
              <w:t>134.03</w:t>
            </w:r>
          </w:p>
        </w:tc>
        <w:tc>
          <w:tcPr>
            <w:tcW w:w="770" w:type="pct"/>
            <w:tcBorders>
              <w:top w:val="nil"/>
              <w:left w:val="nil"/>
              <w:bottom w:val="single" w:sz="4" w:space="0" w:color="auto"/>
              <w:right w:val="single" w:sz="4" w:space="0" w:color="auto"/>
            </w:tcBorders>
            <w:shd w:val="clear" w:color="auto" w:fill="FFFFFF"/>
            <w:noWrap/>
            <w:vAlign w:val="center"/>
            <w:hideMark/>
          </w:tcPr>
          <w:p w14:paraId="4BD2E0CE" w14:textId="77777777" w:rsidR="00D92C6C" w:rsidRPr="0018000D" w:rsidRDefault="00D92C6C" w:rsidP="0018000D">
            <w:pPr>
              <w:contextualSpacing/>
              <w:jc w:val="center"/>
              <w:rPr>
                <w:rFonts w:cs="Times New Roman"/>
                <w:sz w:val="20"/>
                <w:szCs w:val="20"/>
              </w:rPr>
            </w:pPr>
            <w:r w:rsidRPr="0018000D">
              <w:rPr>
                <w:rFonts w:cs="Times New Roman"/>
                <w:sz w:val="20"/>
                <w:szCs w:val="20"/>
              </w:rPr>
              <w:t>1.19</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07197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£46,909</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4F6A151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£56,314</w:t>
            </w:r>
          </w:p>
        </w:tc>
      </w:tr>
      <w:tr w:rsidR="00D92C6C" w:rsidRPr="0018000D" w14:paraId="105CB9E4" w14:textId="77777777" w:rsidTr="00EC11CD">
        <w:trPr>
          <w:trHeight w:val="36"/>
          <w:jc w:val="cent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hideMark/>
          </w:tcPr>
          <w:p w14:paraId="3C793115" w14:textId="77777777" w:rsidR="00D92C6C" w:rsidRPr="0018000D" w:rsidRDefault="00D92C6C" w:rsidP="0018000D">
            <w:pPr>
              <w:contextualSpacing/>
              <w:rPr>
                <w:rFonts w:cs="Times New Roman"/>
                <w:b/>
                <w:color w:val="000000"/>
                <w:sz w:val="20"/>
                <w:szCs w:val="20"/>
              </w:rPr>
            </w:pPr>
            <w:r w:rsidRPr="0018000D">
              <w:rPr>
                <w:rFonts w:cs="Times New Roman"/>
                <w:b/>
                <w:color w:val="000000"/>
                <w:sz w:val="20"/>
                <w:szCs w:val="20"/>
              </w:rPr>
              <w:t>Tumours not represented in trial</w:t>
            </w:r>
          </w:p>
        </w:tc>
      </w:tr>
      <w:tr w:rsidR="00D92C6C" w:rsidRPr="0018000D" w14:paraId="494259CF" w14:textId="77777777" w:rsidTr="00D92C6C">
        <w:trPr>
          <w:trHeight w:val="239"/>
          <w:jc w:val="center"/>
        </w:trPr>
        <w:tc>
          <w:tcPr>
            <w:tcW w:w="1463" w:type="pct"/>
            <w:tcBorders>
              <w:top w:val="single" w:sz="4" w:space="0" w:color="auto"/>
              <w:left w:val="single" w:sz="4" w:space="0" w:color="auto"/>
              <w:bottom w:val="single" w:sz="4" w:space="0" w:color="auto"/>
              <w:right w:val="single" w:sz="4" w:space="0" w:color="auto"/>
            </w:tcBorders>
            <w:hideMark/>
          </w:tcPr>
          <w:p w14:paraId="50540956"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Cervix</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42F71A35" w14:textId="77777777" w:rsidR="00D92C6C" w:rsidRPr="0018000D" w:rsidRDefault="00D92C6C" w:rsidP="0018000D">
            <w:pPr>
              <w:contextualSpacing/>
              <w:jc w:val="center"/>
              <w:rPr>
                <w:rFonts w:cs="Times New Roman"/>
                <w:sz w:val="20"/>
                <w:szCs w:val="20"/>
              </w:rPr>
            </w:pPr>
            <w:r w:rsidRPr="0018000D">
              <w:rPr>
                <w:rFonts w:cs="Times New Roman"/>
                <w:sz w:val="20"/>
                <w:szCs w:val="20"/>
              </w:rPr>
              <w:t>373.65</w:t>
            </w:r>
          </w:p>
        </w:tc>
        <w:tc>
          <w:tcPr>
            <w:tcW w:w="770" w:type="pct"/>
            <w:tcBorders>
              <w:top w:val="nil"/>
              <w:left w:val="nil"/>
              <w:bottom w:val="single" w:sz="4" w:space="0" w:color="auto"/>
              <w:right w:val="single" w:sz="4" w:space="0" w:color="auto"/>
            </w:tcBorders>
            <w:shd w:val="clear" w:color="auto" w:fill="FFFFFF"/>
            <w:noWrap/>
            <w:vAlign w:val="center"/>
            <w:hideMark/>
          </w:tcPr>
          <w:p w14:paraId="1CB547A9" w14:textId="77777777" w:rsidR="00D92C6C" w:rsidRPr="0018000D" w:rsidRDefault="00D92C6C" w:rsidP="0018000D">
            <w:pPr>
              <w:contextualSpacing/>
              <w:jc w:val="center"/>
              <w:rPr>
                <w:rFonts w:cs="Times New Roman"/>
                <w:sz w:val="20"/>
                <w:szCs w:val="20"/>
              </w:rPr>
            </w:pPr>
            <w:r w:rsidRPr="0018000D">
              <w:rPr>
                <w:rFonts w:cs="Times New Roman"/>
                <w:sz w:val="20"/>
                <w:szCs w:val="20"/>
              </w:rPr>
              <w:t>1.52</w:t>
            </w:r>
          </w:p>
        </w:tc>
        <w:tc>
          <w:tcPr>
            <w:tcW w:w="9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8AE127"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£224,190</w:t>
            </w:r>
          </w:p>
        </w:tc>
        <w:tc>
          <w:tcPr>
            <w:tcW w:w="963" w:type="pct"/>
            <w:tcBorders>
              <w:top w:val="single" w:sz="4" w:space="0" w:color="auto"/>
              <w:left w:val="nil"/>
              <w:bottom w:val="single" w:sz="4" w:space="0" w:color="auto"/>
              <w:right w:val="single" w:sz="8" w:space="0" w:color="auto"/>
            </w:tcBorders>
            <w:shd w:val="clear" w:color="auto" w:fill="FFFFFF" w:themeFill="background1"/>
            <w:noWrap/>
            <w:vAlign w:val="center"/>
            <w:hideMark/>
          </w:tcPr>
          <w:p w14:paraId="77EC8F4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£269,136</w:t>
            </w:r>
          </w:p>
        </w:tc>
      </w:tr>
      <w:tr w:rsidR="00D92C6C" w:rsidRPr="0018000D" w14:paraId="178ACBB8"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117C3624"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Congenital Mesoblastic Nephroma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6535B1AE" w14:textId="77777777" w:rsidR="00D92C6C" w:rsidRPr="0018000D" w:rsidRDefault="00D92C6C" w:rsidP="0018000D">
            <w:pPr>
              <w:contextualSpacing/>
              <w:jc w:val="center"/>
              <w:rPr>
                <w:rFonts w:cs="Times New Roman"/>
                <w:sz w:val="20"/>
                <w:szCs w:val="20"/>
              </w:rPr>
            </w:pPr>
            <w:r w:rsidRPr="0018000D">
              <w:rPr>
                <w:rFonts w:cs="Times New Roman"/>
                <w:sz w:val="20"/>
                <w:szCs w:val="20"/>
              </w:rPr>
              <w:t>2.03</w:t>
            </w:r>
          </w:p>
        </w:tc>
        <w:tc>
          <w:tcPr>
            <w:tcW w:w="770" w:type="pct"/>
            <w:tcBorders>
              <w:top w:val="nil"/>
              <w:left w:val="nil"/>
              <w:bottom w:val="single" w:sz="4" w:space="0" w:color="auto"/>
              <w:right w:val="single" w:sz="4" w:space="0" w:color="auto"/>
            </w:tcBorders>
            <w:shd w:val="clear" w:color="auto" w:fill="FFFFFF"/>
            <w:noWrap/>
            <w:vAlign w:val="center"/>
            <w:hideMark/>
          </w:tcPr>
          <w:p w14:paraId="57EE5FAA"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D8D57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£350</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0F825F32"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£421</w:t>
            </w:r>
          </w:p>
        </w:tc>
      </w:tr>
      <w:tr w:rsidR="00D92C6C" w:rsidRPr="0018000D" w14:paraId="494F1BD5"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42B6216B"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Gastro-esophageal junction</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602CDBF6" w14:textId="77777777" w:rsidR="00D92C6C" w:rsidRPr="0018000D" w:rsidRDefault="00D92C6C" w:rsidP="0018000D">
            <w:pPr>
              <w:contextualSpacing/>
              <w:jc w:val="center"/>
              <w:rPr>
                <w:rFonts w:cs="Times New Roman"/>
                <w:sz w:val="20"/>
                <w:szCs w:val="20"/>
              </w:rPr>
            </w:pPr>
            <w:r w:rsidRPr="0018000D">
              <w:rPr>
                <w:rFonts w:cs="Times New Roman"/>
                <w:sz w:val="20"/>
                <w:szCs w:val="20"/>
              </w:rPr>
              <w:t>1233.05</w:t>
            </w:r>
          </w:p>
        </w:tc>
        <w:tc>
          <w:tcPr>
            <w:tcW w:w="770" w:type="pct"/>
            <w:tcBorders>
              <w:top w:val="nil"/>
              <w:left w:val="nil"/>
              <w:bottom w:val="single" w:sz="4" w:space="0" w:color="auto"/>
              <w:right w:val="single" w:sz="4" w:space="0" w:color="auto"/>
            </w:tcBorders>
            <w:shd w:val="clear" w:color="auto" w:fill="FFFFFF"/>
            <w:noWrap/>
            <w:vAlign w:val="center"/>
            <w:hideMark/>
          </w:tcPr>
          <w:p w14:paraId="33FF6142" w14:textId="77777777" w:rsidR="00D92C6C" w:rsidRPr="0018000D" w:rsidRDefault="00D92C6C" w:rsidP="0018000D">
            <w:pPr>
              <w:contextualSpacing/>
              <w:jc w:val="center"/>
              <w:rPr>
                <w:rFonts w:cs="Times New Roman"/>
                <w:sz w:val="20"/>
                <w:szCs w:val="20"/>
              </w:rPr>
            </w:pPr>
            <w:r w:rsidRPr="0018000D">
              <w:rPr>
                <w:rFonts w:cs="Times New Roman"/>
                <w:sz w:val="20"/>
                <w:szCs w:val="20"/>
              </w:rPr>
              <w:t>2.72</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42E23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£739,827</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0BEE2005"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£888,148</w:t>
            </w:r>
          </w:p>
        </w:tc>
      </w:tr>
      <w:tr w:rsidR="00D92C6C" w:rsidRPr="0018000D" w14:paraId="30BF7C20"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7AEBA72C"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HNSCC</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3D79394C" w14:textId="77777777" w:rsidR="00D92C6C" w:rsidRPr="0018000D" w:rsidRDefault="00D92C6C" w:rsidP="0018000D">
            <w:pPr>
              <w:contextualSpacing/>
              <w:jc w:val="center"/>
              <w:rPr>
                <w:rFonts w:cs="Times New Roman"/>
                <w:sz w:val="20"/>
                <w:szCs w:val="20"/>
              </w:rPr>
            </w:pPr>
            <w:r w:rsidRPr="0018000D">
              <w:rPr>
                <w:rFonts w:cs="Times New Roman"/>
                <w:sz w:val="20"/>
                <w:szCs w:val="20"/>
              </w:rPr>
              <w:t>324.49</w:t>
            </w:r>
          </w:p>
        </w:tc>
        <w:tc>
          <w:tcPr>
            <w:tcW w:w="770" w:type="pct"/>
            <w:tcBorders>
              <w:top w:val="nil"/>
              <w:left w:val="nil"/>
              <w:bottom w:val="single" w:sz="4" w:space="0" w:color="auto"/>
              <w:right w:val="single" w:sz="4" w:space="0" w:color="auto"/>
            </w:tcBorders>
            <w:shd w:val="clear" w:color="auto" w:fill="FFFFFF"/>
            <w:noWrap/>
            <w:vAlign w:val="center"/>
            <w:hideMark/>
          </w:tcPr>
          <w:p w14:paraId="6E97EB41" w14:textId="77777777" w:rsidR="00D92C6C" w:rsidRPr="0018000D" w:rsidRDefault="00D92C6C" w:rsidP="0018000D">
            <w:pPr>
              <w:contextualSpacing/>
              <w:jc w:val="center"/>
              <w:rPr>
                <w:rFonts w:cs="Times New Roman"/>
                <w:sz w:val="20"/>
                <w:szCs w:val="20"/>
              </w:rPr>
            </w:pPr>
            <w:r w:rsidRPr="0018000D">
              <w:rPr>
                <w:rFonts w:cs="Times New Roman"/>
                <w:sz w:val="20"/>
                <w:szCs w:val="20"/>
              </w:rPr>
              <w:t>1.45</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52903DD"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£194,691</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21861AD1"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£233,723</w:t>
            </w:r>
          </w:p>
        </w:tc>
      </w:tr>
      <w:tr w:rsidR="00D92C6C" w:rsidRPr="0018000D" w14:paraId="662D6AC6"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3D0993F1"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High grade glioma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337D66DC" w14:textId="77777777" w:rsidR="00D92C6C" w:rsidRPr="0018000D" w:rsidRDefault="00D92C6C" w:rsidP="0018000D">
            <w:pPr>
              <w:contextualSpacing/>
              <w:jc w:val="center"/>
              <w:rPr>
                <w:rFonts w:cs="Times New Roman"/>
                <w:sz w:val="20"/>
                <w:szCs w:val="20"/>
              </w:rPr>
            </w:pPr>
            <w:r w:rsidRPr="0018000D">
              <w:rPr>
                <w:rFonts w:cs="Times New Roman"/>
                <w:sz w:val="20"/>
                <w:szCs w:val="20"/>
              </w:rPr>
              <w:t>2466.09</w:t>
            </w:r>
          </w:p>
        </w:tc>
        <w:tc>
          <w:tcPr>
            <w:tcW w:w="770" w:type="pct"/>
            <w:tcBorders>
              <w:top w:val="nil"/>
              <w:left w:val="nil"/>
              <w:bottom w:val="single" w:sz="4" w:space="0" w:color="auto"/>
              <w:right w:val="single" w:sz="4" w:space="0" w:color="auto"/>
            </w:tcBorders>
            <w:shd w:val="clear" w:color="auto" w:fill="FFFFFF"/>
            <w:noWrap/>
            <w:vAlign w:val="center"/>
            <w:hideMark/>
          </w:tcPr>
          <w:p w14:paraId="6CDFC562" w14:textId="77777777" w:rsidR="00D92C6C" w:rsidRPr="0018000D" w:rsidRDefault="00D92C6C" w:rsidP="0018000D">
            <w:pPr>
              <w:contextualSpacing/>
              <w:jc w:val="center"/>
              <w:rPr>
                <w:rFonts w:cs="Times New Roman"/>
                <w:sz w:val="20"/>
                <w:szCs w:val="20"/>
              </w:rPr>
            </w:pPr>
            <w:r w:rsidRPr="0018000D">
              <w:rPr>
                <w:rFonts w:cs="Times New Roman"/>
                <w:sz w:val="20"/>
                <w:szCs w:val="20"/>
              </w:rPr>
              <w:t>4.45</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A43B0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£1,479,655</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3A799A9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£1,776,296</w:t>
            </w:r>
          </w:p>
        </w:tc>
      </w:tr>
      <w:tr w:rsidR="00D92C6C" w:rsidRPr="0018000D" w14:paraId="66D19164"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776623CA"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Neuroendocrine</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2477F1DF" w14:textId="77777777" w:rsidR="00D92C6C" w:rsidRPr="0018000D" w:rsidRDefault="00D92C6C" w:rsidP="0018000D">
            <w:pPr>
              <w:contextualSpacing/>
              <w:jc w:val="center"/>
              <w:rPr>
                <w:rFonts w:cs="Times New Roman"/>
                <w:sz w:val="20"/>
                <w:szCs w:val="20"/>
              </w:rPr>
            </w:pPr>
            <w:r w:rsidRPr="0018000D">
              <w:rPr>
                <w:rFonts w:cs="Times New Roman"/>
                <w:sz w:val="20"/>
                <w:szCs w:val="20"/>
              </w:rPr>
              <w:t>411.02</w:t>
            </w:r>
          </w:p>
        </w:tc>
        <w:tc>
          <w:tcPr>
            <w:tcW w:w="770" w:type="pct"/>
            <w:tcBorders>
              <w:top w:val="nil"/>
              <w:left w:val="nil"/>
              <w:bottom w:val="single" w:sz="4" w:space="0" w:color="auto"/>
              <w:right w:val="single" w:sz="4" w:space="0" w:color="auto"/>
            </w:tcBorders>
            <w:shd w:val="clear" w:color="auto" w:fill="FFFFFF"/>
            <w:noWrap/>
            <w:vAlign w:val="center"/>
            <w:hideMark/>
          </w:tcPr>
          <w:p w14:paraId="2886CAA9" w14:textId="77777777" w:rsidR="00D92C6C" w:rsidRPr="0018000D" w:rsidRDefault="00D92C6C" w:rsidP="0018000D">
            <w:pPr>
              <w:contextualSpacing/>
              <w:jc w:val="center"/>
              <w:rPr>
                <w:rFonts w:cs="Times New Roman"/>
                <w:sz w:val="20"/>
                <w:szCs w:val="20"/>
              </w:rPr>
            </w:pPr>
            <w:r w:rsidRPr="0018000D">
              <w:rPr>
                <w:rFonts w:cs="Times New Roman"/>
                <w:sz w:val="20"/>
                <w:szCs w:val="20"/>
              </w:rPr>
              <w:t>1.57</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9764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£246,609</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29DB8D89"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£296,049</w:t>
            </w:r>
          </w:p>
        </w:tc>
      </w:tr>
      <w:tr w:rsidR="00D92C6C" w:rsidRPr="0018000D" w14:paraId="03FD8E90"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10C39441"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Ovarian</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3A1B3CCF" w14:textId="77777777" w:rsidR="00D92C6C" w:rsidRPr="0018000D" w:rsidRDefault="00D92C6C" w:rsidP="0018000D">
            <w:pPr>
              <w:contextualSpacing/>
              <w:jc w:val="center"/>
              <w:rPr>
                <w:rFonts w:cs="Times New Roman"/>
                <w:sz w:val="20"/>
                <w:szCs w:val="20"/>
              </w:rPr>
            </w:pPr>
            <w:r w:rsidRPr="0018000D">
              <w:rPr>
                <w:rFonts w:cs="Times New Roman"/>
                <w:sz w:val="20"/>
                <w:szCs w:val="20"/>
              </w:rPr>
              <w:t>493.22</w:t>
            </w:r>
          </w:p>
        </w:tc>
        <w:tc>
          <w:tcPr>
            <w:tcW w:w="770" w:type="pct"/>
            <w:tcBorders>
              <w:top w:val="nil"/>
              <w:left w:val="nil"/>
              <w:bottom w:val="single" w:sz="4" w:space="0" w:color="auto"/>
              <w:right w:val="single" w:sz="4" w:space="0" w:color="auto"/>
            </w:tcBorders>
            <w:shd w:val="clear" w:color="auto" w:fill="FFFFFF"/>
            <w:noWrap/>
            <w:vAlign w:val="center"/>
            <w:hideMark/>
          </w:tcPr>
          <w:p w14:paraId="41F897B5" w14:textId="77777777" w:rsidR="00D92C6C" w:rsidRPr="0018000D" w:rsidRDefault="00D92C6C" w:rsidP="0018000D">
            <w:pPr>
              <w:contextualSpacing/>
              <w:jc w:val="center"/>
              <w:rPr>
                <w:rFonts w:cs="Times New Roman"/>
                <w:sz w:val="20"/>
                <w:szCs w:val="20"/>
              </w:rPr>
            </w:pPr>
            <w:r w:rsidRPr="0018000D">
              <w:rPr>
                <w:rFonts w:cs="Times New Roman"/>
                <w:sz w:val="20"/>
                <w:szCs w:val="20"/>
              </w:rPr>
              <w:t>1.69</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E0D1A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£172,626</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63D881E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£207,235</w:t>
            </w:r>
          </w:p>
        </w:tc>
      </w:tr>
      <w:tr w:rsidR="00D92C6C" w:rsidRPr="0018000D" w14:paraId="3C995601"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3152CA88"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Papillary thyroid tumour</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5030A14A" w14:textId="77777777" w:rsidR="00D92C6C" w:rsidRPr="0018000D" w:rsidRDefault="00D92C6C" w:rsidP="0018000D">
            <w:pPr>
              <w:contextualSpacing/>
              <w:jc w:val="center"/>
              <w:rPr>
                <w:rFonts w:cs="Times New Roman"/>
                <w:sz w:val="20"/>
                <w:szCs w:val="20"/>
              </w:rPr>
            </w:pPr>
            <w:r w:rsidRPr="0018000D">
              <w:rPr>
                <w:rFonts w:cs="Times New Roman"/>
                <w:sz w:val="20"/>
                <w:szCs w:val="20"/>
              </w:rPr>
              <w:t>9.27</w:t>
            </w:r>
          </w:p>
        </w:tc>
        <w:tc>
          <w:tcPr>
            <w:tcW w:w="770" w:type="pct"/>
            <w:tcBorders>
              <w:top w:val="nil"/>
              <w:left w:val="nil"/>
              <w:bottom w:val="single" w:sz="4" w:space="0" w:color="auto"/>
              <w:right w:val="single" w:sz="4" w:space="0" w:color="auto"/>
            </w:tcBorders>
            <w:shd w:val="clear" w:color="auto" w:fill="FFFFFF"/>
            <w:noWrap/>
            <w:vAlign w:val="center"/>
            <w:hideMark/>
          </w:tcPr>
          <w:p w14:paraId="74A88492" w14:textId="77777777" w:rsidR="00D92C6C" w:rsidRPr="0018000D" w:rsidRDefault="00D92C6C" w:rsidP="0018000D">
            <w:pPr>
              <w:contextualSpacing/>
              <w:jc w:val="center"/>
              <w:rPr>
                <w:rFonts w:cs="Times New Roman"/>
                <w:sz w:val="20"/>
                <w:szCs w:val="20"/>
              </w:rPr>
            </w:pPr>
            <w:r w:rsidRPr="0018000D">
              <w:rPr>
                <w:rFonts w:cs="Times New Roman"/>
                <w:sz w:val="20"/>
                <w:szCs w:val="20"/>
              </w:rPr>
              <w:t>1.01</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F2DC6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£3,245</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22FF70DB"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£3,895</w:t>
            </w:r>
          </w:p>
        </w:tc>
      </w:tr>
      <w:tr w:rsidR="00D92C6C" w:rsidRPr="0018000D" w14:paraId="5737CA16"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61853309"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Paediatric high grade glioma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4E03D5D5" w14:textId="77777777" w:rsidR="00D92C6C" w:rsidRPr="0018000D" w:rsidRDefault="00D92C6C" w:rsidP="0018000D">
            <w:pPr>
              <w:contextualSpacing/>
              <w:jc w:val="center"/>
              <w:rPr>
                <w:rFonts w:cs="Times New Roman"/>
                <w:sz w:val="20"/>
                <w:szCs w:val="20"/>
              </w:rPr>
            </w:pPr>
            <w:r w:rsidRPr="0018000D">
              <w:rPr>
                <w:rFonts w:cs="Times New Roman"/>
                <w:sz w:val="20"/>
                <w:szCs w:val="20"/>
              </w:rPr>
              <w:t>23.27</w:t>
            </w:r>
          </w:p>
        </w:tc>
        <w:tc>
          <w:tcPr>
            <w:tcW w:w="770" w:type="pct"/>
            <w:tcBorders>
              <w:top w:val="nil"/>
              <w:left w:val="nil"/>
              <w:bottom w:val="single" w:sz="4" w:space="0" w:color="auto"/>
              <w:right w:val="single" w:sz="4" w:space="0" w:color="auto"/>
            </w:tcBorders>
            <w:shd w:val="clear" w:color="auto" w:fill="FFFFFF"/>
            <w:noWrap/>
            <w:vAlign w:val="center"/>
            <w:hideMark/>
          </w:tcPr>
          <w:p w14:paraId="042F25FF" w14:textId="77777777" w:rsidR="00D92C6C" w:rsidRPr="0018000D" w:rsidRDefault="00D92C6C" w:rsidP="0018000D">
            <w:pPr>
              <w:contextualSpacing/>
              <w:jc w:val="center"/>
              <w:rPr>
                <w:rFonts w:cs="Times New Roman"/>
                <w:sz w:val="20"/>
                <w:szCs w:val="20"/>
              </w:rPr>
            </w:pPr>
            <w:r w:rsidRPr="0018000D">
              <w:rPr>
                <w:rFonts w:cs="Times New Roman"/>
                <w:sz w:val="20"/>
                <w:szCs w:val="20"/>
              </w:rPr>
              <w:t>1.03</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D1646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£361</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3F05A92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£433</w:t>
            </w:r>
          </w:p>
        </w:tc>
      </w:tr>
      <w:tr w:rsidR="00D92C6C" w:rsidRPr="0018000D" w14:paraId="12ACB88B"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12508450"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Paediatric melanoma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35F0AE21" w14:textId="77777777" w:rsidR="00D92C6C" w:rsidRPr="0018000D" w:rsidRDefault="00D92C6C" w:rsidP="0018000D">
            <w:pPr>
              <w:contextualSpacing/>
              <w:jc w:val="center"/>
              <w:rPr>
                <w:rFonts w:cs="Times New Roman"/>
                <w:sz w:val="20"/>
                <w:szCs w:val="20"/>
              </w:rPr>
            </w:pPr>
            <w:r w:rsidRPr="0018000D">
              <w:rPr>
                <w:rFonts w:cs="Times New Roman"/>
                <w:sz w:val="20"/>
                <w:szCs w:val="20"/>
              </w:rPr>
              <w:t>11.10</w:t>
            </w:r>
          </w:p>
        </w:tc>
        <w:tc>
          <w:tcPr>
            <w:tcW w:w="770" w:type="pct"/>
            <w:tcBorders>
              <w:top w:val="nil"/>
              <w:left w:val="nil"/>
              <w:bottom w:val="single" w:sz="4" w:space="0" w:color="auto"/>
              <w:right w:val="single" w:sz="4" w:space="0" w:color="auto"/>
            </w:tcBorders>
            <w:shd w:val="clear" w:color="auto" w:fill="FFFFFF"/>
            <w:noWrap/>
            <w:vAlign w:val="center"/>
            <w:hideMark/>
          </w:tcPr>
          <w:p w14:paraId="6D550340" w14:textId="77777777" w:rsidR="00D92C6C" w:rsidRPr="0018000D" w:rsidRDefault="00D92C6C" w:rsidP="0018000D">
            <w:pPr>
              <w:contextualSpacing/>
              <w:jc w:val="center"/>
              <w:rPr>
                <w:rFonts w:cs="Times New Roman"/>
                <w:sz w:val="20"/>
                <w:szCs w:val="20"/>
              </w:rPr>
            </w:pPr>
            <w:r w:rsidRPr="0018000D">
              <w:rPr>
                <w:rFonts w:cs="Times New Roman"/>
                <w:sz w:val="20"/>
                <w:szCs w:val="20"/>
              </w:rPr>
              <w:t>1.01</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6A913A"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£355</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20525C54"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£426</w:t>
            </w:r>
          </w:p>
        </w:tc>
      </w:tr>
      <w:tr w:rsidR="00D92C6C" w:rsidRPr="0018000D" w14:paraId="2049932D"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07305E8D"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 xml:space="preserve">Prostate </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65A80796" w14:textId="77777777" w:rsidR="00D92C6C" w:rsidRPr="0018000D" w:rsidRDefault="00D92C6C" w:rsidP="0018000D">
            <w:pPr>
              <w:contextualSpacing/>
              <w:jc w:val="center"/>
              <w:rPr>
                <w:rFonts w:cs="Times New Roman"/>
                <w:sz w:val="20"/>
                <w:szCs w:val="20"/>
              </w:rPr>
            </w:pPr>
            <w:r w:rsidRPr="0018000D">
              <w:rPr>
                <w:rFonts w:cs="Times New Roman"/>
                <w:sz w:val="20"/>
                <w:szCs w:val="20"/>
              </w:rPr>
              <w:t>493.22</w:t>
            </w:r>
          </w:p>
        </w:tc>
        <w:tc>
          <w:tcPr>
            <w:tcW w:w="770" w:type="pct"/>
            <w:tcBorders>
              <w:top w:val="nil"/>
              <w:left w:val="nil"/>
              <w:bottom w:val="single" w:sz="4" w:space="0" w:color="auto"/>
              <w:right w:val="single" w:sz="4" w:space="0" w:color="auto"/>
            </w:tcBorders>
            <w:shd w:val="clear" w:color="auto" w:fill="FFFFFF"/>
            <w:noWrap/>
            <w:vAlign w:val="center"/>
            <w:hideMark/>
          </w:tcPr>
          <w:p w14:paraId="7A37E074" w14:textId="77777777" w:rsidR="00D92C6C" w:rsidRPr="0018000D" w:rsidRDefault="00D92C6C" w:rsidP="0018000D">
            <w:pPr>
              <w:contextualSpacing/>
              <w:jc w:val="center"/>
              <w:rPr>
                <w:rFonts w:cs="Times New Roman"/>
                <w:sz w:val="20"/>
                <w:szCs w:val="20"/>
              </w:rPr>
            </w:pPr>
            <w:r w:rsidRPr="0018000D">
              <w:rPr>
                <w:rFonts w:cs="Times New Roman"/>
                <w:sz w:val="20"/>
                <w:szCs w:val="20"/>
              </w:rPr>
              <w:t>1.69</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AAAF9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£295,931</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4B1FDC0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£355,259</w:t>
            </w:r>
          </w:p>
        </w:tc>
      </w:tr>
      <w:tr w:rsidR="00D92C6C" w:rsidRPr="0018000D" w14:paraId="72588CBC"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419FDE85"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Renal cell carcinoma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2D285E7F" w14:textId="77777777" w:rsidR="00D92C6C" w:rsidRPr="0018000D" w:rsidRDefault="00D92C6C" w:rsidP="0018000D">
            <w:pPr>
              <w:contextualSpacing/>
              <w:jc w:val="center"/>
              <w:rPr>
                <w:rFonts w:cs="Times New Roman"/>
                <w:sz w:val="20"/>
                <w:szCs w:val="20"/>
              </w:rPr>
            </w:pPr>
            <w:r w:rsidRPr="0018000D">
              <w:rPr>
                <w:rFonts w:cs="Times New Roman"/>
                <w:sz w:val="20"/>
                <w:szCs w:val="20"/>
              </w:rPr>
              <w:t>493.22</w:t>
            </w:r>
          </w:p>
        </w:tc>
        <w:tc>
          <w:tcPr>
            <w:tcW w:w="770" w:type="pct"/>
            <w:tcBorders>
              <w:top w:val="nil"/>
              <w:left w:val="nil"/>
              <w:bottom w:val="single" w:sz="4" w:space="0" w:color="auto"/>
              <w:right w:val="single" w:sz="4" w:space="0" w:color="auto"/>
            </w:tcBorders>
            <w:shd w:val="clear" w:color="auto" w:fill="FFFFFF"/>
            <w:noWrap/>
            <w:vAlign w:val="center"/>
            <w:hideMark/>
          </w:tcPr>
          <w:p w14:paraId="00BE013D" w14:textId="77777777" w:rsidR="00D92C6C" w:rsidRPr="0018000D" w:rsidRDefault="00D92C6C" w:rsidP="0018000D">
            <w:pPr>
              <w:contextualSpacing/>
              <w:jc w:val="center"/>
              <w:rPr>
                <w:rFonts w:cs="Times New Roman"/>
                <w:sz w:val="20"/>
                <w:szCs w:val="20"/>
              </w:rPr>
            </w:pPr>
            <w:r w:rsidRPr="0018000D">
              <w:rPr>
                <w:rFonts w:cs="Times New Roman"/>
                <w:sz w:val="20"/>
                <w:szCs w:val="20"/>
              </w:rPr>
              <w:t>1.69</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421F22"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£295,931</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47B12801"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£355,259</w:t>
            </w:r>
          </w:p>
        </w:tc>
      </w:tr>
      <w:tr w:rsidR="00D92C6C" w:rsidRPr="0018000D" w14:paraId="6A5ADD36"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4A1BECB3"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Salivary gland</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2C547827" w14:textId="77777777" w:rsidR="00D92C6C" w:rsidRPr="0018000D" w:rsidRDefault="00D92C6C" w:rsidP="0018000D">
            <w:pPr>
              <w:contextualSpacing/>
              <w:jc w:val="center"/>
              <w:rPr>
                <w:rFonts w:cs="Times New Roman"/>
                <w:sz w:val="20"/>
                <w:szCs w:val="20"/>
              </w:rPr>
            </w:pPr>
            <w:r w:rsidRPr="0018000D">
              <w:rPr>
                <w:rFonts w:cs="Times New Roman"/>
                <w:sz w:val="20"/>
                <w:szCs w:val="20"/>
              </w:rPr>
              <w:t>71.69</w:t>
            </w:r>
          </w:p>
        </w:tc>
        <w:tc>
          <w:tcPr>
            <w:tcW w:w="770" w:type="pct"/>
            <w:tcBorders>
              <w:top w:val="nil"/>
              <w:left w:val="nil"/>
              <w:bottom w:val="single" w:sz="4" w:space="0" w:color="auto"/>
              <w:right w:val="single" w:sz="4" w:space="0" w:color="auto"/>
            </w:tcBorders>
            <w:shd w:val="clear" w:color="auto" w:fill="FFFFFF"/>
            <w:noWrap/>
            <w:vAlign w:val="center"/>
            <w:hideMark/>
          </w:tcPr>
          <w:p w14:paraId="3F9243F0" w14:textId="77777777" w:rsidR="00D92C6C" w:rsidRPr="0018000D" w:rsidRDefault="00D92C6C" w:rsidP="0018000D">
            <w:pPr>
              <w:contextualSpacing/>
              <w:jc w:val="center"/>
              <w:rPr>
                <w:rFonts w:cs="Times New Roman"/>
                <w:sz w:val="20"/>
                <w:szCs w:val="20"/>
              </w:rPr>
            </w:pPr>
            <w:r w:rsidRPr="0018000D">
              <w:rPr>
                <w:rFonts w:cs="Times New Roman"/>
                <w:sz w:val="20"/>
                <w:szCs w:val="20"/>
              </w:rPr>
              <w:t>1.10</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9452ADF"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£43,013</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1D8AA14E"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£51,637</w:t>
            </w:r>
          </w:p>
        </w:tc>
      </w:tr>
      <w:tr w:rsidR="00D92C6C" w:rsidRPr="0018000D" w14:paraId="5D87F525"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3AE56371"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Secretory breast carcinoma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0D24C570" w14:textId="77777777" w:rsidR="00D92C6C" w:rsidRPr="0018000D" w:rsidRDefault="00D92C6C" w:rsidP="0018000D">
            <w:pPr>
              <w:contextualSpacing/>
              <w:jc w:val="center"/>
              <w:rPr>
                <w:rFonts w:cs="Times New Roman"/>
                <w:sz w:val="20"/>
                <w:szCs w:val="20"/>
              </w:rPr>
            </w:pPr>
            <w:r w:rsidRPr="0018000D">
              <w:rPr>
                <w:rFonts w:cs="Times New Roman"/>
                <w:sz w:val="20"/>
                <w:szCs w:val="20"/>
              </w:rPr>
              <w:t>1.34</w:t>
            </w:r>
          </w:p>
        </w:tc>
        <w:tc>
          <w:tcPr>
            <w:tcW w:w="770" w:type="pct"/>
            <w:tcBorders>
              <w:top w:val="nil"/>
              <w:left w:val="nil"/>
              <w:bottom w:val="single" w:sz="4" w:space="0" w:color="auto"/>
              <w:right w:val="single" w:sz="4" w:space="0" w:color="auto"/>
            </w:tcBorders>
            <w:shd w:val="clear" w:color="auto" w:fill="FFFFFF"/>
            <w:noWrap/>
            <w:vAlign w:val="center"/>
            <w:hideMark/>
          </w:tcPr>
          <w:p w14:paraId="56B715EE" w14:textId="77777777" w:rsidR="00D92C6C" w:rsidRPr="0018000D" w:rsidRDefault="00D92C6C" w:rsidP="0018000D">
            <w:pPr>
              <w:contextualSpacing/>
              <w:jc w:val="center"/>
              <w:rPr>
                <w:rFonts w:cs="Times New Roman"/>
                <w:sz w:val="20"/>
                <w:szCs w:val="20"/>
              </w:rPr>
            </w:pPr>
            <w:r w:rsidRPr="0018000D">
              <w:rPr>
                <w:rFonts w:cs="Times New Roman"/>
                <w:sz w:val="20"/>
                <w:szCs w:val="20"/>
              </w:rPr>
              <w:t>1.00</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8D126C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£605</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1ACA4A10"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£726</w:t>
            </w:r>
          </w:p>
        </w:tc>
      </w:tr>
      <w:tr w:rsidR="00D92C6C" w:rsidRPr="0018000D" w14:paraId="631605AD"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43D46229"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Sinonasal adenocarcinoma</w:t>
            </w:r>
          </w:p>
        </w:tc>
        <w:tc>
          <w:tcPr>
            <w:tcW w:w="846" w:type="pct"/>
            <w:tcBorders>
              <w:top w:val="nil"/>
              <w:left w:val="single" w:sz="4" w:space="0" w:color="auto"/>
              <w:bottom w:val="single" w:sz="4" w:space="0" w:color="auto"/>
              <w:right w:val="single" w:sz="4" w:space="0" w:color="auto"/>
            </w:tcBorders>
            <w:shd w:val="clear" w:color="auto" w:fill="FFFFFF"/>
            <w:noWrap/>
            <w:vAlign w:val="center"/>
            <w:hideMark/>
          </w:tcPr>
          <w:p w14:paraId="45C690F1" w14:textId="77777777" w:rsidR="00D92C6C" w:rsidRPr="0018000D" w:rsidRDefault="00D92C6C" w:rsidP="0018000D">
            <w:pPr>
              <w:contextualSpacing/>
              <w:jc w:val="center"/>
              <w:rPr>
                <w:rFonts w:cs="Times New Roman"/>
                <w:sz w:val="20"/>
                <w:szCs w:val="20"/>
              </w:rPr>
            </w:pPr>
            <w:r w:rsidRPr="0018000D">
              <w:rPr>
                <w:rFonts w:cs="Times New Roman"/>
                <w:sz w:val="20"/>
                <w:szCs w:val="20"/>
              </w:rPr>
              <w:t>493.22</w:t>
            </w:r>
          </w:p>
        </w:tc>
        <w:tc>
          <w:tcPr>
            <w:tcW w:w="770" w:type="pct"/>
            <w:tcBorders>
              <w:top w:val="nil"/>
              <w:left w:val="nil"/>
              <w:bottom w:val="single" w:sz="4" w:space="0" w:color="auto"/>
              <w:right w:val="single" w:sz="4" w:space="0" w:color="auto"/>
            </w:tcBorders>
            <w:shd w:val="clear" w:color="auto" w:fill="FFFFFF"/>
            <w:noWrap/>
            <w:vAlign w:val="center"/>
            <w:hideMark/>
          </w:tcPr>
          <w:p w14:paraId="6DB3436B" w14:textId="77777777" w:rsidR="00D92C6C" w:rsidRPr="0018000D" w:rsidRDefault="00D92C6C" w:rsidP="0018000D">
            <w:pPr>
              <w:contextualSpacing/>
              <w:jc w:val="center"/>
              <w:rPr>
                <w:rFonts w:cs="Times New Roman"/>
                <w:sz w:val="20"/>
                <w:szCs w:val="20"/>
              </w:rPr>
            </w:pPr>
            <w:r w:rsidRPr="0018000D">
              <w:rPr>
                <w:rFonts w:cs="Times New Roman"/>
                <w:sz w:val="20"/>
                <w:szCs w:val="20"/>
              </w:rPr>
              <w:t>1.69</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E3FDC"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£295,931</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36548243"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£355,259</w:t>
            </w:r>
          </w:p>
        </w:tc>
      </w:tr>
      <w:tr w:rsidR="00D92C6C" w:rsidRPr="0018000D" w14:paraId="6FE5E83A" w14:textId="77777777" w:rsidTr="00D92C6C">
        <w:trPr>
          <w:trHeight w:val="227"/>
          <w:jc w:val="center"/>
        </w:trPr>
        <w:tc>
          <w:tcPr>
            <w:tcW w:w="1463" w:type="pct"/>
            <w:tcBorders>
              <w:top w:val="single" w:sz="4" w:space="0" w:color="auto"/>
              <w:left w:val="single" w:sz="4" w:space="0" w:color="auto"/>
              <w:bottom w:val="single" w:sz="4" w:space="0" w:color="auto"/>
              <w:right w:val="single" w:sz="4" w:space="0" w:color="auto"/>
            </w:tcBorders>
            <w:hideMark/>
          </w:tcPr>
          <w:p w14:paraId="5EE4A6AC" w14:textId="77777777" w:rsidR="00D92C6C" w:rsidRPr="0018000D" w:rsidRDefault="00D92C6C" w:rsidP="0018000D">
            <w:pPr>
              <w:contextualSpacing/>
              <w:rPr>
                <w:rFonts w:eastAsia="Times New Roman" w:cs="Times New Roman"/>
                <w:sz w:val="20"/>
                <w:szCs w:val="20"/>
              </w:rPr>
            </w:pPr>
            <w:r w:rsidRPr="0018000D">
              <w:rPr>
                <w:rFonts w:eastAsia="Times New Roman" w:cs="Times New Roman"/>
                <w:sz w:val="20"/>
                <w:szCs w:val="20"/>
              </w:rPr>
              <w:t>Uterine</w:t>
            </w:r>
          </w:p>
        </w:tc>
        <w:tc>
          <w:tcPr>
            <w:tcW w:w="846" w:type="pct"/>
            <w:tcBorders>
              <w:top w:val="nil"/>
              <w:left w:val="single" w:sz="4" w:space="0" w:color="auto"/>
              <w:bottom w:val="single" w:sz="8" w:space="0" w:color="auto"/>
              <w:right w:val="single" w:sz="4" w:space="0" w:color="auto"/>
            </w:tcBorders>
            <w:shd w:val="clear" w:color="auto" w:fill="FFFFFF"/>
            <w:noWrap/>
            <w:vAlign w:val="center"/>
            <w:hideMark/>
          </w:tcPr>
          <w:p w14:paraId="04DAF2C0" w14:textId="77777777" w:rsidR="00D92C6C" w:rsidRPr="0018000D" w:rsidRDefault="00D92C6C" w:rsidP="0018000D">
            <w:pPr>
              <w:contextualSpacing/>
              <w:jc w:val="center"/>
              <w:rPr>
                <w:rFonts w:cs="Times New Roman"/>
                <w:sz w:val="20"/>
                <w:szCs w:val="20"/>
              </w:rPr>
            </w:pPr>
            <w:r w:rsidRPr="0018000D">
              <w:rPr>
                <w:rFonts w:cs="Times New Roman"/>
                <w:sz w:val="20"/>
                <w:szCs w:val="20"/>
              </w:rPr>
              <w:t>1233.05</w:t>
            </w:r>
          </w:p>
        </w:tc>
        <w:tc>
          <w:tcPr>
            <w:tcW w:w="770" w:type="pct"/>
            <w:tcBorders>
              <w:top w:val="nil"/>
              <w:left w:val="nil"/>
              <w:bottom w:val="single" w:sz="8" w:space="0" w:color="auto"/>
              <w:right w:val="single" w:sz="4" w:space="0" w:color="auto"/>
            </w:tcBorders>
            <w:shd w:val="clear" w:color="auto" w:fill="FFFFFF"/>
            <w:noWrap/>
            <w:vAlign w:val="center"/>
            <w:hideMark/>
          </w:tcPr>
          <w:p w14:paraId="5E9F5031" w14:textId="77777777" w:rsidR="00D92C6C" w:rsidRPr="0018000D" w:rsidRDefault="00D92C6C" w:rsidP="0018000D">
            <w:pPr>
              <w:contextualSpacing/>
              <w:jc w:val="center"/>
              <w:rPr>
                <w:rFonts w:cs="Times New Roman"/>
                <w:sz w:val="20"/>
                <w:szCs w:val="20"/>
              </w:rPr>
            </w:pPr>
            <w:r w:rsidRPr="0018000D">
              <w:rPr>
                <w:rFonts w:cs="Times New Roman"/>
                <w:sz w:val="20"/>
                <w:szCs w:val="20"/>
              </w:rPr>
              <w:t>2.72</w:t>
            </w:r>
          </w:p>
        </w:tc>
        <w:tc>
          <w:tcPr>
            <w:tcW w:w="95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D45A98" w14:textId="77777777" w:rsidR="00D92C6C" w:rsidRPr="0018000D" w:rsidRDefault="00D92C6C" w:rsidP="0018000D">
            <w:pPr>
              <w:contextualSpacing/>
              <w:jc w:val="center"/>
              <w:rPr>
                <w:rFonts w:cs="Times New Roman"/>
                <w:sz w:val="20"/>
                <w:szCs w:val="20"/>
              </w:rPr>
            </w:pPr>
            <w:r w:rsidRPr="0018000D">
              <w:rPr>
                <w:rFonts w:cs="Times New Roman"/>
                <w:color w:val="000000"/>
                <w:sz w:val="20"/>
                <w:szCs w:val="20"/>
              </w:rPr>
              <w:t>£739,827</w:t>
            </w:r>
          </w:p>
        </w:tc>
        <w:tc>
          <w:tcPr>
            <w:tcW w:w="963" w:type="pct"/>
            <w:tcBorders>
              <w:top w:val="nil"/>
              <w:left w:val="nil"/>
              <w:bottom w:val="single" w:sz="4" w:space="0" w:color="auto"/>
              <w:right w:val="single" w:sz="8" w:space="0" w:color="auto"/>
            </w:tcBorders>
            <w:shd w:val="clear" w:color="auto" w:fill="FFFFFF" w:themeFill="background1"/>
            <w:noWrap/>
            <w:vAlign w:val="center"/>
            <w:hideMark/>
          </w:tcPr>
          <w:p w14:paraId="0DA43730" w14:textId="77777777" w:rsidR="00D92C6C" w:rsidRPr="0018000D" w:rsidRDefault="00D92C6C" w:rsidP="0018000D">
            <w:pPr>
              <w:keepNext/>
              <w:contextualSpacing/>
              <w:jc w:val="center"/>
              <w:rPr>
                <w:rFonts w:cs="Times New Roman"/>
                <w:sz w:val="20"/>
                <w:szCs w:val="20"/>
              </w:rPr>
            </w:pPr>
            <w:r w:rsidRPr="0018000D">
              <w:rPr>
                <w:rFonts w:cs="Times New Roman"/>
                <w:color w:val="000000"/>
                <w:sz w:val="20"/>
                <w:szCs w:val="20"/>
              </w:rPr>
              <w:t>£888,148</w:t>
            </w:r>
          </w:p>
        </w:tc>
      </w:tr>
    </w:tbl>
    <w:p w14:paraId="68FD1C62" w14:textId="77777777" w:rsidR="00FC01B1" w:rsidRPr="00FC01B1" w:rsidRDefault="00FC01B1" w:rsidP="00FC01B1"/>
    <w:p w14:paraId="251FC9B6" w14:textId="184BF2FE" w:rsidR="00472C36" w:rsidRPr="002D1DD7" w:rsidRDefault="00472C36" w:rsidP="0018000D">
      <w:pPr>
        <w:pStyle w:val="Heading5"/>
      </w:pPr>
      <w:r w:rsidRPr="002D1DD7">
        <w:t xml:space="preserve">Exhaustive Approach: </w:t>
      </w:r>
      <w:r w:rsidR="00D8687B">
        <w:t>treating</w:t>
      </w:r>
      <w:r w:rsidR="00D8687B" w:rsidRPr="002D1DD7">
        <w:t xml:space="preserve"> </w:t>
      </w:r>
      <w:r w:rsidRPr="002D1DD7">
        <w:t xml:space="preserve">at line of therapy. </w:t>
      </w:r>
    </w:p>
    <w:p w14:paraId="226741B5" w14:textId="77D94E5A" w:rsidR="00D765F4" w:rsidRPr="002D1DD7" w:rsidRDefault="00D765F4" w:rsidP="0018000D">
      <w:r w:rsidRPr="002D1DD7">
        <w:t>If</w:t>
      </w:r>
      <w:r w:rsidR="00D8687B">
        <w:t xml:space="preserve">, </w:t>
      </w:r>
      <w:r w:rsidR="00E467CF">
        <w:t xml:space="preserve"> </w:t>
      </w:r>
      <w:r w:rsidR="00D8687B">
        <w:t>testing were to be done at diagnosis of ad</w:t>
      </w:r>
      <w:r w:rsidR="0037059F">
        <w:t xml:space="preserve">vanced or metastatic cancer </w:t>
      </w:r>
      <w:r w:rsidR="00FA1DE9">
        <w:t>and larotrectinib is offered in the appropriate position in the treatment pathway,</w:t>
      </w:r>
      <w:r w:rsidRPr="002D1DD7">
        <w:t xml:space="preserve"> the average </w:t>
      </w:r>
      <w:r w:rsidRPr="002D1DD7">
        <w:rPr>
          <w:rFonts w:cs="Times New Roman"/>
        </w:rPr>
        <w:t>incremental</w:t>
      </w:r>
      <w:r w:rsidRPr="002D1DD7">
        <w:t xml:space="preserve"> testing cost to identify one individual eligible for treatment is </w:t>
      </w:r>
      <w:r w:rsidR="00F03755" w:rsidRPr="002D1DD7">
        <w:t>higher</w:t>
      </w:r>
      <w:r w:rsidRPr="002D1DD7">
        <w:t xml:space="preserve"> compared to when </w:t>
      </w:r>
      <w:r w:rsidR="00D8687B">
        <w:t xml:space="preserve">treatment is offered </w:t>
      </w:r>
      <w:r w:rsidR="002373DA">
        <w:t xml:space="preserve">as </w:t>
      </w:r>
      <w:r w:rsidR="00D8687B">
        <w:t>first line therapy</w:t>
      </w:r>
      <w:r w:rsidR="00FA1DE9">
        <w:t>.</w:t>
      </w:r>
      <w:r w:rsidR="00472C36" w:rsidRPr="002D1DD7">
        <w:t xml:space="preserve"> </w:t>
      </w:r>
      <w:r w:rsidR="00FA1DE9">
        <w:t>T</w:t>
      </w:r>
      <w:r w:rsidR="00472C36" w:rsidRPr="002D1DD7">
        <w:t>he annual population eligible for treatment is lower (n =</w:t>
      </w:r>
      <w:r w:rsidR="00D8687B">
        <w:t xml:space="preserve"> 94</w:t>
      </w:r>
      <w:r w:rsidR="00472C36" w:rsidRPr="002D1DD7">
        <w:t>)</w:t>
      </w:r>
      <w:r w:rsidR="00FA1DE9">
        <w:t>, thus t</w:t>
      </w:r>
      <w:r w:rsidRPr="002D1DD7">
        <w:t xml:space="preserve">he average incremental cost of testing to identify one individual eligible for treatment </w:t>
      </w:r>
      <w:r w:rsidR="000741CA">
        <w:t>is estimated to be</w:t>
      </w:r>
      <w:r w:rsidR="000741CA" w:rsidRPr="002D1DD7">
        <w:t xml:space="preserve"> </w:t>
      </w:r>
      <w:r w:rsidRPr="002D1DD7">
        <w:t>£</w:t>
      </w:r>
      <w:r w:rsidR="00FA1DE9">
        <w:t>516,635</w:t>
      </w:r>
      <w:r w:rsidRPr="002D1DD7">
        <w:t>.</w:t>
      </w:r>
      <w:r w:rsidR="00C75BFC" w:rsidRPr="002D1DD7">
        <w:t xml:space="preserve"> </w:t>
      </w:r>
    </w:p>
    <w:p w14:paraId="3DC96CFB" w14:textId="2614BA53" w:rsidR="0018000D" w:rsidRDefault="0018000D" w:rsidP="0018000D">
      <w:pPr>
        <w:pStyle w:val="Caption"/>
      </w:pPr>
      <w:bookmarkStart w:id="209" w:name="_Toc34033536"/>
      <w:r>
        <w:t xml:space="preserve">Table </w:t>
      </w:r>
      <w:r w:rsidR="00C974E5">
        <w:fldChar w:fldCharType="begin"/>
      </w:r>
      <w:r w:rsidR="00C974E5">
        <w:instrText xml:space="preserve"> SEQ Table \* ARABIC </w:instrText>
      </w:r>
      <w:r w:rsidR="00C974E5">
        <w:fldChar w:fldCharType="separate"/>
      </w:r>
      <w:r w:rsidR="00C9471F">
        <w:rPr>
          <w:noProof/>
        </w:rPr>
        <w:t>22</w:t>
      </w:r>
      <w:r w:rsidR="00C974E5">
        <w:rPr>
          <w:noProof/>
        </w:rPr>
        <w:fldChar w:fldCharType="end"/>
      </w:r>
      <w:r w:rsidR="008C7423">
        <w:rPr>
          <w:noProof/>
        </w:rPr>
        <w:t>:</w:t>
      </w:r>
      <w:r>
        <w:t xml:space="preserve"> </w:t>
      </w:r>
      <w:r w:rsidR="007357C6" w:rsidRPr="002D1DD7">
        <w:t>Summary of NNS and testing cost under exhaustive testing strategy</w:t>
      </w:r>
      <w:r w:rsidR="007357C6">
        <w:t xml:space="preserve"> when testing is done at diagnosis and treatment is provided at the appropriate line of therapy</w:t>
      </w:r>
      <w:bookmarkEnd w:id="209"/>
      <w:r w:rsidR="007357C6">
        <w:t xml:space="preserve"> </w:t>
      </w:r>
    </w:p>
    <w:tbl>
      <w:tblPr>
        <w:tblStyle w:val="TableGrid"/>
        <w:tblW w:w="8947" w:type="dxa"/>
        <w:tblInd w:w="-431" w:type="dxa"/>
        <w:tblLook w:val="04A0" w:firstRow="1" w:lastRow="0" w:firstColumn="1" w:lastColumn="0" w:noHBand="0" w:noVBand="1"/>
      </w:tblPr>
      <w:tblGrid>
        <w:gridCol w:w="2836"/>
        <w:gridCol w:w="1700"/>
        <w:gridCol w:w="2268"/>
        <w:gridCol w:w="2143"/>
      </w:tblGrid>
      <w:tr w:rsidR="00D92C6C" w14:paraId="5BA317DF" w14:textId="77777777" w:rsidTr="007357C6">
        <w:trPr>
          <w:trHeight w:val="691"/>
        </w:trPr>
        <w:tc>
          <w:tcPr>
            <w:tcW w:w="2836" w:type="dxa"/>
            <w:hideMark/>
          </w:tcPr>
          <w:p w14:paraId="6475EC15" w14:textId="77777777" w:rsidR="00D92C6C" w:rsidRDefault="00D92C6C">
            <w:pPr>
              <w:rPr>
                <w:b/>
                <w:bCs/>
                <w:sz w:val="20"/>
                <w:szCs w:val="20"/>
              </w:rPr>
            </w:pPr>
            <w:r>
              <w:rPr>
                <w:b/>
                <w:bCs/>
                <w:sz w:val="20"/>
                <w:szCs w:val="20"/>
              </w:rPr>
              <w:t>Tumour Type</w:t>
            </w:r>
          </w:p>
        </w:tc>
        <w:tc>
          <w:tcPr>
            <w:tcW w:w="1700" w:type="dxa"/>
            <w:hideMark/>
          </w:tcPr>
          <w:p w14:paraId="1AEEBDAE" w14:textId="3B014A0B" w:rsidR="00D92C6C" w:rsidRDefault="00D92C6C" w:rsidP="007357C6">
            <w:pPr>
              <w:jc w:val="center"/>
              <w:rPr>
                <w:b/>
                <w:bCs/>
                <w:sz w:val="20"/>
                <w:szCs w:val="20"/>
              </w:rPr>
            </w:pPr>
            <w:r>
              <w:rPr>
                <w:b/>
                <w:bCs/>
                <w:sz w:val="20"/>
                <w:szCs w:val="20"/>
              </w:rPr>
              <w:t>Proportion eligible based on t</w:t>
            </w:r>
            <w:r w:rsidR="007357C6">
              <w:rPr>
                <w:b/>
                <w:bCs/>
                <w:sz w:val="20"/>
                <w:szCs w:val="20"/>
              </w:rPr>
              <w:t>reating</w:t>
            </w:r>
            <w:r>
              <w:rPr>
                <w:b/>
                <w:bCs/>
                <w:sz w:val="20"/>
                <w:szCs w:val="20"/>
              </w:rPr>
              <w:t xml:space="preserve"> at line of therapy</w:t>
            </w:r>
          </w:p>
        </w:tc>
        <w:tc>
          <w:tcPr>
            <w:tcW w:w="2268" w:type="dxa"/>
            <w:hideMark/>
          </w:tcPr>
          <w:p w14:paraId="53EF887D" w14:textId="77777777" w:rsidR="00D92C6C" w:rsidRDefault="00D92C6C">
            <w:pPr>
              <w:jc w:val="center"/>
              <w:rPr>
                <w:b/>
                <w:bCs/>
                <w:sz w:val="20"/>
                <w:szCs w:val="20"/>
              </w:rPr>
            </w:pPr>
            <w:r>
              <w:rPr>
                <w:b/>
                <w:bCs/>
                <w:sz w:val="20"/>
                <w:szCs w:val="20"/>
              </w:rPr>
              <w:t>Incremental Cost to Identify NTRK fusion patient</w:t>
            </w:r>
          </w:p>
        </w:tc>
        <w:tc>
          <w:tcPr>
            <w:tcW w:w="2143" w:type="dxa"/>
            <w:hideMark/>
          </w:tcPr>
          <w:p w14:paraId="2753F9CE" w14:textId="77777777" w:rsidR="00D92C6C" w:rsidRDefault="00D92C6C">
            <w:pPr>
              <w:jc w:val="center"/>
              <w:rPr>
                <w:b/>
                <w:bCs/>
                <w:sz w:val="20"/>
                <w:szCs w:val="20"/>
              </w:rPr>
            </w:pPr>
            <w:r>
              <w:rPr>
                <w:b/>
                <w:bCs/>
                <w:sz w:val="20"/>
                <w:szCs w:val="20"/>
              </w:rPr>
              <w:t>Incremental Cost-Effectiveness Ratio</w:t>
            </w:r>
          </w:p>
        </w:tc>
      </w:tr>
      <w:tr w:rsidR="007357C6" w14:paraId="5CB4C485" w14:textId="77777777" w:rsidTr="007357C6">
        <w:trPr>
          <w:trHeight w:val="134"/>
        </w:trPr>
        <w:tc>
          <w:tcPr>
            <w:tcW w:w="8947" w:type="dxa"/>
            <w:gridSpan w:val="4"/>
            <w:shd w:val="clear" w:color="auto" w:fill="D9D9D9" w:themeFill="background1" w:themeFillShade="D9"/>
          </w:tcPr>
          <w:p w14:paraId="1AD79D28" w14:textId="5D39DD49" w:rsidR="007357C6" w:rsidRDefault="007357C6">
            <w:pPr>
              <w:rPr>
                <w:rFonts w:cs="Times New Roman"/>
                <w:b/>
                <w:sz w:val="20"/>
                <w:szCs w:val="20"/>
              </w:rPr>
            </w:pPr>
            <w:r>
              <w:rPr>
                <w:rFonts w:cs="Times New Roman"/>
                <w:b/>
                <w:sz w:val="20"/>
                <w:szCs w:val="20"/>
              </w:rPr>
              <w:t>Tumours in Trial</w:t>
            </w:r>
          </w:p>
        </w:tc>
      </w:tr>
      <w:tr w:rsidR="00D92C6C" w14:paraId="7219BEF9" w14:textId="77777777" w:rsidTr="007357C6">
        <w:trPr>
          <w:trHeight w:val="287"/>
        </w:trPr>
        <w:tc>
          <w:tcPr>
            <w:tcW w:w="2836" w:type="dxa"/>
            <w:hideMark/>
          </w:tcPr>
          <w:p w14:paraId="1DE41CFA" w14:textId="77777777" w:rsidR="00D92C6C" w:rsidRDefault="00D92C6C">
            <w:pPr>
              <w:rPr>
                <w:bCs/>
                <w:sz w:val="20"/>
                <w:szCs w:val="20"/>
              </w:rPr>
            </w:pPr>
            <w:r>
              <w:rPr>
                <w:bCs/>
                <w:sz w:val="20"/>
                <w:szCs w:val="20"/>
              </w:rPr>
              <w:t>Appendix</w:t>
            </w:r>
          </w:p>
        </w:tc>
        <w:tc>
          <w:tcPr>
            <w:tcW w:w="1700" w:type="dxa"/>
            <w:noWrap/>
            <w:hideMark/>
          </w:tcPr>
          <w:p w14:paraId="5338638F" w14:textId="77777777" w:rsidR="00D92C6C" w:rsidRDefault="00D92C6C">
            <w:pPr>
              <w:jc w:val="center"/>
              <w:rPr>
                <w:sz w:val="20"/>
                <w:szCs w:val="20"/>
              </w:rPr>
            </w:pPr>
            <w:r>
              <w:rPr>
                <w:sz w:val="20"/>
                <w:szCs w:val="20"/>
              </w:rPr>
              <w:t>30%</w:t>
            </w:r>
          </w:p>
        </w:tc>
        <w:tc>
          <w:tcPr>
            <w:tcW w:w="2268" w:type="dxa"/>
            <w:noWrap/>
            <w:hideMark/>
          </w:tcPr>
          <w:p w14:paraId="35503C64" w14:textId="77777777" w:rsidR="00D92C6C" w:rsidRDefault="00D92C6C">
            <w:pPr>
              <w:jc w:val="center"/>
              <w:rPr>
                <w:rFonts w:cs="Times New Roman"/>
                <w:sz w:val="20"/>
                <w:szCs w:val="20"/>
              </w:rPr>
            </w:pPr>
            <w:r>
              <w:rPr>
                <w:rFonts w:cs="Times New Roman"/>
                <w:sz w:val="20"/>
                <w:szCs w:val="20"/>
              </w:rPr>
              <w:t>£4,050</w:t>
            </w:r>
          </w:p>
        </w:tc>
        <w:tc>
          <w:tcPr>
            <w:tcW w:w="2143" w:type="dxa"/>
            <w:hideMark/>
          </w:tcPr>
          <w:p w14:paraId="6229A131" w14:textId="77777777" w:rsidR="00D92C6C" w:rsidRDefault="00D92C6C">
            <w:pPr>
              <w:jc w:val="center"/>
              <w:rPr>
                <w:rFonts w:cs="Times New Roman"/>
                <w:sz w:val="20"/>
                <w:szCs w:val="20"/>
              </w:rPr>
            </w:pPr>
            <w:r>
              <w:rPr>
                <w:rFonts w:cs="Times New Roman"/>
                <w:sz w:val="20"/>
                <w:szCs w:val="20"/>
              </w:rPr>
              <w:t>£4,862</w:t>
            </w:r>
          </w:p>
        </w:tc>
      </w:tr>
      <w:tr w:rsidR="00D92C6C" w14:paraId="59F00C70" w14:textId="77777777" w:rsidTr="007357C6">
        <w:trPr>
          <w:trHeight w:val="261"/>
        </w:trPr>
        <w:tc>
          <w:tcPr>
            <w:tcW w:w="2836" w:type="dxa"/>
            <w:hideMark/>
          </w:tcPr>
          <w:p w14:paraId="60C03F0E" w14:textId="77777777" w:rsidR="00D92C6C" w:rsidRDefault="00D92C6C">
            <w:pPr>
              <w:rPr>
                <w:bCs/>
                <w:sz w:val="20"/>
                <w:szCs w:val="20"/>
              </w:rPr>
            </w:pPr>
            <w:r>
              <w:rPr>
                <w:bCs/>
                <w:sz w:val="20"/>
                <w:szCs w:val="20"/>
              </w:rPr>
              <w:lastRenderedPageBreak/>
              <w:t xml:space="preserve">Breast </w:t>
            </w:r>
          </w:p>
        </w:tc>
        <w:tc>
          <w:tcPr>
            <w:tcW w:w="1700" w:type="dxa"/>
            <w:noWrap/>
            <w:hideMark/>
          </w:tcPr>
          <w:p w14:paraId="4A3FEBCE" w14:textId="77777777" w:rsidR="00D92C6C" w:rsidRDefault="00D92C6C">
            <w:pPr>
              <w:jc w:val="center"/>
              <w:rPr>
                <w:sz w:val="20"/>
                <w:szCs w:val="20"/>
              </w:rPr>
            </w:pPr>
            <w:r>
              <w:rPr>
                <w:sz w:val="20"/>
                <w:szCs w:val="20"/>
              </w:rPr>
              <w:t>30%</w:t>
            </w:r>
          </w:p>
        </w:tc>
        <w:tc>
          <w:tcPr>
            <w:tcW w:w="2268" w:type="dxa"/>
            <w:noWrap/>
            <w:hideMark/>
          </w:tcPr>
          <w:p w14:paraId="11461102" w14:textId="77777777" w:rsidR="00D92C6C" w:rsidRDefault="00D92C6C">
            <w:pPr>
              <w:jc w:val="center"/>
              <w:rPr>
                <w:rFonts w:cs="Times New Roman"/>
                <w:sz w:val="20"/>
                <w:szCs w:val="20"/>
              </w:rPr>
            </w:pPr>
            <w:r>
              <w:rPr>
                <w:rFonts w:cs="Times New Roman"/>
                <w:sz w:val="20"/>
                <w:szCs w:val="20"/>
              </w:rPr>
              <w:t>£2,055,076</w:t>
            </w:r>
          </w:p>
        </w:tc>
        <w:tc>
          <w:tcPr>
            <w:tcW w:w="2143" w:type="dxa"/>
            <w:hideMark/>
          </w:tcPr>
          <w:p w14:paraId="48074508" w14:textId="77777777" w:rsidR="00D92C6C" w:rsidRDefault="00D92C6C">
            <w:pPr>
              <w:jc w:val="center"/>
              <w:rPr>
                <w:rFonts w:cs="Times New Roman"/>
                <w:sz w:val="20"/>
                <w:szCs w:val="20"/>
              </w:rPr>
            </w:pPr>
            <w:r>
              <w:rPr>
                <w:rFonts w:cs="Times New Roman"/>
                <w:sz w:val="20"/>
                <w:szCs w:val="20"/>
              </w:rPr>
              <w:t>£2,467,078</w:t>
            </w:r>
          </w:p>
        </w:tc>
      </w:tr>
      <w:tr w:rsidR="00D92C6C" w14:paraId="590B6371" w14:textId="77777777" w:rsidTr="007357C6">
        <w:trPr>
          <w:trHeight w:val="261"/>
        </w:trPr>
        <w:tc>
          <w:tcPr>
            <w:tcW w:w="2836" w:type="dxa"/>
            <w:hideMark/>
          </w:tcPr>
          <w:p w14:paraId="6919F7EE" w14:textId="77777777" w:rsidR="00D92C6C" w:rsidRDefault="00D92C6C">
            <w:pPr>
              <w:rPr>
                <w:bCs/>
                <w:sz w:val="20"/>
                <w:szCs w:val="20"/>
              </w:rPr>
            </w:pPr>
            <w:r>
              <w:rPr>
                <w:bCs/>
                <w:sz w:val="20"/>
                <w:szCs w:val="20"/>
              </w:rPr>
              <w:t>Cholangiocarcinoma</w:t>
            </w:r>
          </w:p>
        </w:tc>
        <w:tc>
          <w:tcPr>
            <w:tcW w:w="1700" w:type="dxa"/>
            <w:noWrap/>
            <w:hideMark/>
          </w:tcPr>
          <w:p w14:paraId="24495E19" w14:textId="77777777" w:rsidR="00D92C6C" w:rsidRDefault="00D92C6C">
            <w:pPr>
              <w:jc w:val="center"/>
              <w:rPr>
                <w:sz w:val="20"/>
                <w:szCs w:val="20"/>
              </w:rPr>
            </w:pPr>
            <w:r>
              <w:rPr>
                <w:sz w:val="20"/>
                <w:szCs w:val="20"/>
              </w:rPr>
              <w:t>30%</w:t>
            </w:r>
          </w:p>
        </w:tc>
        <w:tc>
          <w:tcPr>
            <w:tcW w:w="2268" w:type="dxa"/>
            <w:noWrap/>
            <w:hideMark/>
          </w:tcPr>
          <w:p w14:paraId="2DABA97E" w14:textId="77777777" w:rsidR="00D92C6C" w:rsidRDefault="00D92C6C">
            <w:pPr>
              <w:jc w:val="center"/>
              <w:rPr>
                <w:rFonts w:cs="Times New Roman"/>
                <w:sz w:val="20"/>
                <w:szCs w:val="20"/>
              </w:rPr>
            </w:pPr>
            <w:r>
              <w:rPr>
                <w:rFonts w:cs="Times New Roman"/>
                <w:sz w:val="20"/>
                <w:szCs w:val="20"/>
              </w:rPr>
              <w:t>£2,466,091</w:t>
            </w:r>
          </w:p>
        </w:tc>
        <w:tc>
          <w:tcPr>
            <w:tcW w:w="2143" w:type="dxa"/>
            <w:hideMark/>
          </w:tcPr>
          <w:p w14:paraId="2D921A65" w14:textId="77777777" w:rsidR="00D92C6C" w:rsidRDefault="00D92C6C">
            <w:pPr>
              <w:jc w:val="center"/>
              <w:rPr>
                <w:rFonts w:cs="Times New Roman"/>
                <w:sz w:val="20"/>
                <w:szCs w:val="20"/>
              </w:rPr>
            </w:pPr>
            <w:r>
              <w:rPr>
                <w:rFonts w:cs="Times New Roman"/>
                <w:sz w:val="20"/>
                <w:szCs w:val="20"/>
              </w:rPr>
              <w:t>£2,960,494</w:t>
            </w:r>
          </w:p>
        </w:tc>
      </w:tr>
      <w:tr w:rsidR="00D92C6C" w14:paraId="7F6E7AC1" w14:textId="77777777" w:rsidTr="007357C6">
        <w:trPr>
          <w:trHeight w:val="261"/>
        </w:trPr>
        <w:tc>
          <w:tcPr>
            <w:tcW w:w="2836" w:type="dxa"/>
            <w:hideMark/>
          </w:tcPr>
          <w:p w14:paraId="24F2BC38" w14:textId="77777777" w:rsidR="00D92C6C" w:rsidRDefault="00D92C6C">
            <w:pPr>
              <w:rPr>
                <w:bCs/>
                <w:sz w:val="20"/>
                <w:szCs w:val="20"/>
              </w:rPr>
            </w:pPr>
            <w:r>
              <w:rPr>
                <w:bCs/>
                <w:sz w:val="20"/>
                <w:szCs w:val="20"/>
              </w:rPr>
              <w:t>Colorectal</w:t>
            </w:r>
          </w:p>
        </w:tc>
        <w:tc>
          <w:tcPr>
            <w:tcW w:w="1700" w:type="dxa"/>
            <w:noWrap/>
            <w:hideMark/>
          </w:tcPr>
          <w:p w14:paraId="0F2B85D7" w14:textId="77777777" w:rsidR="00D92C6C" w:rsidRDefault="00D92C6C">
            <w:pPr>
              <w:jc w:val="center"/>
              <w:rPr>
                <w:sz w:val="20"/>
                <w:szCs w:val="20"/>
              </w:rPr>
            </w:pPr>
            <w:r>
              <w:rPr>
                <w:sz w:val="20"/>
                <w:szCs w:val="20"/>
              </w:rPr>
              <w:t>30%</w:t>
            </w:r>
          </w:p>
        </w:tc>
        <w:tc>
          <w:tcPr>
            <w:tcW w:w="2268" w:type="dxa"/>
            <w:noWrap/>
            <w:hideMark/>
          </w:tcPr>
          <w:p w14:paraId="13BA4640" w14:textId="77777777" w:rsidR="00D92C6C" w:rsidRDefault="00D92C6C">
            <w:pPr>
              <w:jc w:val="center"/>
              <w:rPr>
                <w:rFonts w:cs="Times New Roman"/>
                <w:sz w:val="20"/>
                <w:szCs w:val="20"/>
              </w:rPr>
            </w:pPr>
            <w:r>
              <w:rPr>
                <w:rFonts w:cs="Times New Roman"/>
                <w:sz w:val="20"/>
                <w:szCs w:val="20"/>
              </w:rPr>
              <w:t>£1,198,794</w:t>
            </w:r>
          </w:p>
        </w:tc>
        <w:tc>
          <w:tcPr>
            <w:tcW w:w="2143" w:type="dxa"/>
            <w:hideMark/>
          </w:tcPr>
          <w:p w14:paraId="6C25C11E" w14:textId="77777777" w:rsidR="00D92C6C" w:rsidRDefault="00D92C6C">
            <w:pPr>
              <w:jc w:val="center"/>
              <w:rPr>
                <w:rFonts w:cs="Times New Roman"/>
                <w:sz w:val="20"/>
                <w:szCs w:val="20"/>
              </w:rPr>
            </w:pPr>
            <w:r>
              <w:rPr>
                <w:rFonts w:cs="Times New Roman"/>
                <w:sz w:val="20"/>
                <w:szCs w:val="20"/>
              </w:rPr>
              <w:t>£1,439,129</w:t>
            </w:r>
          </w:p>
        </w:tc>
      </w:tr>
      <w:tr w:rsidR="00D92C6C" w14:paraId="7BDD42A5" w14:textId="77777777" w:rsidTr="007357C6">
        <w:trPr>
          <w:trHeight w:val="274"/>
        </w:trPr>
        <w:tc>
          <w:tcPr>
            <w:tcW w:w="2836" w:type="dxa"/>
            <w:hideMark/>
          </w:tcPr>
          <w:p w14:paraId="4C683CD1" w14:textId="77777777" w:rsidR="00D92C6C" w:rsidRDefault="00D92C6C">
            <w:pPr>
              <w:rPr>
                <w:bCs/>
                <w:sz w:val="20"/>
                <w:szCs w:val="20"/>
              </w:rPr>
            </w:pPr>
            <w:r>
              <w:rPr>
                <w:bCs/>
                <w:sz w:val="20"/>
                <w:szCs w:val="20"/>
              </w:rPr>
              <w:t>GIST</w:t>
            </w:r>
          </w:p>
        </w:tc>
        <w:tc>
          <w:tcPr>
            <w:tcW w:w="1700" w:type="dxa"/>
            <w:noWrap/>
            <w:hideMark/>
          </w:tcPr>
          <w:p w14:paraId="55F1FDC2" w14:textId="77777777" w:rsidR="00D92C6C" w:rsidRDefault="00D92C6C">
            <w:pPr>
              <w:jc w:val="center"/>
              <w:rPr>
                <w:sz w:val="20"/>
                <w:szCs w:val="20"/>
              </w:rPr>
            </w:pPr>
            <w:r>
              <w:rPr>
                <w:sz w:val="20"/>
                <w:szCs w:val="20"/>
              </w:rPr>
              <w:t>30%</w:t>
            </w:r>
          </w:p>
        </w:tc>
        <w:tc>
          <w:tcPr>
            <w:tcW w:w="2268" w:type="dxa"/>
            <w:noWrap/>
            <w:hideMark/>
          </w:tcPr>
          <w:p w14:paraId="3FA0E187" w14:textId="77777777" w:rsidR="00D92C6C" w:rsidRDefault="00D92C6C">
            <w:pPr>
              <w:jc w:val="center"/>
              <w:rPr>
                <w:rFonts w:cs="Times New Roman"/>
                <w:sz w:val="20"/>
                <w:szCs w:val="20"/>
              </w:rPr>
            </w:pPr>
            <w:r>
              <w:rPr>
                <w:rFonts w:cs="Times New Roman"/>
                <w:sz w:val="20"/>
                <w:szCs w:val="20"/>
              </w:rPr>
              <w:t>£192,663</w:t>
            </w:r>
          </w:p>
        </w:tc>
        <w:tc>
          <w:tcPr>
            <w:tcW w:w="2143" w:type="dxa"/>
            <w:hideMark/>
          </w:tcPr>
          <w:p w14:paraId="19F8E105" w14:textId="77777777" w:rsidR="00D92C6C" w:rsidRDefault="00D92C6C">
            <w:pPr>
              <w:jc w:val="center"/>
              <w:rPr>
                <w:rFonts w:cs="Times New Roman"/>
                <w:sz w:val="20"/>
                <w:szCs w:val="20"/>
              </w:rPr>
            </w:pPr>
            <w:r>
              <w:rPr>
                <w:rFonts w:cs="Times New Roman"/>
                <w:sz w:val="20"/>
                <w:szCs w:val="20"/>
              </w:rPr>
              <w:t>£231,289</w:t>
            </w:r>
          </w:p>
        </w:tc>
      </w:tr>
      <w:tr w:rsidR="00D92C6C" w14:paraId="1206607C" w14:textId="77777777" w:rsidTr="007357C6">
        <w:trPr>
          <w:trHeight w:val="261"/>
        </w:trPr>
        <w:tc>
          <w:tcPr>
            <w:tcW w:w="2836" w:type="dxa"/>
            <w:hideMark/>
          </w:tcPr>
          <w:p w14:paraId="7252BF3B" w14:textId="77777777" w:rsidR="00D92C6C" w:rsidRDefault="00D92C6C">
            <w:pPr>
              <w:rPr>
                <w:bCs/>
                <w:sz w:val="20"/>
                <w:szCs w:val="20"/>
              </w:rPr>
            </w:pPr>
            <w:r>
              <w:rPr>
                <w:bCs/>
                <w:sz w:val="20"/>
                <w:szCs w:val="20"/>
              </w:rPr>
              <w:t>Infantile Fibrosarcoma</w:t>
            </w:r>
          </w:p>
        </w:tc>
        <w:tc>
          <w:tcPr>
            <w:tcW w:w="1700" w:type="dxa"/>
            <w:noWrap/>
            <w:hideMark/>
          </w:tcPr>
          <w:p w14:paraId="6B7F2E0C" w14:textId="77777777" w:rsidR="00D92C6C" w:rsidRDefault="00D92C6C">
            <w:pPr>
              <w:jc w:val="center"/>
              <w:rPr>
                <w:sz w:val="20"/>
                <w:szCs w:val="20"/>
              </w:rPr>
            </w:pPr>
            <w:r>
              <w:rPr>
                <w:sz w:val="20"/>
                <w:szCs w:val="20"/>
              </w:rPr>
              <w:t>90%</w:t>
            </w:r>
          </w:p>
        </w:tc>
        <w:tc>
          <w:tcPr>
            <w:tcW w:w="2268" w:type="dxa"/>
            <w:noWrap/>
            <w:hideMark/>
          </w:tcPr>
          <w:p w14:paraId="091666B1" w14:textId="77777777" w:rsidR="00D92C6C" w:rsidRDefault="00D92C6C">
            <w:pPr>
              <w:jc w:val="center"/>
              <w:rPr>
                <w:rFonts w:cs="Times New Roman"/>
                <w:sz w:val="20"/>
                <w:szCs w:val="20"/>
              </w:rPr>
            </w:pPr>
            <w:r>
              <w:rPr>
                <w:rFonts w:cs="Times New Roman"/>
                <w:sz w:val="20"/>
                <w:szCs w:val="20"/>
              </w:rPr>
              <w:t>£389</w:t>
            </w:r>
          </w:p>
        </w:tc>
        <w:tc>
          <w:tcPr>
            <w:tcW w:w="2143" w:type="dxa"/>
            <w:hideMark/>
          </w:tcPr>
          <w:p w14:paraId="3B6E502B" w14:textId="77777777" w:rsidR="00D92C6C" w:rsidRDefault="00D92C6C">
            <w:pPr>
              <w:jc w:val="center"/>
              <w:rPr>
                <w:rFonts w:cs="Times New Roman"/>
                <w:sz w:val="20"/>
                <w:szCs w:val="20"/>
              </w:rPr>
            </w:pPr>
            <w:r>
              <w:rPr>
                <w:rFonts w:cs="Times New Roman"/>
                <w:sz w:val="20"/>
                <w:szCs w:val="20"/>
              </w:rPr>
              <w:t>£467</w:t>
            </w:r>
          </w:p>
        </w:tc>
      </w:tr>
      <w:tr w:rsidR="00D92C6C" w14:paraId="4B60CC21" w14:textId="77777777" w:rsidTr="007357C6">
        <w:trPr>
          <w:trHeight w:val="261"/>
        </w:trPr>
        <w:tc>
          <w:tcPr>
            <w:tcW w:w="2836" w:type="dxa"/>
            <w:hideMark/>
          </w:tcPr>
          <w:p w14:paraId="19B026E0" w14:textId="77777777" w:rsidR="00D92C6C" w:rsidRDefault="00D92C6C">
            <w:pPr>
              <w:rPr>
                <w:bCs/>
                <w:sz w:val="20"/>
                <w:szCs w:val="20"/>
              </w:rPr>
            </w:pPr>
            <w:r>
              <w:rPr>
                <w:bCs/>
                <w:sz w:val="20"/>
                <w:szCs w:val="20"/>
              </w:rPr>
              <w:t>MASC</w:t>
            </w:r>
          </w:p>
        </w:tc>
        <w:tc>
          <w:tcPr>
            <w:tcW w:w="1700" w:type="dxa"/>
            <w:noWrap/>
            <w:hideMark/>
          </w:tcPr>
          <w:p w14:paraId="15D03133" w14:textId="77777777" w:rsidR="00D92C6C" w:rsidRDefault="00D92C6C">
            <w:pPr>
              <w:jc w:val="center"/>
              <w:rPr>
                <w:sz w:val="20"/>
                <w:szCs w:val="20"/>
              </w:rPr>
            </w:pPr>
            <w:r>
              <w:rPr>
                <w:sz w:val="20"/>
                <w:szCs w:val="20"/>
              </w:rPr>
              <w:t>60%</w:t>
            </w:r>
          </w:p>
        </w:tc>
        <w:tc>
          <w:tcPr>
            <w:tcW w:w="2268" w:type="dxa"/>
            <w:noWrap/>
            <w:hideMark/>
          </w:tcPr>
          <w:p w14:paraId="6EFC327D" w14:textId="77777777" w:rsidR="00D92C6C" w:rsidRDefault="00D92C6C">
            <w:pPr>
              <w:jc w:val="center"/>
              <w:rPr>
                <w:rFonts w:cs="Times New Roman"/>
                <w:sz w:val="20"/>
                <w:szCs w:val="20"/>
              </w:rPr>
            </w:pPr>
            <w:r>
              <w:rPr>
                <w:rFonts w:cs="Times New Roman"/>
                <w:sz w:val="20"/>
                <w:szCs w:val="20"/>
              </w:rPr>
              <w:t>£995</w:t>
            </w:r>
          </w:p>
        </w:tc>
        <w:tc>
          <w:tcPr>
            <w:tcW w:w="2143" w:type="dxa"/>
            <w:hideMark/>
          </w:tcPr>
          <w:p w14:paraId="5C29D1C1" w14:textId="77777777" w:rsidR="00D92C6C" w:rsidRDefault="00D92C6C">
            <w:pPr>
              <w:jc w:val="center"/>
              <w:rPr>
                <w:rFonts w:cs="Times New Roman"/>
                <w:sz w:val="20"/>
                <w:szCs w:val="20"/>
              </w:rPr>
            </w:pPr>
            <w:r>
              <w:rPr>
                <w:rFonts w:cs="Times New Roman"/>
                <w:sz w:val="20"/>
                <w:szCs w:val="20"/>
              </w:rPr>
              <w:t>£1,195</w:t>
            </w:r>
          </w:p>
        </w:tc>
      </w:tr>
      <w:tr w:rsidR="00D92C6C" w14:paraId="455CA176" w14:textId="77777777" w:rsidTr="007357C6">
        <w:trPr>
          <w:trHeight w:val="274"/>
        </w:trPr>
        <w:tc>
          <w:tcPr>
            <w:tcW w:w="2836" w:type="dxa"/>
            <w:noWrap/>
            <w:hideMark/>
          </w:tcPr>
          <w:p w14:paraId="5B83E0DC" w14:textId="77777777" w:rsidR="00D92C6C" w:rsidRDefault="00D92C6C">
            <w:pPr>
              <w:rPr>
                <w:bCs/>
                <w:sz w:val="20"/>
                <w:szCs w:val="20"/>
              </w:rPr>
            </w:pPr>
            <w:r>
              <w:rPr>
                <w:bCs/>
                <w:sz w:val="20"/>
                <w:szCs w:val="20"/>
              </w:rPr>
              <w:t>Melanoma</w:t>
            </w:r>
          </w:p>
        </w:tc>
        <w:tc>
          <w:tcPr>
            <w:tcW w:w="1700" w:type="dxa"/>
            <w:noWrap/>
            <w:hideMark/>
          </w:tcPr>
          <w:p w14:paraId="6D562DB6" w14:textId="77777777" w:rsidR="00D92C6C" w:rsidRDefault="00D92C6C">
            <w:pPr>
              <w:jc w:val="center"/>
              <w:rPr>
                <w:sz w:val="20"/>
                <w:szCs w:val="20"/>
              </w:rPr>
            </w:pPr>
            <w:r>
              <w:rPr>
                <w:sz w:val="20"/>
                <w:szCs w:val="20"/>
              </w:rPr>
              <w:t>30%</w:t>
            </w:r>
          </w:p>
        </w:tc>
        <w:tc>
          <w:tcPr>
            <w:tcW w:w="2268" w:type="dxa"/>
            <w:noWrap/>
            <w:hideMark/>
          </w:tcPr>
          <w:p w14:paraId="1E249E7F" w14:textId="77777777" w:rsidR="00D92C6C" w:rsidRDefault="00D92C6C">
            <w:pPr>
              <w:jc w:val="center"/>
              <w:rPr>
                <w:rFonts w:cs="Times New Roman"/>
                <w:sz w:val="20"/>
                <w:szCs w:val="20"/>
              </w:rPr>
            </w:pPr>
            <w:r>
              <w:rPr>
                <w:rFonts w:cs="Times New Roman"/>
                <w:sz w:val="20"/>
                <w:szCs w:val="20"/>
              </w:rPr>
              <w:t>£685,025</w:t>
            </w:r>
          </w:p>
        </w:tc>
        <w:tc>
          <w:tcPr>
            <w:tcW w:w="2143" w:type="dxa"/>
            <w:hideMark/>
          </w:tcPr>
          <w:p w14:paraId="7DE13FE1" w14:textId="77777777" w:rsidR="00D92C6C" w:rsidRDefault="00D92C6C">
            <w:pPr>
              <w:jc w:val="center"/>
              <w:rPr>
                <w:rFonts w:cs="Times New Roman"/>
                <w:sz w:val="20"/>
                <w:szCs w:val="20"/>
              </w:rPr>
            </w:pPr>
            <w:r>
              <w:rPr>
                <w:rFonts w:cs="Times New Roman"/>
                <w:sz w:val="20"/>
                <w:szCs w:val="20"/>
              </w:rPr>
              <w:t>£822,359</w:t>
            </w:r>
          </w:p>
        </w:tc>
      </w:tr>
      <w:tr w:rsidR="00D92C6C" w14:paraId="3EB3AD96" w14:textId="77777777" w:rsidTr="007357C6">
        <w:trPr>
          <w:trHeight w:val="261"/>
        </w:trPr>
        <w:tc>
          <w:tcPr>
            <w:tcW w:w="2836" w:type="dxa"/>
            <w:hideMark/>
          </w:tcPr>
          <w:p w14:paraId="0DAAF620" w14:textId="77777777" w:rsidR="00D92C6C" w:rsidRDefault="00D92C6C">
            <w:pPr>
              <w:rPr>
                <w:bCs/>
                <w:sz w:val="20"/>
                <w:szCs w:val="20"/>
              </w:rPr>
            </w:pPr>
            <w:r>
              <w:rPr>
                <w:bCs/>
                <w:sz w:val="20"/>
                <w:szCs w:val="20"/>
              </w:rPr>
              <w:t>NSCLC</w:t>
            </w:r>
          </w:p>
        </w:tc>
        <w:tc>
          <w:tcPr>
            <w:tcW w:w="1700" w:type="dxa"/>
            <w:noWrap/>
            <w:hideMark/>
          </w:tcPr>
          <w:p w14:paraId="72B0DD53" w14:textId="77777777" w:rsidR="00D92C6C" w:rsidRDefault="00D92C6C">
            <w:pPr>
              <w:jc w:val="center"/>
              <w:rPr>
                <w:sz w:val="20"/>
                <w:szCs w:val="20"/>
              </w:rPr>
            </w:pPr>
            <w:r>
              <w:rPr>
                <w:sz w:val="20"/>
                <w:szCs w:val="20"/>
              </w:rPr>
              <w:t>60%</w:t>
            </w:r>
          </w:p>
        </w:tc>
        <w:tc>
          <w:tcPr>
            <w:tcW w:w="2268" w:type="dxa"/>
            <w:noWrap/>
            <w:hideMark/>
          </w:tcPr>
          <w:p w14:paraId="06279FBC" w14:textId="77777777" w:rsidR="00D92C6C" w:rsidRDefault="00D92C6C">
            <w:pPr>
              <w:jc w:val="center"/>
              <w:rPr>
                <w:rFonts w:cs="Times New Roman"/>
                <w:sz w:val="20"/>
                <w:szCs w:val="20"/>
              </w:rPr>
            </w:pPr>
            <w:r>
              <w:rPr>
                <w:rFonts w:cs="Times New Roman"/>
                <w:sz w:val="20"/>
                <w:szCs w:val="20"/>
              </w:rPr>
              <w:t>£799,196</w:t>
            </w:r>
          </w:p>
        </w:tc>
        <w:tc>
          <w:tcPr>
            <w:tcW w:w="2143" w:type="dxa"/>
            <w:hideMark/>
          </w:tcPr>
          <w:p w14:paraId="39279609" w14:textId="77777777" w:rsidR="00D92C6C" w:rsidRDefault="00D92C6C">
            <w:pPr>
              <w:jc w:val="center"/>
              <w:rPr>
                <w:rFonts w:cs="Times New Roman"/>
                <w:sz w:val="20"/>
                <w:szCs w:val="20"/>
              </w:rPr>
            </w:pPr>
            <w:r>
              <w:rPr>
                <w:rFonts w:cs="Times New Roman"/>
                <w:sz w:val="20"/>
                <w:szCs w:val="20"/>
              </w:rPr>
              <w:t>£959,419</w:t>
            </w:r>
          </w:p>
        </w:tc>
      </w:tr>
      <w:tr w:rsidR="00D92C6C" w14:paraId="12093354" w14:textId="77777777" w:rsidTr="007357C6">
        <w:trPr>
          <w:trHeight w:val="261"/>
        </w:trPr>
        <w:tc>
          <w:tcPr>
            <w:tcW w:w="2836" w:type="dxa"/>
            <w:hideMark/>
          </w:tcPr>
          <w:p w14:paraId="0E1736ED" w14:textId="77777777" w:rsidR="00D92C6C" w:rsidRDefault="00D92C6C">
            <w:pPr>
              <w:rPr>
                <w:bCs/>
                <w:sz w:val="20"/>
                <w:szCs w:val="20"/>
              </w:rPr>
            </w:pPr>
            <w:r>
              <w:rPr>
                <w:bCs/>
                <w:sz w:val="20"/>
                <w:szCs w:val="20"/>
              </w:rPr>
              <w:t>Pancreatic</w:t>
            </w:r>
          </w:p>
        </w:tc>
        <w:tc>
          <w:tcPr>
            <w:tcW w:w="1700" w:type="dxa"/>
            <w:noWrap/>
            <w:hideMark/>
          </w:tcPr>
          <w:p w14:paraId="2BA2D700" w14:textId="77777777" w:rsidR="00D92C6C" w:rsidRDefault="00D92C6C">
            <w:pPr>
              <w:jc w:val="center"/>
              <w:rPr>
                <w:sz w:val="20"/>
                <w:szCs w:val="20"/>
              </w:rPr>
            </w:pPr>
            <w:r>
              <w:rPr>
                <w:sz w:val="20"/>
                <w:szCs w:val="20"/>
              </w:rPr>
              <w:t>30%</w:t>
            </w:r>
          </w:p>
        </w:tc>
        <w:tc>
          <w:tcPr>
            <w:tcW w:w="2268" w:type="dxa"/>
            <w:noWrap/>
            <w:hideMark/>
          </w:tcPr>
          <w:p w14:paraId="211ED79F" w14:textId="77777777" w:rsidR="00D92C6C" w:rsidRDefault="00D92C6C">
            <w:pPr>
              <w:jc w:val="center"/>
              <w:rPr>
                <w:rFonts w:cs="Times New Roman"/>
                <w:sz w:val="20"/>
                <w:szCs w:val="20"/>
              </w:rPr>
            </w:pPr>
            <w:r>
              <w:rPr>
                <w:rFonts w:cs="Times New Roman"/>
                <w:sz w:val="20"/>
                <w:szCs w:val="20"/>
              </w:rPr>
              <w:t>£948,497</w:t>
            </w:r>
          </w:p>
        </w:tc>
        <w:tc>
          <w:tcPr>
            <w:tcW w:w="2143" w:type="dxa"/>
            <w:hideMark/>
          </w:tcPr>
          <w:p w14:paraId="3742A037" w14:textId="77777777" w:rsidR="00D92C6C" w:rsidRDefault="00D92C6C">
            <w:pPr>
              <w:jc w:val="center"/>
              <w:rPr>
                <w:rFonts w:cs="Times New Roman"/>
                <w:sz w:val="20"/>
                <w:szCs w:val="20"/>
              </w:rPr>
            </w:pPr>
            <w:r>
              <w:rPr>
                <w:rFonts w:cs="Times New Roman"/>
                <w:sz w:val="20"/>
                <w:szCs w:val="20"/>
              </w:rPr>
              <w:t>£1,138,651</w:t>
            </w:r>
          </w:p>
        </w:tc>
      </w:tr>
      <w:tr w:rsidR="00D92C6C" w14:paraId="1FA72C1C" w14:textId="77777777" w:rsidTr="007357C6">
        <w:trPr>
          <w:trHeight w:val="261"/>
        </w:trPr>
        <w:tc>
          <w:tcPr>
            <w:tcW w:w="2836" w:type="dxa"/>
            <w:hideMark/>
          </w:tcPr>
          <w:p w14:paraId="0602CCB9" w14:textId="77777777" w:rsidR="00D92C6C" w:rsidRDefault="00D92C6C">
            <w:pPr>
              <w:rPr>
                <w:bCs/>
                <w:sz w:val="20"/>
                <w:szCs w:val="20"/>
              </w:rPr>
            </w:pPr>
            <w:r>
              <w:rPr>
                <w:bCs/>
                <w:sz w:val="20"/>
                <w:szCs w:val="20"/>
              </w:rPr>
              <w:t xml:space="preserve">Soft tissue sarcoma </w:t>
            </w:r>
          </w:p>
        </w:tc>
        <w:tc>
          <w:tcPr>
            <w:tcW w:w="1700" w:type="dxa"/>
            <w:noWrap/>
            <w:hideMark/>
          </w:tcPr>
          <w:p w14:paraId="34749951" w14:textId="77777777" w:rsidR="00D92C6C" w:rsidRDefault="00D92C6C">
            <w:pPr>
              <w:jc w:val="center"/>
              <w:rPr>
                <w:sz w:val="20"/>
                <w:szCs w:val="20"/>
              </w:rPr>
            </w:pPr>
            <w:r>
              <w:rPr>
                <w:sz w:val="20"/>
                <w:szCs w:val="20"/>
              </w:rPr>
              <w:t>90%</w:t>
            </w:r>
          </w:p>
        </w:tc>
        <w:tc>
          <w:tcPr>
            <w:tcW w:w="2268" w:type="dxa"/>
            <w:noWrap/>
            <w:hideMark/>
          </w:tcPr>
          <w:p w14:paraId="782A9688" w14:textId="77777777" w:rsidR="00D92C6C" w:rsidRDefault="00D92C6C">
            <w:pPr>
              <w:jc w:val="center"/>
              <w:rPr>
                <w:rFonts w:cs="Times New Roman"/>
                <w:sz w:val="20"/>
                <w:szCs w:val="20"/>
              </w:rPr>
            </w:pPr>
            <w:r>
              <w:rPr>
                <w:rFonts w:cs="Times New Roman"/>
                <w:sz w:val="20"/>
                <w:szCs w:val="20"/>
              </w:rPr>
              <w:t>£508</w:t>
            </w:r>
          </w:p>
        </w:tc>
        <w:tc>
          <w:tcPr>
            <w:tcW w:w="2143" w:type="dxa"/>
            <w:hideMark/>
          </w:tcPr>
          <w:p w14:paraId="14DDE502" w14:textId="77777777" w:rsidR="00D92C6C" w:rsidRDefault="00D92C6C">
            <w:pPr>
              <w:jc w:val="center"/>
              <w:rPr>
                <w:rFonts w:cs="Times New Roman"/>
                <w:sz w:val="20"/>
                <w:szCs w:val="20"/>
              </w:rPr>
            </w:pPr>
            <w:r>
              <w:rPr>
                <w:rFonts w:cs="Times New Roman"/>
                <w:sz w:val="20"/>
                <w:szCs w:val="20"/>
              </w:rPr>
              <w:t>£610</w:t>
            </w:r>
          </w:p>
        </w:tc>
      </w:tr>
      <w:tr w:rsidR="00D92C6C" w14:paraId="4BBB5666" w14:textId="77777777" w:rsidTr="007357C6">
        <w:trPr>
          <w:trHeight w:val="261"/>
        </w:trPr>
        <w:tc>
          <w:tcPr>
            <w:tcW w:w="2836" w:type="dxa"/>
            <w:hideMark/>
          </w:tcPr>
          <w:p w14:paraId="6B53F25B" w14:textId="77777777" w:rsidR="00D92C6C" w:rsidRDefault="00D92C6C">
            <w:pPr>
              <w:rPr>
                <w:bCs/>
                <w:sz w:val="20"/>
                <w:szCs w:val="20"/>
              </w:rPr>
            </w:pPr>
            <w:r>
              <w:rPr>
                <w:bCs/>
                <w:sz w:val="20"/>
                <w:szCs w:val="20"/>
              </w:rPr>
              <w:t>Thyroid</w:t>
            </w:r>
          </w:p>
        </w:tc>
        <w:tc>
          <w:tcPr>
            <w:tcW w:w="1700" w:type="dxa"/>
            <w:noWrap/>
            <w:hideMark/>
          </w:tcPr>
          <w:p w14:paraId="0E857224" w14:textId="77777777" w:rsidR="00D92C6C" w:rsidRDefault="00D92C6C">
            <w:pPr>
              <w:jc w:val="center"/>
              <w:rPr>
                <w:sz w:val="20"/>
                <w:szCs w:val="20"/>
              </w:rPr>
            </w:pPr>
            <w:r>
              <w:rPr>
                <w:sz w:val="20"/>
                <w:szCs w:val="20"/>
              </w:rPr>
              <w:t>30%</w:t>
            </w:r>
          </w:p>
        </w:tc>
        <w:tc>
          <w:tcPr>
            <w:tcW w:w="2268" w:type="dxa"/>
            <w:noWrap/>
            <w:hideMark/>
          </w:tcPr>
          <w:p w14:paraId="307883E7" w14:textId="77777777" w:rsidR="00D92C6C" w:rsidRDefault="00D92C6C">
            <w:pPr>
              <w:jc w:val="center"/>
              <w:rPr>
                <w:rFonts w:cs="Times New Roman"/>
                <w:sz w:val="20"/>
                <w:szCs w:val="20"/>
              </w:rPr>
            </w:pPr>
            <w:r>
              <w:rPr>
                <w:rFonts w:cs="Times New Roman"/>
                <w:sz w:val="20"/>
                <w:szCs w:val="20"/>
              </w:rPr>
              <w:t>£156,364</w:t>
            </w:r>
          </w:p>
        </w:tc>
        <w:tc>
          <w:tcPr>
            <w:tcW w:w="2143" w:type="dxa"/>
            <w:hideMark/>
          </w:tcPr>
          <w:p w14:paraId="1A6910EF" w14:textId="77777777" w:rsidR="00D92C6C" w:rsidRDefault="00D92C6C">
            <w:pPr>
              <w:jc w:val="center"/>
              <w:rPr>
                <w:rFonts w:cs="Times New Roman"/>
                <w:sz w:val="20"/>
                <w:szCs w:val="20"/>
              </w:rPr>
            </w:pPr>
            <w:r>
              <w:rPr>
                <w:rFonts w:cs="Times New Roman"/>
                <w:sz w:val="20"/>
                <w:szCs w:val="20"/>
              </w:rPr>
              <w:t>£187,712</w:t>
            </w:r>
          </w:p>
        </w:tc>
      </w:tr>
      <w:tr w:rsidR="00CC4B0A" w14:paraId="0F4D2B46" w14:textId="77777777" w:rsidTr="007357C6">
        <w:trPr>
          <w:trHeight w:val="274"/>
        </w:trPr>
        <w:tc>
          <w:tcPr>
            <w:tcW w:w="8947" w:type="dxa"/>
            <w:gridSpan w:val="4"/>
            <w:shd w:val="clear" w:color="auto" w:fill="D9D9D9" w:themeFill="background1" w:themeFillShade="D9"/>
          </w:tcPr>
          <w:p w14:paraId="6CEE5C05" w14:textId="1CD29185" w:rsidR="00CC4B0A" w:rsidRDefault="007357C6">
            <w:pPr>
              <w:rPr>
                <w:rFonts w:cs="Times New Roman"/>
                <w:b/>
                <w:color w:val="000000"/>
                <w:sz w:val="20"/>
                <w:szCs w:val="20"/>
              </w:rPr>
            </w:pPr>
            <w:r>
              <w:rPr>
                <w:rFonts w:cs="Times New Roman"/>
                <w:b/>
                <w:color w:val="000000"/>
                <w:sz w:val="20"/>
                <w:szCs w:val="20"/>
              </w:rPr>
              <w:t>Tumours not represented in trial</w:t>
            </w:r>
          </w:p>
        </w:tc>
      </w:tr>
      <w:tr w:rsidR="00D92C6C" w14:paraId="172C7BD0" w14:textId="77777777" w:rsidTr="007357C6">
        <w:trPr>
          <w:trHeight w:val="274"/>
        </w:trPr>
        <w:tc>
          <w:tcPr>
            <w:tcW w:w="2836" w:type="dxa"/>
            <w:hideMark/>
          </w:tcPr>
          <w:p w14:paraId="1E81CEDC" w14:textId="77777777" w:rsidR="00D92C6C" w:rsidRDefault="00D92C6C">
            <w:pPr>
              <w:rPr>
                <w:bCs/>
                <w:sz w:val="20"/>
                <w:szCs w:val="20"/>
              </w:rPr>
            </w:pPr>
            <w:r>
              <w:rPr>
                <w:bCs/>
                <w:sz w:val="20"/>
                <w:szCs w:val="20"/>
              </w:rPr>
              <w:t>Cervix</w:t>
            </w:r>
          </w:p>
        </w:tc>
        <w:tc>
          <w:tcPr>
            <w:tcW w:w="1700" w:type="dxa"/>
            <w:noWrap/>
            <w:hideMark/>
          </w:tcPr>
          <w:p w14:paraId="74E98AC3" w14:textId="77777777" w:rsidR="00D92C6C" w:rsidRDefault="00D92C6C">
            <w:pPr>
              <w:jc w:val="center"/>
              <w:rPr>
                <w:sz w:val="20"/>
                <w:szCs w:val="20"/>
              </w:rPr>
            </w:pPr>
            <w:r>
              <w:rPr>
                <w:sz w:val="20"/>
                <w:szCs w:val="20"/>
              </w:rPr>
              <w:t>30%</w:t>
            </w:r>
          </w:p>
        </w:tc>
        <w:tc>
          <w:tcPr>
            <w:tcW w:w="2268" w:type="dxa"/>
            <w:noWrap/>
            <w:hideMark/>
          </w:tcPr>
          <w:p w14:paraId="3E7D4790" w14:textId="77777777" w:rsidR="00D92C6C" w:rsidRDefault="00D92C6C">
            <w:pPr>
              <w:jc w:val="center"/>
              <w:rPr>
                <w:rFonts w:cs="Times New Roman"/>
                <w:sz w:val="20"/>
                <w:szCs w:val="20"/>
              </w:rPr>
            </w:pPr>
            <w:r>
              <w:rPr>
                <w:rFonts w:cs="Times New Roman"/>
                <w:sz w:val="20"/>
                <w:szCs w:val="20"/>
              </w:rPr>
              <w:t>£747,300</w:t>
            </w:r>
          </w:p>
        </w:tc>
        <w:tc>
          <w:tcPr>
            <w:tcW w:w="2143" w:type="dxa"/>
            <w:hideMark/>
          </w:tcPr>
          <w:p w14:paraId="672F285E" w14:textId="77777777" w:rsidR="00D92C6C" w:rsidRDefault="00D92C6C">
            <w:pPr>
              <w:jc w:val="center"/>
              <w:rPr>
                <w:rFonts w:cs="Times New Roman"/>
                <w:sz w:val="20"/>
                <w:szCs w:val="20"/>
              </w:rPr>
            </w:pPr>
            <w:r>
              <w:rPr>
                <w:rFonts w:cs="Times New Roman"/>
                <w:sz w:val="20"/>
                <w:szCs w:val="20"/>
              </w:rPr>
              <w:t>£897,119</w:t>
            </w:r>
          </w:p>
        </w:tc>
      </w:tr>
      <w:tr w:rsidR="00D92C6C" w14:paraId="30FA2A9B" w14:textId="77777777" w:rsidTr="007357C6">
        <w:trPr>
          <w:trHeight w:val="274"/>
        </w:trPr>
        <w:tc>
          <w:tcPr>
            <w:tcW w:w="2836" w:type="dxa"/>
            <w:hideMark/>
          </w:tcPr>
          <w:p w14:paraId="20968FFD" w14:textId="77777777" w:rsidR="00D92C6C" w:rsidRDefault="00D92C6C">
            <w:pPr>
              <w:rPr>
                <w:bCs/>
                <w:sz w:val="20"/>
                <w:szCs w:val="20"/>
              </w:rPr>
            </w:pPr>
            <w:r>
              <w:rPr>
                <w:bCs/>
                <w:sz w:val="20"/>
                <w:szCs w:val="20"/>
              </w:rPr>
              <w:t>Congenital Mesoblastic Nephroma</w:t>
            </w:r>
          </w:p>
        </w:tc>
        <w:tc>
          <w:tcPr>
            <w:tcW w:w="1700" w:type="dxa"/>
            <w:noWrap/>
            <w:hideMark/>
          </w:tcPr>
          <w:p w14:paraId="4B1EA3F1" w14:textId="77777777" w:rsidR="00D92C6C" w:rsidRDefault="00D92C6C">
            <w:pPr>
              <w:jc w:val="center"/>
              <w:rPr>
                <w:sz w:val="20"/>
                <w:szCs w:val="20"/>
              </w:rPr>
            </w:pPr>
            <w:r>
              <w:rPr>
                <w:sz w:val="20"/>
                <w:szCs w:val="20"/>
              </w:rPr>
              <w:t>30%</w:t>
            </w:r>
          </w:p>
        </w:tc>
        <w:tc>
          <w:tcPr>
            <w:tcW w:w="2268" w:type="dxa"/>
            <w:noWrap/>
            <w:hideMark/>
          </w:tcPr>
          <w:p w14:paraId="718435E1" w14:textId="77777777" w:rsidR="00D92C6C" w:rsidRDefault="00D92C6C">
            <w:pPr>
              <w:jc w:val="center"/>
              <w:rPr>
                <w:rFonts w:cs="Times New Roman"/>
                <w:color w:val="000000"/>
                <w:sz w:val="20"/>
                <w:szCs w:val="20"/>
              </w:rPr>
            </w:pPr>
            <w:r>
              <w:rPr>
                <w:rFonts w:cs="Times New Roman"/>
                <w:sz w:val="20"/>
                <w:szCs w:val="20"/>
              </w:rPr>
              <w:t>£1,168</w:t>
            </w:r>
          </w:p>
        </w:tc>
        <w:tc>
          <w:tcPr>
            <w:tcW w:w="2143" w:type="dxa"/>
            <w:hideMark/>
          </w:tcPr>
          <w:p w14:paraId="7813F710" w14:textId="77777777" w:rsidR="00D92C6C" w:rsidRDefault="00D92C6C">
            <w:pPr>
              <w:jc w:val="center"/>
              <w:rPr>
                <w:rFonts w:cs="Times New Roman"/>
                <w:color w:val="000000"/>
                <w:sz w:val="20"/>
                <w:szCs w:val="20"/>
              </w:rPr>
            </w:pPr>
            <w:r>
              <w:rPr>
                <w:rFonts w:cs="Times New Roman"/>
                <w:sz w:val="20"/>
                <w:szCs w:val="20"/>
              </w:rPr>
              <w:t>£1,402</w:t>
            </w:r>
          </w:p>
        </w:tc>
      </w:tr>
      <w:tr w:rsidR="00D92C6C" w14:paraId="13A5C11B" w14:textId="77777777" w:rsidTr="007357C6">
        <w:trPr>
          <w:trHeight w:val="261"/>
        </w:trPr>
        <w:tc>
          <w:tcPr>
            <w:tcW w:w="2836" w:type="dxa"/>
            <w:hideMark/>
          </w:tcPr>
          <w:p w14:paraId="084157A6" w14:textId="77777777" w:rsidR="00D92C6C" w:rsidRDefault="00D92C6C">
            <w:pPr>
              <w:rPr>
                <w:bCs/>
                <w:sz w:val="20"/>
                <w:szCs w:val="20"/>
              </w:rPr>
            </w:pPr>
            <w:r>
              <w:rPr>
                <w:bCs/>
                <w:sz w:val="20"/>
                <w:szCs w:val="20"/>
              </w:rPr>
              <w:t>Gastro-oesophageal junction</w:t>
            </w:r>
          </w:p>
        </w:tc>
        <w:tc>
          <w:tcPr>
            <w:tcW w:w="1700" w:type="dxa"/>
            <w:noWrap/>
            <w:hideMark/>
          </w:tcPr>
          <w:p w14:paraId="4DCC3EE4" w14:textId="77777777" w:rsidR="00D92C6C" w:rsidRDefault="00D92C6C">
            <w:pPr>
              <w:jc w:val="center"/>
              <w:rPr>
                <w:sz w:val="20"/>
                <w:szCs w:val="20"/>
              </w:rPr>
            </w:pPr>
            <w:r>
              <w:rPr>
                <w:sz w:val="20"/>
                <w:szCs w:val="20"/>
              </w:rPr>
              <w:t>30%</w:t>
            </w:r>
          </w:p>
        </w:tc>
        <w:tc>
          <w:tcPr>
            <w:tcW w:w="2268" w:type="dxa"/>
            <w:noWrap/>
            <w:hideMark/>
          </w:tcPr>
          <w:p w14:paraId="2F958486" w14:textId="77777777" w:rsidR="00D92C6C" w:rsidRDefault="00D92C6C">
            <w:pPr>
              <w:jc w:val="center"/>
              <w:rPr>
                <w:rFonts w:cs="Times New Roman"/>
                <w:sz w:val="20"/>
                <w:szCs w:val="20"/>
              </w:rPr>
            </w:pPr>
            <w:r>
              <w:rPr>
                <w:rFonts w:cs="Times New Roman"/>
                <w:sz w:val="20"/>
                <w:szCs w:val="20"/>
              </w:rPr>
              <w:t>£2,466,091</w:t>
            </w:r>
          </w:p>
        </w:tc>
        <w:tc>
          <w:tcPr>
            <w:tcW w:w="2143" w:type="dxa"/>
            <w:hideMark/>
          </w:tcPr>
          <w:p w14:paraId="1609DE67" w14:textId="77777777" w:rsidR="00D92C6C" w:rsidRDefault="00D92C6C">
            <w:pPr>
              <w:jc w:val="center"/>
              <w:rPr>
                <w:rFonts w:cs="Times New Roman"/>
                <w:sz w:val="20"/>
                <w:szCs w:val="20"/>
              </w:rPr>
            </w:pPr>
            <w:r>
              <w:rPr>
                <w:rFonts w:cs="Times New Roman"/>
                <w:sz w:val="20"/>
                <w:szCs w:val="20"/>
              </w:rPr>
              <w:t>£2,960,494</w:t>
            </w:r>
          </w:p>
        </w:tc>
      </w:tr>
      <w:tr w:rsidR="00D92C6C" w14:paraId="1479EEBE" w14:textId="77777777" w:rsidTr="007357C6">
        <w:trPr>
          <w:trHeight w:val="261"/>
        </w:trPr>
        <w:tc>
          <w:tcPr>
            <w:tcW w:w="2836" w:type="dxa"/>
            <w:hideMark/>
          </w:tcPr>
          <w:p w14:paraId="58EDD850" w14:textId="77777777" w:rsidR="00D92C6C" w:rsidRDefault="00D92C6C">
            <w:pPr>
              <w:rPr>
                <w:bCs/>
                <w:sz w:val="20"/>
                <w:szCs w:val="20"/>
              </w:rPr>
            </w:pPr>
            <w:r>
              <w:rPr>
                <w:bCs/>
                <w:sz w:val="20"/>
                <w:szCs w:val="20"/>
              </w:rPr>
              <w:t>HNSCC</w:t>
            </w:r>
          </w:p>
        </w:tc>
        <w:tc>
          <w:tcPr>
            <w:tcW w:w="1700" w:type="dxa"/>
            <w:noWrap/>
            <w:hideMark/>
          </w:tcPr>
          <w:p w14:paraId="3790550C" w14:textId="77777777" w:rsidR="00D92C6C" w:rsidRDefault="00D92C6C">
            <w:pPr>
              <w:jc w:val="center"/>
              <w:rPr>
                <w:sz w:val="20"/>
                <w:szCs w:val="20"/>
              </w:rPr>
            </w:pPr>
            <w:r>
              <w:rPr>
                <w:sz w:val="20"/>
                <w:szCs w:val="20"/>
              </w:rPr>
              <w:t>30%</w:t>
            </w:r>
          </w:p>
        </w:tc>
        <w:tc>
          <w:tcPr>
            <w:tcW w:w="2268" w:type="dxa"/>
            <w:noWrap/>
            <w:hideMark/>
          </w:tcPr>
          <w:p w14:paraId="371B7AFC" w14:textId="77777777" w:rsidR="00D92C6C" w:rsidRDefault="00D92C6C">
            <w:pPr>
              <w:jc w:val="center"/>
              <w:rPr>
                <w:rFonts w:cs="Times New Roman"/>
                <w:sz w:val="20"/>
                <w:szCs w:val="20"/>
              </w:rPr>
            </w:pPr>
            <w:r>
              <w:rPr>
                <w:rFonts w:cs="Times New Roman"/>
                <w:sz w:val="20"/>
                <w:szCs w:val="20"/>
              </w:rPr>
              <w:t>£648,971</w:t>
            </w:r>
          </w:p>
        </w:tc>
        <w:tc>
          <w:tcPr>
            <w:tcW w:w="2143" w:type="dxa"/>
            <w:hideMark/>
          </w:tcPr>
          <w:p w14:paraId="3449F648" w14:textId="77777777" w:rsidR="00D92C6C" w:rsidRDefault="00D92C6C">
            <w:pPr>
              <w:jc w:val="center"/>
              <w:rPr>
                <w:rFonts w:cs="Times New Roman"/>
                <w:sz w:val="20"/>
                <w:szCs w:val="20"/>
              </w:rPr>
            </w:pPr>
            <w:r>
              <w:rPr>
                <w:rFonts w:cs="Times New Roman"/>
                <w:sz w:val="20"/>
                <w:szCs w:val="20"/>
              </w:rPr>
              <w:t>£779,077</w:t>
            </w:r>
          </w:p>
        </w:tc>
      </w:tr>
      <w:tr w:rsidR="00D92C6C" w14:paraId="576FE71F" w14:textId="77777777" w:rsidTr="007357C6">
        <w:trPr>
          <w:trHeight w:val="261"/>
        </w:trPr>
        <w:tc>
          <w:tcPr>
            <w:tcW w:w="2836" w:type="dxa"/>
            <w:hideMark/>
          </w:tcPr>
          <w:p w14:paraId="24C8A68C" w14:textId="77777777" w:rsidR="00D92C6C" w:rsidRDefault="00D92C6C">
            <w:pPr>
              <w:rPr>
                <w:bCs/>
                <w:sz w:val="20"/>
                <w:szCs w:val="20"/>
              </w:rPr>
            </w:pPr>
            <w:r>
              <w:rPr>
                <w:bCs/>
                <w:sz w:val="20"/>
                <w:szCs w:val="20"/>
              </w:rPr>
              <w:t>High Grade Glioma</w:t>
            </w:r>
          </w:p>
        </w:tc>
        <w:tc>
          <w:tcPr>
            <w:tcW w:w="1700" w:type="dxa"/>
            <w:noWrap/>
            <w:hideMark/>
          </w:tcPr>
          <w:p w14:paraId="40AA1330" w14:textId="77777777" w:rsidR="00D92C6C" w:rsidRDefault="00D92C6C">
            <w:pPr>
              <w:jc w:val="center"/>
              <w:rPr>
                <w:sz w:val="20"/>
                <w:szCs w:val="20"/>
              </w:rPr>
            </w:pPr>
            <w:r>
              <w:rPr>
                <w:sz w:val="20"/>
                <w:szCs w:val="20"/>
              </w:rPr>
              <w:t>60%</w:t>
            </w:r>
          </w:p>
        </w:tc>
        <w:tc>
          <w:tcPr>
            <w:tcW w:w="2268" w:type="dxa"/>
            <w:noWrap/>
            <w:hideMark/>
          </w:tcPr>
          <w:p w14:paraId="57AEF978" w14:textId="77777777" w:rsidR="00D92C6C" w:rsidRDefault="00D92C6C">
            <w:pPr>
              <w:jc w:val="center"/>
              <w:rPr>
                <w:rFonts w:cs="Times New Roman"/>
                <w:sz w:val="20"/>
                <w:szCs w:val="20"/>
              </w:rPr>
            </w:pPr>
            <w:r>
              <w:rPr>
                <w:rFonts w:cs="Times New Roman"/>
                <w:sz w:val="20"/>
                <w:szCs w:val="20"/>
              </w:rPr>
              <w:t>£2,466,091</w:t>
            </w:r>
          </w:p>
        </w:tc>
        <w:tc>
          <w:tcPr>
            <w:tcW w:w="2143" w:type="dxa"/>
            <w:hideMark/>
          </w:tcPr>
          <w:p w14:paraId="6EA5530C" w14:textId="77777777" w:rsidR="00D92C6C" w:rsidRDefault="00D92C6C">
            <w:pPr>
              <w:jc w:val="center"/>
              <w:rPr>
                <w:rFonts w:cs="Times New Roman"/>
                <w:sz w:val="20"/>
                <w:szCs w:val="20"/>
              </w:rPr>
            </w:pPr>
            <w:r>
              <w:rPr>
                <w:rFonts w:cs="Times New Roman"/>
                <w:sz w:val="20"/>
                <w:szCs w:val="20"/>
              </w:rPr>
              <w:t>£2,960,494</w:t>
            </w:r>
          </w:p>
        </w:tc>
      </w:tr>
      <w:tr w:rsidR="00D92C6C" w14:paraId="370FA638" w14:textId="77777777" w:rsidTr="007357C6">
        <w:trPr>
          <w:trHeight w:val="261"/>
        </w:trPr>
        <w:tc>
          <w:tcPr>
            <w:tcW w:w="2836" w:type="dxa"/>
            <w:hideMark/>
          </w:tcPr>
          <w:p w14:paraId="7B028286" w14:textId="77777777" w:rsidR="00D92C6C" w:rsidRDefault="00D92C6C">
            <w:pPr>
              <w:rPr>
                <w:bCs/>
                <w:sz w:val="20"/>
                <w:szCs w:val="20"/>
              </w:rPr>
            </w:pPr>
            <w:r>
              <w:rPr>
                <w:bCs/>
                <w:sz w:val="20"/>
                <w:szCs w:val="20"/>
              </w:rPr>
              <w:t>Neuroendocrine</w:t>
            </w:r>
          </w:p>
        </w:tc>
        <w:tc>
          <w:tcPr>
            <w:tcW w:w="1700" w:type="dxa"/>
            <w:noWrap/>
            <w:hideMark/>
          </w:tcPr>
          <w:p w14:paraId="2A564EF5" w14:textId="77777777" w:rsidR="00D92C6C" w:rsidRDefault="00D92C6C">
            <w:pPr>
              <w:jc w:val="center"/>
              <w:rPr>
                <w:sz w:val="20"/>
                <w:szCs w:val="20"/>
              </w:rPr>
            </w:pPr>
            <w:r>
              <w:rPr>
                <w:sz w:val="20"/>
                <w:szCs w:val="20"/>
              </w:rPr>
              <w:t>30%</w:t>
            </w:r>
          </w:p>
        </w:tc>
        <w:tc>
          <w:tcPr>
            <w:tcW w:w="2268" w:type="dxa"/>
            <w:noWrap/>
            <w:hideMark/>
          </w:tcPr>
          <w:p w14:paraId="4C1FE5A5" w14:textId="77777777" w:rsidR="00D92C6C" w:rsidRDefault="00D92C6C">
            <w:pPr>
              <w:jc w:val="center"/>
              <w:rPr>
                <w:rFonts w:cs="Times New Roman"/>
                <w:sz w:val="20"/>
                <w:szCs w:val="20"/>
              </w:rPr>
            </w:pPr>
            <w:r>
              <w:rPr>
                <w:rFonts w:cs="Times New Roman"/>
                <w:sz w:val="20"/>
                <w:szCs w:val="20"/>
              </w:rPr>
              <w:t>£822,030</w:t>
            </w:r>
          </w:p>
        </w:tc>
        <w:tc>
          <w:tcPr>
            <w:tcW w:w="2143" w:type="dxa"/>
            <w:hideMark/>
          </w:tcPr>
          <w:p w14:paraId="7EB9C035" w14:textId="77777777" w:rsidR="00D92C6C" w:rsidRDefault="00D92C6C">
            <w:pPr>
              <w:jc w:val="center"/>
              <w:rPr>
                <w:rFonts w:cs="Times New Roman"/>
                <w:sz w:val="20"/>
                <w:szCs w:val="20"/>
              </w:rPr>
            </w:pPr>
            <w:r>
              <w:rPr>
                <w:rFonts w:cs="Times New Roman"/>
                <w:sz w:val="20"/>
                <w:szCs w:val="20"/>
              </w:rPr>
              <w:t>£986,831</w:t>
            </w:r>
          </w:p>
        </w:tc>
      </w:tr>
      <w:tr w:rsidR="00D92C6C" w14:paraId="4A70CDE0" w14:textId="77777777" w:rsidTr="007357C6">
        <w:trPr>
          <w:trHeight w:val="261"/>
        </w:trPr>
        <w:tc>
          <w:tcPr>
            <w:tcW w:w="2836" w:type="dxa"/>
            <w:hideMark/>
          </w:tcPr>
          <w:p w14:paraId="6E687AA6" w14:textId="77777777" w:rsidR="00D92C6C" w:rsidRDefault="00D92C6C">
            <w:pPr>
              <w:rPr>
                <w:bCs/>
                <w:sz w:val="20"/>
                <w:szCs w:val="20"/>
              </w:rPr>
            </w:pPr>
            <w:r>
              <w:rPr>
                <w:bCs/>
                <w:sz w:val="20"/>
                <w:szCs w:val="20"/>
              </w:rPr>
              <w:t>Ovarian</w:t>
            </w:r>
          </w:p>
        </w:tc>
        <w:tc>
          <w:tcPr>
            <w:tcW w:w="1700" w:type="dxa"/>
            <w:noWrap/>
            <w:hideMark/>
          </w:tcPr>
          <w:p w14:paraId="39361702" w14:textId="77777777" w:rsidR="00D92C6C" w:rsidRDefault="00D92C6C">
            <w:pPr>
              <w:jc w:val="center"/>
              <w:rPr>
                <w:sz w:val="20"/>
                <w:szCs w:val="20"/>
              </w:rPr>
            </w:pPr>
            <w:r>
              <w:rPr>
                <w:sz w:val="20"/>
                <w:szCs w:val="20"/>
              </w:rPr>
              <w:t>30%</w:t>
            </w:r>
          </w:p>
        </w:tc>
        <w:tc>
          <w:tcPr>
            <w:tcW w:w="2268" w:type="dxa"/>
            <w:noWrap/>
            <w:hideMark/>
          </w:tcPr>
          <w:p w14:paraId="6B1D865C" w14:textId="77777777" w:rsidR="00D92C6C" w:rsidRDefault="00D92C6C">
            <w:pPr>
              <w:jc w:val="center"/>
              <w:rPr>
                <w:rFonts w:cs="Times New Roman"/>
                <w:sz w:val="20"/>
                <w:szCs w:val="20"/>
              </w:rPr>
            </w:pPr>
            <w:r>
              <w:rPr>
                <w:rFonts w:cs="Times New Roman"/>
                <w:sz w:val="20"/>
                <w:szCs w:val="20"/>
              </w:rPr>
              <w:t>£575,421</w:t>
            </w:r>
          </w:p>
        </w:tc>
        <w:tc>
          <w:tcPr>
            <w:tcW w:w="2143" w:type="dxa"/>
            <w:hideMark/>
          </w:tcPr>
          <w:p w14:paraId="66B86112" w14:textId="77777777" w:rsidR="00D92C6C" w:rsidRDefault="00D92C6C">
            <w:pPr>
              <w:jc w:val="center"/>
              <w:rPr>
                <w:rFonts w:cs="Times New Roman"/>
                <w:sz w:val="20"/>
                <w:szCs w:val="20"/>
              </w:rPr>
            </w:pPr>
            <w:r>
              <w:rPr>
                <w:rFonts w:cs="Times New Roman"/>
                <w:sz w:val="20"/>
                <w:szCs w:val="20"/>
              </w:rPr>
              <w:t>£690,782</w:t>
            </w:r>
          </w:p>
        </w:tc>
      </w:tr>
      <w:tr w:rsidR="00D92C6C" w14:paraId="148F4E32" w14:textId="77777777" w:rsidTr="007357C6">
        <w:trPr>
          <w:trHeight w:val="261"/>
        </w:trPr>
        <w:tc>
          <w:tcPr>
            <w:tcW w:w="2836" w:type="dxa"/>
            <w:hideMark/>
          </w:tcPr>
          <w:p w14:paraId="6496D826" w14:textId="77777777" w:rsidR="00D92C6C" w:rsidRDefault="00D92C6C">
            <w:pPr>
              <w:rPr>
                <w:bCs/>
                <w:sz w:val="20"/>
                <w:szCs w:val="20"/>
              </w:rPr>
            </w:pPr>
            <w:r>
              <w:rPr>
                <w:bCs/>
                <w:sz w:val="20"/>
                <w:szCs w:val="20"/>
              </w:rPr>
              <w:t>Papillary thyroid tumour</w:t>
            </w:r>
          </w:p>
        </w:tc>
        <w:tc>
          <w:tcPr>
            <w:tcW w:w="1700" w:type="dxa"/>
            <w:noWrap/>
            <w:hideMark/>
          </w:tcPr>
          <w:p w14:paraId="09EF187A" w14:textId="77777777" w:rsidR="00D92C6C" w:rsidRDefault="00D92C6C">
            <w:pPr>
              <w:jc w:val="center"/>
              <w:rPr>
                <w:sz w:val="20"/>
                <w:szCs w:val="20"/>
              </w:rPr>
            </w:pPr>
            <w:r>
              <w:rPr>
                <w:sz w:val="20"/>
                <w:szCs w:val="20"/>
              </w:rPr>
              <w:t>30%</w:t>
            </w:r>
          </w:p>
        </w:tc>
        <w:tc>
          <w:tcPr>
            <w:tcW w:w="2268" w:type="dxa"/>
            <w:noWrap/>
            <w:hideMark/>
          </w:tcPr>
          <w:p w14:paraId="348ABEA9" w14:textId="77777777" w:rsidR="00D92C6C" w:rsidRDefault="00D92C6C">
            <w:pPr>
              <w:jc w:val="center"/>
              <w:rPr>
                <w:rFonts w:cs="Times New Roman"/>
                <w:sz w:val="20"/>
                <w:szCs w:val="20"/>
              </w:rPr>
            </w:pPr>
            <w:r>
              <w:rPr>
                <w:rFonts w:cs="Times New Roman"/>
                <w:sz w:val="20"/>
                <w:szCs w:val="20"/>
              </w:rPr>
              <w:t>£10,816</w:t>
            </w:r>
          </w:p>
        </w:tc>
        <w:tc>
          <w:tcPr>
            <w:tcW w:w="2143" w:type="dxa"/>
            <w:hideMark/>
          </w:tcPr>
          <w:p w14:paraId="49C13807" w14:textId="77777777" w:rsidR="00D92C6C" w:rsidRDefault="00D92C6C">
            <w:pPr>
              <w:jc w:val="center"/>
              <w:rPr>
                <w:rFonts w:cs="Times New Roman"/>
                <w:sz w:val="20"/>
                <w:szCs w:val="20"/>
              </w:rPr>
            </w:pPr>
            <w:r>
              <w:rPr>
                <w:rFonts w:cs="Times New Roman"/>
                <w:sz w:val="20"/>
                <w:szCs w:val="20"/>
              </w:rPr>
              <w:t>£12,985</w:t>
            </w:r>
          </w:p>
        </w:tc>
      </w:tr>
      <w:tr w:rsidR="00D92C6C" w14:paraId="0CADD2FE" w14:textId="77777777" w:rsidTr="007357C6">
        <w:trPr>
          <w:trHeight w:val="261"/>
        </w:trPr>
        <w:tc>
          <w:tcPr>
            <w:tcW w:w="2836" w:type="dxa"/>
            <w:hideMark/>
          </w:tcPr>
          <w:p w14:paraId="58B78BFC" w14:textId="77777777" w:rsidR="00D92C6C" w:rsidRDefault="00D92C6C">
            <w:pPr>
              <w:rPr>
                <w:bCs/>
                <w:sz w:val="20"/>
                <w:szCs w:val="20"/>
              </w:rPr>
            </w:pPr>
            <w:r>
              <w:rPr>
                <w:bCs/>
                <w:sz w:val="20"/>
                <w:szCs w:val="20"/>
              </w:rPr>
              <w:t>Paediatric High Grade Glioma</w:t>
            </w:r>
          </w:p>
        </w:tc>
        <w:tc>
          <w:tcPr>
            <w:tcW w:w="1700" w:type="dxa"/>
            <w:noWrap/>
            <w:hideMark/>
          </w:tcPr>
          <w:p w14:paraId="148228C1" w14:textId="77777777" w:rsidR="00D92C6C" w:rsidRDefault="00D92C6C">
            <w:pPr>
              <w:jc w:val="center"/>
              <w:rPr>
                <w:sz w:val="20"/>
                <w:szCs w:val="20"/>
              </w:rPr>
            </w:pPr>
            <w:r>
              <w:rPr>
                <w:sz w:val="20"/>
                <w:szCs w:val="20"/>
              </w:rPr>
              <w:t>30%</w:t>
            </w:r>
          </w:p>
        </w:tc>
        <w:tc>
          <w:tcPr>
            <w:tcW w:w="2268" w:type="dxa"/>
            <w:noWrap/>
            <w:hideMark/>
          </w:tcPr>
          <w:p w14:paraId="60621E4C" w14:textId="77777777" w:rsidR="00D92C6C" w:rsidRDefault="00D92C6C">
            <w:pPr>
              <w:jc w:val="center"/>
              <w:rPr>
                <w:rFonts w:cs="Times New Roman"/>
                <w:sz w:val="20"/>
                <w:szCs w:val="20"/>
              </w:rPr>
            </w:pPr>
            <w:r>
              <w:rPr>
                <w:rFonts w:cs="Times New Roman"/>
                <w:sz w:val="20"/>
                <w:szCs w:val="20"/>
              </w:rPr>
              <w:t>£1,203</w:t>
            </w:r>
          </w:p>
        </w:tc>
        <w:tc>
          <w:tcPr>
            <w:tcW w:w="2143" w:type="dxa"/>
            <w:hideMark/>
          </w:tcPr>
          <w:p w14:paraId="2F312D91" w14:textId="77777777" w:rsidR="00D92C6C" w:rsidRDefault="00D92C6C">
            <w:pPr>
              <w:jc w:val="center"/>
              <w:rPr>
                <w:rFonts w:cs="Times New Roman"/>
                <w:sz w:val="20"/>
                <w:szCs w:val="20"/>
              </w:rPr>
            </w:pPr>
            <w:r>
              <w:rPr>
                <w:rFonts w:cs="Times New Roman"/>
                <w:sz w:val="20"/>
                <w:szCs w:val="20"/>
              </w:rPr>
              <w:t>£1,444</w:t>
            </w:r>
          </w:p>
        </w:tc>
      </w:tr>
      <w:tr w:rsidR="00D92C6C" w14:paraId="2B230312" w14:textId="77777777" w:rsidTr="007357C6">
        <w:trPr>
          <w:trHeight w:val="261"/>
        </w:trPr>
        <w:tc>
          <w:tcPr>
            <w:tcW w:w="2836" w:type="dxa"/>
            <w:hideMark/>
          </w:tcPr>
          <w:p w14:paraId="03842069" w14:textId="77777777" w:rsidR="00D92C6C" w:rsidRDefault="00D92C6C">
            <w:pPr>
              <w:rPr>
                <w:bCs/>
                <w:sz w:val="20"/>
                <w:szCs w:val="20"/>
              </w:rPr>
            </w:pPr>
            <w:r>
              <w:rPr>
                <w:bCs/>
                <w:sz w:val="20"/>
                <w:szCs w:val="20"/>
              </w:rPr>
              <w:t>Paediatric melanoma</w:t>
            </w:r>
          </w:p>
        </w:tc>
        <w:tc>
          <w:tcPr>
            <w:tcW w:w="1700" w:type="dxa"/>
            <w:noWrap/>
            <w:hideMark/>
          </w:tcPr>
          <w:p w14:paraId="7EDC1037" w14:textId="77777777" w:rsidR="00D92C6C" w:rsidRDefault="00D92C6C">
            <w:pPr>
              <w:jc w:val="center"/>
              <w:rPr>
                <w:sz w:val="20"/>
                <w:szCs w:val="20"/>
              </w:rPr>
            </w:pPr>
            <w:r>
              <w:rPr>
                <w:sz w:val="20"/>
                <w:szCs w:val="20"/>
              </w:rPr>
              <w:t>30%</w:t>
            </w:r>
          </w:p>
        </w:tc>
        <w:tc>
          <w:tcPr>
            <w:tcW w:w="2268" w:type="dxa"/>
            <w:noWrap/>
            <w:hideMark/>
          </w:tcPr>
          <w:p w14:paraId="5B671766" w14:textId="77777777" w:rsidR="00D92C6C" w:rsidRDefault="00D92C6C">
            <w:pPr>
              <w:jc w:val="center"/>
              <w:rPr>
                <w:rFonts w:cs="Times New Roman"/>
                <w:sz w:val="20"/>
                <w:szCs w:val="20"/>
              </w:rPr>
            </w:pPr>
            <w:r>
              <w:rPr>
                <w:rFonts w:cs="Times New Roman"/>
                <w:sz w:val="20"/>
                <w:szCs w:val="20"/>
              </w:rPr>
              <w:t>£1,183</w:t>
            </w:r>
          </w:p>
        </w:tc>
        <w:tc>
          <w:tcPr>
            <w:tcW w:w="2143" w:type="dxa"/>
            <w:hideMark/>
          </w:tcPr>
          <w:p w14:paraId="1CF982FE" w14:textId="77777777" w:rsidR="00D92C6C" w:rsidRDefault="00D92C6C">
            <w:pPr>
              <w:jc w:val="center"/>
              <w:rPr>
                <w:rFonts w:cs="Times New Roman"/>
                <w:sz w:val="20"/>
                <w:szCs w:val="20"/>
              </w:rPr>
            </w:pPr>
            <w:r>
              <w:rPr>
                <w:rFonts w:cs="Times New Roman"/>
                <w:sz w:val="20"/>
                <w:szCs w:val="20"/>
              </w:rPr>
              <w:t>£1,420</w:t>
            </w:r>
          </w:p>
        </w:tc>
      </w:tr>
      <w:tr w:rsidR="00D92C6C" w14:paraId="4BF66E1D" w14:textId="77777777" w:rsidTr="007357C6">
        <w:trPr>
          <w:trHeight w:val="261"/>
        </w:trPr>
        <w:tc>
          <w:tcPr>
            <w:tcW w:w="2836" w:type="dxa"/>
            <w:hideMark/>
          </w:tcPr>
          <w:p w14:paraId="7939973D" w14:textId="77777777" w:rsidR="00D92C6C" w:rsidRDefault="00D92C6C">
            <w:pPr>
              <w:rPr>
                <w:bCs/>
                <w:sz w:val="20"/>
                <w:szCs w:val="20"/>
              </w:rPr>
            </w:pPr>
            <w:r>
              <w:rPr>
                <w:bCs/>
                <w:sz w:val="20"/>
                <w:szCs w:val="20"/>
              </w:rPr>
              <w:t xml:space="preserve">Prostate </w:t>
            </w:r>
          </w:p>
        </w:tc>
        <w:tc>
          <w:tcPr>
            <w:tcW w:w="1700" w:type="dxa"/>
            <w:noWrap/>
            <w:hideMark/>
          </w:tcPr>
          <w:p w14:paraId="316BE6DD" w14:textId="77777777" w:rsidR="00D92C6C" w:rsidRDefault="00D92C6C">
            <w:pPr>
              <w:jc w:val="center"/>
              <w:rPr>
                <w:sz w:val="20"/>
                <w:szCs w:val="20"/>
              </w:rPr>
            </w:pPr>
            <w:r>
              <w:rPr>
                <w:sz w:val="20"/>
                <w:szCs w:val="20"/>
              </w:rPr>
              <w:t>30%</w:t>
            </w:r>
          </w:p>
        </w:tc>
        <w:tc>
          <w:tcPr>
            <w:tcW w:w="2268" w:type="dxa"/>
            <w:noWrap/>
            <w:hideMark/>
          </w:tcPr>
          <w:p w14:paraId="13846EC0" w14:textId="77777777" w:rsidR="00D92C6C" w:rsidRDefault="00D92C6C">
            <w:pPr>
              <w:jc w:val="center"/>
              <w:rPr>
                <w:rFonts w:cs="Times New Roman"/>
                <w:sz w:val="20"/>
                <w:szCs w:val="20"/>
              </w:rPr>
            </w:pPr>
            <w:r>
              <w:rPr>
                <w:rFonts w:cs="Times New Roman"/>
                <w:sz w:val="20"/>
                <w:szCs w:val="20"/>
              </w:rPr>
              <w:t>£986,436</w:t>
            </w:r>
          </w:p>
        </w:tc>
        <w:tc>
          <w:tcPr>
            <w:tcW w:w="2143" w:type="dxa"/>
            <w:hideMark/>
          </w:tcPr>
          <w:p w14:paraId="5A9973A5" w14:textId="77777777" w:rsidR="00D92C6C" w:rsidRDefault="00D92C6C">
            <w:pPr>
              <w:jc w:val="center"/>
              <w:rPr>
                <w:rFonts w:cs="Times New Roman"/>
                <w:sz w:val="20"/>
                <w:szCs w:val="20"/>
              </w:rPr>
            </w:pPr>
            <w:r>
              <w:rPr>
                <w:rFonts w:cs="Times New Roman"/>
                <w:sz w:val="20"/>
                <w:szCs w:val="20"/>
              </w:rPr>
              <w:t>£1,184,197</w:t>
            </w:r>
          </w:p>
        </w:tc>
      </w:tr>
      <w:tr w:rsidR="00D92C6C" w14:paraId="0E184E07" w14:textId="77777777" w:rsidTr="007357C6">
        <w:trPr>
          <w:trHeight w:val="261"/>
        </w:trPr>
        <w:tc>
          <w:tcPr>
            <w:tcW w:w="2836" w:type="dxa"/>
            <w:hideMark/>
          </w:tcPr>
          <w:p w14:paraId="47EB1AF6" w14:textId="77777777" w:rsidR="00D92C6C" w:rsidRDefault="00D92C6C">
            <w:pPr>
              <w:rPr>
                <w:bCs/>
                <w:sz w:val="20"/>
                <w:szCs w:val="20"/>
              </w:rPr>
            </w:pPr>
            <w:r>
              <w:rPr>
                <w:bCs/>
                <w:sz w:val="20"/>
                <w:szCs w:val="20"/>
              </w:rPr>
              <w:t>Renal cell carcinoma</w:t>
            </w:r>
          </w:p>
        </w:tc>
        <w:tc>
          <w:tcPr>
            <w:tcW w:w="1700" w:type="dxa"/>
            <w:noWrap/>
            <w:hideMark/>
          </w:tcPr>
          <w:p w14:paraId="217633B3" w14:textId="77777777" w:rsidR="00D92C6C" w:rsidRDefault="00D92C6C">
            <w:pPr>
              <w:jc w:val="center"/>
              <w:rPr>
                <w:sz w:val="20"/>
                <w:szCs w:val="20"/>
              </w:rPr>
            </w:pPr>
            <w:r>
              <w:rPr>
                <w:sz w:val="20"/>
                <w:szCs w:val="20"/>
              </w:rPr>
              <w:t>30%</w:t>
            </w:r>
          </w:p>
        </w:tc>
        <w:tc>
          <w:tcPr>
            <w:tcW w:w="2268" w:type="dxa"/>
            <w:noWrap/>
            <w:hideMark/>
          </w:tcPr>
          <w:p w14:paraId="4EAA15D2" w14:textId="77777777" w:rsidR="00D92C6C" w:rsidRDefault="00D92C6C">
            <w:pPr>
              <w:jc w:val="center"/>
              <w:rPr>
                <w:rFonts w:cs="Times New Roman"/>
                <w:sz w:val="20"/>
                <w:szCs w:val="20"/>
              </w:rPr>
            </w:pPr>
            <w:r>
              <w:rPr>
                <w:rFonts w:cs="Times New Roman"/>
                <w:sz w:val="20"/>
                <w:szCs w:val="20"/>
              </w:rPr>
              <w:t>£986,436</w:t>
            </w:r>
          </w:p>
        </w:tc>
        <w:tc>
          <w:tcPr>
            <w:tcW w:w="2143" w:type="dxa"/>
            <w:hideMark/>
          </w:tcPr>
          <w:p w14:paraId="6E13F12D" w14:textId="77777777" w:rsidR="00D92C6C" w:rsidRDefault="00D92C6C">
            <w:pPr>
              <w:jc w:val="center"/>
              <w:rPr>
                <w:rFonts w:cs="Times New Roman"/>
                <w:sz w:val="20"/>
                <w:szCs w:val="20"/>
              </w:rPr>
            </w:pPr>
            <w:r>
              <w:rPr>
                <w:rFonts w:cs="Times New Roman"/>
                <w:sz w:val="20"/>
                <w:szCs w:val="20"/>
              </w:rPr>
              <w:t>£1,184,197</w:t>
            </w:r>
          </w:p>
        </w:tc>
      </w:tr>
      <w:tr w:rsidR="00D92C6C" w14:paraId="3D5A1274" w14:textId="77777777" w:rsidTr="007357C6">
        <w:trPr>
          <w:trHeight w:val="261"/>
        </w:trPr>
        <w:tc>
          <w:tcPr>
            <w:tcW w:w="2836" w:type="dxa"/>
            <w:hideMark/>
          </w:tcPr>
          <w:p w14:paraId="55760DA0" w14:textId="77777777" w:rsidR="00D92C6C" w:rsidRDefault="00D92C6C">
            <w:pPr>
              <w:rPr>
                <w:bCs/>
                <w:sz w:val="20"/>
                <w:szCs w:val="20"/>
              </w:rPr>
            </w:pPr>
            <w:r>
              <w:rPr>
                <w:bCs/>
                <w:sz w:val="20"/>
                <w:szCs w:val="20"/>
              </w:rPr>
              <w:t>Salivary gland</w:t>
            </w:r>
          </w:p>
        </w:tc>
        <w:tc>
          <w:tcPr>
            <w:tcW w:w="1700" w:type="dxa"/>
            <w:noWrap/>
            <w:hideMark/>
          </w:tcPr>
          <w:p w14:paraId="2CF59DF9" w14:textId="77777777" w:rsidR="00D92C6C" w:rsidRDefault="00D92C6C">
            <w:pPr>
              <w:jc w:val="center"/>
              <w:rPr>
                <w:sz w:val="20"/>
                <w:szCs w:val="20"/>
              </w:rPr>
            </w:pPr>
            <w:r>
              <w:rPr>
                <w:sz w:val="20"/>
                <w:szCs w:val="20"/>
              </w:rPr>
              <w:t>30%</w:t>
            </w:r>
          </w:p>
        </w:tc>
        <w:tc>
          <w:tcPr>
            <w:tcW w:w="2268" w:type="dxa"/>
            <w:noWrap/>
            <w:hideMark/>
          </w:tcPr>
          <w:p w14:paraId="65BA340B" w14:textId="77777777" w:rsidR="00D92C6C" w:rsidRDefault="00D92C6C">
            <w:pPr>
              <w:jc w:val="center"/>
              <w:rPr>
                <w:rFonts w:cs="Times New Roman"/>
                <w:sz w:val="20"/>
                <w:szCs w:val="20"/>
              </w:rPr>
            </w:pPr>
            <w:r>
              <w:rPr>
                <w:rFonts w:cs="Times New Roman"/>
                <w:sz w:val="20"/>
                <w:szCs w:val="20"/>
              </w:rPr>
              <w:t>£143,377</w:t>
            </w:r>
          </w:p>
        </w:tc>
        <w:tc>
          <w:tcPr>
            <w:tcW w:w="2143" w:type="dxa"/>
            <w:hideMark/>
          </w:tcPr>
          <w:p w14:paraId="336B7AFD" w14:textId="77777777" w:rsidR="00D92C6C" w:rsidRDefault="00D92C6C">
            <w:pPr>
              <w:jc w:val="center"/>
              <w:rPr>
                <w:rFonts w:cs="Times New Roman"/>
                <w:sz w:val="20"/>
                <w:szCs w:val="20"/>
              </w:rPr>
            </w:pPr>
            <w:r>
              <w:rPr>
                <w:rFonts w:cs="Times New Roman"/>
                <w:sz w:val="20"/>
                <w:szCs w:val="20"/>
              </w:rPr>
              <w:t>£172,122</w:t>
            </w:r>
          </w:p>
        </w:tc>
      </w:tr>
      <w:tr w:rsidR="00D92C6C" w14:paraId="68A797DE" w14:textId="77777777" w:rsidTr="007357C6">
        <w:trPr>
          <w:trHeight w:val="274"/>
        </w:trPr>
        <w:tc>
          <w:tcPr>
            <w:tcW w:w="2836" w:type="dxa"/>
            <w:noWrap/>
            <w:hideMark/>
          </w:tcPr>
          <w:p w14:paraId="4382BE1D" w14:textId="77777777" w:rsidR="00D92C6C" w:rsidRDefault="00D92C6C">
            <w:pPr>
              <w:rPr>
                <w:bCs/>
                <w:sz w:val="20"/>
                <w:szCs w:val="20"/>
              </w:rPr>
            </w:pPr>
            <w:r>
              <w:rPr>
                <w:bCs/>
                <w:sz w:val="20"/>
                <w:szCs w:val="20"/>
              </w:rPr>
              <w:t>Secretory Breast Carcinoma</w:t>
            </w:r>
          </w:p>
        </w:tc>
        <w:tc>
          <w:tcPr>
            <w:tcW w:w="1700" w:type="dxa"/>
            <w:noWrap/>
            <w:hideMark/>
          </w:tcPr>
          <w:p w14:paraId="09C42D70" w14:textId="77777777" w:rsidR="00D92C6C" w:rsidRDefault="00D92C6C">
            <w:pPr>
              <w:jc w:val="center"/>
              <w:rPr>
                <w:sz w:val="20"/>
                <w:szCs w:val="20"/>
              </w:rPr>
            </w:pPr>
            <w:r>
              <w:rPr>
                <w:sz w:val="20"/>
                <w:szCs w:val="20"/>
              </w:rPr>
              <w:t>60%</w:t>
            </w:r>
          </w:p>
        </w:tc>
        <w:tc>
          <w:tcPr>
            <w:tcW w:w="2268" w:type="dxa"/>
            <w:noWrap/>
            <w:hideMark/>
          </w:tcPr>
          <w:p w14:paraId="460FDF6E" w14:textId="77777777" w:rsidR="00D92C6C" w:rsidRDefault="00D92C6C">
            <w:pPr>
              <w:jc w:val="center"/>
              <w:rPr>
                <w:rFonts w:cs="Times New Roman"/>
                <w:sz w:val="20"/>
                <w:szCs w:val="20"/>
              </w:rPr>
            </w:pPr>
            <w:r>
              <w:rPr>
                <w:rFonts w:cs="Times New Roman"/>
                <w:sz w:val="20"/>
                <w:szCs w:val="20"/>
              </w:rPr>
              <w:t>£1,008</w:t>
            </w:r>
          </w:p>
        </w:tc>
        <w:tc>
          <w:tcPr>
            <w:tcW w:w="2143" w:type="dxa"/>
            <w:hideMark/>
          </w:tcPr>
          <w:p w14:paraId="69FB4C36" w14:textId="77777777" w:rsidR="00D92C6C" w:rsidRDefault="00D92C6C">
            <w:pPr>
              <w:jc w:val="center"/>
              <w:rPr>
                <w:rFonts w:cs="Times New Roman"/>
                <w:sz w:val="20"/>
                <w:szCs w:val="20"/>
              </w:rPr>
            </w:pPr>
            <w:r>
              <w:rPr>
                <w:rFonts w:cs="Times New Roman"/>
                <w:sz w:val="20"/>
                <w:szCs w:val="20"/>
              </w:rPr>
              <w:t>£1,211</w:t>
            </w:r>
          </w:p>
        </w:tc>
      </w:tr>
      <w:tr w:rsidR="00D92C6C" w14:paraId="781FF687" w14:textId="77777777" w:rsidTr="007357C6">
        <w:trPr>
          <w:trHeight w:val="261"/>
        </w:trPr>
        <w:tc>
          <w:tcPr>
            <w:tcW w:w="2836" w:type="dxa"/>
            <w:hideMark/>
          </w:tcPr>
          <w:p w14:paraId="007A2134" w14:textId="77777777" w:rsidR="00D92C6C" w:rsidRDefault="00D92C6C">
            <w:pPr>
              <w:rPr>
                <w:bCs/>
                <w:sz w:val="20"/>
                <w:szCs w:val="20"/>
              </w:rPr>
            </w:pPr>
            <w:r>
              <w:rPr>
                <w:bCs/>
                <w:sz w:val="20"/>
                <w:szCs w:val="20"/>
              </w:rPr>
              <w:t>Sinonasal adenocarcinoma</w:t>
            </w:r>
          </w:p>
        </w:tc>
        <w:tc>
          <w:tcPr>
            <w:tcW w:w="1700" w:type="dxa"/>
            <w:noWrap/>
            <w:hideMark/>
          </w:tcPr>
          <w:p w14:paraId="68587D8A" w14:textId="77777777" w:rsidR="00D92C6C" w:rsidRDefault="00D92C6C">
            <w:pPr>
              <w:jc w:val="center"/>
              <w:rPr>
                <w:sz w:val="20"/>
                <w:szCs w:val="20"/>
              </w:rPr>
            </w:pPr>
            <w:r>
              <w:rPr>
                <w:sz w:val="20"/>
                <w:szCs w:val="20"/>
              </w:rPr>
              <w:t>30%</w:t>
            </w:r>
          </w:p>
        </w:tc>
        <w:tc>
          <w:tcPr>
            <w:tcW w:w="2268" w:type="dxa"/>
            <w:noWrap/>
            <w:hideMark/>
          </w:tcPr>
          <w:p w14:paraId="25D4F313" w14:textId="77777777" w:rsidR="00D92C6C" w:rsidRDefault="00D92C6C">
            <w:pPr>
              <w:jc w:val="center"/>
              <w:rPr>
                <w:rFonts w:cs="Times New Roman"/>
                <w:sz w:val="20"/>
                <w:szCs w:val="20"/>
              </w:rPr>
            </w:pPr>
            <w:r>
              <w:rPr>
                <w:rFonts w:cs="Times New Roman"/>
                <w:sz w:val="20"/>
                <w:szCs w:val="20"/>
              </w:rPr>
              <w:t>£986,436</w:t>
            </w:r>
          </w:p>
        </w:tc>
        <w:tc>
          <w:tcPr>
            <w:tcW w:w="2143" w:type="dxa"/>
            <w:hideMark/>
          </w:tcPr>
          <w:p w14:paraId="757DD9F8" w14:textId="77777777" w:rsidR="00D92C6C" w:rsidRDefault="00D92C6C">
            <w:pPr>
              <w:jc w:val="center"/>
              <w:rPr>
                <w:rFonts w:cs="Times New Roman"/>
                <w:sz w:val="20"/>
                <w:szCs w:val="20"/>
              </w:rPr>
            </w:pPr>
            <w:r>
              <w:rPr>
                <w:rFonts w:cs="Times New Roman"/>
                <w:sz w:val="20"/>
                <w:szCs w:val="20"/>
              </w:rPr>
              <w:t>£1,184,197</w:t>
            </w:r>
          </w:p>
        </w:tc>
      </w:tr>
      <w:tr w:rsidR="00D92C6C" w14:paraId="4C36F324" w14:textId="77777777" w:rsidTr="007357C6">
        <w:trPr>
          <w:trHeight w:val="261"/>
        </w:trPr>
        <w:tc>
          <w:tcPr>
            <w:tcW w:w="2836" w:type="dxa"/>
            <w:hideMark/>
          </w:tcPr>
          <w:p w14:paraId="7D41878F" w14:textId="77777777" w:rsidR="00D92C6C" w:rsidRDefault="00D92C6C">
            <w:pPr>
              <w:rPr>
                <w:bCs/>
                <w:sz w:val="20"/>
                <w:szCs w:val="20"/>
              </w:rPr>
            </w:pPr>
            <w:r>
              <w:rPr>
                <w:bCs/>
                <w:sz w:val="20"/>
                <w:szCs w:val="20"/>
              </w:rPr>
              <w:t>Uterine</w:t>
            </w:r>
          </w:p>
        </w:tc>
        <w:tc>
          <w:tcPr>
            <w:tcW w:w="1700" w:type="dxa"/>
            <w:noWrap/>
            <w:hideMark/>
          </w:tcPr>
          <w:p w14:paraId="55FA7627" w14:textId="77777777" w:rsidR="00D92C6C" w:rsidRDefault="00D92C6C">
            <w:pPr>
              <w:jc w:val="center"/>
              <w:rPr>
                <w:sz w:val="20"/>
                <w:szCs w:val="20"/>
              </w:rPr>
            </w:pPr>
            <w:r>
              <w:rPr>
                <w:sz w:val="20"/>
                <w:szCs w:val="20"/>
              </w:rPr>
              <w:t>30%</w:t>
            </w:r>
          </w:p>
        </w:tc>
        <w:tc>
          <w:tcPr>
            <w:tcW w:w="2268" w:type="dxa"/>
            <w:noWrap/>
            <w:hideMark/>
          </w:tcPr>
          <w:p w14:paraId="0493A417" w14:textId="77777777" w:rsidR="00D92C6C" w:rsidRDefault="00D92C6C">
            <w:pPr>
              <w:jc w:val="center"/>
              <w:rPr>
                <w:rFonts w:cs="Times New Roman"/>
                <w:sz w:val="20"/>
                <w:szCs w:val="20"/>
              </w:rPr>
            </w:pPr>
            <w:r>
              <w:rPr>
                <w:rFonts w:cs="Times New Roman"/>
                <w:sz w:val="20"/>
                <w:szCs w:val="20"/>
              </w:rPr>
              <w:t>£2,466,091</w:t>
            </w:r>
          </w:p>
        </w:tc>
        <w:tc>
          <w:tcPr>
            <w:tcW w:w="2143" w:type="dxa"/>
            <w:hideMark/>
          </w:tcPr>
          <w:p w14:paraId="2F0ACBBE" w14:textId="77777777" w:rsidR="00D92C6C" w:rsidRDefault="00D92C6C">
            <w:pPr>
              <w:jc w:val="center"/>
              <w:rPr>
                <w:rFonts w:cs="Times New Roman"/>
                <w:sz w:val="20"/>
                <w:szCs w:val="20"/>
              </w:rPr>
            </w:pPr>
            <w:r>
              <w:rPr>
                <w:rFonts w:cs="Times New Roman"/>
                <w:sz w:val="20"/>
                <w:szCs w:val="20"/>
              </w:rPr>
              <w:t>£2,960,494</w:t>
            </w:r>
          </w:p>
        </w:tc>
      </w:tr>
    </w:tbl>
    <w:p w14:paraId="5798D0B4" w14:textId="77777777" w:rsidR="00F55833" w:rsidRPr="002D1DD7" w:rsidRDefault="00F55833" w:rsidP="00D765F4"/>
    <w:p w14:paraId="78517F92" w14:textId="7CE2E747" w:rsidR="00C35194" w:rsidRPr="002D1DD7" w:rsidRDefault="00C35194" w:rsidP="0018000D">
      <w:pPr>
        <w:pStyle w:val="Heading3"/>
      </w:pPr>
      <w:bookmarkStart w:id="210" w:name="_Toc33776224"/>
      <w:r w:rsidRPr="002D1DD7">
        <w:t xml:space="preserve">Implications for the cost-effectiveness of </w:t>
      </w:r>
      <w:r w:rsidR="002373DA" w:rsidRPr="002D1DD7">
        <w:t>T</w:t>
      </w:r>
      <w:r w:rsidR="002373DA">
        <w:t>rk-</w:t>
      </w:r>
      <w:r w:rsidRPr="002D1DD7">
        <w:t>inhibitors</w:t>
      </w:r>
      <w:bookmarkEnd w:id="210"/>
      <w:r w:rsidRPr="002D1DD7">
        <w:t xml:space="preserve"> </w:t>
      </w:r>
    </w:p>
    <w:p w14:paraId="18C97D83" w14:textId="6748E136" w:rsidR="00251BEC" w:rsidRPr="002D1DD7" w:rsidRDefault="00C35194" w:rsidP="0018000D">
      <w:pPr>
        <w:rPr>
          <w:shd w:val="clear" w:color="auto" w:fill="FFFFFF"/>
        </w:rPr>
      </w:pPr>
      <w:r w:rsidRPr="002D1DD7">
        <w:rPr>
          <w:shd w:val="clear" w:color="auto" w:fill="FFFFFF"/>
        </w:rPr>
        <w:t xml:space="preserve">The costs associated with additional testing for targets are likely to be substantial and will have significant bearing on the cost-effectiveness of </w:t>
      </w:r>
      <w:r w:rsidR="00555827">
        <w:rPr>
          <w:shd w:val="clear" w:color="auto" w:fill="FFFFFF"/>
        </w:rPr>
        <w:t>histology-independent</w:t>
      </w:r>
      <w:r w:rsidRPr="002D1DD7">
        <w:rPr>
          <w:shd w:val="clear" w:color="auto" w:fill="FFFFFF"/>
        </w:rPr>
        <w:t xml:space="preserve"> technologies. Tumour specific costs of identifying </w:t>
      </w:r>
      <w:r w:rsidR="000B29E1">
        <w:rPr>
          <w:shd w:val="clear" w:color="auto" w:fill="FFFFFF"/>
        </w:rPr>
        <w:t xml:space="preserve">relevant fusions </w:t>
      </w:r>
      <w:r w:rsidRPr="002D1DD7">
        <w:rPr>
          <w:shd w:val="clear" w:color="auto" w:fill="FFFFFF"/>
        </w:rPr>
        <w:t xml:space="preserve">are also likely to represent a significant source of heterogeneity due to the variable frequency of targets across tumour types. This heterogeneity in testing costs is likely to mean that for some tumour types where NTRK fusions are rare, NTRK testing will </w:t>
      </w:r>
      <w:r w:rsidR="00C74931">
        <w:rPr>
          <w:shd w:val="clear" w:color="auto" w:fill="FFFFFF"/>
        </w:rPr>
        <w:t xml:space="preserve">not </w:t>
      </w:r>
      <w:r w:rsidRPr="002D1DD7">
        <w:rPr>
          <w:shd w:val="clear" w:color="auto" w:fill="FFFFFF"/>
        </w:rPr>
        <w:t xml:space="preserve">be </w:t>
      </w:r>
      <w:r w:rsidRPr="002D1DD7">
        <w:rPr>
          <w:shd w:val="clear" w:color="auto" w:fill="FFFFFF"/>
        </w:rPr>
        <w:lastRenderedPageBreak/>
        <w:t>cost-effective. Opportunities to share testing costs across multiple health care technologies may reduce the cost burden of molecular testing on a specific healthcare technology</w:t>
      </w:r>
      <w:r w:rsidR="000B29E1">
        <w:rPr>
          <w:shd w:val="clear" w:color="auto" w:fill="FFFFFF"/>
        </w:rPr>
        <w:t>,</w:t>
      </w:r>
      <w:r w:rsidRPr="002D1DD7">
        <w:rPr>
          <w:shd w:val="clear" w:color="auto" w:fill="FFFFFF"/>
        </w:rPr>
        <w:t xml:space="preserve"> potentially increasing the </w:t>
      </w:r>
      <w:r w:rsidR="00C74931">
        <w:rPr>
          <w:shd w:val="clear" w:color="auto" w:fill="FFFFFF"/>
        </w:rPr>
        <w:t xml:space="preserve">financial </w:t>
      </w:r>
      <w:r w:rsidRPr="002D1DD7">
        <w:rPr>
          <w:shd w:val="clear" w:color="auto" w:fill="FFFFFF"/>
        </w:rPr>
        <w:t xml:space="preserve">viability of testing. It is however, currently unclear what mechanism would be used to share testing costs across multiple technologies. </w:t>
      </w:r>
    </w:p>
    <w:p w14:paraId="54D5A816" w14:textId="14E436D9" w:rsidR="00251BEC" w:rsidRPr="002D1DD7" w:rsidRDefault="00251BEC" w:rsidP="00EC11CD">
      <w:pPr>
        <w:pStyle w:val="Heading2"/>
        <w:rPr>
          <w:shd w:val="clear" w:color="auto" w:fill="FFFFFF"/>
        </w:rPr>
      </w:pPr>
      <w:bookmarkStart w:id="211" w:name="_Ref32586824"/>
      <w:bookmarkStart w:id="212" w:name="_Ref32586837"/>
      <w:bookmarkStart w:id="213" w:name="_Toc33776225"/>
      <w:r w:rsidRPr="002D1DD7">
        <w:rPr>
          <w:shd w:val="clear" w:color="auto" w:fill="FFFFFF"/>
        </w:rPr>
        <w:t xml:space="preserve">Model structure </w:t>
      </w:r>
      <w:r w:rsidR="003F64F2" w:rsidRPr="002D1DD7">
        <w:rPr>
          <w:shd w:val="clear" w:color="auto" w:fill="FFFFFF"/>
        </w:rPr>
        <w:t>and extrapolation</w:t>
      </w:r>
      <w:bookmarkEnd w:id="211"/>
      <w:bookmarkEnd w:id="212"/>
      <w:bookmarkEnd w:id="213"/>
    </w:p>
    <w:p w14:paraId="5427FD14" w14:textId="41EDCD07" w:rsidR="004E0DC3" w:rsidRPr="002D1DD7" w:rsidRDefault="003F64F2" w:rsidP="00040E4D">
      <w:r w:rsidRPr="002D1DD7">
        <w:t>Partitioned survival modelling (PSM) is the most commo</w:t>
      </w:r>
      <w:r w:rsidR="004E0DC3" w:rsidRPr="002D1DD7">
        <w:t>n</w:t>
      </w:r>
      <w:r w:rsidRPr="002D1DD7">
        <w:t xml:space="preserve"> modelling approach </w:t>
      </w:r>
      <w:r w:rsidR="004E0DC3" w:rsidRPr="002D1DD7">
        <w:t xml:space="preserve">used </w:t>
      </w:r>
      <w:r w:rsidRPr="002D1DD7">
        <w:t>for NICE appraisals of interventions for advanced or metastatic cancers.</w:t>
      </w:r>
      <w:r w:rsidR="006F7FD7">
        <w:fldChar w:fldCharType="begin"/>
      </w:r>
      <w:r w:rsidR="004D5B2B">
        <w:instrText xml:space="preserve"> ADDIN EN.CITE &lt;EndNote&gt;&lt;Cite&gt;&lt;Author&gt;Woods&lt;/Author&gt;&lt;Year&gt;2017&lt;/Year&gt;&lt;RecNum&gt;3506&lt;/RecNum&gt;&lt;DisplayText&gt;&lt;style face="superscript"&gt;180&lt;/style&gt;&lt;/DisplayText&gt;&lt;record&gt;&lt;rec-number&gt;3506&lt;/rec-number&gt;&lt;foreign-keys&gt;&lt;key app="EN" db-id="dwaevxvazfs2f3ewvzmxrd0k0wasw55p2z2w" timestamp="1579606100"&gt;3506&lt;/key&gt;&lt;/foreign-keys&gt;&lt;ref-type name="Report"&gt;27&lt;/ref-type&gt;&lt;contributors&gt;&lt;authors&gt;&lt;author&gt;Woods, Beth&lt;/author&gt;&lt;author&gt;Sideris, Eleftherios&lt;/author&gt;&lt;author&gt;Palmer, Stephen&lt;/author&gt;&lt;author&gt;Latimer, Nick&lt;/author&gt;&lt;author&gt;Soares, Marta&lt;/author&gt;&lt;/authors&gt;&lt;/contributors&gt;&lt;titles&gt;&lt;title&gt;Partitioned survival analysis for decision modelling in health care: A critical review&lt;/title&gt;&lt;secondary-title&gt;NICE DSU technical support&lt;/secondary-title&gt;&lt;/titles&gt;&lt;num-vols&gt;19&lt;/num-vols&gt;&lt;dates&gt;&lt;year&gt;2017&lt;/year&gt;&lt;/dates&gt;&lt;pub-location&gt;Sheffield&lt;/pub-location&gt;&lt;publisher&gt;Decision Support Unit, ScHARR&lt;/publisher&gt;&lt;urls&gt;&lt;related-urls&gt;&lt;url&gt;https://nicedsu.org.uk/wp-content/uploads/2017/06/Partitioned-Survival-Analysis-final-report.pdf&lt;/url&gt;&lt;/related-urls&gt;&lt;/urls&gt;&lt;custom4&gt;STEVE&amp;apos;S REFERENCES&lt;/custom4&gt;&lt;/record&gt;&lt;/Cite&gt;&lt;/EndNote&gt;</w:instrText>
      </w:r>
      <w:r w:rsidR="006F7FD7">
        <w:fldChar w:fldCharType="separate"/>
      </w:r>
      <w:r w:rsidR="004D5B2B" w:rsidRPr="004D5B2B">
        <w:rPr>
          <w:noProof/>
          <w:vertAlign w:val="superscript"/>
        </w:rPr>
        <w:t>180</w:t>
      </w:r>
      <w:r w:rsidR="006F7FD7">
        <w:fldChar w:fldCharType="end"/>
      </w:r>
      <w:r w:rsidRPr="002D1DD7">
        <w:t xml:space="preserve"> </w:t>
      </w:r>
      <w:r w:rsidR="004E0DC3" w:rsidRPr="002D1DD7">
        <w:t xml:space="preserve">This approach uses survival analysis of observed time-to-event endpoints (TTE) to derive state membership estimates. As estimates of mean survival times are required for cost-effectiveness analysis, parametric models are fitted to the observed TTE endpoints to extrapolate the observed survival data over an appropriate time horizon. The choice of appropriate parametric models to extrapolate the observed data are </w:t>
      </w:r>
      <w:r w:rsidR="005844B8" w:rsidRPr="002D1DD7">
        <w:t xml:space="preserve">usually </w:t>
      </w:r>
      <w:r w:rsidR="004E0DC3" w:rsidRPr="002D1DD7">
        <w:t xml:space="preserve">based on a series of </w:t>
      </w:r>
      <w:r w:rsidR="00B01727" w:rsidRPr="002D1DD7">
        <w:t>assessments</w:t>
      </w:r>
      <w:r w:rsidR="004E0DC3" w:rsidRPr="002D1DD7">
        <w:t>, including: visual inspection of the Kaplan</w:t>
      </w:r>
      <w:r w:rsidR="000741CA">
        <w:t>-</w:t>
      </w:r>
      <w:r w:rsidR="004E0DC3" w:rsidRPr="002D1DD7">
        <w:t>Meier curve</w:t>
      </w:r>
      <w:r w:rsidR="000741CA">
        <w:t>s</w:t>
      </w:r>
      <w:r w:rsidR="004E0DC3" w:rsidRPr="002D1DD7">
        <w:t xml:space="preserve"> and log cumulative hazard plot</w:t>
      </w:r>
      <w:r w:rsidR="000741CA">
        <w:t>s</w:t>
      </w:r>
      <w:r w:rsidR="00206DAB" w:rsidRPr="002D1DD7">
        <w:t>;</w:t>
      </w:r>
      <w:r w:rsidR="004E0DC3" w:rsidRPr="002D1DD7">
        <w:t xml:space="preserve"> visual fit of extrapolated models to observed data</w:t>
      </w:r>
      <w:r w:rsidR="004F2956" w:rsidRPr="002D1DD7">
        <w:t>;</w:t>
      </w:r>
      <w:r w:rsidR="004E0DC3" w:rsidRPr="002D1DD7">
        <w:t xml:space="preserve"> statistical fit</w:t>
      </w:r>
      <w:r w:rsidR="00181E4D">
        <w:t xml:space="preserve"> </w:t>
      </w:r>
      <w:r w:rsidR="004E0DC3" w:rsidRPr="002D1DD7">
        <w:t>based on goodness of fit statistics</w:t>
      </w:r>
      <w:r w:rsidR="004F2956" w:rsidRPr="002D1DD7">
        <w:t>;</w:t>
      </w:r>
      <w:r w:rsidR="00597FE1" w:rsidRPr="002D1DD7">
        <w:t xml:space="preserve"> </w:t>
      </w:r>
      <w:r w:rsidR="004E0DC3" w:rsidRPr="002D1DD7">
        <w:t>and clinical plausibility of the extrapolation.</w:t>
      </w:r>
      <w:r w:rsidR="006F7FD7">
        <w:fldChar w:fldCharType="begin"/>
      </w:r>
      <w:r w:rsidR="004D5B2B">
        <w:instrText xml:space="preserve"> ADDIN EN.CITE &lt;EndNote&gt;&lt;Cite&gt;&lt;Author&gt;Latimer&lt;/Author&gt;&lt;Year&gt;2011&lt;/Year&gt;&lt;RecNum&gt;3416&lt;/RecNum&gt;&lt;DisplayText&gt;&lt;style face="superscript"&gt;181&lt;/style&gt;&lt;/DisplayText&gt;&lt;record&gt;&lt;rec-number&gt;3416&lt;/rec-number&gt;&lt;foreign-keys&gt;&lt;key app="EN" db-id="dwaevxvazfs2f3ewvzmxrd0k0wasw55p2z2w" timestamp="1569599389"&gt;3416&lt;/key&gt;&lt;/foreign-keys&gt;&lt;ref-type name="Report"&gt;27&lt;/ref-type&gt;&lt;contributors&gt;&lt;authors&gt;&lt;author&gt;Latimer, Nicholas J&lt;/author&gt;&lt;/authors&gt;&lt;/contributors&gt;&lt;titles&gt;&lt;title&gt;NICE DSU technical support document 14: survival analysis for economic evaluations alongside clinical trials-extrapolation with patient-level data&lt;/title&gt;&lt;/titles&gt;&lt;dates&gt;&lt;year&gt;2011&lt;/year&gt;&lt;/dates&gt;&lt;pub-location&gt;Sheffield&lt;/pub-location&gt;&lt;publisher&gt;Report by the Decision Support Unit&lt;/publisher&gt;&lt;urls&gt;&lt;related-urls&gt;&lt;url&gt;http://nicedsu.org.uk/wp-content/uploads/2016/03/NICE-DSU-TSD-Survival-analysis.updated-March-2013.v2.pdf&lt;/url&gt;&lt;/related-urls&gt;&lt;/urls&gt;&lt;/record&gt;&lt;/Cite&gt;&lt;/EndNote&gt;</w:instrText>
      </w:r>
      <w:r w:rsidR="006F7FD7">
        <w:fldChar w:fldCharType="separate"/>
      </w:r>
      <w:r w:rsidR="004D5B2B" w:rsidRPr="004D5B2B">
        <w:rPr>
          <w:noProof/>
          <w:vertAlign w:val="superscript"/>
        </w:rPr>
        <w:t>181</w:t>
      </w:r>
      <w:r w:rsidR="006F7FD7">
        <w:fldChar w:fldCharType="end"/>
      </w:r>
      <w:r w:rsidR="004E0DC3" w:rsidRPr="002D1DD7">
        <w:t xml:space="preserve"> In a PSM, PFS and OS are </w:t>
      </w:r>
      <w:r w:rsidR="007478F3">
        <w:t xml:space="preserve">usually </w:t>
      </w:r>
      <w:r w:rsidR="00B01727" w:rsidRPr="002D1DD7">
        <w:t xml:space="preserve">extrapolated </w:t>
      </w:r>
      <w:r w:rsidR="004E0DC3" w:rsidRPr="002D1DD7">
        <w:t>independently and directly inform the state membership for the ‘Progression</w:t>
      </w:r>
      <w:r w:rsidR="000741CA">
        <w:t>-</w:t>
      </w:r>
      <w:r w:rsidR="004E0DC3" w:rsidRPr="002D1DD7">
        <w:t xml:space="preserve">free’ and ‘Death’ states over time, respectively. The difference between PFS and OS allows the proportion of patients in the progressed health state to be estimated. </w:t>
      </w:r>
    </w:p>
    <w:p w14:paraId="27822473" w14:textId="53D84489" w:rsidR="00B01727" w:rsidRPr="002D1DD7" w:rsidRDefault="00B01727" w:rsidP="00040E4D">
      <w:r w:rsidRPr="002D1DD7">
        <w:t>The use of PSM p</w:t>
      </w:r>
      <w:r w:rsidR="00370D99" w:rsidRPr="002D1DD7">
        <w:t>resents</w:t>
      </w:r>
      <w:r w:rsidRPr="002D1DD7">
        <w:t xml:space="preserve"> </w:t>
      </w:r>
      <w:r w:rsidR="00370D99" w:rsidRPr="002D1DD7">
        <w:t xml:space="preserve">several </w:t>
      </w:r>
      <w:r w:rsidRPr="002D1DD7">
        <w:t xml:space="preserve">challenges for the assessment of </w:t>
      </w:r>
      <w:r w:rsidR="00555827">
        <w:t>histology-independent</w:t>
      </w:r>
      <w:r w:rsidRPr="002D1DD7">
        <w:t xml:space="preserve"> products. Firstly, the more heterogeneous </w:t>
      </w:r>
      <w:r w:rsidR="00EE6846">
        <w:t xml:space="preserve">overall </w:t>
      </w:r>
      <w:r w:rsidRPr="002D1DD7">
        <w:t xml:space="preserve">population </w:t>
      </w:r>
      <w:r w:rsidR="00370D99" w:rsidRPr="002D1DD7">
        <w:t>may</w:t>
      </w:r>
      <w:r w:rsidRPr="002D1DD7">
        <w:t xml:space="preserve"> make it </w:t>
      </w:r>
      <w:r w:rsidR="00370D99" w:rsidRPr="002D1DD7">
        <w:t xml:space="preserve">more </w:t>
      </w:r>
      <w:r w:rsidRPr="002D1DD7">
        <w:t xml:space="preserve">challenging to fit a single </w:t>
      </w:r>
      <w:r w:rsidR="00370D99" w:rsidRPr="002D1DD7">
        <w:t xml:space="preserve">conventional </w:t>
      </w:r>
      <w:r w:rsidRPr="002D1DD7">
        <w:t>parametric curve. Secondly, the immaturity of the PFS and OS data will result in considerable uncertainty surrounding the extrapolated curves</w:t>
      </w:r>
      <w:r w:rsidR="00370D99" w:rsidRPr="002D1DD7">
        <w:t xml:space="preserve">. This may </w:t>
      </w:r>
      <w:r w:rsidRPr="002D1DD7">
        <w:t xml:space="preserve">lead to wide variation in the resulting predictions for survival models that have similar goodness of fit to the observed data. </w:t>
      </w:r>
      <w:r w:rsidR="004F2956" w:rsidRPr="002D1DD7">
        <w:t>Each of these challenges is now considered in more detail.</w:t>
      </w:r>
    </w:p>
    <w:p w14:paraId="5E7A2C08" w14:textId="70E501AE" w:rsidR="00B01727" w:rsidRPr="002D1DD7" w:rsidRDefault="00F40F54" w:rsidP="0018000D">
      <w:r w:rsidRPr="002D1DD7">
        <w:t>Standard parametric models can include proportional hazards-based models (exponential, Weibull and Gompertz), and the accelerated failure time models (log-normal, log-logistic and generalised gamma). However, the additional heterogeneity arising from the inclusion of different tumour sites is likely to result in more complex hazard functions which m</w:t>
      </w:r>
      <w:r w:rsidR="00370D99" w:rsidRPr="002D1DD7">
        <w:t>ay not be appropriately</w:t>
      </w:r>
      <w:r w:rsidRPr="002D1DD7">
        <w:t xml:space="preserve"> captured using standard parametric distributions. </w:t>
      </w:r>
      <w:r w:rsidRPr="0015378A">
        <w:t xml:space="preserve">Consequently, the use of </w:t>
      </w:r>
      <w:r w:rsidR="00B01727" w:rsidRPr="0015378A">
        <w:t>flexible parametric models</w:t>
      </w:r>
      <w:r w:rsidR="00D36DC7" w:rsidRPr="0015378A">
        <w:t xml:space="preserve">, mixture </w:t>
      </w:r>
      <w:r w:rsidR="00B01727" w:rsidRPr="0015378A">
        <w:t xml:space="preserve">models or response-based models </w:t>
      </w:r>
      <w:r w:rsidRPr="0015378A">
        <w:t xml:space="preserve">may be </w:t>
      </w:r>
      <w:r w:rsidR="00D36DC7" w:rsidRPr="0015378A">
        <w:t>required</w:t>
      </w:r>
      <w:r w:rsidR="00B01727" w:rsidRPr="0015378A">
        <w:t>.</w:t>
      </w:r>
      <w:r w:rsidR="006F7FD7">
        <w:fldChar w:fldCharType="begin"/>
      </w:r>
      <w:r w:rsidR="00054FE8">
        <w:instrText xml:space="preserve"> ADDIN EN.CITE &lt;EndNote&gt;&lt;Cite&gt;&lt;Author&gt;Ouwens&lt;/Author&gt;&lt;Year&gt;2019&lt;/Year&gt;&lt;RecNum&gt;3473&lt;/RecNum&gt;&lt;DisplayText&gt;&lt;style face="superscript"&gt;182&lt;/style&gt;&lt;/DisplayText&gt;&lt;record&gt;&lt;rec-number&gt;3473&lt;/rec-number&gt;&lt;foreign-keys&gt;&lt;key app="EN" db-id="dwaevxvazfs2f3ewvzmxrd0k0wasw55p2z2w" timestamp="1579606095"&gt;3473&lt;/key&gt;&lt;/foreign-keys&gt;&lt;ref-type name="Journal Article"&gt;17&lt;/ref-type&gt;&lt;contributors&gt;&lt;authors&gt;&lt;author&gt;Ouwens, Mjnm&lt;/author&gt;&lt;author&gt;Mukhopadhyay, P.&lt;/author&gt;&lt;author&gt;Zhang, Y.&lt;/author&gt;&lt;author&gt;Huang, M.&lt;/author&gt;&lt;author&gt;Latimer, N.&lt;/author&gt;&lt;author&gt;Briggs, A.&lt;/author&gt;&lt;/authors&gt;&lt;/contributors&gt;&lt;auth-address&gt;AstraZeneca, KC4, Gothenburg, Sweden. mario.ouwens@astrazeneca.com.&amp;#xD;, Pepparedsleden 1, 431 83, Mlndal, Sweden. mario.ouwens@astrazeneca.com.&amp;#xD;AstraZeneca, Gaithersburg, MD, USA.&amp;#xD;University of Sheffield, Sheffield, UK.&amp;#xD;Memorial Sloan-Kettering Cancer Center, New York, NY, USA.&amp;#xD;University of Glasgow, Glasgow, UK.&lt;/auth-address&gt;&lt;titles&gt;&lt;title&gt;Estimating lifetime benefits associated with immuno-oncology therapies: Challenges and approaches for overall survival extrapolations&lt;/title&gt;&lt;secondary-title&gt;Pharmacoeconomics&lt;/secondary-title&gt;&lt;/titles&gt;&lt;periodical&gt;&lt;full-title&gt;Pharmacoeconomics&lt;/full-title&gt;&lt;abbr-1&gt;Pharmacoeconomics&lt;/abbr-1&gt;&lt;/periodical&gt;&lt;pages&gt;1129-1138&lt;/pages&gt;&lt;volume&gt;37&lt;/volume&gt;&lt;number&gt;9&lt;/number&gt;&lt;edition&gt;2019/05/19&lt;/edition&gt;&lt;dates&gt;&lt;year&gt;2019&lt;/year&gt;&lt;pub-dates&gt;&lt;date&gt;Sep&lt;/date&gt;&lt;/pub-dates&gt;&lt;/dates&gt;&lt;isbn&gt;1179-2027 (Electronic)&amp;#xD;1170-7690 (Linking)&lt;/isbn&gt;&lt;accession-num&gt;31102143&lt;/accession-num&gt;&lt;urls&gt;&lt;/urls&gt;&lt;custom2&gt;6830404&lt;/custom2&gt;&lt;custom4&gt;STEVE&amp;apos;S REFERENCES&lt;/custom4&gt;&lt;electronic-resource-num&gt;10.1007/s40273-019-00806-4&amp;#xD;10.1007/s40273-019-00806-4 [pii]&lt;/electronic-resource-num&gt;&lt;research-notes&gt;https://www.ncbi.nlm.nih.gov/pubmed/31102143&lt;/research-notes&gt;&lt;language&gt;eng&lt;/language&gt;&lt;/record&gt;&lt;/Cite&gt;&lt;/EndNote&gt;</w:instrText>
      </w:r>
      <w:r w:rsidR="006F7FD7">
        <w:fldChar w:fldCharType="separate"/>
      </w:r>
      <w:r w:rsidR="004D5B2B" w:rsidRPr="004D5B2B">
        <w:rPr>
          <w:noProof/>
          <w:vertAlign w:val="superscript"/>
        </w:rPr>
        <w:t>182</w:t>
      </w:r>
      <w:r w:rsidR="006F7FD7">
        <w:fldChar w:fldCharType="end"/>
      </w:r>
      <w:r w:rsidR="00B01727" w:rsidRPr="002D1DD7">
        <w:t xml:space="preserve"> </w:t>
      </w:r>
    </w:p>
    <w:p w14:paraId="67AB938D" w14:textId="2386AC36" w:rsidR="00D36DC7" w:rsidRPr="002D1DD7" w:rsidRDefault="00F40F54" w:rsidP="0018000D">
      <w:r w:rsidRPr="002D1DD7">
        <w:t xml:space="preserve">Flexible parametric approaches </w:t>
      </w:r>
      <w:r w:rsidR="00CF16D8" w:rsidRPr="002D1DD7">
        <w:t>directly model the effect of time on the hazard function using splines. The splines are used to form a</w:t>
      </w:r>
      <w:r w:rsidR="006756BC" w:rsidRPr="002D1DD7">
        <w:t xml:space="preserve"> series of </w:t>
      </w:r>
      <w:r w:rsidRPr="002D1DD7">
        <w:t>polynomial distributions</w:t>
      </w:r>
      <w:r w:rsidR="006756BC" w:rsidRPr="002D1DD7">
        <w:t xml:space="preserve"> joined</w:t>
      </w:r>
      <w:r w:rsidRPr="002D1DD7">
        <w:t xml:space="preserve"> by ‘knots’. </w:t>
      </w:r>
      <w:r w:rsidR="00CF16D8" w:rsidRPr="002D1DD7">
        <w:t xml:space="preserve">Changes in the modelled hazard function at specific time points can be accommodated by using different polynomial distributions between each knot. The number of knots determines the number of parameters required to model the hazard function. </w:t>
      </w:r>
      <w:r w:rsidRPr="002D1DD7">
        <w:t xml:space="preserve">In </w:t>
      </w:r>
      <w:r w:rsidR="00370D99" w:rsidRPr="002D1DD7">
        <w:t xml:space="preserve">a </w:t>
      </w:r>
      <w:r w:rsidRPr="002D1DD7">
        <w:t xml:space="preserve">simple case with zero knots, these models are the same as </w:t>
      </w:r>
      <w:r w:rsidR="006756BC" w:rsidRPr="002D1DD7">
        <w:lastRenderedPageBreak/>
        <w:t xml:space="preserve">conventional parametric distributions. </w:t>
      </w:r>
      <w:r w:rsidR="00370D99" w:rsidRPr="002D1DD7">
        <w:t>B</w:t>
      </w:r>
      <w:r w:rsidR="00D36DC7" w:rsidRPr="002D1DD7">
        <w:t>y definition</w:t>
      </w:r>
      <w:r w:rsidR="002A4250">
        <w:t>,</w:t>
      </w:r>
      <w:r w:rsidR="00370D99" w:rsidRPr="002D1DD7">
        <w:t xml:space="preserve"> </w:t>
      </w:r>
      <w:r w:rsidR="00CF16D8" w:rsidRPr="002D1DD7">
        <w:t>t</w:t>
      </w:r>
      <w:r w:rsidR="00093DF1" w:rsidRPr="002D1DD7">
        <w:t>hese approaches</w:t>
      </w:r>
      <w:r w:rsidR="00CF16D8" w:rsidRPr="002D1DD7">
        <w:t xml:space="preserve"> </w:t>
      </w:r>
      <w:r w:rsidR="00D36DC7" w:rsidRPr="002D1DD7">
        <w:t xml:space="preserve">provide greater flexibility </w:t>
      </w:r>
      <w:r w:rsidR="00093DF1" w:rsidRPr="002D1DD7">
        <w:t>compared to conventional parametric modelling</w:t>
      </w:r>
      <w:r w:rsidR="00370D99" w:rsidRPr="002D1DD7">
        <w:t>. However,</w:t>
      </w:r>
      <w:r w:rsidR="00093DF1" w:rsidRPr="002D1DD7">
        <w:t xml:space="preserve"> </w:t>
      </w:r>
      <w:r w:rsidR="00D36DC7" w:rsidRPr="002D1DD7">
        <w:t>they also present potential challenges</w:t>
      </w:r>
      <w:r w:rsidR="00093DF1" w:rsidRPr="002D1DD7">
        <w:t xml:space="preserve"> for </w:t>
      </w:r>
      <w:r w:rsidR="00555827">
        <w:t>histology-independent</w:t>
      </w:r>
      <w:r w:rsidR="00093DF1" w:rsidRPr="002D1DD7">
        <w:t xml:space="preserve"> </w:t>
      </w:r>
      <w:r w:rsidR="0085359F" w:rsidRPr="002D1DD7">
        <w:t>appraisals</w:t>
      </w:r>
      <w:r w:rsidR="00CF16D8" w:rsidRPr="002D1DD7">
        <w:t xml:space="preserve">. Firstly, </w:t>
      </w:r>
      <w:r w:rsidR="00093DF1" w:rsidRPr="002D1DD7">
        <w:t xml:space="preserve">the approach captures </w:t>
      </w:r>
      <w:r w:rsidR="00D36DC7" w:rsidRPr="002D1DD7">
        <w:t xml:space="preserve">heterogeneity </w:t>
      </w:r>
      <w:r w:rsidR="00093DF1" w:rsidRPr="002D1DD7">
        <w:t xml:space="preserve">via the effect of time on the hazard function. </w:t>
      </w:r>
      <w:r w:rsidR="00CF16D8" w:rsidRPr="002D1DD7">
        <w:t>This may not be appropriate for</w:t>
      </w:r>
      <w:r w:rsidR="00093DF1" w:rsidRPr="002D1DD7">
        <w:t xml:space="preserve"> </w:t>
      </w:r>
      <w:r w:rsidR="00CF16D8" w:rsidRPr="002D1DD7">
        <w:t>achieving accurate projections</w:t>
      </w:r>
      <w:r w:rsidR="00093DF1" w:rsidRPr="002D1DD7">
        <w:t xml:space="preserve"> of PFS and OS where the main source of heterogeneity is the difference in the natural history between different tumour sites. Secondly, t</w:t>
      </w:r>
      <w:r w:rsidR="00D36DC7" w:rsidRPr="002D1DD7">
        <w:t xml:space="preserve">he </w:t>
      </w:r>
      <w:r w:rsidR="00093DF1" w:rsidRPr="002D1DD7">
        <w:t>flexible parametric approach extrapolates beyond the data using only the final segment of the curve. The</w:t>
      </w:r>
      <w:r w:rsidR="0085359F" w:rsidRPr="002D1DD7">
        <w:t xml:space="preserve"> small number of patients and</w:t>
      </w:r>
      <w:r w:rsidR="00093DF1" w:rsidRPr="002D1DD7">
        <w:t xml:space="preserve"> </w:t>
      </w:r>
      <w:r w:rsidR="00D36DC7" w:rsidRPr="002D1DD7">
        <w:t xml:space="preserve">immaturity of the PFS and OS data may </w:t>
      </w:r>
      <w:r w:rsidR="00093DF1" w:rsidRPr="002D1DD7">
        <w:t xml:space="preserve">mean that survival projections are </w:t>
      </w:r>
      <w:r w:rsidR="0085359F" w:rsidRPr="002D1DD7">
        <w:t xml:space="preserve">particularly </w:t>
      </w:r>
      <w:r w:rsidR="00093DF1" w:rsidRPr="002D1DD7">
        <w:t>unreliable</w:t>
      </w:r>
      <w:r w:rsidR="0085359F" w:rsidRPr="002D1DD7">
        <w:t xml:space="preserve"> in the final segment</w:t>
      </w:r>
      <w:r w:rsidR="00093DF1" w:rsidRPr="002D1DD7">
        <w:t>.</w:t>
      </w:r>
    </w:p>
    <w:p w14:paraId="11F6FF21" w14:textId="3C65363B" w:rsidR="00207369" w:rsidRPr="002D1DD7" w:rsidRDefault="00093DF1" w:rsidP="00207369">
      <w:r w:rsidRPr="002D1DD7">
        <w:t xml:space="preserve">While the impact of </w:t>
      </w:r>
      <w:r w:rsidR="00BE719B" w:rsidRPr="002D1DD7">
        <w:t>the inclusion of tumour sites which may have different natural histories</w:t>
      </w:r>
      <w:r w:rsidR="00BE719B" w:rsidRPr="002D1DD7" w:rsidDel="00BE719B">
        <w:t xml:space="preserve"> </w:t>
      </w:r>
      <w:r w:rsidRPr="002D1DD7">
        <w:t xml:space="preserve">on the hazard function might be accommodated by flexible parametric approaches, </w:t>
      </w:r>
      <w:r w:rsidR="00645C60" w:rsidRPr="002D1DD7">
        <w:t xml:space="preserve">the inclusion of multiple subsets of patients may provide evidence of different survival distributions within the observed TTE data. Parametric mixture models can be used to capture heterogeneity within a population by using two (or more) distinct distributions. </w:t>
      </w:r>
      <w:r w:rsidR="00207369" w:rsidRPr="002D1DD7">
        <w:t xml:space="preserve">While the use of a mixture model may provide a more appropriate approach to capture </w:t>
      </w:r>
      <w:r w:rsidR="00370D99" w:rsidRPr="002D1DD7">
        <w:t>between</w:t>
      </w:r>
      <w:r w:rsidR="002A4250">
        <w:t>-</w:t>
      </w:r>
      <w:r w:rsidR="00370D99" w:rsidRPr="002D1DD7">
        <w:t xml:space="preserve">tumour </w:t>
      </w:r>
      <w:r w:rsidR="00207369" w:rsidRPr="002D1DD7">
        <w:t xml:space="preserve">heterogeneity, there may remain challenges in determining how many mixes are appropriate and whether the predicted long-term hazards are plausible from the resulting mixture. </w:t>
      </w:r>
      <w:r w:rsidR="00176A4E" w:rsidRPr="002D1DD7">
        <w:t xml:space="preserve">There also remain issues regarding </w:t>
      </w:r>
      <w:r w:rsidR="00370D99" w:rsidRPr="002D1DD7">
        <w:t>the application of different HRQoL or cost estimates for individual tumour sites as the different mixture distributions are not explicitly assigned to any individual tumour site or grouping. Hence, while mixture models provide an approach to account for heterogeneity within the TTE endpoints, they do not provide a basis for accounting for heterogeneity in other inputs which may impact on cost-effectiveness estimates.</w:t>
      </w:r>
    </w:p>
    <w:p w14:paraId="1404B89E" w14:textId="110CAC7E" w:rsidR="000F7489" w:rsidRPr="002D1DD7" w:rsidRDefault="00736055" w:rsidP="0085359F">
      <w:r w:rsidRPr="002D1DD7">
        <w:t xml:space="preserve">Another approach </w:t>
      </w:r>
      <w:r w:rsidR="00370D99" w:rsidRPr="002D1DD7">
        <w:t xml:space="preserve">which has been </w:t>
      </w:r>
      <w:r w:rsidR="000F7489" w:rsidRPr="002D1DD7">
        <w:t>proposed</w:t>
      </w:r>
      <w:r w:rsidR="00370D99" w:rsidRPr="002D1DD7">
        <w:t xml:space="preserve"> to account for heterogeneity in TTE endpoints is the use of </w:t>
      </w:r>
      <w:r w:rsidRPr="002D1DD7">
        <w:t>res</w:t>
      </w:r>
      <w:r w:rsidR="00370D99" w:rsidRPr="002D1DD7">
        <w:t>p</w:t>
      </w:r>
      <w:r w:rsidRPr="002D1DD7">
        <w:t>onse-</w:t>
      </w:r>
      <w:r w:rsidR="00370D99" w:rsidRPr="002D1DD7">
        <w:t>ba</w:t>
      </w:r>
      <w:r w:rsidRPr="002D1DD7">
        <w:t xml:space="preserve">sed </w:t>
      </w:r>
      <w:r w:rsidR="0085359F" w:rsidRPr="002D1DD7">
        <w:t>landmark model</w:t>
      </w:r>
      <w:r w:rsidR="005F7ED2">
        <w:t>s</w:t>
      </w:r>
      <w:r w:rsidR="0085359F" w:rsidRPr="002D1DD7">
        <w:t xml:space="preserve">. This approach models </w:t>
      </w:r>
      <w:r w:rsidR="000F7489" w:rsidRPr="002D1DD7">
        <w:t xml:space="preserve">survival conditional on response status </w:t>
      </w:r>
      <w:r w:rsidR="0085359F" w:rsidRPr="002D1DD7">
        <w:t xml:space="preserve">identified at a predefined response evaluation landmark </w:t>
      </w:r>
      <w:r w:rsidR="000F7489" w:rsidRPr="002D1DD7">
        <w:t xml:space="preserve">time based on a </w:t>
      </w:r>
      <w:r w:rsidR="0085359F" w:rsidRPr="002D1DD7">
        <w:t xml:space="preserve">clinical definition of response. </w:t>
      </w:r>
      <w:r w:rsidR="000F7489" w:rsidRPr="002D1DD7">
        <w:t>S</w:t>
      </w:r>
      <w:r w:rsidR="0085359F" w:rsidRPr="002D1DD7">
        <w:t xml:space="preserve">urvival is modelled from the landmark point to avoid the </w:t>
      </w:r>
      <w:r w:rsidR="000F7489" w:rsidRPr="002D1DD7">
        <w:t xml:space="preserve">problem of ‘immortal time’ </w:t>
      </w:r>
      <w:r w:rsidR="0085359F" w:rsidRPr="002D1DD7">
        <w:t xml:space="preserve">bias </w:t>
      </w:r>
      <w:r w:rsidR="000F7489" w:rsidRPr="002D1DD7">
        <w:t xml:space="preserve">arising from the fact that responders </w:t>
      </w:r>
      <w:r w:rsidR="0085359F" w:rsidRPr="002D1DD7">
        <w:t>have to survive to the point at which response is assesse</w:t>
      </w:r>
      <w:r w:rsidR="000F7489" w:rsidRPr="002D1DD7">
        <w:t xml:space="preserve">d. Separate survival curves are then fitted to the different response categories. Intuitively this approach appears particularly aligned to the appraisal of </w:t>
      </w:r>
      <w:r w:rsidR="00555827">
        <w:t>histology-independent</w:t>
      </w:r>
      <w:r w:rsidR="000F7489" w:rsidRPr="002D1DD7">
        <w:t xml:space="preserve"> </w:t>
      </w:r>
      <w:r w:rsidR="005F7ED2">
        <w:t xml:space="preserve">technologies </w:t>
      </w:r>
      <w:r w:rsidR="000F7489" w:rsidRPr="002D1DD7">
        <w:t xml:space="preserve">where response measures are used as the primary endpoint. </w:t>
      </w:r>
      <w:r w:rsidR="006D3D8F" w:rsidRPr="002D1DD7">
        <w:t>This approach allows for a distinction to be made in the HRQoL of responders and non-responders</w:t>
      </w:r>
      <w:r w:rsidR="00173572">
        <w:t xml:space="preserve"> (and between individual tumour sites)</w:t>
      </w:r>
      <w:r w:rsidR="006D3D8F" w:rsidRPr="002D1DD7">
        <w:t xml:space="preserve">, as well as allowing for potential differences in the costs of care. </w:t>
      </w:r>
      <w:r w:rsidR="000F7489" w:rsidRPr="002D1DD7">
        <w:t>However, there</w:t>
      </w:r>
      <w:r w:rsidR="00507047" w:rsidRPr="002D1DD7">
        <w:t xml:space="preserve"> </w:t>
      </w:r>
      <w:r w:rsidR="00C2165D" w:rsidRPr="002D1DD7">
        <w:t xml:space="preserve">may </w:t>
      </w:r>
      <w:r w:rsidR="00BE719B">
        <w:t>be</w:t>
      </w:r>
      <w:r w:rsidR="00BE719B" w:rsidRPr="002D1DD7">
        <w:t xml:space="preserve"> </w:t>
      </w:r>
      <w:r w:rsidR="000F7489" w:rsidRPr="002D1DD7">
        <w:t xml:space="preserve">challenges in determining </w:t>
      </w:r>
      <w:r w:rsidR="00C2165D" w:rsidRPr="002D1DD7">
        <w:t xml:space="preserve">whether a single </w:t>
      </w:r>
      <w:r w:rsidR="000F7489" w:rsidRPr="002D1DD7">
        <w:t>landmark time point</w:t>
      </w:r>
      <w:r w:rsidR="00C2165D" w:rsidRPr="002D1DD7">
        <w:t xml:space="preserve"> is appropriate and how uncertainty around this should be dealt with. Although different response time points can be accommodated within the survival analysis using a time var</w:t>
      </w:r>
      <w:r w:rsidR="00BE719B">
        <w:t>ying</w:t>
      </w:r>
      <w:r w:rsidR="00C2165D" w:rsidRPr="002D1DD7">
        <w:t xml:space="preserve"> covariate, inevitably this will increase the complexity of the economic model and </w:t>
      </w:r>
      <w:r w:rsidR="001428CD">
        <w:t>may</w:t>
      </w:r>
      <w:r w:rsidR="00C2165D" w:rsidRPr="002D1DD7">
        <w:t xml:space="preserve"> require individual patient simulation approaches. </w:t>
      </w:r>
      <w:r w:rsidR="000F7489" w:rsidRPr="002D1DD7">
        <w:t xml:space="preserve">There also remain issues </w:t>
      </w:r>
      <w:r w:rsidR="006D3D8F" w:rsidRPr="002D1DD7">
        <w:t xml:space="preserve">concerning the </w:t>
      </w:r>
      <w:r w:rsidR="001428CD">
        <w:t xml:space="preserve">potentially </w:t>
      </w:r>
      <w:r w:rsidR="006D3D8F" w:rsidRPr="002D1DD7">
        <w:t>small number of patients</w:t>
      </w:r>
      <w:r w:rsidR="001428CD">
        <w:t xml:space="preserve"> recruited in the underpinning studies </w:t>
      </w:r>
      <w:r w:rsidR="006D3D8F" w:rsidRPr="002D1DD7">
        <w:t xml:space="preserve">and immaturity of the PFS and OS </w:t>
      </w:r>
      <w:r w:rsidR="006D3D8F" w:rsidRPr="002D1DD7">
        <w:lastRenderedPageBreak/>
        <w:t xml:space="preserve">data. </w:t>
      </w:r>
      <w:r w:rsidR="00C2165D" w:rsidRPr="002D1DD7">
        <w:t>F</w:t>
      </w:r>
      <w:r w:rsidR="006D3D8F" w:rsidRPr="002D1DD7">
        <w:t>urther subdividing patients into responder categories may result in more uncertain survival predictions. In addition, while separate survival curves may better account for heterogeneity with</w:t>
      </w:r>
      <w:r w:rsidR="00BE719B">
        <w:t>in</w:t>
      </w:r>
      <w:r w:rsidR="006D3D8F" w:rsidRPr="002D1DD7">
        <w:t xml:space="preserve"> the survival data, the approach does not resolve the fundamental problem of immaturity in these endpoints.</w:t>
      </w:r>
    </w:p>
    <w:p w14:paraId="7C3DE923" w14:textId="4D787360" w:rsidR="00E777BF" w:rsidRPr="002D1DD7" w:rsidRDefault="00E777BF" w:rsidP="0085359F">
      <w:r w:rsidRPr="002D1DD7">
        <w:t xml:space="preserve">Although </w:t>
      </w:r>
      <w:r w:rsidR="00507047" w:rsidRPr="002D1DD7">
        <w:t xml:space="preserve">several approaches exist to account for heterogeneity in survival endpoints, they all have several important limitations in the context of </w:t>
      </w:r>
      <w:r w:rsidR="00555827">
        <w:t>histology-independent</w:t>
      </w:r>
      <w:r w:rsidR="00235C93" w:rsidRPr="002D1DD7">
        <w:t xml:space="preserve"> appraisals. </w:t>
      </w:r>
      <w:r w:rsidRPr="002D1DD7">
        <w:t>Firstly, t</w:t>
      </w:r>
      <w:r w:rsidR="00235C93" w:rsidRPr="002D1DD7">
        <w:t xml:space="preserve">he use of single </w:t>
      </w:r>
      <w:r w:rsidR="007C1B16">
        <w:t>‘</w:t>
      </w:r>
      <w:r w:rsidR="00235C93" w:rsidRPr="002D1DD7">
        <w:t>full population</w:t>
      </w:r>
      <w:r w:rsidR="007C1B16">
        <w:t>’</w:t>
      </w:r>
      <w:r w:rsidR="00235C93" w:rsidRPr="002D1DD7">
        <w:t xml:space="preserve"> ICER</w:t>
      </w:r>
      <w:r w:rsidRPr="002D1DD7">
        <w:t>,</w:t>
      </w:r>
      <w:r w:rsidR="00235C93" w:rsidRPr="002D1DD7">
        <w:t xml:space="preserve"> across multiple tumour sites with potentially different treatment effectiveness, comparators, costs and HRQoL</w:t>
      </w:r>
      <w:r w:rsidRPr="002D1DD7">
        <w:t>,</w:t>
      </w:r>
      <w:r w:rsidR="00235C93" w:rsidRPr="002D1DD7">
        <w:t xml:space="preserve"> will be difficult to interpret. </w:t>
      </w:r>
      <w:r w:rsidR="00D07853" w:rsidRPr="002D1DD7">
        <w:t xml:space="preserve">A single ICER may conceal significant variation in the tumour specific ICERs, driven by a combination of factors, </w:t>
      </w:r>
      <w:r w:rsidR="00BE719B">
        <w:t>including</w:t>
      </w:r>
      <w:r w:rsidR="00BE719B" w:rsidRPr="002D1DD7">
        <w:t xml:space="preserve"> </w:t>
      </w:r>
      <w:r w:rsidR="00D07853" w:rsidRPr="002D1DD7">
        <w:t xml:space="preserve">observable variability in relative effectiveness between tumour types. </w:t>
      </w:r>
      <w:r w:rsidR="00597BC6" w:rsidRPr="002D1DD7">
        <w:t xml:space="preserve">Ignoring these differences could mean that a treatment which is not </w:t>
      </w:r>
      <w:r w:rsidR="009D6CA1">
        <w:t>cost-effective</w:t>
      </w:r>
      <w:r w:rsidR="00597BC6" w:rsidRPr="002D1DD7">
        <w:t xml:space="preserve"> for the total population (combining all subgroups) may be </w:t>
      </w:r>
      <w:r w:rsidR="009D6CA1">
        <w:t>cost-effective</w:t>
      </w:r>
      <w:r w:rsidR="00597BC6" w:rsidRPr="002D1DD7">
        <w:t xml:space="preserve"> in specific subgroups. Conversely, a treatment which appears </w:t>
      </w:r>
      <w:r w:rsidR="009D6CA1">
        <w:t>cost-effective</w:t>
      </w:r>
      <w:r w:rsidR="00597BC6" w:rsidRPr="002D1DD7">
        <w:t xml:space="preserve"> for the total population may not be </w:t>
      </w:r>
      <w:r w:rsidR="009D6CA1">
        <w:t>cost-effective</w:t>
      </w:r>
      <w:r w:rsidR="00597BC6" w:rsidRPr="002D1DD7">
        <w:t xml:space="preserve"> in particular subgroups. </w:t>
      </w:r>
      <w:bookmarkStart w:id="214" w:name="_Hlk26698765"/>
      <w:r w:rsidR="00597BC6" w:rsidRPr="002D1DD7">
        <w:t>Given the amount of heterogeneity associated with a histology-independent appraisal, estimating the average cost-effectiveness for the full patient population covered in the scope may not provide enough information to decision-makers about whether the drug is potentially cost-effective across all subgroups.</w:t>
      </w:r>
      <w:r w:rsidRPr="002D1DD7">
        <w:t xml:space="preserve"> </w:t>
      </w:r>
      <w:bookmarkEnd w:id="214"/>
    </w:p>
    <w:p w14:paraId="7676BA2C" w14:textId="49575948" w:rsidR="00597BC6" w:rsidRPr="002D1DD7" w:rsidRDefault="00E777BF" w:rsidP="0018000D">
      <w:r w:rsidRPr="002D1DD7">
        <w:t>Secondly, the approaches rely on extrapolations of the observed survival data which will potentially be immature at the time of initial appraisal such that the resulting predictions will be highly uncertain. Different survival models which appear to fit the observed data equally well may lead to significant variation in longer</w:t>
      </w:r>
      <w:r w:rsidR="008E2200">
        <w:t>-</w:t>
      </w:r>
      <w:r w:rsidRPr="002D1DD7">
        <w:t xml:space="preserve">term survival predictions. </w:t>
      </w:r>
      <w:r w:rsidR="001E0FD7" w:rsidRPr="002D1DD7">
        <w:t>Consequently, it is</w:t>
      </w:r>
      <w:r w:rsidRPr="002D1DD7">
        <w:t xml:space="preserve"> unlikely that a single survival distribution </w:t>
      </w:r>
      <w:r w:rsidR="001E0FD7" w:rsidRPr="002D1DD7">
        <w:t xml:space="preserve">(or a single specification of a more flexible parametric, mixture model or response-based approach) will </w:t>
      </w:r>
      <w:r w:rsidRPr="002D1DD7">
        <w:t xml:space="preserve">adequately characterise uncertainties over the longer-term extrapolation period. </w:t>
      </w:r>
      <w:r w:rsidR="001E0FD7" w:rsidRPr="002D1DD7">
        <w:t>To more formally account for the uncertainty surrounding choice of survival distribution, a model averaging approach may be needed</w:t>
      </w:r>
      <w:r w:rsidR="001E0FD7" w:rsidRPr="003B5C0C">
        <w:t>.</w:t>
      </w:r>
      <w:r w:rsidR="006F7FD7">
        <w:fldChar w:fldCharType="begin">
          <w:fldData xml:space="preserve">PEVuZE5vdGU+PENpdGU+PEF1dGhvcj5QcmljZTwvQXV0aG9yPjxZZWFyPjIwMTE8L1llYXI+PFJl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</w:fldData>
        </w:fldChar>
      </w:r>
      <w:r w:rsidR="00054FE8">
        <w:instrText xml:space="preserve"> ADDIN EN.CITE </w:instrText>
      </w:r>
      <w:r w:rsidR="00054FE8">
        <w:fldChar w:fldCharType="begin">
          <w:fldData xml:space="preserve">PEVuZE5vdGU+PENpdGU+PEF1dGhvcj5QcmljZTwvQXV0aG9yPjxZZWFyPjIwMTE8L1llYXI+PFJl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</w:fldData>
        </w:fldChar>
      </w:r>
      <w:r w:rsidR="00054FE8">
        <w:instrText xml:space="preserve"> ADDIN EN.CITE.DATA </w:instrText>
      </w:r>
      <w:r w:rsidR="00054FE8">
        <w:fldChar w:fldCharType="end"/>
      </w:r>
      <w:r w:rsidR="006F7FD7">
        <w:fldChar w:fldCharType="separate"/>
      </w:r>
      <w:r w:rsidR="004D5B2B" w:rsidRPr="004D5B2B">
        <w:rPr>
          <w:noProof/>
          <w:vertAlign w:val="superscript"/>
        </w:rPr>
        <w:t>183, 184</w:t>
      </w:r>
      <w:r w:rsidR="006F7FD7">
        <w:fldChar w:fldCharType="end"/>
      </w:r>
      <w:r w:rsidR="0018000D">
        <w:t xml:space="preserve"> </w:t>
      </w:r>
      <w:r w:rsidR="001E0FD7" w:rsidRPr="002D1DD7">
        <w:t xml:space="preserve">This approach involves the parameterisation of uncertainty surrounding the choice of distribution, incorporating all plausible distributions as part of a weighted distribution. Uncertainty in the probabilistic analysis will then reflect both the parametric uncertainty associated within each distribution and the uncertainty surrounding the choice of preferred method. However, such an approach presents additional challenges in the context of </w:t>
      </w:r>
      <w:r w:rsidR="00555827">
        <w:t>histology-independent</w:t>
      </w:r>
      <w:r w:rsidR="001E0FD7" w:rsidRPr="002D1DD7">
        <w:t xml:space="preserve"> appraisals where the external validation of survival projections from a heterogeneous population including multiple tumour types will be difficult</w:t>
      </w:r>
      <w:r w:rsidR="001428CD">
        <w:t xml:space="preserve"> and expert elicitation maybe required to determine the weights to be applied as part of any weighted distribution</w:t>
      </w:r>
      <w:r w:rsidR="001E0FD7" w:rsidRPr="002D1DD7">
        <w:t xml:space="preserve">. Furthermore, this heterogeneity will also result in the ‘at-risk’ population changing over time. That is, tumour types with poorer prognosis will experience events earlier than patients with a more favourable prognosis. </w:t>
      </w:r>
      <w:r w:rsidR="00BF6CF3" w:rsidRPr="002D1DD7">
        <w:t xml:space="preserve">Hence, the composition </w:t>
      </w:r>
      <w:r w:rsidR="00BF6CF3" w:rsidRPr="002D1DD7">
        <w:lastRenderedPageBreak/>
        <w:t>of the population will likely change significantly over the extrapolation period. This limits the appropriateness of applying a single ‘average’ utility or cost to the population within the model.</w:t>
      </w:r>
    </w:p>
    <w:p w14:paraId="147468EE" w14:textId="57AB7380" w:rsidR="000E723B" w:rsidRPr="002D1DD7" w:rsidRDefault="00C34F2B" w:rsidP="0018000D">
      <w:r w:rsidRPr="002D1DD7">
        <w:t>T</w:t>
      </w:r>
      <w:r w:rsidR="000E723B" w:rsidRPr="002D1DD7">
        <w:t xml:space="preserve">he </w:t>
      </w:r>
      <w:r w:rsidRPr="002D1DD7">
        <w:t>greater immaturity in</w:t>
      </w:r>
      <w:r w:rsidR="000E723B" w:rsidRPr="002D1DD7">
        <w:t xml:space="preserve"> PFS/OS </w:t>
      </w:r>
      <w:r w:rsidRPr="002D1DD7">
        <w:t xml:space="preserve">for trials which are powered on response endpoints </w:t>
      </w:r>
      <w:r w:rsidR="000E723B" w:rsidRPr="002D1DD7">
        <w:t>may present challenges to</w:t>
      </w:r>
      <w:r w:rsidRPr="002D1DD7">
        <w:t xml:space="preserve"> fitting </w:t>
      </w:r>
      <w:r w:rsidR="006630A0" w:rsidRPr="002D1DD7">
        <w:t>reliable</w:t>
      </w:r>
      <w:r w:rsidRPr="002D1DD7">
        <w:t xml:space="preserve"> survival distributions</w:t>
      </w:r>
      <w:r w:rsidR="000E723B" w:rsidRPr="002D1DD7">
        <w:t xml:space="preserve">. </w:t>
      </w:r>
      <w:r w:rsidR="006630A0" w:rsidRPr="002D1DD7">
        <w:t>In these circumstances, surrogate relationships may be needed to link respo</w:t>
      </w:r>
      <w:r w:rsidR="00AD35FE">
        <w:t>nse-based outcomes (e.g. ORR, Do</w:t>
      </w:r>
      <w:r w:rsidR="006630A0" w:rsidRPr="002D1DD7">
        <w:t>R) to longer</w:t>
      </w:r>
      <w:r w:rsidR="008E2200">
        <w:t>-</w:t>
      </w:r>
      <w:r w:rsidR="006630A0" w:rsidRPr="002D1DD7">
        <w:t xml:space="preserve">term estimates of PFS and/or OS. Although Section </w:t>
      </w:r>
      <w:r w:rsidR="00C974E5">
        <w:fldChar w:fldCharType="begin"/>
      </w:r>
      <w:r w:rsidR="00C974E5">
        <w:instrText xml:space="preserve"> REF _Ref27555366 \w </w:instrText>
      </w:r>
      <w:r w:rsidR="00C974E5">
        <w:fldChar w:fldCharType="separate"/>
      </w:r>
      <w:r w:rsidR="00C663A2">
        <w:t>4</w:t>
      </w:r>
      <w:r w:rsidR="00C974E5">
        <w:fldChar w:fldCharType="end"/>
      </w:r>
      <w:r w:rsidR="006630A0" w:rsidRPr="002D1DD7">
        <w:t xml:space="preserve"> highlighted a range of alternative approaches that could be used, </w:t>
      </w:r>
      <w:r w:rsidR="004077AC" w:rsidRPr="002D1DD7">
        <w:t xml:space="preserve">the </w:t>
      </w:r>
      <w:r w:rsidR="00BE719B">
        <w:t xml:space="preserve">lack </w:t>
      </w:r>
      <w:r w:rsidR="004077AC" w:rsidRPr="002D1DD7">
        <w:t>of any</w:t>
      </w:r>
      <w:r w:rsidR="006630A0" w:rsidRPr="002D1DD7">
        <w:t xml:space="preserve"> </w:t>
      </w:r>
      <w:r w:rsidR="004077AC" w:rsidRPr="002D1DD7">
        <w:t xml:space="preserve">clear </w:t>
      </w:r>
      <w:r w:rsidR="006630A0" w:rsidRPr="002D1DD7">
        <w:t>pattern by cancer type</w:t>
      </w:r>
      <w:r w:rsidR="004077AC" w:rsidRPr="002D1DD7">
        <w:t xml:space="preserve"> inevitably presents challenges </w:t>
      </w:r>
      <w:r w:rsidR="00D5129D">
        <w:t xml:space="preserve">for using a surrogate-based modelling approach to a model which includes </w:t>
      </w:r>
      <w:r w:rsidR="004077AC" w:rsidRPr="002D1DD7">
        <w:t>a heterogeneous mix of patients.</w:t>
      </w:r>
    </w:p>
    <w:p w14:paraId="775B05B2" w14:textId="6B5BF0D8" w:rsidR="0085359F" w:rsidRPr="002D1DD7" w:rsidRDefault="004077AC">
      <w:r w:rsidRPr="002D1DD7">
        <w:t>Given the importance of exploring the impact of heterogeneity more explicitly for decision</w:t>
      </w:r>
      <w:r w:rsidR="00D5129D">
        <w:t>-</w:t>
      </w:r>
      <w:r w:rsidRPr="002D1DD7">
        <w:t>making, approaches are needed which can accommodate different sources of heterogeneity within the overall population</w:t>
      </w:r>
      <w:r w:rsidR="00D5129D">
        <w:t>,</w:t>
      </w:r>
      <w:r w:rsidRPr="002D1DD7">
        <w:t xml:space="preserve"> which can more appropriately estimate the average cost-effectiveness for the full patient population covered in the scope</w:t>
      </w:r>
      <w:r w:rsidR="00D5129D">
        <w:t>,</w:t>
      </w:r>
      <w:r w:rsidRPr="002D1DD7">
        <w:t xml:space="preserve"> and which facilitates assessment of whether the drug is potentially cost-effective across all subgroups. The BHM </w:t>
      </w:r>
      <w:r w:rsidR="00176A4E" w:rsidRPr="002D1DD7">
        <w:t>framewor</w:t>
      </w:r>
      <w:r w:rsidRPr="002D1DD7">
        <w:t>k provides a potential approach which can more fully</w:t>
      </w:r>
      <w:r w:rsidR="00176A4E" w:rsidRPr="002D1DD7">
        <w:t xml:space="preserve"> explore the potential heterogeneity in effects across tumours. </w:t>
      </w:r>
      <w:r w:rsidR="00BE719B">
        <w:t>The BHM a</w:t>
      </w:r>
      <w:r w:rsidRPr="002D1DD7">
        <w:t>llow</w:t>
      </w:r>
      <w:r w:rsidR="00BE719B">
        <w:t>s</w:t>
      </w:r>
      <w:r w:rsidRPr="002D1DD7">
        <w:t xml:space="preserve"> assessments to be made </w:t>
      </w:r>
      <w:r w:rsidR="00176A4E" w:rsidRPr="002D1DD7">
        <w:t xml:space="preserve">for each tumour type, as well as a pooled </w:t>
      </w:r>
      <w:r w:rsidRPr="002D1DD7">
        <w:t>assessment</w:t>
      </w:r>
      <w:r w:rsidR="00176A4E" w:rsidRPr="002D1DD7">
        <w:t xml:space="preserve"> across all tumour types, accounting for the potential lack of uniformity of effect across tumours. An additional advantage of this </w:t>
      </w:r>
      <w:r w:rsidR="00181E4D">
        <w:t>framework</w:t>
      </w:r>
      <w:r w:rsidR="00176A4E" w:rsidRPr="002D1DD7">
        <w:t xml:space="preserve"> is the ability to predict the response probability that would be expected in a </w:t>
      </w:r>
      <w:r w:rsidR="008E2200">
        <w:t>‘</w:t>
      </w:r>
      <w:r w:rsidR="00176A4E" w:rsidRPr="002D1DD7">
        <w:t>new</w:t>
      </w:r>
      <w:r w:rsidR="008E2200">
        <w:t>’</w:t>
      </w:r>
      <w:r w:rsidR="00176A4E" w:rsidRPr="002D1DD7">
        <w:t xml:space="preserve"> tumour type (i.e. a tumour that is not represented in the trial data), which will give a measure of the uncertainty in the response rates in tumour types in the target population but for which no data are available</w:t>
      </w:r>
      <w:r w:rsidR="00BE719B">
        <w:t xml:space="preserve"> (see </w:t>
      </w:r>
      <w:r w:rsidR="00044DBF">
        <w:t xml:space="preserve">Section </w:t>
      </w:r>
      <w:r w:rsidR="00044DBF">
        <w:fldChar w:fldCharType="begin"/>
      </w:r>
      <w:r w:rsidR="00044DBF">
        <w:instrText xml:space="preserve"> REF _Ref27397503 \r \h </w:instrText>
      </w:r>
      <w:r w:rsidR="00044DBF">
        <w:fldChar w:fldCharType="separate"/>
      </w:r>
      <w:r w:rsidR="00C663A2">
        <w:t>6.1</w:t>
      </w:r>
      <w:r w:rsidR="00044DBF">
        <w:fldChar w:fldCharType="end"/>
      </w:r>
      <w:r w:rsidR="00044DBF">
        <w:t>).</w:t>
      </w:r>
    </w:p>
    <w:p w14:paraId="0D2F6A55" w14:textId="75CE2012" w:rsidR="00C2165D" w:rsidRPr="002D1DD7" w:rsidRDefault="00176A4E">
      <w:r w:rsidRPr="002D1DD7">
        <w:t>Heterogeneity in time to event outcomes (PFS, OS) can be explored using the BHM in a similar way</w:t>
      </w:r>
      <w:r w:rsidR="004077AC" w:rsidRPr="002D1DD7">
        <w:t xml:space="preserve"> to those presented for response outcomes</w:t>
      </w:r>
      <w:r w:rsidR="000B558A">
        <w:t>.</w:t>
      </w:r>
      <w:r w:rsidR="006F7FD7">
        <w:fldChar w:fldCharType="begin"/>
      </w:r>
      <w:r w:rsidR="000E66DE">
        <w:instrText xml:space="preserve"> ADDIN EN.CITE &lt;EndNote&gt;&lt;Cite&gt;&lt;Author&gt;Thall&lt;/Author&gt;&lt;Year&gt;2003&lt;/Year&gt;&lt;RecNum&gt;3424&lt;/RecNum&gt;&lt;DisplayText&gt;&lt;style face="superscript"&gt;44&lt;/style&gt;&lt;/DisplayText&gt;&lt;record&gt;&lt;rec-number&gt;3424&lt;/rec-number&gt;&lt;foreign-keys&gt;&lt;key app="EN" db-id="dwaevxvazfs2f3ewvzmxrd0k0wasw55p2z2w" timestamp="1569599389"&gt;3424&lt;/key&gt;&lt;/foreign-keys&gt;&lt;ref-type name="Journal Article"&gt;17&lt;/ref-type&gt;&lt;contributors&gt;&lt;authors&gt;&lt;author&gt;Thall, Peter F.&lt;/author&gt;&lt;author&gt;Wathen, J. Kyle&lt;/author&gt;&lt;author&gt;Bekele, B. Nebiyou&lt;/author&gt;&lt;author&gt;Champlin, Richard E.&lt;/author&gt;&lt;author&gt;Baker, Laurence H.&lt;/author&gt;&lt;author&gt;Benjamin, Robert S.&lt;/author&gt;&lt;/authors&gt;&lt;/contributors&gt;&lt;titles&gt;&lt;title&gt;Hierarchical Bayesian approaches to phase II trials in diseases with multiple subtypes&lt;/title&gt;&lt;secondary-title&gt;Statistics in Medicine&lt;/secondary-title&gt;&lt;/titles&gt;&lt;periodical&gt;&lt;full-title&gt;Statistics in Medicine&lt;/full-title&gt;&lt;abbr-1&gt;Stat Med&lt;/abbr-1&gt;&lt;/periodical&gt;&lt;pages&gt;763-780&lt;/pages&gt;&lt;volume&gt;22&lt;/volume&gt;&lt;number&gt;5&lt;/number&gt;&lt;dates&gt;&lt;year&gt;2003&lt;/year&gt;&lt;/dates&gt;&lt;isbn&gt;0277-6715&lt;/isbn&gt;&lt;urls&gt;&lt;/urls&gt;&lt;electronic-resource-num&gt;10.1002/sim.1399&lt;/electronic-resource-num&gt;&lt;research-notes&gt;https://onlinelibrary.wiley.com/doi/abs/10.1002/sim.1399&lt;/research-notes&gt;&lt;/record&gt;&lt;/Cite&gt;&lt;/EndNote&gt;</w:instrText>
      </w:r>
      <w:r w:rsidR="006F7FD7">
        <w:fldChar w:fldCharType="separate"/>
      </w:r>
      <w:r w:rsidR="006F7FD7" w:rsidRPr="006F7FD7">
        <w:rPr>
          <w:noProof/>
          <w:vertAlign w:val="superscript"/>
        </w:rPr>
        <w:t>44</w:t>
      </w:r>
      <w:r w:rsidR="006F7FD7">
        <w:fldChar w:fldCharType="end"/>
      </w:r>
      <w:r w:rsidR="000B558A">
        <w:t xml:space="preserve"> </w:t>
      </w:r>
      <w:r w:rsidRPr="002D1DD7">
        <w:t>The model assumes a common parametric distribution for each tumour type, but with a different location parameter. Information on this parameter can be borrowed across the different tumours, according to an estimated heterogeneity parameter. The results from this</w:t>
      </w:r>
      <w:r w:rsidR="00181E4D">
        <w:t xml:space="preserve"> model </w:t>
      </w:r>
      <w:r w:rsidRPr="002D1DD7">
        <w:t>would be different distributions of PFS or OS for each tumour type which could be incorporated in the economic model in order to further explore how heterogeneity in outcomes by tumour type influences the expected ICERs. Although the BHM can borrow information across tumour types</w:t>
      </w:r>
      <w:r w:rsidR="00C2165D" w:rsidRPr="002D1DD7">
        <w:t xml:space="preserve"> </w:t>
      </w:r>
      <w:r w:rsidRPr="002D1DD7">
        <w:t>and is designed to allow inferences with few events per tumour type, it is unclear whether this type of model would provide useful results given the immaturity of the survival data</w:t>
      </w:r>
      <w:r w:rsidR="00BE719B">
        <w:t>,</w:t>
      </w:r>
      <w:r w:rsidRPr="002D1DD7">
        <w:t xml:space="preserve"> the small number of patients in most tumour types</w:t>
      </w:r>
      <w:r w:rsidR="000B7C47">
        <w:t xml:space="preserve">, </w:t>
      </w:r>
      <w:r w:rsidR="00BE719B">
        <w:t xml:space="preserve">the </w:t>
      </w:r>
      <w:r w:rsidR="00DE4BE8">
        <w:t>expected</w:t>
      </w:r>
      <w:r w:rsidR="00BE719B">
        <w:t xml:space="preserve"> lack of exchangeability of the </w:t>
      </w:r>
      <w:r w:rsidR="000B7C47">
        <w:t xml:space="preserve">survival </w:t>
      </w:r>
      <w:r w:rsidR="00BE719B">
        <w:t>outcomes</w:t>
      </w:r>
      <w:r w:rsidR="00DE4BE8">
        <w:t xml:space="preserve"> </w:t>
      </w:r>
      <w:r w:rsidR="000B7C47">
        <w:t>and the potential for requiring informative prior distribution.</w:t>
      </w:r>
      <w:r w:rsidR="00C2165D" w:rsidRPr="002D1DD7">
        <w:t xml:space="preserve"> </w:t>
      </w:r>
    </w:p>
    <w:p w14:paraId="36D8DEFE" w14:textId="0090F6F4" w:rsidR="000B7C47" w:rsidRDefault="00C2165D" w:rsidP="00176A4E">
      <w:r w:rsidRPr="002D1DD7">
        <w:t xml:space="preserve">To address concerns regarding the maturity of the TTE endpoints, BHM could be applied to specific landmark survival time points (e.g. 6 or 12 months) for which more robust data exists, with surrogate relationships employed to predict longer term survival conditional on survival up to these specific </w:t>
      </w:r>
      <w:r w:rsidRPr="002D1DD7">
        <w:lastRenderedPageBreak/>
        <w:t>time points. Alternatively</w:t>
      </w:r>
      <w:r w:rsidR="00936890" w:rsidRPr="002D1DD7">
        <w:t>,</w:t>
      </w:r>
      <w:r w:rsidRPr="002D1DD7">
        <w:t xml:space="preserve"> BHM could be applied to the response data itself</w:t>
      </w:r>
      <w:r w:rsidR="00936890" w:rsidRPr="002D1DD7">
        <w:t>, where</w:t>
      </w:r>
      <w:r w:rsidRPr="002D1DD7">
        <w:t xml:space="preserve"> </w:t>
      </w:r>
      <w:r w:rsidR="00936890" w:rsidRPr="002D1DD7">
        <w:t xml:space="preserve">fewer observations are required on response outcomes to draw meaningful conclusions about differences between tumour types. </w:t>
      </w:r>
      <w:bookmarkStart w:id="215" w:name="_Hlk27679188"/>
      <w:r w:rsidR="00936890" w:rsidRPr="002D1DD7">
        <w:t xml:space="preserve">These response assessments could then be applied to conditional PFS and OS distributions from the overall population or linked to external surrogate relationships. </w:t>
      </w:r>
      <w:r w:rsidR="000B7C47">
        <w:t>H</w:t>
      </w:r>
      <w:r w:rsidR="00B61A05">
        <w:t xml:space="preserve">owever, as reported in Chapter </w:t>
      </w:r>
      <w:r w:rsidR="00B61A05">
        <w:fldChar w:fldCharType="begin"/>
      </w:r>
      <w:r w:rsidR="00B61A05">
        <w:instrText xml:space="preserve"> REF _Ref27555366 \w \h </w:instrText>
      </w:r>
      <w:r w:rsidR="00B61A05">
        <w:fldChar w:fldCharType="separate"/>
      </w:r>
      <w:r w:rsidR="00C663A2">
        <w:t>4</w:t>
      </w:r>
      <w:r w:rsidR="00B61A05">
        <w:fldChar w:fldCharType="end"/>
      </w:r>
      <w:r w:rsidR="000B7C47">
        <w:t xml:space="preserve">, the use of external surrogate relationships would require the use of surrogate </w:t>
      </w:r>
      <w:r w:rsidR="000B7C47" w:rsidRPr="000B7C47">
        <w:t xml:space="preserve">multivariable statistical models to estimate the final outcome (OS/PFS) </w:t>
      </w:r>
      <w:r w:rsidR="000B7C47">
        <w:t xml:space="preserve">which may not specifically relate to the different tumours or a specific biomarker population. </w:t>
      </w:r>
    </w:p>
    <w:p w14:paraId="5B6F74E9" w14:textId="24F84A14" w:rsidR="00936890" w:rsidRPr="002D1DD7" w:rsidRDefault="00936890" w:rsidP="00176A4E">
      <w:r w:rsidRPr="002D1DD7">
        <w:t xml:space="preserve">While such an approach is less desirable than having robust TTE data for the overall population and each specific subgroup of interest, </w:t>
      </w:r>
      <w:r w:rsidR="008D460B">
        <w:t>it</w:t>
      </w:r>
      <w:r w:rsidRPr="002D1DD7">
        <w:t xml:space="preserve"> </w:t>
      </w:r>
      <w:r w:rsidR="000B7C47">
        <w:t xml:space="preserve">may </w:t>
      </w:r>
      <w:r w:rsidRPr="002D1DD7">
        <w:t>provide a basis for initial explorations of the potential impact of and importance of heterogeneit</w:t>
      </w:r>
      <w:r w:rsidR="000B7C47">
        <w:t xml:space="preserve">y. This would </w:t>
      </w:r>
      <w:r w:rsidRPr="002D1DD7">
        <w:t xml:space="preserve">appear more </w:t>
      </w:r>
      <w:r w:rsidR="000B7C47">
        <w:t>appropriate</w:t>
      </w:r>
      <w:r w:rsidRPr="002D1DD7">
        <w:t xml:space="preserve"> than ignoring this heterogeneity within initial assessments. Importantly, such assessments may also help in guiding further data collection and prioritising specific subgroups where existing evidence may be scarce and/or where these exploratory analyses indicate potentially important impacts on the likely cost-effectiveness of a new treatment within the full population. </w:t>
      </w:r>
      <w:bookmarkEnd w:id="215"/>
    </w:p>
    <w:p w14:paraId="607B819B" w14:textId="467F0AA6" w:rsidR="005C2A82" w:rsidRPr="002D1DD7" w:rsidRDefault="00936890" w:rsidP="00EC11CD">
      <w:pPr>
        <w:pStyle w:val="Heading2"/>
      </w:pPr>
      <w:bookmarkStart w:id="216" w:name="_Toc33776226"/>
      <w:r w:rsidRPr="002D1DD7">
        <w:t>Summary and implications</w:t>
      </w:r>
      <w:bookmarkEnd w:id="216"/>
    </w:p>
    <w:p w14:paraId="543FAFD0" w14:textId="0B1CD6FE" w:rsidR="00220180" w:rsidRPr="002D1DD7" w:rsidRDefault="00936890" w:rsidP="00B61A05">
      <w:r w:rsidRPr="002D1DD7">
        <w:t>The</w:t>
      </w:r>
      <w:r w:rsidR="00220180" w:rsidRPr="002D1DD7">
        <w:t xml:space="preserve"> previous</w:t>
      </w:r>
      <w:r w:rsidRPr="002D1DD7">
        <w:t xml:space="preserve"> sections identif</w:t>
      </w:r>
      <w:r w:rsidR="00220180" w:rsidRPr="002D1DD7">
        <w:t>ied</w:t>
      </w:r>
      <w:r w:rsidRPr="002D1DD7">
        <w:t xml:space="preserve"> a number of particular challenges for </w:t>
      </w:r>
      <w:r w:rsidR="00555827">
        <w:t>histology-independent</w:t>
      </w:r>
      <w:r w:rsidRPr="002D1DD7">
        <w:t xml:space="preserve"> appraisals and </w:t>
      </w:r>
      <w:r w:rsidR="00220180" w:rsidRPr="002D1DD7">
        <w:t xml:space="preserve">have explored </w:t>
      </w:r>
      <w:r w:rsidRPr="002D1DD7">
        <w:t xml:space="preserve">alternative approaches which might be used to investigate and account for different sources of </w:t>
      </w:r>
      <w:r w:rsidR="00181E4D">
        <w:t>heterogeneity and uncertainty</w:t>
      </w:r>
      <w:r w:rsidRPr="002D1DD7">
        <w:t>.</w:t>
      </w:r>
      <w:r w:rsidR="00220180" w:rsidRPr="002D1DD7">
        <w:t xml:space="preserve"> Although not comprehensive, we have focused on areas of evidence and analysis anticipated to be most challenging for the appraisal of </w:t>
      </w:r>
      <w:r w:rsidR="00555827">
        <w:t>histology-independent</w:t>
      </w:r>
      <w:r w:rsidR="00220180" w:rsidRPr="002D1DD7">
        <w:t xml:space="preserve"> products. Given the nature of these challenges</w:t>
      </w:r>
      <w:r w:rsidR="008E2200">
        <w:t>,</w:t>
      </w:r>
      <w:r w:rsidR="00220180" w:rsidRPr="002D1DD7">
        <w:t xml:space="preserve"> it is likely that a range of alternative approaches will be required to address different sources of heterogeneity. The implications for the assessments of cost-effectiveness and uncertainty will also need to be made explicit. Equally important is the need to ensure that these assessments present results in a manner which can help inform NICE decisions, both in determining the appropriateness of different recommendations and </w:t>
      </w:r>
      <w:r w:rsidR="0099604C">
        <w:t xml:space="preserve">identifying </w:t>
      </w:r>
      <w:r w:rsidR="00220180" w:rsidRPr="002D1DD7">
        <w:t>key uncertainties which might be used to inform and prioritise the value of further data collection</w:t>
      </w:r>
      <w:r w:rsidR="00181E4D">
        <w:t>.</w:t>
      </w:r>
    </w:p>
    <w:p w14:paraId="07743602" w14:textId="6C7083B2" w:rsidR="00B61A05" w:rsidRDefault="004D7EC0" w:rsidP="00220180">
      <w:r>
        <w:t xml:space="preserve">Chapter </w:t>
      </w:r>
      <w:r>
        <w:fldChar w:fldCharType="begin"/>
      </w:r>
      <w:r>
        <w:instrText xml:space="preserve"> REF _Ref33197225 \w \h </w:instrText>
      </w:r>
      <w:r>
        <w:fldChar w:fldCharType="separate"/>
      </w:r>
      <w:r w:rsidR="00C663A2">
        <w:t>7</w:t>
      </w:r>
      <w:r>
        <w:fldChar w:fldCharType="end"/>
      </w:r>
      <w:r>
        <w:t xml:space="preserve"> </w:t>
      </w:r>
      <w:r w:rsidR="00220180" w:rsidRPr="002D1DD7">
        <w:t xml:space="preserve">presents a potential framework which could be used to inform </w:t>
      </w:r>
      <w:r w:rsidR="00760023">
        <w:t>approval and research policies for histology-independent products</w:t>
      </w:r>
      <w:r w:rsidR="00181E4D">
        <w:t>,</w:t>
      </w:r>
      <w:r w:rsidR="00760023">
        <w:t xml:space="preserve"> including </w:t>
      </w:r>
      <w:r w:rsidR="00220180" w:rsidRPr="002D1DD7">
        <w:t>NICE decision</w:t>
      </w:r>
      <w:r w:rsidR="009B160D">
        <w:t>-</w:t>
      </w:r>
      <w:r w:rsidR="00220180" w:rsidRPr="002D1DD7">
        <w:t>making and CDF</w:t>
      </w:r>
      <w:r w:rsidR="00D977B6">
        <w:t xml:space="preserve"> data collection arrangements. </w:t>
      </w:r>
    </w:p>
    <w:p w14:paraId="1AF0EF03" w14:textId="76D078EC" w:rsidR="00936890" w:rsidRPr="002D1DD7" w:rsidRDefault="00AF2340" w:rsidP="00220180">
      <w:r>
        <w:br w:type="page"/>
      </w:r>
    </w:p>
    <w:p w14:paraId="04D0DAC7" w14:textId="3EEDAAAD" w:rsidR="007D2D0F" w:rsidRPr="002D1DD7" w:rsidRDefault="007D2D0F" w:rsidP="00AA5949">
      <w:pPr>
        <w:pStyle w:val="Heading1"/>
      </w:pPr>
      <w:bookmarkStart w:id="217" w:name="_Ref27389579"/>
      <w:bookmarkStart w:id="218" w:name="_Ref31542639"/>
      <w:bookmarkStart w:id="219" w:name="_Ref31551118"/>
      <w:bookmarkStart w:id="220" w:name="_Ref33197225"/>
      <w:bookmarkStart w:id="221" w:name="_Toc33776227"/>
      <w:r w:rsidRPr="002D1DD7">
        <w:lastRenderedPageBreak/>
        <w:t xml:space="preserve">A </w:t>
      </w:r>
      <w:r w:rsidR="00DD63AF">
        <w:t xml:space="preserve">decision </w:t>
      </w:r>
      <w:bookmarkStart w:id="222" w:name="_Hlk33162048"/>
      <w:r w:rsidRPr="002D1DD7">
        <w:t>framework to</w:t>
      </w:r>
      <w:bookmarkEnd w:id="217"/>
      <w:bookmarkEnd w:id="218"/>
      <w:bookmarkEnd w:id="219"/>
      <w:r w:rsidR="00DD63AF" w:rsidRPr="00DD63AF">
        <w:t xml:space="preserve"> inform approval and research policies for histology</w:t>
      </w:r>
      <w:r w:rsidR="00DD63AF">
        <w:t>-</w:t>
      </w:r>
      <w:r w:rsidR="00DD63AF" w:rsidRPr="00DD63AF">
        <w:t>independent technologies</w:t>
      </w:r>
      <w:bookmarkEnd w:id="220"/>
      <w:bookmarkEnd w:id="221"/>
      <w:bookmarkEnd w:id="222"/>
    </w:p>
    <w:p w14:paraId="6061A963" w14:textId="6984A5CC" w:rsidR="00DD0224" w:rsidRDefault="00760023" w:rsidP="00C30606">
      <w:r>
        <w:t>A</w:t>
      </w:r>
      <w:r w:rsidR="00DA3D7B" w:rsidRPr="00DA3D7B">
        <w:t xml:space="preserve">n exemplar </w:t>
      </w:r>
      <w:r w:rsidR="0063483A">
        <w:t>case study</w:t>
      </w:r>
      <w:r w:rsidR="00DA3D7B" w:rsidRPr="00DA3D7B">
        <w:t xml:space="preserve"> </w:t>
      </w:r>
      <w:r>
        <w:t xml:space="preserve">was developed </w:t>
      </w:r>
      <w:r w:rsidR="00DA3D7B" w:rsidRPr="00DA3D7B">
        <w:t>to illustrate the nature of the assessments that could be used to</w:t>
      </w:r>
      <w:r>
        <w:t xml:space="preserve"> evaluate</w:t>
      </w:r>
      <w:r w:rsidR="00DA3D7B" w:rsidRPr="00DA3D7B">
        <w:t xml:space="preserve"> the cost-effectiveness of a new histology-independent treatment</w:t>
      </w:r>
      <w:r w:rsidR="00DA3D7B">
        <w:t xml:space="preserve">. </w:t>
      </w:r>
      <w:r w:rsidR="00DA3D7B" w:rsidRPr="00DA3D7B">
        <w:t>Based on these a</w:t>
      </w:r>
      <w:r w:rsidR="00DA3D7B">
        <w:t>ssessments</w:t>
      </w:r>
      <w:r w:rsidR="00DA3D7B" w:rsidRPr="00DA3D7B">
        <w:t xml:space="preserve">, a framework is proposed to </w:t>
      </w:r>
      <w:r w:rsidR="00FC1023">
        <w:t xml:space="preserve">help </w:t>
      </w:r>
      <w:r w:rsidR="00DA3D7B" w:rsidRPr="00DA3D7B">
        <w:t xml:space="preserve">inform </w:t>
      </w:r>
      <w:r w:rsidR="00DD63AF">
        <w:t xml:space="preserve">approval and research policies for histology-independent technologies. </w:t>
      </w:r>
      <w:r w:rsidR="00DD0224">
        <w:t xml:space="preserve">A brief summary of the case study is presented in Section </w:t>
      </w:r>
      <w:r w:rsidR="008D68F9">
        <w:fldChar w:fldCharType="begin"/>
      </w:r>
      <w:r w:rsidR="008D68F9">
        <w:instrText xml:space="preserve"> REF _Ref32586292 \r \h </w:instrText>
      </w:r>
      <w:r w:rsidR="008D68F9">
        <w:fldChar w:fldCharType="separate"/>
      </w:r>
      <w:r w:rsidR="00C663A2">
        <w:t>7.1</w:t>
      </w:r>
      <w:r w:rsidR="008D68F9">
        <w:fldChar w:fldCharType="end"/>
      </w:r>
      <w:r w:rsidR="00DD0224">
        <w:t xml:space="preserve">. Further </w:t>
      </w:r>
      <w:r w:rsidR="00C30606" w:rsidRPr="00C30606">
        <w:t xml:space="preserve">details </w:t>
      </w:r>
      <w:r w:rsidR="00DD0224">
        <w:t xml:space="preserve">are reported </w:t>
      </w:r>
      <w:r w:rsidR="000C4530">
        <w:t xml:space="preserve">separately </w:t>
      </w:r>
      <w:r w:rsidR="00DD0224" w:rsidRPr="00B3496B">
        <w:t>in</w:t>
      </w:r>
      <w:r w:rsidR="00C30606" w:rsidRPr="00B3496B">
        <w:t xml:space="preserve"> </w:t>
      </w:r>
      <w:r w:rsidR="00D4299F">
        <w:t>Appendix 12</w:t>
      </w:r>
      <w:r w:rsidR="00C30606" w:rsidRPr="00B3496B">
        <w:t xml:space="preserve">. </w:t>
      </w:r>
    </w:p>
    <w:p w14:paraId="72D69C4B" w14:textId="2FCE56B7" w:rsidR="00DD0224" w:rsidRDefault="00DD0224" w:rsidP="00EC11CD">
      <w:pPr>
        <w:pStyle w:val="Heading2"/>
      </w:pPr>
      <w:bookmarkStart w:id="223" w:name="_Ref32586292"/>
      <w:bookmarkStart w:id="224" w:name="_Toc33776228"/>
      <w:r>
        <w:t>Exemplar case study</w:t>
      </w:r>
      <w:bookmarkEnd w:id="223"/>
      <w:bookmarkEnd w:id="224"/>
      <w:r>
        <w:t xml:space="preserve"> </w:t>
      </w:r>
    </w:p>
    <w:p w14:paraId="50E08EA3" w14:textId="60E7A3FA" w:rsidR="00DD0224" w:rsidRDefault="000C4530" w:rsidP="00DD0224">
      <w:r>
        <w:t xml:space="preserve">The case study considers a hypothetical </w:t>
      </w:r>
      <w:r w:rsidR="00DD0224" w:rsidRPr="00202D85">
        <w:t xml:space="preserve">Trk-inhibitor </w:t>
      </w:r>
      <w:r w:rsidR="00DD0224">
        <w:t xml:space="preserve">(Drug X) </w:t>
      </w:r>
      <w:r w:rsidR="00DD0224" w:rsidRPr="00202D85">
        <w:t xml:space="preserve">for the treatment of solid tumours that </w:t>
      </w:r>
      <w:r>
        <w:t xml:space="preserve">harbour an </w:t>
      </w:r>
      <w:r w:rsidR="00DD0224" w:rsidRPr="004A10BB">
        <w:t>NTRK</w:t>
      </w:r>
      <w:r>
        <w:t xml:space="preserve"> </w:t>
      </w:r>
      <w:r w:rsidR="00DD0224" w:rsidRPr="00202D85">
        <w:t>gene fusion</w:t>
      </w:r>
      <w:r w:rsidR="00DA3D7B" w:rsidRPr="00DA3D7B">
        <w:t xml:space="preserve"> compared to </w:t>
      </w:r>
      <w:r w:rsidR="00DA3D7B">
        <w:t xml:space="preserve">the current </w:t>
      </w:r>
      <w:r w:rsidR="00DA3D7B" w:rsidRPr="00DA3D7B">
        <w:t>standard of care (SoC).</w:t>
      </w:r>
      <w:r w:rsidR="00DA3D7B">
        <w:t xml:space="preserve"> </w:t>
      </w:r>
      <w:r>
        <w:t xml:space="preserve">Although the case study draws on </w:t>
      </w:r>
      <w:r w:rsidR="00C93A21">
        <w:t xml:space="preserve">clinical </w:t>
      </w:r>
      <w:r>
        <w:t xml:space="preserve">evidence from an existing Trk-inhibitor, specifically the response outcomes and the BHM reported in Section </w:t>
      </w:r>
      <w:r w:rsidR="008D68F9">
        <w:fldChar w:fldCharType="begin"/>
      </w:r>
      <w:r w:rsidR="008D68F9">
        <w:instrText xml:space="preserve"> REF _Ref27397503 \r \h </w:instrText>
      </w:r>
      <w:r w:rsidR="008D68F9">
        <w:fldChar w:fldCharType="separate"/>
      </w:r>
      <w:r w:rsidR="00C663A2">
        <w:t>6.1</w:t>
      </w:r>
      <w:r w:rsidR="008D68F9">
        <w:fldChar w:fldCharType="end"/>
      </w:r>
      <w:r w:rsidR="00760023">
        <w:t xml:space="preserve"> for larotrectinib</w:t>
      </w:r>
      <w:r>
        <w:t xml:space="preserve">, all other inputs are based on stylised assumptions. Importantly, the purpose of the case study is not to make any </w:t>
      </w:r>
      <w:r w:rsidR="0063483A">
        <w:t>recommendations</w:t>
      </w:r>
      <w:r>
        <w:t xml:space="preserve"> concerning the likely cost-effectiveness of any existing or new histology-independent treatment</w:t>
      </w:r>
      <w:r w:rsidR="00760023">
        <w:t xml:space="preserve">. </w:t>
      </w:r>
      <w:r w:rsidR="00C10F99">
        <w:t>Instead, t</w:t>
      </w:r>
      <w:r w:rsidR="00760023">
        <w:t xml:space="preserve">he aim is to illustrate </w:t>
      </w:r>
      <w:r>
        <w:t xml:space="preserve">the nature and sequence of assessments that </w:t>
      </w:r>
      <w:r w:rsidR="0099604C">
        <w:t>could</w:t>
      </w:r>
      <w:r w:rsidR="0063483A">
        <w:t xml:space="preserve"> potentially</w:t>
      </w:r>
      <w:r>
        <w:t xml:space="preserve"> be used to </w:t>
      </w:r>
      <w:r w:rsidR="0063483A">
        <w:t xml:space="preserve">help </w:t>
      </w:r>
      <w:r>
        <w:t xml:space="preserve">inform NICE </w:t>
      </w:r>
      <w:r w:rsidR="00FC1023">
        <w:t>approval decisions</w:t>
      </w:r>
      <w:r w:rsidR="0063483A">
        <w:t xml:space="preserve"> </w:t>
      </w:r>
      <w:r w:rsidR="00760023">
        <w:t>and</w:t>
      </w:r>
      <w:r w:rsidR="0063483A">
        <w:t xml:space="preserve"> </w:t>
      </w:r>
      <w:r>
        <w:t>CDF data collection arrangements</w:t>
      </w:r>
      <w:r w:rsidR="0063483A">
        <w:t>.</w:t>
      </w:r>
    </w:p>
    <w:p w14:paraId="1EFDAE46" w14:textId="41B7BA52" w:rsidR="00FC1023" w:rsidRDefault="00DD0224" w:rsidP="00DD0224">
      <w:r w:rsidRPr="004A10BB">
        <w:t xml:space="preserve">The economic </w:t>
      </w:r>
      <w:r>
        <w:t>model</w:t>
      </w:r>
      <w:r w:rsidRPr="004A10BB">
        <w:t xml:space="preserve"> uses</w:t>
      </w:r>
      <w:r>
        <w:t xml:space="preserve"> </w:t>
      </w:r>
      <w:r w:rsidRPr="00452A56">
        <w:t xml:space="preserve">a </w:t>
      </w:r>
      <w:r>
        <w:t xml:space="preserve">landmark </w:t>
      </w:r>
      <w:r w:rsidRPr="00452A56">
        <w:t xml:space="preserve">response-based </w:t>
      </w:r>
      <w:r>
        <w:t>structure</w:t>
      </w:r>
      <w:r w:rsidRPr="00452A56">
        <w:t xml:space="preserve"> </w:t>
      </w:r>
      <w:r w:rsidR="00677ED1">
        <w:t>(see Sect</w:t>
      </w:r>
      <w:r w:rsidR="006B13A4">
        <w:t>io</w:t>
      </w:r>
      <w:r w:rsidR="00677ED1">
        <w:t xml:space="preserve">n </w:t>
      </w:r>
      <w:r w:rsidR="00450AB6">
        <w:fldChar w:fldCharType="begin"/>
      </w:r>
      <w:r w:rsidR="00450AB6">
        <w:instrText xml:space="preserve"> REF _Ref32586824 \r \h </w:instrText>
      </w:r>
      <w:r w:rsidR="00450AB6">
        <w:fldChar w:fldCharType="separate"/>
      </w:r>
      <w:r w:rsidR="00C663A2">
        <w:t>6.5</w:t>
      </w:r>
      <w:r w:rsidR="00450AB6">
        <w:fldChar w:fldCharType="end"/>
      </w:r>
      <w:r w:rsidR="00677ED1">
        <w:t xml:space="preserve">) </w:t>
      </w:r>
      <w:r w:rsidRPr="00452A56">
        <w:t>which</w:t>
      </w:r>
      <w:r w:rsidR="00B326BC">
        <w:t xml:space="preserve"> incorporates separate PFS </w:t>
      </w:r>
      <w:r>
        <w:t xml:space="preserve">and OS </w:t>
      </w:r>
      <w:r w:rsidR="00B326BC">
        <w:t>distributions</w:t>
      </w:r>
      <w:r w:rsidR="0099604C">
        <w:t>,</w:t>
      </w:r>
      <w:r>
        <w:t xml:space="preserve"> </w:t>
      </w:r>
      <w:r w:rsidR="00B326BC">
        <w:t>conditioned on response status</w:t>
      </w:r>
      <w:r w:rsidR="004E0A2F">
        <w:t xml:space="preserve"> </w:t>
      </w:r>
      <w:r w:rsidR="00677ED1">
        <w:t>in</w:t>
      </w:r>
      <w:r w:rsidR="004E0A2F">
        <w:t xml:space="preserve"> the overall </w:t>
      </w:r>
      <w:r w:rsidR="00677ED1">
        <w:t xml:space="preserve">study </w:t>
      </w:r>
      <w:r w:rsidR="004E0A2F">
        <w:t>population</w:t>
      </w:r>
      <w:r w:rsidR="00B326BC">
        <w:t xml:space="preserve">. </w:t>
      </w:r>
      <w:r w:rsidR="00FC1023">
        <w:t xml:space="preserve">That is, the </w:t>
      </w:r>
      <w:r w:rsidR="0017332D">
        <w:t xml:space="preserve">same </w:t>
      </w:r>
      <w:r w:rsidR="00FC1023">
        <w:t xml:space="preserve">conditional </w:t>
      </w:r>
      <w:r w:rsidR="00FC1023" w:rsidRPr="00FC1023">
        <w:t xml:space="preserve">PFS and OS distributions </w:t>
      </w:r>
      <w:r w:rsidR="0063483A">
        <w:t xml:space="preserve">assumed </w:t>
      </w:r>
      <w:r w:rsidR="00FC1023" w:rsidRPr="00FC1023">
        <w:t>for responders</w:t>
      </w:r>
      <w:r w:rsidR="00760023">
        <w:t xml:space="preserve"> and </w:t>
      </w:r>
      <w:r w:rsidR="00FC1023" w:rsidRPr="00FC1023">
        <w:t xml:space="preserve">non-responders are </w:t>
      </w:r>
      <w:r w:rsidR="0017332D">
        <w:t>applied to each</w:t>
      </w:r>
      <w:r w:rsidR="00FC1023" w:rsidRPr="00FC1023">
        <w:t xml:space="preserve"> </w:t>
      </w:r>
      <w:r w:rsidR="0017332D">
        <w:t>individual histology</w:t>
      </w:r>
      <w:r w:rsidR="00FC1023" w:rsidRPr="00FC1023">
        <w:t xml:space="preserve">. The use of conditional PFS and OS data </w:t>
      </w:r>
      <w:r w:rsidR="00FC1023">
        <w:t xml:space="preserve">therefore </w:t>
      </w:r>
      <w:r w:rsidR="00FC1023" w:rsidRPr="00FC1023">
        <w:t xml:space="preserve">assumes a perfect surrogate relationship between response </w:t>
      </w:r>
      <w:r w:rsidR="0063483A">
        <w:t xml:space="preserve">outcomes </w:t>
      </w:r>
      <w:r w:rsidR="00FC1023" w:rsidRPr="00FC1023">
        <w:t>and PFS and OS endpoints</w:t>
      </w:r>
      <w:r w:rsidR="0063483A">
        <w:t>,</w:t>
      </w:r>
      <w:r w:rsidR="00FC1023" w:rsidRPr="00FC1023">
        <w:t xml:space="preserve"> which is the same across all tumour types. Hence, heterogeneity in PFS and OS across individual histologies</w:t>
      </w:r>
      <w:r w:rsidR="00FC1023">
        <w:t xml:space="preserve"> </w:t>
      </w:r>
      <w:r w:rsidR="00FC1023" w:rsidRPr="00FC1023">
        <w:t xml:space="preserve">is </w:t>
      </w:r>
      <w:r w:rsidR="00FC1023">
        <w:t xml:space="preserve">assumed </w:t>
      </w:r>
      <w:r w:rsidR="0063483A">
        <w:t xml:space="preserve">in the case study </w:t>
      </w:r>
      <w:r w:rsidR="00FC1023">
        <w:t xml:space="preserve">to be </w:t>
      </w:r>
      <w:r w:rsidR="00FC1023" w:rsidRPr="00FC1023">
        <w:t>entirely mediated through different response rates</w:t>
      </w:r>
      <w:r w:rsidR="00FC1023">
        <w:t xml:space="preserve">. </w:t>
      </w:r>
    </w:p>
    <w:p w14:paraId="28447871" w14:textId="1CB62D96" w:rsidR="0017332D" w:rsidRDefault="00754B8C" w:rsidP="00DD0224">
      <w:r>
        <w:t>T</w:t>
      </w:r>
      <w:r w:rsidR="0017332D">
        <w:t xml:space="preserve">he use of a response-based modelling approach necessitates additional assumptions compared to a situation in which </w:t>
      </w:r>
      <w:r w:rsidR="0017332D" w:rsidRPr="00B326BC">
        <w:t xml:space="preserve">robust TTE data </w:t>
      </w:r>
      <w:r w:rsidR="0017332D">
        <w:t xml:space="preserve">are available </w:t>
      </w:r>
      <w:r w:rsidR="0017332D" w:rsidRPr="00B326BC">
        <w:t>for the overall population and each specific subgroup of interest</w:t>
      </w:r>
      <w:r w:rsidR="0017332D">
        <w:t xml:space="preserve">. Equally, there may be a range of alternative modelling approaches which could be developed based on landmark survival times and/or alternative surrogate relationships. The purpose of the case study is not to make specific recommendations regarding the model structure and associated parameter assumptions but rather to present a more general </w:t>
      </w:r>
      <w:r w:rsidR="0017332D" w:rsidRPr="004E0A2F">
        <w:t xml:space="preserve">framework </w:t>
      </w:r>
      <w:r w:rsidR="0017332D">
        <w:t>to demonstrate</w:t>
      </w:r>
      <w:r w:rsidR="0017332D" w:rsidRPr="00AF0FCA">
        <w:t xml:space="preserve"> </w:t>
      </w:r>
      <w:r w:rsidR="0017332D">
        <w:t xml:space="preserve">how heterogeneity </w:t>
      </w:r>
      <w:r w:rsidR="0017332D" w:rsidRPr="00AF0FCA">
        <w:t xml:space="preserve">within the </w:t>
      </w:r>
      <w:r w:rsidR="0017332D">
        <w:t xml:space="preserve">overall </w:t>
      </w:r>
      <w:r w:rsidR="0017332D" w:rsidRPr="00AF0FCA">
        <w:t xml:space="preserve">population </w:t>
      </w:r>
      <w:r w:rsidR="0017332D">
        <w:t>c</w:t>
      </w:r>
      <w:r w:rsidR="0017332D" w:rsidRPr="00AF0FCA">
        <w:t xml:space="preserve">ould </w:t>
      </w:r>
      <w:r w:rsidR="0017332D">
        <w:t xml:space="preserve">potentially </w:t>
      </w:r>
      <w:r w:rsidR="0017332D" w:rsidRPr="00AF0FCA">
        <w:t xml:space="preserve">be </w:t>
      </w:r>
      <w:r w:rsidR="0017332D">
        <w:t xml:space="preserve">explored within a cost-effectiveness </w:t>
      </w:r>
      <w:r w:rsidR="0017332D" w:rsidRPr="00AF0FCA">
        <w:t xml:space="preserve">analysis and </w:t>
      </w:r>
      <w:r w:rsidR="0017332D">
        <w:t>how the results could be presented</w:t>
      </w:r>
      <w:r w:rsidR="0017332D" w:rsidRPr="00AF0FCA">
        <w:t xml:space="preserve"> to </w:t>
      </w:r>
      <w:r w:rsidR="0017332D">
        <w:t>more appropriately</w:t>
      </w:r>
      <w:r w:rsidR="0017332D" w:rsidRPr="00AF0FCA">
        <w:t xml:space="preserve"> inform </w:t>
      </w:r>
      <w:r w:rsidR="0017332D">
        <w:t xml:space="preserve">alternative </w:t>
      </w:r>
      <w:r w:rsidR="0017332D" w:rsidRPr="00AF0FCA">
        <w:t>policy decisions.</w:t>
      </w:r>
      <w:r w:rsidR="0017332D">
        <w:t xml:space="preserve"> However, it should be acknowledged that assessments of heterogeneity in survival outcomes at the point of intial marketing authorisation may</w:t>
      </w:r>
      <w:r w:rsidR="00C663A2">
        <w:t xml:space="preserve"> </w:t>
      </w:r>
      <w:r w:rsidR="0017332D">
        <w:t xml:space="preserve">be challenging unless these are linked to a </w:t>
      </w:r>
      <w:r w:rsidR="0017332D">
        <w:lastRenderedPageBreak/>
        <w:t xml:space="preserve">surrogate outcome (e.g. response, DoR), for which more robust assessments of heterogeneity are likely to be feasible. </w:t>
      </w:r>
    </w:p>
    <w:p w14:paraId="424F954D" w14:textId="6994E7EB" w:rsidR="00B43FEB" w:rsidRDefault="007408EF" w:rsidP="00DD0224">
      <w:r w:rsidRPr="007408EF">
        <w:t xml:space="preserve">The model structure consists of three mutually exclusive health states: (i) progression-free disease, (ii) progressed-disease, and (iii) death. State occupancy in the model is derived using a </w:t>
      </w:r>
      <w:r w:rsidR="00677ED1">
        <w:t>dual-</w:t>
      </w:r>
      <w:r w:rsidRPr="007408EF">
        <w:t>partitioned survival approach which uses</w:t>
      </w:r>
      <w:r w:rsidR="00AD35FE">
        <w:t xml:space="preserve"> PFS </w:t>
      </w:r>
      <w:r w:rsidRPr="007408EF">
        <w:t>curves</w:t>
      </w:r>
      <w:r w:rsidR="00AD35FE">
        <w:t xml:space="preserve"> to partition OS</w:t>
      </w:r>
      <w:r w:rsidRPr="007408EF">
        <w:t xml:space="preserve"> into those patients in progression</w:t>
      </w:r>
      <w:r w:rsidR="006B13A4">
        <w:t>-</w:t>
      </w:r>
      <w:r w:rsidRPr="007408EF">
        <w:t>free and those with progressed disease</w:t>
      </w:r>
      <w:r w:rsidR="00677ED1">
        <w:t>, based on response status at a specific landmark time point</w:t>
      </w:r>
      <w:r w:rsidR="00C93A21">
        <w:t>.</w:t>
      </w:r>
    </w:p>
    <w:p w14:paraId="41C1A884" w14:textId="1A7B24A1" w:rsidR="00B326BC" w:rsidRDefault="00B326BC">
      <w:r w:rsidRPr="00B326BC">
        <w:t>Survival for Drug X is calculated as a weighted average of the responder and non-responder survival curves based on the</w:t>
      </w:r>
      <w:r>
        <w:t xml:space="preserve"> overall </w:t>
      </w:r>
      <w:r w:rsidRPr="00B326BC">
        <w:t>response</w:t>
      </w:r>
      <w:r>
        <w:t xml:space="preserve"> rate assumed in the analysis</w:t>
      </w:r>
      <w:r w:rsidRPr="00B326BC">
        <w:t xml:space="preserve">. Survival in the </w:t>
      </w:r>
      <w:r w:rsidR="00AD35FE">
        <w:t>standard of ccare (</w:t>
      </w:r>
      <w:r w:rsidRPr="00B326BC">
        <w:t>SoC</w:t>
      </w:r>
      <w:r w:rsidR="00AD35FE">
        <w:t>)</w:t>
      </w:r>
      <w:r w:rsidRPr="00B326BC">
        <w:t xml:space="preserve"> arm was modelled assuming </w:t>
      </w:r>
      <w:r w:rsidR="00C93A21">
        <w:t xml:space="preserve">a </w:t>
      </w:r>
      <w:r w:rsidRPr="00B326BC">
        <w:t xml:space="preserve">0% response. The case study therefore </w:t>
      </w:r>
      <w:r w:rsidR="0017332D">
        <w:t xml:space="preserve">also </w:t>
      </w:r>
      <w:r w:rsidRPr="00B326BC">
        <w:t xml:space="preserve">makes </w:t>
      </w:r>
      <w:r w:rsidR="0017332D">
        <w:t xml:space="preserve">a </w:t>
      </w:r>
      <w:r w:rsidRPr="00B326BC">
        <w:t>strong assumption that effectiveness for SoC management is the same across all tumour types</w:t>
      </w:r>
      <w:r w:rsidR="00C93A21">
        <w:t xml:space="preserve"> and is equal to the conditional PFS and OS estimates derived from non-responders to Drug X.</w:t>
      </w:r>
    </w:p>
    <w:p w14:paraId="330469F2" w14:textId="41029D1F" w:rsidR="00DD0224" w:rsidRPr="00556DC5" w:rsidRDefault="00DD0224" w:rsidP="00DD0224">
      <w:pPr>
        <w:rPr>
          <w:rFonts w:eastAsia="Times New Roman"/>
          <w:lang w:eastAsia="en-GB"/>
        </w:rPr>
      </w:pPr>
      <w:r w:rsidRPr="00D37E96">
        <w:rPr>
          <w:rFonts w:eastAsia="Times New Roman"/>
          <w:lang w:eastAsia="en-GB"/>
        </w:rPr>
        <w:t>In line with the NICE refere</w:t>
      </w:r>
      <w:r>
        <w:rPr>
          <w:rFonts w:eastAsia="Times New Roman"/>
          <w:lang w:eastAsia="en-GB"/>
        </w:rPr>
        <w:t>nce case</w:t>
      </w:r>
      <w:r w:rsidR="00AB705A">
        <w:rPr>
          <w:rFonts w:eastAsia="Times New Roman"/>
          <w:lang w:eastAsia="en-GB"/>
        </w:rPr>
        <w:t xml:space="preserve">, </w:t>
      </w:r>
      <w:r>
        <w:rPr>
          <w:rFonts w:eastAsia="Times New Roman"/>
          <w:lang w:eastAsia="en-GB"/>
        </w:rPr>
        <w:t xml:space="preserve">the model considers a </w:t>
      </w:r>
      <w:r w:rsidR="006145AF">
        <w:rPr>
          <w:rFonts w:eastAsia="Times New Roman"/>
          <w:lang w:eastAsia="en-GB"/>
        </w:rPr>
        <w:t>NHS</w:t>
      </w:r>
      <w:r>
        <w:rPr>
          <w:rFonts w:eastAsia="Times New Roman"/>
          <w:lang w:eastAsia="en-GB"/>
        </w:rPr>
        <w:t xml:space="preserve"> and Personal Social Services perspective</w:t>
      </w:r>
      <w:r w:rsidRPr="00D37E96">
        <w:rPr>
          <w:rFonts w:eastAsia="Times New Roman"/>
          <w:lang w:eastAsia="en-GB"/>
        </w:rPr>
        <w:t xml:space="preserve"> </w:t>
      </w:r>
      <w:r>
        <w:rPr>
          <w:rFonts w:eastAsia="Times New Roman"/>
          <w:lang w:eastAsia="en-GB"/>
        </w:rPr>
        <w:t>in terms of capturing costs and QALY</w:t>
      </w:r>
      <w:r w:rsidR="006145AF">
        <w:rPr>
          <w:rFonts w:eastAsia="Times New Roman"/>
          <w:lang w:eastAsia="en-GB"/>
        </w:rPr>
        <w:t>s</w:t>
      </w:r>
      <w:r>
        <w:rPr>
          <w:rFonts w:eastAsia="Times New Roman"/>
          <w:lang w:eastAsia="en-GB"/>
        </w:rPr>
        <w:t xml:space="preserve"> </w:t>
      </w:r>
      <w:r w:rsidRPr="00D37E96">
        <w:rPr>
          <w:rFonts w:eastAsia="Times New Roman"/>
          <w:lang w:eastAsia="en-GB"/>
        </w:rPr>
        <w:t xml:space="preserve">and discounts </w:t>
      </w:r>
      <w:r>
        <w:rPr>
          <w:rFonts w:eastAsia="Times New Roman"/>
          <w:lang w:eastAsia="en-GB"/>
        </w:rPr>
        <w:t>both</w:t>
      </w:r>
      <w:r w:rsidRPr="00D37E96">
        <w:rPr>
          <w:rFonts w:eastAsia="Times New Roman"/>
          <w:lang w:eastAsia="en-GB"/>
        </w:rPr>
        <w:t xml:space="preserve"> using a 3.5% discount rate. Results are presented over a lifetime (</w:t>
      </w:r>
      <w:r>
        <w:rPr>
          <w:rFonts w:eastAsia="Times New Roman"/>
          <w:lang w:eastAsia="en-GB"/>
        </w:rPr>
        <w:t>30</w:t>
      </w:r>
      <w:r w:rsidR="00FC1023">
        <w:rPr>
          <w:rFonts w:eastAsia="Times New Roman"/>
          <w:lang w:eastAsia="en-GB"/>
        </w:rPr>
        <w:t>-</w:t>
      </w:r>
      <w:r>
        <w:rPr>
          <w:rFonts w:eastAsia="Times New Roman"/>
          <w:lang w:eastAsia="en-GB"/>
        </w:rPr>
        <w:t>year</w:t>
      </w:r>
      <w:r w:rsidRPr="00D37E96">
        <w:rPr>
          <w:rFonts w:eastAsia="Times New Roman"/>
          <w:lang w:eastAsia="en-GB"/>
        </w:rPr>
        <w:t>) time horizon</w:t>
      </w:r>
      <w:r w:rsidR="00FC1023">
        <w:rPr>
          <w:rFonts w:eastAsia="Times New Roman"/>
          <w:lang w:eastAsia="en-GB"/>
        </w:rPr>
        <w:t>.</w:t>
      </w:r>
    </w:p>
    <w:p w14:paraId="16786E61" w14:textId="5B3F1B52" w:rsidR="0046041A" w:rsidRDefault="00DD0224">
      <w:pPr>
        <w:rPr>
          <w:shd w:val="clear" w:color="auto" w:fill="FFFFFF"/>
        </w:rPr>
      </w:pPr>
      <w:r w:rsidRPr="004A10BB">
        <w:t xml:space="preserve">Response rates used in the analysis were based on the BHM analysis of the larotrectinib </w:t>
      </w:r>
      <w:r w:rsidR="00C10F99">
        <w:t xml:space="preserve">FDA </w:t>
      </w:r>
      <w:r w:rsidRPr="004A10BB">
        <w:t xml:space="preserve">data </w:t>
      </w:r>
      <w:r w:rsidR="00754B8C">
        <w:t>(</w:t>
      </w:r>
      <w:r w:rsidR="008D68F9">
        <w:fldChar w:fldCharType="begin"/>
      </w:r>
      <w:r w:rsidR="008D68F9">
        <w:instrText xml:space="preserve"> REF _Ref26367087 \h </w:instrText>
      </w:r>
      <w:r w:rsidR="008D68F9">
        <w:fldChar w:fldCharType="separate"/>
      </w:r>
      <w:r w:rsidR="00C9471F" w:rsidRPr="002D1DD7">
        <w:t xml:space="preserve">Table </w:t>
      </w:r>
      <w:r w:rsidR="00C9471F">
        <w:rPr>
          <w:noProof/>
        </w:rPr>
        <w:t>13</w:t>
      </w:r>
      <w:r w:rsidR="008D68F9">
        <w:fldChar w:fldCharType="end"/>
      </w:r>
      <w:r w:rsidR="00754B8C">
        <w:t>)</w:t>
      </w:r>
      <w:r w:rsidR="006145AF">
        <w:rPr>
          <w:shd w:val="clear" w:color="auto" w:fill="FFFFFF"/>
        </w:rPr>
        <w:t xml:space="preserve">. </w:t>
      </w:r>
      <w:r w:rsidR="00ED2BF1">
        <w:rPr>
          <w:shd w:val="clear" w:color="auto" w:fill="FFFFFF"/>
        </w:rPr>
        <w:t xml:space="preserve">By </w:t>
      </w:r>
      <w:r w:rsidR="00ED2BF1" w:rsidRPr="00ED2BF1">
        <w:rPr>
          <w:shd w:val="clear" w:color="auto" w:fill="FFFFFF"/>
        </w:rPr>
        <w:t>link</w:t>
      </w:r>
      <w:r w:rsidR="00ED2BF1">
        <w:rPr>
          <w:shd w:val="clear" w:color="auto" w:fill="FFFFFF"/>
        </w:rPr>
        <w:t>ing</w:t>
      </w:r>
      <w:r w:rsidR="00ED2BF1" w:rsidRPr="00ED2BF1">
        <w:rPr>
          <w:shd w:val="clear" w:color="auto" w:fill="FFFFFF"/>
        </w:rPr>
        <w:t xml:space="preserve"> the</w:t>
      </w:r>
      <w:r w:rsidR="00ED2BF1">
        <w:rPr>
          <w:shd w:val="clear" w:color="auto" w:fill="FFFFFF"/>
        </w:rPr>
        <w:t xml:space="preserve"> BHM estimates for response rates</w:t>
      </w:r>
      <w:r w:rsidR="00ED2BF1" w:rsidRPr="00ED2BF1">
        <w:rPr>
          <w:shd w:val="clear" w:color="auto" w:fill="FFFFFF"/>
        </w:rPr>
        <w:t xml:space="preserve"> to </w:t>
      </w:r>
      <w:r w:rsidR="00ED2BF1">
        <w:rPr>
          <w:shd w:val="clear" w:color="auto" w:fill="FFFFFF"/>
        </w:rPr>
        <w:t xml:space="preserve">conditional </w:t>
      </w:r>
      <w:r w:rsidR="00ED2BF1" w:rsidRPr="00ED2BF1">
        <w:rPr>
          <w:shd w:val="clear" w:color="auto" w:fill="FFFFFF"/>
        </w:rPr>
        <w:t>OS and PFS</w:t>
      </w:r>
      <w:r w:rsidR="00ED2BF1">
        <w:rPr>
          <w:shd w:val="clear" w:color="auto" w:fill="FFFFFF"/>
        </w:rPr>
        <w:t xml:space="preserve"> estimates,</w:t>
      </w:r>
      <w:r w:rsidR="00ED2BF1" w:rsidRPr="00ED2BF1">
        <w:rPr>
          <w:shd w:val="clear" w:color="auto" w:fill="FFFFFF"/>
        </w:rPr>
        <w:t xml:space="preserve"> </w:t>
      </w:r>
      <w:r w:rsidR="00ED2BF1">
        <w:rPr>
          <w:shd w:val="clear" w:color="auto" w:fill="FFFFFF"/>
        </w:rPr>
        <w:t xml:space="preserve">the case study model </w:t>
      </w:r>
      <w:r w:rsidR="00BC56C5">
        <w:rPr>
          <w:shd w:val="clear" w:color="auto" w:fill="FFFFFF"/>
        </w:rPr>
        <w:t xml:space="preserve">explores the implications for cost-effectiveness of heterogeneity in the overall population by considering individual </w:t>
      </w:r>
      <w:r w:rsidR="00ED2BF1" w:rsidRPr="00ED2BF1">
        <w:rPr>
          <w:shd w:val="clear" w:color="auto" w:fill="FFFFFF"/>
        </w:rPr>
        <w:t xml:space="preserve">histology specific estimates of </w:t>
      </w:r>
      <w:r w:rsidR="009D6CA1">
        <w:rPr>
          <w:shd w:val="clear" w:color="auto" w:fill="FFFFFF"/>
        </w:rPr>
        <w:t>cost-effective</w:t>
      </w:r>
      <w:r w:rsidR="00ED2BF1" w:rsidRPr="00ED2BF1">
        <w:rPr>
          <w:shd w:val="clear" w:color="auto" w:fill="FFFFFF"/>
        </w:rPr>
        <w:t>ness</w:t>
      </w:r>
      <w:r w:rsidR="0063483A">
        <w:rPr>
          <w:shd w:val="clear" w:color="auto" w:fill="FFFFFF"/>
        </w:rPr>
        <w:t xml:space="preserve"> alongside estimates for the overall population. </w:t>
      </w:r>
    </w:p>
    <w:p w14:paraId="7546A1B6" w14:textId="30944A32" w:rsidR="00DD0224" w:rsidRDefault="00DD0224" w:rsidP="00DD0224">
      <w:r>
        <w:t xml:space="preserve">Stylised input parameters were used for all other economic model parameters and are summarised in </w:t>
      </w:r>
      <w:r w:rsidR="00717B9D" w:rsidRPr="00B3496B">
        <w:fldChar w:fldCharType="begin"/>
      </w:r>
      <w:r w:rsidR="00717B9D" w:rsidRPr="00B3496B">
        <w:instrText xml:space="preserve"> REF _Ref27674383 \h </w:instrText>
      </w:r>
      <w:r w:rsidR="00B3496B">
        <w:instrText xml:space="preserve"> \* MERGEFORMAT </w:instrText>
      </w:r>
      <w:r w:rsidR="00717B9D" w:rsidRPr="00B3496B">
        <w:fldChar w:fldCharType="separate"/>
      </w:r>
      <w:r w:rsidR="00C9471F" w:rsidRPr="00556DC5">
        <w:t xml:space="preserve">Table </w:t>
      </w:r>
      <w:r w:rsidR="00C9471F">
        <w:rPr>
          <w:noProof/>
        </w:rPr>
        <w:t>23</w:t>
      </w:r>
      <w:r w:rsidR="00717B9D" w:rsidRPr="00B3496B">
        <w:fldChar w:fldCharType="end"/>
      </w:r>
      <w:r w:rsidRPr="00B3496B">
        <w:t xml:space="preserve">. </w:t>
      </w:r>
      <w:r w:rsidR="001C632C">
        <w:t>T</w:t>
      </w:r>
      <w:r w:rsidR="001C632C" w:rsidRPr="001C632C">
        <w:t xml:space="preserve">he acquisition cost for </w:t>
      </w:r>
      <w:r w:rsidR="001C632C">
        <w:t>Drug X</w:t>
      </w:r>
      <w:r w:rsidR="001C632C" w:rsidRPr="001C632C">
        <w:t xml:space="preserve"> in the </w:t>
      </w:r>
      <w:r w:rsidR="001C632C">
        <w:t>case study</w:t>
      </w:r>
      <w:r w:rsidR="001C632C" w:rsidRPr="001C632C">
        <w:t xml:space="preserve"> was assumed to be priced at a level such that the ICER </w:t>
      </w:r>
      <w:r w:rsidR="001C632C">
        <w:t xml:space="preserve">in the overall population </w:t>
      </w:r>
      <w:r w:rsidR="001C632C" w:rsidRPr="001C632C">
        <w:t xml:space="preserve">would be close to the upper limit of NICE’s end of life threshold range (circa £50,000 per QALY gained). </w:t>
      </w:r>
      <w:r w:rsidR="001C632C">
        <w:t>As a number of separate scenarios are presented in the case study, the estimate of the acquisition cost was derived from the scenario which w</w:t>
      </w:r>
      <w:r w:rsidR="0017332D">
        <w:t>as</w:t>
      </w:r>
      <w:r w:rsidR="001C632C">
        <w:t xml:space="preserve"> considered to best represent a base-case scenario. This scenario included testing costs and estimates of the effectiveness in tumour sites which were not represented in the clinical evidence base. </w:t>
      </w:r>
      <w:r w:rsidRPr="00B3496B">
        <w:t xml:space="preserve">For a more detail description of the underlying assumptions and justification for the parameters, see </w:t>
      </w:r>
      <w:r w:rsidR="00B3496B" w:rsidRPr="00B3496B">
        <w:t>Appendix 1</w:t>
      </w:r>
      <w:r w:rsidR="00754B8C">
        <w:t>3</w:t>
      </w:r>
      <w:r w:rsidRPr="00B3496B">
        <w:t>.</w:t>
      </w:r>
      <w:r>
        <w:t xml:space="preserve"> </w:t>
      </w:r>
    </w:p>
    <w:p w14:paraId="3915267F" w14:textId="3455A69B" w:rsidR="00C663A2" w:rsidRDefault="00C663A2" w:rsidP="00DD0224"/>
    <w:p w14:paraId="54E55CFA" w14:textId="35568367" w:rsidR="00C663A2" w:rsidRDefault="00C663A2" w:rsidP="00DD0224"/>
    <w:p w14:paraId="52FBDA43" w14:textId="1AF9C933" w:rsidR="00C663A2" w:rsidRPr="00C062D1" w:rsidRDefault="00C10F99" w:rsidP="00C10F99">
      <w:pPr>
        <w:tabs>
          <w:tab w:val="left" w:pos="1128"/>
        </w:tabs>
      </w:pPr>
      <w:r>
        <w:tab/>
      </w:r>
    </w:p>
    <w:p w14:paraId="31B6C305" w14:textId="2E25D973" w:rsidR="00DD0224" w:rsidRPr="00556DC5" w:rsidRDefault="00DD0224" w:rsidP="00DD0224">
      <w:pPr>
        <w:pStyle w:val="Caption"/>
        <w:rPr>
          <w:sz w:val="22"/>
        </w:rPr>
      </w:pPr>
      <w:bookmarkStart w:id="225" w:name="_Ref27674383"/>
      <w:bookmarkStart w:id="226" w:name="_Toc34033537"/>
      <w:r w:rsidRPr="00556DC5">
        <w:rPr>
          <w:sz w:val="22"/>
        </w:rPr>
        <w:lastRenderedPageBreak/>
        <w:t xml:space="preserve">Table </w:t>
      </w:r>
      <w:r w:rsidR="001F16E2">
        <w:rPr>
          <w:sz w:val="22"/>
        </w:rPr>
        <w:fldChar w:fldCharType="begin"/>
      </w:r>
      <w:r w:rsidR="001F16E2">
        <w:rPr>
          <w:sz w:val="22"/>
        </w:rPr>
        <w:instrText xml:space="preserve"> SEQ Table \* ARABIC </w:instrText>
      </w:r>
      <w:r w:rsidR="001F16E2">
        <w:rPr>
          <w:sz w:val="22"/>
        </w:rPr>
        <w:fldChar w:fldCharType="separate"/>
      </w:r>
      <w:r w:rsidR="00C9471F">
        <w:rPr>
          <w:noProof/>
          <w:sz w:val="22"/>
        </w:rPr>
        <w:t>23</w:t>
      </w:r>
      <w:r w:rsidR="001F16E2">
        <w:rPr>
          <w:sz w:val="22"/>
        </w:rPr>
        <w:fldChar w:fldCharType="end"/>
      </w:r>
      <w:bookmarkEnd w:id="225"/>
      <w:r w:rsidR="008C7423">
        <w:rPr>
          <w:sz w:val="22"/>
        </w:rPr>
        <w:t>:</w:t>
      </w:r>
      <w:r w:rsidRPr="00556DC5">
        <w:rPr>
          <w:sz w:val="22"/>
        </w:rPr>
        <w:t xml:space="preserve"> Input parameters included in the economic model</w:t>
      </w:r>
      <w:bookmarkEnd w:id="226"/>
    </w:p>
    <w:tbl>
      <w:tblPr>
        <w:tblW w:w="5000" w:type="pct"/>
        <w:tblLook w:val="04A0" w:firstRow="1" w:lastRow="0" w:firstColumn="1" w:lastColumn="0" w:noHBand="0" w:noVBand="1"/>
      </w:tblPr>
      <w:tblGrid>
        <w:gridCol w:w="3500"/>
        <w:gridCol w:w="2689"/>
        <w:gridCol w:w="310"/>
        <w:gridCol w:w="2517"/>
      </w:tblGrid>
      <w:tr w:rsidR="00DD0224" w:rsidRPr="000D06E5" w14:paraId="13C2CBAA" w14:textId="77777777" w:rsidTr="000C4530">
        <w:trPr>
          <w:trHeight w:val="551"/>
        </w:trPr>
        <w:tc>
          <w:tcPr>
            <w:tcW w:w="1941" w:type="pct"/>
            <w:tcBorders>
              <w:top w:val="single" w:sz="4" w:space="0" w:color="auto"/>
              <w:left w:val="single" w:sz="4" w:space="0" w:color="auto"/>
              <w:bottom w:val="single" w:sz="4" w:space="0" w:color="auto"/>
              <w:right w:val="nil"/>
            </w:tcBorders>
            <w:shd w:val="clear" w:color="000000" w:fill="FFFFFF"/>
            <w:noWrap/>
            <w:vAlign w:val="center"/>
            <w:hideMark/>
          </w:tcPr>
          <w:p w14:paraId="4B64730E" w14:textId="77777777" w:rsidR="00DD0224" w:rsidRPr="006145AF" w:rsidRDefault="00DD0224" w:rsidP="000C4530">
            <w:pPr>
              <w:pStyle w:val="NoSpacing"/>
              <w:contextualSpacing/>
              <w:rPr>
                <w:rFonts w:cs="Times New Roman"/>
                <w:b/>
                <w:lang w:eastAsia="en-GB"/>
              </w:rPr>
            </w:pPr>
            <w:r w:rsidRPr="006145AF">
              <w:rPr>
                <w:rFonts w:cs="Times New Roman"/>
                <w:b/>
                <w:lang w:eastAsia="en-GB"/>
              </w:rPr>
              <w:t>Parameter</w:t>
            </w:r>
          </w:p>
        </w:tc>
        <w:tc>
          <w:tcPr>
            <w:tcW w:w="1491" w:type="pct"/>
            <w:tcBorders>
              <w:top w:val="single" w:sz="4" w:space="0" w:color="auto"/>
              <w:left w:val="nil"/>
              <w:bottom w:val="single" w:sz="4" w:space="0" w:color="auto"/>
              <w:right w:val="nil"/>
            </w:tcBorders>
            <w:shd w:val="clear" w:color="000000" w:fill="FFFFFF"/>
            <w:noWrap/>
            <w:vAlign w:val="center"/>
            <w:hideMark/>
          </w:tcPr>
          <w:p w14:paraId="679EAA90" w14:textId="77777777" w:rsidR="00DD0224" w:rsidRPr="006145AF" w:rsidRDefault="00DD0224" w:rsidP="000C4530">
            <w:pPr>
              <w:pStyle w:val="NoSpacing"/>
              <w:contextualSpacing/>
              <w:rPr>
                <w:rFonts w:cs="Times New Roman"/>
                <w:b/>
                <w:lang w:eastAsia="en-GB"/>
              </w:rPr>
            </w:pPr>
            <w:r w:rsidRPr="006145AF">
              <w:rPr>
                <w:rFonts w:cs="Times New Roman"/>
                <w:b/>
                <w:lang w:eastAsia="en-GB"/>
              </w:rPr>
              <w:t>Value</w:t>
            </w:r>
          </w:p>
        </w:tc>
        <w:tc>
          <w:tcPr>
            <w:tcW w:w="172" w:type="pct"/>
            <w:tcBorders>
              <w:top w:val="single" w:sz="4" w:space="0" w:color="auto"/>
              <w:left w:val="nil"/>
              <w:bottom w:val="single" w:sz="4" w:space="0" w:color="auto"/>
              <w:right w:val="nil"/>
            </w:tcBorders>
            <w:shd w:val="clear" w:color="000000" w:fill="FFFFFF"/>
            <w:vAlign w:val="center"/>
          </w:tcPr>
          <w:p w14:paraId="4D024548" w14:textId="77777777" w:rsidR="00DD0224" w:rsidRPr="006145AF" w:rsidRDefault="00DD0224" w:rsidP="000C4530">
            <w:pPr>
              <w:pStyle w:val="NoSpacing"/>
              <w:contextualSpacing/>
              <w:rPr>
                <w:rFonts w:cs="Times New Roman"/>
                <w:b/>
                <w:lang w:eastAsia="en-GB"/>
              </w:rPr>
            </w:pPr>
          </w:p>
        </w:tc>
        <w:tc>
          <w:tcPr>
            <w:tcW w:w="1396" w:type="pct"/>
            <w:tcBorders>
              <w:top w:val="single" w:sz="4" w:space="0" w:color="auto"/>
              <w:left w:val="nil"/>
              <w:bottom w:val="single" w:sz="4" w:space="0" w:color="auto"/>
              <w:right w:val="single" w:sz="4" w:space="0" w:color="auto"/>
            </w:tcBorders>
            <w:shd w:val="clear" w:color="000000" w:fill="FFFFFF"/>
            <w:noWrap/>
            <w:vAlign w:val="center"/>
            <w:hideMark/>
          </w:tcPr>
          <w:p w14:paraId="6B28B55E" w14:textId="77777777" w:rsidR="00DD0224" w:rsidRPr="006145AF" w:rsidRDefault="00DD0224" w:rsidP="000C4530">
            <w:pPr>
              <w:pStyle w:val="NoSpacing"/>
              <w:contextualSpacing/>
              <w:rPr>
                <w:rFonts w:cs="Times New Roman"/>
                <w:b/>
                <w:lang w:eastAsia="en-GB"/>
              </w:rPr>
            </w:pPr>
            <w:r w:rsidRPr="006145AF">
              <w:rPr>
                <w:rFonts w:cs="Times New Roman"/>
                <w:b/>
                <w:lang w:eastAsia="en-GB"/>
              </w:rPr>
              <w:t>95% CI</w:t>
            </w:r>
          </w:p>
        </w:tc>
      </w:tr>
      <w:tr w:rsidR="00DD0224" w:rsidRPr="000D06E5" w14:paraId="60625D29" w14:textId="77777777" w:rsidTr="000C4530">
        <w:trPr>
          <w:trHeight w:val="330"/>
        </w:trPr>
        <w:tc>
          <w:tcPr>
            <w:tcW w:w="1941" w:type="pct"/>
            <w:tcBorders>
              <w:top w:val="nil"/>
              <w:left w:val="single" w:sz="4" w:space="0" w:color="auto"/>
              <w:bottom w:val="single" w:sz="4" w:space="0" w:color="auto"/>
              <w:right w:val="nil"/>
            </w:tcBorders>
            <w:shd w:val="clear" w:color="000000" w:fill="FFFFFF"/>
            <w:noWrap/>
            <w:vAlign w:val="center"/>
            <w:hideMark/>
          </w:tcPr>
          <w:p w14:paraId="330BFD9E" w14:textId="0B4B3D58" w:rsidR="00DD0224" w:rsidRPr="006145AF" w:rsidRDefault="00DD0224" w:rsidP="000C4530">
            <w:pPr>
              <w:pStyle w:val="NoSpacing"/>
              <w:contextualSpacing/>
              <w:rPr>
                <w:rFonts w:cs="Times New Roman"/>
                <w:lang w:eastAsia="en-GB"/>
              </w:rPr>
            </w:pPr>
            <w:r w:rsidRPr="006145AF">
              <w:rPr>
                <w:rFonts w:cs="Times New Roman"/>
                <w:lang w:eastAsia="en-GB"/>
              </w:rPr>
              <w:t>Effectiveness (months)</w:t>
            </w:r>
            <w:r w:rsidR="00E60C45">
              <w:rPr>
                <w:rFonts w:cs="Times New Roman"/>
                <w:lang w:eastAsia="en-GB"/>
              </w:rPr>
              <w:t>*</w:t>
            </w:r>
          </w:p>
        </w:tc>
        <w:tc>
          <w:tcPr>
            <w:tcW w:w="1491" w:type="pct"/>
            <w:tcBorders>
              <w:top w:val="nil"/>
              <w:left w:val="nil"/>
              <w:bottom w:val="single" w:sz="4" w:space="0" w:color="auto"/>
              <w:right w:val="nil"/>
            </w:tcBorders>
            <w:shd w:val="clear" w:color="000000" w:fill="FFFFFF"/>
            <w:noWrap/>
            <w:vAlign w:val="center"/>
            <w:hideMark/>
          </w:tcPr>
          <w:p w14:paraId="6E0D6D76"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single" w:sz="4" w:space="0" w:color="auto"/>
              <w:right w:val="nil"/>
            </w:tcBorders>
            <w:shd w:val="clear" w:color="000000" w:fill="FFFFFF"/>
            <w:vAlign w:val="center"/>
          </w:tcPr>
          <w:p w14:paraId="142D4A9F"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single" w:sz="4" w:space="0" w:color="auto"/>
              <w:right w:val="single" w:sz="4" w:space="0" w:color="auto"/>
            </w:tcBorders>
            <w:shd w:val="clear" w:color="000000" w:fill="FFFFFF"/>
            <w:noWrap/>
            <w:vAlign w:val="center"/>
            <w:hideMark/>
          </w:tcPr>
          <w:p w14:paraId="289467E4" w14:textId="77777777" w:rsidR="00DD0224" w:rsidRPr="006145AF" w:rsidRDefault="00DD0224" w:rsidP="000C4530">
            <w:pPr>
              <w:pStyle w:val="NoSpacing"/>
              <w:contextualSpacing/>
              <w:rPr>
                <w:rFonts w:cs="Times New Roman"/>
                <w:lang w:eastAsia="en-GB"/>
              </w:rPr>
            </w:pPr>
          </w:p>
        </w:tc>
      </w:tr>
      <w:tr w:rsidR="00DD0224" w:rsidRPr="000D06E5" w14:paraId="59113C5E"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389CC4BD" w14:textId="22DAF39C" w:rsidR="00DD0224" w:rsidRPr="006145AF" w:rsidRDefault="00DD0224">
            <w:pPr>
              <w:pStyle w:val="NoSpacing"/>
              <w:contextualSpacing/>
              <w:rPr>
                <w:rFonts w:cs="Times New Roman"/>
                <w:lang w:eastAsia="en-GB"/>
              </w:rPr>
            </w:pPr>
            <w:r w:rsidRPr="006145AF">
              <w:rPr>
                <w:rFonts w:cs="Times New Roman"/>
                <w:lang w:eastAsia="en-GB"/>
              </w:rPr>
              <w:t xml:space="preserve">Median </w:t>
            </w:r>
            <w:r w:rsidR="001D682F">
              <w:rPr>
                <w:rFonts w:cs="Times New Roman"/>
                <w:lang w:eastAsia="en-GB"/>
              </w:rPr>
              <w:t>PFS</w:t>
            </w:r>
          </w:p>
        </w:tc>
        <w:tc>
          <w:tcPr>
            <w:tcW w:w="1491" w:type="pct"/>
            <w:tcBorders>
              <w:top w:val="nil"/>
              <w:left w:val="nil"/>
              <w:bottom w:val="nil"/>
              <w:right w:val="nil"/>
            </w:tcBorders>
            <w:shd w:val="clear" w:color="000000" w:fill="FFFFFF"/>
            <w:noWrap/>
            <w:vAlign w:val="center"/>
            <w:hideMark/>
          </w:tcPr>
          <w:p w14:paraId="71344E24"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nil"/>
              <w:right w:val="nil"/>
            </w:tcBorders>
            <w:shd w:val="clear" w:color="000000" w:fill="FFFFFF"/>
            <w:vAlign w:val="center"/>
          </w:tcPr>
          <w:p w14:paraId="7EA69FDA"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000000" w:fill="FFFFFF"/>
            <w:noWrap/>
            <w:vAlign w:val="center"/>
            <w:hideMark/>
          </w:tcPr>
          <w:p w14:paraId="594F7A3C" w14:textId="77777777" w:rsidR="00DD0224" w:rsidRPr="006145AF" w:rsidRDefault="00DD0224" w:rsidP="000C4530">
            <w:pPr>
              <w:pStyle w:val="NoSpacing"/>
              <w:contextualSpacing/>
              <w:rPr>
                <w:rFonts w:cs="Times New Roman"/>
                <w:lang w:eastAsia="en-GB"/>
              </w:rPr>
            </w:pPr>
          </w:p>
        </w:tc>
      </w:tr>
      <w:tr w:rsidR="00DD0224" w:rsidRPr="00556DC5" w14:paraId="507A8B84"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0545C38F" w14:textId="77777777" w:rsidR="00DD0224" w:rsidRPr="006145AF" w:rsidRDefault="00DD0224" w:rsidP="000C4530">
            <w:pPr>
              <w:pStyle w:val="NoSpacing"/>
              <w:ind w:left="720"/>
              <w:contextualSpacing/>
              <w:rPr>
                <w:rFonts w:cs="Times New Roman"/>
                <w:lang w:eastAsia="en-GB"/>
              </w:rPr>
            </w:pPr>
            <w:r w:rsidRPr="006145AF">
              <w:rPr>
                <w:rFonts w:cs="Times New Roman"/>
                <w:lang w:eastAsia="en-GB"/>
              </w:rPr>
              <w:t>Responders</w:t>
            </w:r>
          </w:p>
        </w:tc>
        <w:tc>
          <w:tcPr>
            <w:tcW w:w="1491" w:type="pct"/>
            <w:tcBorders>
              <w:top w:val="nil"/>
              <w:left w:val="nil"/>
              <w:bottom w:val="nil"/>
              <w:right w:val="nil"/>
            </w:tcBorders>
            <w:shd w:val="clear" w:color="000000" w:fill="FFFFFF"/>
            <w:noWrap/>
            <w:vAlign w:val="center"/>
            <w:hideMark/>
          </w:tcPr>
          <w:p w14:paraId="606BFD85" w14:textId="77777777" w:rsidR="00DD0224" w:rsidRPr="006145AF" w:rsidRDefault="00DD0224" w:rsidP="000C4530">
            <w:pPr>
              <w:pStyle w:val="NoSpacing"/>
              <w:contextualSpacing/>
              <w:rPr>
                <w:rFonts w:cs="Times New Roman"/>
                <w:lang w:eastAsia="en-GB"/>
              </w:rPr>
            </w:pPr>
            <w:r w:rsidRPr="006145AF">
              <w:rPr>
                <w:rFonts w:cs="Times New Roman"/>
                <w:lang w:eastAsia="en-GB"/>
              </w:rPr>
              <w:t>24</w:t>
            </w:r>
          </w:p>
        </w:tc>
        <w:tc>
          <w:tcPr>
            <w:tcW w:w="172" w:type="pct"/>
            <w:tcBorders>
              <w:top w:val="nil"/>
              <w:left w:val="nil"/>
              <w:bottom w:val="nil"/>
              <w:right w:val="nil"/>
            </w:tcBorders>
            <w:shd w:val="clear" w:color="auto" w:fill="auto"/>
            <w:vAlign w:val="center"/>
          </w:tcPr>
          <w:p w14:paraId="29E9B67A"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060A3406" w14:textId="77777777" w:rsidR="00DD0224" w:rsidRPr="006145AF" w:rsidRDefault="00DD0224" w:rsidP="000C4530">
            <w:pPr>
              <w:pStyle w:val="NoSpacing"/>
              <w:contextualSpacing/>
              <w:rPr>
                <w:rFonts w:cs="Times New Roman"/>
                <w:lang w:eastAsia="en-GB"/>
              </w:rPr>
            </w:pPr>
            <w:r w:rsidRPr="006145AF">
              <w:rPr>
                <w:rFonts w:cs="Times New Roman"/>
                <w:lang w:eastAsia="en-GB"/>
              </w:rPr>
              <w:t>[21.6; 26.4]</w:t>
            </w:r>
          </w:p>
        </w:tc>
      </w:tr>
      <w:tr w:rsidR="00DD0224" w:rsidRPr="00556DC5" w14:paraId="3520033A"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08472FC8" w14:textId="77777777" w:rsidR="00DD0224" w:rsidRPr="006145AF" w:rsidRDefault="00DD0224" w:rsidP="000C4530">
            <w:pPr>
              <w:pStyle w:val="NoSpacing"/>
              <w:ind w:left="720"/>
              <w:contextualSpacing/>
              <w:rPr>
                <w:rFonts w:cs="Times New Roman"/>
                <w:lang w:eastAsia="en-GB"/>
              </w:rPr>
            </w:pPr>
            <w:r w:rsidRPr="006145AF">
              <w:rPr>
                <w:rFonts w:cs="Times New Roman"/>
                <w:lang w:eastAsia="en-GB"/>
              </w:rPr>
              <w:t>Non-responders</w:t>
            </w:r>
          </w:p>
        </w:tc>
        <w:tc>
          <w:tcPr>
            <w:tcW w:w="1491" w:type="pct"/>
            <w:tcBorders>
              <w:top w:val="nil"/>
              <w:left w:val="nil"/>
              <w:bottom w:val="nil"/>
              <w:right w:val="nil"/>
            </w:tcBorders>
            <w:shd w:val="clear" w:color="000000" w:fill="FFFFFF"/>
            <w:noWrap/>
            <w:vAlign w:val="center"/>
            <w:hideMark/>
          </w:tcPr>
          <w:p w14:paraId="2E00C38E" w14:textId="77777777" w:rsidR="00DD0224" w:rsidRPr="006145AF" w:rsidRDefault="00DD0224" w:rsidP="000C4530">
            <w:pPr>
              <w:pStyle w:val="NoSpacing"/>
              <w:contextualSpacing/>
              <w:rPr>
                <w:rFonts w:cs="Times New Roman"/>
                <w:lang w:eastAsia="en-GB"/>
              </w:rPr>
            </w:pPr>
            <w:r w:rsidRPr="006145AF">
              <w:rPr>
                <w:rFonts w:cs="Times New Roman"/>
                <w:lang w:eastAsia="en-GB"/>
              </w:rPr>
              <w:t>6</w:t>
            </w:r>
          </w:p>
        </w:tc>
        <w:tc>
          <w:tcPr>
            <w:tcW w:w="172" w:type="pct"/>
            <w:tcBorders>
              <w:top w:val="nil"/>
              <w:left w:val="nil"/>
              <w:bottom w:val="nil"/>
              <w:right w:val="nil"/>
            </w:tcBorders>
            <w:shd w:val="clear" w:color="auto" w:fill="auto"/>
            <w:vAlign w:val="center"/>
          </w:tcPr>
          <w:p w14:paraId="6E5AE564"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301F201F" w14:textId="77777777" w:rsidR="00DD0224" w:rsidRPr="006145AF" w:rsidRDefault="00DD0224" w:rsidP="000C4530">
            <w:pPr>
              <w:pStyle w:val="NoSpacing"/>
              <w:contextualSpacing/>
              <w:rPr>
                <w:rFonts w:cs="Times New Roman"/>
                <w:lang w:eastAsia="en-GB"/>
              </w:rPr>
            </w:pPr>
            <w:r w:rsidRPr="006145AF">
              <w:rPr>
                <w:rFonts w:cs="Times New Roman"/>
                <w:lang w:eastAsia="en-GB"/>
              </w:rPr>
              <w:t>[5.4; 6.6]</w:t>
            </w:r>
          </w:p>
        </w:tc>
      </w:tr>
      <w:tr w:rsidR="00DD0224" w:rsidRPr="00556DC5" w14:paraId="2C029EE1"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2828AA3A" w14:textId="165B3B59" w:rsidR="00DD0224" w:rsidRPr="006145AF" w:rsidRDefault="00DD0224">
            <w:pPr>
              <w:pStyle w:val="NoSpacing"/>
              <w:contextualSpacing/>
              <w:rPr>
                <w:rFonts w:cs="Times New Roman"/>
                <w:lang w:eastAsia="en-GB"/>
              </w:rPr>
            </w:pPr>
            <w:r w:rsidRPr="006145AF">
              <w:rPr>
                <w:rFonts w:cs="Times New Roman"/>
                <w:lang w:eastAsia="en-GB"/>
              </w:rPr>
              <w:t xml:space="preserve">Median </w:t>
            </w:r>
            <w:r w:rsidR="001D682F">
              <w:rPr>
                <w:rFonts w:cs="Times New Roman"/>
                <w:lang w:eastAsia="en-GB"/>
              </w:rPr>
              <w:t>OS</w:t>
            </w:r>
          </w:p>
        </w:tc>
        <w:tc>
          <w:tcPr>
            <w:tcW w:w="1491" w:type="pct"/>
            <w:tcBorders>
              <w:top w:val="nil"/>
              <w:left w:val="nil"/>
              <w:bottom w:val="nil"/>
              <w:right w:val="nil"/>
            </w:tcBorders>
            <w:shd w:val="clear" w:color="000000" w:fill="FFFFFF"/>
            <w:noWrap/>
            <w:vAlign w:val="center"/>
            <w:hideMark/>
          </w:tcPr>
          <w:p w14:paraId="3B174AF6"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nil"/>
              <w:right w:val="nil"/>
            </w:tcBorders>
            <w:shd w:val="clear" w:color="auto" w:fill="auto"/>
            <w:vAlign w:val="center"/>
          </w:tcPr>
          <w:p w14:paraId="07A39BAF"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2A9833A9" w14:textId="77777777" w:rsidR="00DD0224" w:rsidRPr="006145AF" w:rsidRDefault="00DD0224" w:rsidP="000C4530">
            <w:pPr>
              <w:pStyle w:val="NoSpacing"/>
              <w:contextualSpacing/>
              <w:rPr>
                <w:rFonts w:cs="Times New Roman"/>
                <w:lang w:eastAsia="en-GB"/>
              </w:rPr>
            </w:pPr>
          </w:p>
        </w:tc>
      </w:tr>
      <w:tr w:rsidR="00DD0224" w:rsidRPr="00556DC5" w14:paraId="3B286438"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7B95F853" w14:textId="77777777" w:rsidR="00DD0224" w:rsidRPr="006145AF" w:rsidRDefault="00DD0224" w:rsidP="000C4530">
            <w:pPr>
              <w:pStyle w:val="NoSpacing"/>
              <w:ind w:left="720"/>
              <w:contextualSpacing/>
              <w:rPr>
                <w:rFonts w:cs="Times New Roman"/>
                <w:lang w:eastAsia="en-GB"/>
              </w:rPr>
            </w:pPr>
            <w:r w:rsidRPr="006145AF">
              <w:rPr>
                <w:rFonts w:cs="Times New Roman"/>
                <w:lang w:eastAsia="en-GB"/>
              </w:rPr>
              <w:t>Responders</w:t>
            </w:r>
          </w:p>
        </w:tc>
        <w:tc>
          <w:tcPr>
            <w:tcW w:w="1491" w:type="pct"/>
            <w:tcBorders>
              <w:top w:val="nil"/>
              <w:left w:val="nil"/>
              <w:bottom w:val="nil"/>
              <w:right w:val="nil"/>
            </w:tcBorders>
            <w:shd w:val="clear" w:color="000000" w:fill="FFFFFF"/>
            <w:noWrap/>
            <w:vAlign w:val="center"/>
            <w:hideMark/>
          </w:tcPr>
          <w:p w14:paraId="43647925" w14:textId="77777777" w:rsidR="00DD0224" w:rsidRPr="006145AF" w:rsidRDefault="00DD0224" w:rsidP="000C4530">
            <w:pPr>
              <w:pStyle w:val="NoSpacing"/>
              <w:contextualSpacing/>
              <w:rPr>
                <w:rFonts w:cs="Times New Roman"/>
                <w:lang w:eastAsia="en-GB"/>
              </w:rPr>
            </w:pPr>
            <w:r w:rsidRPr="006145AF">
              <w:rPr>
                <w:rFonts w:cs="Times New Roman"/>
                <w:lang w:eastAsia="en-GB"/>
              </w:rPr>
              <w:t>36</w:t>
            </w:r>
          </w:p>
        </w:tc>
        <w:tc>
          <w:tcPr>
            <w:tcW w:w="172" w:type="pct"/>
            <w:tcBorders>
              <w:top w:val="nil"/>
              <w:left w:val="nil"/>
              <w:bottom w:val="nil"/>
              <w:right w:val="nil"/>
            </w:tcBorders>
            <w:shd w:val="clear" w:color="auto" w:fill="auto"/>
            <w:vAlign w:val="center"/>
          </w:tcPr>
          <w:p w14:paraId="008856FD"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097DD386" w14:textId="77777777" w:rsidR="00DD0224" w:rsidRPr="006145AF" w:rsidRDefault="00DD0224" w:rsidP="000C4530">
            <w:pPr>
              <w:pStyle w:val="NoSpacing"/>
              <w:contextualSpacing/>
              <w:rPr>
                <w:rFonts w:cs="Times New Roman"/>
                <w:lang w:eastAsia="en-GB"/>
              </w:rPr>
            </w:pPr>
            <w:r w:rsidRPr="006145AF">
              <w:rPr>
                <w:rFonts w:cs="Times New Roman"/>
                <w:lang w:eastAsia="en-GB"/>
              </w:rPr>
              <w:t>[32.4; 39.6]</w:t>
            </w:r>
          </w:p>
        </w:tc>
      </w:tr>
      <w:tr w:rsidR="00DD0224" w:rsidRPr="00556DC5" w14:paraId="7617EF9A"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17998197" w14:textId="77777777" w:rsidR="00DD0224" w:rsidRPr="006145AF" w:rsidRDefault="00DD0224" w:rsidP="000C4530">
            <w:pPr>
              <w:pStyle w:val="NoSpacing"/>
              <w:ind w:left="720"/>
              <w:contextualSpacing/>
              <w:rPr>
                <w:rFonts w:cs="Times New Roman"/>
                <w:lang w:eastAsia="en-GB"/>
              </w:rPr>
            </w:pPr>
            <w:r w:rsidRPr="006145AF">
              <w:rPr>
                <w:rFonts w:cs="Times New Roman"/>
                <w:lang w:eastAsia="en-GB"/>
              </w:rPr>
              <w:t>Non-responders</w:t>
            </w:r>
          </w:p>
        </w:tc>
        <w:tc>
          <w:tcPr>
            <w:tcW w:w="1491" w:type="pct"/>
            <w:tcBorders>
              <w:top w:val="nil"/>
              <w:left w:val="nil"/>
              <w:bottom w:val="nil"/>
              <w:right w:val="nil"/>
            </w:tcBorders>
            <w:shd w:val="clear" w:color="000000" w:fill="FFFFFF"/>
            <w:noWrap/>
            <w:vAlign w:val="center"/>
            <w:hideMark/>
          </w:tcPr>
          <w:p w14:paraId="770D335A" w14:textId="77777777" w:rsidR="00DD0224" w:rsidRPr="006145AF" w:rsidRDefault="00DD0224" w:rsidP="000C4530">
            <w:pPr>
              <w:pStyle w:val="NoSpacing"/>
              <w:contextualSpacing/>
              <w:rPr>
                <w:rFonts w:cs="Times New Roman"/>
                <w:lang w:eastAsia="en-GB"/>
              </w:rPr>
            </w:pPr>
            <w:r w:rsidRPr="006145AF">
              <w:rPr>
                <w:rFonts w:cs="Times New Roman"/>
                <w:lang w:eastAsia="en-GB"/>
              </w:rPr>
              <w:t>12</w:t>
            </w:r>
          </w:p>
        </w:tc>
        <w:tc>
          <w:tcPr>
            <w:tcW w:w="172" w:type="pct"/>
            <w:tcBorders>
              <w:top w:val="nil"/>
              <w:left w:val="nil"/>
              <w:bottom w:val="nil"/>
              <w:right w:val="nil"/>
            </w:tcBorders>
            <w:shd w:val="clear" w:color="auto" w:fill="auto"/>
            <w:vAlign w:val="center"/>
          </w:tcPr>
          <w:p w14:paraId="5077F80F"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257434BD" w14:textId="77777777" w:rsidR="00DD0224" w:rsidRPr="006145AF" w:rsidRDefault="00DD0224" w:rsidP="000C4530">
            <w:pPr>
              <w:pStyle w:val="NoSpacing"/>
              <w:contextualSpacing/>
              <w:rPr>
                <w:rFonts w:cs="Times New Roman"/>
                <w:lang w:eastAsia="en-GB"/>
              </w:rPr>
            </w:pPr>
            <w:r w:rsidRPr="006145AF">
              <w:rPr>
                <w:rFonts w:cs="Times New Roman"/>
                <w:lang w:eastAsia="en-GB"/>
              </w:rPr>
              <w:t>[10.8; 13.2]</w:t>
            </w:r>
          </w:p>
        </w:tc>
      </w:tr>
      <w:tr w:rsidR="00DD0224" w:rsidRPr="00556DC5" w14:paraId="70B0CFC7" w14:textId="77777777" w:rsidTr="000C4530">
        <w:trPr>
          <w:trHeight w:val="300"/>
        </w:trPr>
        <w:tc>
          <w:tcPr>
            <w:tcW w:w="1941" w:type="pct"/>
            <w:tcBorders>
              <w:top w:val="single" w:sz="4" w:space="0" w:color="auto"/>
              <w:left w:val="single" w:sz="4" w:space="0" w:color="auto"/>
              <w:bottom w:val="single" w:sz="4" w:space="0" w:color="auto"/>
              <w:right w:val="nil"/>
            </w:tcBorders>
            <w:shd w:val="clear" w:color="000000" w:fill="FFFFFF"/>
            <w:noWrap/>
            <w:vAlign w:val="center"/>
            <w:hideMark/>
          </w:tcPr>
          <w:p w14:paraId="0F4FE8F3" w14:textId="77777777" w:rsidR="00DD0224" w:rsidRPr="006145AF" w:rsidRDefault="00DD0224" w:rsidP="000C4530">
            <w:pPr>
              <w:pStyle w:val="NoSpacing"/>
              <w:contextualSpacing/>
              <w:rPr>
                <w:rFonts w:cs="Times New Roman"/>
                <w:lang w:eastAsia="en-GB"/>
              </w:rPr>
            </w:pPr>
            <w:r w:rsidRPr="006145AF">
              <w:rPr>
                <w:rFonts w:cs="Times New Roman"/>
                <w:lang w:eastAsia="en-GB"/>
              </w:rPr>
              <w:t>Utilities</w:t>
            </w:r>
          </w:p>
        </w:tc>
        <w:tc>
          <w:tcPr>
            <w:tcW w:w="1491" w:type="pct"/>
            <w:tcBorders>
              <w:top w:val="single" w:sz="4" w:space="0" w:color="auto"/>
              <w:left w:val="nil"/>
              <w:bottom w:val="single" w:sz="4" w:space="0" w:color="auto"/>
              <w:right w:val="nil"/>
            </w:tcBorders>
            <w:shd w:val="clear" w:color="000000" w:fill="FFFFFF"/>
            <w:noWrap/>
            <w:vAlign w:val="center"/>
            <w:hideMark/>
          </w:tcPr>
          <w:p w14:paraId="07A86B74" w14:textId="77777777" w:rsidR="00DD0224" w:rsidRPr="006145AF" w:rsidRDefault="00DD0224" w:rsidP="000C4530">
            <w:pPr>
              <w:pStyle w:val="NoSpacing"/>
              <w:contextualSpacing/>
              <w:rPr>
                <w:rFonts w:cs="Times New Roman"/>
                <w:lang w:eastAsia="en-GB"/>
              </w:rPr>
            </w:pPr>
          </w:p>
        </w:tc>
        <w:tc>
          <w:tcPr>
            <w:tcW w:w="172" w:type="pct"/>
            <w:tcBorders>
              <w:top w:val="single" w:sz="4" w:space="0" w:color="auto"/>
              <w:left w:val="nil"/>
              <w:bottom w:val="single" w:sz="4" w:space="0" w:color="auto"/>
              <w:right w:val="nil"/>
            </w:tcBorders>
            <w:shd w:val="clear" w:color="auto" w:fill="auto"/>
            <w:vAlign w:val="center"/>
          </w:tcPr>
          <w:p w14:paraId="632EE4F4" w14:textId="77777777" w:rsidR="00DD0224" w:rsidRPr="006145AF" w:rsidRDefault="00DD0224" w:rsidP="000C4530">
            <w:pPr>
              <w:pStyle w:val="NoSpacing"/>
              <w:contextualSpacing/>
              <w:rPr>
                <w:rFonts w:cs="Times New Roman"/>
                <w:lang w:eastAsia="en-GB"/>
              </w:rPr>
            </w:pPr>
          </w:p>
        </w:tc>
        <w:tc>
          <w:tcPr>
            <w:tcW w:w="1396" w:type="pct"/>
            <w:tcBorders>
              <w:top w:val="single" w:sz="4" w:space="0" w:color="auto"/>
              <w:left w:val="nil"/>
              <w:bottom w:val="single" w:sz="4" w:space="0" w:color="auto"/>
              <w:right w:val="single" w:sz="4" w:space="0" w:color="auto"/>
            </w:tcBorders>
            <w:shd w:val="clear" w:color="auto" w:fill="auto"/>
            <w:noWrap/>
            <w:vAlign w:val="center"/>
            <w:hideMark/>
          </w:tcPr>
          <w:p w14:paraId="19125E1A" w14:textId="77777777" w:rsidR="00DD0224" w:rsidRPr="006145AF" w:rsidRDefault="00DD0224" w:rsidP="000C4530">
            <w:pPr>
              <w:pStyle w:val="NoSpacing"/>
              <w:contextualSpacing/>
              <w:rPr>
                <w:rFonts w:cs="Times New Roman"/>
                <w:lang w:eastAsia="en-GB"/>
              </w:rPr>
            </w:pPr>
          </w:p>
        </w:tc>
      </w:tr>
      <w:tr w:rsidR="00DD0224" w:rsidRPr="00556DC5" w14:paraId="52C723B7"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4A1FF84F" w14:textId="66C05ABC" w:rsidR="00DD0224" w:rsidRPr="006145AF" w:rsidRDefault="00DD0224">
            <w:pPr>
              <w:pStyle w:val="NoSpacing"/>
              <w:contextualSpacing/>
              <w:rPr>
                <w:rFonts w:cs="Times New Roman"/>
                <w:lang w:eastAsia="en-GB"/>
              </w:rPr>
            </w:pPr>
            <w:r w:rsidRPr="006145AF">
              <w:rPr>
                <w:rFonts w:cs="Times New Roman"/>
                <w:lang w:eastAsia="en-GB"/>
              </w:rPr>
              <w:t>Progression</w:t>
            </w:r>
            <w:r w:rsidR="006B13A4">
              <w:rPr>
                <w:rFonts w:cs="Times New Roman"/>
                <w:lang w:eastAsia="en-GB"/>
              </w:rPr>
              <w:t>-</w:t>
            </w:r>
            <w:r w:rsidRPr="006145AF">
              <w:rPr>
                <w:rFonts w:cs="Times New Roman"/>
                <w:lang w:eastAsia="en-GB"/>
              </w:rPr>
              <w:t xml:space="preserve">free </w:t>
            </w:r>
          </w:p>
        </w:tc>
        <w:tc>
          <w:tcPr>
            <w:tcW w:w="1491" w:type="pct"/>
            <w:tcBorders>
              <w:top w:val="nil"/>
              <w:left w:val="nil"/>
              <w:bottom w:val="nil"/>
              <w:right w:val="nil"/>
            </w:tcBorders>
            <w:shd w:val="clear" w:color="000000" w:fill="FFFFFF"/>
            <w:noWrap/>
            <w:vAlign w:val="center"/>
            <w:hideMark/>
          </w:tcPr>
          <w:p w14:paraId="4785C1A5"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nil"/>
              <w:right w:val="nil"/>
            </w:tcBorders>
            <w:shd w:val="clear" w:color="auto" w:fill="auto"/>
            <w:vAlign w:val="center"/>
          </w:tcPr>
          <w:p w14:paraId="7162B3B3"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7294D548" w14:textId="77777777" w:rsidR="00DD0224" w:rsidRPr="006145AF" w:rsidRDefault="00DD0224" w:rsidP="000C4530">
            <w:pPr>
              <w:pStyle w:val="NoSpacing"/>
              <w:contextualSpacing/>
              <w:rPr>
                <w:rFonts w:cs="Times New Roman"/>
                <w:lang w:eastAsia="en-GB"/>
              </w:rPr>
            </w:pPr>
          </w:p>
        </w:tc>
      </w:tr>
      <w:tr w:rsidR="00DD0224" w:rsidRPr="00556DC5" w14:paraId="4600D817"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3CB2075C" w14:textId="5F867BB3" w:rsidR="00DD0224" w:rsidRPr="006145AF" w:rsidRDefault="00717B9D" w:rsidP="000C4530">
            <w:pPr>
              <w:pStyle w:val="NoSpacing"/>
              <w:ind w:left="720"/>
              <w:contextualSpacing/>
              <w:rPr>
                <w:rFonts w:cs="Times New Roman"/>
                <w:lang w:eastAsia="en-GB"/>
              </w:rPr>
            </w:pPr>
            <w:r w:rsidRPr="006145AF">
              <w:rPr>
                <w:rFonts w:cs="Times New Roman"/>
                <w:lang w:eastAsia="en-GB"/>
              </w:rPr>
              <w:t>Drug X</w:t>
            </w:r>
          </w:p>
        </w:tc>
        <w:tc>
          <w:tcPr>
            <w:tcW w:w="1491" w:type="pct"/>
            <w:tcBorders>
              <w:top w:val="nil"/>
              <w:left w:val="nil"/>
              <w:bottom w:val="nil"/>
              <w:right w:val="nil"/>
            </w:tcBorders>
            <w:shd w:val="clear" w:color="000000" w:fill="FFFFFF"/>
            <w:noWrap/>
            <w:vAlign w:val="center"/>
            <w:hideMark/>
          </w:tcPr>
          <w:p w14:paraId="14D13322" w14:textId="77777777" w:rsidR="00DD0224" w:rsidRPr="006145AF" w:rsidRDefault="00DD0224" w:rsidP="000C4530">
            <w:pPr>
              <w:pStyle w:val="NoSpacing"/>
              <w:contextualSpacing/>
              <w:rPr>
                <w:rFonts w:cs="Times New Roman"/>
                <w:lang w:eastAsia="en-GB"/>
              </w:rPr>
            </w:pPr>
            <w:r w:rsidRPr="006145AF">
              <w:rPr>
                <w:rFonts w:cs="Times New Roman"/>
                <w:lang w:eastAsia="en-GB"/>
              </w:rPr>
              <w:t>0.79</w:t>
            </w:r>
          </w:p>
        </w:tc>
        <w:tc>
          <w:tcPr>
            <w:tcW w:w="172" w:type="pct"/>
            <w:tcBorders>
              <w:top w:val="nil"/>
              <w:left w:val="nil"/>
              <w:bottom w:val="nil"/>
              <w:right w:val="nil"/>
            </w:tcBorders>
            <w:shd w:val="clear" w:color="auto" w:fill="auto"/>
            <w:vAlign w:val="center"/>
          </w:tcPr>
          <w:p w14:paraId="38A3699B"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7017395F" w14:textId="77777777" w:rsidR="00DD0224" w:rsidRPr="006145AF" w:rsidRDefault="00DD0224" w:rsidP="000C4530">
            <w:pPr>
              <w:pStyle w:val="NoSpacing"/>
              <w:contextualSpacing/>
              <w:rPr>
                <w:rFonts w:cs="Times New Roman"/>
                <w:lang w:eastAsia="en-GB"/>
              </w:rPr>
            </w:pPr>
            <w:r w:rsidRPr="006145AF">
              <w:rPr>
                <w:rFonts w:cs="Times New Roman"/>
              </w:rPr>
              <w:t>[0.71;0.87]</w:t>
            </w:r>
          </w:p>
        </w:tc>
      </w:tr>
      <w:tr w:rsidR="00DD0224" w:rsidRPr="00556DC5" w14:paraId="6D2394C9"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296EB775" w14:textId="791F9BD2" w:rsidR="00DD0224" w:rsidRPr="006145AF" w:rsidRDefault="00717B9D" w:rsidP="000C4530">
            <w:pPr>
              <w:pStyle w:val="NoSpacing"/>
              <w:ind w:left="720"/>
              <w:contextualSpacing/>
              <w:rPr>
                <w:rFonts w:cs="Times New Roman"/>
                <w:lang w:eastAsia="en-GB"/>
              </w:rPr>
            </w:pPr>
            <w:r w:rsidRPr="006145AF">
              <w:rPr>
                <w:rFonts w:cs="Times New Roman"/>
                <w:lang w:eastAsia="en-GB"/>
              </w:rPr>
              <w:t>SoC</w:t>
            </w:r>
          </w:p>
        </w:tc>
        <w:tc>
          <w:tcPr>
            <w:tcW w:w="1491" w:type="pct"/>
            <w:tcBorders>
              <w:top w:val="nil"/>
              <w:left w:val="nil"/>
              <w:bottom w:val="nil"/>
              <w:right w:val="nil"/>
            </w:tcBorders>
            <w:shd w:val="clear" w:color="000000" w:fill="FFFFFF"/>
            <w:noWrap/>
            <w:vAlign w:val="center"/>
            <w:hideMark/>
          </w:tcPr>
          <w:p w14:paraId="1780D9D3" w14:textId="77777777" w:rsidR="00DD0224" w:rsidRPr="006145AF" w:rsidRDefault="00DD0224" w:rsidP="000C4530">
            <w:pPr>
              <w:pStyle w:val="NoSpacing"/>
              <w:contextualSpacing/>
              <w:rPr>
                <w:rFonts w:cs="Times New Roman"/>
                <w:lang w:eastAsia="en-GB"/>
              </w:rPr>
            </w:pPr>
            <w:r w:rsidRPr="006145AF">
              <w:rPr>
                <w:rFonts w:cs="Times New Roman"/>
                <w:lang w:eastAsia="en-GB"/>
              </w:rPr>
              <w:t>0.72</w:t>
            </w:r>
          </w:p>
        </w:tc>
        <w:tc>
          <w:tcPr>
            <w:tcW w:w="172" w:type="pct"/>
            <w:tcBorders>
              <w:top w:val="nil"/>
              <w:left w:val="nil"/>
              <w:bottom w:val="nil"/>
              <w:right w:val="nil"/>
            </w:tcBorders>
            <w:shd w:val="clear" w:color="auto" w:fill="auto"/>
            <w:vAlign w:val="center"/>
          </w:tcPr>
          <w:p w14:paraId="453130B8"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0B26DE1C" w14:textId="77777777" w:rsidR="00DD0224" w:rsidRPr="006145AF" w:rsidRDefault="00DD0224" w:rsidP="000C4530">
            <w:pPr>
              <w:pStyle w:val="NoSpacing"/>
              <w:contextualSpacing/>
              <w:rPr>
                <w:rFonts w:cs="Times New Roman"/>
                <w:lang w:eastAsia="en-GB"/>
              </w:rPr>
            </w:pPr>
            <w:r w:rsidRPr="006145AF">
              <w:rPr>
                <w:rFonts w:cs="Times New Roman"/>
              </w:rPr>
              <w:t>[0.65;0.79]</w:t>
            </w:r>
          </w:p>
        </w:tc>
      </w:tr>
      <w:tr w:rsidR="00DD0224" w:rsidRPr="00556DC5" w14:paraId="13620846"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090FE134" w14:textId="12B3795D" w:rsidR="00DD0224" w:rsidRPr="006145AF" w:rsidRDefault="00DD0224">
            <w:pPr>
              <w:pStyle w:val="NoSpacing"/>
              <w:contextualSpacing/>
              <w:rPr>
                <w:rFonts w:cs="Times New Roman"/>
                <w:lang w:eastAsia="en-GB"/>
              </w:rPr>
            </w:pPr>
            <w:r w:rsidRPr="006145AF">
              <w:rPr>
                <w:rFonts w:cs="Times New Roman"/>
                <w:lang w:eastAsia="en-GB"/>
              </w:rPr>
              <w:t>Post</w:t>
            </w:r>
            <w:r w:rsidR="006B13A4">
              <w:rPr>
                <w:rFonts w:cs="Times New Roman"/>
                <w:lang w:eastAsia="en-GB"/>
              </w:rPr>
              <w:t>-</w:t>
            </w:r>
            <w:r w:rsidRPr="006145AF">
              <w:rPr>
                <w:rFonts w:cs="Times New Roman"/>
                <w:lang w:eastAsia="en-GB"/>
              </w:rPr>
              <w:t xml:space="preserve">progression </w:t>
            </w:r>
          </w:p>
        </w:tc>
        <w:tc>
          <w:tcPr>
            <w:tcW w:w="1491" w:type="pct"/>
            <w:tcBorders>
              <w:top w:val="nil"/>
              <w:left w:val="nil"/>
              <w:bottom w:val="nil"/>
              <w:right w:val="nil"/>
            </w:tcBorders>
            <w:shd w:val="clear" w:color="000000" w:fill="FFFFFF"/>
            <w:noWrap/>
            <w:vAlign w:val="center"/>
            <w:hideMark/>
          </w:tcPr>
          <w:p w14:paraId="413F36DF"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nil"/>
              <w:right w:val="nil"/>
            </w:tcBorders>
            <w:shd w:val="clear" w:color="auto" w:fill="auto"/>
            <w:vAlign w:val="center"/>
          </w:tcPr>
          <w:p w14:paraId="3128DE95"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07EFBE3E" w14:textId="77777777" w:rsidR="00DD0224" w:rsidRPr="006145AF" w:rsidRDefault="00DD0224" w:rsidP="000C4530">
            <w:pPr>
              <w:pStyle w:val="NoSpacing"/>
              <w:contextualSpacing/>
              <w:rPr>
                <w:rFonts w:cs="Times New Roman"/>
                <w:lang w:eastAsia="en-GB"/>
              </w:rPr>
            </w:pPr>
          </w:p>
        </w:tc>
      </w:tr>
      <w:tr w:rsidR="00DD0224" w:rsidRPr="00556DC5" w14:paraId="20D16E8B"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32E41E4D" w14:textId="65B7571F" w:rsidR="00DD0224" w:rsidRPr="006145AF" w:rsidRDefault="00717B9D" w:rsidP="000C4530">
            <w:pPr>
              <w:pStyle w:val="NoSpacing"/>
              <w:ind w:left="720"/>
              <w:contextualSpacing/>
              <w:rPr>
                <w:rFonts w:cs="Times New Roman"/>
                <w:lang w:eastAsia="en-GB"/>
              </w:rPr>
            </w:pPr>
            <w:r w:rsidRPr="006145AF">
              <w:rPr>
                <w:rFonts w:cs="Times New Roman"/>
                <w:lang w:eastAsia="en-GB"/>
              </w:rPr>
              <w:t>Drug X</w:t>
            </w:r>
          </w:p>
        </w:tc>
        <w:tc>
          <w:tcPr>
            <w:tcW w:w="1491" w:type="pct"/>
            <w:tcBorders>
              <w:top w:val="nil"/>
              <w:left w:val="nil"/>
              <w:bottom w:val="nil"/>
              <w:right w:val="nil"/>
            </w:tcBorders>
            <w:shd w:val="clear" w:color="000000" w:fill="FFFFFF"/>
            <w:noWrap/>
            <w:vAlign w:val="center"/>
            <w:hideMark/>
          </w:tcPr>
          <w:p w14:paraId="746B44A4" w14:textId="77777777" w:rsidR="00DD0224" w:rsidRPr="006145AF" w:rsidRDefault="00DD0224" w:rsidP="000C4530">
            <w:pPr>
              <w:pStyle w:val="NoSpacing"/>
              <w:contextualSpacing/>
              <w:rPr>
                <w:rFonts w:cs="Times New Roman"/>
                <w:lang w:eastAsia="en-GB"/>
              </w:rPr>
            </w:pPr>
            <w:r w:rsidRPr="006145AF">
              <w:rPr>
                <w:rFonts w:cs="Times New Roman"/>
                <w:lang w:eastAsia="en-GB"/>
              </w:rPr>
              <w:t>0.64</w:t>
            </w:r>
          </w:p>
        </w:tc>
        <w:tc>
          <w:tcPr>
            <w:tcW w:w="172" w:type="pct"/>
            <w:tcBorders>
              <w:top w:val="nil"/>
              <w:left w:val="nil"/>
              <w:bottom w:val="nil"/>
              <w:right w:val="nil"/>
            </w:tcBorders>
            <w:shd w:val="clear" w:color="auto" w:fill="auto"/>
            <w:vAlign w:val="center"/>
          </w:tcPr>
          <w:p w14:paraId="52352B28"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5CC586CE" w14:textId="77777777" w:rsidR="00DD0224" w:rsidRPr="006145AF" w:rsidRDefault="00DD0224" w:rsidP="000C4530">
            <w:pPr>
              <w:pStyle w:val="NoSpacing"/>
              <w:contextualSpacing/>
              <w:rPr>
                <w:rFonts w:cs="Times New Roman"/>
                <w:lang w:eastAsia="en-GB"/>
              </w:rPr>
            </w:pPr>
            <w:r w:rsidRPr="006145AF">
              <w:rPr>
                <w:rFonts w:cs="Times New Roman"/>
              </w:rPr>
              <w:t>[0.57;0.71]</w:t>
            </w:r>
          </w:p>
        </w:tc>
      </w:tr>
      <w:tr w:rsidR="00DD0224" w:rsidRPr="00556DC5" w14:paraId="6F268057"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1D8A9EF1" w14:textId="7028C70A" w:rsidR="00DD0224" w:rsidRPr="006145AF" w:rsidRDefault="00717B9D" w:rsidP="000C4530">
            <w:pPr>
              <w:pStyle w:val="NoSpacing"/>
              <w:ind w:left="720"/>
              <w:contextualSpacing/>
              <w:rPr>
                <w:rFonts w:cs="Times New Roman"/>
                <w:lang w:eastAsia="en-GB"/>
              </w:rPr>
            </w:pPr>
            <w:r w:rsidRPr="006145AF">
              <w:rPr>
                <w:rFonts w:cs="Times New Roman"/>
                <w:lang w:eastAsia="en-GB"/>
              </w:rPr>
              <w:t>SoC</w:t>
            </w:r>
          </w:p>
        </w:tc>
        <w:tc>
          <w:tcPr>
            <w:tcW w:w="1491" w:type="pct"/>
            <w:tcBorders>
              <w:top w:val="nil"/>
              <w:left w:val="nil"/>
              <w:bottom w:val="nil"/>
              <w:right w:val="nil"/>
            </w:tcBorders>
            <w:shd w:val="clear" w:color="000000" w:fill="FFFFFF"/>
            <w:noWrap/>
            <w:vAlign w:val="center"/>
            <w:hideMark/>
          </w:tcPr>
          <w:p w14:paraId="6A005239" w14:textId="77777777" w:rsidR="00DD0224" w:rsidRPr="006145AF" w:rsidRDefault="00DD0224" w:rsidP="000C4530">
            <w:pPr>
              <w:pStyle w:val="NoSpacing"/>
              <w:contextualSpacing/>
              <w:rPr>
                <w:rFonts w:cs="Times New Roman"/>
                <w:lang w:eastAsia="en-GB"/>
              </w:rPr>
            </w:pPr>
            <w:r w:rsidRPr="006145AF">
              <w:rPr>
                <w:rFonts w:cs="Times New Roman"/>
                <w:lang w:eastAsia="en-GB"/>
              </w:rPr>
              <w:t>0.64</w:t>
            </w:r>
          </w:p>
        </w:tc>
        <w:tc>
          <w:tcPr>
            <w:tcW w:w="172" w:type="pct"/>
            <w:tcBorders>
              <w:top w:val="nil"/>
              <w:left w:val="nil"/>
              <w:bottom w:val="nil"/>
              <w:right w:val="nil"/>
            </w:tcBorders>
            <w:shd w:val="clear" w:color="auto" w:fill="auto"/>
            <w:vAlign w:val="center"/>
          </w:tcPr>
          <w:p w14:paraId="295F4A45"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47B112AE" w14:textId="77777777" w:rsidR="00DD0224" w:rsidRPr="006145AF" w:rsidRDefault="00DD0224" w:rsidP="000C4530">
            <w:pPr>
              <w:pStyle w:val="NoSpacing"/>
              <w:contextualSpacing/>
              <w:rPr>
                <w:rFonts w:cs="Times New Roman"/>
                <w:lang w:eastAsia="en-GB"/>
              </w:rPr>
            </w:pPr>
            <w:r w:rsidRPr="006145AF">
              <w:rPr>
                <w:rFonts w:cs="Times New Roman"/>
              </w:rPr>
              <w:t>[0.57;0.71]</w:t>
            </w:r>
          </w:p>
        </w:tc>
      </w:tr>
      <w:tr w:rsidR="00DD0224" w:rsidRPr="00556DC5" w14:paraId="53628096" w14:textId="77777777" w:rsidTr="000C4530">
        <w:trPr>
          <w:trHeight w:val="300"/>
        </w:trPr>
        <w:tc>
          <w:tcPr>
            <w:tcW w:w="1941" w:type="pct"/>
            <w:tcBorders>
              <w:top w:val="single" w:sz="4" w:space="0" w:color="auto"/>
              <w:left w:val="single" w:sz="4" w:space="0" w:color="auto"/>
              <w:bottom w:val="single" w:sz="4" w:space="0" w:color="auto"/>
              <w:right w:val="nil"/>
            </w:tcBorders>
            <w:shd w:val="clear" w:color="000000" w:fill="FFFFFF"/>
            <w:noWrap/>
            <w:vAlign w:val="center"/>
            <w:hideMark/>
          </w:tcPr>
          <w:p w14:paraId="33166F5C" w14:textId="3BB65598" w:rsidR="00DD0224" w:rsidRPr="006145AF" w:rsidRDefault="00DD0224" w:rsidP="000C4530">
            <w:pPr>
              <w:pStyle w:val="NoSpacing"/>
              <w:contextualSpacing/>
              <w:rPr>
                <w:rFonts w:cs="Times New Roman"/>
                <w:lang w:eastAsia="en-GB"/>
              </w:rPr>
            </w:pPr>
            <w:r w:rsidRPr="006145AF">
              <w:rPr>
                <w:rFonts w:cs="Times New Roman"/>
                <w:lang w:eastAsia="en-GB"/>
              </w:rPr>
              <w:t>Costs (£</w:t>
            </w:r>
            <w:r w:rsidR="00B43FEB">
              <w:rPr>
                <w:rFonts w:cs="Times New Roman"/>
                <w:lang w:eastAsia="en-GB"/>
              </w:rPr>
              <w:t>/month</w:t>
            </w:r>
            <w:r w:rsidRPr="006145AF">
              <w:rPr>
                <w:rFonts w:cs="Times New Roman"/>
                <w:lang w:eastAsia="en-GB"/>
              </w:rPr>
              <w:t>)</w:t>
            </w:r>
          </w:p>
        </w:tc>
        <w:tc>
          <w:tcPr>
            <w:tcW w:w="1491" w:type="pct"/>
            <w:tcBorders>
              <w:top w:val="single" w:sz="4" w:space="0" w:color="auto"/>
              <w:left w:val="nil"/>
              <w:bottom w:val="single" w:sz="4" w:space="0" w:color="auto"/>
              <w:right w:val="nil"/>
            </w:tcBorders>
            <w:shd w:val="clear" w:color="000000" w:fill="FFFFFF"/>
            <w:noWrap/>
            <w:vAlign w:val="center"/>
            <w:hideMark/>
          </w:tcPr>
          <w:p w14:paraId="7EBAE9AB" w14:textId="77777777" w:rsidR="00DD0224" w:rsidRPr="006145AF" w:rsidRDefault="00DD0224" w:rsidP="000C4530">
            <w:pPr>
              <w:pStyle w:val="NoSpacing"/>
              <w:contextualSpacing/>
              <w:rPr>
                <w:rFonts w:cs="Times New Roman"/>
                <w:lang w:eastAsia="en-GB"/>
              </w:rPr>
            </w:pPr>
          </w:p>
        </w:tc>
        <w:tc>
          <w:tcPr>
            <w:tcW w:w="172" w:type="pct"/>
            <w:tcBorders>
              <w:top w:val="single" w:sz="4" w:space="0" w:color="auto"/>
              <w:left w:val="nil"/>
              <w:bottom w:val="single" w:sz="4" w:space="0" w:color="auto"/>
              <w:right w:val="nil"/>
            </w:tcBorders>
            <w:shd w:val="clear" w:color="auto" w:fill="auto"/>
            <w:vAlign w:val="center"/>
          </w:tcPr>
          <w:p w14:paraId="63A34FBD" w14:textId="77777777" w:rsidR="00DD0224" w:rsidRPr="006145AF" w:rsidRDefault="00DD0224" w:rsidP="000C4530">
            <w:pPr>
              <w:pStyle w:val="NoSpacing"/>
              <w:contextualSpacing/>
              <w:rPr>
                <w:rFonts w:cs="Times New Roman"/>
                <w:lang w:eastAsia="en-GB"/>
              </w:rPr>
            </w:pPr>
          </w:p>
        </w:tc>
        <w:tc>
          <w:tcPr>
            <w:tcW w:w="1396" w:type="pct"/>
            <w:tcBorders>
              <w:top w:val="single" w:sz="4" w:space="0" w:color="auto"/>
              <w:left w:val="nil"/>
              <w:bottom w:val="single" w:sz="4" w:space="0" w:color="auto"/>
              <w:right w:val="single" w:sz="4" w:space="0" w:color="auto"/>
            </w:tcBorders>
            <w:shd w:val="clear" w:color="auto" w:fill="auto"/>
            <w:noWrap/>
            <w:vAlign w:val="center"/>
            <w:hideMark/>
          </w:tcPr>
          <w:p w14:paraId="0B36E100" w14:textId="77777777" w:rsidR="00DD0224" w:rsidRPr="006145AF" w:rsidRDefault="00DD0224" w:rsidP="000C4530">
            <w:pPr>
              <w:pStyle w:val="NoSpacing"/>
              <w:contextualSpacing/>
              <w:rPr>
                <w:rFonts w:cs="Times New Roman"/>
                <w:lang w:eastAsia="en-GB"/>
              </w:rPr>
            </w:pPr>
          </w:p>
        </w:tc>
      </w:tr>
      <w:tr w:rsidR="00DD0224" w:rsidRPr="00556DC5" w14:paraId="14E5DED6"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04EBCE31" w14:textId="5F903F03" w:rsidR="00DD0224" w:rsidRPr="006145AF" w:rsidRDefault="00DD0224">
            <w:pPr>
              <w:pStyle w:val="NoSpacing"/>
              <w:contextualSpacing/>
              <w:rPr>
                <w:rFonts w:cs="Times New Roman"/>
                <w:lang w:eastAsia="en-GB"/>
              </w:rPr>
            </w:pPr>
            <w:r w:rsidRPr="006145AF">
              <w:rPr>
                <w:rFonts w:cs="Times New Roman"/>
                <w:lang w:eastAsia="en-GB"/>
              </w:rPr>
              <w:t xml:space="preserve">Drug </w:t>
            </w:r>
            <w:r w:rsidR="001D682F">
              <w:rPr>
                <w:rFonts w:cs="Times New Roman"/>
                <w:lang w:eastAsia="en-GB"/>
              </w:rPr>
              <w:t>a</w:t>
            </w:r>
            <w:r w:rsidRPr="006145AF">
              <w:rPr>
                <w:rFonts w:cs="Times New Roman"/>
                <w:lang w:eastAsia="en-GB"/>
              </w:rPr>
              <w:t xml:space="preserve">cquisition </w:t>
            </w:r>
            <w:r w:rsidR="001D682F">
              <w:rPr>
                <w:rFonts w:cs="Times New Roman"/>
                <w:lang w:eastAsia="en-GB"/>
              </w:rPr>
              <w:t>c</w:t>
            </w:r>
            <w:r w:rsidRPr="006145AF">
              <w:rPr>
                <w:rFonts w:cs="Times New Roman"/>
                <w:lang w:eastAsia="en-GB"/>
              </w:rPr>
              <w:t>osts</w:t>
            </w:r>
          </w:p>
        </w:tc>
        <w:tc>
          <w:tcPr>
            <w:tcW w:w="1491" w:type="pct"/>
            <w:tcBorders>
              <w:top w:val="nil"/>
              <w:left w:val="nil"/>
              <w:bottom w:val="nil"/>
              <w:right w:val="nil"/>
            </w:tcBorders>
            <w:shd w:val="clear" w:color="000000" w:fill="FFFFFF"/>
            <w:noWrap/>
            <w:vAlign w:val="center"/>
            <w:hideMark/>
          </w:tcPr>
          <w:p w14:paraId="6551DD27"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nil"/>
              <w:right w:val="nil"/>
            </w:tcBorders>
            <w:shd w:val="clear" w:color="auto" w:fill="auto"/>
            <w:vAlign w:val="center"/>
          </w:tcPr>
          <w:p w14:paraId="109E1995"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1C4818A3" w14:textId="77777777" w:rsidR="00DD0224" w:rsidRPr="006145AF" w:rsidRDefault="00DD0224" w:rsidP="000C4530">
            <w:pPr>
              <w:pStyle w:val="NoSpacing"/>
              <w:contextualSpacing/>
              <w:rPr>
                <w:rFonts w:cs="Times New Roman"/>
                <w:lang w:eastAsia="en-GB"/>
              </w:rPr>
            </w:pPr>
          </w:p>
        </w:tc>
      </w:tr>
      <w:tr w:rsidR="00DD0224" w:rsidRPr="00556DC5" w14:paraId="6B56FB32"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51A2855E" w14:textId="6BF5827E" w:rsidR="00DD0224" w:rsidRPr="006145AF" w:rsidRDefault="00717B9D" w:rsidP="000C4530">
            <w:pPr>
              <w:pStyle w:val="NoSpacing"/>
              <w:ind w:left="720"/>
              <w:contextualSpacing/>
              <w:rPr>
                <w:rFonts w:cs="Times New Roman"/>
                <w:lang w:eastAsia="en-GB"/>
              </w:rPr>
            </w:pPr>
            <w:r w:rsidRPr="006145AF">
              <w:rPr>
                <w:rFonts w:cs="Times New Roman"/>
                <w:lang w:eastAsia="en-GB"/>
              </w:rPr>
              <w:t>Drug X</w:t>
            </w:r>
          </w:p>
        </w:tc>
        <w:tc>
          <w:tcPr>
            <w:tcW w:w="1491" w:type="pct"/>
            <w:tcBorders>
              <w:top w:val="nil"/>
              <w:left w:val="nil"/>
              <w:bottom w:val="nil"/>
              <w:right w:val="nil"/>
            </w:tcBorders>
            <w:shd w:val="clear" w:color="000000" w:fill="FFFFFF"/>
            <w:noWrap/>
            <w:vAlign w:val="center"/>
            <w:hideMark/>
          </w:tcPr>
          <w:p w14:paraId="62E347E1" w14:textId="30B6EEB3" w:rsidR="00DD0224" w:rsidRPr="006145AF" w:rsidRDefault="001D682F" w:rsidP="000C4530">
            <w:pPr>
              <w:pStyle w:val="NoSpacing"/>
              <w:contextualSpacing/>
              <w:rPr>
                <w:rFonts w:cs="Times New Roman"/>
                <w:lang w:eastAsia="en-GB"/>
              </w:rPr>
            </w:pPr>
            <w:r>
              <w:rPr>
                <w:rFonts w:cs="Times New Roman"/>
                <w:lang w:eastAsia="en-GB"/>
              </w:rPr>
              <w:t>£</w:t>
            </w:r>
            <w:r w:rsidR="00DD0224" w:rsidRPr="006145AF">
              <w:rPr>
                <w:rFonts w:cs="Times New Roman"/>
                <w:lang w:eastAsia="en-GB"/>
              </w:rPr>
              <w:t>1250</w:t>
            </w:r>
          </w:p>
        </w:tc>
        <w:tc>
          <w:tcPr>
            <w:tcW w:w="172" w:type="pct"/>
            <w:tcBorders>
              <w:top w:val="nil"/>
              <w:left w:val="nil"/>
              <w:bottom w:val="nil"/>
              <w:right w:val="nil"/>
            </w:tcBorders>
            <w:shd w:val="clear" w:color="auto" w:fill="auto"/>
            <w:vAlign w:val="center"/>
          </w:tcPr>
          <w:p w14:paraId="44496FAF"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504E6A75" w14:textId="77777777" w:rsidR="00DD0224" w:rsidRPr="006145AF" w:rsidRDefault="00DD0224" w:rsidP="000C4530">
            <w:pPr>
              <w:pStyle w:val="NoSpacing"/>
              <w:contextualSpacing/>
              <w:rPr>
                <w:rFonts w:cs="Times New Roman"/>
                <w:lang w:eastAsia="en-GB"/>
              </w:rPr>
            </w:pPr>
            <w:r w:rsidRPr="006145AF">
              <w:rPr>
                <w:rFonts w:cs="Times New Roman"/>
                <w:lang w:eastAsia="en-GB"/>
              </w:rPr>
              <w:t>-</w:t>
            </w:r>
          </w:p>
        </w:tc>
      </w:tr>
      <w:tr w:rsidR="00DD0224" w:rsidRPr="00556DC5" w14:paraId="60E27970"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02EF8E33" w14:textId="3909AB36" w:rsidR="00DD0224" w:rsidRPr="006145AF" w:rsidRDefault="00717B9D" w:rsidP="000C4530">
            <w:pPr>
              <w:pStyle w:val="NoSpacing"/>
              <w:ind w:left="720"/>
              <w:contextualSpacing/>
              <w:rPr>
                <w:rFonts w:cs="Times New Roman"/>
                <w:lang w:eastAsia="en-GB"/>
              </w:rPr>
            </w:pPr>
            <w:r w:rsidRPr="006145AF">
              <w:rPr>
                <w:rFonts w:cs="Times New Roman"/>
                <w:lang w:eastAsia="en-GB"/>
              </w:rPr>
              <w:t>SoC</w:t>
            </w:r>
          </w:p>
        </w:tc>
        <w:tc>
          <w:tcPr>
            <w:tcW w:w="1491" w:type="pct"/>
            <w:tcBorders>
              <w:top w:val="nil"/>
              <w:left w:val="nil"/>
              <w:bottom w:val="nil"/>
              <w:right w:val="nil"/>
            </w:tcBorders>
            <w:shd w:val="clear" w:color="000000" w:fill="FFFFFF"/>
            <w:noWrap/>
            <w:vAlign w:val="center"/>
            <w:hideMark/>
          </w:tcPr>
          <w:p w14:paraId="3B2EF6B2" w14:textId="7160B144" w:rsidR="00DD0224" w:rsidRPr="006145AF" w:rsidRDefault="001D682F" w:rsidP="000C4530">
            <w:pPr>
              <w:pStyle w:val="NoSpacing"/>
              <w:contextualSpacing/>
              <w:rPr>
                <w:rFonts w:cs="Times New Roman"/>
                <w:lang w:eastAsia="en-GB"/>
              </w:rPr>
            </w:pPr>
            <w:r>
              <w:rPr>
                <w:rFonts w:cs="Times New Roman"/>
                <w:lang w:eastAsia="en-GB"/>
              </w:rPr>
              <w:t>£</w:t>
            </w:r>
            <w:r w:rsidR="00DD0224" w:rsidRPr="006145AF">
              <w:rPr>
                <w:rFonts w:cs="Times New Roman"/>
                <w:lang w:eastAsia="en-GB"/>
              </w:rPr>
              <w:t>20</w:t>
            </w:r>
          </w:p>
        </w:tc>
        <w:tc>
          <w:tcPr>
            <w:tcW w:w="172" w:type="pct"/>
            <w:tcBorders>
              <w:top w:val="nil"/>
              <w:left w:val="nil"/>
              <w:bottom w:val="nil"/>
              <w:right w:val="nil"/>
            </w:tcBorders>
            <w:shd w:val="clear" w:color="auto" w:fill="auto"/>
            <w:vAlign w:val="center"/>
          </w:tcPr>
          <w:p w14:paraId="13BADF0A"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030B3AFC" w14:textId="77777777" w:rsidR="00DD0224" w:rsidRPr="006145AF" w:rsidRDefault="00DD0224" w:rsidP="000C4530">
            <w:pPr>
              <w:pStyle w:val="NoSpacing"/>
              <w:contextualSpacing/>
              <w:rPr>
                <w:rFonts w:cs="Times New Roman"/>
                <w:lang w:eastAsia="en-GB"/>
              </w:rPr>
            </w:pPr>
            <w:r w:rsidRPr="006145AF">
              <w:rPr>
                <w:rFonts w:cs="Times New Roman"/>
                <w:lang w:eastAsia="en-GB"/>
              </w:rPr>
              <w:t>-</w:t>
            </w:r>
          </w:p>
        </w:tc>
      </w:tr>
      <w:tr w:rsidR="00DD0224" w:rsidRPr="00556DC5" w14:paraId="35370945"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6B5997C0" w14:textId="6CC496A8" w:rsidR="00DD0224" w:rsidRPr="006145AF" w:rsidRDefault="00DD0224">
            <w:pPr>
              <w:pStyle w:val="NoSpacing"/>
              <w:contextualSpacing/>
              <w:rPr>
                <w:rFonts w:cs="Times New Roman"/>
                <w:lang w:eastAsia="en-GB"/>
              </w:rPr>
            </w:pPr>
            <w:r w:rsidRPr="006145AF">
              <w:rPr>
                <w:rFonts w:cs="Times New Roman"/>
                <w:lang w:eastAsia="en-GB"/>
              </w:rPr>
              <w:t xml:space="preserve">Health </w:t>
            </w:r>
            <w:r w:rsidR="001D682F">
              <w:rPr>
                <w:rFonts w:cs="Times New Roman"/>
                <w:lang w:eastAsia="en-GB"/>
              </w:rPr>
              <w:t>s</w:t>
            </w:r>
            <w:r w:rsidRPr="006145AF">
              <w:rPr>
                <w:rFonts w:cs="Times New Roman"/>
                <w:lang w:eastAsia="en-GB"/>
              </w:rPr>
              <w:t xml:space="preserve">tate </w:t>
            </w:r>
            <w:r w:rsidR="001D682F">
              <w:rPr>
                <w:rFonts w:cs="Times New Roman"/>
                <w:lang w:eastAsia="en-GB"/>
              </w:rPr>
              <w:t>c</w:t>
            </w:r>
            <w:r w:rsidRPr="006145AF">
              <w:rPr>
                <w:rFonts w:cs="Times New Roman"/>
                <w:lang w:eastAsia="en-GB"/>
              </w:rPr>
              <w:t>osts</w:t>
            </w:r>
            <w:r w:rsidR="0036567E">
              <w:rPr>
                <w:rFonts w:cs="Times New Roman"/>
                <w:lang w:eastAsia="en-GB"/>
              </w:rPr>
              <w:t>**</w:t>
            </w:r>
          </w:p>
        </w:tc>
        <w:tc>
          <w:tcPr>
            <w:tcW w:w="1491" w:type="pct"/>
            <w:tcBorders>
              <w:top w:val="nil"/>
              <w:left w:val="nil"/>
              <w:bottom w:val="nil"/>
              <w:right w:val="nil"/>
            </w:tcBorders>
            <w:shd w:val="clear" w:color="000000" w:fill="FFFFFF"/>
            <w:noWrap/>
            <w:vAlign w:val="center"/>
            <w:hideMark/>
          </w:tcPr>
          <w:p w14:paraId="671F9E54" w14:textId="77777777" w:rsidR="00DD0224" w:rsidRPr="006145AF" w:rsidRDefault="00DD0224" w:rsidP="000C4530">
            <w:pPr>
              <w:pStyle w:val="NoSpacing"/>
              <w:contextualSpacing/>
              <w:rPr>
                <w:rFonts w:cs="Times New Roman"/>
                <w:lang w:eastAsia="en-GB"/>
              </w:rPr>
            </w:pPr>
          </w:p>
        </w:tc>
        <w:tc>
          <w:tcPr>
            <w:tcW w:w="172" w:type="pct"/>
            <w:tcBorders>
              <w:top w:val="nil"/>
              <w:left w:val="nil"/>
              <w:bottom w:val="nil"/>
              <w:right w:val="nil"/>
            </w:tcBorders>
            <w:shd w:val="clear" w:color="auto" w:fill="auto"/>
            <w:vAlign w:val="center"/>
          </w:tcPr>
          <w:p w14:paraId="4309E6D7"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6DE99647" w14:textId="77777777" w:rsidR="00DD0224" w:rsidRPr="006145AF" w:rsidRDefault="00DD0224" w:rsidP="000C4530">
            <w:pPr>
              <w:pStyle w:val="NoSpacing"/>
              <w:contextualSpacing/>
              <w:rPr>
                <w:rFonts w:cs="Times New Roman"/>
                <w:lang w:eastAsia="en-GB"/>
              </w:rPr>
            </w:pPr>
          </w:p>
        </w:tc>
      </w:tr>
      <w:tr w:rsidR="00DD0224" w:rsidRPr="00556DC5" w14:paraId="2B7E4A53"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1B6B7010" w14:textId="632F2F83" w:rsidR="00DD0224" w:rsidRPr="006145AF" w:rsidRDefault="00DD0224">
            <w:pPr>
              <w:pStyle w:val="NoSpacing"/>
              <w:ind w:left="720"/>
              <w:contextualSpacing/>
              <w:rPr>
                <w:rFonts w:cs="Times New Roman"/>
                <w:lang w:eastAsia="en-GB"/>
              </w:rPr>
            </w:pPr>
            <w:r w:rsidRPr="006145AF">
              <w:rPr>
                <w:rFonts w:cs="Times New Roman"/>
                <w:lang w:eastAsia="en-GB"/>
              </w:rPr>
              <w:t>Progression</w:t>
            </w:r>
            <w:r w:rsidR="001D682F">
              <w:rPr>
                <w:rFonts w:cs="Times New Roman"/>
                <w:lang w:eastAsia="en-GB"/>
              </w:rPr>
              <w:t>-</w:t>
            </w:r>
            <w:r w:rsidRPr="006145AF">
              <w:rPr>
                <w:rFonts w:cs="Times New Roman"/>
                <w:lang w:eastAsia="en-GB"/>
              </w:rPr>
              <w:t xml:space="preserve">free </w:t>
            </w:r>
          </w:p>
        </w:tc>
        <w:tc>
          <w:tcPr>
            <w:tcW w:w="1491" w:type="pct"/>
            <w:tcBorders>
              <w:top w:val="nil"/>
              <w:left w:val="nil"/>
              <w:bottom w:val="nil"/>
              <w:right w:val="nil"/>
            </w:tcBorders>
            <w:shd w:val="clear" w:color="000000" w:fill="FFFFFF"/>
            <w:noWrap/>
            <w:vAlign w:val="center"/>
            <w:hideMark/>
          </w:tcPr>
          <w:p w14:paraId="03B6E10B" w14:textId="184E132D" w:rsidR="00DD0224" w:rsidRPr="006145AF" w:rsidRDefault="001D682F" w:rsidP="000C4530">
            <w:pPr>
              <w:pStyle w:val="NoSpacing"/>
              <w:contextualSpacing/>
              <w:rPr>
                <w:rFonts w:cs="Times New Roman"/>
                <w:lang w:eastAsia="en-GB"/>
              </w:rPr>
            </w:pPr>
            <w:r>
              <w:rPr>
                <w:rFonts w:cs="Times New Roman"/>
                <w:lang w:eastAsia="en-GB"/>
              </w:rPr>
              <w:t>£</w:t>
            </w:r>
            <w:r w:rsidR="00DD0224" w:rsidRPr="006145AF">
              <w:rPr>
                <w:rFonts w:cs="Times New Roman"/>
                <w:lang w:eastAsia="en-GB"/>
              </w:rPr>
              <w:t>350</w:t>
            </w:r>
          </w:p>
        </w:tc>
        <w:tc>
          <w:tcPr>
            <w:tcW w:w="172" w:type="pct"/>
            <w:tcBorders>
              <w:top w:val="nil"/>
              <w:left w:val="nil"/>
              <w:bottom w:val="nil"/>
              <w:right w:val="nil"/>
            </w:tcBorders>
            <w:shd w:val="clear" w:color="auto" w:fill="auto"/>
            <w:vAlign w:val="center"/>
          </w:tcPr>
          <w:p w14:paraId="19E42490"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605B5950" w14:textId="77777777" w:rsidR="00DD0224" w:rsidRPr="006145AF" w:rsidRDefault="00DD0224" w:rsidP="000C4530">
            <w:pPr>
              <w:pStyle w:val="NoSpacing"/>
              <w:contextualSpacing/>
              <w:rPr>
                <w:rFonts w:cs="Times New Roman"/>
                <w:lang w:eastAsia="en-GB"/>
              </w:rPr>
            </w:pPr>
            <w:r w:rsidRPr="006145AF">
              <w:rPr>
                <w:rFonts w:eastAsia="Times New Roman" w:cs="Times New Roman"/>
                <w:color w:val="000000"/>
                <w:lang w:eastAsia="en-GB"/>
              </w:rPr>
              <w:t>[£315; £385]</w:t>
            </w:r>
          </w:p>
        </w:tc>
      </w:tr>
      <w:tr w:rsidR="00DD0224" w:rsidRPr="00556DC5" w14:paraId="199859E1" w14:textId="77777777" w:rsidTr="000C4530">
        <w:trPr>
          <w:trHeight w:val="300"/>
        </w:trPr>
        <w:tc>
          <w:tcPr>
            <w:tcW w:w="1941" w:type="pct"/>
            <w:tcBorders>
              <w:top w:val="nil"/>
              <w:left w:val="single" w:sz="4" w:space="0" w:color="auto"/>
              <w:bottom w:val="nil"/>
              <w:right w:val="nil"/>
            </w:tcBorders>
            <w:shd w:val="clear" w:color="000000" w:fill="FFFFFF"/>
            <w:noWrap/>
            <w:vAlign w:val="center"/>
            <w:hideMark/>
          </w:tcPr>
          <w:p w14:paraId="26F61A16" w14:textId="57969EA4" w:rsidR="00DD0224" w:rsidRPr="006145AF" w:rsidRDefault="00DD0224">
            <w:pPr>
              <w:pStyle w:val="NoSpacing"/>
              <w:ind w:left="720"/>
              <w:contextualSpacing/>
              <w:rPr>
                <w:rFonts w:cs="Times New Roman"/>
                <w:lang w:eastAsia="en-GB"/>
              </w:rPr>
            </w:pPr>
            <w:r w:rsidRPr="006145AF">
              <w:rPr>
                <w:rFonts w:cs="Times New Roman"/>
                <w:lang w:eastAsia="en-GB"/>
              </w:rPr>
              <w:t>Post</w:t>
            </w:r>
            <w:r w:rsidR="001D682F">
              <w:rPr>
                <w:rFonts w:cs="Times New Roman"/>
                <w:lang w:eastAsia="en-GB"/>
              </w:rPr>
              <w:t>-</w:t>
            </w:r>
            <w:r w:rsidRPr="006145AF">
              <w:rPr>
                <w:rFonts w:cs="Times New Roman"/>
                <w:lang w:eastAsia="en-GB"/>
              </w:rPr>
              <w:t xml:space="preserve">progression </w:t>
            </w:r>
          </w:p>
        </w:tc>
        <w:tc>
          <w:tcPr>
            <w:tcW w:w="1491" w:type="pct"/>
            <w:tcBorders>
              <w:top w:val="nil"/>
              <w:left w:val="nil"/>
              <w:bottom w:val="nil"/>
              <w:right w:val="nil"/>
            </w:tcBorders>
            <w:shd w:val="clear" w:color="000000" w:fill="FFFFFF"/>
            <w:noWrap/>
            <w:vAlign w:val="center"/>
            <w:hideMark/>
          </w:tcPr>
          <w:p w14:paraId="4A537FDB" w14:textId="116F879B" w:rsidR="00DD0224" w:rsidRPr="006145AF" w:rsidRDefault="001D682F" w:rsidP="000C4530">
            <w:pPr>
              <w:pStyle w:val="NoSpacing"/>
              <w:contextualSpacing/>
              <w:rPr>
                <w:rFonts w:cs="Times New Roman"/>
                <w:lang w:eastAsia="en-GB"/>
              </w:rPr>
            </w:pPr>
            <w:r>
              <w:rPr>
                <w:rFonts w:cs="Times New Roman"/>
                <w:lang w:eastAsia="en-GB"/>
              </w:rPr>
              <w:t>£</w:t>
            </w:r>
            <w:r w:rsidR="00DD0224" w:rsidRPr="006145AF">
              <w:rPr>
                <w:rFonts w:cs="Times New Roman"/>
                <w:lang w:eastAsia="en-GB"/>
              </w:rPr>
              <w:t>500</w:t>
            </w:r>
          </w:p>
        </w:tc>
        <w:tc>
          <w:tcPr>
            <w:tcW w:w="172" w:type="pct"/>
            <w:tcBorders>
              <w:top w:val="nil"/>
              <w:left w:val="nil"/>
              <w:bottom w:val="nil"/>
              <w:right w:val="nil"/>
            </w:tcBorders>
            <w:shd w:val="clear" w:color="auto" w:fill="auto"/>
            <w:vAlign w:val="center"/>
          </w:tcPr>
          <w:p w14:paraId="005CC170"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nil"/>
              <w:right w:val="single" w:sz="4" w:space="0" w:color="auto"/>
            </w:tcBorders>
            <w:shd w:val="clear" w:color="auto" w:fill="auto"/>
            <w:noWrap/>
            <w:vAlign w:val="center"/>
            <w:hideMark/>
          </w:tcPr>
          <w:p w14:paraId="0175A71B" w14:textId="77777777" w:rsidR="00DD0224" w:rsidRPr="006145AF" w:rsidRDefault="00DD0224" w:rsidP="000C4530">
            <w:pPr>
              <w:pStyle w:val="NoSpacing"/>
              <w:contextualSpacing/>
              <w:rPr>
                <w:rFonts w:cs="Times New Roman"/>
                <w:lang w:eastAsia="en-GB"/>
              </w:rPr>
            </w:pPr>
            <w:r w:rsidRPr="006145AF">
              <w:rPr>
                <w:rFonts w:eastAsia="Times New Roman" w:cs="Times New Roman"/>
                <w:color w:val="000000"/>
                <w:lang w:eastAsia="en-GB"/>
              </w:rPr>
              <w:t>[£450; 550]</w:t>
            </w:r>
          </w:p>
        </w:tc>
      </w:tr>
      <w:tr w:rsidR="00DD0224" w:rsidRPr="000D06E5" w14:paraId="0E176AA8" w14:textId="77777777" w:rsidTr="00EC11CD">
        <w:trPr>
          <w:trHeight w:val="300"/>
        </w:trPr>
        <w:tc>
          <w:tcPr>
            <w:tcW w:w="1941" w:type="pct"/>
            <w:tcBorders>
              <w:top w:val="nil"/>
              <w:left w:val="single" w:sz="4" w:space="0" w:color="auto"/>
              <w:bottom w:val="single" w:sz="4" w:space="0" w:color="auto"/>
              <w:right w:val="nil"/>
            </w:tcBorders>
            <w:shd w:val="clear" w:color="000000" w:fill="FFFFFF"/>
            <w:noWrap/>
            <w:vAlign w:val="center"/>
            <w:hideMark/>
          </w:tcPr>
          <w:p w14:paraId="04BCCEE4" w14:textId="77777777" w:rsidR="00DD0224" w:rsidRPr="006145AF" w:rsidRDefault="00DD0224" w:rsidP="000C4530">
            <w:pPr>
              <w:pStyle w:val="NoSpacing"/>
              <w:ind w:left="720"/>
              <w:contextualSpacing/>
              <w:rPr>
                <w:rFonts w:cs="Times New Roman"/>
                <w:lang w:eastAsia="en-GB"/>
              </w:rPr>
            </w:pPr>
            <w:r w:rsidRPr="006145AF">
              <w:rPr>
                <w:rFonts w:cs="Times New Roman"/>
                <w:lang w:eastAsia="en-GB"/>
              </w:rPr>
              <w:t>Terminal care cost</w:t>
            </w:r>
          </w:p>
        </w:tc>
        <w:tc>
          <w:tcPr>
            <w:tcW w:w="1491" w:type="pct"/>
            <w:tcBorders>
              <w:top w:val="nil"/>
              <w:left w:val="nil"/>
              <w:bottom w:val="single" w:sz="4" w:space="0" w:color="auto"/>
              <w:right w:val="nil"/>
            </w:tcBorders>
            <w:shd w:val="clear" w:color="000000" w:fill="FFFFFF"/>
            <w:noWrap/>
            <w:vAlign w:val="center"/>
            <w:hideMark/>
          </w:tcPr>
          <w:p w14:paraId="5A59B7D3" w14:textId="5B823174" w:rsidR="00DD0224" w:rsidRPr="006145AF" w:rsidRDefault="001D682F" w:rsidP="000C4530">
            <w:pPr>
              <w:pStyle w:val="NoSpacing"/>
              <w:contextualSpacing/>
              <w:rPr>
                <w:rFonts w:cs="Times New Roman"/>
                <w:lang w:eastAsia="en-GB"/>
              </w:rPr>
            </w:pPr>
            <w:r>
              <w:rPr>
                <w:rFonts w:cs="Times New Roman"/>
                <w:lang w:eastAsia="en-GB"/>
              </w:rPr>
              <w:t>£</w:t>
            </w:r>
            <w:r w:rsidR="00DD0224" w:rsidRPr="006145AF">
              <w:rPr>
                <w:rFonts w:cs="Times New Roman"/>
                <w:lang w:eastAsia="en-GB"/>
              </w:rPr>
              <w:t>6878</w:t>
            </w:r>
            <w:r w:rsidR="00B43FEB">
              <w:rPr>
                <w:rFonts w:cs="Times New Roman"/>
                <w:lang w:eastAsia="en-GB"/>
              </w:rPr>
              <w:t xml:space="preserve"> (one-off cost)</w:t>
            </w:r>
          </w:p>
        </w:tc>
        <w:tc>
          <w:tcPr>
            <w:tcW w:w="172" w:type="pct"/>
            <w:tcBorders>
              <w:top w:val="nil"/>
              <w:left w:val="nil"/>
              <w:bottom w:val="single" w:sz="4" w:space="0" w:color="auto"/>
              <w:right w:val="nil"/>
            </w:tcBorders>
            <w:shd w:val="clear" w:color="auto" w:fill="auto"/>
            <w:vAlign w:val="center"/>
          </w:tcPr>
          <w:p w14:paraId="3EEDFFEE" w14:textId="77777777" w:rsidR="00DD0224" w:rsidRPr="006145AF" w:rsidRDefault="00DD0224" w:rsidP="000C4530">
            <w:pPr>
              <w:pStyle w:val="NoSpacing"/>
              <w:contextualSpacing/>
              <w:rPr>
                <w:rFonts w:cs="Times New Roman"/>
                <w:lang w:eastAsia="en-GB"/>
              </w:rPr>
            </w:pPr>
          </w:p>
        </w:tc>
        <w:tc>
          <w:tcPr>
            <w:tcW w:w="1396" w:type="pct"/>
            <w:tcBorders>
              <w:top w:val="nil"/>
              <w:left w:val="nil"/>
              <w:bottom w:val="single" w:sz="4" w:space="0" w:color="auto"/>
              <w:right w:val="single" w:sz="4" w:space="0" w:color="auto"/>
            </w:tcBorders>
            <w:shd w:val="clear" w:color="auto" w:fill="auto"/>
            <w:noWrap/>
            <w:vAlign w:val="center"/>
            <w:hideMark/>
          </w:tcPr>
          <w:p w14:paraId="4B8024FA" w14:textId="77777777" w:rsidR="00DD0224" w:rsidRPr="006145AF" w:rsidRDefault="00DD0224" w:rsidP="000C4530">
            <w:pPr>
              <w:pStyle w:val="NoSpacing"/>
              <w:contextualSpacing/>
              <w:rPr>
                <w:rFonts w:cs="Times New Roman"/>
                <w:lang w:eastAsia="en-GB"/>
              </w:rPr>
            </w:pPr>
            <w:r w:rsidRPr="006145AF">
              <w:rPr>
                <w:rFonts w:cs="Times New Roman"/>
                <w:lang w:eastAsia="en-GB"/>
              </w:rPr>
              <w:t>-</w:t>
            </w:r>
          </w:p>
        </w:tc>
      </w:tr>
      <w:tr w:rsidR="00E60C45" w:rsidRPr="000D06E5" w14:paraId="5C910376" w14:textId="77777777" w:rsidTr="00E60C45">
        <w:trPr>
          <w:trHeight w:val="300"/>
        </w:trPr>
        <w:tc>
          <w:tcPr>
            <w:tcW w:w="5000" w:type="pct"/>
            <w:gridSpan w:val="4"/>
            <w:tcBorders>
              <w:top w:val="single" w:sz="4" w:space="0" w:color="auto"/>
            </w:tcBorders>
            <w:shd w:val="clear" w:color="000000" w:fill="FFFFFF"/>
            <w:noWrap/>
            <w:vAlign w:val="center"/>
          </w:tcPr>
          <w:p w14:paraId="03F851A2" w14:textId="05809CF5" w:rsidR="00E60C45" w:rsidRDefault="00E60C45" w:rsidP="00EC11CD">
            <w:pPr>
              <w:contextualSpacing/>
              <w:rPr>
                <w:sz w:val="18"/>
              </w:rPr>
            </w:pPr>
            <w:r>
              <w:rPr>
                <w:sz w:val="18"/>
              </w:rPr>
              <w:t>*</w:t>
            </w:r>
            <w:r w:rsidRPr="00EC11CD">
              <w:rPr>
                <w:sz w:val="18"/>
              </w:rPr>
              <w:t>It is assumed the survival function of responders and non-responders follows an exponential distribution</w:t>
            </w:r>
          </w:p>
          <w:p w14:paraId="1DE10532" w14:textId="1AD536D5" w:rsidR="00E60C45" w:rsidRPr="006145AF" w:rsidRDefault="0036567E" w:rsidP="00D26E6E">
            <w:pPr>
              <w:contextualSpacing/>
              <w:rPr>
                <w:rFonts w:cs="Times New Roman"/>
                <w:lang w:eastAsia="en-GB"/>
              </w:rPr>
            </w:pPr>
            <w:r>
              <w:rPr>
                <w:sz w:val="18"/>
              </w:rPr>
              <w:t xml:space="preserve">**Health state costs are assumed to be the cost of care excluding treatment costs per individual per month </w:t>
            </w:r>
          </w:p>
        </w:tc>
      </w:tr>
    </w:tbl>
    <w:p w14:paraId="62DBD940" w14:textId="43EF3176" w:rsidR="00DD0224" w:rsidRPr="00DD0224" w:rsidRDefault="00044DBF" w:rsidP="00DD0224">
      <w:r>
        <w:t>The m</w:t>
      </w:r>
      <w:r w:rsidR="00DD0224">
        <w:t xml:space="preserve">odel results are based on a </w:t>
      </w:r>
      <w:r w:rsidR="00DD0224" w:rsidRPr="00556DC5">
        <w:t>probabilistic sensitivity analysis (PSA)</w:t>
      </w:r>
      <w:r w:rsidR="00DD0224">
        <w:t xml:space="preserve">, which was implemented </w:t>
      </w:r>
      <w:r w:rsidR="00DD0224" w:rsidRPr="00556DC5">
        <w:t xml:space="preserve">using 10,000 samples. </w:t>
      </w:r>
    </w:p>
    <w:p w14:paraId="1F390C6F" w14:textId="00A546E6" w:rsidR="00C30606" w:rsidRDefault="00C30606" w:rsidP="00EC11CD">
      <w:pPr>
        <w:pStyle w:val="Heading2"/>
      </w:pPr>
      <w:bookmarkStart w:id="227" w:name="_Toc33776229"/>
      <w:r>
        <w:t>Histology specific ICERs and overall cost</w:t>
      </w:r>
      <w:r w:rsidR="00143EB5">
        <w:t>-</w:t>
      </w:r>
      <w:r>
        <w:t>effectiveness</w:t>
      </w:r>
      <w:bookmarkEnd w:id="227"/>
    </w:p>
    <w:p w14:paraId="3F93974F" w14:textId="20B13C10" w:rsidR="004A2024" w:rsidRDefault="00725F63" w:rsidP="008C3153">
      <w:r>
        <w:t xml:space="preserve">The case study starts with an </w:t>
      </w:r>
      <w:r w:rsidR="0017332D">
        <w:t>assessment</w:t>
      </w:r>
      <w:r>
        <w:t xml:space="preserve"> of cost-effectiveness based on the trial population and exclud</w:t>
      </w:r>
      <w:r w:rsidR="001C632C">
        <w:t xml:space="preserve">es </w:t>
      </w:r>
      <w:r>
        <w:t xml:space="preserve">testing costs. </w:t>
      </w:r>
      <w:r w:rsidR="004A2024">
        <w:t>Issues around the generalisability of the trial population and the impact of including testing costs are then explored</w:t>
      </w:r>
      <w:r w:rsidR="00044DBF">
        <w:t>.</w:t>
      </w:r>
    </w:p>
    <w:p w14:paraId="19C0A0D6" w14:textId="767D1B00" w:rsidR="008C3153" w:rsidRDefault="008C65BF" w:rsidP="008C3153">
      <w:r>
        <w:fldChar w:fldCharType="begin"/>
      </w:r>
      <w:r>
        <w:instrText xml:space="preserve"> REF _Ref30599759 \h </w:instrText>
      </w:r>
      <w:r>
        <w:fldChar w:fldCharType="separate"/>
      </w:r>
      <w:r w:rsidR="00C9471F">
        <w:t xml:space="preserve">Table </w:t>
      </w:r>
      <w:r w:rsidR="00C9471F">
        <w:rPr>
          <w:noProof/>
        </w:rPr>
        <w:t>24</w:t>
      </w:r>
      <w:r>
        <w:fldChar w:fldCharType="end"/>
      </w:r>
      <w:r>
        <w:t xml:space="preserve"> </w:t>
      </w:r>
      <w:r w:rsidR="00340B4B">
        <w:t xml:space="preserve">presents the mean total costs, </w:t>
      </w:r>
      <w:r w:rsidR="008C3153">
        <w:t>QALYs</w:t>
      </w:r>
      <w:r w:rsidR="00340B4B">
        <w:t xml:space="preserve"> and ICERs</w:t>
      </w:r>
      <w:r w:rsidR="008C3153">
        <w:t xml:space="preserve"> associated with the histology-independent technology (Drug X) and </w:t>
      </w:r>
      <w:r w:rsidR="008C3153" w:rsidRPr="003F12BF">
        <w:t>SoC for</w:t>
      </w:r>
      <w:r w:rsidR="008C3153">
        <w:t xml:space="preserve"> each histology included in the trial. Mean survival with the SoC is less than two years for all individual histologies and Drug X is expected to increase life expectancy by </w:t>
      </w:r>
      <w:r w:rsidR="008C3153">
        <w:lastRenderedPageBreak/>
        <w:t>greater than 3 months. This suggests that the end of life criteria has been met and so the ICER for all histologies should be compared against a</w:t>
      </w:r>
      <w:r w:rsidR="001C632C">
        <w:t xml:space="preserve"> maximum</w:t>
      </w:r>
      <w:r w:rsidR="008C3153">
        <w:t xml:space="preserve"> threshold of £50,000 per </w:t>
      </w:r>
      <w:r w:rsidR="00DB6E40">
        <w:t xml:space="preserve">additional </w:t>
      </w:r>
      <w:r w:rsidR="008C3153">
        <w:t>QALY.</w:t>
      </w:r>
      <w:r w:rsidR="006F7FD7">
        <w:fldChar w:fldCharType="begin"/>
      </w:r>
      <w:r w:rsidR="006F7FD7">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rsidR="006F7FD7">
        <w:fldChar w:fldCharType="separate"/>
      </w:r>
      <w:r w:rsidR="006F7FD7" w:rsidRPr="006F7FD7">
        <w:rPr>
          <w:noProof/>
          <w:vertAlign w:val="superscript"/>
        </w:rPr>
        <w:t>4</w:t>
      </w:r>
      <w:r w:rsidR="006F7FD7">
        <w:fldChar w:fldCharType="end"/>
      </w:r>
    </w:p>
    <w:p w14:paraId="6DF746E2" w14:textId="75CEE34B" w:rsidR="008C3153" w:rsidRDefault="008C3153" w:rsidP="008C3153">
      <w:r>
        <w:t>T</w:t>
      </w:r>
      <w:r w:rsidRPr="00721F18">
        <w:t>he ICER</w:t>
      </w:r>
      <w:r>
        <w:t>s</w:t>
      </w:r>
      <w:r w:rsidRPr="00721F18">
        <w:t xml:space="preserve"> </w:t>
      </w:r>
      <w:r>
        <w:t xml:space="preserve">estimated </w:t>
      </w:r>
      <w:r w:rsidRPr="00721F18">
        <w:t xml:space="preserve">for </w:t>
      </w:r>
      <w:r>
        <w:t xml:space="preserve">the individual histologies range from £27,213 to £37,930 </w:t>
      </w:r>
      <w:r w:rsidR="00076767">
        <w:t>per QALY gain</w:t>
      </w:r>
      <w:r w:rsidR="00754B8C">
        <w:t>ed.</w:t>
      </w:r>
      <w:r>
        <w:t xml:space="preserve">  </w:t>
      </w:r>
      <w:r w:rsidR="00835CE8">
        <w:t>T</w:t>
      </w:r>
      <w:r>
        <w:t>he large differences in response rates</w:t>
      </w:r>
      <w:r w:rsidR="00DB6E40">
        <w:t xml:space="preserve">, </w:t>
      </w:r>
      <w:r>
        <w:t>ranging between 29.9% and 93.3%</w:t>
      </w:r>
      <w:r w:rsidR="00DB6E40">
        <w:t xml:space="preserve">, </w:t>
      </w:r>
      <w:r>
        <w:t xml:space="preserve">appear to have only a moderate effect on the ICER estimates reported across individual histology sites. The reason for this is that the overall cost of Drug X is </w:t>
      </w:r>
      <w:r w:rsidR="0063483A">
        <w:t xml:space="preserve">assumed to be </w:t>
      </w:r>
      <w:r>
        <w:t xml:space="preserve">closely related to the </w:t>
      </w:r>
      <w:r w:rsidR="004A2024">
        <w:t xml:space="preserve">expected survival </w:t>
      </w:r>
      <w:r>
        <w:t xml:space="preserve">outcomes of treatment, specifically the duration of </w:t>
      </w:r>
      <w:r w:rsidR="00044DBF">
        <w:t xml:space="preserve">PFS. </w:t>
      </w:r>
      <w:r>
        <w:t xml:space="preserve">As the response rate increases (or decreases), the duration of treatment also increases (or decreases) such that the total cost of the treatment is closely related to the </w:t>
      </w:r>
      <w:r w:rsidR="004A2024">
        <w:t xml:space="preserve">expected survival </w:t>
      </w:r>
      <w:r>
        <w:t xml:space="preserve">outcomes. For treatment regimens which are given for a fixed duration, as opposed to a treat until disease progression (or unacceptable toxicity) strategy, the impact of heterogeneity in the response data would be expected to have a greater impact on the ICER estimates across individual histologies. </w:t>
      </w:r>
      <w:r w:rsidR="004A2024">
        <w:t xml:space="preserve">Similarly, in situations in which heterogeneity in the surrogate relationship is also </w:t>
      </w:r>
      <w:r w:rsidR="0063483A">
        <w:t>evident</w:t>
      </w:r>
      <w:r w:rsidR="004C4AE9">
        <w:t xml:space="preserve"> across tumour sites</w:t>
      </w:r>
      <w:r w:rsidR="004A2024">
        <w:t xml:space="preserve">, a greater impact on the ICER </w:t>
      </w:r>
      <w:r w:rsidR="0063483A">
        <w:t>estimates across individual histolog</w:t>
      </w:r>
      <w:r w:rsidR="0017332D">
        <w:t>ies</w:t>
      </w:r>
      <w:r w:rsidR="0063483A">
        <w:t xml:space="preserve"> </w:t>
      </w:r>
      <w:r w:rsidR="004A2024">
        <w:t xml:space="preserve">would be expected. </w:t>
      </w:r>
    </w:p>
    <w:p w14:paraId="426747BC" w14:textId="7ECDF169" w:rsidR="008C3153" w:rsidRDefault="008C3153" w:rsidP="008C3153">
      <w:pPr>
        <w:pStyle w:val="Caption"/>
      </w:pPr>
      <w:bookmarkStart w:id="228" w:name="_Ref30599759"/>
      <w:bookmarkStart w:id="229" w:name="_Toc34033538"/>
      <w:r>
        <w:lastRenderedPageBreak/>
        <w:t xml:space="preserve">Table </w:t>
      </w:r>
      <w:r w:rsidR="00C974E5">
        <w:fldChar w:fldCharType="begin"/>
      </w:r>
      <w:r w:rsidR="00C974E5">
        <w:instrText xml:space="preserve"> </w:instrText>
      </w:r>
      <w:r w:rsidR="00C974E5">
        <w:instrText xml:space="preserve">SEQ Table \* ARABIC </w:instrText>
      </w:r>
      <w:r w:rsidR="00C974E5">
        <w:fldChar w:fldCharType="separate"/>
      </w:r>
      <w:r w:rsidR="00C9471F">
        <w:rPr>
          <w:noProof/>
        </w:rPr>
        <w:t>24</w:t>
      </w:r>
      <w:r w:rsidR="00C974E5">
        <w:rPr>
          <w:noProof/>
        </w:rPr>
        <w:fldChar w:fldCharType="end"/>
      </w:r>
      <w:bookmarkEnd w:id="228"/>
      <w:r w:rsidR="008C7423">
        <w:rPr>
          <w:noProof/>
        </w:rPr>
        <w:t>:</w:t>
      </w:r>
      <w:r>
        <w:t xml:space="preserve"> Histology specific incremental cost</w:t>
      </w:r>
      <w:r w:rsidR="00725F63">
        <w:t>-</w:t>
      </w:r>
      <w:r>
        <w:t>effectiveness ratios (ICERs)</w:t>
      </w:r>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329"/>
        <w:gridCol w:w="1538"/>
        <w:gridCol w:w="1275"/>
        <w:gridCol w:w="1538"/>
      </w:tblGrid>
      <w:tr w:rsidR="008C3153" w:rsidRPr="00806261" w14:paraId="59624B46" w14:textId="77777777" w:rsidTr="008C3153">
        <w:trPr>
          <w:trHeight w:val="684"/>
        </w:trPr>
        <w:tc>
          <w:tcPr>
            <w:tcW w:w="1850" w:type="pct"/>
            <w:shd w:val="clear" w:color="000000" w:fill="FFFFFF"/>
            <w:noWrap/>
            <w:vAlign w:val="center"/>
            <w:hideMark/>
          </w:tcPr>
          <w:p w14:paraId="0F37C60D" w14:textId="77777777" w:rsidR="008C3153" w:rsidRPr="00717B9D" w:rsidRDefault="008C3153" w:rsidP="008C3153">
            <w:pPr>
              <w:keepNext/>
              <w:keepLines/>
              <w:spacing w:after="0" w:line="240" w:lineRule="auto"/>
              <w:contextualSpacing/>
              <w:jc w:val="center"/>
              <w:rPr>
                <w:rFonts w:eastAsia="Times New Roman" w:cs="Times New Roman"/>
                <w:b/>
                <w:color w:val="000000"/>
                <w:lang w:eastAsia="en-GB"/>
              </w:rPr>
            </w:pPr>
            <w:r w:rsidRPr="00717B9D">
              <w:rPr>
                <w:rFonts w:eastAsia="Times New Roman" w:cs="Times New Roman"/>
                <w:b/>
                <w:color w:val="000000"/>
                <w:lang w:eastAsia="en-GB"/>
              </w:rPr>
              <w:t>Subgroup</w:t>
            </w:r>
          </w:p>
        </w:tc>
        <w:tc>
          <w:tcPr>
            <w:tcW w:w="2297" w:type="pct"/>
            <w:gridSpan w:val="3"/>
            <w:shd w:val="clear" w:color="000000" w:fill="FFFFFF"/>
            <w:vAlign w:val="center"/>
            <w:hideMark/>
          </w:tcPr>
          <w:p w14:paraId="69B59086" w14:textId="77777777" w:rsidR="008C3153" w:rsidRPr="00717B9D" w:rsidRDefault="008C3153" w:rsidP="008C3153">
            <w:pPr>
              <w:keepNext/>
              <w:keepLines/>
              <w:spacing w:after="0" w:line="240" w:lineRule="auto"/>
              <w:contextualSpacing/>
              <w:jc w:val="center"/>
              <w:rPr>
                <w:rFonts w:eastAsia="Times New Roman" w:cs="Times New Roman"/>
                <w:b/>
                <w:color w:val="000000"/>
                <w:lang w:eastAsia="en-GB"/>
              </w:rPr>
            </w:pPr>
            <w:r w:rsidRPr="00717B9D">
              <w:rPr>
                <w:rFonts w:eastAsia="Times New Roman" w:cs="Times New Roman"/>
                <w:b/>
                <w:color w:val="000000"/>
                <w:lang w:eastAsia="en-GB"/>
              </w:rPr>
              <w:t>Per-patient level</w:t>
            </w:r>
          </w:p>
        </w:tc>
        <w:tc>
          <w:tcPr>
            <w:tcW w:w="853" w:type="pct"/>
            <w:shd w:val="clear" w:color="000000" w:fill="FFFFFF"/>
            <w:vAlign w:val="center"/>
            <w:hideMark/>
          </w:tcPr>
          <w:p w14:paraId="75766089" w14:textId="77777777" w:rsidR="008C3153" w:rsidRPr="00717B9D" w:rsidRDefault="008C3153" w:rsidP="008C3153">
            <w:pPr>
              <w:keepNext/>
              <w:keepLines/>
              <w:spacing w:after="0" w:line="240" w:lineRule="auto"/>
              <w:contextualSpacing/>
              <w:rPr>
                <w:rFonts w:eastAsia="Times New Roman" w:cs="Times New Roman"/>
                <w:color w:val="000000"/>
                <w:lang w:eastAsia="en-GB"/>
              </w:rPr>
            </w:pPr>
            <w:r w:rsidRPr="00717B9D">
              <w:rPr>
                <w:rFonts w:eastAsia="Times New Roman" w:cs="Times New Roman"/>
                <w:color w:val="000000"/>
                <w:lang w:eastAsia="en-GB"/>
              </w:rPr>
              <w:t> </w:t>
            </w:r>
          </w:p>
        </w:tc>
      </w:tr>
      <w:tr w:rsidR="008C3153" w:rsidRPr="00806261" w14:paraId="273B0468" w14:textId="77777777" w:rsidTr="008C3153">
        <w:trPr>
          <w:trHeight w:val="292"/>
        </w:trPr>
        <w:tc>
          <w:tcPr>
            <w:tcW w:w="1850" w:type="pct"/>
            <w:shd w:val="clear" w:color="000000" w:fill="FFFFFF"/>
            <w:noWrap/>
            <w:vAlign w:val="bottom"/>
            <w:hideMark/>
          </w:tcPr>
          <w:p w14:paraId="2AEE9EAA" w14:textId="77777777" w:rsidR="008C3153" w:rsidRPr="00717B9D" w:rsidRDefault="008C3153" w:rsidP="008C3153">
            <w:pPr>
              <w:keepNext/>
              <w:keepLines/>
              <w:spacing w:after="0" w:line="240" w:lineRule="auto"/>
              <w:contextualSpacing/>
              <w:rPr>
                <w:rFonts w:eastAsia="Times New Roman" w:cs="Times New Roman"/>
                <w:color w:val="000000"/>
                <w:lang w:eastAsia="en-GB"/>
              </w:rPr>
            </w:pPr>
            <w:r w:rsidRPr="00717B9D">
              <w:rPr>
                <w:rFonts w:eastAsia="Times New Roman" w:cs="Times New Roman"/>
                <w:color w:val="000000"/>
                <w:lang w:eastAsia="en-GB"/>
              </w:rPr>
              <w:t> </w:t>
            </w:r>
          </w:p>
        </w:tc>
        <w:tc>
          <w:tcPr>
            <w:tcW w:w="737" w:type="pct"/>
            <w:shd w:val="clear" w:color="000000" w:fill="FFFFFF"/>
            <w:vAlign w:val="center"/>
            <w:hideMark/>
          </w:tcPr>
          <w:p w14:paraId="1F499842" w14:textId="77777777" w:rsidR="008C3153" w:rsidRPr="00717B9D" w:rsidRDefault="008C3153" w:rsidP="008C3153">
            <w:pPr>
              <w:keepNext/>
              <w:keepLines/>
              <w:spacing w:after="0" w:line="240" w:lineRule="auto"/>
              <w:contextualSpacing/>
              <w:rPr>
                <w:rFonts w:eastAsia="Times New Roman" w:cs="Times New Roman"/>
                <w:color w:val="000000"/>
                <w:lang w:eastAsia="en-GB"/>
              </w:rPr>
            </w:pPr>
            <w:r w:rsidRPr="00717B9D">
              <w:rPr>
                <w:rFonts w:eastAsia="Times New Roman" w:cs="Times New Roman"/>
                <w:color w:val="000000"/>
                <w:lang w:eastAsia="en-GB"/>
              </w:rPr>
              <w:t> </w:t>
            </w:r>
          </w:p>
        </w:tc>
        <w:tc>
          <w:tcPr>
            <w:tcW w:w="853" w:type="pct"/>
            <w:shd w:val="clear" w:color="000000" w:fill="FFFFFF"/>
            <w:vAlign w:val="center"/>
            <w:hideMark/>
          </w:tcPr>
          <w:p w14:paraId="6562CDCD" w14:textId="77777777" w:rsidR="008C3153" w:rsidRPr="00717B9D" w:rsidRDefault="008C3153" w:rsidP="008C3153">
            <w:pPr>
              <w:keepNext/>
              <w:keepLines/>
              <w:spacing w:after="0" w:line="240" w:lineRule="auto"/>
              <w:contextualSpacing/>
              <w:jc w:val="center"/>
              <w:rPr>
                <w:rFonts w:eastAsia="Times New Roman" w:cs="Times New Roman"/>
                <w:b/>
                <w:color w:val="000000"/>
                <w:lang w:eastAsia="en-GB"/>
              </w:rPr>
            </w:pPr>
            <w:r w:rsidRPr="00717B9D">
              <w:rPr>
                <w:rFonts w:eastAsia="Times New Roman" w:cs="Times New Roman"/>
                <w:b/>
                <w:color w:val="000000"/>
                <w:lang w:eastAsia="en-GB"/>
              </w:rPr>
              <w:t>Cost</w:t>
            </w:r>
          </w:p>
        </w:tc>
        <w:tc>
          <w:tcPr>
            <w:tcW w:w="706" w:type="pct"/>
            <w:shd w:val="clear" w:color="000000" w:fill="FFFFFF"/>
            <w:vAlign w:val="center"/>
            <w:hideMark/>
          </w:tcPr>
          <w:p w14:paraId="1A7E29A9" w14:textId="77777777" w:rsidR="008C3153" w:rsidRPr="00717B9D" w:rsidRDefault="008C3153" w:rsidP="008C3153">
            <w:pPr>
              <w:keepNext/>
              <w:keepLines/>
              <w:spacing w:after="0" w:line="240" w:lineRule="auto"/>
              <w:contextualSpacing/>
              <w:jc w:val="center"/>
              <w:rPr>
                <w:rFonts w:eastAsia="Times New Roman" w:cs="Times New Roman"/>
                <w:b/>
                <w:color w:val="000000"/>
                <w:lang w:eastAsia="en-GB"/>
              </w:rPr>
            </w:pPr>
            <w:r w:rsidRPr="00717B9D">
              <w:rPr>
                <w:rFonts w:eastAsia="Times New Roman" w:cs="Times New Roman"/>
                <w:b/>
                <w:color w:val="000000"/>
                <w:lang w:eastAsia="en-GB"/>
              </w:rPr>
              <w:t>QALYs</w:t>
            </w:r>
          </w:p>
        </w:tc>
        <w:tc>
          <w:tcPr>
            <w:tcW w:w="853" w:type="pct"/>
            <w:shd w:val="clear" w:color="000000" w:fill="FFFFFF"/>
            <w:vAlign w:val="center"/>
            <w:hideMark/>
          </w:tcPr>
          <w:p w14:paraId="7510F95B" w14:textId="77777777" w:rsidR="008C3153" w:rsidRPr="00717B9D" w:rsidRDefault="008C3153" w:rsidP="008C3153">
            <w:pPr>
              <w:keepNext/>
              <w:keepLines/>
              <w:spacing w:after="0" w:line="240" w:lineRule="auto"/>
              <w:contextualSpacing/>
              <w:jc w:val="center"/>
              <w:rPr>
                <w:rFonts w:eastAsia="Times New Roman" w:cs="Times New Roman"/>
                <w:b/>
                <w:color w:val="000000"/>
                <w:lang w:eastAsia="en-GB"/>
              </w:rPr>
            </w:pPr>
            <w:r w:rsidRPr="00717B9D">
              <w:rPr>
                <w:rFonts w:eastAsia="Times New Roman" w:cs="Times New Roman"/>
                <w:b/>
                <w:color w:val="000000"/>
                <w:lang w:eastAsia="en-GB"/>
              </w:rPr>
              <w:t>ICER</w:t>
            </w:r>
          </w:p>
        </w:tc>
      </w:tr>
      <w:tr w:rsidR="008C3153" w:rsidRPr="00806261" w14:paraId="2B6F73AC" w14:textId="77777777" w:rsidTr="008C3153">
        <w:trPr>
          <w:trHeight w:val="292"/>
        </w:trPr>
        <w:tc>
          <w:tcPr>
            <w:tcW w:w="1850" w:type="pct"/>
            <w:vMerge w:val="restart"/>
            <w:shd w:val="clear" w:color="000000" w:fill="FFFFFF"/>
            <w:noWrap/>
            <w:vAlign w:val="center"/>
            <w:hideMark/>
          </w:tcPr>
          <w:p w14:paraId="1E24D66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Sarcoma</w:t>
            </w:r>
          </w:p>
        </w:tc>
        <w:tc>
          <w:tcPr>
            <w:tcW w:w="737" w:type="pct"/>
            <w:shd w:val="clear" w:color="000000" w:fill="FFFFFF"/>
            <w:noWrap/>
            <w:vAlign w:val="center"/>
            <w:hideMark/>
          </w:tcPr>
          <w:p w14:paraId="06433333"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5B0FDAF5"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£61,314</w:t>
            </w:r>
          </w:p>
        </w:tc>
        <w:tc>
          <w:tcPr>
            <w:tcW w:w="706" w:type="pct"/>
            <w:shd w:val="clear" w:color="000000" w:fill="FFFFFF"/>
            <w:noWrap/>
            <w:vAlign w:val="center"/>
            <w:hideMark/>
          </w:tcPr>
          <w:p w14:paraId="0A4FC206"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2.70</w:t>
            </w:r>
          </w:p>
        </w:tc>
        <w:tc>
          <w:tcPr>
            <w:tcW w:w="853" w:type="pct"/>
            <w:shd w:val="clear" w:color="000000" w:fill="FFFFFF"/>
            <w:noWrap/>
            <w:vAlign w:val="center"/>
            <w:hideMark/>
          </w:tcPr>
          <w:p w14:paraId="30D30B90"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£27,520</w:t>
            </w:r>
          </w:p>
        </w:tc>
      </w:tr>
      <w:tr w:rsidR="008C3153" w:rsidRPr="00806261" w14:paraId="0FB4AE7F" w14:textId="77777777" w:rsidTr="008C3153">
        <w:trPr>
          <w:trHeight w:val="292"/>
        </w:trPr>
        <w:tc>
          <w:tcPr>
            <w:tcW w:w="1850" w:type="pct"/>
            <w:vMerge/>
            <w:vAlign w:val="center"/>
            <w:hideMark/>
          </w:tcPr>
          <w:p w14:paraId="6DB55796"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60EE07F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26B5170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0C404DA5"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19EF62F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36DD86CC" w14:textId="77777777" w:rsidTr="008C3153">
        <w:trPr>
          <w:trHeight w:val="292"/>
        </w:trPr>
        <w:tc>
          <w:tcPr>
            <w:tcW w:w="1850" w:type="pct"/>
            <w:vMerge w:val="restart"/>
            <w:shd w:val="clear" w:color="000000" w:fill="FFFFFF"/>
            <w:noWrap/>
            <w:vAlign w:val="center"/>
            <w:hideMark/>
          </w:tcPr>
          <w:p w14:paraId="2196EEE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Salivary</w:t>
            </w:r>
          </w:p>
        </w:tc>
        <w:tc>
          <w:tcPr>
            <w:tcW w:w="737" w:type="pct"/>
            <w:shd w:val="clear" w:color="000000" w:fill="FFFFFF"/>
            <w:noWrap/>
            <w:vAlign w:val="center"/>
            <w:hideMark/>
          </w:tcPr>
          <w:p w14:paraId="36586A5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78F5461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£58,697</w:t>
            </w:r>
          </w:p>
        </w:tc>
        <w:tc>
          <w:tcPr>
            <w:tcW w:w="706" w:type="pct"/>
            <w:shd w:val="clear" w:color="000000" w:fill="FFFFFF"/>
            <w:noWrap/>
            <w:vAlign w:val="center"/>
            <w:hideMark/>
          </w:tcPr>
          <w:p w14:paraId="748E545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2.58</w:t>
            </w:r>
          </w:p>
        </w:tc>
        <w:tc>
          <w:tcPr>
            <w:tcW w:w="853" w:type="pct"/>
            <w:shd w:val="clear" w:color="000000" w:fill="FFFFFF"/>
            <w:noWrap/>
            <w:vAlign w:val="center"/>
            <w:hideMark/>
          </w:tcPr>
          <w:p w14:paraId="1347719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£27,969</w:t>
            </w:r>
          </w:p>
        </w:tc>
      </w:tr>
      <w:tr w:rsidR="008C3153" w:rsidRPr="00806261" w14:paraId="1B834DFC" w14:textId="77777777" w:rsidTr="008C3153">
        <w:trPr>
          <w:trHeight w:val="292"/>
        </w:trPr>
        <w:tc>
          <w:tcPr>
            <w:tcW w:w="1850" w:type="pct"/>
            <w:vMerge/>
            <w:vAlign w:val="center"/>
            <w:hideMark/>
          </w:tcPr>
          <w:p w14:paraId="6B890AE3"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03738AF3"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02A62FB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3C817C76"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4E9093C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32E6433F" w14:textId="77777777" w:rsidTr="008C3153">
        <w:trPr>
          <w:trHeight w:val="292"/>
        </w:trPr>
        <w:tc>
          <w:tcPr>
            <w:tcW w:w="1850" w:type="pct"/>
            <w:vMerge w:val="restart"/>
            <w:shd w:val="clear" w:color="000000" w:fill="FFFFFF"/>
            <w:noWrap/>
            <w:vAlign w:val="center"/>
            <w:hideMark/>
          </w:tcPr>
          <w:p w14:paraId="1753719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IFS</w:t>
            </w:r>
          </w:p>
        </w:tc>
        <w:tc>
          <w:tcPr>
            <w:tcW w:w="737" w:type="pct"/>
            <w:shd w:val="clear" w:color="000000" w:fill="FFFFFF"/>
            <w:noWrap/>
            <w:vAlign w:val="center"/>
            <w:hideMark/>
          </w:tcPr>
          <w:p w14:paraId="7739C52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7E4C9F4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£63,332</w:t>
            </w:r>
          </w:p>
        </w:tc>
        <w:tc>
          <w:tcPr>
            <w:tcW w:w="706" w:type="pct"/>
            <w:shd w:val="clear" w:color="000000" w:fill="FFFFFF"/>
            <w:noWrap/>
            <w:vAlign w:val="center"/>
            <w:hideMark/>
          </w:tcPr>
          <w:p w14:paraId="5C87B020"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2.79</w:t>
            </w:r>
          </w:p>
        </w:tc>
        <w:tc>
          <w:tcPr>
            <w:tcW w:w="853" w:type="pct"/>
            <w:shd w:val="clear" w:color="000000" w:fill="FFFFFF"/>
            <w:noWrap/>
            <w:vAlign w:val="center"/>
            <w:hideMark/>
          </w:tcPr>
          <w:p w14:paraId="5C7C982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£27,213</w:t>
            </w:r>
          </w:p>
        </w:tc>
      </w:tr>
      <w:tr w:rsidR="008C3153" w:rsidRPr="00806261" w14:paraId="3AFC7A7A" w14:textId="77777777" w:rsidTr="008C3153">
        <w:trPr>
          <w:trHeight w:val="292"/>
        </w:trPr>
        <w:tc>
          <w:tcPr>
            <w:tcW w:w="1850" w:type="pct"/>
            <w:vMerge/>
            <w:vAlign w:val="center"/>
            <w:hideMark/>
          </w:tcPr>
          <w:p w14:paraId="46AEA65F"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3531663A"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432B7F2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76B920C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372C566E"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09204F7F" w14:textId="77777777" w:rsidTr="008C3153">
        <w:trPr>
          <w:trHeight w:val="292"/>
        </w:trPr>
        <w:tc>
          <w:tcPr>
            <w:tcW w:w="1850" w:type="pct"/>
            <w:vMerge w:val="restart"/>
            <w:shd w:val="clear" w:color="000000" w:fill="FFFFFF"/>
            <w:noWrap/>
            <w:vAlign w:val="center"/>
            <w:hideMark/>
          </w:tcPr>
          <w:p w14:paraId="02F35CDC"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Thyroid</w:t>
            </w:r>
          </w:p>
        </w:tc>
        <w:tc>
          <w:tcPr>
            <w:tcW w:w="737" w:type="pct"/>
            <w:shd w:val="clear" w:color="000000" w:fill="FFFFFF"/>
            <w:noWrap/>
            <w:vAlign w:val="center"/>
            <w:hideMark/>
          </w:tcPr>
          <w:p w14:paraId="4D3E22C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63C9621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£62,615</w:t>
            </w:r>
          </w:p>
        </w:tc>
        <w:tc>
          <w:tcPr>
            <w:tcW w:w="706" w:type="pct"/>
            <w:shd w:val="clear" w:color="000000" w:fill="FFFFFF"/>
            <w:noWrap/>
            <w:vAlign w:val="center"/>
            <w:hideMark/>
          </w:tcPr>
          <w:p w14:paraId="3FC4305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2.76</w:t>
            </w:r>
          </w:p>
        </w:tc>
        <w:tc>
          <w:tcPr>
            <w:tcW w:w="853" w:type="pct"/>
            <w:shd w:val="clear" w:color="000000" w:fill="FFFFFF"/>
            <w:noWrap/>
            <w:vAlign w:val="center"/>
            <w:hideMark/>
          </w:tcPr>
          <w:p w14:paraId="647F77B5"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£27,318</w:t>
            </w:r>
          </w:p>
        </w:tc>
      </w:tr>
      <w:tr w:rsidR="008C3153" w:rsidRPr="00806261" w14:paraId="47C5229D" w14:textId="77777777" w:rsidTr="008C3153">
        <w:trPr>
          <w:trHeight w:val="292"/>
        </w:trPr>
        <w:tc>
          <w:tcPr>
            <w:tcW w:w="1850" w:type="pct"/>
            <w:vMerge/>
            <w:vAlign w:val="center"/>
            <w:hideMark/>
          </w:tcPr>
          <w:p w14:paraId="37966E77"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21188EF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46317B5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73566C4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5584192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075494C5" w14:textId="77777777" w:rsidTr="008C3153">
        <w:trPr>
          <w:trHeight w:val="292"/>
        </w:trPr>
        <w:tc>
          <w:tcPr>
            <w:tcW w:w="1850" w:type="pct"/>
            <w:vMerge w:val="restart"/>
            <w:shd w:val="clear" w:color="000000" w:fill="FFFFFF"/>
            <w:noWrap/>
            <w:vAlign w:val="center"/>
            <w:hideMark/>
          </w:tcPr>
          <w:p w14:paraId="70CDC523"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Lung</w:t>
            </w:r>
          </w:p>
        </w:tc>
        <w:tc>
          <w:tcPr>
            <w:tcW w:w="737" w:type="pct"/>
            <w:shd w:val="clear" w:color="000000" w:fill="FFFFFF"/>
            <w:noWrap/>
            <w:vAlign w:val="center"/>
            <w:hideMark/>
          </w:tcPr>
          <w:p w14:paraId="2110C355"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1B2251D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£55,032</w:t>
            </w:r>
          </w:p>
        </w:tc>
        <w:tc>
          <w:tcPr>
            <w:tcW w:w="706" w:type="pct"/>
            <w:shd w:val="clear" w:color="000000" w:fill="FFFFFF"/>
            <w:noWrap/>
            <w:vAlign w:val="center"/>
            <w:hideMark/>
          </w:tcPr>
          <w:p w14:paraId="0EAAADA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2.41</w:t>
            </w:r>
          </w:p>
        </w:tc>
        <w:tc>
          <w:tcPr>
            <w:tcW w:w="853" w:type="pct"/>
            <w:shd w:val="clear" w:color="000000" w:fill="FFFFFF"/>
            <w:noWrap/>
            <w:vAlign w:val="center"/>
            <w:hideMark/>
          </w:tcPr>
          <w:p w14:paraId="44D3AB0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£28,721</w:t>
            </w:r>
          </w:p>
        </w:tc>
      </w:tr>
      <w:tr w:rsidR="008C3153" w:rsidRPr="00806261" w14:paraId="3C9606BE" w14:textId="77777777" w:rsidTr="008C3153">
        <w:trPr>
          <w:trHeight w:val="292"/>
        </w:trPr>
        <w:tc>
          <w:tcPr>
            <w:tcW w:w="1850" w:type="pct"/>
            <w:vMerge/>
            <w:vAlign w:val="center"/>
            <w:hideMark/>
          </w:tcPr>
          <w:p w14:paraId="52DBF4A6"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5B456F27"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11C605C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74D7AE1A"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113F185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3B08B390" w14:textId="77777777" w:rsidTr="008C3153">
        <w:trPr>
          <w:trHeight w:val="292"/>
        </w:trPr>
        <w:tc>
          <w:tcPr>
            <w:tcW w:w="1850" w:type="pct"/>
            <w:vMerge w:val="restart"/>
            <w:shd w:val="clear" w:color="000000" w:fill="FFFFFF"/>
            <w:noWrap/>
            <w:vAlign w:val="center"/>
            <w:hideMark/>
          </w:tcPr>
          <w:p w14:paraId="628D7CE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Melanoma</w:t>
            </w:r>
          </w:p>
        </w:tc>
        <w:tc>
          <w:tcPr>
            <w:tcW w:w="737" w:type="pct"/>
            <w:shd w:val="clear" w:color="000000" w:fill="FFFFFF"/>
            <w:noWrap/>
            <w:vAlign w:val="center"/>
            <w:hideMark/>
          </w:tcPr>
          <w:p w14:paraId="68FD16C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5060F730"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£46,963</w:t>
            </w:r>
          </w:p>
        </w:tc>
        <w:tc>
          <w:tcPr>
            <w:tcW w:w="706" w:type="pct"/>
            <w:shd w:val="clear" w:color="000000" w:fill="FFFFFF"/>
            <w:noWrap/>
            <w:vAlign w:val="center"/>
            <w:hideMark/>
          </w:tcPr>
          <w:p w14:paraId="32F7CD2C"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2.03</w:t>
            </w:r>
          </w:p>
        </w:tc>
        <w:tc>
          <w:tcPr>
            <w:tcW w:w="853" w:type="pct"/>
            <w:shd w:val="clear" w:color="000000" w:fill="FFFFFF"/>
            <w:noWrap/>
            <w:vAlign w:val="center"/>
            <w:hideMark/>
          </w:tcPr>
          <w:p w14:paraId="6786D79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£31,267</w:t>
            </w:r>
          </w:p>
        </w:tc>
      </w:tr>
      <w:tr w:rsidR="008C3153" w:rsidRPr="00806261" w14:paraId="543BF47A" w14:textId="77777777" w:rsidTr="008C3153">
        <w:trPr>
          <w:trHeight w:val="292"/>
        </w:trPr>
        <w:tc>
          <w:tcPr>
            <w:tcW w:w="1850" w:type="pct"/>
            <w:vMerge/>
            <w:vAlign w:val="center"/>
            <w:hideMark/>
          </w:tcPr>
          <w:p w14:paraId="57DD65A4"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6391259C"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525CB420"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4977236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7A957F27"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7B37F937" w14:textId="77777777" w:rsidTr="008C3153">
        <w:trPr>
          <w:trHeight w:val="292"/>
        </w:trPr>
        <w:tc>
          <w:tcPr>
            <w:tcW w:w="1850" w:type="pct"/>
            <w:vMerge w:val="restart"/>
            <w:shd w:val="clear" w:color="000000" w:fill="FFFFFF"/>
            <w:noWrap/>
            <w:vAlign w:val="center"/>
            <w:hideMark/>
          </w:tcPr>
          <w:p w14:paraId="1B1EC92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Colon</w:t>
            </w:r>
          </w:p>
        </w:tc>
        <w:tc>
          <w:tcPr>
            <w:tcW w:w="737" w:type="pct"/>
            <w:shd w:val="clear" w:color="000000" w:fill="FFFFFF"/>
            <w:noWrap/>
            <w:vAlign w:val="center"/>
            <w:hideMark/>
          </w:tcPr>
          <w:p w14:paraId="0717DF66"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39E1F3B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£38,667</w:t>
            </w:r>
          </w:p>
        </w:tc>
        <w:tc>
          <w:tcPr>
            <w:tcW w:w="706" w:type="pct"/>
            <w:shd w:val="clear" w:color="000000" w:fill="FFFFFF"/>
            <w:noWrap/>
            <w:vAlign w:val="center"/>
            <w:hideMark/>
          </w:tcPr>
          <w:p w14:paraId="2C4EAA83"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1.65</w:t>
            </w:r>
          </w:p>
        </w:tc>
        <w:tc>
          <w:tcPr>
            <w:tcW w:w="853" w:type="pct"/>
            <w:shd w:val="clear" w:color="000000" w:fill="FFFFFF"/>
            <w:noWrap/>
            <w:vAlign w:val="center"/>
            <w:hideMark/>
          </w:tcPr>
          <w:p w14:paraId="60F03BEE"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£36,857</w:t>
            </w:r>
          </w:p>
        </w:tc>
      </w:tr>
      <w:tr w:rsidR="008C3153" w:rsidRPr="00806261" w14:paraId="6F017E7C" w14:textId="77777777" w:rsidTr="008C3153">
        <w:trPr>
          <w:trHeight w:val="292"/>
        </w:trPr>
        <w:tc>
          <w:tcPr>
            <w:tcW w:w="1850" w:type="pct"/>
            <w:vMerge/>
            <w:vAlign w:val="center"/>
            <w:hideMark/>
          </w:tcPr>
          <w:p w14:paraId="2D60B86E"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72901AC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1D5FC3F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7DEECB9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4D05B51A"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10708A69" w14:textId="77777777" w:rsidTr="008C3153">
        <w:trPr>
          <w:trHeight w:val="292"/>
        </w:trPr>
        <w:tc>
          <w:tcPr>
            <w:tcW w:w="1850" w:type="pct"/>
            <w:vMerge w:val="restart"/>
            <w:shd w:val="clear" w:color="000000" w:fill="FFFFFF"/>
            <w:noWrap/>
            <w:vAlign w:val="center"/>
            <w:hideMark/>
          </w:tcPr>
          <w:p w14:paraId="275E454C"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GIST</w:t>
            </w:r>
          </w:p>
        </w:tc>
        <w:tc>
          <w:tcPr>
            <w:tcW w:w="737" w:type="pct"/>
            <w:shd w:val="clear" w:color="000000" w:fill="FFFFFF"/>
            <w:noWrap/>
            <w:vAlign w:val="center"/>
            <w:hideMark/>
          </w:tcPr>
          <w:p w14:paraId="66953DF6"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0676FFE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£61,234</w:t>
            </w:r>
          </w:p>
        </w:tc>
        <w:tc>
          <w:tcPr>
            <w:tcW w:w="706" w:type="pct"/>
            <w:shd w:val="clear" w:color="000000" w:fill="FFFFFF"/>
            <w:noWrap/>
            <w:vAlign w:val="center"/>
            <w:hideMark/>
          </w:tcPr>
          <w:p w14:paraId="1E440C3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2.69</w:t>
            </w:r>
          </w:p>
        </w:tc>
        <w:tc>
          <w:tcPr>
            <w:tcW w:w="853" w:type="pct"/>
            <w:shd w:val="clear" w:color="000000" w:fill="FFFFFF"/>
            <w:noWrap/>
            <w:vAlign w:val="center"/>
            <w:hideMark/>
          </w:tcPr>
          <w:p w14:paraId="3395AF3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£27,535</w:t>
            </w:r>
          </w:p>
        </w:tc>
      </w:tr>
      <w:tr w:rsidR="008C3153" w:rsidRPr="00806261" w14:paraId="42820386" w14:textId="77777777" w:rsidTr="008C3153">
        <w:trPr>
          <w:trHeight w:val="292"/>
        </w:trPr>
        <w:tc>
          <w:tcPr>
            <w:tcW w:w="1850" w:type="pct"/>
            <w:vMerge/>
            <w:vAlign w:val="center"/>
            <w:hideMark/>
          </w:tcPr>
          <w:p w14:paraId="487A8A0D"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200EFF7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7A6C7EC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2F47A73A"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6AE7324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3BE69A06" w14:textId="77777777" w:rsidTr="008C3153">
        <w:trPr>
          <w:trHeight w:val="292"/>
        </w:trPr>
        <w:tc>
          <w:tcPr>
            <w:tcW w:w="1850" w:type="pct"/>
            <w:vMerge w:val="restart"/>
            <w:shd w:val="clear" w:color="000000" w:fill="FFFFFF"/>
            <w:noWrap/>
            <w:vAlign w:val="center"/>
            <w:hideMark/>
          </w:tcPr>
          <w:p w14:paraId="10CE0B37"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Cholangiocarcinoma</w:t>
            </w:r>
          </w:p>
        </w:tc>
        <w:tc>
          <w:tcPr>
            <w:tcW w:w="737" w:type="pct"/>
            <w:shd w:val="clear" w:color="000000" w:fill="FFFFFF"/>
            <w:noWrap/>
            <w:vAlign w:val="center"/>
            <w:hideMark/>
          </w:tcPr>
          <w:p w14:paraId="4B91072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15CC82FE"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£34,261</w:t>
            </w:r>
          </w:p>
        </w:tc>
        <w:tc>
          <w:tcPr>
            <w:tcW w:w="706" w:type="pct"/>
            <w:shd w:val="clear" w:color="000000" w:fill="FFFFFF"/>
            <w:noWrap/>
            <w:vAlign w:val="center"/>
            <w:hideMark/>
          </w:tcPr>
          <w:p w14:paraId="61CA0E9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1.45</w:t>
            </w:r>
          </w:p>
        </w:tc>
        <w:tc>
          <w:tcPr>
            <w:tcW w:w="853" w:type="pct"/>
            <w:shd w:val="clear" w:color="000000" w:fill="FFFFFF"/>
            <w:noWrap/>
            <w:vAlign w:val="center"/>
            <w:hideMark/>
          </w:tcPr>
          <w:p w14:paraId="1F9F4353"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£43,658</w:t>
            </w:r>
          </w:p>
        </w:tc>
      </w:tr>
      <w:tr w:rsidR="008C3153" w:rsidRPr="00806261" w14:paraId="3D9352B0" w14:textId="77777777" w:rsidTr="008C3153">
        <w:trPr>
          <w:trHeight w:val="292"/>
        </w:trPr>
        <w:tc>
          <w:tcPr>
            <w:tcW w:w="1850" w:type="pct"/>
            <w:vMerge/>
            <w:vAlign w:val="center"/>
            <w:hideMark/>
          </w:tcPr>
          <w:p w14:paraId="18AFADFA"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26B2027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1615ADB5"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58B5B2B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4D9739D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4EB2F5F1" w14:textId="77777777" w:rsidTr="008C3153">
        <w:trPr>
          <w:trHeight w:val="292"/>
        </w:trPr>
        <w:tc>
          <w:tcPr>
            <w:tcW w:w="1850" w:type="pct"/>
            <w:vMerge w:val="restart"/>
            <w:shd w:val="clear" w:color="000000" w:fill="FFFFFF"/>
            <w:noWrap/>
            <w:vAlign w:val="center"/>
            <w:hideMark/>
          </w:tcPr>
          <w:p w14:paraId="57D7F26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Appendix</w:t>
            </w:r>
          </w:p>
        </w:tc>
        <w:tc>
          <w:tcPr>
            <w:tcW w:w="737" w:type="pct"/>
            <w:shd w:val="clear" w:color="000000" w:fill="FFFFFF"/>
            <w:noWrap/>
            <w:vAlign w:val="center"/>
            <w:hideMark/>
          </w:tcPr>
          <w:p w14:paraId="127AD8F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0DE2787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£37,773</w:t>
            </w:r>
          </w:p>
        </w:tc>
        <w:tc>
          <w:tcPr>
            <w:tcW w:w="706" w:type="pct"/>
            <w:shd w:val="clear" w:color="000000" w:fill="FFFFFF"/>
            <w:noWrap/>
            <w:vAlign w:val="center"/>
            <w:hideMark/>
          </w:tcPr>
          <w:p w14:paraId="4435177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1.61</w:t>
            </w:r>
          </w:p>
        </w:tc>
        <w:tc>
          <w:tcPr>
            <w:tcW w:w="853" w:type="pct"/>
            <w:shd w:val="clear" w:color="000000" w:fill="FFFFFF"/>
            <w:noWrap/>
            <w:vAlign w:val="center"/>
            <w:hideMark/>
          </w:tcPr>
          <w:p w14:paraId="43D1478E"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£37,859</w:t>
            </w:r>
          </w:p>
        </w:tc>
      </w:tr>
      <w:tr w:rsidR="008C3153" w:rsidRPr="00806261" w14:paraId="69976C65" w14:textId="77777777" w:rsidTr="008C3153">
        <w:trPr>
          <w:trHeight w:val="292"/>
        </w:trPr>
        <w:tc>
          <w:tcPr>
            <w:tcW w:w="1850" w:type="pct"/>
            <w:vMerge/>
            <w:vAlign w:val="center"/>
            <w:hideMark/>
          </w:tcPr>
          <w:p w14:paraId="4291F2D8"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741E2F9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4513CB7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237206A0"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6874F2E7"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25A21A54" w14:textId="77777777" w:rsidTr="008C3153">
        <w:trPr>
          <w:trHeight w:val="292"/>
        </w:trPr>
        <w:tc>
          <w:tcPr>
            <w:tcW w:w="1850" w:type="pct"/>
            <w:vMerge w:val="restart"/>
            <w:shd w:val="clear" w:color="000000" w:fill="FFFFFF"/>
            <w:noWrap/>
            <w:vAlign w:val="center"/>
            <w:hideMark/>
          </w:tcPr>
          <w:p w14:paraId="71264EC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Breast</w:t>
            </w:r>
          </w:p>
        </w:tc>
        <w:tc>
          <w:tcPr>
            <w:tcW w:w="737" w:type="pct"/>
            <w:shd w:val="clear" w:color="000000" w:fill="FFFFFF"/>
            <w:noWrap/>
            <w:vAlign w:val="center"/>
            <w:hideMark/>
          </w:tcPr>
          <w:p w14:paraId="65A944AB"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29BC314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£37,768</w:t>
            </w:r>
          </w:p>
        </w:tc>
        <w:tc>
          <w:tcPr>
            <w:tcW w:w="706" w:type="pct"/>
            <w:shd w:val="clear" w:color="000000" w:fill="FFFFFF"/>
            <w:noWrap/>
            <w:vAlign w:val="center"/>
            <w:hideMark/>
          </w:tcPr>
          <w:p w14:paraId="33BA825A"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1.61</w:t>
            </w:r>
          </w:p>
        </w:tc>
        <w:tc>
          <w:tcPr>
            <w:tcW w:w="853" w:type="pct"/>
            <w:shd w:val="clear" w:color="000000" w:fill="FFFFFF"/>
            <w:noWrap/>
            <w:vAlign w:val="center"/>
            <w:hideMark/>
          </w:tcPr>
          <w:p w14:paraId="15277437"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£37,863</w:t>
            </w:r>
          </w:p>
        </w:tc>
      </w:tr>
      <w:tr w:rsidR="008C3153" w:rsidRPr="00806261" w14:paraId="2C23FAB6" w14:textId="77777777" w:rsidTr="008C3153">
        <w:trPr>
          <w:trHeight w:val="292"/>
        </w:trPr>
        <w:tc>
          <w:tcPr>
            <w:tcW w:w="1850" w:type="pct"/>
            <w:vMerge/>
            <w:vAlign w:val="center"/>
            <w:hideMark/>
          </w:tcPr>
          <w:p w14:paraId="56D8D2C5"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571AA9A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34EA6C11"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2040953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68A8BB3D"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r w:rsidR="008C3153" w:rsidRPr="00806261" w14:paraId="48C04954" w14:textId="77777777" w:rsidTr="008C3153">
        <w:trPr>
          <w:trHeight w:val="292"/>
        </w:trPr>
        <w:tc>
          <w:tcPr>
            <w:tcW w:w="1850" w:type="pct"/>
            <w:vMerge w:val="restart"/>
            <w:shd w:val="clear" w:color="000000" w:fill="FFFFFF"/>
            <w:noWrap/>
            <w:vAlign w:val="center"/>
            <w:hideMark/>
          </w:tcPr>
          <w:p w14:paraId="7B55F300"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Pancreas</w:t>
            </w:r>
          </w:p>
        </w:tc>
        <w:tc>
          <w:tcPr>
            <w:tcW w:w="737" w:type="pct"/>
            <w:shd w:val="clear" w:color="000000" w:fill="FFFFFF"/>
            <w:noWrap/>
            <w:vAlign w:val="center"/>
            <w:hideMark/>
          </w:tcPr>
          <w:p w14:paraId="2B5853DE"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Drug X</w:t>
            </w:r>
          </w:p>
        </w:tc>
        <w:tc>
          <w:tcPr>
            <w:tcW w:w="853" w:type="pct"/>
            <w:shd w:val="clear" w:color="000000" w:fill="FFFFFF"/>
            <w:noWrap/>
            <w:vAlign w:val="center"/>
            <w:hideMark/>
          </w:tcPr>
          <w:p w14:paraId="769631B4"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£37,751</w:t>
            </w:r>
          </w:p>
        </w:tc>
        <w:tc>
          <w:tcPr>
            <w:tcW w:w="706" w:type="pct"/>
            <w:shd w:val="clear" w:color="000000" w:fill="FFFFFF"/>
            <w:noWrap/>
            <w:vAlign w:val="center"/>
            <w:hideMark/>
          </w:tcPr>
          <w:p w14:paraId="7AFDC039"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1.61</w:t>
            </w:r>
          </w:p>
        </w:tc>
        <w:tc>
          <w:tcPr>
            <w:tcW w:w="853" w:type="pct"/>
            <w:shd w:val="clear" w:color="000000" w:fill="FFFFFF"/>
            <w:noWrap/>
            <w:vAlign w:val="center"/>
            <w:hideMark/>
          </w:tcPr>
          <w:p w14:paraId="73C4320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£37,930</w:t>
            </w:r>
          </w:p>
        </w:tc>
      </w:tr>
      <w:tr w:rsidR="008C3153" w:rsidRPr="00806261" w14:paraId="1CCEFA1D" w14:textId="77777777" w:rsidTr="008C3153">
        <w:trPr>
          <w:trHeight w:val="307"/>
        </w:trPr>
        <w:tc>
          <w:tcPr>
            <w:tcW w:w="1850" w:type="pct"/>
            <w:vMerge/>
            <w:vAlign w:val="center"/>
            <w:hideMark/>
          </w:tcPr>
          <w:p w14:paraId="13C9EF10" w14:textId="77777777" w:rsidR="008C3153" w:rsidRPr="00717B9D" w:rsidRDefault="008C3153" w:rsidP="008C3153">
            <w:pPr>
              <w:keepNext/>
              <w:keepLines/>
              <w:spacing w:after="0" w:line="240" w:lineRule="auto"/>
              <w:contextualSpacing/>
              <w:rPr>
                <w:rFonts w:eastAsia="Times New Roman" w:cs="Times New Roman"/>
                <w:color w:val="000000"/>
                <w:lang w:eastAsia="en-GB"/>
              </w:rPr>
            </w:pPr>
          </w:p>
        </w:tc>
        <w:tc>
          <w:tcPr>
            <w:tcW w:w="737" w:type="pct"/>
            <w:shd w:val="clear" w:color="000000" w:fill="FFFFFF"/>
            <w:noWrap/>
            <w:vAlign w:val="center"/>
            <w:hideMark/>
          </w:tcPr>
          <w:p w14:paraId="44E5009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SoC</w:t>
            </w:r>
          </w:p>
        </w:tc>
        <w:tc>
          <w:tcPr>
            <w:tcW w:w="853" w:type="pct"/>
            <w:shd w:val="clear" w:color="000000" w:fill="FFFFFF"/>
            <w:noWrap/>
            <w:vAlign w:val="center"/>
            <w:hideMark/>
          </w:tcPr>
          <w:p w14:paraId="2054A182"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£14,471</w:t>
            </w:r>
          </w:p>
        </w:tc>
        <w:tc>
          <w:tcPr>
            <w:tcW w:w="706" w:type="pct"/>
            <w:shd w:val="clear" w:color="000000" w:fill="FFFFFF"/>
            <w:noWrap/>
            <w:vAlign w:val="center"/>
            <w:hideMark/>
          </w:tcPr>
          <w:p w14:paraId="69C4CD58"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0.99</w:t>
            </w:r>
          </w:p>
        </w:tc>
        <w:tc>
          <w:tcPr>
            <w:tcW w:w="853" w:type="pct"/>
            <w:shd w:val="clear" w:color="000000" w:fill="FFFFFF"/>
            <w:noWrap/>
            <w:vAlign w:val="center"/>
            <w:hideMark/>
          </w:tcPr>
          <w:p w14:paraId="3E068FFF" w14:textId="77777777" w:rsidR="008C3153" w:rsidRPr="00717B9D" w:rsidRDefault="008C3153" w:rsidP="008C3153">
            <w:pPr>
              <w:keepNext/>
              <w:keepLines/>
              <w:spacing w:after="0" w:line="240" w:lineRule="auto"/>
              <w:contextualSpacing/>
              <w:jc w:val="center"/>
              <w:rPr>
                <w:rFonts w:eastAsia="Times New Roman" w:cs="Times New Roman"/>
                <w:color w:val="000000"/>
                <w:lang w:eastAsia="en-GB"/>
              </w:rPr>
            </w:pPr>
            <w:r w:rsidRPr="00717B9D">
              <w:rPr>
                <w:rFonts w:eastAsia="Times New Roman" w:cs="Times New Roman"/>
                <w:color w:val="000000"/>
                <w:lang w:eastAsia="en-GB"/>
              </w:rPr>
              <w:t>-</w:t>
            </w:r>
          </w:p>
        </w:tc>
      </w:tr>
    </w:tbl>
    <w:p w14:paraId="1B44481B" w14:textId="77777777" w:rsidR="00C663A2" w:rsidRDefault="00C663A2" w:rsidP="008C3153"/>
    <w:p w14:paraId="6B93A554" w14:textId="0AA84145" w:rsidR="008C3153" w:rsidRDefault="008C3153" w:rsidP="008C3153">
      <w:r>
        <w:t xml:space="preserve">A </w:t>
      </w:r>
      <w:r w:rsidR="00EC395B">
        <w:t>‘</w:t>
      </w:r>
      <w:r>
        <w:t>histology-independent</w:t>
      </w:r>
      <w:r w:rsidR="00EC395B">
        <w:t>’</w:t>
      </w:r>
      <w:r>
        <w:t xml:space="preserve"> recommendation is defined here as the approval of Drug X for use in any </w:t>
      </w:r>
      <w:r w:rsidR="0017332D">
        <w:t xml:space="preserve">histology </w:t>
      </w:r>
      <w:r>
        <w:t>which exhibit</w:t>
      </w:r>
      <w:r w:rsidR="0017332D">
        <w:t>s</w:t>
      </w:r>
      <w:r>
        <w:t xml:space="preserve"> the specific biomarker (e.g. NTRK). If a histology-independent approval is saught then it is necessary to consider the </w:t>
      </w:r>
      <w:r w:rsidR="00EC395B">
        <w:t>‘</w:t>
      </w:r>
      <w:r>
        <w:t>average</w:t>
      </w:r>
      <w:r w:rsidR="00EC395B">
        <w:t>’</w:t>
      </w:r>
      <w:r>
        <w:t xml:space="preserve"> or </w:t>
      </w:r>
      <w:r w:rsidR="00EC395B">
        <w:t>‘</w:t>
      </w:r>
      <w:r>
        <w:t>pooled</w:t>
      </w:r>
      <w:r w:rsidR="00EC395B">
        <w:t>’</w:t>
      </w:r>
      <w:r>
        <w:t xml:space="preserve"> ICER across all histologies. </w:t>
      </w:r>
      <w:r w:rsidR="008C65BF">
        <w:fldChar w:fldCharType="begin"/>
      </w:r>
      <w:r w:rsidR="008C65BF">
        <w:instrText xml:space="preserve"> REF _Ref30599809 \h </w:instrText>
      </w:r>
      <w:r w:rsidR="008C65BF">
        <w:fldChar w:fldCharType="separate"/>
      </w:r>
      <w:r w:rsidR="00C9471F">
        <w:t xml:space="preserve">Table </w:t>
      </w:r>
      <w:r w:rsidR="00C9471F">
        <w:rPr>
          <w:noProof/>
        </w:rPr>
        <w:t>25</w:t>
      </w:r>
      <w:r w:rsidR="008C65BF">
        <w:fldChar w:fldCharType="end"/>
      </w:r>
      <w:r w:rsidR="008C65BF">
        <w:t xml:space="preserve"> </w:t>
      </w:r>
      <w:r>
        <w:t xml:space="preserve">illustrates how a pooled ICER is calculated with the frequency of each histology based on the relative histology frequency observed </w:t>
      </w:r>
      <w:r w:rsidRPr="008A5F9E">
        <w:t>in the</w:t>
      </w:r>
      <w:r>
        <w:t xml:space="preserve"> </w:t>
      </w:r>
      <w:r w:rsidRPr="008A5F9E">
        <w:t>trial</w:t>
      </w:r>
      <w:r>
        <w:t xml:space="preserve"> (see</w:t>
      </w:r>
      <w:r w:rsidR="00BF0D1D">
        <w:t xml:space="preserve"> </w:t>
      </w:r>
      <w:r w:rsidR="00BF0D1D">
        <w:fldChar w:fldCharType="begin"/>
      </w:r>
      <w:r w:rsidR="00BF0D1D">
        <w:instrText xml:space="preserve"> REF _Ref27558958 \h </w:instrText>
      </w:r>
      <w:r w:rsidR="00BF0D1D">
        <w:fldChar w:fldCharType="separate"/>
      </w:r>
      <w:r w:rsidR="00C9471F" w:rsidRPr="002D1DD7">
        <w:t xml:space="preserve">Table </w:t>
      </w:r>
      <w:r w:rsidR="00C9471F">
        <w:rPr>
          <w:noProof/>
        </w:rPr>
        <w:t>14</w:t>
      </w:r>
      <w:r w:rsidR="00BF0D1D">
        <w:fldChar w:fldCharType="end"/>
      </w:r>
      <w:r w:rsidR="00BF0D1D">
        <w:t>, Section</w:t>
      </w:r>
      <w:r>
        <w:t xml:space="preserve"> </w:t>
      </w:r>
      <w:r w:rsidR="00BF0D1D">
        <w:fldChar w:fldCharType="begin"/>
      </w:r>
      <w:r w:rsidR="00BF0D1D">
        <w:instrText xml:space="preserve"> REF _Ref32853471 \r \h </w:instrText>
      </w:r>
      <w:r w:rsidR="00BF0D1D">
        <w:fldChar w:fldCharType="separate"/>
      </w:r>
      <w:r w:rsidR="00C663A2">
        <w:t>6.3.1</w:t>
      </w:r>
      <w:r w:rsidR="00BF0D1D">
        <w:fldChar w:fldCharType="end"/>
      </w:r>
      <w:r w:rsidR="00BF0D1D">
        <w:t xml:space="preserve"> </w:t>
      </w:r>
      <w:r>
        <w:t>for details).</w:t>
      </w:r>
    </w:p>
    <w:p w14:paraId="1A3A73A4" w14:textId="32660385" w:rsidR="008C3153" w:rsidRDefault="008C3153" w:rsidP="008C3153">
      <w:pPr>
        <w:pStyle w:val="Caption"/>
      </w:pPr>
      <w:bookmarkStart w:id="230" w:name="_Ref30599809"/>
      <w:bookmarkStart w:id="231" w:name="_Toc34033539"/>
      <w:r>
        <w:lastRenderedPageBreak/>
        <w:t xml:space="preserve">Table </w:t>
      </w:r>
      <w:r w:rsidR="00C974E5">
        <w:fldChar w:fldCharType="begin"/>
      </w:r>
      <w:r w:rsidR="00C974E5">
        <w:instrText xml:space="preserve"> SEQ Table \* ARABIC </w:instrText>
      </w:r>
      <w:r w:rsidR="00C974E5">
        <w:fldChar w:fldCharType="separate"/>
      </w:r>
      <w:r w:rsidR="00C9471F">
        <w:rPr>
          <w:noProof/>
        </w:rPr>
        <w:t>25</w:t>
      </w:r>
      <w:r w:rsidR="00C974E5">
        <w:rPr>
          <w:noProof/>
        </w:rPr>
        <w:fldChar w:fldCharType="end"/>
      </w:r>
      <w:bookmarkEnd w:id="230"/>
      <w:r w:rsidR="008C7423">
        <w:rPr>
          <w:noProof/>
        </w:rPr>
        <w:t>:</w:t>
      </w:r>
      <w:r>
        <w:t xml:space="preserve"> Calculating a pooled ICER based on trial histology frequency</w:t>
      </w:r>
      <w:bookmarkEnd w:id="231"/>
      <w:r>
        <w:t xml:space="preserve"> </w:t>
      </w:r>
    </w:p>
    <w:tbl>
      <w:tblPr>
        <w:tblW w:w="5000" w:type="pct"/>
        <w:tblLook w:val="04A0" w:firstRow="1" w:lastRow="0" w:firstColumn="1" w:lastColumn="0" w:noHBand="0" w:noVBand="1"/>
      </w:tblPr>
      <w:tblGrid>
        <w:gridCol w:w="2049"/>
        <w:gridCol w:w="964"/>
        <w:gridCol w:w="1254"/>
        <w:gridCol w:w="1219"/>
        <w:gridCol w:w="2435"/>
        <w:gridCol w:w="1085"/>
      </w:tblGrid>
      <w:tr w:rsidR="008C3153" w:rsidRPr="008D2FAC" w14:paraId="5B14E2BA" w14:textId="77777777" w:rsidTr="00AB705A">
        <w:trPr>
          <w:trHeight w:val="309"/>
        </w:trPr>
        <w:tc>
          <w:tcPr>
            <w:tcW w:w="1120" w:type="pct"/>
            <w:tcBorders>
              <w:top w:val="single" w:sz="8" w:space="0" w:color="auto"/>
              <w:left w:val="single" w:sz="8" w:space="0" w:color="auto"/>
              <w:bottom w:val="nil"/>
              <w:right w:val="nil"/>
            </w:tcBorders>
            <w:shd w:val="clear" w:color="000000" w:fill="FFFFFF"/>
            <w:noWrap/>
            <w:vAlign w:val="center"/>
            <w:hideMark/>
          </w:tcPr>
          <w:p w14:paraId="4F731240"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Subgroup</w:t>
            </w:r>
          </w:p>
        </w:tc>
        <w:tc>
          <w:tcPr>
            <w:tcW w:w="1525" w:type="pct"/>
            <w:gridSpan w:val="2"/>
            <w:tcBorders>
              <w:top w:val="single" w:sz="8" w:space="0" w:color="auto"/>
              <w:left w:val="nil"/>
              <w:bottom w:val="single" w:sz="8" w:space="0" w:color="auto"/>
              <w:right w:val="nil"/>
            </w:tcBorders>
            <w:shd w:val="clear" w:color="000000" w:fill="FFFFFF"/>
            <w:vAlign w:val="center"/>
            <w:hideMark/>
          </w:tcPr>
          <w:p w14:paraId="0C8FF985"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Observed outcomes</w:t>
            </w:r>
          </w:p>
        </w:tc>
        <w:tc>
          <w:tcPr>
            <w:tcW w:w="804" w:type="pct"/>
            <w:tcBorders>
              <w:top w:val="single" w:sz="8" w:space="0" w:color="auto"/>
              <w:left w:val="nil"/>
              <w:bottom w:val="nil"/>
              <w:right w:val="nil"/>
            </w:tcBorders>
            <w:shd w:val="clear" w:color="000000" w:fill="FFFFFF"/>
            <w:vAlign w:val="center"/>
            <w:hideMark/>
          </w:tcPr>
          <w:p w14:paraId="0A6415BF" w14:textId="77777777" w:rsidR="008C3153" w:rsidRPr="00AB705A" w:rsidRDefault="008C3153" w:rsidP="008C3153">
            <w:pPr>
              <w:keepNext/>
              <w:keepLines/>
              <w:spacing w:after="0" w:line="240" w:lineRule="auto"/>
              <w:rPr>
                <w:rFonts w:eastAsia="Times New Roman" w:cs="Times New Roman"/>
                <w:b/>
                <w:bCs/>
                <w:color w:val="000000"/>
                <w:lang w:eastAsia="en-GB"/>
              </w:rPr>
            </w:pPr>
            <w:r w:rsidRPr="00AB705A">
              <w:rPr>
                <w:rFonts w:eastAsia="Times New Roman" w:cs="Times New Roman"/>
                <w:b/>
                <w:bCs/>
                <w:color w:val="000000"/>
                <w:lang w:eastAsia="en-GB"/>
              </w:rPr>
              <w:t> </w:t>
            </w:r>
          </w:p>
        </w:tc>
        <w:tc>
          <w:tcPr>
            <w:tcW w:w="784" w:type="pct"/>
            <w:tcBorders>
              <w:top w:val="single" w:sz="8" w:space="0" w:color="auto"/>
              <w:left w:val="nil"/>
              <w:bottom w:val="nil"/>
              <w:right w:val="nil"/>
            </w:tcBorders>
            <w:shd w:val="clear" w:color="000000" w:fill="FFFFFF"/>
            <w:noWrap/>
            <w:vAlign w:val="center"/>
            <w:hideMark/>
          </w:tcPr>
          <w:p w14:paraId="3CA2FD3B"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Weighted consequences</w:t>
            </w:r>
          </w:p>
        </w:tc>
        <w:tc>
          <w:tcPr>
            <w:tcW w:w="768" w:type="pct"/>
            <w:tcBorders>
              <w:top w:val="single" w:sz="8" w:space="0" w:color="auto"/>
              <w:left w:val="nil"/>
              <w:bottom w:val="nil"/>
              <w:right w:val="single" w:sz="8" w:space="0" w:color="auto"/>
            </w:tcBorders>
            <w:shd w:val="clear" w:color="000000" w:fill="FFFFFF"/>
            <w:noWrap/>
            <w:vAlign w:val="center"/>
            <w:hideMark/>
          </w:tcPr>
          <w:p w14:paraId="53D986CA"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 </w:t>
            </w:r>
          </w:p>
        </w:tc>
      </w:tr>
      <w:tr w:rsidR="008C3153" w:rsidRPr="008D2FAC" w14:paraId="220C7704" w14:textId="77777777" w:rsidTr="00AB705A">
        <w:trPr>
          <w:trHeight w:val="294"/>
        </w:trPr>
        <w:tc>
          <w:tcPr>
            <w:tcW w:w="1120" w:type="pct"/>
            <w:tcBorders>
              <w:top w:val="single" w:sz="8" w:space="0" w:color="auto"/>
              <w:left w:val="single" w:sz="8" w:space="0" w:color="auto"/>
              <w:bottom w:val="nil"/>
              <w:right w:val="nil"/>
            </w:tcBorders>
            <w:shd w:val="clear" w:color="000000" w:fill="FFFFFF"/>
            <w:noWrap/>
            <w:vAlign w:val="bottom"/>
            <w:hideMark/>
          </w:tcPr>
          <w:p w14:paraId="4B4AD043" w14:textId="77777777" w:rsidR="008C3153" w:rsidRPr="00AB705A" w:rsidRDefault="008C3153" w:rsidP="008C3153">
            <w:pPr>
              <w:keepNext/>
              <w:keepLines/>
              <w:spacing w:after="0" w:line="240" w:lineRule="auto"/>
              <w:rPr>
                <w:rFonts w:eastAsia="Times New Roman" w:cs="Times New Roman"/>
                <w:b/>
                <w:bCs/>
                <w:color w:val="000000"/>
                <w:lang w:eastAsia="en-GB"/>
              </w:rPr>
            </w:pPr>
            <w:r w:rsidRPr="00AB705A">
              <w:rPr>
                <w:rFonts w:eastAsia="Times New Roman" w:cs="Times New Roman"/>
                <w:b/>
                <w:bCs/>
                <w:color w:val="000000"/>
                <w:lang w:eastAsia="en-GB"/>
              </w:rPr>
              <w:t> </w:t>
            </w:r>
          </w:p>
        </w:tc>
        <w:tc>
          <w:tcPr>
            <w:tcW w:w="682" w:type="pct"/>
            <w:tcBorders>
              <w:top w:val="nil"/>
              <w:left w:val="nil"/>
              <w:bottom w:val="nil"/>
              <w:right w:val="nil"/>
            </w:tcBorders>
            <w:shd w:val="clear" w:color="000000" w:fill="FFFFFF"/>
            <w:vAlign w:val="center"/>
            <w:hideMark/>
          </w:tcPr>
          <w:p w14:paraId="10247A40"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ΔCost</w:t>
            </w:r>
          </w:p>
        </w:tc>
        <w:tc>
          <w:tcPr>
            <w:tcW w:w="843" w:type="pct"/>
            <w:tcBorders>
              <w:top w:val="nil"/>
              <w:left w:val="nil"/>
              <w:bottom w:val="nil"/>
              <w:right w:val="nil"/>
            </w:tcBorders>
            <w:shd w:val="clear" w:color="000000" w:fill="FFFFFF"/>
            <w:vAlign w:val="center"/>
            <w:hideMark/>
          </w:tcPr>
          <w:p w14:paraId="6272AFE8"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ΔQALYs</w:t>
            </w:r>
          </w:p>
        </w:tc>
        <w:tc>
          <w:tcPr>
            <w:tcW w:w="804" w:type="pct"/>
            <w:tcBorders>
              <w:top w:val="single" w:sz="8" w:space="0" w:color="auto"/>
              <w:left w:val="nil"/>
              <w:bottom w:val="nil"/>
              <w:right w:val="nil"/>
            </w:tcBorders>
            <w:shd w:val="clear" w:color="000000" w:fill="FFFFFF"/>
            <w:vAlign w:val="center"/>
            <w:hideMark/>
          </w:tcPr>
          <w:p w14:paraId="64D33C22"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Frequency</w:t>
            </w:r>
          </w:p>
        </w:tc>
        <w:tc>
          <w:tcPr>
            <w:tcW w:w="784" w:type="pct"/>
            <w:tcBorders>
              <w:top w:val="single" w:sz="8" w:space="0" w:color="auto"/>
              <w:left w:val="nil"/>
              <w:bottom w:val="nil"/>
              <w:right w:val="nil"/>
            </w:tcBorders>
            <w:shd w:val="clear" w:color="000000" w:fill="FFFFFF"/>
            <w:vAlign w:val="center"/>
            <w:hideMark/>
          </w:tcPr>
          <w:p w14:paraId="16B6D0ED"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ΔCost</w:t>
            </w:r>
          </w:p>
        </w:tc>
        <w:tc>
          <w:tcPr>
            <w:tcW w:w="768" w:type="pct"/>
            <w:tcBorders>
              <w:top w:val="single" w:sz="8" w:space="0" w:color="auto"/>
              <w:left w:val="nil"/>
              <w:bottom w:val="nil"/>
              <w:right w:val="single" w:sz="8" w:space="0" w:color="auto"/>
            </w:tcBorders>
            <w:shd w:val="clear" w:color="000000" w:fill="FFFFFF"/>
            <w:vAlign w:val="center"/>
            <w:hideMark/>
          </w:tcPr>
          <w:p w14:paraId="7E79CF23"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ΔQALYs</w:t>
            </w:r>
          </w:p>
        </w:tc>
      </w:tr>
      <w:tr w:rsidR="008C3153" w:rsidRPr="008D2FAC" w14:paraId="7FDE997A" w14:textId="77777777" w:rsidTr="00AB705A">
        <w:trPr>
          <w:trHeight w:val="294"/>
        </w:trPr>
        <w:tc>
          <w:tcPr>
            <w:tcW w:w="1120" w:type="pct"/>
            <w:tcBorders>
              <w:top w:val="single" w:sz="4" w:space="0" w:color="auto"/>
              <w:left w:val="single" w:sz="8" w:space="0" w:color="auto"/>
              <w:bottom w:val="nil"/>
              <w:right w:val="nil"/>
            </w:tcBorders>
            <w:shd w:val="clear" w:color="000000" w:fill="FFFFFF"/>
            <w:noWrap/>
            <w:vAlign w:val="center"/>
            <w:hideMark/>
          </w:tcPr>
          <w:p w14:paraId="533E8D53"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Sarcoma</w:t>
            </w:r>
          </w:p>
        </w:tc>
        <w:tc>
          <w:tcPr>
            <w:tcW w:w="682" w:type="pct"/>
            <w:tcBorders>
              <w:top w:val="single" w:sz="4" w:space="0" w:color="auto"/>
              <w:left w:val="nil"/>
              <w:bottom w:val="nil"/>
              <w:right w:val="nil"/>
            </w:tcBorders>
            <w:shd w:val="clear" w:color="000000" w:fill="FFFFFF"/>
            <w:noWrap/>
            <w:vAlign w:val="center"/>
            <w:hideMark/>
          </w:tcPr>
          <w:p w14:paraId="21C07DD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£46,844</w:t>
            </w:r>
          </w:p>
        </w:tc>
        <w:tc>
          <w:tcPr>
            <w:tcW w:w="843" w:type="pct"/>
            <w:tcBorders>
              <w:top w:val="single" w:sz="4" w:space="0" w:color="auto"/>
              <w:left w:val="nil"/>
              <w:bottom w:val="nil"/>
              <w:right w:val="nil"/>
            </w:tcBorders>
            <w:shd w:val="clear" w:color="000000" w:fill="FFFFFF"/>
            <w:noWrap/>
            <w:vAlign w:val="center"/>
            <w:hideMark/>
          </w:tcPr>
          <w:p w14:paraId="70A7C4D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1.70</w:t>
            </w:r>
          </w:p>
        </w:tc>
        <w:tc>
          <w:tcPr>
            <w:tcW w:w="804" w:type="pct"/>
            <w:tcBorders>
              <w:top w:val="single" w:sz="4" w:space="0" w:color="auto"/>
              <w:left w:val="nil"/>
              <w:bottom w:val="nil"/>
              <w:right w:val="nil"/>
            </w:tcBorders>
            <w:shd w:val="clear" w:color="000000" w:fill="FFFFFF"/>
            <w:noWrap/>
            <w:vAlign w:val="center"/>
            <w:hideMark/>
          </w:tcPr>
          <w:p w14:paraId="6F3861D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20.00%</w:t>
            </w:r>
          </w:p>
        </w:tc>
        <w:tc>
          <w:tcPr>
            <w:tcW w:w="784" w:type="pct"/>
            <w:tcBorders>
              <w:top w:val="single" w:sz="4" w:space="0" w:color="auto"/>
              <w:left w:val="nil"/>
              <w:bottom w:val="nil"/>
              <w:right w:val="nil"/>
            </w:tcBorders>
            <w:shd w:val="clear" w:color="000000" w:fill="FFFFFF"/>
            <w:noWrap/>
            <w:vAlign w:val="bottom"/>
            <w:hideMark/>
          </w:tcPr>
          <w:p w14:paraId="610E9C9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£9,369</w:t>
            </w:r>
          </w:p>
        </w:tc>
        <w:tc>
          <w:tcPr>
            <w:tcW w:w="768" w:type="pct"/>
            <w:tcBorders>
              <w:top w:val="single" w:sz="4" w:space="0" w:color="auto"/>
              <w:left w:val="nil"/>
              <w:bottom w:val="nil"/>
              <w:right w:val="single" w:sz="8" w:space="0" w:color="auto"/>
            </w:tcBorders>
            <w:shd w:val="clear" w:color="000000" w:fill="FFFFFF"/>
            <w:noWrap/>
            <w:vAlign w:val="bottom"/>
            <w:hideMark/>
          </w:tcPr>
          <w:p w14:paraId="089965AF"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0.34</w:t>
            </w:r>
          </w:p>
        </w:tc>
      </w:tr>
      <w:tr w:rsidR="008C3153" w:rsidRPr="008D2FAC" w14:paraId="0B28F5D0"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19B2D249"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Salivary gland</w:t>
            </w:r>
          </w:p>
        </w:tc>
        <w:tc>
          <w:tcPr>
            <w:tcW w:w="682" w:type="pct"/>
            <w:tcBorders>
              <w:top w:val="nil"/>
              <w:left w:val="nil"/>
              <w:bottom w:val="nil"/>
              <w:right w:val="nil"/>
            </w:tcBorders>
            <w:shd w:val="clear" w:color="000000" w:fill="FFFFFF"/>
            <w:noWrap/>
            <w:vAlign w:val="center"/>
            <w:hideMark/>
          </w:tcPr>
          <w:p w14:paraId="7C3A02D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£44,227</w:t>
            </w:r>
          </w:p>
        </w:tc>
        <w:tc>
          <w:tcPr>
            <w:tcW w:w="843" w:type="pct"/>
            <w:tcBorders>
              <w:top w:val="nil"/>
              <w:left w:val="nil"/>
              <w:bottom w:val="nil"/>
              <w:right w:val="nil"/>
            </w:tcBorders>
            <w:shd w:val="clear" w:color="000000" w:fill="FFFFFF"/>
            <w:noWrap/>
            <w:vAlign w:val="center"/>
            <w:hideMark/>
          </w:tcPr>
          <w:p w14:paraId="588B3D5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1.58</w:t>
            </w:r>
          </w:p>
        </w:tc>
        <w:tc>
          <w:tcPr>
            <w:tcW w:w="804" w:type="pct"/>
            <w:tcBorders>
              <w:top w:val="nil"/>
              <w:left w:val="nil"/>
              <w:bottom w:val="nil"/>
              <w:right w:val="nil"/>
            </w:tcBorders>
            <w:shd w:val="clear" w:color="000000" w:fill="FFFFFF"/>
            <w:noWrap/>
            <w:vAlign w:val="center"/>
            <w:hideMark/>
          </w:tcPr>
          <w:p w14:paraId="70BDAAB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21.82%</w:t>
            </w:r>
          </w:p>
        </w:tc>
        <w:tc>
          <w:tcPr>
            <w:tcW w:w="784" w:type="pct"/>
            <w:tcBorders>
              <w:top w:val="nil"/>
              <w:left w:val="nil"/>
              <w:bottom w:val="nil"/>
              <w:right w:val="nil"/>
            </w:tcBorders>
            <w:shd w:val="clear" w:color="000000" w:fill="FFFFFF"/>
            <w:noWrap/>
            <w:vAlign w:val="bottom"/>
            <w:hideMark/>
          </w:tcPr>
          <w:p w14:paraId="374A31F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£9,649</w:t>
            </w:r>
          </w:p>
        </w:tc>
        <w:tc>
          <w:tcPr>
            <w:tcW w:w="768" w:type="pct"/>
            <w:tcBorders>
              <w:top w:val="nil"/>
              <w:left w:val="nil"/>
              <w:bottom w:val="nil"/>
              <w:right w:val="single" w:sz="8" w:space="0" w:color="auto"/>
            </w:tcBorders>
            <w:shd w:val="clear" w:color="000000" w:fill="FFFFFF"/>
            <w:noWrap/>
            <w:vAlign w:val="bottom"/>
            <w:hideMark/>
          </w:tcPr>
          <w:p w14:paraId="346B159D"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0.35</w:t>
            </w:r>
          </w:p>
        </w:tc>
      </w:tr>
      <w:tr w:rsidR="008C3153" w:rsidRPr="008D2FAC" w14:paraId="0705B42A"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3D6AF4DE"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IFS</w:t>
            </w:r>
          </w:p>
        </w:tc>
        <w:tc>
          <w:tcPr>
            <w:tcW w:w="682" w:type="pct"/>
            <w:tcBorders>
              <w:top w:val="nil"/>
              <w:left w:val="nil"/>
              <w:bottom w:val="nil"/>
              <w:right w:val="nil"/>
            </w:tcBorders>
            <w:shd w:val="clear" w:color="000000" w:fill="FFFFFF"/>
            <w:noWrap/>
            <w:vAlign w:val="center"/>
            <w:hideMark/>
          </w:tcPr>
          <w:p w14:paraId="4B40CD5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£48,861</w:t>
            </w:r>
          </w:p>
        </w:tc>
        <w:tc>
          <w:tcPr>
            <w:tcW w:w="843" w:type="pct"/>
            <w:tcBorders>
              <w:top w:val="nil"/>
              <w:left w:val="nil"/>
              <w:bottom w:val="nil"/>
              <w:right w:val="nil"/>
            </w:tcBorders>
            <w:shd w:val="clear" w:color="000000" w:fill="FFFFFF"/>
            <w:noWrap/>
            <w:vAlign w:val="center"/>
            <w:hideMark/>
          </w:tcPr>
          <w:p w14:paraId="1012D45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1.80</w:t>
            </w:r>
          </w:p>
        </w:tc>
        <w:tc>
          <w:tcPr>
            <w:tcW w:w="804" w:type="pct"/>
            <w:tcBorders>
              <w:top w:val="nil"/>
              <w:left w:val="nil"/>
              <w:bottom w:val="nil"/>
              <w:right w:val="nil"/>
            </w:tcBorders>
            <w:shd w:val="clear" w:color="000000" w:fill="FFFFFF"/>
            <w:noWrap/>
            <w:vAlign w:val="center"/>
            <w:hideMark/>
          </w:tcPr>
          <w:p w14:paraId="3D68842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12.73%</w:t>
            </w:r>
          </w:p>
        </w:tc>
        <w:tc>
          <w:tcPr>
            <w:tcW w:w="784" w:type="pct"/>
            <w:tcBorders>
              <w:top w:val="nil"/>
              <w:left w:val="nil"/>
              <w:bottom w:val="nil"/>
              <w:right w:val="nil"/>
            </w:tcBorders>
            <w:shd w:val="clear" w:color="000000" w:fill="FFFFFF"/>
            <w:noWrap/>
            <w:vAlign w:val="bottom"/>
            <w:hideMark/>
          </w:tcPr>
          <w:p w14:paraId="6DA31D7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£6,219</w:t>
            </w:r>
          </w:p>
        </w:tc>
        <w:tc>
          <w:tcPr>
            <w:tcW w:w="768" w:type="pct"/>
            <w:tcBorders>
              <w:top w:val="nil"/>
              <w:left w:val="nil"/>
              <w:bottom w:val="nil"/>
              <w:right w:val="single" w:sz="8" w:space="0" w:color="auto"/>
            </w:tcBorders>
            <w:shd w:val="clear" w:color="000000" w:fill="FFFFFF"/>
            <w:noWrap/>
            <w:vAlign w:val="bottom"/>
            <w:hideMark/>
          </w:tcPr>
          <w:p w14:paraId="25AD5E4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0.23</w:t>
            </w:r>
          </w:p>
        </w:tc>
      </w:tr>
      <w:tr w:rsidR="008C3153" w:rsidRPr="008D2FAC" w14:paraId="1DE3B07B"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00DD6CDA"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Thyroid</w:t>
            </w:r>
          </w:p>
        </w:tc>
        <w:tc>
          <w:tcPr>
            <w:tcW w:w="682" w:type="pct"/>
            <w:tcBorders>
              <w:top w:val="nil"/>
              <w:left w:val="nil"/>
              <w:bottom w:val="nil"/>
              <w:right w:val="nil"/>
            </w:tcBorders>
            <w:shd w:val="clear" w:color="000000" w:fill="FFFFFF"/>
            <w:noWrap/>
            <w:vAlign w:val="center"/>
            <w:hideMark/>
          </w:tcPr>
          <w:p w14:paraId="49A5A68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£48,144</w:t>
            </w:r>
          </w:p>
        </w:tc>
        <w:tc>
          <w:tcPr>
            <w:tcW w:w="843" w:type="pct"/>
            <w:tcBorders>
              <w:top w:val="nil"/>
              <w:left w:val="nil"/>
              <w:bottom w:val="nil"/>
              <w:right w:val="nil"/>
            </w:tcBorders>
            <w:shd w:val="clear" w:color="000000" w:fill="FFFFFF"/>
            <w:noWrap/>
            <w:vAlign w:val="center"/>
            <w:hideMark/>
          </w:tcPr>
          <w:p w14:paraId="72F1B5B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1.76</w:t>
            </w:r>
          </w:p>
        </w:tc>
        <w:tc>
          <w:tcPr>
            <w:tcW w:w="804" w:type="pct"/>
            <w:tcBorders>
              <w:top w:val="nil"/>
              <w:left w:val="nil"/>
              <w:bottom w:val="nil"/>
              <w:right w:val="nil"/>
            </w:tcBorders>
            <w:shd w:val="clear" w:color="000000" w:fill="FFFFFF"/>
            <w:noWrap/>
            <w:vAlign w:val="center"/>
            <w:hideMark/>
          </w:tcPr>
          <w:p w14:paraId="3DD5601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9.09%</w:t>
            </w:r>
          </w:p>
        </w:tc>
        <w:tc>
          <w:tcPr>
            <w:tcW w:w="784" w:type="pct"/>
            <w:tcBorders>
              <w:top w:val="nil"/>
              <w:left w:val="nil"/>
              <w:bottom w:val="nil"/>
              <w:right w:val="nil"/>
            </w:tcBorders>
            <w:shd w:val="clear" w:color="000000" w:fill="FFFFFF"/>
            <w:noWrap/>
            <w:vAlign w:val="bottom"/>
            <w:hideMark/>
          </w:tcPr>
          <w:p w14:paraId="3DD4ED36"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£4,377</w:t>
            </w:r>
          </w:p>
        </w:tc>
        <w:tc>
          <w:tcPr>
            <w:tcW w:w="768" w:type="pct"/>
            <w:tcBorders>
              <w:top w:val="nil"/>
              <w:left w:val="nil"/>
              <w:bottom w:val="nil"/>
              <w:right w:val="single" w:sz="8" w:space="0" w:color="auto"/>
            </w:tcBorders>
            <w:shd w:val="clear" w:color="000000" w:fill="FFFFFF"/>
            <w:noWrap/>
            <w:vAlign w:val="bottom"/>
            <w:hideMark/>
          </w:tcPr>
          <w:p w14:paraId="2C9CFEB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0.16</w:t>
            </w:r>
          </w:p>
        </w:tc>
      </w:tr>
      <w:tr w:rsidR="008C3153" w:rsidRPr="008D2FAC" w14:paraId="60EDC227"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42F632E7"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Lung</w:t>
            </w:r>
          </w:p>
        </w:tc>
        <w:tc>
          <w:tcPr>
            <w:tcW w:w="682" w:type="pct"/>
            <w:tcBorders>
              <w:top w:val="nil"/>
              <w:left w:val="nil"/>
              <w:bottom w:val="nil"/>
              <w:right w:val="nil"/>
            </w:tcBorders>
            <w:shd w:val="clear" w:color="000000" w:fill="FFFFFF"/>
            <w:noWrap/>
            <w:vAlign w:val="center"/>
            <w:hideMark/>
          </w:tcPr>
          <w:p w14:paraId="7A0BA80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£40,561</w:t>
            </w:r>
          </w:p>
        </w:tc>
        <w:tc>
          <w:tcPr>
            <w:tcW w:w="843" w:type="pct"/>
            <w:tcBorders>
              <w:top w:val="nil"/>
              <w:left w:val="nil"/>
              <w:bottom w:val="nil"/>
              <w:right w:val="nil"/>
            </w:tcBorders>
            <w:shd w:val="clear" w:color="000000" w:fill="FFFFFF"/>
            <w:noWrap/>
            <w:vAlign w:val="center"/>
            <w:hideMark/>
          </w:tcPr>
          <w:p w14:paraId="2C3AD64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1.41</w:t>
            </w:r>
          </w:p>
        </w:tc>
        <w:tc>
          <w:tcPr>
            <w:tcW w:w="804" w:type="pct"/>
            <w:tcBorders>
              <w:top w:val="nil"/>
              <w:left w:val="nil"/>
              <w:bottom w:val="nil"/>
              <w:right w:val="nil"/>
            </w:tcBorders>
            <w:shd w:val="clear" w:color="000000" w:fill="FFFFFF"/>
            <w:noWrap/>
            <w:vAlign w:val="center"/>
            <w:hideMark/>
          </w:tcPr>
          <w:p w14:paraId="683B872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7.27%</w:t>
            </w:r>
          </w:p>
        </w:tc>
        <w:tc>
          <w:tcPr>
            <w:tcW w:w="784" w:type="pct"/>
            <w:tcBorders>
              <w:top w:val="nil"/>
              <w:left w:val="nil"/>
              <w:bottom w:val="nil"/>
              <w:right w:val="nil"/>
            </w:tcBorders>
            <w:shd w:val="clear" w:color="000000" w:fill="FFFFFF"/>
            <w:noWrap/>
            <w:vAlign w:val="bottom"/>
            <w:hideMark/>
          </w:tcPr>
          <w:p w14:paraId="4EBD052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£2,950</w:t>
            </w:r>
          </w:p>
        </w:tc>
        <w:tc>
          <w:tcPr>
            <w:tcW w:w="768" w:type="pct"/>
            <w:tcBorders>
              <w:top w:val="nil"/>
              <w:left w:val="nil"/>
              <w:bottom w:val="nil"/>
              <w:right w:val="single" w:sz="8" w:space="0" w:color="auto"/>
            </w:tcBorders>
            <w:shd w:val="clear" w:color="000000" w:fill="FFFFFF"/>
            <w:noWrap/>
            <w:vAlign w:val="bottom"/>
            <w:hideMark/>
          </w:tcPr>
          <w:p w14:paraId="447BEAD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0.10</w:t>
            </w:r>
          </w:p>
        </w:tc>
      </w:tr>
      <w:tr w:rsidR="008C3153" w:rsidRPr="008D2FAC" w14:paraId="66EADC57"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1C3E2FE8"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Melanoma</w:t>
            </w:r>
          </w:p>
        </w:tc>
        <w:tc>
          <w:tcPr>
            <w:tcW w:w="682" w:type="pct"/>
            <w:tcBorders>
              <w:top w:val="nil"/>
              <w:left w:val="nil"/>
              <w:bottom w:val="nil"/>
              <w:right w:val="nil"/>
            </w:tcBorders>
            <w:shd w:val="clear" w:color="000000" w:fill="FFFFFF"/>
            <w:noWrap/>
            <w:vAlign w:val="center"/>
            <w:hideMark/>
          </w:tcPr>
          <w:p w14:paraId="18C093AD"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£32,492</w:t>
            </w:r>
          </w:p>
        </w:tc>
        <w:tc>
          <w:tcPr>
            <w:tcW w:w="843" w:type="pct"/>
            <w:tcBorders>
              <w:top w:val="nil"/>
              <w:left w:val="nil"/>
              <w:bottom w:val="nil"/>
              <w:right w:val="nil"/>
            </w:tcBorders>
            <w:shd w:val="clear" w:color="000000" w:fill="FFFFFF"/>
            <w:noWrap/>
            <w:vAlign w:val="center"/>
            <w:hideMark/>
          </w:tcPr>
          <w:p w14:paraId="2EEE16C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1.04</w:t>
            </w:r>
          </w:p>
        </w:tc>
        <w:tc>
          <w:tcPr>
            <w:tcW w:w="804" w:type="pct"/>
            <w:tcBorders>
              <w:top w:val="nil"/>
              <w:left w:val="nil"/>
              <w:bottom w:val="nil"/>
              <w:right w:val="nil"/>
            </w:tcBorders>
            <w:shd w:val="clear" w:color="000000" w:fill="FFFFFF"/>
            <w:noWrap/>
            <w:vAlign w:val="center"/>
            <w:hideMark/>
          </w:tcPr>
          <w:p w14:paraId="7EEBF22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7.27%</w:t>
            </w:r>
          </w:p>
        </w:tc>
        <w:tc>
          <w:tcPr>
            <w:tcW w:w="784" w:type="pct"/>
            <w:tcBorders>
              <w:top w:val="nil"/>
              <w:left w:val="nil"/>
              <w:bottom w:val="nil"/>
              <w:right w:val="nil"/>
            </w:tcBorders>
            <w:shd w:val="clear" w:color="000000" w:fill="FFFFFF"/>
            <w:noWrap/>
            <w:vAlign w:val="bottom"/>
            <w:hideMark/>
          </w:tcPr>
          <w:p w14:paraId="3CB6C98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£2,363</w:t>
            </w:r>
          </w:p>
        </w:tc>
        <w:tc>
          <w:tcPr>
            <w:tcW w:w="768" w:type="pct"/>
            <w:tcBorders>
              <w:top w:val="nil"/>
              <w:left w:val="nil"/>
              <w:bottom w:val="nil"/>
              <w:right w:val="single" w:sz="8" w:space="0" w:color="auto"/>
            </w:tcBorders>
            <w:shd w:val="clear" w:color="000000" w:fill="FFFFFF"/>
            <w:noWrap/>
            <w:vAlign w:val="bottom"/>
            <w:hideMark/>
          </w:tcPr>
          <w:p w14:paraId="4B5DC21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0.08</w:t>
            </w:r>
          </w:p>
        </w:tc>
      </w:tr>
      <w:tr w:rsidR="008C3153" w:rsidRPr="008D2FAC" w14:paraId="0E55B081"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5B13F176"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Colon</w:t>
            </w:r>
          </w:p>
        </w:tc>
        <w:tc>
          <w:tcPr>
            <w:tcW w:w="682" w:type="pct"/>
            <w:tcBorders>
              <w:top w:val="nil"/>
              <w:left w:val="nil"/>
              <w:bottom w:val="nil"/>
              <w:right w:val="nil"/>
            </w:tcBorders>
            <w:shd w:val="clear" w:color="000000" w:fill="FFFFFF"/>
            <w:noWrap/>
            <w:vAlign w:val="center"/>
            <w:hideMark/>
          </w:tcPr>
          <w:p w14:paraId="27231F60"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£24,197</w:t>
            </w:r>
          </w:p>
        </w:tc>
        <w:tc>
          <w:tcPr>
            <w:tcW w:w="843" w:type="pct"/>
            <w:tcBorders>
              <w:top w:val="nil"/>
              <w:left w:val="nil"/>
              <w:bottom w:val="nil"/>
              <w:right w:val="nil"/>
            </w:tcBorders>
            <w:shd w:val="clear" w:color="000000" w:fill="FFFFFF"/>
            <w:noWrap/>
            <w:vAlign w:val="center"/>
            <w:hideMark/>
          </w:tcPr>
          <w:p w14:paraId="097761BF"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0.66</w:t>
            </w:r>
          </w:p>
        </w:tc>
        <w:tc>
          <w:tcPr>
            <w:tcW w:w="804" w:type="pct"/>
            <w:tcBorders>
              <w:top w:val="nil"/>
              <w:left w:val="nil"/>
              <w:bottom w:val="nil"/>
              <w:right w:val="nil"/>
            </w:tcBorders>
            <w:shd w:val="clear" w:color="000000" w:fill="FFFFFF"/>
            <w:noWrap/>
            <w:vAlign w:val="center"/>
            <w:hideMark/>
          </w:tcPr>
          <w:p w14:paraId="43ED94E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7.27%</w:t>
            </w:r>
          </w:p>
        </w:tc>
        <w:tc>
          <w:tcPr>
            <w:tcW w:w="784" w:type="pct"/>
            <w:tcBorders>
              <w:top w:val="nil"/>
              <w:left w:val="nil"/>
              <w:bottom w:val="nil"/>
              <w:right w:val="nil"/>
            </w:tcBorders>
            <w:shd w:val="clear" w:color="000000" w:fill="FFFFFF"/>
            <w:noWrap/>
            <w:vAlign w:val="bottom"/>
            <w:hideMark/>
          </w:tcPr>
          <w:p w14:paraId="0C757A4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£1,760</w:t>
            </w:r>
          </w:p>
        </w:tc>
        <w:tc>
          <w:tcPr>
            <w:tcW w:w="768" w:type="pct"/>
            <w:tcBorders>
              <w:top w:val="nil"/>
              <w:left w:val="nil"/>
              <w:bottom w:val="nil"/>
              <w:right w:val="single" w:sz="8" w:space="0" w:color="auto"/>
            </w:tcBorders>
            <w:shd w:val="clear" w:color="000000" w:fill="FFFFFF"/>
            <w:noWrap/>
            <w:vAlign w:val="bottom"/>
            <w:hideMark/>
          </w:tcPr>
          <w:p w14:paraId="11E1611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0.05</w:t>
            </w:r>
          </w:p>
        </w:tc>
      </w:tr>
      <w:tr w:rsidR="008C3153" w:rsidRPr="008D2FAC" w14:paraId="614A5EE4"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08610ADA"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GIST</w:t>
            </w:r>
          </w:p>
        </w:tc>
        <w:tc>
          <w:tcPr>
            <w:tcW w:w="682" w:type="pct"/>
            <w:tcBorders>
              <w:top w:val="nil"/>
              <w:left w:val="nil"/>
              <w:bottom w:val="nil"/>
              <w:right w:val="nil"/>
            </w:tcBorders>
            <w:shd w:val="clear" w:color="000000" w:fill="FFFFFF"/>
            <w:noWrap/>
            <w:vAlign w:val="center"/>
            <w:hideMark/>
          </w:tcPr>
          <w:p w14:paraId="0DE9F356"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£46,763</w:t>
            </w:r>
          </w:p>
        </w:tc>
        <w:tc>
          <w:tcPr>
            <w:tcW w:w="843" w:type="pct"/>
            <w:tcBorders>
              <w:top w:val="nil"/>
              <w:left w:val="nil"/>
              <w:bottom w:val="nil"/>
              <w:right w:val="nil"/>
            </w:tcBorders>
            <w:shd w:val="clear" w:color="000000" w:fill="FFFFFF"/>
            <w:noWrap/>
            <w:vAlign w:val="center"/>
            <w:hideMark/>
          </w:tcPr>
          <w:p w14:paraId="6328EF2D"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1.70</w:t>
            </w:r>
          </w:p>
        </w:tc>
        <w:tc>
          <w:tcPr>
            <w:tcW w:w="804" w:type="pct"/>
            <w:tcBorders>
              <w:top w:val="nil"/>
              <w:left w:val="nil"/>
              <w:bottom w:val="nil"/>
              <w:right w:val="nil"/>
            </w:tcBorders>
            <w:shd w:val="clear" w:color="000000" w:fill="FFFFFF"/>
            <w:noWrap/>
            <w:vAlign w:val="center"/>
            <w:hideMark/>
          </w:tcPr>
          <w:p w14:paraId="346C6F6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5.45%</w:t>
            </w:r>
          </w:p>
        </w:tc>
        <w:tc>
          <w:tcPr>
            <w:tcW w:w="784" w:type="pct"/>
            <w:tcBorders>
              <w:top w:val="nil"/>
              <w:left w:val="nil"/>
              <w:bottom w:val="nil"/>
              <w:right w:val="nil"/>
            </w:tcBorders>
            <w:shd w:val="clear" w:color="000000" w:fill="FFFFFF"/>
            <w:noWrap/>
            <w:vAlign w:val="bottom"/>
            <w:hideMark/>
          </w:tcPr>
          <w:p w14:paraId="3EF9DAD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£2,551</w:t>
            </w:r>
          </w:p>
        </w:tc>
        <w:tc>
          <w:tcPr>
            <w:tcW w:w="768" w:type="pct"/>
            <w:tcBorders>
              <w:top w:val="nil"/>
              <w:left w:val="nil"/>
              <w:bottom w:val="nil"/>
              <w:right w:val="single" w:sz="8" w:space="0" w:color="auto"/>
            </w:tcBorders>
            <w:shd w:val="clear" w:color="000000" w:fill="FFFFFF"/>
            <w:noWrap/>
            <w:vAlign w:val="bottom"/>
            <w:hideMark/>
          </w:tcPr>
          <w:p w14:paraId="124E4F7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0.09</w:t>
            </w:r>
          </w:p>
        </w:tc>
      </w:tr>
      <w:tr w:rsidR="008C3153" w:rsidRPr="008D2FAC" w14:paraId="5BD6F89B"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7D273D8C"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Cholangiocarcinoma</w:t>
            </w:r>
          </w:p>
        </w:tc>
        <w:tc>
          <w:tcPr>
            <w:tcW w:w="682" w:type="pct"/>
            <w:tcBorders>
              <w:top w:val="nil"/>
              <w:left w:val="nil"/>
              <w:bottom w:val="nil"/>
              <w:right w:val="nil"/>
            </w:tcBorders>
            <w:shd w:val="clear" w:color="000000" w:fill="FFFFFF"/>
            <w:noWrap/>
            <w:vAlign w:val="center"/>
            <w:hideMark/>
          </w:tcPr>
          <w:p w14:paraId="6571133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£19,791</w:t>
            </w:r>
          </w:p>
        </w:tc>
        <w:tc>
          <w:tcPr>
            <w:tcW w:w="843" w:type="pct"/>
            <w:tcBorders>
              <w:top w:val="nil"/>
              <w:left w:val="nil"/>
              <w:bottom w:val="nil"/>
              <w:right w:val="nil"/>
            </w:tcBorders>
            <w:shd w:val="clear" w:color="000000" w:fill="FFFFFF"/>
            <w:noWrap/>
            <w:vAlign w:val="center"/>
            <w:hideMark/>
          </w:tcPr>
          <w:p w14:paraId="3DFA88B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0.45</w:t>
            </w:r>
          </w:p>
        </w:tc>
        <w:tc>
          <w:tcPr>
            <w:tcW w:w="804" w:type="pct"/>
            <w:tcBorders>
              <w:top w:val="nil"/>
              <w:left w:val="nil"/>
              <w:bottom w:val="nil"/>
              <w:right w:val="nil"/>
            </w:tcBorders>
            <w:shd w:val="clear" w:color="000000" w:fill="FFFFFF"/>
            <w:noWrap/>
            <w:vAlign w:val="center"/>
            <w:hideMark/>
          </w:tcPr>
          <w:p w14:paraId="4F5C5BC7"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3.64%</w:t>
            </w:r>
          </w:p>
        </w:tc>
        <w:tc>
          <w:tcPr>
            <w:tcW w:w="784" w:type="pct"/>
            <w:tcBorders>
              <w:top w:val="nil"/>
              <w:left w:val="nil"/>
              <w:bottom w:val="nil"/>
              <w:right w:val="nil"/>
            </w:tcBorders>
            <w:shd w:val="clear" w:color="000000" w:fill="FFFFFF"/>
            <w:noWrap/>
            <w:vAlign w:val="bottom"/>
            <w:hideMark/>
          </w:tcPr>
          <w:p w14:paraId="2539C61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£720</w:t>
            </w:r>
          </w:p>
        </w:tc>
        <w:tc>
          <w:tcPr>
            <w:tcW w:w="768" w:type="pct"/>
            <w:tcBorders>
              <w:top w:val="nil"/>
              <w:left w:val="nil"/>
              <w:bottom w:val="nil"/>
              <w:right w:val="single" w:sz="8" w:space="0" w:color="auto"/>
            </w:tcBorders>
            <w:shd w:val="clear" w:color="000000" w:fill="FFFFFF"/>
            <w:noWrap/>
            <w:vAlign w:val="bottom"/>
            <w:hideMark/>
          </w:tcPr>
          <w:p w14:paraId="3470862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0.02</w:t>
            </w:r>
          </w:p>
        </w:tc>
      </w:tr>
      <w:tr w:rsidR="008C3153" w:rsidRPr="008D2FAC" w14:paraId="0BBB81B1"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610C30DE"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Appendix</w:t>
            </w:r>
          </w:p>
        </w:tc>
        <w:tc>
          <w:tcPr>
            <w:tcW w:w="682" w:type="pct"/>
            <w:tcBorders>
              <w:top w:val="nil"/>
              <w:left w:val="nil"/>
              <w:bottom w:val="nil"/>
              <w:right w:val="nil"/>
            </w:tcBorders>
            <w:shd w:val="clear" w:color="000000" w:fill="FFFFFF"/>
            <w:noWrap/>
            <w:vAlign w:val="center"/>
            <w:hideMark/>
          </w:tcPr>
          <w:p w14:paraId="2BBB975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£23,302</w:t>
            </w:r>
          </w:p>
        </w:tc>
        <w:tc>
          <w:tcPr>
            <w:tcW w:w="843" w:type="pct"/>
            <w:tcBorders>
              <w:top w:val="nil"/>
              <w:left w:val="nil"/>
              <w:bottom w:val="nil"/>
              <w:right w:val="nil"/>
            </w:tcBorders>
            <w:shd w:val="clear" w:color="000000" w:fill="FFFFFF"/>
            <w:noWrap/>
            <w:vAlign w:val="center"/>
            <w:hideMark/>
          </w:tcPr>
          <w:p w14:paraId="56A953D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0.62</w:t>
            </w:r>
          </w:p>
        </w:tc>
        <w:tc>
          <w:tcPr>
            <w:tcW w:w="804" w:type="pct"/>
            <w:tcBorders>
              <w:top w:val="nil"/>
              <w:left w:val="nil"/>
              <w:bottom w:val="nil"/>
              <w:right w:val="nil"/>
            </w:tcBorders>
            <w:shd w:val="clear" w:color="000000" w:fill="FFFFFF"/>
            <w:noWrap/>
            <w:vAlign w:val="center"/>
            <w:hideMark/>
          </w:tcPr>
          <w:p w14:paraId="3901851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1.82%</w:t>
            </w:r>
          </w:p>
        </w:tc>
        <w:tc>
          <w:tcPr>
            <w:tcW w:w="784" w:type="pct"/>
            <w:tcBorders>
              <w:top w:val="nil"/>
              <w:left w:val="nil"/>
              <w:bottom w:val="nil"/>
              <w:right w:val="nil"/>
            </w:tcBorders>
            <w:shd w:val="clear" w:color="000000" w:fill="FFFFFF"/>
            <w:noWrap/>
            <w:vAlign w:val="bottom"/>
            <w:hideMark/>
          </w:tcPr>
          <w:p w14:paraId="0A5CA3F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£424</w:t>
            </w:r>
          </w:p>
        </w:tc>
        <w:tc>
          <w:tcPr>
            <w:tcW w:w="768" w:type="pct"/>
            <w:tcBorders>
              <w:top w:val="nil"/>
              <w:left w:val="nil"/>
              <w:bottom w:val="nil"/>
              <w:right w:val="single" w:sz="8" w:space="0" w:color="auto"/>
            </w:tcBorders>
            <w:shd w:val="clear" w:color="000000" w:fill="FFFFFF"/>
            <w:noWrap/>
            <w:vAlign w:val="bottom"/>
            <w:hideMark/>
          </w:tcPr>
          <w:p w14:paraId="1F0B334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0.01</w:t>
            </w:r>
          </w:p>
        </w:tc>
      </w:tr>
      <w:tr w:rsidR="008C3153" w:rsidRPr="008D2FAC" w14:paraId="26E7ED5B" w14:textId="77777777" w:rsidTr="00AB705A">
        <w:trPr>
          <w:trHeight w:val="294"/>
        </w:trPr>
        <w:tc>
          <w:tcPr>
            <w:tcW w:w="1120" w:type="pct"/>
            <w:tcBorders>
              <w:top w:val="nil"/>
              <w:left w:val="single" w:sz="8" w:space="0" w:color="auto"/>
              <w:bottom w:val="nil"/>
              <w:right w:val="nil"/>
            </w:tcBorders>
            <w:shd w:val="clear" w:color="000000" w:fill="FFFFFF"/>
            <w:noWrap/>
            <w:vAlign w:val="center"/>
            <w:hideMark/>
          </w:tcPr>
          <w:p w14:paraId="336B14AE"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Breast</w:t>
            </w:r>
          </w:p>
        </w:tc>
        <w:tc>
          <w:tcPr>
            <w:tcW w:w="682" w:type="pct"/>
            <w:tcBorders>
              <w:top w:val="nil"/>
              <w:left w:val="nil"/>
              <w:bottom w:val="nil"/>
              <w:right w:val="nil"/>
            </w:tcBorders>
            <w:shd w:val="clear" w:color="000000" w:fill="FFFFFF"/>
            <w:noWrap/>
            <w:vAlign w:val="center"/>
            <w:hideMark/>
          </w:tcPr>
          <w:p w14:paraId="2E052596"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£23,297</w:t>
            </w:r>
          </w:p>
        </w:tc>
        <w:tc>
          <w:tcPr>
            <w:tcW w:w="843" w:type="pct"/>
            <w:tcBorders>
              <w:top w:val="nil"/>
              <w:left w:val="nil"/>
              <w:bottom w:val="nil"/>
              <w:right w:val="nil"/>
            </w:tcBorders>
            <w:shd w:val="clear" w:color="000000" w:fill="FFFFFF"/>
            <w:noWrap/>
            <w:vAlign w:val="center"/>
            <w:hideMark/>
          </w:tcPr>
          <w:p w14:paraId="167FC52F"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0.62</w:t>
            </w:r>
          </w:p>
        </w:tc>
        <w:tc>
          <w:tcPr>
            <w:tcW w:w="804" w:type="pct"/>
            <w:tcBorders>
              <w:top w:val="nil"/>
              <w:left w:val="nil"/>
              <w:bottom w:val="nil"/>
              <w:right w:val="nil"/>
            </w:tcBorders>
            <w:shd w:val="clear" w:color="000000" w:fill="FFFFFF"/>
            <w:noWrap/>
            <w:vAlign w:val="center"/>
            <w:hideMark/>
          </w:tcPr>
          <w:p w14:paraId="3EBC5FCF"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1.82%</w:t>
            </w:r>
          </w:p>
        </w:tc>
        <w:tc>
          <w:tcPr>
            <w:tcW w:w="784" w:type="pct"/>
            <w:tcBorders>
              <w:top w:val="nil"/>
              <w:left w:val="nil"/>
              <w:bottom w:val="nil"/>
              <w:right w:val="nil"/>
            </w:tcBorders>
            <w:shd w:val="clear" w:color="000000" w:fill="FFFFFF"/>
            <w:noWrap/>
            <w:vAlign w:val="bottom"/>
            <w:hideMark/>
          </w:tcPr>
          <w:p w14:paraId="5BB469D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£424</w:t>
            </w:r>
          </w:p>
        </w:tc>
        <w:tc>
          <w:tcPr>
            <w:tcW w:w="768" w:type="pct"/>
            <w:tcBorders>
              <w:top w:val="nil"/>
              <w:left w:val="nil"/>
              <w:bottom w:val="nil"/>
              <w:right w:val="single" w:sz="8" w:space="0" w:color="auto"/>
            </w:tcBorders>
            <w:shd w:val="clear" w:color="000000" w:fill="FFFFFF"/>
            <w:noWrap/>
            <w:vAlign w:val="bottom"/>
            <w:hideMark/>
          </w:tcPr>
          <w:p w14:paraId="334CDDD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0.01</w:t>
            </w:r>
          </w:p>
        </w:tc>
      </w:tr>
      <w:tr w:rsidR="008C3153" w:rsidRPr="008D2FAC" w14:paraId="1F39D569" w14:textId="77777777" w:rsidTr="00AB705A">
        <w:trPr>
          <w:trHeight w:val="309"/>
        </w:trPr>
        <w:tc>
          <w:tcPr>
            <w:tcW w:w="1120" w:type="pct"/>
            <w:tcBorders>
              <w:top w:val="nil"/>
              <w:left w:val="single" w:sz="8" w:space="0" w:color="auto"/>
              <w:bottom w:val="single" w:sz="8" w:space="0" w:color="auto"/>
              <w:right w:val="nil"/>
            </w:tcBorders>
            <w:shd w:val="clear" w:color="000000" w:fill="FFFFFF"/>
            <w:noWrap/>
            <w:vAlign w:val="center"/>
            <w:hideMark/>
          </w:tcPr>
          <w:p w14:paraId="2A898AE3"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Pancreas</w:t>
            </w:r>
          </w:p>
        </w:tc>
        <w:tc>
          <w:tcPr>
            <w:tcW w:w="682" w:type="pct"/>
            <w:tcBorders>
              <w:top w:val="nil"/>
              <w:left w:val="nil"/>
              <w:bottom w:val="single" w:sz="8" w:space="0" w:color="auto"/>
              <w:right w:val="nil"/>
            </w:tcBorders>
            <w:shd w:val="clear" w:color="000000" w:fill="FFFFFF"/>
            <w:noWrap/>
            <w:vAlign w:val="center"/>
            <w:hideMark/>
          </w:tcPr>
          <w:p w14:paraId="79A1DD3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£23,280</w:t>
            </w:r>
          </w:p>
        </w:tc>
        <w:tc>
          <w:tcPr>
            <w:tcW w:w="843" w:type="pct"/>
            <w:tcBorders>
              <w:top w:val="nil"/>
              <w:left w:val="nil"/>
              <w:bottom w:val="single" w:sz="8" w:space="0" w:color="auto"/>
              <w:right w:val="nil"/>
            </w:tcBorders>
            <w:shd w:val="clear" w:color="000000" w:fill="FFFFFF"/>
            <w:noWrap/>
            <w:vAlign w:val="center"/>
            <w:hideMark/>
          </w:tcPr>
          <w:p w14:paraId="51B13E8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0.61</w:t>
            </w:r>
          </w:p>
        </w:tc>
        <w:tc>
          <w:tcPr>
            <w:tcW w:w="804" w:type="pct"/>
            <w:tcBorders>
              <w:top w:val="nil"/>
              <w:left w:val="nil"/>
              <w:bottom w:val="single" w:sz="8" w:space="0" w:color="auto"/>
              <w:right w:val="nil"/>
            </w:tcBorders>
            <w:shd w:val="clear" w:color="000000" w:fill="FFFFFF"/>
            <w:noWrap/>
            <w:vAlign w:val="center"/>
            <w:hideMark/>
          </w:tcPr>
          <w:p w14:paraId="17B8CB70"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1.82%</w:t>
            </w:r>
          </w:p>
        </w:tc>
        <w:tc>
          <w:tcPr>
            <w:tcW w:w="784" w:type="pct"/>
            <w:tcBorders>
              <w:top w:val="nil"/>
              <w:left w:val="nil"/>
              <w:bottom w:val="single" w:sz="8" w:space="0" w:color="auto"/>
              <w:right w:val="nil"/>
            </w:tcBorders>
            <w:shd w:val="clear" w:color="000000" w:fill="FFFFFF"/>
            <w:noWrap/>
            <w:vAlign w:val="bottom"/>
            <w:hideMark/>
          </w:tcPr>
          <w:p w14:paraId="27614DF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£423</w:t>
            </w:r>
          </w:p>
        </w:tc>
        <w:tc>
          <w:tcPr>
            <w:tcW w:w="768" w:type="pct"/>
            <w:tcBorders>
              <w:top w:val="nil"/>
              <w:left w:val="nil"/>
              <w:bottom w:val="single" w:sz="8" w:space="0" w:color="auto"/>
              <w:right w:val="single" w:sz="8" w:space="0" w:color="auto"/>
            </w:tcBorders>
            <w:shd w:val="clear" w:color="000000" w:fill="FFFFFF"/>
            <w:noWrap/>
            <w:vAlign w:val="bottom"/>
            <w:hideMark/>
          </w:tcPr>
          <w:p w14:paraId="5AF90B7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0.01</w:t>
            </w:r>
          </w:p>
        </w:tc>
      </w:tr>
      <w:tr w:rsidR="008C3153" w:rsidRPr="008D2FAC" w14:paraId="1088A3AA" w14:textId="77777777" w:rsidTr="00AB705A">
        <w:trPr>
          <w:trHeight w:val="309"/>
        </w:trPr>
        <w:tc>
          <w:tcPr>
            <w:tcW w:w="1120" w:type="pct"/>
            <w:tcBorders>
              <w:top w:val="nil"/>
              <w:left w:val="single" w:sz="8" w:space="0" w:color="auto"/>
              <w:bottom w:val="single" w:sz="8" w:space="0" w:color="auto"/>
              <w:right w:val="nil"/>
            </w:tcBorders>
            <w:shd w:val="clear" w:color="000000" w:fill="FFFFFF"/>
            <w:noWrap/>
            <w:vAlign w:val="center"/>
            <w:hideMark/>
          </w:tcPr>
          <w:p w14:paraId="08BCD652" w14:textId="77777777" w:rsidR="008C3153" w:rsidRPr="00AA25B6" w:rsidRDefault="008C3153" w:rsidP="008C3153">
            <w:pPr>
              <w:keepNext/>
              <w:keepLines/>
              <w:spacing w:after="0" w:line="240" w:lineRule="auto"/>
              <w:jc w:val="center"/>
              <w:rPr>
                <w:rFonts w:eastAsia="Times New Roman" w:cs="Times New Roman"/>
                <w:b/>
                <w:bCs/>
                <w:lang w:eastAsia="en-GB"/>
              </w:rPr>
            </w:pPr>
            <w:r w:rsidRPr="00AA25B6">
              <w:rPr>
                <w:rFonts w:eastAsia="Times New Roman" w:cs="Times New Roman"/>
                <w:b/>
                <w:bCs/>
                <w:lang w:eastAsia="en-GB"/>
              </w:rPr>
              <w:t>Sum</w:t>
            </w:r>
          </w:p>
        </w:tc>
        <w:tc>
          <w:tcPr>
            <w:tcW w:w="682" w:type="pct"/>
            <w:tcBorders>
              <w:top w:val="nil"/>
              <w:left w:val="nil"/>
              <w:bottom w:val="single" w:sz="8" w:space="0" w:color="auto"/>
              <w:right w:val="nil"/>
            </w:tcBorders>
            <w:shd w:val="clear" w:color="000000" w:fill="FFFFFF"/>
            <w:noWrap/>
            <w:vAlign w:val="bottom"/>
            <w:hideMark/>
          </w:tcPr>
          <w:p w14:paraId="4F76AB9B"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43" w:type="pct"/>
            <w:tcBorders>
              <w:top w:val="nil"/>
              <w:left w:val="nil"/>
              <w:bottom w:val="single" w:sz="8" w:space="0" w:color="auto"/>
              <w:right w:val="nil"/>
            </w:tcBorders>
            <w:shd w:val="clear" w:color="000000" w:fill="FFFFFF"/>
            <w:noWrap/>
            <w:vAlign w:val="bottom"/>
            <w:hideMark/>
          </w:tcPr>
          <w:p w14:paraId="16A22C68"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04" w:type="pct"/>
            <w:tcBorders>
              <w:top w:val="nil"/>
              <w:left w:val="nil"/>
              <w:bottom w:val="single" w:sz="8" w:space="0" w:color="auto"/>
              <w:right w:val="nil"/>
            </w:tcBorders>
            <w:shd w:val="clear" w:color="000000" w:fill="FFFFFF"/>
            <w:noWrap/>
            <w:vAlign w:val="bottom"/>
            <w:hideMark/>
          </w:tcPr>
          <w:p w14:paraId="668E561D"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784" w:type="pct"/>
            <w:tcBorders>
              <w:top w:val="nil"/>
              <w:left w:val="nil"/>
              <w:bottom w:val="single" w:sz="8" w:space="0" w:color="auto"/>
              <w:right w:val="nil"/>
            </w:tcBorders>
            <w:shd w:val="clear" w:color="000000" w:fill="FFFFFF"/>
            <w:noWrap/>
            <w:vAlign w:val="bottom"/>
            <w:hideMark/>
          </w:tcPr>
          <w:p w14:paraId="7D8A898C"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£41,227</w:t>
            </w:r>
          </w:p>
        </w:tc>
        <w:tc>
          <w:tcPr>
            <w:tcW w:w="768" w:type="pct"/>
            <w:tcBorders>
              <w:top w:val="nil"/>
              <w:left w:val="nil"/>
              <w:bottom w:val="single" w:sz="8" w:space="0" w:color="auto"/>
              <w:right w:val="single" w:sz="8" w:space="0" w:color="auto"/>
            </w:tcBorders>
            <w:shd w:val="clear" w:color="000000" w:fill="FFFFFF"/>
            <w:noWrap/>
            <w:vAlign w:val="bottom"/>
            <w:hideMark/>
          </w:tcPr>
          <w:p w14:paraId="46CBB918"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1.44</w:t>
            </w:r>
          </w:p>
        </w:tc>
      </w:tr>
      <w:tr w:rsidR="008C3153" w:rsidRPr="008D2FAC" w14:paraId="502BED22" w14:textId="77777777" w:rsidTr="008C3153">
        <w:trPr>
          <w:trHeight w:val="294"/>
        </w:trPr>
        <w:tc>
          <w:tcPr>
            <w:tcW w:w="1120" w:type="pct"/>
            <w:tcBorders>
              <w:top w:val="nil"/>
              <w:left w:val="nil"/>
              <w:bottom w:val="nil"/>
              <w:right w:val="nil"/>
            </w:tcBorders>
            <w:shd w:val="clear" w:color="000000" w:fill="FFFFFF"/>
            <w:noWrap/>
            <w:vAlign w:val="center"/>
            <w:hideMark/>
          </w:tcPr>
          <w:p w14:paraId="64FB7158" w14:textId="77777777" w:rsidR="008C3153" w:rsidRPr="00AA25B6" w:rsidRDefault="008C3153" w:rsidP="008C3153">
            <w:pPr>
              <w:keepNext/>
              <w:keepLines/>
              <w:spacing w:after="0" w:line="240" w:lineRule="auto"/>
              <w:jc w:val="center"/>
              <w:rPr>
                <w:rFonts w:eastAsia="Times New Roman" w:cs="Times New Roman"/>
                <w:b/>
                <w:bCs/>
                <w:lang w:eastAsia="en-GB"/>
              </w:rPr>
            </w:pPr>
            <w:r w:rsidRPr="00AA25B6">
              <w:rPr>
                <w:rFonts w:eastAsia="Times New Roman" w:cs="Times New Roman"/>
                <w:b/>
                <w:bCs/>
                <w:lang w:eastAsia="en-GB"/>
              </w:rPr>
              <w:t> </w:t>
            </w:r>
          </w:p>
        </w:tc>
        <w:tc>
          <w:tcPr>
            <w:tcW w:w="682" w:type="pct"/>
            <w:tcBorders>
              <w:top w:val="nil"/>
              <w:left w:val="nil"/>
              <w:bottom w:val="nil"/>
              <w:right w:val="nil"/>
            </w:tcBorders>
            <w:shd w:val="clear" w:color="000000" w:fill="FFFFFF"/>
            <w:noWrap/>
            <w:vAlign w:val="bottom"/>
            <w:hideMark/>
          </w:tcPr>
          <w:p w14:paraId="1D382CD7"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43" w:type="pct"/>
            <w:tcBorders>
              <w:top w:val="nil"/>
              <w:left w:val="nil"/>
              <w:bottom w:val="nil"/>
              <w:right w:val="nil"/>
            </w:tcBorders>
            <w:shd w:val="clear" w:color="000000" w:fill="FFFFFF"/>
            <w:noWrap/>
            <w:vAlign w:val="bottom"/>
            <w:hideMark/>
          </w:tcPr>
          <w:p w14:paraId="0F1CEEDA"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04" w:type="pct"/>
            <w:tcBorders>
              <w:top w:val="nil"/>
              <w:left w:val="nil"/>
              <w:bottom w:val="nil"/>
              <w:right w:val="nil"/>
            </w:tcBorders>
            <w:shd w:val="clear" w:color="000000" w:fill="FFFFFF"/>
            <w:noWrap/>
            <w:vAlign w:val="bottom"/>
            <w:hideMark/>
          </w:tcPr>
          <w:p w14:paraId="6403E441"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784" w:type="pct"/>
            <w:tcBorders>
              <w:top w:val="nil"/>
              <w:left w:val="nil"/>
              <w:bottom w:val="nil"/>
              <w:right w:val="nil"/>
            </w:tcBorders>
            <w:shd w:val="clear" w:color="000000" w:fill="FFFFFF"/>
            <w:noWrap/>
            <w:vAlign w:val="bottom"/>
            <w:hideMark/>
          </w:tcPr>
          <w:p w14:paraId="04588143"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 </w:t>
            </w:r>
          </w:p>
        </w:tc>
        <w:tc>
          <w:tcPr>
            <w:tcW w:w="768" w:type="pct"/>
            <w:tcBorders>
              <w:top w:val="nil"/>
              <w:left w:val="nil"/>
              <w:bottom w:val="nil"/>
              <w:right w:val="nil"/>
            </w:tcBorders>
            <w:shd w:val="clear" w:color="000000" w:fill="FFFFFF"/>
            <w:noWrap/>
            <w:vAlign w:val="bottom"/>
            <w:hideMark/>
          </w:tcPr>
          <w:p w14:paraId="52638D2E"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 </w:t>
            </w:r>
          </w:p>
        </w:tc>
      </w:tr>
      <w:tr w:rsidR="008C3153" w:rsidRPr="008D2FAC" w14:paraId="18ED1AAA" w14:textId="77777777" w:rsidTr="008C3153">
        <w:trPr>
          <w:trHeight w:val="294"/>
        </w:trPr>
        <w:tc>
          <w:tcPr>
            <w:tcW w:w="1120" w:type="pct"/>
            <w:tcBorders>
              <w:top w:val="nil"/>
              <w:left w:val="nil"/>
              <w:bottom w:val="nil"/>
              <w:right w:val="nil"/>
            </w:tcBorders>
            <w:shd w:val="clear" w:color="000000" w:fill="FFFFFF"/>
            <w:noWrap/>
            <w:vAlign w:val="center"/>
            <w:hideMark/>
          </w:tcPr>
          <w:p w14:paraId="40351FDF" w14:textId="77777777" w:rsidR="008C3153" w:rsidRPr="00AA25B6" w:rsidRDefault="008C3153" w:rsidP="008C3153">
            <w:pPr>
              <w:keepNext/>
              <w:keepLines/>
              <w:spacing w:after="0" w:line="240" w:lineRule="auto"/>
              <w:jc w:val="center"/>
              <w:rPr>
                <w:rFonts w:eastAsia="Times New Roman" w:cs="Times New Roman"/>
                <w:b/>
                <w:bCs/>
                <w:lang w:eastAsia="en-GB"/>
              </w:rPr>
            </w:pPr>
            <w:r w:rsidRPr="00AA25B6">
              <w:rPr>
                <w:rFonts w:eastAsia="Times New Roman" w:cs="Times New Roman"/>
                <w:b/>
                <w:bCs/>
                <w:lang w:eastAsia="en-GB"/>
              </w:rPr>
              <w:t> </w:t>
            </w:r>
          </w:p>
        </w:tc>
        <w:tc>
          <w:tcPr>
            <w:tcW w:w="682" w:type="pct"/>
            <w:tcBorders>
              <w:top w:val="nil"/>
              <w:left w:val="nil"/>
              <w:bottom w:val="nil"/>
              <w:right w:val="nil"/>
            </w:tcBorders>
            <w:shd w:val="clear" w:color="000000" w:fill="FFFFFF"/>
            <w:noWrap/>
            <w:vAlign w:val="bottom"/>
            <w:hideMark/>
          </w:tcPr>
          <w:p w14:paraId="511484C7"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43" w:type="pct"/>
            <w:tcBorders>
              <w:top w:val="nil"/>
              <w:left w:val="nil"/>
              <w:bottom w:val="nil"/>
              <w:right w:val="nil"/>
            </w:tcBorders>
            <w:shd w:val="clear" w:color="000000" w:fill="FFFFFF"/>
            <w:noWrap/>
            <w:vAlign w:val="bottom"/>
            <w:hideMark/>
          </w:tcPr>
          <w:p w14:paraId="1B36AD2C"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04" w:type="pct"/>
            <w:tcBorders>
              <w:top w:val="nil"/>
              <w:left w:val="nil"/>
              <w:bottom w:val="nil"/>
              <w:right w:val="nil"/>
            </w:tcBorders>
            <w:shd w:val="clear" w:color="000000" w:fill="FFFFFF"/>
            <w:noWrap/>
            <w:vAlign w:val="bottom"/>
            <w:hideMark/>
          </w:tcPr>
          <w:p w14:paraId="1B9E3386"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784" w:type="pct"/>
            <w:tcBorders>
              <w:top w:val="single" w:sz="4" w:space="0" w:color="auto"/>
              <w:left w:val="single" w:sz="4" w:space="0" w:color="auto"/>
              <w:bottom w:val="single" w:sz="4" w:space="0" w:color="auto"/>
              <w:right w:val="nil"/>
            </w:tcBorders>
            <w:shd w:val="clear" w:color="000000" w:fill="FFFFFF"/>
            <w:noWrap/>
            <w:vAlign w:val="bottom"/>
            <w:hideMark/>
          </w:tcPr>
          <w:p w14:paraId="1F2B5A8C"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Pr>
                <w:rFonts w:eastAsia="Times New Roman" w:cs="Times New Roman"/>
                <w:b/>
                <w:bCs/>
                <w:color w:val="000000"/>
                <w:lang w:eastAsia="en-GB"/>
              </w:rPr>
              <w:t xml:space="preserve">Pooled </w:t>
            </w:r>
            <w:r w:rsidRPr="00AA25B6">
              <w:rPr>
                <w:rFonts w:eastAsia="Times New Roman" w:cs="Times New Roman"/>
                <w:b/>
                <w:bCs/>
                <w:color w:val="000000"/>
                <w:lang w:eastAsia="en-GB"/>
              </w:rPr>
              <w:t>ICER</w:t>
            </w:r>
          </w:p>
        </w:tc>
        <w:tc>
          <w:tcPr>
            <w:tcW w:w="768" w:type="pct"/>
            <w:tcBorders>
              <w:top w:val="single" w:sz="4" w:space="0" w:color="auto"/>
              <w:left w:val="nil"/>
              <w:bottom w:val="single" w:sz="4" w:space="0" w:color="auto"/>
              <w:right w:val="single" w:sz="4" w:space="0" w:color="auto"/>
            </w:tcBorders>
            <w:shd w:val="clear" w:color="000000" w:fill="FFFFFF"/>
            <w:noWrap/>
            <w:vAlign w:val="bottom"/>
            <w:hideMark/>
          </w:tcPr>
          <w:p w14:paraId="5D3D6F8B"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£28,573</w:t>
            </w:r>
          </w:p>
        </w:tc>
      </w:tr>
    </w:tbl>
    <w:p w14:paraId="5B24A633" w14:textId="77777777" w:rsidR="008C3153" w:rsidRDefault="008C3153" w:rsidP="008C3153"/>
    <w:p w14:paraId="2808E671" w14:textId="545CC7D2" w:rsidR="008C3153" w:rsidRPr="00D35FBC" w:rsidRDefault="008C3153" w:rsidP="008C3153">
      <w:r w:rsidRPr="00D35FBC">
        <w:t xml:space="preserve">The pooled ICER is simply a weighted average of the additional </w:t>
      </w:r>
      <w:r w:rsidR="00687919">
        <w:t xml:space="preserve">mean total </w:t>
      </w:r>
      <w:r w:rsidRPr="00D35FBC">
        <w:t xml:space="preserve">costs </w:t>
      </w:r>
      <w:r>
        <w:t xml:space="preserve">of Drug X </w:t>
      </w:r>
      <w:r w:rsidRPr="00D35FBC">
        <w:t>(ΔCost = £</w:t>
      </w:r>
      <w:r>
        <w:t>41,227</w:t>
      </w:r>
      <w:r w:rsidRPr="00D35FBC">
        <w:t>) divided by a weighted average of the additional QALYs (</w:t>
      </w:r>
      <w:r w:rsidRPr="00AA25B6">
        <w:rPr>
          <w:rFonts w:eastAsia="Times New Roman" w:cs="Times New Roman"/>
          <w:color w:val="000000"/>
          <w:lang w:eastAsia="en-GB"/>
        </w:rPr>
        <w:t xml:space="preserve">ΔQALYs </w:t>
      </w:r>
      <w:r w:rsidRPr="00D35FBC">
        <w:rPr>
          <w:rFonts w:ascii="Calibri" w:eastAsia="Times New Roman" w:hAnsi="Calibri" w:cs="Calibri"/>
          <w:color w:val="000000"/>
          <w:lang w:eastAsia="en-GB"/>
        </w:rPr>
        <w:t xml:space="preserve">= </w:t>
      </w:r>
      <w:r>
        <w:t>1.44</w:t>
      </w:r>
      <w:r w:rsidRPr="00D35FBC">
        <w:t xml:space="preserve">), </w:t>
      </w:r>
      <w:r>
        <w:t>resulting in</w:t>
      </w:r>
      <w:r w:rsidRPr="00D35FBC">
        <w:t xml:space="preserve"> an ICER of </w:t>
      </w:r>
      <w:r w:rsidR="000D3D7F">
        <w:t xml:space="preserve">approximately </w:t>
      </w:r>
      <w:r w:rsidRPr="00D35FBC">
        <w:t>£</w:t>
      </w:r>
      <w:r>
        <w:t>28,573</w:t>
      </w:r>
      <w:r w:rsidRPr="00D35FBC">
        <w:t xml:space="preserve"> per QALY</w:t>
      </w:r>
      <w:r>
        <w:t xml:space="preserve">. </w:t>
      </w:r>
    </w:p>
    <w:p w14:paraId="787D56D0" w14:textId="77DC59B1" w:rsidR="008C3153" w:rsidRDefault="00076767" w:rsidP="008C3153">
      <w:r>
        <w:t xml:space="preserve">This analysis illustrates that </w:t>
      </w:r>
      <w:r w:rsidR="008C3153">
        <w:t xml:space="preserve">the pooled </w:t>
      </w:r>
      <w:r w:rsidR="009D6CA1">
        <w:t>cost-effective</w:t>
      </w:r>
      <w:r w:rsidR="008C3153">
        <w:t xml:space="preserve">ness of Drug X depends on the </w:t>
      </w:r>
      <w:r w:rsidR="00687919">
        <w:t xml:space="preserve">frequency and distribution of the individual </w:t>
      </w:r>
      <w:r w:rsidR="008C3153">
        <w:t>histologies</w:t>
      </w:r>
      <w:r w:rsidR="00687919">
        <w:t>.</w:t>
      </w:r>
      <w:r w:rsidR="008C3153">
        <w:t xml:space="preserve"> The frequency of particular histologies </w:t>
      </w:r>
      <w:r w:rsidR="00687919">
        <w:t xml:space="preserve">in the </w:t>
      </w:r>
      <w:r w:rsidR="0017332D">
        <w:t xml:space="preserve">target </w:t>
      </w:r>
      <w:r w:rsidR="00687919">
        <w:t xml:space="preserve">population </w:t>
      </w:r>
      <w:r w:rsidR="008C3153">
        <w:t xml:space="preserve">will </w:t>
      </w:r>
      <w:r w:rsidR="00687919">
        <w:t xml:space="preserve">ultimately </w:t>
      </w:r>
      <w:r w:rsidR="008C3153">
        <w:t>be determined by the testing strategy implemented in clinical practice. D</w:t>
      </w:r>
      <w:r w:rsidR="008C3153" w:rsidRPr="00D35FBC">
        <w:t xml:space="preserve">epending on the </w:t>
      </w:r>
      <w:r w:rsidR="008C3153">
        <w:t xml:space="preserve">testing strategy and the </w:t>
      </w:r>
      <w:r w:rsidR="0017332D">
        <w:t xml:space="preserve">expected </w:t>
      </w:r>
      <w:r w:rsidR="008C3153" w:rsidRPr="00D35FBC">
        <w:t xml:space="preserve">distribution of histologies in the </w:t>
      </w:r>
      <w:r w:rsidR="006021E6">
        <w:t xml:space="preserve">target </w:t>
      </w:r>
      <w:r w:rsidR="008C3153" w:rsidRPr="00D35FBC">
        <w:t>population, the pooled ICER</w:t>
      </w:r>
      <w:r w:rsidR="008C3153">
        <w:t xml:space="preserve"> </w:t>
      </w:r>
      <w:r w:rsidR="008C3153" w:rsidRPr="00D35FBC">
        <w:t xml:space="preserve">may </w:t>
      </w:r>
      <w:r w:rsidR="008C3153">
        <w:t>alter</w:t>
      </w:r>
      <w:r w:rsidR="008C3153" w:rsidRPr="008A5F9E">
        <w:t xml:space="preserve">. For </w:t>
      </w:r>
      <w:r w:rsidR="00687919">
        <w:t>example,</w:t>
      </w:r>
      <w:r w:rsidR="008C3153" w:rsidRPr="008A5F9E">
        <w:t xml:space="preserve"> evidence </w:t>
      </w:r>
      <w:r w:rsidR="008C3153">
        <w:t xml:space="preserve">on the </w:t>
      </w:r>
      <w:r w:rsidR="00687919">
        <w:t xml:space="preserve">expected </w:t>
      </w:r>
      <w:r w:rsidR="008C3153">
        <w:t xml:space="preserve">prevalence of NTRK fusions in specific histologies </w:t>
      </w:r>
      <w:r w:rsidR="008C3153" w:rsidRPr="008A5F9E">
        <w:t xml:space="preserve">suggests that the distribution of histologies </w:t>
      </w:r>
      <w:r w:rsidR="008C3153">
        <w:t xml:space="preserve">expected </w:t>
      </w:r>
      <w:r w:rsidR="008C3153" w:rsidRPr="008A5F9E">
        <w:t xml:space="preserve">in </w:t>
      </w:r>
      <w:r w:rsidR="008C3153">
        <w:t xml:space="preserve">clinical practice may </w:t>
      </w:r>
      <w:r w:rsidR="008C3153" w:rsidRPr="008A5F9E">
        <w:t xml:space="preserve">differ significantly from that observed in the </w:t>
      </w:r>
      <w:r w:rsidR="008C3153" w:rsidRPr="00BF0D1D">
        <w:t>trial</w:t>
      </w:r>
      <w:r w:rsidR="00754B8C">
        <w:t>.</w:t>
      </w:r>
    </w:p>
    <w:p w14:paraId="7B785AA0" w14:textId="4358CF82" w:rsidR="008C3153" w:rsidRDefault="009F5530" w:rsidP="008C3153">
      <w:r>
        <w:fldChar w:fldCharType="begin"/>
      </w:r>
      <w:r>
        <w:instrText xml:space="preserve"> REF _Ref30604077 \h </w:instrText>
      </w:r>
      <w:r>
        <w:fldChar w:fldCharType="separate"/>
      </w:r>
      <w:r w:rsidR="00C9471F">
        <w:t xml:space="preserve">Table </w:t>
      </w:r>
      <w:r w:rsidR="00C9471F">
        <w:rPr>
          <w:noProof/>
        </w:rPr>
        <w:t>26</w:t>
      </w:r>
      <w:r>
        <w:fldChar w:fldCharType="end"/>
      </w:r>
      <w:r>
        <w:t xml:space="preserve"> </w:t>
      </w:r>
      <w:r w:rsidR="008C3153" w:rsidRPr="008A5F9E">
        <w:t xml:space="preserve">shows the relative frequency of histologies </w:t>
      </w:r>
      <w:r w:rsidR="008C3153">
        <w:t>expected in clinical practice</w:t>
      </w:r>
      <w:r w:rsidR="00687919">
        <w:t xml:space="preserve"> assuming routine screening of all histologies</w:t>
      </w:r>
      <w:r w:rsidR="008C3153">
        <w:t xml:space="preserve">. The table </w:t>
      </w:r>
      <w:r w:rsidR="008C3153" w:rsidRPr="008A5F9E">
        <w:t xml:space="preserve">also illustrates how the pooled ICER </w:t>
      </w:r>
      <w:r w:rsidR="008C3153">
        <w:t xml:space="preserve">can </w:t>
      </w:r>
      <w:r w:rsidR="008C3153" w:rsidRPr="008A5F9E">
        <w:t>change</w:t>
      </w:r>
      <w:r w:rsidR="008C3153">
        <w:t xml:space="preserve"> based on differences in the expected distribution of histologies in the target population compared to those observed within the trial</w:t>
      </w:r>
      <w:r w:rsidR="008C3153" w:rsidRPr="008A5F9E">
        <w:t>.</w:t>
      </w:r>
    </w:p>
    <w:p w14:paraId="5339B013" w14:textId="712CA765" w:rsidR="008C3153" w:rsidRDefault="008C3153" w:rsidP="008C3153">
      <w:pPr>
        <w:pStyle w:val="Caption"/>
      </w:pPr>
      <w:bookmarkStart w:id="232" w:name="_Ref30604077"/>
      <w:bookmarkStart w:id="233" w:name="_Toc34033540"/>
      <w:r>
        <w:lastRenderedPageBreak/>
        <w:t xml:space="preserve">Table </w:t>
      </w:r>
      <w:r w:rsidR="00C974E5">
        <w:fldChar w:fldCharType="begin"/>
      </w:r>
      <w:r w:rsidR="00C974E5">
        <w:instrText xml:space="preserve"> SEQ Table \* ARABIC </w:instrText>
      </w:r>
      <w:r w:rsidR="00C974E5">
        <w:fldChar w:fldCharType="separate"/>
      </w:r>
      <w:r w:rsidR="00C9471F">
        <w:rPr>
          <w:noProof/>
        </w:rPr>
        <w:t>26</w:t>
      </w:r>
      <w:r w:rsidR="00C974E5">
        <w:rPr>
          <w:noProof/>
        </w:rPr>
        <w:fldChar w:fldCharType="end"/>
      </w:r>
      <w:bookmarkEnd w:id="232"/>
      <w:r w:rsidR="008C7423">
        <w:rPr>
          <w:noProof/>
        </w:rPr>
        <w:t>:</w:t>
      </w:r>
      <w:r w:rsidRPr="008A5F9E">
        <w:t xml:space="preserve"> Calculating a pooled ICER based on </w:t>
      </w:r>
      <w:r>
        <w:t>histology frequency in the target population</w:t>
      </w:r>
      <w:bookmarkEnd w:id="233"/>
    </w:p>
    <w:tbl>
      <w:tblPr>
        <w:tblW w:w="5000" w:type="pct"/>
        <w:tblLook w:val="04A0" w:firstRow="1" w:lastRow="0" w:firstColumn="1" w:lastColumn="0" w:noHBand="0" w:noVBand="1"/>
      </w:tblPr>
      <w:tblGrid>
        <w:gridCol w:w="2049"/>
        <w:gridCol w:w="964"/>
        <w:gridCol w:w="1254"/>
        <w:gridCol w:w="1219"/>
        <w:gridCol w:w="2435"/>
        <w:gridCol w:w="1085"/>
      </w:tblGrid>
      <w:tr w:rsidR="008C3153" w:rsidRPr="00DA6028" w14:paraId="76035F5F" w14:textId="77777777" w:rsidTr="00AB705A">
        <w:trPr>
          <w:trHeight w:val="315"/>
        </w:trPr>
        <w:tc>
          <w:tcPr>
            <w:tcW w:w="1120" w:type="pct"/>
            <w:tcBorders>
              <w:top w:val="single" w:sz="8" w:space="0" w:color="auto"/>
              <w:left w:val="single" w:sz="8" w:space="0" w:color="auto"/>
              <w:bottom w:val="nil"/>
              <w:right w:val="single" w:sz="8" w:space="0" w:color="auto"/>
            </w:tcBorders>
            <w:shd w:val="clear" w:color="000000" w:fill="FFFFFF"/>
            <w:noWrap/>
            <w:vAlign w:val="center"/>
            <w:hideMark/>
          </w:tcPr>
          <w:p w14:paraId="67249DCB"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Subgroup</w:t>
            </w:r>
          </w:p>
        </w:tc>
        <w:tc>
          <w:tcPr>
            <w:tcW w:w="1525"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02C66D3C" w14:textId="77777777" w:rsidR="008C3153" w:rsidRPr="00AB705A" w:rsidRDefault="008C3153" w:rsidP="00AB705A">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Observed outcomes</w:t>
            </w:r>
          </w:p>
        </w:tc>
        <w:tc>
          <w:tcPr>
            <w:tcW w:w="804" w:type="pct"/>
            <w:tcBorders>
              <w:top w:val="single" w:sz="8" w:space="0" w:color="auto"/>
              <w:left w:val="single" w:sz="8" w:space="0" w:color="auto"/>
              <w:bottom w:val="nil"/>
              <w:right w:val="nil"/>
            </w:tcBorders>
            <w:shd w:val="clear" w:color="000000" w:fill="FFFFFF"/>
            <w:vAlign w:val="center"/>
            <w:hideMark/>
          </w:tcPr>
          <w:p w14:paraId="11594D46" w14:textId="7773CDCF" w:rsidR="008C3153" w:rsidRPr="00AB705A" w:rsidRDefault="008C3153" w:rsidP="00AB705A">
            <w:pPr>
              <w:keepNext/>
              <w:keepLines/>
              <w:spacing w:after="0" w:line="240" w:lineRule="auto"/>
              <w:jc w:val="center"/>
              <w:rPr>
                <w:rFonts w:eastAsia="Times New Roman" w:cs="Times New Roman"/>
                <w:b/>
                <w:bCs/>
                <w:color w:val="000000"/>
                <w:lang w:eastAsia="en-GB"/>
              </w:rPr>
            </w:pPr>
          </w:p>
        </w:tc>
        <w:tc>
          <w:tcPr>
            <w:tcW w:w="784" w:type="pct"/>
            <w:tcBorders>
              <w:top w:val="single" w:sz="8" w:space="0" w:color="auto"/>
              <w:left w:val="nil"/>
              <w:bottom w:val="nil"/>
              <w:right w:val="nil"/>
            </w:tcBorders>
            <w:shd w:val="clear" w:color="000000" w:fill="FFFFFF"/>
            <w:noWrap/>
            <w:vAlign w:val="center"/>
            <w:hideMark/>
          </w:tcPr>
          <w:p w14:paraId="29F62BEF"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Weighted consequences</w:t>
            </w:r>
          </w:p>
        </w:tc>
        <w:tc>
          <w:tcPr>
            <w:tcW w:w="768" w:type="pct"/>
            <w:tcBorders>
              <w:top w:val="single" w:sz="8" w:space="0" w:color="auto"/>
              <w:left w:val="nil"/>
              <w:bottom w:val="nil"/>
              <w:right w:val="single" w:sz="8" w:space="0" w:color="auto"/>
            </w:tcBorders>
            <w:shd w:val="clear" w:color="000000" w:fill="FFFFFF"/>
            <w:noWrap/>
            <w:vAlign w:val="center"/>
            <w:hideMark/>
          </w:tcPr>
          <w:p w14:paraId="64002E76"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 </w:t>
            </w:r>
          </w:p>
        </w:tc>
      </w:tr>
      <w:tr w:rsidR="008C3153" w:rsidRPr="00DA6028" w14:paraId="2ABAE0B1" w14:textId="77777777" w:rsidTr="00AB705A">
        <w:trPr>
          <w:trHeight w:val="300"/>
        </w:trPr>
        <w:tc>
          <w:tcPr>
            <w:tcW w:w="1120" w:type="pct"/>
            <w:tcBorders>
              <w:top w:val="single" w:sz="8" w:space="0" w:color="auto"/>
              <w:left w:val="single" w:sz="8" w:space="0" w:color="auto"/>
              <w:bottom w:val="nil"/>
              <w:right w:val="single" w:sz="8" w:space="0" w:color="auto"/>
            </w:tcBorders>
            <w:shd w:val="clear" w:color="000000" w:fill="FFFFFF"/>
            <w:noWrap/>
            <w:vAlign w:val="bottom"/>
            <w:hideMark/>
          </w:tcPr>
          <w:p w14:paraId="7A6EBF09" w14:textId="77777777" w:rsidR="008C3153" w:rsidRPr="00AB705A" w:rsidRDefault="008C3153" w:rsidP="008C3153">
            <w:pPr>
              <w:keepNext/>
              <w:keepLines/>
              <w:spacing w:after="0" w:line="240" w:lineRule="auto"/>
              <w:rPr>
                <w:rFonts w:eastAsia="Times New Roman" w:cs="Times New Roman"/>
                <w:b/>
                <w:bCs/>
                <w:color w:val="000000"/>
                <w:lang w:eastAsia="en-GB"/>
              </w:rPr>
            </w:pPr>
            <w:r w:rsidRPr="00AB705A">
              <w:rPr>
                <w:rFonts w:eastAsia="Times New Roman" w:cs="Times New Roman"/>
                <w:b/>
                <w:bCs/>
                <w:color w:val="000000"/>
                <w:lang w:eastAsia="en-GB"/>
              </w:rPr>
              <w:t> </w:t>
            </w:r>
          </w:p>
        </w:tc>
        <w:tc>
          <w:tcPr>
            <w:tcW w:w="682" w:type="pct"/>
            <w:tcBorders>
              <w:top w:val="nil"/>
              <w:left w:val="single" w:sz="8" w:space="0" w:color="auto"/>
              <w:bottom w:val="nil"/>
              <w:right w:val="nil"/>
            </w:tcBorders>
            <w:shd w:val="clear" w:color="000000" w:fill="FFFFFF"/>
            <w:vAlign w:val="center"/>
            <w:hideMark/>
          </w:tcPr>
          <w:p w14:paraId="05A3C278"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ΔCost</w:t>
            </w:r>
          </w:p>
        </w:tc>
        <w:tc>
          <w:tcPr>
            <w:tcW w:w="843" w:type="pct"/>
            <w:tcBorders>
              <w:top w:val="nil"/>
              <w:left w:val="nil"/>
              <w:bottom w:val="nil"/>
              <w:right w:val="single" w:sz="8" w:space="0" w:color="auto"/>
            </w:tcBorders>
            <w:shd w:val="clear" w:color="000000" w:fill="FFFFFF"/>
            <w:vAlign w:val="center"/>
            <w:hideMark/>
          </w:tcPr>
          <w:p w14:paraId="7668355B"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ΔQALYs</w:t>
            </w:r>
          </w:p>
        </w:tc>
        <w:tc>
          <w:tcPr>
            <w:tcW w:w="804" w:type="pct"/>
            <w:tcBorders>
              <w:top w:val="single" w:sz="8" w:space="0" w:color="auto"/>
              <w:left w:val="single" w:sz="8" w:space="0" w:color="auto"/>
              <w:bottom w:val="nil"/>
              <w:right w:val="nil"/>
            </w:tcBorders>
            <w:shd w:val="clear" w:color="000000" w:fill="FFFFFF"/>
            <w:vAlign w:val="center"/>
            <w:hideMark/>
          </w:tcPr>
          <w:p w14:paraId="16D3D401"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Frequency</w:t>
            </w:r>
          </w:p>
        </w:tc>
        <w:tc>
          <w:tcPr>
            <w:tcW w:w="784" w:type="pct"/>
            <w:tcBorders>
              <w:top w:val="single" w:sz="8" w:space="0" w:color="auto"/>
              <w:left w:val="nil"/>
              <w:bottom w:val="nil"/>
              <w:right w:val="nil"/>
            </w:tcBorders>
            <w:shd w:val="clear" w:color="000000" w:fill="FFFFFF"/>
            <w:vAlign w:val="center"/>
            <w:hideMark/>
          </w:tcPr>
          <w:p w14:paraId="5778EC39"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ΔCost</w:t>
            </w:r>
          </w:p>
        </w:tc>
        <w:tc>
          <w:tcPr>
            <w:tcW w:w="768" w:type="pct"/>
            <w:tcBorders>
              <w:top w:val="single" w:sz="8" w:space="0" w:color="auto"/>
              <w:left w:val="nil"/>
              <w:bottom w:val="nil"/>
              <w:right w:val="single" w:sz="8" w:space="0" w:color="auto"/>
            </w:tcBorders>
            <w:shd w:val="clear" w:color="000000" w:fill="FFFFFF"/>
            <w:vAlign w:val="center"/>
            <w:hideMark/>
          </w:tcPr>
          <w:p w14:paraId="550B39F2" w14:textId="77777777" w:rsidR="008C3153" w:rsidRPr="00AB705A" w:rsidRDefault="008C3153" w:rsidP="008C3153">
            <w:pPr>
              <w:keepNext/>
              <w:keepLines/>
              <w:spacing w:after="0" w:line="240" w:lineRule="auto"/>
              <w:jc w:val="center"/>
              <w:rPr>
                <w:rFonts w:eastAsia="Times New Roman" w:cs="Times New Roman"/>
                <w:b/>
                <w:bCs/>
                <w:color w:val="000000"/>
                <w:lang w:eastAsia="en-GB"/>
              </w:rPr>
            </w:pPr>
            <w:r w:rsidRPr="00AB705A">
              <w:rPr>
                <w:rFonts w:eastAsia="Times New Roman" w:cs="Times New Roman"/>
                <w:b/>
                <w:bCs/>
                <w:color w:val="000000"/>
                <w:lang w:eastAsia="en-GB"/>
              </w:rPr>
              <w:t>ΔQALYs</w:t>
            </w:r>
          </w:p>
        </w:tc>
      </w:tr>
      <w:tr w:rsidR="008C3153" w:rsidRPr="00DA6028" w14:paraId="5BC94A6A" w14:textId="77777777" w:rsidTr="00AB705A">
        <w:trPr>
          <w:trHeight w:val="300"/>
        </w:trPr>
        <w:tc>
          <w:tcPr>
            <w:tcW w:w="1120" w:type="pct"/>
            <w:tcBorders>
              <w:top w:val="single" w:sz="4" w:space="0" w:color="auto"/>
              <w:left w:val="single" w:sz="8" w:space="0" w:color="auto"/>
              <w:bottom w:val="nil"/>
              <w:right w:val="single" w:sz="8" w:space="0" w:color="auto"/>
            </w:tcBorders>
            <w:shd w:val="clear" w:color="000000" w:fill="FFFFFF"/>
            <w:noWrap/>
            <w:vAlign w:val="center"/>
            <w:hideMark/>
          </w:tcPr>
          <w:p w14:paraId="5E4AAFBB"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Sarcoma</w:t>
            </w:r>
          </w:p>
        </w:tc>
        <w:tc>
          <w:tcPr>
            <w:tcW w:w="682" w:type="pct"/>
            <w:tcBorders>
              <w:top w:val="single" w:sz="4" w:space="0" w:color="auto"/>
              <w:left w:val="single" w:sz="8" w:space="0" w:color="auto"/>
              <w:bottom w:val="nil"/>
              <w:right w:val="nil"/>
            </w:tcBorders>
            <w:shd w:val="clear" w:color="000000" w:fill="FFFFFF"/>
            <w:noWrap/>
            <w:vAlign w:val="center"/>
            <w:hideMark/>
          </w:tcPr>
          <w:p w14:paraId="7244731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£46,844</w:t>
            </w:r>
          </w:p>
        </w:tc>
        <w:tc>
          <w:tcPr>
            <w:tcW w:w="843" w:type="pct"/>
            <w:tcBorders>
              <w:top w:val="single" w:sz="4" w:space="0" w:color="auto"/>
              <w:left w:val="nil"/>
              <w:bottom w:val="nil"/>
              <w:right w:val="single" w:sz="8" w:space="0" w:color="auto"/>
            </w:tcBorders>
            <w:shd w:val="clear" w:color="000000" w:fill="FFFFFF"/>
            <w:noWrap/>
            <w:vAlign w:val="center"/>
            <w:hideMark/>
          </w:tcPr>
          <w:p w14:paraId="46FF6716"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1.70</w:t>
            </w:r>
          </w:p>
        </w:tc>
        <w:tc>
          <w:tcPr>
            <w:tcW w:w="804" w:type="pct"/>
            <w:tcBorders>
              <w:top w:val="single" w:sz="4" w:space="0" w:color="auto"/>
              <w:left w:val="single" w:sz="8" w:space="0" w:color="auto"/>
              <w:bottom w:val="nil"/>
              <w:right w:val="nil"/>
            </w:tcBorders>
            <w:shd w:val="clear" w:color="000000" w:fill="FFFFFF"/>
            <w:noWrap/>
            <w:vAlign w:val="center"/>
            <w:hideMark/>
          </w:tcPr>
          <w:p w14:paraId="4F22800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3.93%</w:t>
            </w:r>
          </w:p>
        </w:tc>
        <w:tc>
          <w:tcPr>
            <w:tcW w:w="784" w:type="pct"/>
            <w:tcBorders>
              <w:top w:val="single" w:sz="4" w:space="0" w:color="auto"/>
              <w:left w:val="nil"/>
              <w:bottom w:val="nil"/>
              <w:right w:val="nil"/>
            </w:tcBorders>
            <w:shd w:val="clear" w:color="000000" w:fill="FFFFFF"/>
            <w:noWrap/>
            <w:vAlign w:val="bottom"/>
            <w:hideMark/>
          </w:tcPr>
          <w:p w14:paraId="79972A0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£1,840</w:t>
            </w:r>
          </w:p>
        </w:tc>
        <w:tc>
          <w:tcPr>
            <w:tcW w:w="768" w:type="pct"/>
            <w:tcBorders>
              <w:top w:val="single" w:sz="4" w:space="0" w:color="auto"/>
              <w:left w:val="nil"/>
              <w:bottom w:val="nil"/>
              <w:right w:val="single" w:sz="8" w:space="0" w:color="auto"/>
            </w:tcBorders>
            <w:shd w:val="clear" w:color="000000" w:fill="FFFFFF"/>
            <w:noWrap/>
            <w:vAlign w:val="bottom"/>
            <w:hideMark/>
          </w:tcPr>
          <w:p w14:paraId="3733DD9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0.07</w:t>
            </w:r>
          </w:p>
        </w:tc>
      </w:tr>
      <w:tr w:rsidR="008C3153" w:rsidRPr="00DA6028" w14:paraId="60E4ACD2"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5438ACCF"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Salivary gland</w:t>
            </w:r>
          </w:p>
        </w:tc>
        <w:tc>
          <w:tcPr>
            <w:tcW w:w="682" w:type="pct"/>
            <w:tcBorders>
              <w:top w:val="nil"/>
              <w:left w:val="single" w:sz="8" w:space="0" w:color="auto"/>
              <w:bottom w:val="nil"/>
              <w:right w:val="nil"/>
            </w:tcBorders>
            <w:shd w:val="clear" w:color="000000" w:fill="FFFFFF"/>
            <w:noWrap/>
            <w:vAlign w:val="center"/>
            <w:hideMark/>
          </w:tcPr>
          <w:p w14:paraId="1D4A550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£44,227</w:t>
            </w:r>
          </w:p>
        </w:tc>
        <w:tc>
          <w:tcPr>
            <w:tcW w:w="843" w:type="pct"/>
            <w:tcBorders>
              <w:top w:val="nil"/>
              <w:left w:val="nil"/>
              <w:bottom w:val="nil"/>
              <w:right w:val="single" w:sz="8" w:space="0" w:color="auto"/>
            </w:tcBorders>
            <w:shd w:val="clear" w:color="000000" w:fill="FFFFFF"/>
            <w:noWrap/>
            <w:vAlign w:val="center"/>
            <w:hideMark/>
          </w:tcPr>
          <w:p w14:paraId="47AD6AA7"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1.58</w:t>
            </w:r>
          </w:p>
        </w:tc>
        <w:tc>
          <w:tcPr>
            <w:tcW w:w="804" w:type="pct"/>
            <w:tcBorders>
              <w:top w:val="nil"/>
              <w:left w:val="single" w:sz="8" w:space="0" w:color="auto"/>
              <w:bottom w:val="nil"/>
              <w:right w:val="nil"/>
            </w:tcBorders>
            <w:shd w:val="clear" w:color="000000" w:fill="FFFFFF"/>
            <w:noWrap/>
            <w:vAlign w:val="center"/>
            <w:hideMark/>
          </w:tcPr>
          <w:p w14:paraId="62E1527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1.80%</w:t>
            </w:r>
          </w:p>
        </w:tc>
        <w:tc>
          <w:tcPr>
            <w:tcW w:w="784" w:type="pct"/>
            <w:tcBorders>
              <w:top w:val="nil"/>
              <w:left w:val="nil"/>
              <w:bottom w:val="nil"/>
              <w:right w:val="nil"/>
            </w:tcBorders>
            <w:shd w:val="clear" w:color="000000" w:fill="FFFFFF"/>
            <w:noWrap/>
            <w:vAlign w:val="bottom"/>
            <w:hideMark/>
          </w:tcPr>
          <w:p w14:paraId="7925C29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£796</w:t>
            </w:r>
          </w:p>
        </w:tc>
        <w:tc>
          <w:tcPr>
            <w:tcW w:w="768" w:type="pct"/>
            <w:tcBorders>
              <w:top w:val="nil"/>
              <w:left w:val="nil"/>
              <w:bottom w:val="nil"/>
              <w:right w:val="single" w:sz="8" w:space="0" w:color="auto"/>
            </w:tcBorders>
            <w:shd w:val="clear" w:color="000000" w:fill="FFFFFF"/>
            <w:noWrap/>
            <w:vAlign w:val="bottom"/>
            <w:hideMark/>
          </w:tcPr>
          <w:p w14:paraId="38A65A5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0.03</w:t>
            </w:r>
          </w:p>
        </w:tc>
      </w:tr>
      <w:tr w:rsidR="008C3153" w:rsidRPr="00DA6028" w14:paraId="4CE95DC4"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3FC6DFBD"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IFS</w:t>
            </w:r>
          </w:p>
        </w:tc>
        <w:tc>
          <w:tcPr>
            <w:tcW w:w="682" w:type="pct"/>
            <w:tcBorders>
              <w:top w:val="nil"/>
              <w:left w:val="single" w:sz="8" w:space="0" w:color="auto"/>
              <w:bottom w:val="nil"/>
              <w:right w:val="nil"/>
            </w:tcBorders>
            <w:shd w:val="clear" w:color="000000" w:fill="FFFFFF"/>
            <w:noWrap/>
            <w:vAlign w:val="center"/>
            <w:hideMark/>
          </w:tcPr>
          <w:p w14:paraId="4B821B4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£48,861</w:t>
            </w:r>
          </w:p>
        </w:tc>
        <w:tc>
          <w:tcPr>
            <w:tcW w:w="843" w:type="pct"/>
            <w:tcBorders>
              <w:top w:val="nil"/>
              <w:left w:val="nil"/>
              <w:bottom w:val="nil"/>
              <w:right w:val="single" w:sz="8" w:space="0" w:color="auto"/>
            </w:tcBorders>
            <w:shd w:val="clear" w:color="000000" w:fill="FFFFFF"/>
            <w:noWrap/>
            <w:vAlign w:val="center"/>
            <w:hideMark/>
          </w:tcPr>
          <w:p w14:paraId="595CF617"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1.80</w:t>
            </w:r>
          </w:p>
        </w:tc>
        <w:tc>
          <w:tcPr>
            <w:tcW w:w="804" w:type="pct"/>
            <w:tcBorders>
              <w:top w:val="nil"/>
              <w:left w:val="single" w:sz="8" w:space="0" w:color="auto"/>
              <w:bottom w:val="nil"/>
              <w:right w:val="nil"/>
            </w:tcBorders>
            <w:shd w:val="clear" w:color="000000" w:fill="FFFFFF"/>
            <w:noWrap/>
            <w:vAlign w:val="center"/>
            <w:hideMark/>
          </w:tcPr>
          <w:p w14:paraId="5E59A9E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21.89%</w:t>
            </w:r>
          </w:p>
        </w:tc>
        <w:tc>
          <w:tcPr>
            <w:tcW w:w="784" w:type="pct"/>
            <w:tcBorders>
              <w:top w:val="nil"/>
              <w:left w:val="nil"/>
              <w:bottom w:val="nil"/>
              <w:right w:val="nil"/>
            </w:tcBorders>
            <w:shd w:val="clear" w:color="000000" w:fill="FFFFFF"/>
            <w:noWrap/>
            <w:vAlign w:val="bottom"/>
            <w:hideMark/>
          </w:tcPr>
          <w:p w14:paraId="30D7925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£10,693</w:t>
            </w:r>
          </w:p>
        </w:tc>
        <w:tc>
          <w:tcPr>
            <w:tcW w:w="768" w:type="pct"/>
            <w:tcBorders>
              <w:top w:val="nil"/>
              <w:left w:val="nil"/>
              <w:bottom w:val="nil"/>
              <w:right w:val="single" w:sz="8" w:space="0" w:color="auto"/>
            </w:tcBorders>
            <w:shd w:val="clear" w:color="000000" w:fill="FFFFFF"/>
            <w:noWrap/>
            <w:vAlign w:val="bottom"/>
            <w:hideMark/>
          </w:tcPr>
          <w:p w14:paraId="5916709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0.39</w:t>
            </w:r>
          </w:p>
        </w:tc>
      </w:tr>
      <w:tr w:rsidR="008C3153" w:rsidRPr="00DA6028" w14:paraId="5ADA2B52"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2FBF020B"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Thyroid</w:t>
            </w:r>
          </w:p>
        </w:tc>
        <w:tc>
          <w:tcPr>
            <w:tcW w:w="682" w:type="pct"/>
            <w:tcBorders>
              <w:top w:val="nil"/>
              <w:left w:val="single" w:sz="8" w:space="0" w:color="auto"/>
              <w:bottom w:val="nil"/>
              <w:right w:val="nil"/>
            </w:tcBorders>
            <w:shd w:val="clear" w:color="000000" w:fill="FFFFFF"/>
            <w:noWrap/>
            <w:vAlign w:val="center"/>
            <w:hideMark/>
          </w:tcPr>
          <w:p w14:paraId="4DBE31A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£48,144</w:t>
            </w:r>
          </w:p>
        </w:tc>
        <w:tc>
          <w:tcPr>
            <w:tcW w:w="843" w:type="pct"/>
            <w:tcBorders>
              <w:top w:val="nil"/>
              <w:left w:val="nil"/>
              <w:bottom w:val="nil"/>
              <w:right w:val="single" w:sz="8" w:space="0" w:color="auto"/>
            </w:tcBorders>
            <w:shd w:val="clear" w:color="000000" w:fill="FFFFFF"/>
            <w:noWrap/>
            <w:vAlign w:val="center"/>
            <w:hideMark/>
          </w:tcPr>
          <w:p w14:paraId="1484468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1.76</w:t>
            </w:r>
          </w:p>
        </w:tc>
        <w:tc>
          <w:tcPr>
            <w:tcW w:w="804" w:type="pct"/>
            <w:tcBorders>
              <w:top w:val="nil"/>
              <w:left w:val="single" w:sz="8" w:space="0" w:color="auto"/>
              <w:bottom w:val="nil"/>
              <w:right w:val="nil"/>
            </w:tcBorders>
            <w:shd w:val="clear" w:color="000000" w:fill="FFFFFF"/>
            <w:noWrap/>
            <w:vAlign w:val="center"/>
            <w:hideMark/>
          </w:tcPr>
          <w:p w14:paraId="3191DDD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5.01%</w:t>
            </w:r>
          </w:p>
        </w:tc>
        <w:tc>
          <w:tcPr>
            <w:tcW w:w="784" w:type="pct"/>
            <w:tcBorders>
              <w:top w:val="nil"/>
              <w:left w:val="nil"/>
              <w:bottom w:val="nil"/>
              <w:right w:val="nil"/>
            </w:tcBorders>
            <w:shd w:val="clear" w:color="000000" w:fill="FFFFFF"/>
            <w:noWrap/>
            <w:vAlign w:val="bottom"/>
            <w:hideMark/>
          </w:tcPr>
          <w:p w14:paraId="43F766A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£2,412</w:t>
            </w:r>
          </w:p>
        </w:tc>
        <w:tc>
          <w:tcPr>
            <w:tcW w:w="768" w:type="pct"/>
            <w:tcBorders>
              <w:top w:val="nil"/>
              <w:left w:val="nil"/>
              <w:bottom w:val="nil"/>
              <w:right w:val="single" w:sz="8" w:space="0" w:color="auto"/>
            </w:tcBorders>
            <w:shd w:val="clear" w:color="000000" w:fill="FFFFFF"/>
            <w:noWrap/>
            <w:vAlign w:val="bottom"/>
            <w:hideMark/>
          </w:tcPr>
          <w:p w14:paraId="052AED3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0.09</w:t>
            </w:r>
          </w:p>
        </w:tc>
      </w:tr>
      <w:tr w:rsidR="008C3153" w:rsidRPr="00DA6028" w14:paraId="14763A28"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7EBCBD4E"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Lung</w:t>
            </w:r>
          </w:p>
        </w:tc>
        <w:tc>
          <w:tcPr>
            <w:tcW w:w="682" w:type="pct"/>
            <w:tcBorders>
              <w:top w:val="nil"/>
              <w:left w:val="single" w:sz="8" w:space="0" w:color="auto"/>
              <w:bottom w:val="nil"/>
              <w:right w:val="nil"/>
            </w:tcBorders>
            <w:shd w:val="clear" w:color="000000" w:fill="FFFFFF"/>
            <w:noWrap/>
            <w:vAlign w:val="center"/>
            <w:hideMark/>
          </w:tcPr>
          <w:p w14:paraId="29B7555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£40,561</w:t>
            </w:r>
          </w:p>
        </w:tc>
        <w:tc>
          <w:tcPr>
            <w:tcW w:w="843" w:type="pct"/>
            <w:tcBorders>
              <w:top w:val="nil"/>
              <w:left w:val="nil"/>
              <w:bottom w:val="nil"/>
              <w:right w:val="single" w:sz="8" w:space="0" w:color="auto"/>
            </w:tcBorders>
            <w:shd w:val="clear" w:color="000000" w:fill="FFFFFF"/>
            <w:noWrap/>
            <w:vAlign w:val="center"/>
            <w:hideMark/>
          </w:tcPr>
          <w:p w14:paraId="7951DC1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1.41</w:t>
            </w:r>
          </w:p>
        </w:tc>
        <w:tc>
          <w:tcPr>
            <w:tcW w:w="804" w:type="pct"/>
            <w:tcBorders>
              <w:top w:val="nil"/>
              <w:left w:val="single" w:sz="8" w:space="0" w:color="auto"/>
              <w:bottom w:val="nil"/>
              <w:right w:val="nil"/>
            </w:tcBorders>
            <w:shd w:val="clear" w:color="000000" w:fill="FFFFFF"/>
            <w:noWrap/>
            <w:vAlign w:val="center"/>
            <w:hideMark/>
          </w:tcPr>
          <w:p w14:paraId="5476723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13.37%</w:t>
            </w:r>
          </w:p>
        </w:tc>
        <w:tc>
          <w:tcPr>
            <w:tcW w:w="784" w:type="pct"/>
            <w:tcBorders>
              <w:top w:val="nil"/>
              <w:left w:val="nil"/>
              <w:bottom w:val="nil"/>
              <w:right w:val="nil"/>
            </w:tcBorders>
            <w:shd w:val="clear" w:color="000000" w:fill="FFFFFF"/>
            <w:noWrap/>
            <w:vAlign w:val="bottom"/>
            <w:hideMark/>
          </w:tcPr>
          <w:p w14:paraId="5F08A9F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£5,424</w:t>
            </w:r>
          </w:p>
        </w:tc>
        <w:tc>
          <w:tcPr>
            <w:tcW w:w="768" w:type="pct"/>
            <w:tcBorders>
              <w:top w:val="nil"/>
              <w:left w:val="nil"/>
              <w:bottom w:val="nil"/>
              <w:right w:val="single" w:sz="8" w:space="0" w:color="auto"/>
            </w:tcBorders>
            <w:shd w:val="clear" w:color="000000" w:fill="FFFFFF"/>
            <w:noWrap/>
            <w:vAlign w:val="bottom"/>
            <w:hideMark/>
          </w:tcPr>
          <w:p w14:paraId="6A6DE1A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0.19</w:t>
            </w:r>
          </w:p>
        </w:tc>
      </w:tr>
      <w:tr w:rsidR="008C3153" w:rsidRPr="00DA6028" w14:paraId="6A14871C"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16A1C163"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Melanoma</w:t>
            </w:r>
          </w:p>
        </w:tc>
        <w:tc>
          <w:tcPr>
            <w:tcW w:w="682" w:type="pct"/>
            <w:tcBorders>
              <w:top w:val="nil"/>
              <w:left w:val="single" w:sz="8" w:space="0" w:color="auto"/>
              <w:bottom w:val="nil"/>
              <w:right w:val="nil"/>
            </w:tcBorders>
            <w:shd w:val="clear" w:color="000000" w:fill="FFFFFF"/>
            <w:noWrap/>
            <w:vAlign w:val="center"/>
            <w:hideMark/>
          </w:tcPr>
          <w:p w14:paraId="5684B6E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£32,492</w:t>
            </w:r>
          </w:p>
        </w:tc>
        <w:tc>
          <w:tcPr>
            <w:tcW w:w="843" w:type="pct"/>
            <w:tcBorders>
              <w:top w:val="nil"/>
              <w:left w:val="nil"/>
              <w:bottom w:val="nil"/>
              <w:right w:val="single" w:sz="8" w:space="0" w:color="auto"/>
            </w:tcBorders>
            <w:shd w:val="clear" w:color="000000" w:fill="FFFFFF"/>
            <w:noWrap/>
            <w:vAlign w:val="center"/>
            <w:hideMark/>
          </w:tcPr>
          <w:p w14:paraId="3C6A724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1.04</w:t>
            </w:r>
          </w:p>
        </w:tc>
        <w:tc>
          <w:tcPr>
            <w:tcW w:w="804" w:type="pct"/>
            <w:tcBorders>
              <w:top w:val="nil"/>
              <w:left w:val="single" w:sz="8" w:space="0" w:color="auto"/>
              <w:bottom w:val="nil"/>
              <w:right w:val="nil"/>
            </w:tcBorders>
            <w:shd w:val="clear" w:color="000000" w:fill="FFFFFF"/>
            <w:noWrap/>
            <w:vAlign w:val="center"/>
            <w:hideMark/>
          </w:tcPr>
          <w:p w14:paraId="5AAEA88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2.08%</w:t>
            </w:r>
          </w:p>
        </w:tc>
        <w:tc>
          <w:tcPr>
            <w:tcW w:w="784" w:type="pct"/>
            <w:tcBorders>
              <w:top w:val="nil"/>
              <w:left w:val="nil"/>
              <w:bottom w:val="nil"/>
              <w:right w:val="nil"/>
            </w:tcBorders>
            <w:shd w:val="clear" w:color="000000" w:fill="FFFFFF"/>
            <w:noWrap/>
            <w:vAlign w:val="bottom"/>
            <w:hideMark/>
          </w:tcPr>
          <w:p w14:paraId="7984B06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£675</w:t>
            </w:r>
          </w:p>
        </w:tc>
        <w:tc>
          <w:tcPr>
            <w:tcW w:w="768" w:type="pct"/>
            <w:tcBorders>
              <w:top w:val="nil"/>
              <w:left w:val="nil"/>
              <w:bottom w:val="nil"/>
              <w:right w:val="single" w:sz="8" w:space="0" w:color="auto"/>
            </w:tcBorders>
            <w:shd w:val="clear" w:color="000000" w:fill="FFFFFF"/>
            <w:noWrap/>
            <w:vAlign w:val="bottom"/>
            <w:hideMark/>
          </w:tcPr>
          <w:p w14:paraId="7270BD2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0.02</w:t>
            </w:r>
          </w:p>
        </w:tc>
      </w:tr>
      <w:tr w:rsidR="008C3153" w:rsidRPr="00DA6028" w14:paraId="41B0C030"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30901B35"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Colon</w:t>
            </w:r>
          </w:p>
        </w:tc>
        <w:tc>
          <w:tcPr>
            <w:tcW w:w="682" w:type="pct"/>
            <w:tcBorders>
              <w:top w:val="nil"/>
              <w:left w:val="single" w:sz="8" w:space="0" w:color="auto"/>
              <w:bottom w:val="nil"/>
              <w:right w:val="nil"/>
            </w:tcBorders>
            <w:shd w:val="clear" w:color="000000" w:fill="FFFFFF"/>
            <w:noWrap/>
            <w:vAlign w:val="center"/>
            <w:hideMark/>
          </w:tcPr>
          <w:p w14:paraId="23709886"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£24,197</w:t>
            </w:r>
          </w:p>
        </w:tc>
        <w:tc>
          <w:tcPr>
            <w:tcW w:w="843" w:type="pct"/>
            <w:tcBorders>
              <w:top w:val="nil"/>
              <w:left w:val="nil"/>
              <w:bottom w:val="nil"/>
              <w:right w:val="single" w:sz="8" w:space="0" w:color="auto"/>
            </w:tcBorders>
            <w:shd w:val="clear" w:color="000000" w:fill="FFFFFF"/>
            <w:noWrap/>
            <w:vAlign w:val="center"/>
            <w:hideMark/>
          </w:tcPr>
          <w:p w14:paraId="3197FF1C"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0.66</w:t>
            </w:r>
          </w:p>
        </w:tc>
        <w:tc>
          <w:tcPr>
            <w:tcW w:w="804" w:type="pct"/>
            <w:tcBorders>
              <w:top w:val="nil"/>
              <w:left w:val="single" w:sz="8" w:space="0" w:color="auto"/>
              <w:bottom w:val="nil"/>
              <w:right w:val="nil"/>
            </w:tcBorders>
            <w:shd w:val="clear" w:color="000000" w:fill="FFFFFF"/>
            <w:noWrap/>
            <w:vAlign w:val="center"/>
            <w:hideMark/>
          </w:tcPr>
          <w:p w14:paraId="2F22920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18.39%</w:t>
            </w:r>
          </w:p>
        </w:tc>
        <w:tc>
          <w:tcPr>
            <w:tcW w:w="784" w:type="pct"/>
            <w:tcBorders>
              <w:top w:val="nil"/>
              <w:left w:val="nil"/>
              <w:bottom w:val="nil"/>
              <w:right w:val="nil"/>
            </w:tcBorders>
            <w:shd w:val="clear" w:color="000000" w:fill="FFFFFF"/>
            <w:noWrap/>
            <w:vAlign w:val="bottom"/>
            <w:hideMark/>
          </w:tcPr>
          <w:p w14:paraId="5C4869CF"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£4,450</w:t>
            </w:r>
          </w:p>
        </w:tc>
        <w:tc>
          <w:tcPr>
            <w:tcW w:w="768" w:type="pct"/>
            <w:tcBorders>
              <w:top w:val="nil"/>
              <w:left w:val="nil"/>
              <w:bottom w:val="nil"/>
              <w:right w:val="single" w:sz="8" w:space="0" w:color="auto"/>
            </w:tcBorders>
            <w:shd w:val="clear" w:color="000000" w:fill="FFFFFF"/>
            <w:noWrap/>
            <w:vAlign w:val="bottom"/>
            <w:hideMark/>
          </w:tcPr>
          <w:p w14:paraId="6110198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0.12</w:t>
            </w:r>
          </w:p>
        </w:tc>
      </w:tr>
      <w:tr w:rsidR="008C3153" w:rsidRPr="00DA6028" w14:paraId="6A255EB0"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34C9D159"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GIST</w:t>
            </w:r>
          </w:p>
        </w:tc>
        <w:tc>
          <w:tcPr>
            <w:tcW w:w="682" w:type="pct"/>
            <w:tcBorders>
              <w:top w:val="nil"/>
              <w:left w:val="single" w:sz="8" w:space="0" w:color="auto"/>
              <w:bottom w:val="nil"/>
              <w:right w:val="nil"/>
            </w:tcBorders>
            <w:shd w:val="clear" w:color="000000" w:fill="FFFFFF"/>
            <w:noWrap/>
            <w:vAlign w:val="center"/>
            <w:hideMark/>
          </w:tcPr>
          <w:p w14:paraId="3D7109FD"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£46,763</w:t>
            </w:r>
          </w:p>
        </w:tc>
        <w:tc>
          <w:tcPr>
            <w:tcW w:w="843" w:type="pct"/>
            <w:tcBorders>
              <w:top w:val="nil"/>
              <w:left w:val="nil"/>
              <w:bottom w:val="nil"/>
              <w:right w:val="single" w:sz="8" w:space="0" w:color="auto"/>
            </w:tcBorders>
            <w:shd w:val="clear" w:color="000000" w:fill="FFFFFF"/>
            <w:noWrap/>
            <w:vAlign w:val="center"/>
            <w:hideMark/>
          </w:tcPr>
          <w:p w14:paraId="349913C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1.70</w:t>
            </w:r>
          </w:p>
        </w:tc>
        <w:tc>
          <w:tcPr>
            <w:tcW w:w="804" w:type="pct"/>
            <w:tcBorders>
              <w:top w:val="nil"/>
              <w:left w:val="single" w:sz="8" w:space="0" w:color="auto"/>
              <w:bottom w:val="nil"/>
              <w:right w:val="nil"/>
            </w:tcBorders>
            <w:shd w:val="clear" w:color="000000" w:fill="FFFFFF"/>
            <w:noWrap/>
            <w:vAlign w:val="center"/>
            <w:hideMark/>
          </w:tcPr>
          <w:p w14:paraId="6F980C6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3.01%</w:t>
            </w:r>
          </w:p>
        </w:tc>
        <w:tc>
          <w:tcPr>
            <w:tcW w:w="784" w:type="pct"/>
            <w:tcBorders>
              <w:top w:val="nil"/>
              <w:left w:val="nil"/>
              <w:bottom w:val="nil"/>
              <w:right w:val="nil"/>
            </w:tcBorders>
            <w:shd w:val="clear" w:color="000000" w:fill="FFFFFF"/>
            <w:noWrap/>
            <w:vAlign w:val="bottom"/>
            <w:hideMark/>
          </w:tcPr>
          <w:p w14:paraId="3720F98D"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£1,407</w:t>
            </w:r>
          </w:p>
        </w:tc>
        <w:tc>
          <w:tcPr>
            <w:tcW w:w="768" w:type="pct"/>
            <w:tcBorders>
              <w:top w:val="nil"/>
              <w:left w:val="nil"/>
              <w:bottom w:val="nil"/>
              <w:right w:val="single" w:sz="8" w:space="0" w:color="auto"/>
            </w:tcBorders>
            <w:shd w:val="clear" w:color="000000" w:fill="FFFFFF"/>
            <w:noWrap/>
            <w:vAlign w:val="bottom"/>
            <w:hideMark/>
          </w:tcPr>
          <w:p w14:paraId="0712752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0.05</w:t>
            </w:r>
          </w:p>
        </w:tc>
      </w:tr>
      <w:tr w:rsidR="008C3153" w:rsidRPr="00DA6028" w14:paraId="4D6DC8BD"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36AE7A01"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Cholangiocarcinoma</w:t>
            </w:r>
          </w:p>
        </w:tc>
        <w:tc>
          <w:tcPr>
            <w:tcW w:w="682" w:type="pct"/>
            <w:tcBorders>
              <w:top w:val="nil"/>
              <w:left w:val="single" w:sz="8" w:space="0" w:color="auto"/>
              <w:bottom w:val="nil"/>
              <w:right w:val="nil"/>
            </w:tcBorders>
            <w:shd w:val="clear" w:color="000000" w:fill="FFFFFF"/>
            <w:noWrap/>
            <w:vAlign w:val="center"/>
            <w:hideMark/>
          </w:tcPr>
          <w:p w14:paraId="5E8B39B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£19,791</w:t>
            </w:r>
          </w:p>
        </w:tc>
        <w:tc>
          <w:tcPr>
            <w:tcW w:w="843" w:type="pct"/>
            <w:tcBorders>
              <w:top w:val="nil"/>
              <w:left w:val="nil"/>
              <w:bottom w:val="nil"/>
              <w:right w:val="single" w:sz="8" w:space="0" w:color="auto"/>
            </w:tcBorders>
            <w:shd w:val="clear" w:color="000000" w:fill="FFFFFF"/>
            <w:noWrap/>
            <w:vAlign w:val="center"/>
            <w:hideMark/>
          </w:tcPr>
          <w:p w14:paraId="1E3170DB"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0.45</w:t>
            </w:r>
          </w:p>
        </w:tc>
        <w:tc>
          <w:tcPr>
            <w:tcW w:w="804" w:type="pct"/>
            <w:tcBorders>
              <w:top w:val="nil"/>
              <w:left w:val="single" w:sz="8" w:space="0" w:color="auto"/>
              <w:bottom w:val="nil"/>
              <w:right w:val="nil"/>
            </w:tcBorders>
            <w:shd w:val="clear" w:color="000000" w:fill="FFFFFF"/>
            <w:noWrap/>
            <w:vAlign w:val="center"/>
            <w:hideMark/>
          </w:tcPr>
          <w:p w14:paraId="69C3397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0.27%</w:t>
            </w:r>
          </w:p>
        </w:tc>
        <w:tc>
          <w:tcPr>
            <w:tcW w:w="784" w:type="pct"/>
            <w:tcBorders>
              <w:top w:val="nil"/>
              <w:left w:val="nil"/>
              <w:bottom w:val="nil"/>
              <w:right w:val="nil"/>
            </w:tcBorders>
            <w:shd w:val="clear" w:color="000000" w:fill="FFFFFF"/>
            <w:noWrap/>
            <w:vAlign w:val="bottom"/>
            <w:hideMark/>
          </w:tcPr>
          <w:p w14:paraId="01800451"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£53</w:t>
            </w:r>
          </w:p>
        </w:tc>
        <w:tc>
          <w:tcPr>
            <w:tcW w:w="768" w:type="pct"/>
            <w:tcBorders>
              <w:top w:val="nil"/>
              <w:left w:val="nil"/>
              <w:bottom w:val="nil"/>
              <w:right w:val="single" w:sz="8" w:space="0" w:color="auto"/>
            </w:tcBorders>
            <w:shd w:val="clear" w:color="000000" w:fill="FFFFFF"/>
            <w:noWrap/>
            <w:vAlign w:val="bottom"/>
            <w:hideMark/>
          </w:tcPr>
          <w:p w14:paraId="27323D7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0.00</w:t>
            </w:r>
          </w:p>
        </w:tc>
      </w:tr>
      <w:tr w:rsidR="008C3153" w:rsidRPr="00DA6028" w14:paraId="26F73027"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07BAE852"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Appendix</w:t>
            </w:r>
          </w:p>
        </w:tc>
        <w:tc>
          <w:tcPr>
            <w:tcW w:w="682" w:type="pct"/>
            <w:tcBorders>
              <w:top w:val="nil"/>
              <w:left w:val="single" w:sz="8" w:space="0" w:color="auto"/>
              <w:bottom w:val="nil"/>
              <w:right w:val="nil"/>
            </w:tcBorders>
            <w:shd w:val="clear" w:color="000000" w:fill="FFFFFF"/>
            <w:noWrap/>
            <w:vAlign w:val="center"/>
            <w:hideMark/>
          </w:tcPr>
          <w:p w14:paraId="286F51E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£23,302</w:t>
            </w:r>
          </w:p>
        </w:tc>
        <w:tc>
          <w:tcPr>
            <w:tcW w:w="843" w:type="pct"/>
            <w:tcBorders>
              <w:top w:val="nil"/>
              <w:left w:val="nil"/>
              <w:bottom w:val="nil"/>
              <w:right w:val="single" w:sz="8" w:space="0" w:color="auto"/>
            </w:tcBorders>
            <w:shd w:val="clear" w:color="000000" w:fill="FFFFFF"/>
            <w:noWrap/>
            <w:vAlign w:val="center"/>
            <w:hideMark/>
          </w:tcPr>
          <w:p w14:paraId="51A6DD85"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0.62</w:t>
            </w:r>
          </w:p>
        </w:tc>
        <w:tc>
          <w:tcPr>
            <w:tcW w:w="804" w:type="pct"/>
            <w:tcBorders>
              <w:top w:val="nil"/>
              <w:left w:val="single" w:sz="8" w:space="0" w:color="auto"/>
              <w:bottom w:val="nil"/>
              <w:right w:val="nil"/>
            </w:tcBorders>
            <w:shd w:val="clear" w:color="000000" w:fill="FFFFFF"/>
            <w:noWrap/>
            <w:vAlign w:val="center"/>
            <w:hideMark/>
          </w:tcPr>
          <w:p w14:paraId="098D0AC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12.78%</w:t>
            </w:r>
          </w:p>
        </w:tc>
        <w:tc>
          <w:tcPr>
            <w:tcW w:w="784" w:type="pct"/>
            <w:tcBorders>
              <w:top w:val="nil"/>
              <w:left w:val="nil"/>
              <w:bottom w:val="nil"/>
              <w:right w:val="nil"/>
            </w:tcBorders>
            <w:shd w:val="clear" w:color="000000" w:fill="FFFFFF"/>
            <w:noWrap/>
            <w:vAlign w:val="bottom"/>
            <w:hideMark/>
          </w:tcPr>
          <w:p w14:paraId="02E3A833"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£2,978</w:t>
            </w:r>
          </w:p>
        </w:tc>
        <w:tc>
          <w:tcPr>
            <w:tcW w:w="768" w:type="pct"/>
            <w:tcBorders>
              <w:top w:val="nil"/>
              <w:left w:val="nil"/>
              <w:bottom w:val="nil"/>
              <w:right w:val="single" w:sz="8" w:space="0" w:color="auto"/>
            </w:tcBorders>
            <w:shd w:val="clear" w:color="000000" w:fill="FFFFFF"/>
            <w:noWrap/>
            <w:vAlign w:val="bottom"/>
            <w:hideMark/>
          </w:tcPr>
          <w:p w14:paraId="72B86492"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0.08</w:t>
            </w:r>
          </w:p>
        </w:tc>
      </w:tr>
      <w:tr w:rsidR="008C3153" w:rsidRPr="00DA6028" w14:paraId="0C5E2E24" w14:textId="77777777" w:rsidTr="00AB705A">
        <w:trPr>
          <w:trHeight w:val="300"/>
        </w:trPr>
        <w:tc>
          <w:tcPr>
            <w:tcW w:w="1120" w:type="pct"/>
            <w:tcBorders>
              <w:top w:val="nil"/>
              <w:left w:val="single" w:sz="8" w:space="0" w:color="auto"/>
              <w:bottom w:val="nil"/>
              <w:right w:val="single" w:sz="8" w:space="0" w:color="auto"/>
            </w:tcBorders>
            <w:shd w:val="clear" w:color="000000" w:fill="FFFFFF"/>
            <w:noWrap/>
            <w:vAlign w:val="center"/>
            <w:hideMark/>
          </w:tcPr>
          <w:p w14:paraId="73FEFCFD"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Breast</w:t>
            </w:r>
          </w:p>
        </w:tc>
        <w:tc>
          <w:tcPr>
            <w:tcW w:w="682" w:type="pct"/>
            <w:tcBorders>
              <w:top w:val="nil"/>
              <w:left w:val="single" w:sz="8" w:space="0" w:color="auto"/>
              <w:bottom w:val="nil"/>
              <w:right w:val="nil"/>
            </w:tcBorders>
            <w:shd w:val="clear" w:color="000000" w:fill="FFFFFF"/>
            <w:noWrap/>
            <w:vAlign w:val="center"/>
            <w:hideMark/>
          </w:tcPr>
          <w:p w14:paraId="183C784A"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£23,297</w:t>
            </w:r>
          </w:p>
        </w:tc>
        <w:tc>
          <w:tcPr>
            <w:tcW w:w="843" w:type="pct"/>
            <w:tcBorders>
              <w:top w:val="nil"/>
              <w:left w:val="nil"/>
              <w:bottom w:val="nil"/>
              <w:right w:val="single" w:sz="8" w:space="0" w:color="auto"/>
            </w:tcBorders>
            <w:shd w:val="clear" w:color="000000" w:fill="FFFFFF"/>
            <w:noWrap/>
            <w:vAlign w:val="center"/>
            <w:hideMark/>
          </w:tcPr>
          <w:p w14:paraId="62DF647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0.62</w:t>
            </w:r>
          </w:p>
        </w:tc>
        <w:tc>
          <w:tcPr>
            <w:tcW w:w="804" w:type="pct"/>
            <w:tcBorders>
              <w:top w:val="nil"/>
              <w:left w:val="single" w:sz="8" w:space="0" w:color="auto"/>
              <w:bottom w:val="nil"/>
              <w:right w:val="nil"/>
            </w:tcBorders>
            <w:shd w:val="clear" w:color="000000" w:fill="FFFFFF"/>
            <w:noWrap/>
            <w:vAlign w:val="center"/>
            <w:hideMark/>
          </w:tcPr>
          <w:p w14:paraId="2F1DB179"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3.87%</w:t>
            </w:r>
          </w:p>
        </w:tc>
        <w:tc>
          <w:tcPr>
            <w:tcW w:w="784" w:type="pct"/>
            <w:tcBorders>
              <w:top w:val="nil"/>
              <w:left w:val="nil"/>
              <w:bottom w:val="nil"/>
              <w:right w:val="nil"/>
            </w:tcBorders>
            <w:shd w:val="clear" w:color="000000" w:fill="FFFFFF"/>
            <w:noWrap/>
            <w:vAlign w:val="bottom"/>
            <w:hideMark/>
          </w:tcPr>
          <w:p w14:paraId="212E480D"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£902</w:t>
            </w:r>
          </w:p>
        </w:tc>
        <w:tc>
          <w:tcPr>
            <w:tcW w:w="768" w:type="pct"/>
            <w:tcBorders>
              <w:top w:val="nil"/>
              <w:left w:val="nil"/>
              <w:bottom w:val="nil"/>
              <w:right w:val="single" w:sz="8" w:space="0" w:color="auto"/>
            </w:tcBorders>
            <w:shd w:val="clear" w:color="000000" w:fill="FFFFFF"/>
            <w:noWrap/>
            <w:vAlign w:val="bottom"/>
            <w:hideMark/>
          </w:tcPr>
          <w:p w14:paraId="078ECD14"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0.02</w:t>
            </w:r>
          </w:p>
        </w:tc>
      </w:tr>
      <w:tr w:rsidR="008C3153" w:rsidRPr="00DA6028" w14:paraId="1C1F039C" w14:textId="77777777" w:rsidTr="00AB705A">
        <w:trPr>
          <w:trHeight w:val="315"/>
        </w:trPr>
        <w:tc>
          <w:tcPr>
            <w:tcW w:w="1120" w:type="pct"/>
            <w:tcBorders>
              <w:top w:val="nil"/>
              <w:left w:val="single" w:sz="8" w:space="0" w:color="auto"/>
              <w:bottom w:val="single" w:sz="8" w:space="0" w:color="auto"/>
              <w:right w:val="single" w:sz="8" w:space="0" w:color="auto"/>
            </w:tcBorders>
            <w:shd w:val="clear" w:color="000000" w:fill="FFFFFF"/>
            <w:noWrap/>
            <w:vAlign w:val="center"/>
            <w:hideMark/>
          </w:tcPr>
          <w:p w14:paraId="141CE58F" w14:textId="77777777" w:rsidR="008C3153" w:rsidRPr="00AA25B6" w:rsidRDefault="008C3153" w:rsidP="008C3153">
            <w:pPr>
              <w:keepNext/>
              <w:keepLines/>
              <w:spacing w:after="0" w:line="240" w:lineRule="auto"/>
              <w:rPr>
                <w:rFonts w:eastAsia="Times New Roman" w:cs="Times New Roman"/>
                <w:lang w:eastAsia="en-GB"/>
              </w:rPr>
            </w:pPr>
            <w:r w:rsidRPr="00AA25B6">
              <w:rPr>
                <w:rFonts w:eastAsia="Times New Roman" w:cs="Times New Roman"/>
                <w:lang w:eastAsia="en-GB"/>
              </w:rPr>
              <w:t>Pancreas</w:t>
            </w:r>
          </w:p>
        </w:tc>
        <w:tc>
          <w:tcPr>
            <w:tcW w:w="682" w:type="pct"/>
            <w:tcBorders>
              <w:top w:val="nil"/>
              <w:left w:val="single" w:sz="8" w:space="0" w:color="auto"/>
              <w:bottom w:val="single" w:sz="8" w:space="0" w:color="auto"/>
              <w:right w:val="nil"/>
            </w:tcBorders>
            <w:shd w:val="clear" w:color="000000" w:fill="FFFFFF"/>
            <w:noWrap/>
            <w:vAlign w:val="center"/>
            <w:hideMark/>
          </w:tcPr>
          <w:p w14:paraId="339F678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£23,280</w:t>
            </w:r>
          </w:p>
        </w:tc>
        <w:tc>
          <w:tcPr>
            <w:tcW w:w="843" w:type="pct"/>
            <w:tcBorders>
              <w:top w:val="nil"/>
              <w:left w:val="nil"/>
              <w:bottom w:val="single" w:sz="8" w:space="0" w:color="auto"/>
              <w:right w:val="single" w:sz="8" w:space="0" w:color="auto"/>
            </w:tcBorders>
            <w:shd w:val="clear" w:color="000000" w:fill="FFFFFF"/>
            <w:noWrap/>
            <w:vAlign w:val="center"/>
            <w:hideMark/>
          </w:tcPr>
          <w:p w14:paraId="05548CC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0.61</w:t>
            </w:r>
          </w:p>
        </w:tc>
        <w:tc>
          <w:tcPr>
            <w:tcW w:w="804" w:type="pct"/>
            <w:tcBorders>
              <w:top w:val="nil"/>
              <w:left w:val="single" w:sz="8" w:space="0" w:color="auto"/>
              <w:bottom w:val="single" w:sz="8" w:space="0" w:color="auto"/>
              <w:right w:val="nil"/>
            </w:tcBorders>
            <w:shd w:val="clear" w:color="000000" w:fill="FFFFFF"/>
            <w:noWrap/>
            <w:vAlign w:val="center"/>
            <w:hideMark/>
          </w:tcPr>
          <w:p w14:paraId="17AA62A0"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13.61%</w:t>
            </w:r>
          </w:p>
        </w:tc>
        <w:tc>
          <w:tcPr>
            <w:tcW w:w="784" w:type="pct"/>
            <w:tcBorders>
              <w:top w:val="nil"/>
              <w:left w:val="nil"/>
              <w:bottom w:val="single" w:sz="8" w:space="0" w:color="auto"/>
              <w:right w:val="nil"/>
            </w:tcBorders>
            <w:shd w:val="clear" w:color="000000" w:fill="FFFFFF"/>
            <w:noWrap/>
            <w:vAlign w:val="bottom"/>
            <w:hideMark/>
          </w:tcPr>
          <w:p w14:paraId="7E9658E8"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£3,169</w:t>
            </w:r>
          </w:p>
        </w:tc>
        <w:tc>
          <w:tcPr>
            <w:tcW w:w="768" w:type="pct"/>
            <w:tcBorders>
              <w:top w:val="nil"/>
              <w:left w:val="nil"/>
              <w:bottom w:val="single" w:sz="8" w:space="0" w:color="auto"/>
              <w:right w:val="single" w:sz="8" w:space="0" w:color="auto"/>
            </w:tcBorders>
            <w:shd w:val="clear" w:color="000000" w:fill="FFFFFF"/>
            <w:noWrap/>
            <w:vAlign w:val="bottom"/>
            <w:hideMark/>
          </w:tcPr>
          <w:p w14:paraId="68DDB2BE" w14:textId="77777777" w:rsidR="008C3153" w:rsidRPr="00AA25B6" w:rsidRDefault="008C3153" w:rsidP="008C3153">
            <w:pPr>
              <w:keepNext/>
              <w:keepLines/>
              <w:spacing w:after="0" w:line="240" w:lineRule="auto"/>
              <w:jc w:val="center"/>
              <w:rPr>
                <w:rFonts w:eastAsia="Times New Roman" w:cs="Times New Roman"/>
                <w:color w:val="000000"/>
                <w:lang w:eastAsia="en-GB"/>
              </w:rPr>
            </w:pPr>
            <w:r w:rsidRPr="00AA25B6">
              <w:rPr>
                <w:rFonts w:eastAsia="Times New Roman" w:cs="Times New Roman"/>
                <w:color w:val="000000"/>
                <w:lang w:eastAsia="en-GB"/>
              </w:rPr>
              <w:t>0.08</w:t>
            </w:r>
          </w:p>
        </w:tc>
      </w:tr>
      <w:tr w:rsidR="008C3153" w:rsidRPr="00DA6028" w14:paraId="7626C0FB" w14:textId="77777777" w:rsidTr="00AB705A">
        <w:trPr>
          <w:trHeight w:val="315"/>
        </w:trPr>
        <w:tc>
          <w:tcPr>
            <w:tcW w:w="1120" w:type="pct"/>
            <w:tcBorders>
              <w:top w:val="nil"/>
              <w:left w:val="single" w:sz="8" w:space="0" w:color="auto"/>
              <w:bottom w:val="single" w:sz="8" w:space="0" w:color="auto"/>
              <w:right w:val="nil"/>
            </w:tcBorders>
            <w:shd w:val="clear" w:color="000000" w:fill="FFFFFF"/>
            <w:noWrap/>
            <w:vAlign w:val="center"/>
            <w:hideMark/>
          </w:tcPr>
          <w:p w14:paraId="6CDA3051" w14:textId="77777777" w:rsidR="008C3153" w:rsidRPr="00AA25B6" w:rsidRDefault="008C3153" w:rsidP="008C3153">
            <w:pPr>
              <w:keepNext/>
              <w:keepLines/>
              <w:spacing w:after="0" w:line="240" w:lineRule="auto"/>
              <w:jc w:val="center"/>
              <w:rPr>
                <w:rFonts w:eastAsia="Times New Roman" w:cs="Times New Roman"/>
                <w:b/>
                <w:bCs/>
                <w:lang w:eastAsia="en-GB"/>
              </w:rPr>
            </w:pPr>
            <w:r w:rsidRPr="00AA25B6">
              <w:rPr>
                <w:rFonts w:eastAsia="Times New Roman" w:cs="Times New Roman"/>
                <w:b/>
                <w:bCs/>
                <w:lang w:eastAsia="en-GB"/>
              </w:rPr>
              <w:t>Sum</w:t>
            </w:r>
          </w:p>
        </w:tc>
        <w:tc>
          <w:tcPr>
            <w:tcW w:w="682" w:type="pct"/>
            <w:tcBorders>
              <w:top w:val="nil"/>
              <w:left w:val="nil"/>
              <w:bottom w:val="single" w:sz="8" w:space="0" w:color="auto"/>
              <w:right w:val="nil"/>
            </w:tcBorders>
            <w:shd w:val="clear" w:color="000000" w:fill="FFFFFF"/>
            <w:noWrap/>
            <w:vAlign w:val="bottom"/>
            <w:hideMark/>
          </w:tcPr>
          <w:p w14:paraId="097C798F"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43" w:type="pct"/>
            <w:tcBorders>
              <w:top w:val="nil"/>
              <w:left w:val="nil"/>
              <w:bottom w:val="single" w:sz="8" w:space="0" w:color="auto"/>
              <w:right w:val="nil"/>
            </w:tcBorders>
            <w:shd w:val="clear" w:color="000000" w:fill="FFFFFF"/>
            <w:noWrap/>
            <w:vAlign w:val="bottom"/>
            <w:hideMark/>
          </w:tcPr>
          <w:p w14:paraId="0750063F"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804" w:type="pct"/>
            <w:tcBorders>
              <w:top w:val="nil"/>
              <w:left w:val="nil"/>
              <w:bottom w:val="single" w:sz="8" w:space="0" w:color="auto"/>
              <w:right w:val="nil"/>
            </w:tcBorders>
            <w:shd w:val="clear" w:color="000000" w:fill="FFFFFF"/>
            <w:noWrap/>
            <w:vAlign w:val="bottom"/>
            <w:hideMark/>
          </w:tcPr>
          <w:p w14:paraId="240C4135" w14:textId="77777777" w:rsidR="008C3153" w:rsidRPr="00AA25B6" w:rsidRDefault="008C3153" w:rsidP="008C3153">
            <w:pPr>
              <w:keepNext/>
              <w:keepLines/>
              <w:spacing w:after="0" w:line="240" w:lineRule="auto"/>
              <w:rPr>
                <w:rFonts w:eastAsia="Times New Roman" w:cs="Times New Roman"/>
                <w:b/>
                <w:bCs/>
                <w:color w:val="000000"/>
                <w:lang w:eastAsia="en-GB"/>
              </w:rPr>
            </w:pPr>
            <w:r w:rsidRPr="00AA25B6">
              <w:rPr>
                <w:rFonts w:eastAsia="Times New Roman" w:cs="Times New Roman"/>
                <w:b/>
                <w:bCs/>
                <w:color w:val="000000"/>
                <w:lang w:eastAsia="en-GB"/>
              </w:rPr>
              <w:t> </w:t>
            </w:r>
          </w:p>
        </w:tc>
        <w:tc>
          <w:tcPr>
            <w:tcW w:w="784" w:type="pct"/>
            <w:tcBorders>
              <w:top w:val="nil"/>
              <w:left w:val="nil"/>
              <w:bottom w:val="single" w:sz="8" w:space="0" w:color="auto"/>
              <w:right w:val="nil"/>
            </w:tcBorders>
            <w:shd w:val="clear" w:color="000000" w:fill="FFFFFF"/>
            <w:noWrap/>
            <w:vAlign w:val="bottom"/>
            <w:hideMark/>
          </w:tcPr>
          <w:p w14:paraId="052E4914"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£34,798</w:t>
            </w:r>
          </w:p>
        </w:tc>
        <w:tc>
          <w:tcPr>
            <w:tcW w:w="768" w:type="pct"/>
            <w:tcBorders>
              <w:top w:val="nil"/>
              <w:left w:val="nil"/>
              <w:bottom w:val="single" w:sz="8" w:space="0" w:color="auto"/>
              <w:right w:val="single" w:sz="8" w:space="0" w:color="auto"/>
            </w:tcBorders>
            <w:shd w:val="clear" w:color="000000" w:fill="FFFFFF"/>
            <w:noWrap/>
            <w:vAlign w:val="bottom"/>
            <w:hideMark/>
          </w:tcPr>
          <w:p w14:paraId="5BB627EE"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1.15</w:t>
            </w:r>
          </w:p>
        </w:tc>
      </w:tr>
      <w:tr w:rsidR="008C3153" w:rsidRPr="00DA6028" w14:paraId="3BAD0D9A" w14:textId="77777777" w:rsidTr="008C3153">
        <w:trPr>
          <w:trHeight w:val="300"/>
        </w:trPr>
        <w:tc>
          <w:tcPr>
            <w:tcW w:w="1120" w:type="pct"/>
            <w:tcBorders>
              <w:top w:val="nil"/>
              <w:left w:val="nil"/>
              <w:bottom w:val="nil"/>
              <w:right w:val="nil"/>
            </w:tcBorders>
            <w:shd w:val="clear" w:color="000000" w:fill="FFFFFF"/>
            <w:noWrap/>
            <w:vAlign w:val="bottom"/>
            <w:hideMark/>
          </w:tcPr>
          <w:p w14:paraId="47C65020"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682" w:type="pct"/>
            <w:tcBorders>
              <w:top w:val="nil"/>
              <w:left w:val="nil"/>
              <w:bottom w:val="nil"/>
              <w:right w:val="nil"/>
            </w:tcBorders>
            <w:shd w:val="clear" w:color="000000" w:fill="FFFFFF"/>
            <w:noWrap/>
            <w:vAlign w:val="bottom"/>
            <w:hideMark/>
          </w:tcPr>
          <w:p w14:paraId="1DFCA7AE"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843" w:type="pct"/>
            <w:tcBorders>
              <w:top w:val="nil"/>
              <w:left w:val="nil"/>
              <w:bottom w:val="nil"/>
              <w:right w:val="nil"/>
            </w:tcBorders>
            <w:shd w:val="clear" w:color="000000" w:fill="FFFFFF"/>
            <w:noWrap/>
            <w:vAlign w:val="bottom"/>
            <w:hideMark/>
          </w:tcPr>
          <w:p w14:paraId="00B97FB4"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804" w:type="pct"/>
            <w:tcBorders>
              <w:top w:val="nil"/>
              <w:left w:val="nil"/>
              <w:bottom w:val="nil"/>
              <w:right w:val="nil"/>
            </w:tcBorders>
            <w:shd w:val="clear" w:color="000000" w:fill="FFFFFF"/>
            <w:noWrap/>
            <w:vAlign w:val="bottom"/>
            <w:hideMark/>
          </w:tcPr>
          <w:p w14:paraId="6764C66C"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784" w:type="pct"/>
            <w:tcBorders>
              <w:top w:val="nil"/>
              <w:left w:val="nil"/>
              <w:bottom w:val="nil"/>
              <w:right w:val="nil"/>
            </w:tcBorders>
            <w:shd w:val="clear" w:color="000000" w:fill="FFFFFF"/>
            <w:noWrap/>
            <w:vAlign w:val="bottom"/>
            <w:hideMark/>
          </w:tcPr>
          <w:p w14:paraId="201D199E"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768" w:type="pct"/>
            <w:tcBorders>
              <w:top w:val="nil"/>
              <w:left w:val="nil"/>
              <w:bottom w:val="nil"/>
              <w:right w:val="nil"/>
            </w:tcBorders>
            <w:shd w:val="clear" w:color="000000" w:fill="FFFFFF"/>
            <w:noWrap/>
            <w:vAlign w:val="bottom"/>
            <w:hideMark/>
          </w:tcPr>
          <w:p w14:paraId="176C956C"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r>
      <w:tr w:rsidR="008C3153" w:rsidRPr="00DA6028" w14:paraId="5EFCA68D" w14:textId="77777777" w:rsidTr="008C3153">
        <w:trPr>
          <w:trHeight w:val="300"/>
        </w:trPr>
        <w:tc>
          <w:tcPr>
            <w:tcW w:w="1120" w:type="pct"/>
            <w:tcBorders>
              <w:top w:val="nil"/>
              <w:left w:val="nil"/>
              <w:bottom w:val="nil"/>
              <w:right w:val="nil"/>
            </w:tcBorders>
            <w:shd w:val="clear" w:color="000000" w:fill="FFFFFF"/>
            <w:noWrap/>
            <w:vAlign w:val="bottom"/>
            <w:hideMark/>
          </w:tcPr>
          <w:p w14:paraId="78EF9DB7"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682" w:type="pct"/>
            <w:tcBorders>
              <w:top w:val="nil"/>
              <w:left w:val="nil"/>
              <w:bottom w:val="nil"/>
              <w:right w:val="nil"/>
            </w:tcBorders>
            <w:shd w:val="clear" w:color="000000" w:fill="FFFFFF"/>
            <w:noWrap/>
            <w:vAlign w:val="bottom"/>
            <w:hideMark/>
          </w:tcPr>
          <w:p w14:paraId="1B826E58"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843" w:type="pct"/>
            <w:tcBorders>
              <w:top w:val="nil"/>
              <w:left w:val="nil"/>
              <w:bottom w:val="nil"/>
              <w:right w:val="nil"/>
            </w:tcBorders>
            <w:shd w:val="clear" w:color="000000" w:fill="FFFFFF"/>
            <w:noWrap/>
            <w:vAlign w:val="bottom"/>
            <w:hideMark/>
          </w:tcPr>
          <w:p w14:paraId="75CFD8FE"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804" w:type="pct"/>
            <w:tcBorders>
              <w:top w:val="nil"/>
              <w:left w:val="nil"/>
              <w:bottom w:val="nil"/>
              <w:right w:val="nil"/>
            </w:tcBorders>
            <w:shd w:val="clear" w:color="000000" w:fill="FFFFFF"/>
            <w:noWrap/>
            <w:vAlign w:val="bottom"/>
            <w:hideMark/>
          </w:tcPr>
          <w:p w14:paraId="41C47CDD" w14:textId="77777777" w:rsidR="008C3153" w:rsidRPr="00AA25B6" w:rsidRDefault="008C3153" w:rsidP="008C3153">
            <w:pPr>
              <w:keepNext/>
              <w:keepLines/>
              <w:spacing w:after="0" w:line="240" w:lineRule="auto"/>
              <w:rPr>
                <w:rFonts w:eastAsia="Times New Roman" w:cs="Times New Roman"/>
                <w:color w:val="000000"/>
                <w:lang w:eastAsia="en-GB"/>
              </w:rPr>
            </w:pPr>
            <w:r w:rsidRPr="00AA25B6">
              <w:rPr>
                <w:rFonts w:eastAsia="Times New Roman" w:cs="Times New Roman"/>
                <w:color w:val="000000"/>
                <w:lang w:eastAsia="en-GB"/>
              </w:rPr>
              <w:t> </w:t>
            </w:r>
          </w:p>
        </w:tc>
        <w:tc>
          <w:tcPr>
            <w:tcW w:w="784" w:type="pct"/>
            <w:tcBorders>
              <w:top w:val="single" w:sz="4" w:space="0" w:color="auto"/>
              <w:left w:val="single" w:sz="4" w:space="0" w:color="auto"/>
              <w:bottom w:val="single" w:sz="4" w:space="0" w:color="auto"/>
              <w:right w:val="nil"/>
            </w:tcBorders>
            <w:shd w:val="clear" w:color="000000" w:fill="FFFFFF"/>
            <w:noWrap/>
            <w:vAlign w:val="bottom"/>
            <w:hideMark/>
          </w:tcPr>
          <w:p w14:paraId="29F6F60A"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ICER</w:t>
            </w:r>
          </w:p>
        </w:tc>
        <w:tc>
          <w:tcPr>
            <w:tcW w:w="768" w:type="pct"/>
            <w:tcBorders>
              <w:top w:val="single" w:sz="4" w:space="0" w:color="auto"/>
              <w:left w:val="nil"/>
              <w:bottom w:val="single" w:sz="4" w:space="0" w:color="auto"/>
              <w:right w:val="single" w:sz="4" w:space="0" w:color="auto"/>
            </w:tcBorders>
            <w:shd w:val="clear" w:color="000000" w:fill="FFFFFF"/>
            <w:noWrap/>
            <w:vAlign w:val="bottom"/>
            <w:hideMark/>
          </w:tcPr>
          <w:p w14:paraId="0249A99D" w14:textId="77777777" w:rsidR="008C3153" w:rsidRPr="00AA25B6" w:rsidRDefault="008C3153" w:rsidP="008C3153">
            <w:pPr>
              <w:keepNext/>
              <w:keepLines/>
              <w:spacing w:after="0" w:line="240" w:lineRule="auto"/>
              <w:jc w:val="center"/>
              <w:rPr>
                <w:rFonts w:eastAsia="Times New Roman" w:cs="Times New Roman"/>
                <w:b/>
                <w:bCs/>
                <w:color w:val="000000"/>
                <w:lang w:eastAsia="en-GB"/>
              </w:rPr>
            </w:pPr>
            <w:r w:rsidRPr="00AA25B6">
              <w:rPr>
                <w:rFonts w:eastAsia="Times New Roman" w:cs="Times New Roman"/>
                <w:b/>
                <w:bCs/>
                <w:color w:val="000000"/>
                <w:lang w:eastAsia="en-GB"/>
              </w:rPr>
              <w:t>£30,36</w:t>
            </w:r>
            <w:r>
              <w:rPr>
                <w:rFonts w:eastAsia="Times New Roman" w:cs="Times New Roman"/>
                <w:b/>
                <w:bCs/>
                <w:color w:val="000000"/>
                <w:lang w:eastAsia="en-GB"/>
              </w:rPr>
              <w:t>4</w:t>
            </w:r>
          </w:p>
        </w:tc>
      </w:tr>
    </w:tbl>
    <w:p w14:paraId="1D8E6A1C" w14:textId="77777777" w:rsidR="008C3153" w:rsidRDefault="008C3153" w:rsidP="008C3153"/>
    <w:p w14:paraId="2BB92E04" w14:textId="54ECC065" w:rsidR="006021E6" w:rsidRDefault="00687919" w:rsidP="008C3153">
      <w:r>
        <w:t>T</w:t>
      </w:r>
      <w:r w:rsidR="008C3153" w:rsidRPr="00D35FBC">
        <w:t xml:space="preserve">he pooled ICER </w:t>
      </w:r>
      <w:r>
        <w:t xml:space="preserve">based on the distribution of histologies expected in clinical practice </w:t>
      </w:r>
      <w:r w:rsidR="008C3153" w:rsidRPr="00D35FBC">
        <w:t>is</w:t>
      </w:r>
      <w:r w:rsidR="008C3153">
        <w:t xml:space="preserve"> £30,364 per QALY</w:t>
      </w:r>
      <w:r>
        <w:t xml:space="preserve">. This </w:t>
      </w:r>
      <w:r w:rsidR="008C3153" w:rsidRPr="00D35FBC">
        <w:t xml:space="preserve">is </w:t>
      </w:r>
      <w:r w:rsidR="008C3153">
        <w:t>marginally higher than the estimate based on the distribution of tumour sites reported in the trial data. The evidence indicates that more common tumour sites such as colon and pancreas which have low frequency of NTRK fusions may be under</w:t>
      </w:r>
      <w:r w:rsidR="00846DC7">
        <w:t>-</w:t>
      </w:r>
      <w:r w:rsidR="008C3153">
        <w:t>represented in the trial population</w:t>
      </w:r>
      <w:r>
        <w:t xml:space="preserve"> and conversely </w:t>
      </w:r>
      <w:r w:rsidR="0017332D">
        <w:t>certain</w:t>
      </w:r>
      <w:r>
        <w:t xml:space="preserve"> </w:t>
      </w:r>
      <w:r w:rsidR="006021E6">
        <w:t>rarer tumour sites with high frequency of NTRK fusions are potentially over</w:t>
      </w:r>
      <w:r w:rsidR="00846DC7">
        <w:t>-</w:t>
      </w:r>
      <w:r w:rsidR="006021E6">
        <w:t>represented (e.g. sarcoma, salivary gland)</w:t>
      </w:r>
      <w:r w:rsidR="008C3153">
        <w:t xml:space="preserve">. </w:t>
      </w:r>
    </w:p>
    <w:p w14:paraId="7B897A74" w14:textId="70A74C3C" w:rsidR="008C3153" w:rsidRPr="00D35FBC" w:rsidRDefault="008C3153" w:rsidP="008C3153">
      <w:r w:rsidRPr="00D35FBC">
        <w:t>This</w:t>
      </w:r>
      <w:r>
        <w:t xml:space="preserve"> example</w:t>
      </w:r>
      <w:r w:rsidRPr="00D35FBC">
        <w:t xml:space="preserve"> illustrates the importance of understanding the frequency of histologies </w:t>
      </w:r>
      <w:r w:rsidR="006021E6">
        <w:t xml:space="preserve">expected </w:t>
      </w:r>
      <w:r w:rsidRPr="00D35FBC">
        <w:t>in the target population and the necessity of modelling histology specific cost and health consequences</w:t>
      </w:r>
      <w:r w:rsidR="006021E6">
        <w:t xml:space="preserve">. </w:t>
      </w:r>
      <w:r w:rsidR="00181984">
        <w:t xml:space="preserve">When the expected distribution of histologies is expected to differ between the trial and the target population, failure to account for this </w:t>
      </w:r>
      <w:r w:rsidR="0017332D">
        <w:t>could</w:t>
      </w:r>
      <w:r w:rsidR="00181984">
        <w:t xml:space="preserve"> result in a biased estimate of the pooled ICER</w:t>
      </w:r>
      <w:r w:rsidR="0017332D">
        <w:t xml:space="preserve">. The magnitude of any bias will depend on the extent of </w:t>
      </w:r>
      <w:r w:rsidR="006021E6">
        <w:t xml:space="preserve">heterogeneity </w:t>
      </w:r>
      <w:r w:rsidR="00181984">
        <w:t xml:space="preserve">in </w:t>
      </w:r>
      <w:r w:rsidR="0017332D">
        <w:t>relevant</w:t>
      </w:r>
      <w:r w:rsidR="00181984">
        <w:t xml:space="preserve"> model input</w:t>
      </w:r>
      <w:r w:rsidR="0017332D">
        <w:t>s</w:t>
      </w:r>
      <w:r w:rsidR="00181984">
        <w:t xml:space="preserve"> </w:t>
      </w:r>
      <w:r w:rsidR="006021E6">
        <w:t>between tumour sites</w:t>
      </w:r>
      <w:r w:rsidR="00CA76BE">
        <w:t>.</w:t>
      </w:r>
    </w:p>
    <w:p w14:paraId="642B9C84" w14:textId="77777777" w:rsidR="008C3153" w:rsidRPr="00D35FBC" w:rsidRDefault="008C3153" w:rsidP="008C3153">
      <w:pPr>
        <w:pStyle w:val="Heading3"/>
      </w:pPr>
      <w:bookmarkStart w:id="234" w:name="_Ref32318104"/>
      <w:bookmarkStart w:id="235" w:name="_Toc33776230"/>
      <w:r w:rsidRPr="00D35FBC">
        <w:t>Screening to identify eligible patients</w:t>
      </w:r>
      <w:bookmarkEnd w:id="234"/>
      <w:bookmarkEnd w:id="235"/>
    </w:p>
    <w:p w14:paraId="2616477B" w14:textId="4936F03C" w:rsidR="00181984" w:rsidRDefault="008C3153" w:rsidP="008C3153">
      <w:r w:rsidRPr="00D35FBC">
        <w:t xml:space="preserve">The </w:t>
      </w:r>
      <w:r>
        <w:t>previous</w:t>
      </w:r>
      <w:r w:rsidRPr="00D35FBC">
        <w:t xml:space="preserve"> analys</w:t>
      </w:r>
      <w:r>
        <w:t>es did not include the costs of identifying the</w:t>
      </w:r>
      <w:r w:rsidRPr="00D35FBC">
        <w:t xml:space="preserve"> population of patients with the </w:t>
      </w:r>
      <w:r>
        <w:t>biomarker</w:t>
      </w:r>
      <w:r w:rsidRPr="00D35FBC">
        <w:t xml:space="preserve"> of interest. However,</w:t>
      </w:r>
      <w:r>
        <w:t xml:space="preserve"> a variety of </w:t>
      </w:r>
      <w:r w:rsidRPr="00D35FBC">
        <w:t xml:space="preserve">tests </w:t>
      </w:r>
      <w:r>
        <w:t xml:space="preserve">and testing strategies </w:t>
      </w:r>
      <w:r w:rsidRPr="00D35FBC">
        <w:t xml:space="preserve">may be required to identify </w:t>
      </w:r>
      <w:r>
        <w:lastRenderedPageBreak/>
        <w:t>eligible patients</w:t>
      </w:r>
      <w:r w:rsidRPr="00D35FBC">
        <w:t xml:space="preserve">. </w:t>
      </w:r>
      <w:r>
        <w:t>As a result, t</w:t>
      </w:r>
      <w:r w:rsidRPr="00D35FBC">
        <w:t xml:space="preserve">he cost of patient identification </w:t>
      </w:r>
      <w:r>
        <w:t>may</w:t>
      </w:r>
      <w:r w:rsidRPr="00D35FBC">
        <w:t xml:space="preserve"> vary </w:t>
      </w:r>
      <w:r>
        <w:t xml:space="preserve">significantly </w:t>
      </w:r>
      <w:r w:rsidRPr="00D35FBC">
        <w:t xml:space="preserve">across histologies. </w:t>
      </w:r>
      <w:r w:rsidR="00181984">
        <w:t>Indeed, even if homogeneity in all other model inputs is assumed, the cost-effectiveness estimates will inevitably vary based on differences in the costs of identifying patients with the specific biomarker. Consequently, w</w:t>
      </w:r>
      <w:r w:rsidRPr="00D35FBC">
        <w:t xml:space="preserve">hen evaluating the </w:t>
      </w:r>
      <w:r w:rsidR="0017332D">
        <w:t xml:space="preserve">overall </w:t>
      </w:r>
      <w:r w:rsidR="00181984">
        <w:t>cost-effectiveness</w:t>
      </w:r>
      <w:r w:rsidRPr="00D35FBC">
        <w:t xml:space="preserve"> of a technology </w:t>
      </w:r>
      <w:r>
        <w:t xml:space="preserve">it is necessary to </w:t>
      </w:r>
      <w:r w:rsidRPr="00D35FBC">
        <w:t xml:space="preserve">consider the joint costs and benefits of </w:t>
      </w:r>
      <w:r w:rsidR="00181984">
        <w:t>the</w:t>
      </w:r>
      <w:r w:rsidRPr="00D35FBC">
        <w:t xml:space="preserve"> testing/treatment strategy</w:t>
      </w:r>
      <w:r w:rsidR="00D23BF8">
        <w:t>.</w:t>
      </w:r>
      <w:r w:rsidR="006F7FD7">
        <w:fldChar w:fldCharType="begin">
          <w:fldData xml:space="preserve">PEVuZE5vdGU+PENpdGUgRXhjbHVkZVllYXI9IjEiPjxBdXRob3I+QXVzdHJhbGlhbiBHb3Zlcm5t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</w:fldData>
        </w:fldChar>
      </w:r>
      <w:r w:rsidR="00054FE8">
        <w:instrText xml:space="preserve"> ADDIN EN.CITE </w:instrText>
      </w:r>
      <w:r w:rsidR="00054FE8">
        <w:fldChar w:fldCharType="begin">
          <w:fldData xml:space="preserve">PEVuZE5vdGU+PENpdGUgRXhjbHVkZVllYXI9IjEiPjxBdXRob3I+QXVzdHJhbGlhbiBHb3Zlcm5t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</w:fldData>
        </w:fldChar>
      </w:r>
      <w:r w:rsidR="00054FE8">
        <w:instrText xml:space="preserve"> ADDIN EN.CITE.DATA </w:instrText>
      </w:r>
      <w:r w:rsidR="00054FE8">
        <w:fldChar w:fldCharType="end"/>
      </w:r>
      <w:r w:rsidR="006F7FD7">
        <w:fldChar w:fldCharType="separate"/>
      </w:r>
      <w:r w:rsidR="004D5B2B" w:rsidRPr="004D5B2B">
        <w:rPr>
          <w:noProof/>
          <w:vertAlign w:val="superscript"/>
        </w:rPr>
        <w:t>185, 186</w:t>
      </w:r>
      <w:r w:rsidR="006F7FD7">
        <w:fldChar w:fldCharType="end"/>
      </w:r>
      <w:r w:rsidR="00D23BF8">
        <w:t xml:space="preserve"> </w:t>
      </w:r>
    </w:p>
    <w:p w14:paraId="10E1216B" w14:textId="4BF581B3" w:rsidR="00C663A2" w:rsidRDefault="009F5530" w:rsidP="008C3153">
      <w:r>
        <w:rPr>
          <w:highlight w:val="yellow"/>
        </w:rPr>
        <w:fldChar w:fldCharType="begin"/>
      </w:r>
      <w:r>
        <w:instrText xml:space="preserve"> REF _Ref30599836 \h </w:instrText>
      </w:r>
      <w:r>
        <w:rPr>
          <w:highlight w:val="yellow"/>
        </w:rPr>
      </w:r>
      <w:r>
        <w:rPr>
          <w:highlight w:val="yellow"/>
        </w:rPr>
        <w:fldChar w:fldCharType="separate"/>
      </w:r>
      <w:r w:rsidR="00C9471F">
        <w:t xml:space="preserve">Table </w:t>
      </w:r>
      <w:r w:rsidR="00C9471F">
        <w:rPr>
          <w:noProof/>
        </w:rPr>
        <w:t>27</w:t>
      </w:r>
      <w:r>
        <w:rPr>
          <w:highlight w:val="yellow"/>
        </w:rPr>
        <w:fldChar w:fldCharType="end"/>
      </w:r>
      <w:r>
        <w:t xml:space="preserve"> </w:t>
      </w:r>
      <w:r w:rsidR="008C3153">
        <w:t xml:space="preserve">updates the previous results by including </w:t>
      </w:r>
      <w:r w:rsidR="008C3153" w:rsidRPr="00D35FBC">
        <w:t>a</w:t>
      </w:r>
      <w:r w:rsidR="008C3153">
        <w:t>n arbitrary</w:t>
      </w:r>
      <w:r w:rsidR="008C3153" w:rsidRPr="00D35FBC">
        <w:t xml:space="preserve"> </w:t>
      </w:r>
      <w:r w:rsidR="008C3153">
        <w:t xml:space="preserve">per patient </w:t>
      </w:r>
      <w:r w:rsidR="008C3153" w:rsidRPr="00D35FBC">
        <w:t>testing cost of £</w:t>
      </w:r>
      <w:r w:rsidR="008C3153">
        <w:t>50.</w:t>
      </w:r>
      <w:r w:rsidR="008C3153" w:rsidRPr="00D35FBC">
        <w:t xml:space="preserve"> </w:t>
      </w:r>
      <w:r w:rsidR="00181984">
        <w:t xml:space="preserve"> </w:t>
      </w:r>
      <w:r w:rsidR="002D6448">
        <w:t xml:space="preserve">The results </w:t>
      </w:r>
      <w:r w:rsidR="00846DC7">
        <w:t xml:space="preserve">clealy </w:t>
      </w:r>
      <w:r w:rsidR="002D6448">
        <w:t>demonstrate that even a low per patient testing cost can result in significant variation in the ICER estimates across individual histologes.</w:t>
      </w:r>
    </w:p>
    <w:p w14:paraId="3AE4B128" w14:textId="77777777" w:rsidR="00C663A2" w:rsidRDefault="00C663A2" w:rsidP="008C3153"/>
    <w:p w14:paraId="0A7D749C" w14:textId="3862FB53" w:rsidR="008C3153" w:rsidRDefault="008C3153" w:rsidP="008C3153">
      <w:pPr>
        <w:sectPr w:rsidR="008C3153">
          <w:footerReference w:type="default" r:id="rId21"/>
          <w:pgSz w:w="11906" w:h="16838"/>
          <w:pgMar w:top="1440" w:right="1440" w:bottom="1440" w:left="1440" w:header="708" w:footer="708" w:gutter="0"/>
          <w:cols w:space="708"/>
          <w:docGrid w:linePitch="360"/>
        </w:sectPr>
      </w:pPr>
    </w:p>
    <w:p w14:paraId="09EF4ABC" w14:textId="26D50501" w:rsidR="008C3153" w:rsidRDefault="008C3153" w:rsidP="008C3153">
      <w:pPr>
        <w:pStyle w:val="Caption"/>
      </w:pPr>
      <w:bookmarkStart w:id="236" w:name="_Ref30599836"/>
      <w:bookmarkStart w:id="237" w:name="_Toc34033541"/>
      <w:r>
        <w:lastRenderedPageBreak/>
        <w:t xml:space="preserve">Table </w:t>
      </w:r>
      <w:r w:rsidR="00C974E5">
        <w:fldChar w:fldCharType="begin"/>
      </w:r>
      <w:r w:rsidR="00C974E5">
        <w:instrText xml:space="preserve"> SEQ Table \* ARABIC </w:instrText>
      </w:r>
      <w:r w:rsidR="00C974E5">
        <w:fldChar w:fldCharType="separate"/>
      </w:r>
      <w:r w:rsidR="00C9471F">
        <w:rPr>
          <w:noProof/>
        </w:rPr>
        <w:t>27</w:t>
      </w:r>
      <w:r w:rsidR="00C974E5">
        <w:rPr>
          <w:noProof/>
        </w:rPr>
        <w:fldChar w:fldCharType="end"/>
      </w:r>
      <w:bookmarkEnd w:id="236"/>
      <w:r w:rsidR="008C7423">
        <w:rPr>
          <w:noProof/>
        </w:rPr>
        <w:t>:</w:t>
      </w:r>
      <w:r>
        <w:t xml:space="preserve"> Including testing costs into histology specific incremental </w:t>
      </w:r>
      <w:r w:rsidR="009D6CA1">
        <w:t>cost-effective</w:t>
      </w:r>
      <w:r>
        <w:t>ness ratios (ICERs)</w:t>
      </w:r>
      <w:bookmarkEnd w:id="237"/>
    </w:p>
    <w:tbl>
      <w:tblPr>
        <w:tblW w:w="5000" w:type="pct"/>
        <w:tblLook w:val="04A0" w:firstRow="1" w:lastRow="0" w:firstColumn="1" w:lastColumn="0" w:noHBand="0" w:noVBand="1"/>
      </w:tblPr>
      <w:tblGrid>
        <w:gridCol w:w="1883"/>
        <w:gridCol w:w="822"/>
        <w:gridCol w:w="1893"/>
        <w:gridCol w:w="1801"/>
        <w:gridCol w:w="1397"/>
        <w:gridCol w:w="1378"/>
        <w:gridCol w:w="1230"/>
        <w:gridCol w:w="1813"/>
        <w:gridCol w:w="1721"/>
      </w:tblGrid>
      <w:tr w:rsidR="008C3153" w:rsidRPr="00A4278B" w14:paraId="3E11C22F" w14:textId="77777777" w:rsidTr="00AB705A">
        <w:trPr>
          <w:trHeight w:val="315"/>
        </w:trPr>
        <w:tc>
          <w:tcPr>
            <w:tcW w:w="646" w:type="pct"/>
            <w:tcBorders>
              <w:top w:val="single" w:sz="8" w:space="0" w:color="auto"/>
              <w:left w:val="single" w:sz="8" w:space="0" w:color="auto"/>
              <w:bottom w:val="single" w:sz="8" w:space="0" w:color="auto"/>
              <w:right w:val="nil"/>
            </w:tcBorders>
            <w:shd w:val="clear" w:color="000000" w:fill="FFFFFF"/>
            <w:noWrap/>
            <w:vAlign w:val="center"/>
            <w:hideMark/>
          </w:tcPr>
          <w:p w14:paraId="3C12BB67"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Subgroup</w:t>
            </w:r>
          </w:p>
        </w:tc>
        <w:tc>
          <w:tcPr>
            <w:tcW w:w="1606" w:type="pct"/>
            <w:gridSpan w:val="3"/>
            <w:tcBorders>
              <w:top w:val="single" w:sz="8" w:space="0" w:color="auto"/>
              <w:left w:val="nil"/>
              <w:bottom w:val="single" w:sz="8" w:space="0" w:color="auto"/>
              <w:right w:val="nil"/>
            </w:tcBorders>
            <w:shd w:val="clear" w:color="000000" w:fill="FFFFFF"/>
            <w:vAlign w:val="center"/>
            <w:hideMark/>
          </w:tcPr>
          <w:p w14:paraId="35AC4598"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Per-patient level</w:t>
            </w:r>
          </w:p>
        </w:tc>
        <w:tc>
          <w:tcPr>
            <w:tcW w:w="510" w:type="pct"/>
            <w:tcBorders>
              <w:top w:val="single" w:sz="8" w:space="0" w:color="auto"/>
              <w:left w:val="nil"/>
              <w:bottom w:val="single" w:sz="8" w:space="0" w:color="auto"/>
              <w:right w:val="nil"/>
            </w:tcBorders>
            <w:shd w:val="clear" w:color="000000" w:fill="FFFFFF"/>
            <w:vAlign w:val="center"/>
            <w:hideMark/>
          </w:tcPr>
          <w:p w14:paraId="2CF6B6A1" w14:textId="77777777" w:rsidR="008C3153" w:rsidRPr="00A4278B" w:rsidRDefault="008C3153" w:rsidP="00A4278B">
            <w:pPr>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503" w:type="pct"/>
            <w:tcBorders>
              <w:top w:val="single" w:sz="8" w:space="0" w:color="auto"/>
              <w:left w:val="nil"/>
              <w:bottom w:val="single" w:sz="8" w:space="0" w:color="auto"/>
              <w:right w:val="nil"/>
            </w:tcBorders>
            <w:shd w:val="clear" w:color="000000" w:fill="FFFFFF"/>
            <w:noWrap/>
            <w:vAlign w:val="bottom"/>
            <w:hideMark/>
          </w:tcPr>
          <w:p w14:paraId="0FC9133C" w14:textId="77777777" w:rsidR="008C3153" w:rsidRPr="00A4278B" w:rsidRDefault="008C3153" w:rsidP="00A4278B">
            <w:pPr>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450" w:type="pct"/>
            <w:tcBorders>
              <w:top w:val="single" w:sz="8" w:space="0" w:color="auto"/>
              <w:left w:val="nil"/>
              <w:bottom w:val="single" w:sz="8" w:space="0" w:color="auto"/>
              <w:right w:val="nil"/>
            </w:tcBorders>
            <w:shd w:val="clear" w:color="000000" w:fill="FFFFFF"/>
            <w:noWrap/>
            <w:vAlign w:val="bottom"/>
            <w:hideMark/>
          </w:tcPr>
          <w:p w14:paraId="2FF3A8FC" w14:textId="77777777" w:rsidR="008C3153" w:rsidRPr="00A4278B" w:rsidRDefault="008C3153" w:rsidP="00A4278B">
            <w:pPr>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659" w:type="pct"/>
            <w:tcBorders>
              <w:top w:val="single" w:sz="8" w:space="0" w:color="auto"/>
              <w:left w:val="nil"/>
              <w:bottom w:val="single" w:sz="8" w:space="0" w:color="auto"/>
              <w:right w:val="nil"/>
            </w:tcBorders>
            <w:shd w:val="clear" w:color="000000" w:fill="FFFFFF"/>
            <w:noWrap/>
            <w:vAlign w:val="bottom"/>
            <w:hideMark/>
          </w:tcPr>
          <w:p w14:paraId="31A68A43" w14:textId="77777777" w:rsidR="008C3153" w:rsidRPr="00A4278B" w:rsidRDefault="008C3153" w:rsidP="00A4278B">
            <w:pPr>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627" w:type="pct"/>
            <w:tcBorders>
              <w:top w:val="single" w:sz="8" w:space="0" w:color="auto"/>
              <w:left w:val="nil"/>
              <w:bottom w:val="single" w:sz="8" w:space="0" w:color="auto"/>
              <w:right w:val="single" w:sz="8" w:space="0" w:color="auto"/>
            </w:tcBorders>
            <w:shd w:val="clear" w:color="000000" w:fill="FFFFFF"/>
            <w:noWrap/>
            <w:vAlign w:val="bottom"/>
            <w:hideMark/>
          </w:tcPr>
          <w:p w14:paraId="5D130774" w14:textId="77777777" w:rsidR="008C3153" w:rsidRPr="00A4278B" w:rsidRDefault="008C3153" w:rsidP="00A4278B">
            <w:pPr>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r>
      <w:tr w:rsidR="008C3153" w:rsidRPr="00A4278B" w14:paraId="76FFE88A" w14:textId="77777777" w:rsidTr="00AB705A">
        <w:trPr>
          <w:trHeight w:val="600"/>
        </w:trPr>
        <w:tc>
          <w:tcPr>
            <w:tcW w:w="646" w:type="pct"/>
            <w:tcBorders>
              <w:top w:val="nil"/>
              <w:left w:val="single" w:sz="8" w:space="0" w:color="auto"/>
              <w:bottom w:val="nil"/>
              <w:right w:val="nil"/>
            </w:tcBorders>
            <w:shd w:val="clear" w:color="000000" w:fill="FFFFFF"/>
            <w:noWrap/>
            <w:vAlign w:val="center"/>
            <w:hideMark/>
          </w:tcPr>
          <w:p w14:paraId="4A536522"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263" w:type="pct"/>
            <w:tcBorders>
              <w:top w:val="nil"/>
              <w:left w:val="nil"/>
              <w:bottom w:val="nil"/>
              <w:right w:val="nil"/>
            </w:tcBorders>
            <w:shd w:val="clear" w:color="000000" w:fill="FFFFFF"/>
            <w:noWrap/>
            <w:vAlign w:val="center"/>
            <w:hideMark/>
          </w:tcPr>
          <w:p w14:paraId="7C5B9DF1"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688" w:type="pct"/>
            <w:tcBorders>
              <w:top w:val="nil"/>
              <w:left w:val="nil"/>
              <w:bottom w:val="nil"/>
              <w:right w:val="nil"/>
            </w:tcBorders>
            <w:shd w:val="clear" w:color="000000" w:fill="FFFFFF"/>
            <w:vAlign w:val="center"/>
            <w:hideMark/>
          </w:tcPr>
          <w:p w14:paraId="61C72986"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Cost (ex. Testing)</w:t>
            </w:r>
          </w:p>
        </w:tc>
        <w:tc>
          <w:tcPr>
            <w:tcW w:w="655" w:type="pct"/>
            <w:tcBorders>
              <w:top w:val="nil"/>
              <w:left w:val="nil"/>
              <w:bottom w:val="nil"/>
              <w:right w:val="nil"/>
            </w:tcBorders>
            <w:shd w:val="clear" w:color="000000" w:fill="FFFFFF"/>
            <w:vAlign w:val="center"/>
            <w:hideMark/>
          </w:tcPr>
          <w:p w14:paraId="3090E700"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QALYs</w:t>
            </w:r>
          </w:p>
        </w:tc>
        <w:tc>
          <w:tcPr>
            <w:tcW w:w="510" w:type="pct"/>
            <w:tcBorders>
              <w:top w:val="nil"/>
              <w:left w:val="nil"/>
              <w:bottom w:val="nil"/>
              <w:right w:val="nil"/>
            </w:tcBorders>
            <w:shd w:val="clear" w:color="000000" w:fill="FFFFFF"/>
            <w:vAlign w:val="center"/>
            <w:hideMark/>
          </w:tcPr>
          <w:p w14:paraId="41FAC55D"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Frequency of mutation</w:t>
            </w:r>
          </w:p>
        </w:tc>
        <w:tc>
          <w:tcPr>
            <w:tcW w:w="503" w:type="pct"/>
            <w:tcBorders>
              <w:top w:val="nil"/>
              <w:left w:val="nil"/>
              <w:bottom w:val="nil"/>
              <w:right w:val="nil"/>
            </w:tcBorders>
            <w:shd w:val="clear" w:color="000000" w:fill="FFFFFF"/>
            <w:vAlign w:val="center"/>
            <w:hideMark/>
          </w:tcPr>
          <w:p w14:paraId="4C725CDF"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Number needed to screen</w:t>
            </w:r>
          </w:p>
        </w:tc>
        <w:tc>
          <w:tcPr>
            <w:tcW w:w="450" w:type="pct"/>
            <w:tcBorders>
              <w:top w:val="nil"/>
              <w:left w:val="nil"/>
              <w:bottom w:val="nil"/>
              <w:right w:val="nil"/>
            </w:tcBorders>
            <w:shd w:val="clear" w:color="000000" w:fill="FFFFFF"/>
            <w:vAlign w:val="center"/>
            <w:hideMark/>
          </w:tcPr>
          <w:p w14:paraId="5A61B9EA"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Cost of testing (£50/test)</w:t>
            </w:r>
          </w:p>
        </w:tc>
        <w:tc>
          <w:tcPr>
            <w:tcW w:w="659" w:type="pct"/>
            <w:tcBorders>
              <w:top w:val="nil"/>
              <w:left w:val="nil"/>
              <w:bottom w:val="nil"/>
              <w:right w:val="nil"/>
            </w:tcBorders>
            <w:shd w:val="clear" w:color="000000" w:fill="FFFFFF"/>
            <w:vAlign w:val="center"/>
            <w:hideMark/>
          </w:tcPr>
          <w:p w14:paraId="72263D37"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Cost (inc. testing)</w:t>
            </w:r>
          </w:p>
        </w:tc>
        <w:tc>
          <w:tcPr>
            <w:tcW w:w="627" w:type="pct"/>
            <w:tcBorders>
              <w:top w:val="nil"/>
              <w:left w:val="nil"/>
              <w:bottom w:val="nil"/>
              <w:right w:val="single" w:sz="8" w:space="0" w:color="auto"/>
            </w:tcBorders>
            <w:shd w:val="clear" w:color="000000" w:fill="FFFFFF"/>
            <w:vAlign w:val="center"/>
            <w:hideMark/>
          </w:tcPr>
          <w:p w14:paraId="400766CF" w14:textId="77777777" w:rsidR="008C3153" w:rsidRPr="00A4278B" w:rsidRDefault="008C3153" w:rsidP="00A4278B">
            <w:pPr>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ICER</w:t>
            </w:r>
          </w:p>
        </w:tc>
      </w:tr>
      <w:tr w:rsidR="008C3153" w:rsidRPr="00A4278B" w14:paraId="7E3CF129"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5288F21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Sarcoma</w:t>
            </w:r>
          </w:p>
        </w:tc>
        <w:tc>
          <w:tcPr>
            <w:tcW w:w="263" w:type="pct"/>
            <w:tcBorders>
              <w:top w:val="single" w:sz="4" w:space="0" w:color="auto"/>
              <w:left w:val="nil"/>
              <w:bottom w:val="nil"/>
              <w:right w:val="nil"/>
            </w:tcBorders>
            <w:shd w:val="clear" w:color="000000" w:fill="FFFFFF"/>
            <w:noWrap/>
            <w:vAlign w:val="center"/>
            <w:hideMark/>
          </w:tcPr>
          <w:p w14:paraId="6ABB3A6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2BBDA05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£61,314</w:t>
            </w:r>
          </w:p>
        </w:tc>
        <w:tc>
          <w:tcPr>
            <w:tcW w:w="655" w:type="pct"/>
            <w:tcBorders>
              <w:top w:val="single" w:sz="4" w:space="0" w:color="auto"/>
              <w:left w:val="nil"/>
              <w:bottom w:val="nil"/>
              <w:right w:val="nil"/>
            </w:tcBorders>
            <w:shd w:val="clear" w:color="000000" w:fill="FFFFFF"/>
            <w:noWrap/>
            <w:vAlign w:val="center"/>
            <w:hideMark/>
          </w:tcPr>
          <w:p w14:paraId="24BE338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2.70</w:t>
            </w:r>
          </w:p>
        </w:tc>
        <w:tc>
          <w:tcPr>
            <w:tcW w:w="510" w:type="pct"/>
            <w:vMerge w:val="restart"/>
            <w:tcBorders>
              <w:top w:val="single" w:sz="4" w:space="0" w:color="auto"/>
              <w:left w:val="nil"/>
              <w:bottom w:val="nil"/>
              <w:right w:val="nil"/>
            </w:tcBorders>
            <w:shd w:val="clear" w:color="000000" w:fill="FFFFFF"/>
            <w:noWrap/>
            <w:vAlign w:val="center"/>
            <w:hideMark/>
          </w:tcPr>
          <w:p w14:paraId="2FCAB14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0.56%</w:t>
            </w:r>
          </w:p>
        </w:tc>
        <w:tc>
          <w:tcPr>
            <w:tcW w:w="503" w:type="pct"/>
            <w:tcBorders>
              <w:top w:val="single" w:sz="4" w:space="0" w:color="auto"/>
              <w:left w:val="nil"/>
              <w:bottom w:val="nil"/>
              <w:right w:val="nil"/>
            </w:tcBorders>
            <w:shd w:val="clear" w:color="000000" w:fill="FFFFFF"/>
            <w:noWrap/>
            <w:vAlign w:val="center"/>
            <w:hideMark/>
          </w:tcPr>
          <w:p w14:paraId="0DFFF3B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178.57</w:t>
            </w:r>
          </w:p>
        </w:tc>
        <w:tc>
          <w:tcPr>
            <w:tcW w:w="450" w:type="pct"/>
            <w:tcBorders>
              <w:top w:val="single" w:sz="4" w:space="0" w:color="auto"/>
              <w:left w:val="nil"/>
              <w:bottom w:val="nil"/>
              <w:right w:val="nil"/>
            </w:tcBorders>
            <w:shd w:val="clear" w:color="000000" w:fill="FFFFFF"/>
            <w:noWrap/>
            <w:vAlign w:val="center"/>
            <w:hideMark/>
          </w:tcPr>
          <w:p w14:paraId="2F34B3A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£8,929</w:t>
            </w:r>
          </w:p>
        </w:tc>
        <w:tc>
          <w:tcPr>
            <w:tcW w:w="659" w:type="pct"/>
            <w:tcBorders>
              <w:top w:val="single" w:sz="4" w:space="0" w:color="auto"/>
              <w:left w:val="nil"/>
              <w:bottom w:val="nil"/>
              <w:right w:val="nil"/>
            </w:tcBorders>
            <w:shd w:val="clear" w:color="000000" w:fill="FFFFFF"/>
            <w:noWrap/>
            <w:vAlign w:val="center"/>
            <w:hideMark/>
          </w:tcPr>
          <w:p w14:paraId="13DCEC2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£70,243</w:t>
            </w:r>
          </w:p>
        </w:tc>
        <w:tc>
          <w:tcPr>
            <w:tcW w:w="627" w:type="pct"/>
            <w:tcBorders>
              <w:top w:val="single" w:sz="4" w:space="0" w:color="auto"/>
              <w:left w:val="nil"/>
              <w:bottom w:val="nil"/>
              <w:right w:val="single" w:sz="8" w:space="0" w:color="auto"/>
            </w:tcBorders>
            <w:shd w:val="clear" w:color="000000" w:fill="FFFFFF"/>
            <w:noWrap/>
            <w:vAlign w:val="center"/>
            <w:hideMark/>
          </w:tcPr>
          <w:p w14:paraId="1D5C6FE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£32,765</w:t>
            </w:r>
          </w:p>
        </w:tc>
      </w:tr>
      <w:tr w:rsidR="008C3153" w:rsidRPr="00A4278B" w14:paraId="7F5CCC10"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02FCBDB7"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3506C6D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6007B44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229CB84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71574301"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3BB25FD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4512C8D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7CAFB9D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7C7A6AB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1EC75F34"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260D7D1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Salivary</w:t>
            </w:r>
          </w:p>
        </w:tc>
        <w:tc>
          <w:tcPr>
            <w:tcW w:w="263" w:type="pct"/>
            <w:tcBorders>
              <w:top w:val="single" w:sz="4" w:space="0" w:color="auto"/>
              <w:left w:val="nil"/>
              <w:bottom w:val="nil"/>
              <w:right w:val="nil"/>
            </w:tcBorders>
            <w:shd w:val="clear" w:color="000000" w:fill="FFFFFF"/>
            <w:noWrap/>
            <w:vAlign w:val="center"/>
            <w:hideMark/>
          </w:tcPr>
          <w:p w14:paraId="6E83EDB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5644291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£58,697</w:t>
            </w:r>
          </w:p>
        </w:tc>
        <w:tc>
          <w:tcPr>
            <w:tcW w:w="655" w:type="pct"/>
            <w:tcBorders>
              <w:top w:val="single" w:sz="4" w:space="0" w:color="auto"/>
              <w:left w:val="nil"/>
              <w:bottom w:val="nil"/>
              <w:right w:val="nil"/>
            </w:tcBorders>
            <w:shd w:val="clear" w:color="000000" w:fill="FFFFFF"/>
            <w:noWrap/>
            <w:vAlign w:val="center"/>
            <w:hideMark/>
          </w:tcPr>
          <w:p w14:paraId="0FE9A23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2.58</w:t>
            </w:r>
          </w:p>
        </w:tc>
        <w:tc>
          <w:tcPr>
            <w:tcW w:w="510" w:type="pct"/>
            <w:vMerge w:val="restart"/>
            <w:tcBorders>
              <w:top w:val="single" w:sz="4" w:space="0" w:color="auto"/>
              <w:left w:val="nil"/>
              <w:bottom w:val="nil"/>
              <w:right w:val="nil"/>
            </w:tcBorders>
            <w:shd w:val="clear" w:color="000000" w:fill="FFFFFF"/>
            <w:noWrap/>
            <w:vAlign w:val="center"/>
            <w:hideMark/>
          </w:tcPr>
          <w:p w14:paraId="10FFD9D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92.90%</w:t>
            </w:r>
          </w:p>
        </w:tc>
        <w:tc>
          <w:tcPr>
            <w:tcW w:w="503" w:type="pct"/>
            <w:tcBorders>
              <w:top w:val="single" w:sz="4" w:space="0" w:color="auto"/>
              <w:left w:val="nil"/>
              <w:bottom w:val="nil"/>
              <w:right w:val="nil"/>
            </w:tcBorders>
            <w:shd w:val="clear" w:color="000000" w:fill="FFFFFF"/>
            <w:noWrap/>
            <w:vAlign w:val="center"/>
            <w:hideMark/>
          </w:tcPr>
          <w:p w14:paraId="4253DA4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1.08</w:t>
            </w:r>
          </w:p>
        </w:tc>
        <w:tc>
          <w:tcPr>
            <w:tcW w:w="450" w:type="pct"/>
            <w:tcBorders>
              <w:top w:val="single" w:sz="4" w:space="0" w:color="auto"/>
              <w:left w:val="nil"/>
              <w:bottom w:val="nil"/>
              <w:right w:val="nil"/>
            </w:tcBorders>
            <w:shd w:val="clear" w:color="000000" w:fill="FFFFFF"/>
            <w:noWrap/>
            <w:vAlign w:val="center"/>
            <w:hideMark/>
          </w:tcPr>
          <w:p w14:paraId="25E8B35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£54</w:t>
            </w:r>
          </w:p>
        </w:tc>
        <w:tc>
          <w:tcPr>
            <w:tcW w:w="659" w:type="pct"/>
            <w:tcBorders>
              <w:top w:val="single" w:sz="4" w:space="0" w:color="auto"/>
              <w:left w:val="nil"/>
              <w:bottom w:val="nil"/>
              <w:right w:val="nil"/>
            </w:tcBorders>
            <w:shd w:val="clear" w:color="000000" w:fill="FFFFFF"/>
            <w:noWrap/>
            <w:vAlign w:val="center"/>
            <w:hideMark/>
          </w:tcPr>
          <w:p w14:paraId="6B353EF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£58,751</w:t>
            </w:r>
          </w:p>
        </w:tc>
        <w:tc>
          <w:tcPr>
            <w:tcW w:w="627" w:type="pct"/>
            <w:tcBorders>
              <w:top w:val="single" w:sz="4" w:space="0" w:color="auto"/>
              <w:left w:val="nil"/>
              <w:bottom w:val="nil"/>
              <w:right w:val="single" w:sz="8" w:space="0" w:color="auto"/>
            </w:tcBorders>
            <w:shd w:val="clear" w:color="000000" w:fill="FFFFFF"/>
            <w:noWrap/>
            <w:vAlign w:val="center"/>
            <w:hideMark/>
          </w:tcPr>
          <w:p w14:paraId="74BD573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£28,003</w:t>
            </w:r>
          </w:p>
        </w:tc>
      </w:tr>
      <w:tr w:rsidR="008C3153" w:rsidRPr="00A4278B" w14:paraId="15FCC2AB"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619C045D"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39603FA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3C76914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2BB13A8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491FE533"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67A8B54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4E3F909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779B510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1C80D87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0D7882FE"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1CC4DC8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IFS</w:t>
            </w:r>
          </w:p>
        </w:tc>
        <w:tc>
          <w:tcPr>
            <w:tcW w:w="263" w:type="pct"/>
            <w:tcBorders>
              <w:top w:val="single" w:sz="4" w:space="0" w:color="auto"/>
              <w:left w:val="nil"/>
              <w:bottom w:val="nil"/>
              <w:right w:val="nil"/>
            </w:tcBorders>
            <w:shd w:val="clear" w:color="000000" w:fill="FFFFFF"/>
            <w:noWrap/>
            <w:vAlign w:val="center"/>
            <w:hideMark/>
          </w:tcPr>
          <w:p w14:paraId="474C3E8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53073F3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£63,332</w:t>
            </w:r>
          </w:p>
        </w:tc>
        <w:tc>
          <w:tcPr>
            <w:tcW w:w="655" w:type="pct"/>
            <w:tcBorders>
              <w:top w:val="single" w:sz="4" w:space="0" w:color="auto"/>
              <w:left w:val="nil"/>
              <w:bottom w:val="nil"/>
              <w:right w:val="nil"/>
            </w:tcBorders>
            <w:shd w:val="clear" w:color="000000" w:fill="FFFFFF"/>
            <w:noWrap/>
            <w:vAlign w:val="center"/>
            <w:hideMark/>
          </w:tcPr>
          <w:p w14:paraId="58121FF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2.79</w:t>
            </w:r>
          </w:p>
        </w:tc>
        <w:tc>
          <w:tcPr>
            <w:tcW w:w="510" w:type="pct"/>
            <w:vMerge w:val="restart"/>
            <w:tcBorders>
              <w:top w:val="single" w:sz="4" w:space="0" w:color="auto"/>
              <w:left w:val="nil"/>
              <w:bottom w:val="nil"/>
              <w:right w:val="nil"/>
            </w:tcBorders>
            <w:shd w:val="clear" w:color="000000" w:fill="FFFFFF"/>
            <w:noWrap/>
            <w:vAlign w:val="center"/>
            <w:hideMark/>
          </w:tcPr>
          <w:p w14:paraId="4A60220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90.90%</w:t>
            </w:r>
          </w:p>
        </w:tc>
        <w:tc>
          <w:tcPr>
            <w:tcW w:w="503" w:type="pct"/>
            <w:tcBorders>
              <w:top w:val="single" w:sz="4" w:space="0" w:color="auto"/>
              <w:left w:val="nil"/>
              <w:bottom w:val="nil"/>
              <w:right w:val="nil"/>
            </w:tcBorders>
            <w:shd w:val="clear" w:color="000000" w:fill="FFFFFF"/>
            <w:noWrap/>
            <w:vAlign w:val="center"/>
            <w:hideMark/>
          </w:tcPr>
          <w:p w14:paraId="6506AA0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1.10</w:t>
            </w:r>
          </w:p>
        </w:tc>
        <w:tc>
          <w:tcPr>
            <w:tcW w:w="450" w:type="pct"/>
            <w:tcBorders>
              <w:top w:val="single" w:sz="4" w:space="0" w:color="auto"/>
              <w:left w:val="nil"/>
              <w:bottom w:val="nil"/>
              <w:right w:val="nil"/>
            </w:tcBorders>
            <w:shd w:val="clear" w:color="000000" w:fill="FFFFFF"/>
            <w:noWrap/>
            <w:vAlign w:val="center"/>
            <w:hideMark/>
          </w:tcPr>
          <w:p w14:paraId="4BB5CAE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£55</w:t>
            </w:r>
          </w:p>
        </w:tc>
        <w:tc>
          <w:tcPr>
            <w:tcW w:w="659" w:type="pct"/>
            <w:tcBorders>
              <w:top w:val="single" w:sz="4" w:space="0" w:color="auto"/>
              <w:left w:val="nil"/>
              <w:bottom w:val="nil"/>
              <w:right w:val="nil"/>
            </w:tcBorders>
            <w:shd w:val="clear" w:color="000000" w:fill="FFFFFF"/>
            <w:noWrap/>
            <w:vAlign w:val="center"/>
            <w:hideMark/>
          </w:tcPr>
          <w:p w14:paraId="1836ADA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£63,387</w:t>
            </w:r>
          </w:p>
        </w:tc>
        <w:tc>
          <w:tcPr>
            <w:tcW w:w="627" w:type="pct"/>
            <w:tcBorders>
              <w:top w:val="single" w:sz="4" w:space="0" w:color="auto"/>
              <w:left w:val="nil"/>
              <w:bottom w:val="nil"/>
              <w:right w:val="single" w:sz="8" w:space="0" w:color="auto"/>
            </w:tcBorders>
            <w:shd w:val="clear" w:color="000000" w:fill="FFFFFF"/>
            <w:noWrap/>
            <w:vAlign w:val="center"/>
            <w:hideMark/>
          </w:tcPr>
          <w:p w14:paraId="04B0CB6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£27,244</w:t>
            </w:r>
          </w:p>
        </w:tc>
      </w:tr>
      <w:tr w:rsidR="008C3153" w:rsidRPr="00A4278B" w14:paraId="170087B2"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634609D0"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10F34B9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60A8210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2D07A0F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18B82ADC"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6C50F3B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78A1A8D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6CD7FEE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355B9F7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6483E752"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0A6282B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Thyroid</w:t>
            </w:r>
          </w:p>
        </w:tc>
        <w:tc>
          <w:tcPr>
            <w:tcW w:w="263" w:type="pct"/>
            <w:tcBorders>
              <w:top w:val="single" w:sz="4" w:space="0" w:color="auto"/>
              <w:left w:val="nil"/>
              <w:bottom w:val="nil"/>
              <w:right w:val="nil"/>
            </w:tcBorders>
            <w:shd w:val="clear" w:color="000000" w:fill="FFFFFF"/>
            <w:noWrap/>
            <w:vAlign w:val="center"/>
            <w:hideMark/>
          </w:tcPr>
          <w:p w14:paraId="003E8D0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7AB48BB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£62,615</w:t>
            </w:r>
          </w:p>
        </w:tc>
        <w:tc>
          <w:tcPr>
            <w:tcW w:w="655" w:type="pct"/>
            <w:tcBorders>
              <w:top w:val="single" w:sz="4" w:space="0" w:color="auto"/>
              <w:left w:val="nil"/>
              <w:bottom w:val="nil"/>
              <w:right w:val="nil"/>
            </w:tcBorders>
            <w:shd w:val="clear" w:color="000000" w:fill="FFFFFF"/>
            <w:noWrap/>
            <w:vAlign w:val="center"/>
            <w:hideMark/>
          </w:tcPr>
          <w:p w14:paraId="7B60232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2.76</w:t>
            </w:r>
          </w:p>
        </w:tc>
        <w:tc>
          <w:tcPr>
            <w:tcW w:w="510" w:type="pct"/>
            <w:vMerge w:val="restart"/>
            <w:tcBorders>
              <w:top w:val="single" w:sz="4" w:space="0" w:color="auto"/>
              <w:left w:val="nil"/>
              <w:bottom w:val="nil"/>
              <w:right w:val="nil"/>
            </w:tcBorders>
            <w:shd w:val="clear" w:color="000000" w:fill="FFFFFF"/>
            <w:noWrap/>
            <w:vAlign w:val="center"/>
            <w:hideMark/>
          </w:tcPr>
          <w:p w14:paraId="323252C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0.92%</w:t>
            </w:r>
          </w:p>
        </w:tc>
        <w:tc>
          <w:tcPr>
            <w:tcW w:w="503" w:type="pct"/>
            <w:tcBorders>
              <w:top w:val="single" w:sz="4" w:space="0" w:color="auto"/>
              <w:left w:val="nil"/>
              <w:bottom w:val="nil"/>
              <w:right w:val="nil"/>
            </w:tcBorders>
            <w:shd w:val="clear" w:color="000000" w:fill="FFFFFF"/>
            <w:noWrap/>
            <w:vAlign w:val="center"/>
            <w:hideMark/>
          </w:tcPr>
          <w:p w14:paraId="4F9EAFF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108.70</w:t>
            </w:r>
          </w:p>
        </w:tc>
        <w:tc>
          <w:tcPr>
            <w:tcW w:w="450" w:type="pct"/>
            <w:tcBorders>
              <w:top w:val="single" w:sz="4" w:space="0" w:color="auto"/>
              <w:left w:val="nil"/>
              <w:bottom w:val="nil"/>
              <w:right w:val="nil"/>
            </w:tcBorders>
            <w:shd w:val="clear" w:color="000000" w:fill="FFFFFF"/>
            <w:noWrap/>
            <w:vAlign w:val="center"/>
            <w:hideMark/>
          </w:tcPr>
          <w:p w14:paraId="15D1E43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£5,435</w:t>
            </w:r>
          </w:p>
        </w:tc>
        <w:tc>
          <w:tcPr>
            <w:tcW w:w="659" w:type="pct"/>
            <w:tcBorders>
              <w:top w:val="single" w:sz="4" w:space="0" w:color="auto"/>
              <w:left w:val="nil"/>
              <w:bottom w:val="nil"/>
              <w:right w:val="nil"/>
            </w:tcBorders>
            <w:shd w:val="clear" w:color="000000" w:fill="FFFFFF"/>
            <w:noWrap/>
            <w:vAlign w:val="center"/>
            <w:hideMark/>
          </w:tcPr>
          <w:p w14:paraId="302BBB2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£68,049</w:t>
            </w:r>
          </w:p>
        </w:tc>
        <w:tc>
          <w:tcPr>
            <w:tcW w:w="627" w:type="pct"/>
            <w:tcBorders>
              <w:top w:val="single" w:sz="4" w:space="0" w:color="auto"/>
              <w:left w:val="nil"/>
              <w:bottom w:val="nil"/>
              <w:right w:val="single" w:sz="8" w:space="0" w:color="auto"/>
            </w:tcBorders>
            <w:shd w:val="clear" w:color="000000" w:fill="FFFFFF"/>
            <w:noWrap/>
            <w:vAlign w:val="center"/>
            <w:hideMark/>
          </w:tcPr>
          <w:p w14:paraId="18B7F6C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£30,402</w:t>
            </w:r>
          </w:p>
        </w:tc>
      </w:tr>
      <w:tr w:rsidR="008C3153" w:rsidRPr="00A4278B" w14:paraId="534B12E9"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334E0E41"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5485A8C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26A9D4D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5C56BBB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066CD24C"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17CC6D8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1892853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480CAEF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29A252B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428C671E"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022160D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Lung</w:t>
            </w:r>
          </w:p>
        </w:tc>
        <w:tc>
          <w:tcPr>
            <w:tcW w:w="263" w:type="pct"/>
            <w:tcBorders>
              <w:top w:val="single" w:sz="4" w:space="0" w:color="auto"/>
              <w:left w:val="nil"/>
              <w:bottom w:val="nil"/>
              <w:right w:val="nil"/>
            </w:tcBorders>
            <w:shd w:val="clear" w:color="000000" w:fill="FFFFFF"/>
            <w:noWrap/>
            <w:vAlign w:val="center"/>
            <w:hideMark/>
          </w:tcPr>
          <w:p w14:paraId="558CFD0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1CD40F7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£55,032</w:t>
            </w:r>
          </w:p>
        </w:tc>
        <w:tc>
          <w:tcPr>
            <w:tcW w:w="655" w:type="pct"/>
            <w:tcBorders>
              <w:top w:val="single" w:sz="4" w:space="0" w:color="auto"/>
              <w:left w:val="nil"/>
              <w:bottom w:val="nil"/>
              <w:right w:val="nil"/>
            </w:tcBorders>
            <w:shd w:val="clear" w:color="000000" w:fill="FFFFFF"/>
            <w:noWrap/>
            <w:vAlign w:val="center"/>
            <w:hideMark/>
          </w:tcPr>
          <w:p w14:paraId="0E617CB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2.41</w:t>
            </w:r>
          </w:p>
        </w:tc>
        <w:tc>
          <w:tcPr>
            <w:tcW w:w="510" w:type="pct"/>
            <w:vMerge w:val="restart"/>
            <w:tcBorders>
              <w:top w:val="single" w:sz="4" w:space="0" w:color="auto"/>
              <w:left w:val="nil"/>
              <w:bottom w:val="nil"/>
              <w:right w:val="nil"/>
            </w:tcBorders>
            <w:shd w:val="clear" w:color="000000" w:fill="FFFFFF"/>
            <w:noWrap/>
            <w:vAlign w:val="center"/>
            <w:hideMark/>
          </w:tcPr>
          <w:p w14:paraId="4CF9DBA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0.09%</w:t>
            </w:r>
          </w:p>
        </w:tc>
        <w:tc>
          <w:tcPr>
            <w:tcW w:w="503" w:type="pct"/>
            <w:tcBorders>
              <w:top w:val="single" w:sz="4" w:space="0" w:color="auto"/>
              <w:left w:val="nil"/>
              <w:bottom w:val="nil"/>
              <w:right w:val="nil"/>
            </w:tcBorders>
            <w:shd w:val="clear" w:color="000000" w:fill="FFFFFF"/>
            <w:noWrap/>
            <w:vAlign w:val="center"/>
            <w:hideMark/>
          </w:tcPr>
          <w:p w14:paraId="286BB25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1111.11</w:t>
            </w:r>
          </w:p>
        </w:tc>
        <w:tc>
          <w:tcPr>
            <w:tcW w:w="450" w:type="pct"/>
            <w:tcBorders>
              <w:top w:val="single" w:sz="4" w:space="0" w:color="auto"/>
              <w:left w:val="nil"/>
              <w:bottom w:val="nil"/>
              <w:right w:val="nil"/>
            </w:tcBorders>
            <w:shd w:val="clear" w:color="000000" w:fill="FFFFFF"/>
            <w:noWrap/>
            <w:vAlign w:val="center"/>
            <w:hideMark/>
          </w:tcPr>
          <w:p w14:paraId="46A4867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£55,556</w:t>
            </w:r>
          </w:p>
        </w:tc>
        <w:tc>
          <w:tcPr>
            <w:tcW w:w="659" w:type="pct"/>
            <w:tcBorders>
              <w:top w:val="single" w:sz="4" w:space="0" w:color="auto"/>
              <w:left w:val="nil"/>
              <w:bottom w:val="nil"/>
              <w:right w:val="nil"/>
            </w:tcBorders>
            <w:shd w:val="clear" w:color="000000" w:fill="FFFFFF"/>
            <w:noWrap/>
            <w:vAlign w:val="center"/>
            <w:hideMark/>
          </w:tcPr>
          <w:p w14:paraId="30C6A60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£110,588</w:t>
            </w:r>
          </w:p>
        </w:tc>
        <w:tc>
          <w:tcPr>
            <w:tcW w:w="627" w:type="pct"/>
            <w:tcBorders>
              <w:top w:val="single" w:sz="4" w:space="0" w:color="auto"/>
              <w:left w:val="nil"/>
              <w:bottom w:val="nil"/>
              <w:right w:val="single" w:sz="8" w:space="0" w:color="auto"/>
            </w:tcBorders>
            <w:shd w:val="clear" w:color="000000" w:fill="FFFFFF"/>
            <w:noWrap/>
            <w:vAlign w:val="center"/>
            <w:hideMark/>
          </w:tcPr>
          <w:p w14:paraId="4FDBE92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£68,060</w:t>
            </w:r>
          </w:p>
        </w:tc>
      </w:tr>
      <w:tr w:rsidR="008C3153" w:rsidRPr="00A4278B" w14:paraId="621F60B8"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1F5CBD98"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43E245F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5AA1DA3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0E3E05A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7C6C2ABD"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5CB088A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7B77290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256E2B3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0E7CBB0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1667E95D"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68CE4BA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Melanoma</w:t>
            </w:r>
          </w:p>
        </w:tc>
        <w:tc>
          <w:tcPr>
            <w:tcW w:w="263" w:type="pct"/>
            <w:tcBorders>
              <w:top w:val="single" w:sz="4" w:space="0" w:color="auto"/>
              <w:left w:val="nil"/>
              <w:bottom w:val="nil"/>
              <w:right w:val="nil"/>
            </w:tcBorders>
            <w:shd w:val="clear" w:color="000000" w:fill="FFFFFF"/>
            <w:noWrap/>
            <w:vAlign w:val="center"/>
            <w:hideMark/>
          </w:tcPr>
          <w:p w14:paraId="4D38690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08232AD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£46,963</w:t>
            </w:r>
          </w:p>
        </w:tc>
        <w:tc>
          <w:tcPr>
            <w:tcW w:w="655" w:type="pct"/>
            <w:tcBorders>
              <w:top w:val="single" w:sz="4" w:space="0" w:color="auto"/>
              <w:left w:val="nil"/>
              <w:bottom w:val="nil"/>
              <w:right w:val="nil"/>
            </w:tcBorders>
            <w:shd w:val="clear" w:color="000000" w:fill="FFFFFF"/>
            <w:noWrap/>
            <w:vAlign w:val="center"/>
            <w:hideMark/>
          </w:tcPr>
          <w:p w14:paraId="482E102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2.03</w:t>
            </w:r>
          </w:p>
        </w:tc>
        <w:tc>
          <w:tcPr>
            <w:tcW w:w="510" w:type="pct"/>
            <w:vMerge w:val="restart"/>
            <w:tcBorders>
              <w:top w:val="single" w:sz="4" w:space="0" w:color="auto"/>
              <w:left w:val="nil"/>
              <w:bottom w:val="nil"/>
              <w:right w:val="nil"/>
            </w:tcBorders>
            <w:shd w:val="clear" w:color="000000" w:fill="FFFFFF"/>
            <w:noWrap/>
            <w:vAlign w:val="center"/>
            <w:hideMark/>
          </w:tcPr>
          <w:p w14:paraId="2A2F8B6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0.21%</w:t>
            </w:r>
          </w:p>
        </w:tc>
        <w:tc>
          <w:tcPr>
            <w:tcW w:w="503" w:type="pct"/>
            <w:tcBorders>
              <w:top w:val="single" w:sz="4" w:space="0" w:color="auto"/>
              <w:left w:val="nil"/>
              <w:bottom w:val="nil"/>
              <w:right w:val="nil"/>
            </w:tcBorders>
            <w:shd w:val="clear" w:color="000000" w:fill="FFFFFF"/>
            <w:noWrap/>
            <w:vAlign w:val="center"/>
            <w:hideMark/>
          </w:tcPr>
          <w:p w14:paraId="7D03CE5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476.19</w:t>
            </w:r>
          </w:p>
        </w:tc>
        <w:tc>
          <w:tcPr>
            <w:tcW w:w="450" w:type="pct"/>
            <w:tcBorders>
              <w:top w:val="single" w:sz="4" w:space="0" w:color="auto"/>
              <w:left w:val="nil"/>
              <w:bottom w:val="nil"/>
              <w:right w:val="nil"/>
            </w:tcBorders>
            <w:shd w:val="clear" w:color="000000" w:fill="FFFFFF"/>
            <w:noWrap/>
            <w:vAlign w:val="center"/>
            <w:hideMark/>
          </w:tcPr>
          <w:p w14:paraId="160F332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£23,810</w:t>
            </w:r>
          </w:p>
        </w:tc>
        <w:tc>
          <w:tcPr>
            <w:tcW w:w="659" w:type="pct"/>
            <w:tcBorders>
              <w:top w:val="single" w:sz="4" w:space="0" w:color="auto"/>
              <w:left w:val="nil"/>
              <w:bottom w:val="nil"/>
              <w:right w:val="nil"/>
            </w:tcBorders>
            <w:shd w:val="clear" w:color="000000" w:fill="FFFFFF"/>
            <w:noWrap/>
            <w:vAlign w:val="center"/>
            <w:hideMark/>
          </w:tcPr>
          <w:p w14:paraId="602B03E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£70,773</w:t>
            </w:r>
          </w:p>
        </w:tc>
        <w:tc>
          <w:tcPr>
            <w:tcW w:w="627" w:type="pct"/>
            <w:tcBorders>
              <w:top w:val="single" w:sz="4" w:space="0" w:color="auto"/>
              <w:left w:val="nil"/>
              <w:bottom w:val="nil"/>
              <w:right w:val="single" w:sz="8" w:space="0" w:color="auto"/>
            </w:tcBorders>
            <w:shd w:val="clear" w:color="000000" w:fill="FFFFFF"/>
            <w:noWrap/>
            <w:vAlign w:val="center"/>
            <w:hideMark/>
          </w:tcPr>
          <w:p w14:paraId="6D41F52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£54,178</w:t>
            </w:r>
          </w:p>
        </w:tc>
      </w:tr>
      <w:tr w:rsidR="008C3153" w:rsidRPr="00A4278B" w14:paraId="35500663"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2B704DCF"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0E65BA7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6FAE5C6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0F1B2BE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207083DB"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177F25D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03DBE60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2613649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5107DA5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2C4E0A63"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5A11C21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Colon</w:t>
            </w:r>
          </w:p>
        </w:tc>
        <w:tc>
          <w:tcPr>
            <w:tcW w:w="263" w:type="pct"/>
            <w:tcBorders>
              <w:top w:val="single" w:sz="4" w:space="0" w:color="auto"/>
              <w:left w:val="nil"/>
              <w:bottom w:val="nil"/>
              <w:right w:val="nil"/>
            </w:tcBorders>
            <w:shd w:val="clear" w:color="000000" w:fill="FFFFFF"/>
            <w:noWrap/>
            <w:vAlign w:val="center"/>
            <w:hideMark/>
          </w:tcPr>
          <w:p w14:paraId="764F695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5F89BE12"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£38,667</w:t>
            </w:r>
          </w:p>
        </w:tc>
        <w:tc>
          <w:tcPr>
            <w:tcW w:w="655" w:type="pct"/>
            <w:tcBorders>
              <w:top w:val="single" w:sz="4" w:space="0" w:color="auto"/>
              <w:left w:val="nil"/>
              <w:bottom w:val="nil"/>
              <w:right w:val="nil"/>
            </w:tcBorders>
            <w:shd w:val="clear" w:color="000000" w:fill="FFFFFF"/>
            <w:noWrap/>
            <w:vAlign w:val="center"/>
            <w:hideMark/>
          </w:tcPr>
          <w:p w14:paraId="424D95A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1.65</w:t>
            </w:r>
          </w:p>
        </w:tc>
        <w:tc>
          <w:tcPr>
            <w:tcW w:w="510" w:type="pct"/>
            <w:vMerge w:val="restart"/>
            <w:tcBorders>
              <w:top w:val="single" w:sz="4" w:space="0" w:color="auto"/>
              <w:left w:val="nil"/>
              <w:bottom w:val="nil"/>
              <w:right w:val="nil"/>
            </w:tcBorders>
            <w:shd w:val="clear" w:color="000000" w:fill="FFFFFF"/>
            <w:noWrap/>
            <w:vAlign w:val="center"/>
            <w:hideMark/>
          </w:tcPr>
          <w:p w14:paraId="3573DF3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0.12%</w:t>
            </w:r>
          </w:p>
        </w:tc>
        <w:tc>
          <w:tcPr>
            <w:tcW w:w="503" w:type="pct"/>
            <w:tcBorders>
              <w:top w:val="single" w:sz="4" w:space="0" w:color="auto"/>
              <w:left w:val="nil"/>
              <w:bottom w:val="nil"/>
              <w:right w:val="nil"/>
            </w:tcBorders>
            <w:shd w:val="clear" w:color="000000" w:fill="FFFFFF"/>
            <w:noWrap/>
            <w:vAlign w:val="center"/>
            <w:hideMark/>
          </w:tcPr>
          <w:p w14:paraId="39474B3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833.33</w:t>
            </w:r>
          </w:p>
        </w:tc>
        <w:tc>
          <w:tcPr>
            <w:tcW w:w="450" w:type="pct"/>
            <w:tcBorders>
              <w:top w:val="single" w:sz="4" w:space="0" w:color="auto"/>
              <w:left w:val="nil"/>
              <w:bottom w:val="nil"/>
              <w:right w:val="nil"/>
            </w:tcBorders>
            <w:shd w:val="clear" w:color="000000" w:fill="FFFFFF"/>
            <w:noWrap/>
            <w:vAlign w:val="center"/>
            <w:hideMark/>
          </w:tcPr>
          <w:p w14:paraId="7F1DA86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£41,667</w:t>
            </w:r>
          </w:p>
        </w:tc>
        <w:tc>
          <w:tcPr>
            <w:tcW w:w="659" w:type="pct"/>
            <w:tcBorders>
              <w:top w:val="single" w:sz="4" w:space="0" w:color="auto"/>
              <w:left w:val="nil"/>
              <w:bottom w:val="nil"/>
              <w:right w:val="nil"/>
            </w:tcBorders>
            <w:shd w:val="clear" w:color="000000" w:fill="FFFFFF"/>
            <w:noWrap/>
            <w:vAlign w:val="center"/>
            <w:hideMark/>
          </w:tcPr>
          <w:p w14:paraId="2FD2DB2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£80,334</w:t>
            </w:r>
          </w:p>
        </w:tc>
        <w:tc>
          <w:tcPr>
            <w:tcW w:w="627" w:type="pct"/>
            <w:tcBorders>
              <w:top w:val="single" w:sz="4" w:space="0" w:color="auto"/>
              <w:left w:val="nil"/>
              <w:bottom w:val="nil"/>
              <w:right w:val="single" w:sz="8" w:space="0" w:color="auto"/>
            </w:tcBorders>
            <w:shd w:val="clear" w:color="000000" w:fill="FFFFFF"/>
            <w:noWrap/>
            <w:vAlign w:val="center"/>
            <w:hideMark/>
          </w:tcPr>
          <w:p w14:paraId="472D34C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£100,326</w:t>
            </w:r>
          </w:p>
        </w:tc>
      </w:tr>
      <w:tr w:rsidR="008C3153" w:rsidRPr="00A4278B" w14:paraId="40427000"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48F140DF"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6A527AB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793B625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7637F6C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5C03D8A2"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1A9AA7A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3A1F761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6402D6F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5BFE279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1C6343A2"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4FCF922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GIST</w:t>
            </w:r>
          </w:p>
        </w:tc>
        <w:tc>
          <w:tcPr>
            <w:tcW w:w="263" w:type="pct"/>
            <w:tcBorders>
              <w:top w:val="single" w:sz="4" w:space="0" w:color="auto"/>
              <w:left w:val="nil"/>
              <w:bottom w:val="nil"/>
              <w:right w:val="nil"/>
            </w:tcBorders>
            <w:shd w:val="clear" w:color="000000" w:fill="FFFFFF"/>
            <w:noWrap/>
            <w:vAlign w:val="center"/>
            <w:hideMark/>
          </w:tcPr>
          <w:p w14:paraId="6926E06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137C6B8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£61,234</w:t>
            </w:r>
          </w:p>
        </w:tc>
        <w:tc>
          <w:tcPr>
            <w:tcW w:w="655" w:type="pct"/>
            <w:tcBorders>
              <w:top w:val="single" w:sz="4" w:space="0" w:color="auto"/>
              <w:left w:val="nil"/>
              <w:bottom w:val="nil"/>
              <w:right w:val="nil"/>
            </w:tcBorders>
            <w:shd w:val="clear" w:color="000000" w:fill="FFFFFF"/>
            <w:noWrap/>
            <w:vAlign w:val="center"/>
            <w:hideMark/>
          </w:tcPr>
          <w:p w14:paraId="2736AB4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2.69</w:t>
            </w:r>
          </w:p>
        </w:tc>
        <w:tc>
          <w:tcPr>
            <w:tcW w:w="510" w:type="pct"/>
            <w:vMerge w:val="restart"/>
            <w:tcBorders>
              <w:top w:val="single" w:sz="4" w:space="0" w:color="auto"/>
              <w:left w:val="nil"/>
              <w:bottom w:val="nil"/>
              <w:right w:val="nil"/>
            </w:tcBorders>
            <w:shd w:val="clear" w:color="000000" w:fill="FFFFFF"/>
            <w:noWrap/>
            <w:vAlign w:val="center"/>
            <w:hideMark/>
          </w:tcPr>
          <w:p w14:paraId="7756BA2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1.28%</w:t>
            </w:r>
          </w:p>
        </w:tc>
        <w:tc>
          <w:tcPr>
            <w:tcW w:w="503" w:type="pct"/>
            <w:tcBorders>
              <w:top w:val="single" w:sz="4" w:space="0" w:color="auto"/>
              <w:left w:val="nil"/>
              <w:bottom w:val="nil"/>
              <w:right w:val="nil"/>
            </w:tcBorders>
            <w:shd w:val="clear" w:color="000000" w:fill="FFFFFF"/>
            <w:noWrap/>
            <w:vAlign w:val="center"/>
            <w:hideMark/>
          </w:tcPr>
          <w:p w14:paraId="553177A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78.13</w:t>
            </w:r>
          </w:p>
        </w:tc>
        <w:tc>
          <w:tcPr>
            <w:tcW w:w="450" w:type="pct"/>
            <w:tcBorders>
              <w:top w:val="single" w:sz="4" w:space="0" w:color="auto"/>
              <w:left w:val="nil"/>
              <w:bottom w:val="nil"/>
              <w:right w:val="nil"/>
            </w:tcBorders>
            <w:shd w:val="clear" w:color="000000" w:fill="FFFFFF"/>
            <w:noWrap/>
            <w:vAlign w:val="center"/>
            <w:hideMark/>
          </w:tcPr>
          <w:p w14:paraId="65C87F7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£3,906</w:t>
            </w:r>
          </w:p>
        </w:tc>
        <w:tc>
          <w:tcPr>
            <w:tcW w:w="659" w:type="pct"/>
            <w:tcBorders>
              <w:top w:val="single" w:sz="4" w:space="0" w:color="auto"/>
              <w:left w:val="nil"/>
              <w:bottom w:val="nil"/>
              <w:right w:val="nil"/>
            </w:tcBorders>
            <w:shd w:val="clear" w:color="000000" w:fill="FFFFFF"/>
            <w:noWrap/>
            <w:vAlign w:val="center"/>
            <w:hideMark/>
          </w:tcPr>
          <w:p w14:paraId="57CEAF6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£65,140</w:t>
            </w:r>
          </w:p>
        </w:tc>
        <w:tc>
          <w:tcPr>
            <w:tcW w:w="627" w:type="pct"/>
            <w:tcBorders>
              <w:top w:val="single" w:sz="4" w:space="0" w:color="auto"/>
              <w:left w:val="nil"/>
              <w:bottom w:val="nil"/>
              <w:right w:val="single" w:sz="8" w:space="0" w:color="auto"/>
            </w:tcBorders>
            <w:shd w:val="clear" w:color="000000" w:fill="FFFFFF"/>
            <w:noWrap/>
            <w:vAlign w:val="center"/>
            <w:hideMark/>
          </w:tcPr>
          <w:p w14:paraId="2F2AEA1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£29,836</w:t>
            </w:r>
          </w:p>
        </w:tc>
      </w:tr>
      <w:tr w:rsidR="008C3153" w:rsidRPr="00A4278B" w14:paraId="69CC535D"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27265813"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050D898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7362A5F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2A86A47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0A6137A4"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4EA0351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73219B2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6B4930C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71E142C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2DA45788"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5EA70D1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Cholangiocarcinoma</w:t>
            </w:r>
          </w:p>
        </w:tc>
        <w:tc>
          <w:tcPr>
            <w:tcW w:w="263" w:type="pct"/>
            <w:tcBorders>
              <w:top w:val="single" w:sz="4" w:space="0" w:color="auto"/>
              <w:left w:val="nil"/>
              <w:bottom w:val="nil"/>
              <w:right w:val="nil"/>
            </w:tcBorders>
            <w:shd w:val="clear" w:color="000000" w:fill="FFFFFF"/>
            <w:noWrap/>
            <w:vAlign w:val="center"/>
            <w:hideMark/>
          </w:tcPr>
          <w:p w14:paraId="49AE4AA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3E72C8F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£34,261</w:t>
            </w:r>
          </w:p>
        </w:tc>
        <w:tc>
          <w:tcPr>
            <w:tcW w:w="655" w:type="pct"/>
            <w:tcBorders>
              <w:top w:val="single" w:sz="4" w:space="0" w:color="auto"/>
              <w:left w:val="nil"/>
              <w:bottom w:val="nil"/>
              <w:right w:val="nil"/>
            </w:tcBorders>
            <w:shd w:val="clear" w:color="000000" w:fill="FFFFFF"/>
            <w:noWrap/>
            <w:vAlign w:val="center"/>
            <w:hideMark/>
          </w:tcPr>
          <w:p w14:paraId="5493FBC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1.45</w:t>
            </w:r>
          </w:p>
        </w:tc>
        <w:tc>
          <w:tcPr>
            <w:tcW w:w="510" w:type="pct"/>
            <w:vMerge w:val="restart"/>
            <w:tcBorders>
              <w:top w:val="single" w:sz="4" w:space="0" w:color="auto"/>
              <w:left w:val="nil"/>
              <w:bottom w:val="nil"/>
              <w:right w:val="nil"/>
            </w:tcBorders>
            <w:shd w:val="clear" w:color="000000" w:fill="FFFFFF"/>
            <w:noWrap/>
            <w:vAlign w:val="center"/>
            <w:hideMark/>
          </w:tcPr>
          <w:p w14:paraId="4C2ED18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0.10%</w:t>
            </w:r>
          </w:p>
        </w:tc>
        <w:tc>
          <w:tcPr>
            <w:tcW w:w="503" w:type="pct"/>
            <w:tcBorders>
              <w:top w:val="single" w:sz="4" w:space="0" w:color="auto"/>
              <w:left w:val="nil"/>
              <w:bottom w:val="nil"/>
              <w:right w:val="nil"/>
            </w:tcBorders>
            <w:shd w:val="clear" w:color="000000" w:fill="FFFFFF"/>
            <w:noWrap/>
            <w:vAlign w:val="center"/>
            <w:hideMark/>
          </w:tcPr>
          <w:p w14:paraId="3B29899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1000.00</w:t>
            </w:r>
          </w:p>
        </w:tc>
        <w:tc>
          <w:tcPr>
            <w:tcW w:w="450" w:type="pct"/>
            <w:tcBorders>
              <w:top w:val="single" w:sz="4" w:space="0" w:color="auto"/>
              <w:left w:val="nil"/>
              <w:bottom w:val="nil"/>
              <w:right w:val="nil"/>
            </w:tcBorders>
            <w:shd w:val="clear" w:color="000000" w:fill="FFFFFF"/>
            <w:noWrap/>
            <w:vAlign w:val="center"/>
            <w:hideMark/>
          </w:tcPr>
          <w:p w14:paraId="438FC29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£50,000</w:t>
            </w:r>
          </w:p>
        </w:tc>
        <w:tc>
          <w:tcPr>
            <w:tcW w:w="659" w:type="pct"/>
            <w:tcBorders>
              <w:top w:val="single" w:sz="4" w:space="0" w:color="auto"/>
              <w:left w:val="nil"/>
              <w:bottom w:val="nil"/>
              <w:right w:val="nil"/>
            </w:tcBorders>
            <w:shd w:val="clear" w:color="000000" w:fill="FFFFFF"/>
            <w:noWrap/>
            <w:vAlign w:val="center"/>
            <w:hideMark/>
          </w:tcPr>
          <w:p w14:paraId="7D27F94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£84,261</w:t>
            </w:r>
          </w:p>
        </w:tc>
        <w:tc>
          <w:tcPr>
            <w:tcW w:w="627" w:type="pct"/>
            <w:tcBorders>
              <w:top w:val="single" w:sz="4" w:space="0" w:color="auto"/>
              <w:left w:val="nil"/>
              <w:bottom w:val="nil"/>
              <w:right w:val="single" w:sz="8" w:space="0" w:color="auto"/>
            </w:tcBorders>
            <w:shd w:val="clear" w:color="000000" w:fill="FFFFFF"/>
            <w:noWrap/>
            <w:vAlign w:val="center"/>
            <w:hideMark/>
          </w:tcPr>
          <w:p w14:paraId="0194343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£153,956</w:t>
            </w:r>
          </w:p>
        </w:tc>
      </w:tr>
      <w:tr w:rsidR="008C3153" w:rsidRPr="00A4278B" w14:paraId="265DA388"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14BEDAAC"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78D7A46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03CBEB0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41049D0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6909BAF6"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355654E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4C03B3C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4513AF6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1F3DF14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192F8920"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71576C7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Appendix</w:t>
            </w:r>
          </w:p>
        </w:tc>
        <w:tc>
          <w:tcPr>
            <w:tcW w:w="263" w:type="pct"/>
            <w:tcBorders>
              <w:top w:val="single" w:sz="4" w:space="0" w:color="auto"/>
              <w:left w:val="nil"/>
              <w:bottom w:val="nil"/>
              <w:right w:val="nil"/>
            </w:tcBorders>
            <w:shd w:val="clear" w:color="000000" w:fill="FFFFFF"/>
            <w:noWrap/>
            <w:vAlign w:val="center"/>
            <w:hideMark/>
          </w:tcPr>
          <w:p w14:paraId="41E9568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2FA8E9D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£37,773</w:t>
            </w:r>
          </w:p>
        </w:tc>
        <w:tc>
          <w:tcPr>
            <w:tcW w:w="655" w:type="pct"/>
            <w:tcBorders>
              <w:top w:val="single" w:sz="4" w:space="0" w:color="auto"/>
              <w:left w:val="nil"/>
              <w:bottom w:val="nil"/>
              <w:right w:val="nil"/>
            </w:tcBorders>
            <w:shd w:val="clear" w:color="000000" w:fill="FFFFFF"/>
            <w:noWrap/>
            <w:vAlign w:val="center"/>
            <w:hideMark/>
          </w:tcPr>
          <w:p w14:paraId="7E1F6F1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1.61</w:t>
            </w:r>
          </w:p>
        </w:tc>
        <w:tc>
          <w:tcPr>
            <w:tcW w:w="510" w:type="pct"/>
            <w:vMerge w:val="restart"/>
            <w:tcBorders>
              <w:top w:val="single" w:sz="4" w:space="0" w:color="auto"/>
              <w:left w:val="nil"/>
              <w:bottom w:val="nil"/>
              <w:right w:val="nil"/>
            </w:tcBorders>
            <w:shd w:val="clear" w:color="000000" w:fill="FFFFFF"/>
            <w:noWrap/>
            <w:vAlign w:val="center"/>
            <w:hideMark/>
          </w:tcPr>
          <w:p w14:paraId="16F58F9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4.00%</w:t>
            </w:r>
          </w:p>
        </w:tc>
        <w:tc>
          <w:tcPr>
            <w:tcW w:w="503" w:type="pct"/>
            <w:tcBorders>
              <w:top w:val="single" w:sz="4" w:space="0" w:color="auto"/>
              <w:left w:val="nil"/>
              <w:bottom w:val="nil"/>
              <w:right w:val="nil"/>
            </w:tcBorders>
            <w:shd w:val="clear" w:color="000000" w:fill="FFFFFF"/>
            <w:noWrap/>
            <w:vAlign w:val="center"/>
            <w:hideMark/>
          </w:tcPr>
          <w:p w14:paraId="65932DC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25.00</w:t>
            </w:r>
          </w:p>
        </w:tc>
        <w:tc>
          <w:tcPr>
            <w:tcW w:w="450" w:type="pct"/>
            <w:tcBorders>
              <w:top w:val="single" w:sz="4" w:space="0" w:color="auto"/>
              <w:left w:val="nil"/>
              <w:bottom w:val="nil"/>
              <w:right w:val="nil"/>
            </w:tcBorders>
            <w:shd w:val="clear" w:color="000000" w:fill="FFFFFF"/>
            <w:noWrap/>
            <w:vAlign w:val="center"/>
            <w:hideMark/>
          </w:tcPr>
          <w:p w14:paraId="5A514BB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£1,250</w:t>
            </w:r>
          </w:p>
        </w:tc>
        <w:tc>
          <w:tcPr>
            <w:tcW w:w="659" w:type="pct"/>
            <w:tcBorders>
              <w:top w:val="single" w:sz="4" w:space="0" w:color="auto"/>
              <w:left w:val="nil"/>
              <w:bottom w:val="nil"/>
              <w:right w:val="nil"/>
            </w:tcBorders>
            <w:shd w:val="clear" w:color="000000" w:fill="FFFFFF"/>
            <w:noWrap/>
            <w:vAlign w:val="center"/>
            <w:hideMark/>
          </w:tcPr>
          <w:p w14:paraId="7BD3A74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£39,023</w:t>
            </w:r>
          </w:p>
        </w:tc>
        <w:tc>
          <w:tcPr>
            <w:tcW w:w="627" w:type="pct"/>
            <w:tcBorders>
              <w:top w:val="single" w:sz="4" w:space="0" w:color="auto"/>
              <w:left w:val="nil"/>
              <w:bottom w:val="nil"/>
              <w:right w:val="single" w:sz="8" w:space="0" w:color="auto"/>
            </w:tcBorders>
            <w:shd w:val="clear" w:color="000000" w:fill="FFFFFF"/>
            <w:noWrap/>
            <w:vAlign w:val="center"/>
            <w:hideMark/>
          </w:tcPr>
          <w:p w14:paraId="01C5B7F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£39,889</w:t>
            </w:r>
          </w:p>
        </w:tc>
      </w:tr>
      <w:tr w:rsidR="008C3153" w:rsidRPr="00A4278B" w14:paraId="76787EAC"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4FAC56E9"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218F01A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063F822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4D707F6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6FD5B5CA"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74ABF8D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047771D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7556C4B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1CC6174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72376F64" w14:textId="77777777" w:rsidTr="00AB705A">
        <w:trPr>
          <w:trHeight w:val="300"/>
        </w:trPr>
        <w:tc>
          <w:tcPr>
            <w:tcW w:w="646" w:type="pct"/>
            <w:vMerge w:val="restart"/>
            <w:tcBorders>
              <w:top w:val="single" w:sz="4" w:space="0" w:color="auto"/>
              <w:left w:val="single" w:sz="8" w:space="0" w:color="auto"/>
              <w:bottom w:val="nil"/>
              <w:right w:val="nil"/>
            </w:tcBorders>
            <w:shd w:val="clear" w:color="000000" w:fill="FFFFFF"/>
            <w:noWrap/>
            <w:vAlign w:val="center"/>
            <w:hideMark/>
          </w:tcPr>
          <w:p w14:paraId="07A071F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Breast</w:t>
            </w:r>
          </w:p>
        </w:tc>
        <w:tc>
          <w:tcPr>
            <w:tcW w:w="263" w:type="pct"/>
            <w:tcBorders>
              <w:top w:val="single" w:sz="4" w:space="0" w:color="auto"/>
              <w:left w:val="nil"/>
              <w:bottom w:val="nil"/>
              <w:right w:val="nil"/>
            </w:tcBorders>
            <w:shd w:val="clear" w:color="000000" w:fill="FFFFFF"/>
            <w:noWrap/>
            <w:vAlign w:val="center"/>
            <w:hideMark/>
          </w:tcPr>
          <w:p w14:paraId="313FDBE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79E507D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£37,768</w:t>
            </w:r>
          </w:p>
        </w:tc>
        <w:tc>
          <w:tcPr>
            <w:tcW w:w="655" w:type="pct"/>
            <w:tcBorders>
              <w:top w:val="single" w:sz="4" w:space="0" w:color="auto"/>
              <w:left w:val="nil"/>
              <w:bottom w:val="nil"/>
              <w:right w:val="nil"/>
            </w:tcBorders>
            <w:shd w:val="clear" w:color="000000" w:fill="FFFFFF"/>
            <w:noWrap/>
            <w:vAlign w:val="center"/>
            <w:hideMark/>
          </w:tcPr>
          <w:p w14:paraId="626A766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1.61</w:t>
            </w:r>
          </w:p>
        </w:tc>
        <w:tc>
          <w:tcPr>
            <w:tcW w:w="510" w:type="pct"/>
            <w:vMerge w:val="restart"/>
            <w:tcBorders>
              <w:top w:val="single" w:sz="4" w:space="0" w:color="auto"/>
              <w:left w:val="nil"/>
              <w:bottom w:val="nil"/>
              <w:right w:val="nil"/>
            </w:tcBorders>
            <w:shd w:val="clear" w:color="000000" w:fill="FFFFFF"/>
            <w:noWrap/>
            <w:vAlign w:val="center"/>
            <w:hideMark/>
          </w:tcPr>
          <w:p w14:paraId="294E442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0.07%</w:t>
            </w:r>
          </w:p>
        </w:tc>
        <w:tc>
          <w:tcPr>
            <w:tcW w:w="503" w:type="pct"/>
            <w:tcBorders>
              <w:top w:val="single" w:sz="4" w:space="0" w:color="auto"/>
              <w:left w:val="nil"/>
              <w:bottom w:val="nil"/>
              <w:right w:val="nil"/>
            </w:tcBorders>
            <w:shd w:val="clear" w:color="000000" w:fill="FFFFFF"/>
            <w:noWrap/>
            <w:vAlign w:val="center"/>
            <w:hideMark/>
          </w:tcPr>
          <w:p w14:paraId="3A98B4F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1428.57</w:t>
            </w:r>
          </w:p>
        </w:tc>
        <w:tc>
          <w:tcPr>
            <w:tcW w:w="450" w:type="pct"/>
            <w:tcBorders>
              <w:top w:val="single" w:sz="4" w:space="0" w:color="auto"/>
              <w:left w:val="nil"/>
              <w:bottom w:val="nil"/>
              <w:right w:val="nil"/>
            </w:tcBorders>
            <w:shd w:val="clear" w:color="000000" w:fill="FFFFFF"/>
            <w:noWrap/>
            <w:vAlign w:val="center"/>
            <w:hideMark/>
          </w:tcPr>
          <w:p w14:paraId="0F62BE00"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£71,429</w:t>
            </w:r>
          </w:p>
        </w:tc>
        <w:tc>
          <w:tcPr>
            <w:tcW w:w="659" w:type="pct"/>
            <w:tcBorders>
              <w:top w:val="single" w:sz="4" w:space="0" w:color="auto"/>
              <w:left w:val="nil"/>
              <w:bottom w:val="nil"/>
              <w:right w:val="nil"/>
            </w:tcBorders>
            <w:shd w:val="clear" w:color="000000" w:fill="FFFFFF"/>
            <w:noWrap/>
            <w:vAlign w:val="center"/>
            <w:hideMark/>
          </w:tcPr>
          <w:p w14:paraId="5A1FB2C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£109,196</w:t>
            </w:r>
          </w:p>
        </w:tc>
        <w:tc>
          <w:tcPr>
            <w:tcW w:w="627" w:type="pct"/>
            <w:tcBorders>
              <w:top w:val="single" w:sz="4" w:space="0" w:color="auto"/>
              <w:left w:val="nil"/>
              <w:bottom w:val="nil"/>
              <w:right w:val="single" w:sz="8" w:space="0" w:color="auto"/>
            </w:tcBorders>
            <w:shd w:val="clear" w:color="000000" w:fill="FFFFFF"/>
            <w:noWrap/>
            <w:vAlign w:val="center"/>
            <w:hideMark/>
          </w:tcPr>
          <w:p w14:paraId="0D1B7A8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£153,952</w:t>
            </w:r>
          </w:p>
        </w:tc>
      </w:tr>
      <w:tr w:rsidR="008C3153" w:rsidRPr="00A4278B" w14:paraId="0380B754" w14:textId="77777777" w:rsidTr="00AB705A">
        <w:trPr>
          <w:trHeight w:val="300"/>
        </w:trPr>
        <w:tc>
          <w:tcPr>
            <w:tcW w:w="646" w:type="pct"/>
            <w:vMerge/>
            <w:tcBorders>
              <w:top w:val="single" w:sz="4" w:space="0" w:color="auto"/>
              <w:left w:val="single" w:sz="8" w:space="0" w:color="auto"/>
              <w:bottom w:val="nil"/>
              <w:right w:val="nil"/>
            </w:tcBorders>
            <w:vAlign w:val="center"/>
            <w:hideMark/>
          </w:tcPr>
          <w:p w14:paraId="53B948F0"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nil"/>
              <w:right w:val="nil"/>
            </w:tcBorders>
            <w:shd w:val="clear" w:color="000000" w:fill="FFFFFF"/>
            <w:noWrap/>
            <w:vAlign w:val="center"/>
            <w:hideMark/>
          </w:tcPr>
          <w:p w14:paraId="062FF18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nil"/>
              <w:right w:val="nil"/>
            </w:tcBorders>
            <w:shd w:val="clear" w:color="000000" w:fill="FFFFFF"/>
            <w:noWrap/>
            <w:vAlign w:val="center"/>
            <w:hideMark/>
          </w:tcPr>
          <w:p w14:paraId="7851E02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nil"/>
              <w:right w:val="nil"/>
            </w:tcBorders>
            <w:shd w:val="clear" w:color="000000" w:fill="FFFFFF"/>
            <w:noWrap/>
            <w:vAlign w:val="center"/>
            <w:hideMark/>
          </w:tcPr>
          <w:p w14:paraId="7810E14D"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nil"/>
              <w:right w:val="nil"/>
            </w:tcBorders>
            <w:vAlign w:val="center"/>
            <w:hideMark/>
          </w:tcPr>
          <w:p w14:paraId="3AA03C89"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nil"/>
              <w:right w:val="nil"/>
            </w:tcBorders>
            <w:shd w:val="clear" w:color="000000" w:fill="FFFFFF"/>
            <w:noWrap/>
            <w:vAlign w:val="center"/>
            <w:hideMark/>
          </w:tcPr>
          <w:p w14:paraId="303F2D7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nil"/>
              <w:right w:val="nil"/>
            </w:tcBorders>
            <w:shd w:val="clear" w:color="000000" w:fill="FFFFFF"/>
            <w:noWrap/>
            <w:vAlign w:val="center"/>
            <w:hideMark/>
          </w:tcPr>
          <w:p w14:paraId="02BFCB9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nil"/>
              <w:right w:val="nil"/>
            </w:tcBorders>
            <w:shd w:val="clear" w:color="000000" w:fill="FFFFFF"/>
            <w:noWrap/>
            <w:vAlign w:val="center"/>
            <w:hideMark/>
          </w:tcPr>
          <w:p w14:paraId="12F2B49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nil"/>
              <w:right w:val="single" w:sz="8" w:space="0" w:color="auto"/>
            </w:tcBorders>
            <w:shd w:val="clear" w:color="000000" w:fill="FFFFFF"/>
            <w:noWrap/>
            <w:vAlign w:val="center"/>
            <w:hideMark/>
          </w:tcPr>
          <w:p w14:paraId="04065F3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r w:rsidR="008C3153" w:rsidRPr="00A4278B" w14:paraId="06D9DECE" w14:textId="77777777" w:rsidTr="00AB705A">
        <w:trPr>
          <w:trHeight w:val="300"/>
        </w:trPr>
        <w:tc>
          <w:tcPr>
            <w:tcW w:w="646" w:type="pct"/>
            <w:vMerge w:val="restart"/>
            <w:tcBorders>
              <w:top w:val="single" w:sz="4" w:space="0" w:color="auto"/>
              <w:left w:val="single" w:sz="8" w:space="0" w:color="auto"/>
              <w:bottom w:val="single" w:sz="8" w:space="0" w:color="000000"/>
              <w:right w:val="nil"/>
            </w:tcBorders>
            <w:shd w:val="clear" w:color="000000" w:fill="FFFFFF"/>
            <w:noWrap/>
            <w:vAlign w:val="center"/>
            <w:hideMark/>
          </w:tcPr>
          <w:p w14:paraId="7C05B0E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Pancreas</w:t>
            </w:r>
          </w:p>
        </w:tc>
        <w:tc>
          <w:tcPr>
            <w:tcW w:w="263" w:type="pct"/>
            <w:tcBorders>
              <w:top w:val="single" w:sz="4" w:space="0" w:color="auto"/>
              <w:left w:val="nil"/>
              <w:bottom w:val="nil"/>
              <w:right w:val="nil"/>
            </w:tcBorders>
            <w:shd w:val="clear" w:color="000000" w:fill="FFFFFF"/>
            <w:noWrap/>
            <w:vAlign w:val="center"/>
            <w:hideMark/>
          </w:tcPr>
          <w:p w14:paraId="0160B89C"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Drug X</w:t>
            </w:r>
          </w:p>
        </w:tc>
        <w:tc>
          <w:tcPr>
            <w:tcW w:w="688" w:type="pct"/>
            <w:tcBorders>
              <w:top w:val="single" w:sz="4" w:space="0" w:color="auto"/>
              <w:left w:val="nil"/>
              <w:bottom w:val="nil"/>
              <w:right w:val="nil"/>
            </w:tcBorders>
            <w:shd w:val="clear" w:color="000000" w:fill="FFFFFF"/>
            <w:noWrap/>
            <w:vAlign w:val="center"/>
            <w:hideMark/>
          </w:tcPr>
          <w:p w14:paraId="7696E3C1"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£37,751</w:t>
            </w:r>
          </w:p>
        </w:tc>
        <w:tc>
          <w:tcPr>
            <w:tcW w:w="655" w:type="pct"/>
            <w:tcBorders>
              <w:top w:val="single" w:sz="4" w:space="0" w:color="auto"/>
              <w:left w:val="nil"/>
              <w:bottom w:val="nil"/>
              <w:right w:val="nil"/>
            </w:tcBorders>
            <w:shd w:val="clear" w:color="000000" w:fill="FFFFFF"/>
            <w:noWrap/>
            <w:vAlign w:val="center"/>
            <w:hideMark/>
          </w:tcPr>
          <w:p w14:paraId="15AC4DF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1.61</w:t>
            </w:r>
          </w:p>
        </w:tc>
        <w:tc>
          <w:tcPr>
            <w:tcW w:w="510" w:type="pct"/>
            <w:vMerge w:val="restart"/>
            <w:tcBorders>
              <w:top w:val="single" w:sz="4" w:space="0" w:color="auto"/>
              <w:left w:val="nil"/>
              <w:bottom w:val="single" w:sz="8" w:space="0" w:color="000000"/>
              <w:right w:val="nil"/>
            </w:tcBorders>
            <w:shd w:val="clear" w:color="000000" w:fill="FFFFFF"/>
            <w:noWrap/>
            <w:vAlign w:val="center"/>
            <w:hideMark/>
          </w:tcPr>
          <w:p w14:paraId="0E37BC7F"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0.07%</w:t>
            </w:r>
          </w:p>
        </w:tc>
        <w:tc>
          <w:tcPr>
            <w:tcW w:w="503" w:type="pct"/>
            <w:tcBorders>
              <w:top w:val="single" w:sz="4" w:space="0" w:color="auto"/>
              <w:left w:val="nil"/>
              <w:bottom w:val="nil"/>
              <w:right w:val="nil"/>
            </w:tcBorders>
            <w:shd w:val="clear" w:color="000000" w:fill="FFFFFF"/>
            <w:noWrap/>
            <w:vAlign w:val="center"/>
            <w:hideMark/>
          </w:tcPr>
          <w:p w14:paraId="0B471DB8"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1428.57</w:t>
            </w:r>
          </w:p>
        </w:tc>
        <w:tc>
          <w:tcPr>
            <w:tcW w:w="450" w:type="pct"/>
            <w:tcBorders>
              <w:top w:val="single" w:sz="4" w:space="0" w:color="auto"/>
              <w:left w:val="nil"/>
              <w:bottom w:val="nil"/>
              <w:right w:val="nil"/>
            </w:tcBorders>
            <w:shd w:val="clear" w:color="000000" w:fill="FFFFFF"/>
            <w:noWrap/>
            <w:vAlign w:val="center"/>
            <w:hideMark/>
          </w:tcPr>
          <w:p w14:paraId="424BDD8E"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£71,429</w:t>
            </w:r>
          </w:p>
        </w:tc>
        <w:tc>
          <w:tcPr>
            <w:tcW w:w="659" w:type="pct"/>
            <w:tcBorders>
              <w:top w:val="single" w:sz="4" w:space="0" w:color="auto"/>
              <w:left w:val="nil"/>
              <w:bottom w:val="nil"/>
              <w:right w:val="nil"/>
            </w:tcBorders>
            <w:shd w:val="clear" w:color="000000" w:fill="FFFFFF"/>
            <w:noWrap/>
            <w:vAlign w:val="center"/>
            <w:hideMark/>
          </w:tcPr>
          <w:p w14:paraId="737F75E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£109,180</w:t>
            </w:r>
          </w:p>
        </w:tc>
        <w:tc>
          <w:tcPr>
            <w:tcW w:w="627" w:type="pct"/>
            <w:tcBorders>
              <w:top w:val="single" w:sz="4" w:space="0" w:color="auto"/>
              <w:left w:val="nil"/>
              <w:bottom w:val="nil"/>
              <w:right w:val="single" w:sz="8" w:space="0" w:color="auto"/>
            </w:tcBorders>
            <w:shd w:val="clear" w:color="000000" w:fill="FFFFFF"/>
            <w:noWrap/>
            <w:vAlign w:val="center"/>
            <w:hideMark/>
          </w:tcPr>
          <w:p w14:paraId="7BDA757B"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£154,304</w:t>
            </w:r>
          </w:p>
        </w:tc>
      </w:tr>
      <w:tr w:rsidR="008C3153" w:rsidRPr="00A4278B" w14:paraId="0EC308DE" w14:textId="77777777" w:rsidTr="00AB705A">
        <w:trPr>
          <w:trHeight w:val="315"/>
        </w:trPr>
        <w:tc>
          <w:tcPr>
            <w:tcW w:w="646" w:type="pct"/>
            <w:vMerge/>
            <w:tcBorders>
              <w:top w:val="single" w:sz="4" w:space="0" w:color="auto"/>
              <w:left w:val="single" w:sz="8" w:space="0" w:color="auto"/>
              <w:bottom w:val="single" w:sz="8" w:space="0" w:color="auto"/>
              <w:right w:val="nil"/>
            </w:tcBorders>
            <w:vAlign w:val="center"/>
            <w:hideMark/>
          </w:tcPr>
          <w:p w14:paraId="6F4546B2"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263" w:type="pct"/>
            <w:tcBorders>
              <w:top w:val="nil"/>
              <w:left w:val="nil"/>
              <w:bottom w:val="single" w:sz="8" w:space="0" w:color="auto"/>
              <w:right w:val="nil"/>
            </w:tcBorders>
            <w:shd w:val="clear" w:color="000000" w:fill="FFFFFF"/>
            <w:noWrap/>
            <w:vAlign w:val="center"/>
            <w:hideMark/>
          </w:tcPr>
          <w:p w14:paraId="4FB60DE7"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SoC</w:t>
            </w:r>
          </w:p>
        </w:tc>
        <w:tc>
          <w:tcPr>
            <w:tcW w:w="688" w:type="pct"/>
            <w:tcBorders>
              <w:top w:val="nil"/>
              <w:left w:val="nil"/>
              <w:bottom w:val="single" w:sz="8" w:space="0" w:color="auto"/>
              <w:right w:val="nil"/>
            </w:tcBorders>
            <w:shd w:val="clear" w:color="000000" w:fill="FFFFFF"/>
            <w:noWrap/>
            <w:vAlign w:val="center"/>
            <w:hideMark/>
          </w:tcPr>
          <w:p w14:paraId="16403ED9"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55" w:type="pct"/>
            <w:tcBorders>
              <w:top w:val="nil"/>
              <w:left w:val="nil"/>
              <w:bottom w:val="single" w:sz="8" w:space="0" w:color="auto"/>
              <w:right w:val="nil"/>
            </w:tcBorders>
            <w:shd w:val="clear" w:color="000000" w:fill="FFFFFF"/>
            <w:noWrap/>
            <w:vAlign w:val="center"/>
            <w:hideMark/>
          </w:tcPr>
          <w:p w14:paraId="39B7BBD6"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0.99</w:t>
            </w:r>
          </w:p>
        </w:tc>
        <w:tc>
          <w:tcPr>
            <w:tcW w:w="510" w:type="pct"/>
            <w:vMerge/>
            <w:tcBorders>
              <w:top w:val="single" w:sz="4" w:space="0" w:color="auto"/>
              <w:left w:val="nil"/>
              <w:bottom w:val="single" w:sz="8" w:space="0" w:color="auto"/>
              <w:right w:val="nil"/>
            </w:tcBorders>
            <w:vAlign w:val="center"/>
            <w:hideMark/>
          </w:tcPr>
          <w:p w14:paraId="58ADD2A3" w14:textId="77777777" w:rsidR="008C3153" w:rsidRPr="00A4278B" w:rsidRDefault="008C3153" w:rsidP="00A4278B">
            <w:pPr>
              <w:spacing w:after="0" w:line="240" w:lineRule="auto"/>
              <w:contextualSpacing/>
              <w:rPr>
                <w:rFonts w:eastAsia="Times New Roman" w:cs="Times New Roman"/>
                <w:color w:val="000000"/>
                <w:sz w:val="20"/>
                <w:szCs w:val="20"/>
                <w:lang w:eastAsia="en-GB"/>
              </w:rPr>
            </w:pPr>
          </w:p>
        </w:tc>
        <w:tc>
          <w:tcPr>
            <w:tcW w:w="503" w:type="pct"/>
            <w:tcBorders>
              <w:top w:val="nil"/>
              <w:left w:val="nil"/>
              <w:bottom w:val="single" w:sz="8" w:space="0" w:color="auto"/>
              <w:right w:val="nil"/>
            </w:tcBorders>
            <w:shd w:val="clear" w:color="000000" w:fill="FFFFFF"/>
            <w:noWrap/>
            <w:vAlign w:val="center"/>
            <w:hideMark/>
          </w:tcPr>
          <w:p w14:paraId="1F76A583"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450" w:type="pct"/>
            <w:tcBorders>
              <w:top w:val="nil"/>
              <w:left w:val="nil"/>
              <w:bottom w:val="single" w:sz="8" w:space="0" w:color="auto"/>
              <w:right w:val="nil"/>
            </w:tcBorders>
            <w:shd w:val="clear" w:color="000000" w:fill="FFFFFF"/>
            <w:noWrap/>
            <w:vAlign w:val="center"/>
            <w:hideMark/>
          </w:tcPr>
          <w:p w14:paraId="25B85474"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c>
          <w:tcPr>
            <w:tcW w:w="659" w:type="pct"/>
            <w:tcBorders>
              <w:top w:val="nil"/>
              <w:left w:val="nil"/>
              <w:bottom w:val="single" w:sz="8" w:space="0" w:color="auto"/>
              <w:right w:val="nil"/>
            </w:tcBorders>
            <w:shd w:val="clear" w:color="000000" w:fill="FFFFFF"/>
            <w:noWrap/>
            <w:vAlign w:val="center"/>
            <w:hideMark/>
          </w:tcPr>
          <w:p w14:paraId="2B8CB305"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£14,471</w:t>
            </w:r>
          </w:p>
        </w:tc>
        <w:tc>
          <w:tcPr>
            <w:tcW w:w="627" w:type="pct"/>
            <w:tcBorders>
              <w:top w:val="nil"/>
              <w:left w:val="nil"/>
              <w:bottom w:val="single" w:sz="8" w:space="0" w:color="auto"/>
              <w:right w:val="single" w:sz="8" w:space="0" w:color="auto"/>
            </w:tcBorders>
            <w:shd w:val="clear" w:color="000000" w:fill="FFFFFF"/>
            <w:noWrap/>
            <w:vAlign w:val="center"/>
            <w:hideMark/>
          </w:tcPr>
          <w:p w14:paraId="4FBC883A" w14:textId="77777777" w:rsidR="008C3153" w:rsidRPr="00A4278B" w:rsidRDefault="008C3153" w:rsidP="00A4278B">
            <w:pPr>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w:t>
            </w:r>
          </w:p>
        </w:tc>
      </w:tr>
    </w:tbl>
    <w:p w14:paraId="477A155E" w14:textId="4062E149" w:rsidR="00C663A2" w:rsidRPr="006F1E86" w:rsidRDefault="00C663A2" w:rsidP="00C663A2">
      <w:pPr>
        <w:sectPr w:rsidR="00C663A2" w:rsidRPr="006F1E86" w:rsidSect="00C30606">
          <w:pgSz w:w="16838" w:h="11906" w:orient="landscape"/>
          <w:pgMar w:top="1440" w:right="1440" w:bottom="1440" w:left="1440" w:header="708" w:footer="708" w:gutter="0"/>
          <w:cols w:space="708"/>
          <w:docGrid w:linePitch="360"/>
        </w:sectPr>
      </w:pPr>
    </w:p>
    <w:p w14:paraId="0B9A68B8" w14:textId="2C20B609" w:rsidR="0017332D" w:rsidRDefault="00754B8C" w:rsidP="008C3153">
      <w:r>
        <w:lastRenderedPageBreak/>
        <w:t>T</w:t>
      </w:r>
      <w:r w:rsidR="008C3153" w:rsidRPr="006F1E86">
        <w:t xml:space="preserve">umour specific costs of identifying </w:t>
      </w:r>
      <w:r w:rsidR="00626E7F">
        <w:t>biomarker positive patients</w:t>
      </w:r>
      <w:r w:rsidR="008C3153" w:rsidRPr="006F1E86">
        <w:t xml:space="preserve"> are also likely to represent a significant source of heterogeneity due to the variable frequency of targets across tumour types. </w:t>
      </w:r>
      <w:r w:rsidR="008C3153">
        <w:t xml:space="preserve">This is evident in the </w:t>
      </w:r>
      <w:r w:rsidR="007000B1">
        <w:t xml:space="preserve">individual </w:t>
      </w:r>
      <w:r w:rsidR="008C3153">
        <w:t xml:space="preserve">ICER estimates which now show much greater variation across different tumour sites compared to the previous analysis which excluded per patient testing costs. </w:t>
      </w:r>
    </w:p>
    <w:p w14:paraId="59A97CC7" w14:textId="3DB01BCF" w:rsidR="008C3153" w:rsidRPr="00D35FBC" w:rsidRDefault="008C3153" w:rsidP="008C3153">
      <w:r w:rsidRPr="006F1E86">
        <w:t xml:space="preserve">The key variable driving the </w:t>
      </w:r>
      <w:r w:rsidR="002D6448">
        <w:t>testing costs</w:t>
      </w:r>
      <w:r w:rsidRPr="006F1E86">
        <w:t xml:space="preserve"> and the ICER estimates</w:t>
      </w:r>
      <w:r>
        <w:t xml:space="preserve"> </w:t>
      </w:r>
      <w:r w:rsidR="002D6448">
        <w:t xml:space="preserve">for the test/treat strategy </w:t>
      </w:r>
      <w:r w:rsidRPr="00D35FBC">
        <w:t>is the number needed to screen. For now</w:t>
      </w:r>
      <w:r>
        <w:t>,</w:t>
      </w:r>
      <w:r w:rsidRPr="00D35FBC">
        <w:t xml:space="preserve"> we assume that the test is perfect, it correctly classifies all individual as having or not having the mutation</w:t>
      </w:r>
      <w:r w:rsidR="00EC395B">
        <w:t>,</w:t>
      </w:r>
      <w:r w:rsidRPr="00D35FBC">
        <w:t xml:space="preserve"> i.e. there are no false positives or false negatives. In this </w:t>
      </w:r>
      <w:r w:rsidR="002D6448">
        <w:t>situation</w:t>
      </w:r>
      <w:r w:rsidRPr="00D35FBC">
        <w:t xml:space="preserve"> the number needed to screen is 1 divided by the </w:t>
      </w:r>
      <w:r>
        <w:t xml:space="preserve">expected </w:t>
      </w:r>
      <w:r w:rsidRPr="00D35FBC">
        <w:t>frequency of the mutation</w:t>
      </w:r>
      <w:r>
        <w:t xml:space="preserve"> in each histology</w:t>
      </w:r>
      <w:r w:rsidRPr="00D35FBC">
        <w:t xml:space="preserve">. For histologies in which the mutation is very common, </w:t>
      </w:r>
      <w:r w:rsidR="00EC395B">
        <w:t>‘</w:t>
      </w:r>
      <w:r w:rsidRPr="00D35FBC">
        <w:t>high frequency histologies</w:t>
      </w:r>
      <w:r w:rsidR="00EC395B">
        <w:t>’</w:t>
      </w:r>
      <w:r w:rsidRPr="00D35FBC">
        <w:t xml:space="preserve"> e.g. </w:t>
      </w:r>
      <w:r>
        <w:t>salivary</w:t>
      </w:r>
      <w:r w:rsidRPr="00D35FBC">
        <w:t>, there is a very low number needed to s</w:t>
      </w:r>
      <w:r>
        <w:t>creen as almost every person (92.9</w:t>
      </w:r>
      <w:r w:rsidRPr="00D35FBC">
        <w:t xml:space="preserve">%) screened has the mutation. The opposite is the case for </w:t>
      </w:r>
      <w:r w:rsidR="00EC395B">
        <w:t>‘</w:t>
      </w:r>
      <w:r w:rsidRPr="00D35FBC">
        <w:t>low frequency histologies</w:t>
      </w:r>
      <w:r w:rsidR="00EC395B">
        <w:t>’</w:t>
      </w:r>
      <w:r w:rsidRPr="00D35FBC">
        <w:t xml:space="preserve"> in which the mutation is rare. In </w:t>
      </w:r>
      <w:r>
        <w:t>pancreatic cancer</w:t>
      </w:r>
      <w:r w:rsidR="0017332D">
        <w:t>,</w:t>
      </w:r>
      <w:r>
        <w:t xml:space="preserve"> 1429</w:t>
      </w:r>
      <w:r w:rsidRPr="00D35FBC">
        <w:t xml:space="preserve"> people </w:t>
      </w:r>
      <w:r w:rsidR="000B74BE" w:rsidRPr="000B74BE">
        <w:t>(</w:t>
      </w:r>
      <w:r w:rsidR="000B74BE">
        <w:t xml:space="preserve">i.e. </w:t>
      </w:r>
      <w:r w:rsidR="000B74BE" w:rsidRPr="000B74BE">
        <w:t>1/0.07%)</w:t>
      </w:r>
      <w:r w:rsidR="000B74BE">
        <w:t xml:space="preserve"> </w:t>
      </w:r>
      <w:r w:rsidRPr="00D35FBC">
        <w:t xml:space="preserve">need to be screened to identify one individual with the mutation. </w:t>
      </w:r>
      <w:r>
        <w:t xml:space="preserve">A testing cost of £50 per test </w:t>
      </w:r>
      <w:r w:rsidRPr="00D35FBC">
        <w:t xml:space="preserve">increases the overall costs of </w:t>
      </w:r>
      <w:r>
        <w:t>Drug X</w:t>
      </w:r>
      <w:r w:rsidRPr="00D35FBC">
        <w:t xml:space="preserve"> by £</w:t>
      </w:r>
      <w:r>
        <w:t>71,429, from £37,751 to £109,180</w:t>
      </w:r>
      <w:r w:rsidRPr="00D35FBC">
        <w:t xml:space="preserve"> </w:t>
      </w:r>
      <w:r>
        <w:t>in pancreatic cancer. This</w:t>
      </w:r>
      <w:r w:rsidRPr="00D35FBC">
        <w:t xml:space="preserve"> increases the ICER from £</w:t>
      </w:r>
      <w:r>
        <w:t>37,930</w:t>
      </w:r>
      <w:r w:rsidRPr="00D35FBC">
        <w:t xml:space="preserve"> to £</w:t>
      </w:r>
      <w:r>
        <w:t>154,304</w:t>
      </w:r>
      <w:r w:rsidRPr="00D35FBC">
        <w:t xml:space="preserve"> in </w:t>
      </w:r>
      <w:r w:rsidR="007C7729">
        <w:t>pancreatic cancer</w:t>
      </w:r>
      <w:r w:rsidRPr="00D35FBC">
        <w:t>. The ICER for each histology has</w:t>
      </w:r>
      <w:r>
        <w:t xml:space="preserve"> increased but </w:t>
      </w:r>
      <w:r w:rsidRPr="00D35FBC">
        <w:t>in</w:t>
      </w:r>
      <w:r>
        <w:t xml:space="preserve"> the</w:t>
      </w:r>
      <w:r w:rsidRPr="00D35FBC">
        <w:t xml:space="preserve"> histologies with moderate to high frequency of mutation</w:t>
      </w:r>
      <w:r>
        <w:t>,</w:t>
      </w:r>
      <w:r w:rsidRPr="00D35FBC">
        <w:t xml:space="preserve"> </w:t>
      </w:r>
      <w:r>
        <w:t xml:space="preserve">the increase in the ICER is more modest. </w:t>
      </w:r>
    </w:p>
    <w:p w14:paraId="5624CDB6" w14:textId="01A92FFE" w:rsidR="008C3153" w:rsidRPr="00D35FBC" w:rsidRDefault="008C3153" w:rsidP="008C3153">
      <w:r w:rsidRPr="00D35FBC">
        <w:t>The above analysis assumes that the test</w:t>
      </w:r>
      <w:r>
        <w:t xml:space="preserve"> (or testing strategy)</w:t>
      </w:r>
      <w:r w:rsidRPr="00D35FBC">
        <w:t xml:space="preserve"> is perfect, however if this is not the case then this will result in patients being misclassified. Patients who do not have the mutation will be classified as having the mutation (false positives) and patients who have the mutation will be missed (false negatives). </w:t>
      </w:r>
      <w:r>
        <w:t xml:space="preserve">Such misclassifications may </w:t>
      </w:r>
      <w:r w:rsidRPr="00D35FBC">
        <w:t>have important implications for costs and health.</w:t>
      </w:r>
      <w:r w:rsidR="006F7FD7">
        <w:fldChar w:fldCharType="begin">
          <w:fldData xml:space="preserve">PEVuZE5vdGU+PENpdGU+PEF1dGhvcj5QaGVscHM8L0F1dGhvcj48WWVhcj4xOTg4PC9ZZWFyPjxS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</w:fldData>
        </w:fldChar>
      </w:r>
      <w:r w:rsidR="000E66DE">
        <w:instrText xml:space="preserve"> ADDIN EN.CITE </w:instrText>
      </w:r>
      <w:r w:rsidR="000E66DE">
        <w:fldChar w:fldCharType="begin">
          <w:fldData xml:space="preserve">PEVuZE5vdGU+PENpdGU+PEF1dGhvcj5QaGVscHM8L0F1dGhvcj48WWVhcj4xOTg4PC9ZZWFyPjxS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</w:fldData>
        </w:fldChar>
      </w:r>
      <w:r w:rsidR="000E66DE">
        <w:instrText xml:space="preserve"> ADDIN EN.CITE.DATA </w:instrText>
      </w:r>
      <w:r w:rsidR="000E66DE">
        <w:fldChar w:fldCharType="end"/>
      </w:r>
      <w:r w:rsidR="006F7FD7">
        <w:fldChar w:fldCharType="separate"/>
      </w:r>
      <w:r w:rsidR="004D5B2B" w:rsidRPr="004D5B2B">
        <w:rPr>
          <w:noProof/>
          <w:vertAlign w:val="superscript"/>
        </w:rPr>
        <w:t>144, 186</w:t>
      </w:r>
      <w:r w:rsidR="006F7FD7">
        <w:fldChar w:fldCharType="end"/>
      </w:r>
      <w:r w:rsidRPr="00D35FBC">
        <w:t xml:space="preserve"> The number of false positives and negatives will depend on the testing strategy, test characteristics (sensitively/specificity) and the frequency of the mutation in each histology.</w:t>
      </w:r>
      <w:r w:rsidR="006F7FD7">
        <w:fldChar w:fldCharType="begin">
          <w:fldData xml:space="preserve">PEVuZE5vdGU+PENpdGU+PEF1dGhvcj5BbGJlcnQ8L0F1dGhvcj48WWVhcj4yMDE5PC9ZZWFyPjxS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</w:fldData>
        </w:fldChar>
      </w:r>
      <w:r w:rsidR="00500BB3">
        <w:instrText xml:space="preserve"> ADDIN EN.CITE </w:instrText>
      </w:r>
      <w:r w:rsidR="00500BB3">
        <w:fldChar w:fldCharType="begin">
          <w:fldData xml:space="preserve">PEVuZE5vdGU+PENpdGU+PEF1dGhvcj5BbGJlcnQ8L0F1dGhvcj48WWVhcj4yMDE5PC9ZZWFyPjxS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</w:fldData>
        </w:fldChar>
      </w:r>
      <w:r w:rsidR="00500BB3">
        <w:instrText xml:space="preserve"> ADDIN EN.CITE.DATA </w:instrText>
      </w:r>
      <w:r w:rsidR="00500BB3">
        <w:fldChar w:fldCharType="end"/>
      </w:r>
      <w:r w:rsidR="006F7FD7">
        <w:fldChar w:fldCharType="separate"/>
      </w:r>
      <w:r w:rsidR="004D5B2B" w:rsidRPr="004D5B2B">
        <w:rPr>
          <w:noProof/>
          <w:vertAlign w:val="superscript"/>
        </w:rPr>
        <w:t>161, 168, 187</w:t>
      </w:r>
      <w:r w:rsidR="006F7FD7">
        <w:fldChar w:fldCharType="end"/>
      </w:r>
      <w:r w:rsidRPr="00D35FBC">
        <w:t xml:space="preserve"> The possibility of misclassification presents two tasks</w:t>
      </w:r>
      <w:r w:rsidR="000B74BE">
        <w:t>:</w:t>
      </w:r>
      <w:r w:rsidRPr="00D35FBC">
        <w:t xml:space="preserve"> 1) calculating the correct ICER given a </w:t>
      </w:r>
      <w:r w:rsidR="007C7729">
        <w:t xml:space="preserve">specific </w:t>
      </w:r>
      <w:r w:rsidRPr="00D35FBC">
        <w:t>test</w:t>
      </w:r>
      <w:r w:rsidR="007C7729">
        <w:t xml:space="preserve"> or te</w:t>
      </w:r>
      <w:r w:rsidRPr="00D35FBC">
        <w:t>sting strategy</w:t>
      </w:r>
      <w:r w:rsidR="000B74BE">
        <w:t>;</w:t>
      </w:r>
      <w:r w:rsidRPr="00D35FBC">
        <w:t xml:space="preserve"> </w:t>
      </w:r>
      <w:r w:rsidR="00225DD5">
        <w:t>and</w:t>
      </w:r>
      <w:r w:rsidR="000B74BE">
        <w:t>,</w:t>
      </w:r>
      <w:r w:rsidR="00225DD5">
        <w:t xml:space="preserve"> </w:t>
      </w:r>
      <w:r w:rsidRPr="00D35FBC">
        <w:t xml:space="preserve">2) choosing the optimal test </w:t>
      </w:r>
      <w:r w:rsidR="007C7729">
        <w:t>or</w:t>
      </w:r>
      <w:r w:rsidRPr="00D35FBC">
        <w:t xml:space="preserve"> testing strategy. Both of these tasks require estimates of the costs and QALYs associated with false positives and false negatives which will likely differ by histology. For </w:t>
      </w:r>
      <w:r>
        <w:t>costly new</w:t>
      </w:r>
      <w:r w:rsidRPr="00D35FBC">
        <w:t xml:space="preserve"> treatments and those with significant side effects</w:t>
      </w:r>
      <w:r w:rsidR="000B74BE">
        <w:t>,</w:t>
      </w:r>
      <w:r w:rsidRPr="00D35FBC">
        <w:t xml:space="preserve"> false positives may have substantial consequences. The scale of consequences associated with false negatives will depend on the additional benefits of treatment. This means that the consequences of missing a potential patient (false negative) will be larger in those histologies in which the treatment </w:t>
      </w:r>
      <w:r>
        <w:t>results in larger QALY benefits.</w:t>
      </w:r>
    </w:p>
    <w:p w14:paraId="5CF49CC7" w14:textId="2A3848BB" w:rsidR="008C3153" w:rsidRPr="00D35FBC" w:rsidRDefault="008C3153" w:rsidP="00EC11CD">
      <w:pPr>
        <w:pStyle w:val="Heading2"/>
      </w:pPr>
      <w:bookmarkStart w:id="238" w:name="_Ref30604289"/>
      <w:bookmarkStart w:id="239" w:name="_Toc33776231"/>
      <w:r w:rsidRPr="00D35FBC">
        <w:t>The value of heterogeneity and population health</w:t>
      </w:r>
      <w:bookmarkEnd w:id="238"/>
      <w:bookmarkEnd w:id="239"/>
    </w:p>
    <w:p w14:paraId="2F2F5A15" w14:textId="3A6DCFC9" w:rsidR="008C3153" w:rsidRPr="00D35FBC" w:rsidRDefault="008C3153" w:rsidP="008C3153">
      <w:r w:rsidRPr="00D35FBC">
        <w:t xml:space="preserve">The preceding sections show how heterogeneity in </w:t>
      </w:r>
      <w:r w:rsidR="007C7729">
        <w:t xml:space="preserve">treatment </w:t>
      </w:r>
      <w:r w:rsidRPr="00D35FBC">
        <w:t>effect</w:t>
      </w:r>
      <w:r w:rsidR="007C7729">
        <w:t>iveness</w:t>
      </w:r>
      <w:r w:rsidRPr="00D35FBC">
        <w:t xml:space="preserve"> and </w:t>
      </w:r>
      <w:r w:rsidR="007C7729">
        <w:t>testing</w:t>
      </w:r>
      <w:r w:rsidRPr="00D35FBC">
        <w:t xml:space="preserve"> costs can be </w:t>
      </w:r>
      <w:r>
        <w:t>explored</w:t>
      </w:r>
      <w:r w:rsidRPr="00D35FBC">
        <w:t xml:space="preserve"> using </w:t>
      </w:r>
      <w:r>
        <w:t xml:space="preserve">pooled ICERs and individual histology </w:t>
      </w:r>
      <w:r w:rsidRPr="00D35FBC">
        <w:t>ICERs. However, ICERs have an importa</w:t>
      </w:r>
      <w:r>
        <w:t>nt limitation; they do not give</w:t>
      </w:r>
      <w:r w:rsidRPr="00D35FBC">
        <w:t xml:space="preserve"> an indication of the scale of consequences for population health. </w:t>
      </w:r>
      <w:r w:rsidRPr="00D35FBC">
        <w:lastRenderedPageBreak/>
        <w:t xml:space="preserve">Understanding the benefits and costs of treatment at a population level will help in understanding the consequences of decision making in the presence of </w:t>
      </w:r>
      <w:r>
        <w:t xml:space="preserve">heterogeneity and </w:t>
      </w:r>
      <w:r w:rsidRPr="00D35FBC">
        <w:t>uncertainty.</w:t>
      </w:r>
    </w:p>
    <w:p w14:paraId="23CF9CEF" w14:textId="1B0A7BE8" w:rsidR="00701DE2" w:rsidRDefault="008C3153" w:rsidP="008C3153">
      <w:r w:rsidRPr="00D35FBC">
        <w:t>To understand the implications of heterogeneity for population hea</w:t>
      </w:r>
      <w:r w:rsidR="00632112">
        <w:t>l</w:t>
      </w:r>
      <w:r w:rsidRPr="00D35FBC">
        <w:t xml:space="preserve">th requires that benefits and costs are expressed </w:t>
      </w:r>
      <w:r>
        <w:t>in health or monetary equivalents,</w:t>
      </w:r>
      <w:r w:rsidRPr="00D35FBC">
        <w:t xml:space="preserve"> </w:t>
      </w:r>
      <w:r>
        <w:t xml:space="preserve">using </w:t>
      </w:r>
      <w:r w:rsidRPr="00D35FBC">
        <w:t xml:space="preserve">net health </w:t>
      </w:r>
      <w:r>
        <w:t>benefits</w:t>
      </w:r>
      <w:r w:rsidRPr="008A5F9E">
        <w:t xml:space="preserve"> (</w:t>
      </w:r>
      <w:r>
        <w:t>NHB</w:t>
      </w:r>
      <w:r w:rsidRPr="008A5F9E">
        <w:t>s)</w:t>
      </w:r>
      <w:r>
        <w:t xml:space="preserve"> or net monetary benefits (NMBs)</w:t>
      </w:r>
      <w:r w:rsidRPr="008A5F9E">
        <w:t xml:space="preserve">. The </w:t>
      </w:r>
      <w:r>
        <w:t>same information used to provide</w:t>
      </w:r>
      <w:r w:rsidRPr="00D35FBC">
        <w:t xml:space="preserve"> ICER estimates can also be expressed as the per-patient </w:t>
      </w:r>
      <w:r>
        <w:t>NHB</w:t>
      </w:r>
      <w:r w:rsidRPr="00D35FBC">
        <w:t xml:space="preserve"> </w:t>
      </w:r>
      <w:r>
        <w:t xml:space="preserve">(or NMBs) </w:t>
      </w:r>
      <w:r w:rsidRPr="00D35FBC">
        <w:t>which includes benefits, harms and NHS/Personal Social Services costs.</w:t>
      </w:r>
      <w:r w:rsidR="006F7FD7">
        <w:fldChar w:fldCharType="begin">
          <w:fldData xml:space="preserve">PEVuZE5vdGU+PENpdGU+PEF1dGhvcj5TdGlubmV0dDwvQXV0aG9yPjxZZWFyPjE5OTg8L1llYXI+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</w:fldData>
        </w:fldChar>
      </w:r>
      <w:r w:rsidR="000E66DE">
        <w:instrText xml:space="preserve"> ADDIN EN.CITE </w:instrText>
      </w:r>
      <w:r w:rsidR="000E66DE">
        <w:fldChar w:fldCharType="begin">
          <w:fldData xml:space="preserve">PEVuZE5vdGU+PENpdGU+PEF1dGhvcj5TdGlubmV0dDwvQXV0aG9yPjxZZWFyPjE5OTg8L1llYXI+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</w:fldData>
        </w:fldChar>
      </w:r>
      <w:r w:rsidR="000E66DE">
        <w:instrText xml:space="preserve"> ADDIN EN.CITE.DATA </w:instrText>
      </w:r>
      <w:r w:rsidR="000E66DE">
        <w:fldChar w:fldCharType="end"/>
      </w:r>
      <w:r w:rsidR="006F7FD7">
        <w:fldChar w:fldCharType="separate"/>
      </w:r>
      <w:r w:rsidR="004D5B2B" w:rsidRPr="004D5B2B">
        <w:rPr>
          <w:noProof/>
          <w:vertAlign w:val="superscript"/>
        </w:rPr>
        <w:t>188-190</w:t>
      </w:r>
      <w:r w:rsidR="006F7FD7">
        <w:fldChar w:fldCharType="end"/>
      </w:r>
      <w:r w:rsidRPr="00D35FBC">
        <w:t xml:space="preserve"> The </w:t>
      </w:r>
      <w:r>
        <w:t>NHB</w:t>
      </w:r>
      <w:r w:rsidRPr="00D35FBC">
        <w:t xml:space="preserve"> is the difference between any health gained with the intervention and the health forgone elsewhere in the health-care system</w:t>
      </w:r>
      <w:r>
        <w:t xml:space="preserve"> </w:t>
      </w:r>
      <w:r w:rsidR="007C7729">
        <w:t xml:space="preserve">(i.e. </w:t>
      </w:r>
      <w:r>
        <w:t xml:space="preserve">due to </w:t>
      </w:r>
      <w:r w:rsidR="007C7729">
        <w:t>the need to displace existing treatments and services to fund a new and more costly treatment)</w:t>
      </w:r>
      <w:r w:rsidRPr="00D35FBC">
        <w:t xml:space="preserve">, all expressed in QALY terms. </w:t>
      </w:r>
      <w:r>
        <w:t>NMB is equivalent but everything is expr</w:t>
      </w:r>
      <w:r w:rsidR="009F5530">
        <w:t xml:space="preserve">essed in monetary terms. </w:t>
      </w:r>
    </w:p>
    <w:p w14:paraId="74969AB9" w14:textId="7F327AE8" w:rsidR="008C3153" w:rsidRPr="00D35FBC" w:rsidRDefault="009F5530" w:rsidP="008C3153">
      <w:r>
        <w:rPr>
          <w:highlight w:val="yellow"/>
        </w:rPr>
        <w:fldChar w:fldCharType="begin"/>
      </w:r>
      <w:r>
        <w:instrText xml:space="preserve"> REF _Ref30599885 \h </w:instrText>
      </w:r>
      <w:r>
        <w:rPr>
          <w:highlight w:val="yellow"/>
        </w:rPr>
      </w:r>
      <w:r>
        <w:rPr>
          <w:highlight w:val="yellow"/>
        </w:rPr>
        <w:fldChar w:fldCharType="separate"/>
      </w:r>
      <w:r w:rsidR="00C9471F">
        <w:t xml:space="preserve">Table </w:t>
      </w:r>
      <w:r w:rsidR="00C9471F">
        <w:rPr>
          <w:noProof/>
        </w:rPr>
        <w:t>28</w:t>
      </w:r>
      <w:r>
        <w:rPr>
          <w:highlight w:val="yellow"/>
        </w:rPr>
        <w:fldChar w:fldCharType="end"/>
      </w:r>
      <w:r>
        <w:t xml:space="preserve"> </w:t>
      </w:r>
      <w:r w:rsidR="008C3153" w:rsidRPr="00D35FBC">
        <w:t xml:space="preserve">illustrates how </w:t>
      </w:r>
      <w:r w:rsidR="008C3153">
        <w:t>NHB and NMB</w:t>
      </w:r>
      <w:r w:rsidR="008C3153" w:rsidRPr="00D35FBC">
        <w:t xml:space="preserve"> are calculated giv</w:t>
      </w:r>
      <w:r w:rsidR="008C3153">
        <w:t>en an assumed threshold of £50,000</w:t>
      </w:r>
      <w:r w:rsidR="00701DE2">
        <w:t xml:space="preserve"> per </w:t>
      </w:r>
      <w:r w:rsidR="008C3153">
        <w:t>QALY.</w:t>
      </w:r>
      <w:r w:rsidR="00076767">
        <w:t xml:space="preserve"> </w:t>
      </w:r>
      <w:r w:rsidR="00C20257">
        <w:t>T</w:t>
      </w:r>
      <w:r w:rsidR="00076767">
        <w:t xml:space="preserve">esting costs are </w:t>
      </w:r>
      <w:r w:rsidR="007000B1">
        <w:t xml:space="preserve">now </w:t>
      </w:r>
      <w:r w:rsidR="00076767">
        <w:t>included in this analysis.</w:t>
      </w:r>
    </w:p>
    <w:p w14:paraId="50BAA989" w14:textId="37ACD67C" w:rsidR="008C3153" w:rsidRDefault="008C3153" w:rsidP="008C3153">
      <w:pPr>
        <w:pStyle w:val="Caption"/>
      </w:pPr>
      <w:bookmarkStart w:id="240" w:name="_Ref30599885"/>
      <w:bookmarkStart w:id="241" w:name="_Toc34033542"/>
      <w:r>
        <w:t xml:space="preserve">Table </w:t>
      </w:r>
      <w:r w:rsidR="00C974E5">
        <w:fldChar w:fldCharType="begin"/>
      </w:r>
      <w:r w:rsidR="00C974E5">
        <w:instrText xml:space="preserve"> SEQ Table \* ARABIC </w:instrText>
      </w:r>
      <w:r w:rsidR="00C974E5">
        <w:fldChar w:fldCharType="separate"/>
      </w:r>
      <w:r w:rsidR="00C9471F">
        <w:rPr>
          <w:noProof/>
        </w:rPr>
        <w:t>28</w:t>
      </w:r>
      <w:r w:rsidR="00C974E5">
        <w:rPr>
          <w:noProof/>
        </w:rPr>
        <w:fldChar w:fldCharType="end"/>
      </w:r>
      <w:bookmarkEnd w:id="240"/>
      <w:r w:rsidR="008C7423">
        <w:rPr>
          <w:noProof/>
        </w:rPr>
        <w:t>:</w:t>
      </w:r>
      <w:r>
        <w:t xml:space="preserve"> Calculating per person net health effects for Drug X</w:t>
      </w:r>
      <w:bookmarkEnd w:id="241"/>
    </w:p>
    <w:tbl>
      <w:tblPr>
        <w:tblW w:w="5000" w:type="pct"/>
        <w:tblLook w:val="04A0" w:firstRow="1" w:lastRow="0" w:firstColumn="1" w:lastColumn="0" w:noHBand="0" w:noVBand="1"/>
      </w:tblPr>
      <w:tblGrid>
        <w:gridCol w:w="2045"/>
        <w:gridCol w:w="1161"/>
        <w:gridCol w:w="1454"/>
        <w:gridCol w:w="1700"/>
        <w:gridCol w:w="1338"/>
        <w:gridCol w:w="1308"/>
      </w:tblGrid>
      <w:tr w:rsidR="008C3153" w:rsidRPr="00A4278B" w14:paraId="3B4A211F" w14:textId="77777777" w:rsidTr="00AB705A">
        <w:trPr>
          <w:trHeight w:val="825"/>
        </w:trPr>
        <w:tc>
          <w:tcPr>
            <w:tcW w:w="1135" w:type="pct"/>
            <w:tcBorders>
              <w:top w:val="single" w:sz="8" w:space="0" w:color="auto"/>
              <w:left w:val="single" w:sz="8" w:space="0" w:color="auto"/>
              <w:bottom w:val="nil"/>
              <w:right w:val="single" w:sz="8" w:space="0" w:color="auto"/>
            </w:tcBorders>
            <w:shd w:val="clear" w:color="auto" w:fill="auto"/>
            <w:noWrap/>
            <w:vAlign w:val="center"/>
            <w:hideMark/>
          </w:tcPr>
          <w:p w14:paraId="2406D034"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Subgroup</w:t>
            </w:r>
          </w:p>
        </w:tc>
        <w:tc>
          <w:tcPr>
            <w:tcW w:w="644" w:type="pct"/>
            <w:tcBorders>
              <w:top w:val="single" w:sz="8" w:space="0" w:color="auto"/>
              <w:left w:val="single" w:sz="8" w:space="0" w:color="auto"/>
              <w:bottom w:val="nil"/>
              <w:right w:val="nil"/>
            </w:tcBorders>
            <w:shd w:val="clear" w:color="auto" w:fill="auto"/>
            <w:vAlign w:val="center"/>
            <w:hideMark/>
          </w:tcPr>
          <w:p w14:paraId="346E0FCB"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Per patient level</w:t>
            </w:r>
          </w:p>
        </w:tc>
        <w:tc>
          <w:tcPr>
            <w:tcW w:w="807" w:type="pct"/>
            <w:tcBorders>
              <w:top w:val="single" w:sz="8" w:space="0" w:color="auto"/>
              <w:left w:val="nil"/>
              <w:bottom w:val="nil"/>
              <w:right w:val="single" w:sz="8" w:space="0" w:color="auto"/>
            </w:tcBorders>
            <w:shd w:val="clear" w:color="auto" w:fill="auto"/>
            <w:vAlign w:val="center"/>
            <w:hideMark/>
          </w:tcPr>
          <w:p w14:paraId="7D609B5C"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944" w:type="pct"/>
            <w:tcBorders>
              <w:top w:val="single" w:sz="8" w:space="0" w:color="auto"/>
              <w:left w:val="single" w:sz="8" w:space="0" w:color="auto"/>
              <w:bottom w:val="single" w:sz="8" w:space="0" w:color="auto"/>
              <w:right w:val="nil"/>
            </w:tcBorders>
            <w:shd w:val="clear" w:color="auto" w:fill="auto"/>
            <w:vAlign w:val="center"/>
            <w:hideMark/>
          </w:tcPr>
          <w:p w14:paraId="7E351699"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£50,000 per QALY threshold</w:t>
            </w:r>
          </w:p>
        </w:tc>
        <w:tc>
          <w:tcPr>
            <w:tcW w:w="743" w:type="pct"/>
            <w:tcBorders>
              <w:top w:val="single" w:sz="8" w:space="0" w:color="auto"/>
              <w:left w:val="nil"/>
              <w:bottom w:val="single" w:sz="8" w:space="0" w:color="auto"/>
              <w:right w:val="nil"/>
            </w:tcBorders>
            <w:shd w:val="clear" w:color="auto" w:fill="auto"/>
            <w:vAlign w:val="center"/>
            <w:hideMark/>
          </w:tcPr>
          <w:p w14:paraId="55B0E74A"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726" w:type="pct"/>
            <w:tcBorders>
              <w:top w:val="single" w:sz="8" w:space="0" w:color="auto"/>
              <w:left w:val="nil"/>
              <w:bottom w:val="single" w:sz="8" w:space="0" w:color="auto"/>
              <w:right w:val="single" w:sz="8" w:space="0" w:color="auto"/>
            </w:tcBorders>
          </w:tcPr>
          <w:p w14:paraId="7EA5D786"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p>
        </w:tc>
      </w:tr>
      <w:tr w:rsidR="008C3153" w:rsidRPr="00A4278B" w14:paraId="7532979B" w14:textId="77777777" w:rsidTr="00AB705A">
        <w:trPr>
          <w:trHeight w:val="915"/>
        </w:trPr>
        <w:tc>
          <w:tcPr>
            <w:tcW w:w="113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E57C67" w14:textId="77777777" w:rsidR="008C3153" w:rsidRPr="00A4278B" w:rsidRDefault="008C3153" w:rsidP="00A4278B">
            <w:pPr>
              <w:keepNext/>
              <w:keepLines/>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644" w:type="pct"/>
            <w:tcBorders>
              <w:top w:val="single" w:sz="8" w:space="0" w:color="auto"/>
              <w:left w:val="single" w:sz="8" w:space="0" w:color="auto"/>
              <w:bottom w:val="single" w:sz="8" w:space="0" w:color="auto"/>
              <w:right w:val="nil"/>
            </w:tcBorders>
            <w:shd w:val="clear" w:color="auto" w:fill="auto"/>
            <w:vAlign w:val="center"/>
            <w:hideMark/>
          </w:tcPr>
          <w:p w14:paraId="6FE24299"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ΔCost</w:t>
            </w:r>
          </w:p>
        </w:tc>
        <w:tc>
          <w:tcPr>
            <w:tcW w:w="807" w:type="pct"/>
            <w:tcBorders>
              <w:top w:val="single" w:sz="8" w:space="0" w:color="auto"/>
              <w:left w:val="nil"/>
              <w:bottom w:val="single" w:sz="8" w:space="0" w:color="auto"/>
              <w:right w:val="single" w:sz="8" w:space="0" w:color="auto"/>
            </w:tcBorders>
            <w:shd w:val="clear" w:color="auto" w:fill="auto"/>
            <w:vAlign w:val="center"/>
            <w:hideMark/>
          </w:tcPr>
          <w:p w14:paraId="5621D6D9"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ΔQALYs</w:t>
            </w:r>
          </w:p>
        </w:tc>
        <w:tc>
          <w:tcPr>
            <w:tcW w:w="944" w:type="pct"/>
            <w:tcBorders>
              <w:top w:val="nil"/>
              <w:left w:val="single" w:sz="8" w:space="0" w:color="auto"/>
              <w:bottom w:val="single" w:sz="8" w:space="0" w:color="auto"/>
              <w:right w:val="nil"/>
            </w:tcBorders>
            <w:shd w:val="clear" w:color="auto" w:fill="auto"/>
            <w:vAlign w:val="center"/>
            <w:hideMark/>
          </w:tcPr>
          <w:p w14:paraId="6B3C38FE" w14:textId="04A26801"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 xml:space="preserve"> (ΔCost/£50,000)</w:t>
            </w:r>
          </w:p>
        </w:tc>
        <w:tc>
          <w:tcPr>
            <w:tcW w:w="743" w:type="pct"/>
            <w:tcBorders>
              <w:top w:val="nil"/>
              <w:left w:val="nil"/>
              <w:bottom w:val="single" w:sz="8" w:space="0" w:color="auto"/>
              <w:right w:val="nil"/>
            </w:tcBorders>
            <w:shd w:val="clear" w:color="auto" w:fill="auto"/>
            <w:vAlign w:val="center"/>
            <w:hideMark/>
          </w:tcPr>
          <w:p w14:paraId="00635346" w14:textId="392ED733"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NHB (ΔQALY - 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w:t>
            </w:r>
          </w:p>
        </w:tc>
        <w:tc>
          <w:tcPr>
            <w:tcW w:w="726" w:type="pct"/>
            <w:tcBorders>
              <w:top w:val="nil"/>
              <w:left w:val="nil"/>
              <w:bottom w:val="single" w:sz="8" w:space="0" w:color="auto"/>
              <w:right w:val="single" w:sz="8" w:space="0" w:color="auto"/>
            </w:tcBorders>
          </w:tcPr>
          <w:p w14:paraId="7D7E6697"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NMB (ΔQALYs x £50,000 – ΔCost)</w:t>
            </w:r>
          </w:p>
        </w:tc>
      </w:tr>
      <w:tr w:rsidR="008C3153" w:rsidRPr="00A4278B" w14:paraId="5B6A1E44" w14:textId="77777777" w:rsidTr="00AB705A">
        <w:trPr>
          <w:trHeight w:val="300"/>
        </w:trPr>
        <w:tc>
          <w:tcPr>
            <w:tcW w:w="1135" w:type="pct"/>
            <w:tcBorders>
              <w:top w:val="single" w:sz="4" w:space="0" w:color="auto"/>
              <w:left w:val="single" w:sz="8" w:space="0" w:color="auto"/>
              <w:bottom w:val="nil"/>
              <w:right w:val="single" w:sz="8" w:space="0" w:color="auto"/>
            </w:tcBorders>
            <w:shd w:val="clear" w:color="000000" w:fill="FFFFFF"/>
            <w:noWrap/>
            <w:vAlign w:val="center"/>
            <w:hideMark/>
          </w:tcPr>
          <w:p w14:paraId="30EEFAFD"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Sarcoma</w:t>
            </w:r>
          </w:p>
        </w:tc>
        <w:tc>
          <w:tcPr>
            <w:tcW w:w="644" w:type="pct"/>
            <w:tcBorders>
              <w:top w:val="nil"/>
              <w:left w:val="single" w:sz="8" w:space="0" w:color="auto"/>
              <w:bottom w:val="nil"/>
              <w:right w:val="nil"/>
            </w:tcBorders>
            <w:shd w:val="clear" w:color="000000" w:fill="FFFFFF"/>
            <w:noWrap/>
            <w:vAlign w:val="center"/>
            <w:hideMark/>
          </w:tcPr>
          <w:p w14:paraId="5B1F821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£55,772</w:t>
            </w:r>
          </w:p>
        </w:tc>
        <w:tc>
          <w:tcPr>
            <w:tcW w:w="807" w:type="pct"/>
            <w:tcBorders>
              <w:top w:val="nil"/>
              <w:left w:val="nil"/>
              <w:bottom w:val="nil"/>
              <w:right w:val="single" w:sz="8" w:space="0" w:color="auto"/>
            </w:tcBorders>
            <w:shd w:val="clear" w:color="000000" w:fill="FFFFFF"/>
            <w:noWrap/>
            <w:vAlign w:val="center"/>
            <w:hideMark/>
          </w:tcPr>
          <w:p w14:paraId="62CF9A4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1.70</w:t>
            </w:r>
          </w:p>
        </w:tc>
        <w:tc>
          <w:tcPr>
            <w:tcW w:w="944" w:type="pct"/>
            <w:tcBorders>
              <w:top w:val="nil"/>
              <w:left w:val="single" w:sz="8" w:space="0" w:color="auto"/>
              <w:bottom w:val="nil"/>
              <w:right w:val="nil"/>
            </w:tcBorders>
            <w:shd w:val="clear" w:color="000000" w:fill="FFFFFF"/>
            <w:noWrap/>
            <w:vAlign w:val="center"/>
            <w:hideMark/>
          </w:tcPr>
          <w:p w14:paraId="515F814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1.12</w:t>
            </w:r>
          </w:p>
        </w:tc>
        <w:tc>
          <w:tcPr>
            <w:tcW w:w="743" w:type="pct"/>
            <w:tcBorders>
              <w:top w:val="nil"/>
              <w:left w:val="nil"/>
              <w:bottom w:val="nil"/>
              <w:right w:val="nil"/>
            </w:tcBorders>
            <w:shd w:val="clear" w:color="000000" w:fill="FFFFFF"/>
            <w:noWrap/>
            <w:vAlign w:val="center"/>
            <w:hideMark/>
          </w:tcPr>
          <w:p w14:paraId="57EF133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0.59</w:t>
            </w:r>
          </w:p>
        </w:tc>
        <w:tc>
          <w:tcPr>
            <w:tcW w:w="726" w:type="pct"/>
            <w:tcBorders>
              <w:top w:val="nil"/>
              <w:left w:val="nil"/>
              <w:bottom w:val="nil"/>
              <w:right w:val="single" w:sz="8" w:space="0" w:color="auto"/>
            </w:tcBorders>
            <w:shd w:val="clear" w:color="000000" w:fill="FFFFFF"/>
            <w:vAlign w:val="center"/>
          </w:tcPr>
          <w:p w14:paraId="09C165C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£29,337</w:t>
            </w:r>
          </w:p>
        </w:tc>
      </w:tr>
      <w:tr w:rsidR="008C3153" w:rsidRPr="00A4278B" w14:paraId="2F0794B6"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1117FF88"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Salivary gland</w:t>
            </w:r>
          </w:p>
        </w:tc>
        <w:tc>
          <w:tcPr>
            <w:tcW w:w="644" w:type="pct"/>
            <w:tcBorders>
              <w:top w:val="nil"/>
              <w:left w:val="single" w:sz="8" w:space="0" w:color="auto"/>
              <w:bottom w:val="nil"/>
              <w:right w:val="nil"/>
            </w:tcBorders>
            <w:shd w:val="clear" w:color="000000" w:fill="FFFFFF"/>
            <w:noWrap/>
            <w:vAlign w:val="center"/>
            <w:hideMark/>
          </w:tcPr>
          <w:p w14:paraId="60B2BC4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£44,281</w:t>
            </w:r>
          </w:p>
        </w:tc>
        <w:tc>
          <w:tcPr>
            <w:tcW w:w="807" w:type="pct"/>
            <w:tcBorders>
              <w:top w:val="nil"/>
              <w:left w:val="nil"/>
              <w:bottom w:val="nil"/>
              <w:right w:val="single" w:sz="8" w:space="0" w:color="auto"/>
            </w:tcBorders>
            <w:shd w:val="clear" w:color="000000" w:fill="FFFFFF"/>
            <w:noWrap/>
            <w:vAlign w:val="center"/>
            <w:hideMark/>
          </w:tcPr>
          <w:p w14:paraId="43EEC32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1.58</w:t>
            </w:r>
          </w:p>
        </w:tc>
        <w:tc>
          <w:tcPr>
            <w:tcW w:w="944" w:type="pct"/>
            <w:tcBorders>
              <w:top w:val="nil"/>
              <w:left w:val="single" w:sz="8" w:space="0" w:color="auto"/>
              <w:bottom w:val="nil"/>
              <w:right w:val="nil"/>
            </w:tcBorders>
            <w:shd w:val="clear" w:color="000000" w:fill="FFFFFF"/>
            <w:noWrap/>
            <w:vAlign w:val="center"/>
            <w:hideMark/>
          </w:tcPr>
          <w:p w14:paraId="39C12ED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0.89</w:t>
            </w:r>
          </w:p>
        </w:tc>
        <w:tc>
          <w:tcPr>
            <w:tcW w:w="743" w:type="pct"/>
            <w:tcBorders>
              <w:top w:val="nil"/>
              <w:left w:val="nil"/>
              <w:bottom w:val="nil"/>
              <w:right w:val="nil"/>
            </w:tcBorders>
            <w:shd w:val="clear" w:color="000000" w:fill="FFFFFF"/>
            <w:noWrap/>
            <w:vAlign w:val="center"/>
            <w:hideMark/>
          </w:tcPr>
          <w:p w14:paraId="432FDEF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0.70</w:t>
            </w:r>
          </w:p>
        </w:tc>
        <w:tc>
          <w:tcPr>
            <w:tcW w:w="726" w:type="pct"/>
            <w:tcBorders>
              <w:top w:val="nil"/>
              <w:left w:val="nil"/>
              <w:bottom w:val="nil"/>
              <w:right w:val="single" w:sz="8" w:space="0" w:color="auto"/>
            </w:tcBorders>
            <w:shd w:val="clear" w:color="000000" w:fill="FFFFFF"/>
            <w:vAlign w:val="center"/>
          </w:tcPr>
          <w:p w14:paraId="1E89FEF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£34,784</w:t>
            </w:r>
          </w:p>
        </w:tc>
      </w:tr>
      <w:tr w:rsidR="008C3153" w:rsidRPr="00A4278B" w14:paraId="413C8A29"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50E0E66E"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IFS</w:t>
            </w:r>
          </w:p>
        </w:tc>
        <w:tc>
          <w:tcPr>
            <w:tcW w:w="644" w:type="pct"/>
            <w:tcBorders>
              <w:top w:val="nil"/>
              <w:left w:val="single" w:sz="8" w:space="0" w:color="auto"/>
              <w:bottom w:val="nil"/>
              <w:right w:val="nil"/>
            </w:tcBorders>
            <w:shd w:val="clear" w:color="000000" w:fill="FFFFFF"/>
            <w:noWrap/>
            <w:vAlign w:val="center"/>
            <w:hideMark/>
          </w:tcPr>
          <w:p w14:paraId="5EF4DB6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£48,916</w:t>
            </w:r>
          </w:p>
        </w:tc>
        <w:tc>
          <w:tcPr>
            <w:tcW w:w="807" w:type="pct"/>
            <w:tcBorders>
              <w:top w:val="nil"/>
              <w:left w:val="nil"/>
              <w:bottom w:val="nil"/>
              <w:right w:val="single" w:sz="8" w:space="0" w:color="auto"/>
            </w:tcBorders>
            <w:shd w:val="clear" w:color="000000" w:fill="FFFFFF"/>
            <w:noWrap/>
            <w:vAlign w:val="center"/>
            <w:hideMark/>
          </w:tcPr>
          <w:p w14:paraId="72920FA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1.80</w:t>
            </w:r>
          </w:p>
        </w:tc>
        <w:tc>
          <w:tcPr>
            <w:tcW w:w="944" w:type="pct"/>
            <w:tcBorders>
              <w:top w:val="nil"/>
              <w:left w:val="single" w:sz="8" w:space="0" w:color="auto"/>
              <w:bottom w:val="nil"/>
              <w:right w:val="nil"/>
            </w:tcBorders>
            <w:shd w:val="clear" w:color="000000" w:fill="FFFFFF"/>
            <w:noWrap/>
            <w:vAlign w:val="center"/>
            <w:hideMark/>
          </w:tcPr>
          <w:p w14:paraId="686E6E1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0.98</w:t>
            </w:r>
          </w:p>
        </w:tc>
        <w:tc>
          <w:tcPr>
            <w:tcW w:w="743" w:type="pct"/>
            <w:tcBorders>
              <w:top w:val="nil"/>
              <w:left w:val="nil"/>
              <w:bottom w:val="nil"/>
              <w:right w:val="nil"/>
            </w:tcBorders>
            <w:shd w:val="clear" w:color="000000" w:fill="FFFFFF"/>
            <w:noWrap/>
            <w:vAlign w:val="center"/>
            <w:hideMark/>
          </w:tcPr>
          <w:p w14:paraId="6F81BFF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0.82</w:t>
            </w:r>
          </w:p>
        </w:tc>
        <w:tc>
          <w:tcPr>
            <w:tcW w:w="726" w:type="pct"/>
            <w:tcBorders>
              <w:top w:val="nil"/>
              <w:left w:val="nil"/>
              <w:bottom w:val="nil"/>
              <w:right w:val="single" w:sz="8" w:space="0" w:color="auto"/>
            </w:tcBorders>
            <w:shd w:val="clear" w:color="000000" w:fill="FFFFFF"/>
            <w:vAlign w:val="center"/>
          </w:tcPr>
          <w:p w14:paraId="5FAE6A9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£40,859</w:t>
            </w:r>
          </w:p>
        </w:tc>
      </w:tr>
      <w:tr w:rsidR="008C3153" w:rsidRPr="00A4278B" w14:paraId="13B88EB8"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4A8D162B"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Thyroid</w:t>
            </w:r>
          </w:p>
        </w:tc>
        <w:tc>
          <w:tcPr>
            <w:tcW w:w="644" w:type="pct"/>
            <w:tcBorders>
              <w:top w:val="nil"/>
              <w:left w:val="single" w:sz="8" w:space="0" w:color="auto"/>
              <w:bottom w:val="nil"/>
              <w:right w:val="nil"/>
            </w:tcBorders>
            <w:shd w:val="clear" w:color="000000" w:fill="FFFFFF"/>
            <w:noWrap/>
            <w:vAlign w:val="center"/>
            <w:hideMark/>
          </w:tcPr>
          <w:p w14:paraId="2198503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£53,579</w:t>
            </w:r>
          </w:p>
        </w:tc>
        <w:tc>
          <w:tcPr>
            <w:tcW w:w="807" w:type="pct"/>
            <w:tcBorders>
              <w:top w:val="nil"/>
              <w:left w:val="nil"/>
              <w:bottom w:val="nil"/>
              <w:right w:val="single" w:sz="8" w:space="0" w:color="auto"/>
            </w:tcBorders>
            <w:shd w:val="clear" w:color="000000" w:fill="FFFFFF"/>
            <w:noWrap/>
            <w:vAlign w:val="center"/>
            <w:hideMark/>
          </w:tcPr>
          <w:p w14:paraId="6B49B9E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1.76</w:t>
            </w:r>
          </w:p>
        </w:tc>
        <w:tc>
          <w:tcPr>
            <w:tcW w:w="944" w:type="pct"/>
            <w:tcBorders>
              <w:top w:val="nil"/>
              <w:left w:val="single" w:sz="8" w:space="0" w:color="auto"/>
              <w:bottom w:val="nil"/>
              <w:right w:val="nil"/>
            </w:tcBorders>
            <w:shd w:val="clear" w:color="000000" w:fill="FFFFFF"/>
            <w:noWrap/>
            <w:vAlign w:val="center"/>
            <w:hideMark/>
          </w:tcPr>
          <w:p w14:paraId="066D92B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1.07</w:t>
            </w:r>
          </w:p>
        </w:tc>
        <w:tc>
          <w:tcPr>
            <w:tcW w:w="743" w:type="pct"/>
            <w:tcBorders>
              <w:top w:val="nil"/>
              <w:left w:val="nil"/>
              <w:bottom w:val="nil"/>
              <w:right w:val="nil"/>
            </w:tcBorders>
            <w:shd w:val="clear" w:color="000000" w:fill="FFFFFF"/>
            <w:noWrap/>
            <w:vAlign w:val="center"/>
            <w:hideMark/>
          </w:tcPr>
          <w:p w14:paraId="34A10D3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0.69</w:t>
            </w:r>
          </w:p>
        </w:tc>
        <w:tc>
          <w:tcPr>
            <w:tcW w:w="726" w:type="pct"/>
            <w:tcBorders>
              <w:top w:val="nil"/>
              <w:left w:val="nil"/>
              <w:bottom w:val="nil"/>
              <w:right w:val="single" w:sz="8" w:space="0" w:color="auto"/>
            </w:tcBorders>
            <w:shd w:val="clear" w:color="000000" w:fill="FFFFFF"/>
            <w:vAlign w:val="center"/>
          </w:tcPr>
          <w:p w14:paraId="2185591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£34,539</w:t>
            </w:r>
          </w:p>
        </w:tc>
      </w:tr>
      <w:tr w:rsidR="008C3153" w:rsidRPr="00A4278B" w14:paraId="35DA1ABF"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2A47F2E0"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Lung</w:t>
            </w:r>
          </w:p>
        </w:tc>
        <w:tc>
          <w:tcPr>
            <w:tcW w:w="644" w:type="pct"/>
            <w:tcBorders>
              <w:top w:val="nil"/>
              <w:left w:val="single" w:sz="8" w:space="0" w:color="auto"/>
              <w:bottom w:val="nil"/>
              <w:right w:val="nil"/>
            </w:tcBorders>
            <w:shd w:val="clear" w:color="000000" w:fill="FFFFFF"/>
            <w:noWrap/>
            <w:vAlign w:val="center"/>
            <w:hideMark/>
          </w:tcPr>
          <w:p w14:paraId="253D408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£96,117</w:t>
            </w:r>
          </w:p>
        </w:tc>
        <w:tc>
          <w:tcPr>
            <w:tcW w:w="807" w:type="pct"/>
            <w:tcBorders>
              <w:top w:val="nil"/>
              <w:left w:val="nil"/>
              <w:bottom w:val="nil"/>
              <w:right w:val="single" w:sz="8" w:space="0" w:color="auto"/>
            </w:tcBorders>
            <w:shd w:val="clear" w:color="000000" w:fill="FFFFFF"/>
            <w:noWrap/>
            <w:vAlign w:val="center"/>
            <w:hideMark/>
          </w:tcPr>
          <w:p w14:paraId="39E1945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1.41</w:t>
            </w:r>
          </w:p>
        </w:tc>
        <w:tc>
          <w:tcPr>
            <w:tcW w:w="944" w:type="pct"/>
            <w:tcBorders>
              <w:top w:val="nil"/>
              <w:left w:val="single" w:sz="8" w:space="0" w:color="auto"/>
              <w:bottom w:val="nil"/>
              <w:right w:val="nil"/>
            </w:tcBorders>
            <w:shd w:val="clear" w:color="000000" w:fill="FFFFFF"/>
            <w:noWrap/>
            <w:vAlign w:val="center"/>
            <w:hideMark/>
          </w:tcPr>
          <w:p w14:paraId="1E04E63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1.92</w:t>
            </w:r>
          </w:p>
        </w:tc>
        <w:tc>
          <w:tcPr>
            <w:tcW w:w="743" w:type="pct"/>
            <w:tcBorders>
              <w:top w:val="nil"/>
              <w:left w:val="nil"/>
              <w:bottom w:val="nil"/>
              <w:right w:val="nil"/>
            </w:tcBorders>
            <w:shd w:val="clear" w:color="000000" w:fill="FFFFFF"/>
            <w:noWrap/>
            <w:vAlign w:val="center"/>
            <w:hideMark/>
          </w:tcPr>
          <w:p w14:paraId="3D0165B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-0.51</w:t>
            </w:r>
          </w:p>
        </w:tc>
        <w:tc>
          <w:tcPr>
            <w:tcW w:w="726" w:type="pct"/>
            <w:tcBorders>
              <w:top w:val="nil"/>
              <w:left w:val="nil"/>
              <w:bottom w:val="nil"/>
              <w:right w:val="single" w:sz="8" w:space="0" w:color="auto"/>
            </w:tcBorders>
            <w:shd w:val="clear" w:color="000000" w:fill="FFFFFF"/>
            <w:vAlign w:val="center"/>
          </w:tcPr>
          <w:p w14:paraId="79A7CFC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-£25,505</w:t>
            </w:r>
          </w:p>
        </w:tc>
      </w:tr>
      <w:tr w:rsidR="008C3153" w:rsidRPr="00A4278B" w14:paraId="496EE9EC"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0B40E024"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Melanoma</w:t>
            </w:r>
          </w:p>
        </w:tc>
        <w:tc>
          <w:tcPr>
            <w:tcW w:w="644" w:type="pct"/>
            <w:tcBorders>
              <w:top w:val="nil"/>
              <w:left w:val="single" w:sz="8" w:space="0" w:color="auto"/>
              <w:bottom w:val="nil"/>
              <w:right w:val="nil"/>
            </w:tcBorders>
            <w:shd w:val="clear" w:color="000000" w:fill="FFFFFF"/>
            <w:noWrap/>
            <w:vAlign w:val="center"/>
            <w:hideMark/>
          </w:tcPr>
          <w:p w14:paraId="52E374E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£56,302</w:t>
            </w:r>
          </w:p>
        </w:tc>
        <w:tc>
          <w:tcPr>
            <w:tcW w:w="807" w:type="pct"/>
            <w:tcBorders>
              <w:top w:val="nil"/>
              <w:left w:val="nil"/>
              <w:bottom w:val="nil"/>
              <w:right w:val="single" w:sz="8" w:space="0" w:color="auto"/>
            </w:tcBorders>
            <w:shd w:val="clear" w:color="000000" w:fill="FFFFFF"/>
            <w:noWrap/>
            <w:vAlign w:val="center"/>
            <w:hideMark/>
          </w:tcPr>
          <w:p w14:paraId="7B07D79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1.04</w:t>
            </w:r>
          </w:p>
        </w:tc>
        <w:tc>
          <w:tcPr>
            <w:tcW w:w="944" w:type="pct"/>
            <w:tcBorders>
              <w:top w:val="nil"/>
              <w:left w:val="single" w:sz="8" w:space="0" w:color="auto"/>
              <w:bottom w:val="nil"/>
              <w:right w:val="nil"/>
            </w:tcBorders>
            <w:shd w:val="clear" w:color="000000" w:fill="FFFFFF"/>
            <w:noWrap/>
            <w:vAlign w:val="center"/>
            <w:hideMark/>
          </w:tcPr>
          <w:p w14:paraId="76E6C5B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1.13</w:t>
            </w:r>
          </w:p>
        </w:tc>
        <w:tc>
          <w:tcPr>
            <w:tcW w:w="743" w:type="pct"/>
            <w:tcBorders>
              <w:top w:val="nil"/>
              <w:left w:val="nil"/>
              <w:bottom w:val="nil"/>
              <w:right w:val="nil"/>
            </w:tcBorders>
            <w:shd w:val="clear" w:color="000000" w:fill="FFFFFF"/>
            <w:noWrap/>
            <w:vAlign w:val="center"/>
            <w:hideMark/>
          </w:tcPr>
          <w:p w14:paraId="0E3C2C7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-0.09</w:t>
            </w:r>
          </w:p>
        </w:tc>
        <w:tc>
          <w:tcPr>
            <w:tcW w:w="726" w:type="pct"/>
            <w:tcBorders>
              <w:top w:val="nil"/>
              <w:left w:val="nil"/>
              <w:bottom w:val="nil"/>
              <w:right w:val="single" w:sz="8" w:space="0" w:color="auto"/>
            </w:tcBorders>
            <w:shd w:val="clear" w:color="000000" w:fill="FFFFFF"/>
            <w:vAlign w:val="center"/>
          </w:tcPr>
          <w:p w14:paraId="3581A39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-£4,342</w:t>
            </w:r>
          </w:p>
        </w:tc>
      </w:tr>
      <w:tr w:rsidR="008C3153" w:rsidRPr="00A4278B" w14:paraId="0DA4CFE8"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3F10D06F"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Colon</w:t>
            </w:r>
          </w:p>
        </w:tc>
        <w:tc>
          <w:tcPr>
            <w:tcW w:w="644" w:type="pct"/>
            <w:tcBorders>
              <w:top w:val="nil"/>
              <w:left w:val="single" w:sz="8" w:space="0" w:color="auto"/>
              <w:bottom w:val="nil"/>
              <w:right w:val="nil"/>
            </w:tcBorders>
            <w:shd w:val="clear" w:color="000000" w:fill="FFFFFF"/>
            <w:noWrap/>
            <w:vAlign w:val="center"/>
            <w:hideMark/>
          </w:tcPr>
          <w:p w14:paraId="03191A0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£65,863</w:t>
            </w:r>
          </w:p>
        </w:tc>
        <w:tc>
          <w:tcPr>
            <w:tcW w:w="807" w:type="pct"/>
            <w:tcBorders>
              <w:top w:val="nil"/>
              <w:left w:val="nil"/>
              <w:bottom w:val="nil"/>
              <w:right w:val="single" w:sz="8" w:space="0" w:color="auto"/>
            </w:tcBorders>
            <w:shd w:val="clear" w:color="000000" w:fill="FFFFFF"/>
            <w:noWrap/>
            <w:vAlign w:val="center"/>
            <w:hideMark/>
          </w:tcPr>
          <w:p w14:paraId="7508410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0.66</w:t>
            </w:r>
          </w:p>
        </w:tc>
        <w:tc>
          <w:tcPr>
            <w:tcW w:w="944" w:type="pct"/>
            <w:tcBorders>
              <w:top w:val="nil"/>
              <w:left w:val="single" w:sz="8" w:space="0" w:color="auto"/>
              <w:bottom w:val="nil"/>
              <w:right w:val="nil"/>
            </w:tcBorders>
            <w:shd w:val="clear" w:color="000000" w:fill="FFFFFF"/>
            <w:noWrap/>
            <w:vAlign w:val="center"/>
            <w:hideMark/>
          </w:tcPr>
          <w:p w14:paraId="58B2A1A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1.32</w:t>
            </w:r>
          </w:p>
        </w:tc>
        <w:tc>
          <w:tcPr>
            <w:tcW w:w="743" w:type="pct"/>
            <w:tcBorders>
              <w:top w:val="nil"/>
              <w:left w:val="nil"/>
              <w:bottom w:val="nil"/>
              <w:right w:val="nil"/>
            </w:tcBorders>
            <w:shd w:val="clear" w:color="000000" w:fill="FFFFFF"/>
            <w:noWrap/>
            <w:vAlign w:val="center"/>
            <w:hideMark/>
          </w:tcPr>
          <w:p w14:paraId="57EF550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-0.66</w:t>
            </w:r>
          </w:p>
        </w:tc>
        <w:tc>
          <w:tcPr>
            <w:tcW w:w="726" w:type="pct"/>
            <w:tcBorders>
              <w:top w:val="nil"/>
              <w:left w:val="nil"/>
              <w:bottom w:val="nil"/>
              <w:right w:val="single" w:sz="8" w:space="0" w:color="auto"/>
            </w:tcBorders>
            <w:shd w:val="clear" w:color="000000" w:fill="FFFFFF"/>
            <w:vAlign w:val="center"/>
          </w:tcPr>
          <w:p w14:paraId="139D1E6C"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-£33,039</w:t>
            </w:r>
          </w:p>
        </w:tc>
      </w:tr>
      <w:tr w:rsidR="008C3153" w:rsidRPr="00A4278B" w14:paraId="7945A6F3"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06C8B361"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GIST</w:t>
            </w:r>
          </w:p>
        </w:tc>
        <w:tc>
          <w:tcPr>
            <w:tcW w:w="644" w:type="pct"/>
            <w:tcBorders>
              <w:top w:val="nil"/>
              <w:left w:val="single" w:sz="8" w:space="0" w:color="auto"/>
              <w:bottom w:val="nil"/>
              <w:right w:val="nil"/>
            </w:tcBorders>
            <w:shd w:val="clear" w:color="000000" w:fill="FFFFFF"/>
            <w:noWrap/>
            <w:vAlign w:val="center"/>
            <w:hideMark/>
          </w:tcPr>
          <w:p w14:paraId="5C96374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£50,670</w:t>
            </w:r>
          </w:p>
        </w:tc>
        <w:tc>
          <w:tcPr>
            <w:tcW w:w="807" w:type="pct"/>
            <w:tcBorders>
              <w:top w:val="nil"/>
              <w:left w:val="nil"/>
              <w:bottom w:val="nil"/>
              <w:right w:val="single" w:sz="8" w:space="0" w:color="auto"/>
            </w:tcBorders>
            <w:shd w:val="clear" w:color="000000" w:fill="FFFFFF"/>
            <w:noWrap/>
            <w:vAlign w:val="center"/>
            <w:hideMark/>
          </w:tcPr>
          <w:p w14:paraId="09D36AA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1.70</w:t>
            </w:r>
          </w:p>
        </w:tc>
        <w:tc>
          <w:tcPr>
            <w:tcW w:w="944" w:type="pct"/>
            <w:tcBorders>
              <w:top w:val="nil"/>
              <w:left w:val="single" w:sz="8" w:space="0" w:color="auto"/>
              <w:bottom w:val="nil"/>
              <w:right w:val="nil"/>
            </w:tcBorders>
            <w:shd w:val="clear" w:color="000000" w:fill="FFFFFF"/>
            <w:noWrap/>
            <w:vAlign w:val="center"/>
            <w:hideMark/>
          </w:tcPr>
          <w:p w14:paraId="0EAE28B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1.01</w:t>
            </w:r>
          </w:p>
        </w:tc>
        <w:tc>
          <w:tcPr>
            <w:tcW w:w="743" w:type="pct"/>
            <w:tcBorders>
              <w:top w:val="nil"/>
              <w:left w:val="nil"/>
              <w:bottom w:val="nil"/>
              <w:right w:val="nil"/>
            </w:tcBorders>
            <w:shd w:val="clear" w:color="000000" w:fill="FFFFFF"/>
            <w:noWrap/>
            <w:vAlign w:val="center"/>
            <w:hideMark/>
          </w:tcPr>
          <w:p w14:paraId="4A5C8484"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0.68</w:t>
            </w:r>
          </w:p>
        </w:tc>
        <w:tc>
          <w:tcPr>
            <w:tcW w:w="726" w:type="pct"/>
            <w:tcBorders>
              <w:top w:val="nil"/>
              <w:left w:val="nil"/>
              <w:bottom w:val="nil"/>
              <w:right w:val="single" w:sz="8" w:space="0" w:color="auto"/>
            </w:tcBorders>
            <w:shd w:val="clear" w:color="000000" w:fill="FFFFFF"/>
            <w:vAlign w:val="center"/>
          </w:tcPr>
          <w:p w14:paraId="5A5490D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£34,245</w:t>
            </w:r>
          </w:p>
        </w:tc>
      </w:tr>
      <w:tr w:rsidR="008C3153" w:rsidRPr="00A4278B" w14:paraId="3DE26C46"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0022BB7B"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Cholangiocarcinoma</w:t>
            </w:r>
          </w:p>
        </w:tc>
        <w:tc>
          <w:tcPr>
            <w:tcW w:w="644" w:type="pct"/>
            <w:tcBorders>
              <w:top w:val="nil"/>
              <w:left w:val="single" w:sz="8" w:space="0" w:color="auto"/>
              <w:bottom w:val="nil"/>
              <w:right w:val="nil"/>
            </w:tcBorders>
            <w:shd w:val="clear" w:color="000000" w:fill="FFFFFF"/>
            <w:noWrap/>
            <w:vAlign w:val="center"/>
            <w:hideMark/>
          </w:tcPr>
          <w:p w14:paraId="4F7F134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£69,791</w:t>
            </w:r>
          </w:p>
        </w:tc>
        <w:tc>
          <w:tcPr>
            <w:tcW w:w="807" w:type="pct"/>
            <w:tcBorders>
              <w:top w:val="nil"/>
              <w:left w:val="nil"/>
              <w:bottom w:val="nil"/>
              <w:right w:val="single" w:sz="8" w:space="0" w:color="auto"/>
            </w:tcBorders>
            <w:shd w:val="clear" w:color="000000" w:fill="FFFFFF"/>
            <w:noWrap/>
            <w:vAlign w:val="center"/>
            <w:hideMark/>
          </w:tcPr>
          <w:p w14:paraId="59129FF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0.45</w:t>
            </w:r>
          </w:p>
        </w:tc>
        <w:tc>
          <w:tcPr>
            <w:tcW w:w="944" w:type="pct"/>
            <w:tcBorders>
              <w:top w:val="nil"/>
              <w:left w:val="single" w:sz="8" w:space="0" w:color="auto"/>
              <w:bottom w:val="nil"/>
              <w:right w:val="nil"/>
            </w:tcBorders>
            <w:shd w:val="clear" w:color="000000" w:fill="FFFFFF"/>
            <w:noWrap/>
            <w:vAlign w:val="center"/>
            <w:hideMark/>
          </w:tcPr>
          <w:p w14:paraId="3A8EEE64"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1.40</w:t>
            </w:r>
          </w:p>
        </w:tc>
        <w:tc>
          <w:tcPr>
            <w:tcW w:w="743" w:type="pct"/>
            <w:tcBorders>
              <w:top w:val="nil"/>
              <w:left w:val="nil"/>
              <w:bottom w:val="nil"/>
              <w:right w:val="nil"/>
            </w:tcBorders>
            <w:shd w:val="clear" w:color="000000" w:fill="FFFFFF"/>
            <w:noWrap/>
            <w:vAlign w:val="center"/>
            <w:hideMark/>
          </w:tcPr>
          <w:p w14:paraId="185C464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-0.94</w:t>
            </w:r>
          </w:p>
        </w:tc>
        <w:tc>
          <w:tcPr>
            <w:tcW w:w="726" w:type="pct"/>
            <w:tcBorders>
              <w:top w:val="nil"/>
              <w:left w:val="nil"/>
              <w:bottom w:val="nil"/>
              <w:right w:val="single" w:sz="8" w:space="0" w:color="auto"/>
            </w:tcBorders>
            <w:shd w:val="clear" w:color="000000" w:fill="FFFFFF"/>
            <w:vAlign w:val="center"/>
          </w:tcPr>
          <w:p w14:paraId="26FFC98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-£47,125</w:t>
            </w:r>
          </w:p>
        </w:tc>
      </w:tr>
      <w:tr w:rsidR="008C3153" w:rsidRPr="00A4278B" w14:paraId="48ADF41D"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3260906C"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Appendix</w:t>
            </w:r>
          </w:p>
        </w:tc>
        <w:tc>
          <w:tcPr>
            <w:tcW w:w="644" w:type="pct"/>
            <w:tcBorders>
              <w:top w:val="nil"/>
              <w:left w:val="single" w:sz="8" w:space="0" w:color="auto"/>
              <w:bottom w:val="nil"/>
              <w:right w:val="nil"/>
            </w:tcBorders>
            <w:shd w:val="clear" w:color="000000" w:fill="FFFFFF"/>
            <w:noWrap/>
            <w:vAlign w:val="center"/>
            <w:hideMark/>
          </w:tcPr>
          <w:p w14:paraId="3D9154A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£24,552</w:t>
            </w:r>
          </w:p>
        </w:tc>
        <w:tc>
          <w:tcPr>
            <w:tcW w:w="807" w:type="pct"/>
            <w:tcBorders>
              <w:top w:val="nil"/>
              <w:left w:val="nil"/>
              <w:bottom w:val="nil"/>
              <w:right w:val="single" w:sz="8" w:space="0" w:color="auto"/>
            </w:tcBorders>
            <w:shd w:val="clear" w:color="000000" w:fill="FFFFFF"/>
            <w:noWrap/>
            <w:vAlign w:val="center"/>
            <w:hideMark/>
          </w:tcPr>
          <w:p w14:paraId="0B69673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0.62</w:t>
            </w:r>
          </w:p>
        </w:tc>
        <w:tc>
          <w:tcPr>
            <w:tcW w:w="944" w:type="pct"/>
            <w:tcBorders>
              <w:top w:val="nil"/>
              <w:left w:val="single" w:sz="8" w:space="0" w:color="auto"/>
              <w:bottom w:val="nil"/>
              <w:right w:val="nil"/>
            </w:tcBorders>
            <w:shd w:val="clear" w:color="000000" w:fill="FFFFFF"/>
            <w:noWrap/>
            <w:vAlign w:val="center"/>
            <w:hideMark/>
          </w:tcPr>
          <w:p w14:paraId="65A91C3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0.49</w:t>
            </w:r>
          </w:p>
        </w:tc>
        <w:tc>
          <w:tcPr>
            <w:tcW w:w="743" w:type="pct"/>
            <w:tcBorders>
              <w:top w:val="nil"/>
              <w:left w:val="nil"/>
              <w:bottom w:val="nil"/>
              <w:right w:val="nil"/>
            </w:tcBorders>
            <w:shd w:val="clear" w:color="000000" w:fill="FFFFFF"/>
            <w:noWrap/>
            <w:vAlign w:val="center"/>
            <w:hideMark/>
          </w:tcPr>
          <w:p w14:paraId="23AD550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0.12</w:t>
            </w:r>
          </w:p>
        </w:tc>
        <w:tc>
          <w:tcPr>
            <w:tcW w:w="726" w:type="pct"/>
            <w:tcBorders>
              <w:top w:val="nil"/>
              <w:left w:val="nil"/>
              <w:bottom w:val="nil"/>
              <w:right w:val="single" w:sz="8" w:space="0" w:color="auto"/>
            </w:tcBorders>
            <w:shd w:val="clear" w:color="000000" w:fill="FFFFFF"/>
            <w:vAlign w:val="center"/>
          </w:tcPr>
          <w:p w14:paraId="4BA3097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£6,223</w:t>
            </w:r>
          </w:p>
        </w:tc>
      </w:tr>
      <w:tr w:rsidR="008C3153" w:rsidRPr="00A4278B" w14:paraId="0DB6B975" w14:textId="77777777" w:rsidTr="00AB705A">
        <w:trPr>
          <w:trHeight w:val="300"/>
        </w:trPr>
        <w:tc>
          <w:tcPr>
            <w:tcW w:w="1135" w:type="pct"/>
            <w:tcBorders>
              <w:top w:val="nil"/>
              <w:left w:val="single" w:sz="8" w:space="0" w:color="auto"/>
              <w:bottom w:val="nil"/>
              <w:right w:val="single" w:sz="8" w:space="0" w:color="auto"/>
            </w:tcBorders>
            <w:shd w:val="clear" w:color="000000" w:fill="FFFFFF"/>
            <w:noWrap/>
            <w:vAlign w:val="center"/>
            <w:hideMark/>
          </w:tcPr>
          <w:p w14:paraId="547AE1FD"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Breast</w:t>
            </w:r>
          </w:p>
        </w:tc>
        <w:tc>
          <w:tcPr>
            <w:tcW w:w="644" w:type="pct"/>
            <w:tcBorders>
              <w:top w:val="nil"/>
              <w:left w:val="single" w:sz="8" w:space="0" w:color="auto"/>
              <w:bottom w:val="nil"/>
              <w:right w:val="nil"/>
            </w:tcBorders>
            <w:shd w:val="clear" w:color="000000" w:fill="FFFFFF"/>
            <w:noWrap/>
            <w:vAlign w:val="center"/>
            <w:hideMark/>
          </w:tcPr>
          <w:p w14:paraId="093C7E8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£94,725</w:t>
            </w:r>
          </w:p>
        </w:tc>
        <w:tc>
          <w:tcPr>
            <w:tcW w:w="807" w:type="pct"/>
            <w:tcBorders>
              <w:top w:val="nil"/>
              <w:left w:val="nil"/>
              <w:bottom w:val="nil"/>
              <w:right w:val="single" w:sz="8" w:space="0" w:color="auto"/>
            </w:tcBorders>
            <w:shd w:val="clear" w:color="000000" w:fill="FFFFFF"/>
            <w:noWrap/>
            <w:vAlign w:val="center"/>
            <w:hideMark/>
          </w:tcPr>
          <w:p w14:paraId="70CDDB4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0.62</w:t>
            </w:r>
          </w:p>
        </w:tc>
        <w:tc>
          <w:tcPr>
            <w:tcW w:w="944" w:type="pct"/>
            <w:tcBorders>
              <w:top w:val="nil"/>
              <w:left w:val="single" w:sz="8" w:space="0" w:color="auto"/>
              <w:bottom w:val="nil"/>
              <w:right w:val="nil"/>
            </w:tcBorders>
            <w:shd w:val="clear" w:color="000000" w:fill="FFFFFF"/>
            <w:noWrap/>
            <w:vAlign w:val="center"/>
            <w:hideMark/>
          </w:tcPr>
          <w:p w14:paraId="2462FAE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1.89</w:t>
            </w:r>
          </w:p>
        </w:tc>
        <w:tc>
          <w:tcPr>
            <w:tcW w:w="743" w:type="pct"/>
            <w:tcBorders>
              <w:top w:val="nil"/>
              <w:left w:val="nil"/>
              <w:bottom w:val="nil"/>
              <w:right w:val="nil"/>
            </w:tcBorders>
            <w:shd w:val="clear" w:color="000000" w:fill="FFFFFF"/>
            <w:noWrap/>
            <w:vAlign w:val="center"/>
            <w:hideMark/>
          </w:tcPr>
          <w:p w14:paraId="0440595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-1.28</w:t>
            </w:r>
          </w:p>
        </w:tc>
        <w:tc>
          <w:tcPr>
            <w:tcW w:w="726" w:type="pct"/>
            <w:tcBorders>
              <w:top w:val="nil"/>
              <w:left w:val="nil"/>
              <w:bottom w:val="nil"/>
              <w:right w:val="single" w:sz="8" w:space="0" w:color="auto"/>
            </w:tcBorders>
            <w:shd w:val="clear" w:color="000000" w:fill="FFFFFF"/>
            <w:vAlign w:val="center"/>
          </w:tcPr>
          <w:p w14:paraId="33B04E4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cs="Times New Roman"/>
                <w:color w:val="000000"/>
                <w:sz w:val="20"/>
                <w:szCs w:val="20"/>
              </w:rPr>
              <w:t>-£63,961</w:t>
            </w:r>
          </w:p>
        </w:tc>
      </w:tr>
      <w:tr w:rsidR="008C3153" w:rsidRPr="00A4278B" w14:paraId="3EB9AB5D" w14:textId="77777777" w:rsidTr="00AB705A">
        <w:trPr>
          <w:trHeight w:val="315"/>
        </w:trPr>
        <w:tc>
          <w:tcPr>
            <w:tcW w:w="1135" w:type="pct"/>
            <w:tcBorders>
              <w:top w:val="nil"/>
              <w:left w:val="single" w:sz="8" w:space="0" w:color="auto"/>
              <w:bottom w:val="single" w:sz="8" w:space="0" w:color="auto"/>
              <w:right w:val="single" w:sz="8" w:space="0" w:color="auto"/>
            </w:tcBorders>
            <w:shd w:val="clear" w:color="000000" w:fill="FFFFFF"/>
            <w:noWrap/>
            <w:vAlign w:val="center"/>
            <w:hideMark/>
          </w:tcPr>
          <w:p w14:paraId="35F56691"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Pancreas</w:t>
            </w:r>
          </w:p>
        </w:tc>
        <w:tc>
          <w:tcPr>
            <w:tcW w:w="644" w:type="pct"/>
            <w:tcBorders>
              <w:top w:val="nil"/>
              <w:left w:val="single" w:sz="8" w:space="0" w:color="auto"/>
              <w:bottom w:val="single" w:sz="8" w:space="0" w:color="auto"/>
              <w:right w:val="nil"/>
            </w:tcBorders>
            <w:shd w:val="clear" w:color="000000" w:fill="FFFFFF"/>
            <w:noWrap/>
            <w:vAlign w:val="center"/>
            <w:hideMark/>
          </w:tcPr>
          <w:p w14:paraId="226C90D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£94,709</w:t>
            </w:r>
          </w:p>
        </w:tc>
        <w:tc>
          <w:tcPr>
            <w:tcW w:w="807" w:type="pct"/>
            <w:tcBorders>
              <w:top w:val="nil"/>
              <w:left w:val="nil"/>
              <w:bottom w:val="single" w:sz="8" w:space="0" w:color="auto"/>
              <w:right w:val="single" w:sz="8" w:space="0" w:color="auto"/>
            </w:tcBorders>
            <w:shd w:val="clear" w:color="000000" w:fill="FFFFFF"/>
            <w:noWrap/>
            <w:vAlign w:val="center"/>
            <w:hideMark/>
          </w:tcPr>
          <w:p w14:paraId="39FD122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0.61</w:t>
            </w:r>
          </w:p>
        </w:tc>
        <w:tc>
          <w:tcPr>
            <w:tcW w:w="944" w:type="pct"/>
            <w:tcBorders>
              <w:top w:val="nil"/>
              <w:left w:val="single" w:sz="8" w:space="0" w:color="auto"/>
              <w:bottom w:val="single" w:sz="8" w:space="0" w:color="auto"/>
              <w:right w:val="nil"/>
            </w:tcBorders>
            <w:shd w:val="clear" w:color="000000" w:fill="FFFFFF"/>
            <w:noWrap/>
            <w:vAlign w:val="center"/>
            <w:hideMark/>
          </w:tcPr>
          <w:p w14:paraId="3CADFC5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1.89</w:t>
            </w:r>
          </w:p>
        </w:tc>
        <w:tc>
          <w:tcPr>
            <w:tcW w:w="743" w:type="pct"/>
            <w:tcBorders>
              <w:top w:val="nil"/>
              <w:left w:val="nil"/>
              <w:bottom w:val="single" w:sz="8" w:space="0" w:color="auto"/>
              <w:right w:val="nil"/>
            </w:tcBorders>
            <w:shd w:val="clear" w:color="000000" w:fill="FFFFFF"/>
            <w:noWrap/>
            <w:vAlign w:val="center"/>
            <w:hideMark/>
          </w:tcPr>
          <w:p w14:paraId="79B5985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-1.28</w:t>
            </w:r>
          </w:p>
        </w:tc>
        <w:tc>
          <w:tcPr>
            <w:tcW w:w="726" w:type="pct"/>
            <w:tcBorders>
              <w:top w:val="nil"/>
              <w:left w:val="nil"/>
              <w:bottom w:val="single" w:sz="8" w:space="0" w:color="auto"/>
              <w:right w:val="single" w:sz="8" w:space="0" w:color="auto"/>
            </w:tcBorders>
            <w:shd w:val="clear" w:color="000000" w:fill="FFFFFF"/>
          </w:tcPr>
          <w:p w14:paraId="46A18D6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-£64,020</w:t>
            </w:r>
          </w:p>
        </w:tc>
      </w:tr>
    </w:tbl>
    <w:p w14:paraId="66B31FE8" w14:textId="77777777" w:rsidR="00A4278B" w:rsidRDefault="00A4278B" w:rsidP="008C3153"/>
    <w:p w14:paraId="54D33E45" w14:textId="21C931DB" w:rsidR="008C3153" w:rsidRPr="00D35FBC" w:rsidRDefault="008C3153" w:rsidP="008C3153">
      <w:r>
        <w:t>For sarcoma, the additional per patient costs of £55,772 can be represented as</w:t>
      </w:r>
      <w:r w:rsidRPr="00D35FBC">
        <w:t xml:space="preserve"> </w:t>
      </w:r>
      <w:r>
        <w:t xml:space="preserve">1.12 </w:t>
      </w:r>
      <w:r w:rsidRPr="00D35FBC">
        <w:t>QALYs</w:t>
      </w:r>
      <w:r w:rsidR="000D3D7F">
        <w:t xml:space="preserve"> (in NMB terms </w:t>
      </w:r>
      <w:r w:rsidR="000D3D7F">
        <w:rPr>
          <w:rFonts w:cs="Times New Roman"/>
        </w:rPr>
        <w:t>≈</w:t>
      </w:r>
      <w:r w:rsidR="000B74BE">
        <w:t xml:space="preserve"> £55,572/£50,000)</w:t>
      </w:r>
      <w:r w:rsidR="00DD63AF">
        <w:t xml:space="preserve"> in health foregone elsewhere in the health system</w:t>
      </w:r>
      <w:r>
        <w:t>,</w:t>
      </w:r>
      <w:r w:rsidRPr="00D35FBC">
        <w:t xml:space="preserve"> </w:t>
      </w:r>
      <w:r>
        <w:t xml:space="preserve">based on a </w:t>
      </w:r>
      <w:r w:rsidR="007C7729">
        <w:t xml:space="preserve">NICE </w:t>
      </w:r>
      <w:r w:rsidRPr="00D35FBC">
        <w:t>threshold of £50,00</w:t>
      </w:r>
      <w:r>
        <w:t xml:space="preserve">0 per </w:t>
      </w:r>
      <w:r w:rsidRPr="00D35FBC">
        <w:t>QALY.</w:t>
      </w:r>
      <w:r>
        <w:t xml:space="preserve"> This can then be compared to the additional benefits of 1.7</w:t>
      </w:r>
      <w:r w:rsidRPr="00D35FBC">
        <w:t xml:space="preserve"> </w:t>
      </w:r>
      <w:r>
        <w:t>QALYs, resulting in a</w:t>
      </w:r>
      <w:r w:rsidR="007C7729">
        <w:t xml:space="preserve">n overall </w:t>
      </w:r>
      <w:r>
        <w:t xml:space="preserve">positive NHB of </w:t>
      </w:r>
      <w:r w:rsidR="000D3D7F">
        <w:t xml:space="preserve">approximately </w:t>
      </w:r>
      <w:r>
        <w:t>0.59</w:t>
      </w:r>
      <w:r w:rsidRPr="00D35FBC">
        <w:t xml:space="preserve"> QALYs </w:t>
      </w:r>
      <w:r w:rsidR="000D3D7F">
        <w:t>(</w:t>
      </w:r>
      <w:r w:rsidR="000D3D7F">
        <w:rPr>
          <w:rFonts w:cs="Times New Roman"/>
        </w:rPr>
        <w:t>≈</w:t>
      </w:r>
      <w:r w:rsidR="000B74BE">
        <w:t xml:space="preserve">1.7-1.12 QALYs) </w:t>
      </w:r>
      <w:r w:rsidRPr="00D35FBC">
        <w:t xml:space="preserve">per person treated in this histology. </w:t>
      </w:r>
      <w:r>
        <w:t>Hence, for each sarcoma patient treated with Drug X, the overall gain to the health system is expected to be 0.59 QALYs</w:t>
      </w:r>
      <w:r w:rsidR="007C7729">
        <w:t xml:space="preserve"> per annum</w:t>
      </w:r>
      <w:r>
        <w:t xml:space="preserve">. </w:t>
      </w:r>
      <w:r w:rsidRPr="00D35FBC">
        <w:t xml:space="preserve">However, for </w:t>
      </w:r>
      <w:r w:rsidR="000B74BE">
        <w:t xml:space="preserve">certain </w:t>
      </w:r>
      <w:r>
        <w:t xml:space="preserve">other histologies (e.g. </w:t>
      </w:r>
      <w:r>
        <w:lastRenderedPageBreak/>
        <w:t>colon)</w:t>
      </w:r>
      <w:r w:rsidRPr="00D35FBC">
        <w:t xml:space="preserve">, the additional health gained with </w:t>
      </w:r>
      <w:r w:rsidR="007C7729">
        <w:t>Drug X</w:t>
      </w:r>
      <w:r w:rsidRPr="00D35FBC">
        <w:t xml:space="preserve"> is more than offset by health forgone elsewhere. This means that for every</w:t>
      </w:r>
      <w:r>
        <w:t xml:space="preserve"> colon cancer</w:t>
      </w:r>
      <w:r w:rsidRPr="00D35FBC">
        <w:t xml:space="preserve"> patient who receives </w:t>
      </w:r>
      <w:r>
        <w:t>Drug X</w:t>
      </w:r>
      <w:r w:rsidR="000B74BE">
        <w:t>,</w:t>
      </w:r>
      <w:r w:rsidRPr="00D35FBC">
        <w:t xml:space="preserve"> </w:t>
      </w:r>
      <w:r>
        <w:t>it is expected that 0.66</w:t>
      </w:r>
      <w:r w:rsidRPr="00D35FBC">
        <w:t xml:space="preserve"> QALYs </w:t>
      </w:r>
      <w:r>
        <w:t>will</w:t>
      </w:r>
      <w:r w:rsidRPr="00D35FBC">
        <w:t xml:space="preserve"> be lost </w:t>
      </w:r>
      <w:r>
        <w:t xml:space="preserve">per annum </w:t>
      </w:r>
      <w:r w:rsidRPr="00D35FBC">
        <w:t xml:space="preserve">elsewhere in the health system. </w:t>
      </w:r>
    </w:p>
    <w:p w14:paraId="4708D16E" w14:textId="305B088C" w:rsidR="008C3153" w:rsidRPr="00D35FBC" w:rsidRDefault="008C3153" w:rsidP="008C3153">
      <w:r w:rsidRPr="00D35FBC">
        <w:t xml:space="preserve">The advantage of </w:t>
      </w:r>
      <w:r>
        <w:t>NHBs and NMBs</w:t>
      </w:r>
      <w:r w:rsidRPr="00D35FBC">
        <w:t xml:space="preserve"> is that they can be used to help understand the population level consequences of </w:t>
      </w:r>
      <w:r>
        <w:t xml:space="preserve">alternative policy </w:t>
      </w:r>
      <w:r w:rsidRPr="00D35FBC">
        <w:t xml:space="preserve">decisions. Understanding the scale of population consequences requires information on the number of patients who are expected to be treated by histology. This will depend on the incidence (number of new cases per year) and prevalence (number of current cases) of the mutation for each histology. It will also depend on the screening strategy used to identify cases and </w:t>
      </w:r>
      <w:r>
        <w:t>where in the</w:t>
      </w:r>
      <w:r w:rsidR="00CA76BE">
        <w:t xml:space="preserve"> treatment pathway </w:t>
      </w:r>
      <w:r>
        <w:t>Drug X is used</w:t>
      </w:r>
      <w:r w:rsidRPr="00D35FBC">
        <w:t xml:space="preserve">. To simplify the </w:t>
      </w:r>
      <w:r w:rsidR="00626E7F">
        <w:t>case study</w:t>
      </w:r>
      <w:r>
        <w:t>,</w:t>
      </w:r>
      <w:r w:rsidRPr="00D35FBC">
        <w:t xml:space="preserve"> we assume </w:t>
      </w:r>
      <w:r>
        <w:t>only incident cases and</w:t>
      </w:r>
      <w:r w:rsidRPr="00D35FBC">
        <w:t xml:space="preserve"> a perfect screening strategy meaning that all patients who can potentially benefit are correctly identified. The </w:t>
      </w:r>
      <w:r>
        <w:t xml:space="preserve">expected </w:t>
      </w:r>
      <w:r w:rsidRPr="00D35FBC">
        <w:t xml:space="preserve">population </w:t>
      </w:r>
      <w:r>
        <w:t xml:space="preserve">health </w:t>
      </w:r>
      <w:r w:rsidRPr="00D35FBC">
        <w:t xml:space="preserve">consequences </w:t>
      </w:r>
      <w:r>
        <w:t xml:space="preserve">of approving Drug X </w:t>
      </w:r>
      <w:r w:rsidRPr="00D35FBC">
        <w:t>are shown in</w:t>
      </w:r>
      <w:r w:rsidR="008C65BF">
        <w:t xml:space="preserve"> </w:t>
      </w:r>
      <w:r w:rsidR="008C65BF">
        <w:rPr>
          <w:highlight w:val="yellow"/>
        </w:rPr>
        <w:fldChar w:fldCharType="begin"/>
      </w:r>
      <w:r w:rsidR="008C65BF">
        <w:instrText xml:space="preserve"> REF _Ref30599965 \h </w:instrText>
      </w:r>
      <w:r w:rsidR="008C65BF">
        <w:rPr>
          <w:highlight w:val="yellow"/>
        </w:rPr>
      </w:r>
      <w:r w:rsidR="008C65BF">
        <w:rPr>
          <w:highlight w:val="yellow"/>
        </w:rPr>
        <w:fldChar w:fldCharType="separate"/>
      </w:r>
      <w:r w:rsidR="00C9471F">
        <w:t xml:space="preserve">Table </w:t>
      </w:r>
      <w:r w:rsidR="00C9471F">
        <w:rPr>
          <w:noProof/>
        </w:rPr>
        <w:t>29</w:t>
      </w:r>
      <w:r w:rsidR="008C65BF">
        <w:rPr>
          <w:highlight w:val="yellow"/>
        </w:rPr>
        <w:fldChar w:fldCharType="end"/>
      </w:r>
      <w:r>
        <w:t xml:space="preserve">. </w:t>
      </w:r>
    </w:p>
    <w:p w14:paraId="3857462C" w14:textId="28DE56B9" w:rsidR="008C3153" w:rsidRDefault="008C3153" w:rsidP="008C3153">
      <w:pPr>
        <w:pStyle w:val="Caption"/>
      </w:pPr>
      <w:bookmarkStart w:id="242" w:name="_Ref30599965"/>
      <w:bookmarkStart w:id="243" w:name="_Toc34033543"/>
      <w:r>
        <w:t xml:space="preserve">Table </w:t>
      </w:r>
      <w:r w:rsidR="00C974E5">
        <w:fldChar w:fldCharType="begin"/>
      </w:r>
      <w:r w:rsidR="00C974E5">
        <w:instrText xml:space="preserve"> SEQ Table \* ARABIC </w:instrText>
      </w:r>
      <w:r w:rsidR="00C974E5">
        <w:fldChar w:fldCharType="separate"/>
      </w:r>
      <w:r w:rsidR="00C9471F">
        <w:rPr>
          <w:noProof/>
        </w:rPr>
        <w:t>29</w:t>
      </w:r>
      <w:r w:rsidR="00C974E5">
        <w:rPr>
          <w:noProof/>
        </w:rPr>
        <w:fldChar w:fldCharType="end"/>
      </w:r>
      <w:bookmarkEnd w:id="242"/>
      <w:r w:rsidR="008C7423">
        <w:rPr>
          <w:noProof/>
        </w:rPr>
        <w:t>:</w:t>
      </w:r>
      <w:r w:rsidRPr="00620C2E">
        <w:t xml:space="preserve"> Calculating </w:t>
      </w:r>
      <w:r>
        <w:t>population</w:t>
      </w:r>
      <w:r w:rsidRPr="00620C2E">
        <w:t xml:space="preserve"> net health effects for Drug X</w:t>
      </w:r>
      <w:bookmarkEnd w:id="243"/>
    </w:p>
    <w:tbl>
      <w:tblPr>
        <w:tblW w:w="5497" w:type="pct"/>
        <w:tblLook w:val="04A0" w:firstRow="1" w:lastRow="0" w:firstColumn="1" w:lastColumn="0" w:noHBand="0" w:noVBand="1"/>
      </w:tblPr>
      <w:tblGrid>
        <w:gridCol w:w="2283"/>
        <w:gridCol w:w="1701"/>
        <w:gridCol w:w="1677"/>
        <w:gridCol w:w="1723"/>
        <w:gridCol w:w="2517"/>
      </w:tblGrid>
      <w:tr w:rsidR="008C3153" w:rsidRPr="00A4278B" w14:paraId="45C5E537" w14:textId="77777777" w:rsidTr="00AB705A">
        <w:trPr>
          <w:trHeight w:val="1380"/>
        </w:trPr>
        <w:tc>
          <w:tcPr>
            <w:tcW w:w="115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2BDE54"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Subgroup</w:t>
            </w:r>
          </w:p>
        </w:tc>
        <w:tc>
          <w:tcPr>
            <w:tcW w:w="85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8FCF5E9"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Per patient level                                             £50,000 per QALY threshold</w:t>
            </w:r>
          </w:p>
        </w:tc>
        <w:tc>
          <w:tcPr>
            <w:tcW w:w="847" w:type="pct"/>
            <w:tcBorders>
              <w:top w:val="single" w:sz="8" w:space="0" w:color="auto"/>
              <w:left w:val="single" w:sz="8" w:space="0" w:color="auto"/>
              <w:bottom w:val="single" w:sz="8" w:space="0" w:color="auto"/>
              <w:right w:val="nil"/>
            </w:tcBorders>
            <w:shd w:val="clear" w:color="auto" w:fill="auto"/>
            <w:vAlign w:val="center"/>
            <w:hideMark/>
          </w:tcPr>
          <w:p w14:paraId="5B72CABA"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870" w:type="pct"/>
            <w:tcBorders>
              <w:top w:val="single" w:sz="8" w:space="0" w:color="auto"/>
              <w:left w:val="nil"/>
              <w:bottom w:val="single" w:sz="8" w:space="0" w:color="auto"/>
              <w:right w:val="nil"/>
            </w:tcBorders>
            <w:shd w:val="clear" w:color="auto" w:fill="auto"/>
            <w:noWrap/>
            <w:vAlign w:val="center"/>
            <w:hideMark/>
          </w:tcPr>
          <w:p w14:paraId="5DD82EAA"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Population level </w:t>
            </w:r>
          </w:p>
        </w:tc>
        <w:tc>
          <w:tcPr>
            <w:tcW w:w="1271" w:type="pct"/>
            <w:tcBorders>
              <w:top w:val="single" w:sz="8" w:space="0" w:color="auto"/>
              <w:left w:val="nil"/>
              <w:bottom w:val="single" w:sz="8" w:space="0" w:color="auto"/>
              <w:right w:val="single" w:sz="8" w:space="0" w:color="auto"/>
            </w:tcBorders>
            <w:shd w:val="clear" w:color="auto" w:fill="auto"/>
            <w:noWrap/>
            <w:vAlign w:val="center"/>
            <w:hideMark/>
          </w:tcPr>
          <w:p w14:paraId="49831B94"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r>
      <w:tr w:rsidR="008C3153" w:rsidRPr="00A4278B" w14:paraId="7DDE0B3D" w14:textId="77777777" w:rsidTr="00AB705A">
        <w:trPr>
          <w:trHeight w:val="1425"/>
        </w:trPr>
        <w:tc>
          <w:tcPr>
            <w:tcW w:w="1153" w:type="pct"/>
            <w:tcBorders>
              <w:top w:val="nil"/>
              <w:left w:val="single" w:sz="8" w:space="0" w:color="auto"/>
              <w:bottom w:val="single" w:sz="8" w:space="0" w:color="auto"/>
              <w:right w:val="single" w:sz="8" w:space="0" w:color="auto"/>
            </w:tcBorders>
            <w:shd w:val="clear" w:color="auto" w:fill="auto"/>
            <w:noWrap/>
            <w:vAlign w:val="bottom"/>
            <w:hideMark/>
          </w:tcPr>
          <w:p w14:paraId="53F750C3" w14:textId="77777777" w:rsidR="008C3153" w:rsidRPr="00A4278B" w:rsidRDefault="008C3153" w:rsidP="00A4278B">
            <w:pPr>
              <w:keepNext/>
              <w:keepLines/>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859" w:type="pct"/>
            <w:tcBorders>
              <w:top w:val="nil"/>
              <w:left w:val="single" w:sz="8" w:space="0" w:color="auto"/>
              <w:bottom w:val="single" w:sz="8" w:space="0" w:color="auto"/>
              <w:right w:val="single" w:sz="8" w:space="0" w:color="auto"/>
            </w:tcBorders>
            <w:shd w:val="clear" w:color="auto" w:fill="auto"/>
            <w:vAlign w:val="center"/>
            <w:hideMark/>
          </w:tcPr>
          <w:p w14:paraId="51E22440" w14:textId="676973A9"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 xml:space="preserve"> (ΔCost/£50,000)</w:t>
            </w:r>
          </w:p>
        </w:tc>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B959C2A" w14:textId="087D2C6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NHB (ΔQALY - 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w:t>
            </w:r>
          </w:p>
        </w:tc>
        <w:tc>
          <w:tcPr>
            <w:tcW w:w="8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94ED31"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Incidence</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5C6D69"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NHB, QALYs (NMB, £)</w:t>
            </w:r>
          </w:p>
        </w:tc>
      </w:tr>
      <w:tr w:rsidR="008C3153" w:rsidRPr="00A4278B" w14:paraId="66952C8C"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4A6228E8"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Sarcoma</w:t>
            </w:r>
          </w:p>
        </w:tc>
        <w:tc>
          <w:tcPr>
            <w:tcW w:w="859" w:type="pct"/>
            <w:tcBorders>
              <w:top w:val="nil"/>
              <w:left w:val="single" w:sz="8" w:space="0" w:color="auto"/>
              <w:bottom w:val="nil"/>
              <w:right w:val="single" w:sz="8" w:space="0" w:color="auto"/>
            </w:tcBorders>
            <w:shd w:val="clear" w:color="000000" w:fill="FFFFFF"/>
            <w:noWrap/>
            <w:vAlign w:val="center"/>
            <w:hideMark/>
          </w:tcPr>
          <w:p w14:paraId="32C82EF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1.12</w:t>
            </w:r>
          </w:p>
        </w:tc>
        <w:tc>
          <w:tcPr>
            <w:tcW w:w="847" w:type="pct"/>
            <w:tcBorders>
              <w:top w:val="nil"/>
              <w:left w:val="single" w:sz="8" w:space="0" w:color="auto"/>
              <w:bottom w:val="nil"/>
              <w:right w:val="single" w:sz="8" w:space="0" w:color="auto"/>
            </w:tcBorders>
            <w:shd w:val="clear" w:color="000000" w:fill="FFFFFF"/>
            <w:noWrap/>
            <w:vAlign w:val="bottom"/>
            <w:hideMark/>
          </w:tcPr>
          <w:p w14:paraId="44BE75AC"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0.59 </w:t>
            </w:r>
          </w:p>
        </w:tc>
        <w:tc>
          <w:tcPr>
            <w:tcW w:w="870" w:type="pct"/>
            <w:tcBorders>
              <w:top w:val="nil"/>
              <w:left w:val="single" w:sz="8" w:space="0" w:color="auto"/>
              <w:bottom w:val="nil"/>
              <w:right w:val="single" w:sz="8" w:space="0" w:color="auto"/>
            </w:tcBorders>
            <w:shd w:val="clear" w:color="000000" w:fill="FFFFFF"/>
            <w:noWrap/>
            <w:vAlign w:val="bottom"/>
            <w:hideMark/>
          </w:tcPr>
          <w:p w14:paraId="59B52D5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w:t>
            </w:r>
          </w:p>
        </w:tc>
        <w:tc>
          <w:tcPr>
            <w:tcW w:w="1271" w:type="pct"/>
            <w:tcBorders>
              <w:top w:val="nil"/>
              <w:left w:val="single" w:sz="8" w:space="0" w:color="auto"/>
              <w:bottom w:val="nil"/>
              <w:right w:val="single" w:sz="8" w:space="0" w:color="auto"/>
            </w:tcBorders>
            <w:shd w:val="clear" w:color="000000" w:fill="FFFFFF"/>
            <w:noWrap/>
            <w:vAlign w:val="bottom"/>
            <w:hideMark/>
          </w:tcPr>
          <w:p w14:paraId="16982A2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2.88 (£144,046)</w:t>
            </w:r>
          </w:p>
        </w:tc>
      </w:tr>
      <w:tr w:rsidR="008C3153" w:rsidRPr="00A4278B" w14:paraId="668A3535"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03DADAAB"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Salivary gland</w:t>
            </w:r>
          </w:p>
        </w:tc>
        <w:tc>
          <w:tcPr>
            <w:tcW w:w="859" w:type="pct"/>
            <w:tcBorders>
              <w:top w:val="nil"/>
              <w:left w:val="single" w:sz="8" w:space="0" w:color="auto"/>
              <w:bottom w:val="nil"/>
              <w:right w:val="single" w:sz="8" w:space="0" w:color="auto"/>
            </w:tcBorders>
            <w:shd w:val="clear" w:color="000000" w:fill="FFFFFF"/>
            <w:noWrap/>
            <w:vAlign w:val="center"/>
            <w:hideMark/>
          </w:tcPr>
          <w:p w14:paraId="7E03837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0.89</w:t>
            </w:r>
          </w:p>
        </w:tc>
        <w:tc>
          <w:tcPr>
            <w:tcW w:w="847" w:type="pct"/>
            <w:tcBorders>
              <w:top w:val="nil"/>
              <w:left w:val="single" w:sz="8" w:space="0" w:color="auto"/>
              <w:bottom w:val="nil"/>
              <w:right w:val="single" w:sz="8" w:space="0" w:color="auto"/>
            </w:tcBorders>
            <w:shd w:val="clear" w:color="000000" w:fill="FFFFFF"/>
            <w:noWrap/>
            <w:vAlign w:val="bottom"/>
            <w:hideMark/>
          </w:tcPr>
          <w:p w14:paraId="67D893D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0.70 </w:t>
            </w:r>
          </w:p>
        </w:tc>
        <w:tc>
          <w:tcPr>
            <w:tcW w:w="870" w:type="pct"/>
            <w:tcBorders>
              <w:top w:val="nil"/>
              <w:left w:val="single" w:sz="8" w:space="0" w:color="auto"/>
              <w:bottom w:val="nil"/>
              <w:right w:val="single" w:sz="8" w:space="0" w:color="auto"/>
            </w:tcBorders>
            <w:shd w:val="clear" w:color="000000" w:fill="FFFFFF"/>
            <w:noWrap/>
            <w:vAlign w:val="bottom"/>
            <w:hideMark/>
          </w:tcPr>
          <w:p w14:paraId="7AADD23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w:t>
            </w:r>
          </w:p>
        </w:tc>
        <w:tc>
          <w:tcPr>
            <w:tcW w:w="1271" w:type="pct"/>
            <w:tcBorders>
              <w:top w:val="nil"/>
              <w:left w:val="single" w:sz="8" w:space="0" w:color="auto"/>
              <w:bottom w:val="nil"/>
              <w:right w:val="single" w:sz="8" w:space="0" w:color="auto"/>
            </w:tcBorders>
            <w:shd w:val="clear" w:color="000000" w:fill="FFFFFF"/>
            <w:noWrap/>
            <w:vAlign w:val="bottom"/>
            <w:hideMark/>
          </w:tcPr>
          <w:p w14:paraId="796659A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1.56 (£78,201)</w:t>
            </w:r>
          </w:p>
        </w:tc>
      </w:tr>
      <w:tr w:rsidR="008C3153" w:rsidRPr="00A4278B" w14:paraId="3B69244E"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5F280E7D"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IFS</w:t>
            </w:r>
          </w:p>
        </w:tc>
        <w:tc>
          <w:tcPr>
            <w:tcW w:w="859" w:type="pct"/>
            <w:tcBorders>
              <w:top w:val="nil"/>
              <w:left w:val="single" w:sz="8" w:space="0" w:color="auto"/>
              <w:bottom w:val="nil"/>
              <w:right w:val="single" w:sz="8" w:space="0" w:color="auto"/>
            </w:tcBorders>
            <w:shd w:val="clear" w:color="000000" w:fill="FFFFFF"/>
            <w:noWrap/>
            <w:vAlign w:val="center"/>
            <w:hideMark/>
          </w:tcPr>
          <w:p w14:paraId="1EC0C24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0.98</w:t>
            </w:r>
          </w:p>
        </w:tc>
        <w:tc>
          <w:tcPr>
            <w:tcW w:w="847" w:type="pct"/>
            <w:tcBorders>
              <w:top w:val="nil"/>
              <w:left w:val="single" w:sz="8" w:space="0" w:color="auto"/>
              <w:bottom w:val="nil"/>
              <w:right w:val="single" w:sz="8" w:space="0" w:color="auto"/>
            </w:tcBorders>
            <w:shd w:val="clear" w:color="000000" w:fill="FFFFFF"/>
            <w:noWrap/>
            <w:vAlign w:val="bottom"/>
            <w:hideMark/>
          </w:tcPr>
          <w:p w14:paraId="63E9003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0.82 </w:t>
            </w:r>
          </w:p>
        </w:tc>
        <w:tc>
          <w:tcPr>
            <w:tcW w:w="870" w:type="pct"/>
            <w:tcBorders>
              <w:top w:val="nil"/>
              <w:left w:val="single" w:sz="8" w:space="0" w:color="auto"/>
              <w:bottom w:val="nil"/>
              <w:right w:val="single" w:sz="8" w:space="0" w:color="auto"/>
            </w:tcBorders>
            <w:shd w:val="clear" w:color="000000" w:fill="FFFFFF"/>
            <w:noWrap/>
            <w:vAlign w:val="bottom"/>
            <w:hideMark/>
          </w:tcPr>
          <w:p w14:paraId="7CBA3E8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w:t>
            </w:r>
          </w:p>
        </w:tc>
        <w:tc>
          <w:tcPr>
            <w:tcW w:w="1271" w:type="pct"/>
            <w:tcBorders>
              <w:top w:val="nil"/>
              <w:left w:val="single" w:sz="8" w:space="0" w:color="auto"/>
              <w:bottom w:val="nil"/>
              <w:right w:val="single" w:sz="8" w:space="0" w:color="auto"/>
            </w:tcBorders>
            <w:shd w:val="clear" w:color="000000" w:fill="FFFFFF"/>
            <w:noWrap/>
            <w:vAlign w:val="bottom"/>
            <w:hideMark/>
          </w:tcPr>
          <w:p w14:paraId="0FFEC21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22.35 (£1,117,570)</w:t>
            </w:r>
          </w:p>
        </w:tc>
      </w:tr>
      <w:tr w:rsidR="008C3153" w:rsidRPr="00A4278B" w14:paraId="47DFC520"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4BA29B67"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Thyroid</w:t>
            </w:r>
          </w:p>
        </w:tc>
        <w:tc>
          <w:tcPr>
            <w:tcW w:w="859" w:type="pct"/>
            <w:tcBorders>
              <w:top w:val="nil"/>
              <w:left w:val="single" w:sz="8" w:space="0" w:color="auto"/>
              <w:bottom w:val="nil"/>
              <w:right w:val="single" w:sz="8" w:space="0" w:color="auto"/>
            </w:tcBorders>
            <w:shd w:val="clear" w:color="000000" w:fill="FFFFFF"/>
            <w:noWrap/>
            <w:vAlign w:val="center"/>
            <w:hideMark/>
          </w:tcPr>
          <w:p w14:paraId="38309AC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1.07</w:t>
            </w:r>
          </w:p>
        </w:tc>
        <w:tc>
          <w:tcPr>
            <w:tcW w:w="847" w:type="pct"/>
            <w:tcBorders>
              <w:top w:val="nil"/>
              <w:left w:val="single" w:sz="8" w:space="0" w:color="auto"/>
              <w:bottom w:val="nil"/>
              <w:right w:val="single" w:sz="8" w:space="0" w:color="auto"/>
            </w:tcBorders>
            <w:shd w:val="clear" w:color="000000" w:fill="FFFFFF"/>
            <w:noWrap/>
            <w:vAlign w:val="bottom"/>
            <w:hideMark/>
          </w:tcPr>
          <w:p w14:paraId="3BAFA94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0.69 </w:t>
            </w:r>
          </w:p>
        </w:tc>
        <w:tc>
          <w:tcPr>
            <w:tcW w:w="870" w:type="pct"/>
            <w:tcBorders>
              <w:top w:val="nil"/>
              <w:left w:val="single" w:sz="8" w:space="0" w:color="auto"/>
              <w:bottom w:val="nil"/>
              <w:right w:val="single" w:sz="8" w:space="0" w:color="auto"/>
            </w:tcBorders>
            <w:shd w:val="clear" w:color="000000" w:fill="FFFFFF"/>
            <w:noWrap/>
            <w:vAlign w:val="bottom"/>
            <w:hideMark/>
          </w:tcPr>
          <w:p w14:paraId="5CFCE2F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w:t>
            </w:r>
          </w:p>
        </w:tc>
        <w:tc>
          <w:tcPr>
            <w:tcW w:w="1271" w:type="pct"/>
            <w:tcBorders>
              <w:top w:val="nil"/>
              <w:left w:val="single" w:sz="8" w:space="0" w:color="auto"/>
              <w:bottom w:val="nil"/>
              <w:right w:val="single" w:sz="8" w:space="0" w:color="auto"/>
            </w:tcBorders>
            <w:shd w:val="clear" w:color="000000" w:fill="FFFFFF"/>
            <w:noWrap/>
            <w:vAlign w:val="bottom"/>
            <w:hideMark/>
          </w:tcPr>
          <w:p w14:paraId="6C9C6BC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4.32 (£216,219)</w:t>
            </w:r>
          </w:p>
        </w:tc>
      </w:tr>
      <w:tr w:rsidR="008C3153" w:rsidRPr="00A4278B" w14:paraId="1B807919"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6E9A44FF"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Lung</w:t>
            </w:r>
          </w:p>
        </w:tc>
        <w:tc>
          <w:tcPr>
            <w:tcW w:w="859" w:type="pct"/>
            <w:tcBorders>
              <w:top w:val="nil"/>
              <w:left w:val="single" w:sz="8" w:space="0" w:color="auto"/>
              <w:bottom w:val="nil"/>
              <w:right w:val="single" w:sz="8" w:space="0" w:color="auto"/>
            </w:tcBorders>
            <w:shd w:val="clear" w:color="000000" w:fill="FFFFFF"/>
            <w:noWrap/>
            <w:vAlign w:val="center"/>
            <w:hideMark/>
          </w:tcPr>
          <w:p w14:paraId="2F55EBD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1.92</w:t>
            </w:r>
          </w:p>
        </w:tc>
        <w:tc>
          <w:tcPr>
            <w:tcW w:w="847" w:type="pct"/>
            <w:tcBorders>
              <w:top w:val="nil"/>
              <w:left w:val="single" w:sz="8" w:space="0" w:color="auto"/>
              <w:bottom w:val="nil"/>
              <w:right w:val="single" w:sz="8" w:space="0" w:color="auto"/>
            </w:tcBorders>
            <w:shd w:val="clear" w:color="000000" w:fill="FFFFFF"/>
            <w:noWrap/>
            <w:vAlign w:val="bottom"/>
            <w:hideMark/>
          </w:tcPr>
          <w:p w14:paraId="0E446A1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-0.51 </w:t>
            </w:r>
          </w:p>
        </w:tc>
        <w:tc>
          <w:tcPr>
            <w:tcW w:w="870" w:type="pct"/>
            <w:tcBorders>
              <w:top w:val="nil"/>
              <w:left w:val="single" w:sz="8" w:space="0" w:color="auto"/>
              <w:bottom w:val="nil"/>
              <w:right w:val="single" w:sz="8" w:space="0" w:color="auto"/>
            </w:tcBorders>
            <w:shd w:val="clear" w:color="000000" w:fill="FFFFFF"/>
            <w:noWrap/>
            <w:vAlign w:val="bottom"/>
            <w:hideMark/>
          </w:tcPr>
          <w:p w14:paraId="71A70B4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w:t>
            </w:r>
          </w:p>
        </w:tc>
        <w:tc>
          <w:tcPr>
            <w:tcW w:w="1271" w:type="pct"/>
            <w:tcBorders>
              <w:top w:val="nil"/>
              <w:left w:val="single" w:sz="8" w:space="0" w:color="auto"/>
              <w:bottom w:val="nil"/>
              <w:right w:val="single" w:sz="8" w:space="0" w:color="auto"/>
            </w:tcBorders>
            <w:shd w:val="clear" w:color="000000" w:fill="FFFFFF"/>
            <w:noWrap/>
            <w:vAlign w:val="bottom"/>
            <w:hideMark/>
          </w:tcPr>
          <w:p w14:paraId="3067DC7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-8.52 (-£426,230)</w:t>
            </w:r>
          </w:p>
        </w:tc>
      </w:tr>
      <w:tr w:rsidR="008C3153" w:rsidRPr="00A4278B" w14:paraId="6E25D71F"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2AB287B4"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Melanoma</w:t>
            </w:r>
          </w:p>
        </w:tc>
        <w:tc>
          <w:tcPr>
            <w:tcW w:w="859" w:type="pct"/>
            <w:tcBorders>
              <w:top w:val="nil"/>
              <w:left w:val="single" w:sz="8" w:space="0" w:color="auto"/>
              <w:bottom w:val="nil"/>
              <w:right w:val="single" w:sz="8" w:space="0" w:color="auto"/>
            </w:tcBorders>
            <w:shd w:val="clear" w:color="000000" w:fill="FFFFFF"/>
            <w:noWrap/>
            <w:vAlign w:val="center"/>
            <w:hideMark/>
          </w:tcPr>
          <w:p w14:paraId="1E0CD32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1.13</w:t>
            </w:r>
          </w:p>
        </w:tc>
        <w:tc>
          <w:tcPr>
            <w:tcW w:w="847" w:type="pct"/>
            <w:tcBorders>
              <w:top w:val="nil"/>
              <w:left w:val="single" w:sz="8" w:space="0" w:color="auto"/>
              <w:bottom w:val="nil"/>
              <w:right w:val="single" w:sz="8" w:space="0" w:color="auto"/>
            </w:tcBorders>
            <w:shd w:val="clear" w:color="000000" w:fill="FFFFFF"/>
            <w:noWrap/>
            <w:vAlign w:val="bottom"/>
            <w:hideMark/>
          </w:tcPr>
          <w:p w14:paraId="6D0CE23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-0.09 </w:t>
            </w:r>
          </w:p>
        </w:tc>
        <w:tc>
          <w:tcPr>
            <w:tcW w:w="870" w:type="pct"/>
            <w:tcBorders>
              <w:top w:val="nil"/>
              <w:left w:val="single" w:sz="8" w:space="0" w:color="auto"/>
              <w:bottom w:val="nil"/>
              <w:right w:val="single" w:sz="8" w:space="0" w:color="auto"/>
            </w:tcBorders>
            <w:shd w:val="clear" w:color="000000" w:fill="FFFFFF"/>
            <w:noWrap/>
            <w:vAlign w:val="bottom"/>
            <w:hideMark/>
          </w:tcPr>
          <w:p w14:paraId="2250606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w:t>
            </w:r>
          </w:p>
        </w:tc>
        <w:tc>
          <w:tcPr>
            <w:tcW w:w="1271" w:type="pct"/>
            <w:tcBorders>
              <w:top w:val="nil"/>
              <w:left w:val="single" w:sz="8" w:space="0" w:color="auto"/>
              <w:bottom w:val="nil"/>
              <w:right w:val="single" w:sz="8" w:space="0" w:color="auto"/>
            </w:tcBorders>
            <w:shd w:val="clear" w:color="000000" w:fill="FFFFFF"/>
            <w:noWrap/>
            <w:vAlign w:val="bottom"/>
            <w:hideMark/>
          </w:tcPr>
          <w:p w14:paraId="008E4CD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-0.23 (-£11,276)</w:t>
            </w:r>
          </w:p>
        </w:tc>
      </w:tr>
      <w:tr w:rsidR="008C3153" w:rsidRPr="00A4278B" w14:paraId="2BA9F01E"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3CBAC15D"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Colon</w:t>
            </w:r>
          </w:p>
        </w:tc>
        <w:tc>
          <w:tcPr>
            <w:tcW w:w="859" w:type="pct"/>
            <w:tcBorders>
              <w:top w:val="nil"/>
              <w:left w:val="single" w:sz="8" w:space="0" w:color="auto"/>
              <w:bottom w:val="nil"/>
              <w:right w:val="single" w:sz="8" w:space="0" w:color="auto"/>
            </w:tcBorders>
            <w:shd w:val="clear" w:color="000000" w:fill="FFFFFF"/>
            <w:noWrap/>
            <w:vAlign w:val="center"/>
            <w:hideMark/>
          </w:tcPr>
          <w:p w14:paraId="6398F0F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1.32</w:t>
            </w:r>
          </w:p>
        </w:tc>
        <w:tc>
          <w:tcPr>
            <w:tcW w:w="847" w:type="pct"/>
            <w:tcBorders>
              <w:top w:val="nil"/>
              <w:left w:val="single" w:sz="8" w:space="0" w:color="auto"/>
              <w:bottom w:val="nil"/>
              <w:right w:val="single" w:sz="8" w:space="0" w:color="auto"/>
            </w:tcBorders>
            <w:shd w:val="clear" w:color="000000" w:fill="FFFFFF"/>
            <w:noWrap/>
            <w:vAlign w:val="bottom"/>
            <w:hideMark/>
          </w:tcPr>
          <w:p w14:paraId="7D6107F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-0.66 </w:t>
            </w:r>
          </w:p>
        </w:tc>
        <w:tc>
          <w:tcPr>
            <w:tcW w:w="870" w:type="pct"/>
            <w:tcBorders>
              <w:top w:val="nil"/>
              <w:left w:val="single" w:sz="8" w:space="0" w:color="auto"/>
              <w:bottom w:val="nil"/>
              <w:right w:val="single" w:sz="8" w:space="0" w:color="auto"/>
            </w:tcBorders>
            <w:shd w:val="clear" w:color="000000" w:fill="FFFFFF"/>
            <w:noWrap/>
            <w:vAlign w:val="bottom"/>
            <w:hideMark/>
          </w:tcPr>
          <w:p w14:paraId="0E7AD56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23</w:t>
            </w:r>
          </w:p>
        </w:tc>
        <w:tc>
          <w:tcPr>
            <w:tcW w:w="1271" w:type="pct"/>
            <w:tcBorders>
              <w:top w:val="nil"/>
              <w:left w:val="single" w:sz="8" w:space="0" w:color="auto"/>
              <w:bottom w:val="nil"/>
              <w:right w:val="single" w:sz="8" w:space="0" w:color="auto"/>
            </w:tcBorders>
            <w:shd w:val="clear" w:color="000000" w:fill="FFFFFF"/>
            <w:noWrap/>
            <w:vAlign w:val="bottom"/>
            <w:hideMark/>
          </w:tcPr>
          <w:p w14:paraId="1959F8C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-15.19 (-£759,374)</w:t>
            </w:r>
          </w:p>
        </w:tc>
      </w:tr>
      <w:tr w:rsidR="008C3153" w:rsidRPr="00A4278B" w14:paraId="15016A3C"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316D721C"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GIST</w:t>
            </w:r>
          </w:p>
        </w:tc>
        <w:tc>
          <w:tcPr>
            <w:tcW w:w="859" w:type="pct"/>
            <w:tcBorders>
              <w:top w:val="nil"/>
              <w:left w:val="single" w:sz="8" w:space="0" w:color="auto"/>
              <w:bottom w:val="nil"/>
              <w:right w:val="single" w:sz="8" w:space="0" w:color="auto"/>
            </w:tcBorders>
            <w:shd w:val="clear" w:color="000000" w:fill="FFFFFF"/>
            <w:noWrap/>
            <w:vAlign w:val="center"/>
            <w:hideMark/>
          </w:tcPr>
          <w:p w14:paraId="4EBF736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1.01</w:t>
            </w:r>
          </w:p>
        </w:tc>
        <w:tc>
          <w:tcPr>
            <w:tcW w:w="847" w:type="pct"/>
            <w:tcBorders>
              <w:top w:val="nil"/>
              <w:left w:val="single" w:sz="8" w:space="0" w:color="auto"/>
              <w:bottom w:val="nil"/>
              <w:right w:val="single" w:sz="8" w:space="0" w:color="auto"/>
            </w:tcBorders>
            <w:shd w:val="clear" w:color="000000" w:fill="FFFFFF"/>
            <w:noWrap/>
            <w:vAlign w:val="bottom"/>
            <w:hideMark/>
          </w:tcPr>
          <w:p w14:paraId="21BA874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0.68 </w:t>
            </w:r>
          </w:p>
        </w:tc>
        <w:tc>
          <w:tcPr>
            <w:tcW w:w="870" w:type="pct"/>
            <w:tcBorders>
              <w:top w:val="nil"/>
              <w:left w:val="single" w:sz="8" w:space="0" w:color="auto"/>
              <w:bottom w:val="nil"/>
              <w:right w:val="single" w:sz="8" w:space="0" w:color="auto"/>
            </w:tcBorders>
            <w:shd w:val="clear" w:color="000000" w:fill="FFFFFF"/>
            <w:noWrap/>
            <w:vAlign w:val="bottom"/>
            <w:hideMark/>
          </w:tcPr>
          <w:p w14:paraId="0BE4F20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w:t>
            </w:r>
          </w:p>
        </w:tc>
        <w:tc>
          <w:tcPr>
            <w:tcW w:w="1271" w:type="pct"/>
            <w:tcBorders>
              <w:top w:val="nil"/>
              <w:left w:val="single" w:sz="8" w:space="0" w:color="auto"/>
              <w:bottom w:val="nil"/>
              <w:right w:val="single" w:sz="8" w:space="0" w:color="auto"/>
            </w:tcBorders>
            <w:shd w:val="clear" w:color="000000" w:fill="FFFFFF"/>
            <w:noWrap/>
            <w:vAlign w:val="bottom"/>
            <w:hideMark/>
          </w:tcPr>
          <w:p w14:paraId="6926EA8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2.57 (£128,728)</w:t>
            </w:r>
          </w:p>
        </w:tc>
      </w:tr>
      <w:tr w:rsidR="008C3153" w:rsidRPr="00A4278B" w14:paraId="478B0042"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7255440E"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Cholangiocarcinoma</w:t>
            </w:r>
          </w:p>
        </w:tc>
        <w:tc>
          <w:tcPr>
            <w:tcW w:w="859" w:type="pct"/>
            <w:tcBorders>
              <w:top w:val="nil"/>
              <w:left w:val="single" w:sz="8" w:space="0" w:color="auto"/>
              <w:bottom w:val="nil"/>
              <w:right w:val="single" w:sz="8" w:space="0" w:color="auto"/>
            </w:tcBorders>
            <w:shd w:val="clear" w:color="000000" w:fill="FFFFFF"/>
            <w:noWrap/>
            <w:vAlign w:val="center"/>
            <w:hideMark/>
          </w:tcPr>
          <w:p w14:paraId="4C20B92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1.40</w:t>
            </w:r>
          </w:p>
        </w:tc>
        <w:tc>
          <w:tcPr>
            <w:tcW w:w="847" w:type="pct"/>
            <w:tcBorders>
              <w:top w:val="nil"/>
              <w:left w:val="single" w:sz="8" w:space="0" w:color="auto"/>
              <w:bottom w:val="nil"/>
              <w:right w:val="single" w:sz="8" w:space="0" w:color="auto"/>
            </w:tcBorders>
            <w:shd w:val="clear" w:color="000000" w:fill="FFFFFF"/>
            <w:noWrap/>
            <w:vAlign w:val="bottom"/>
            <w:hideMark/>
          </w:tcPr>
          <w:p w14:paraId="1E6B247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-0.94 </w:t>
            </w:r>
          </w:p>
        </w:tc>
        <w:tc>
          <w:tcPr>
            <w:tcW w:w="870" w:type="pct"/>
            <w:tcBorders>
              <w:top w:val="nil"/>
              <w:left w:val="single" w:sz="8" w:space="0" w:color="auto"/>
              <w:bottom w:val="nil"/>
              <w:right w:val="single" w:sz="8" w:space="0" w:color="auto"/>
            </w:tcBorders>
            <w:shd w:val="clear" w:color="000000" w:fill="FFFFFF"/>
            <w:noWrap/>
            <w:vAlign w:val="bottom"/>
            <w:hideMark/>
          </w:tcPr>
          <w:p w14:paraId="0F63D92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0.3</w:t>
            </w:r>
          </w:p>
        </w:tc>
        <w:tc>
          <w:tcPr>
            <w:tcW w:w="1271" w:type="pct"/>
            <w:tcBorders>
              <w:top w:val="nil"/>
              <w:left w:val="single" w:sz="8" w:space="0" w:color="auto"/>
              <w:bottom w:val="nil"/>
              <w:right w:val="single" w:sz="8" w:space="0" w:color="auto"/>
            </w:tcBorders>
            <w:shd w:val="clear" w:color="000000" w:fill="FFFFFF"/>
            <w:noWrap/>
            <w:vAlign w:val="bottom"/>
            <w:hideMark/>
          </w:tcPr>
          <w:p w14:paraId="048D9B4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-0.31 (-£15,727)</w:t>
            </w:r>
          </w:p>
        </w:tc>
      </w:tr>
      <w:tr w:rsidR="008C3153" w:rsidRPr="00A4278B" w14:paraId="19A7CE7D"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3A95BB6B"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Appendix</w:t>
            </w:r>
          </w:p>
        </w:tc>
        <w:tc>
          <w:tcPr>
            <w:tcW w:w="859" w:type="pct"/>
            <w:tcBorders>
              <w:top w:val="nil"/>
              <w:left w:val="single" w:sz="8" w:space="0" w:color="auto"/>
              <w:bottom w:val="nil"/>
              <w:right w:val="single" w:sz="8" w:space="0" w:color="auto"/>
            </w:tcBorders>
            <w:shd w:val="clear" w:color="000000" w:fill="FFFFFF"/>
            <w:noWrap/>
            <w:vAlign w:val="center"/>
            <w:hideMark/>
          </w:tcPr>
          <w:p w14:paraId="1D43D0B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0.49</w:t>
            </w:r>
          </w:p>
        </w:tc>
        <w:tc>
          <w:tcPr>
            <w:tcW w:w="847" w:type="pct"/>
            <w:tcBorders>
              <w:top w:val="nil"/>
              <w:left w:val="single" w:sz="8" w:space="0" w:color="auto"/>
              <w:bottom w:val="nil"/>
              <w:right w:val="single" w:sz="8" w:space="0" w:color="auto"/>
            </w:tcBorders>
            <w:shd w:val="clear" w:color="000000" w:fill="FFFFFF"/>
            <w:noWrap/>
            <w:vAlign w:val="bottom"/>
            <w:hideMark/>
          </w:tcPr>
          <w:p w14:paraId="4DABA67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0.12 </w:t>
            </w:r>
          </w:p>
        </w:tc>
        <w:tc>
          <w:tcPr>
            <w:tcW w:w="870" w:type="pct"/>
            <w:tcBorders>
              <w:top w:val="nil"/>
              <w:left w:val="single" w:sz="8" w:space="0" w:color="auto"/>
              <w:bottom w:val="nil"/>
              <w:right w:val="single" w:sz="8" w:space="0" w:color="auto"/>
            </w:tcBorders>
            <w:shd w:val="clear" w:color="000000" w:fill="FFFFFF"/>
            <w:noWrap/>
            <w:vAlign w:val="bottom"/>
            <w:hideMark/>
          </w:tcPr>
          <w:p w14:paraId="4D1E323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16</w:t>
            </w:r>
          </w:p>
        </w:tc>
        <w:tc>
          <w:tcPr>
            <w:tcW w:w="1271" w:type="pct"/>
            <w:tcBorders>
              <w:top w:val="nil"/>
              <w:left w:val="single" w:sz="8" w:space="0" w:color="auto"/>
              <w:bottom w:val="nil"/>
              <w:right w:val="single" w:sz="8" w:space="0" w:color="auto"/>
            </w:tcBorders>
            <w:shd w:val="clear" w:color="000000" w:fill="FFFFFF"/>
            <w:noWrap/>
            <w:vAlign w:val="bottom"/>
            <w:hideMark/>
          </w:tcPr>
          <w:p w14:paraId="1A78718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1.99 (£99,383)</w:t>
            </w:r>
          </w:p>
        </w:tc>
      </w:tr>
      <w:tr w:rsidR="008C3153" w:rsidRPr="00A4278B" w14:paraId="5DF88B67" w14:textId="77777777" w:rsidTr="00AB705A">
        <w:trPr>
          <w:trHeight w:val="300"/>
        </w:trPr>
        <w:tc>
          <w:tcPr>
            <w:tcW w:w="1153" w:type="pct"/>
            <w:tcBorders>
              <w:top w:val="nil"/>
              <w:left w:val="single" w:sz="8" w:space="0" w:color="auto"/>
              <w:bottom w:val="nil"/>
              <w:right w:val="single" w:sz="8" w:space="0" w:color="auto"/>
            </w:tcBorders>
            <w:shd w:val="clear" w:color="000000" w:fill="FFFFFF"/>
            <w:noWrap/>
            <w:vAlign w:val="center"/>
            <w:hideMark/>
          </w:tcPr>
          <w:p w14:paraId="55A95CB6"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Breast</w:t>
            </w:r>
          </w:p>
        </w:tc>
        <w:tc>
          <w:tcPr>
            <w:tcW w:w="859" w:type="pct"/>
            <w:tcBorders>
              <w:top w:val="nil"/>
              <w:left w:val="single" w:sz="8" w:space="0" w:color="auto"/>
              <w:bottom w:val="nil"/>
              <w:right w:val="single" w:sz="8" w:space="0" w:color="auto"/>
            </w:tcBorders>
            <w:shd w:val="clear" w:color="000000" w:fill="FFFFFF"/>
            <w:noWrap/>
            <w:vAlign w:val="center"/>
            <w:hideMark/>
          </w:tcPr>
          <w:p w14:paraId="5D56A10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1.89</w:t>
            </w:r>
          </w:p>
        </w:tc>
        <w:tc>
          <w:tcPr>
            <w:tcW w:w="847" w:type="pct"/>
            <w:tcBorders>
              <w:top w:val="nil"/>
              <w:left w:val="single" w:sz="8" w:space="0" w:color="auto"/>
              <w:bottom w:val="nil"/>
              <w:right w:val="single" w:sz="8" w:space="0" w:color="auto"/>
            </w:tcBorders>
            <w:shd w:val="clear" w:color="000000" w:fill="FFFFFF"/>
            <w:noWrap/>
            <w:vAlign w:val="bottom"/>
            <w:hideMark/>
          </w:tcPr>
          <w:p w14:paraId="5F6BC35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-1.28 </w:t>
            </w:r>
          </w:p>
        </w:tc>
        <w:tc>
          <w:tcPr>
            <w:tcW w:w="870" w:type="pct"/>
            <w:tcBorders>
              <w:top w:val="nil"/>
              <w:left w:val="single" w:sz="8" w:space="0" w:color="auto"/>
              <w:bottom w:val="nil"/>
              <w:right w:val="single" w:sz="8" w:space="0" w:color="auto"/>
            </w:tcBorders>
            <w:shd w:val="clear" w:color="000000" w:fill="FFFFFF"/>
            <w:noWrap/>
            <w:vAlign w:val="bottom"/>
            <w:hideMark/>
          </w:tcPr>
          <w:p w14:paraId="44318C8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w:t>
            </w:r>
          </w:p>
        </w:tc>
        <w:tc>
          <w:tcPr>
            <w:tcW w:w="1271" w:type="pct"/>
            <w:tcBorders>
              <w:top w:val="nil"/>
              <w:left w:val="single" w:sz="8" w:space="0" w:color="auto"/>
              <w:bottom w:val="nil"/>
              <w:right w:val="single" w:sz="8" w:space="0" w:color="auto"/>
            </w:tcBorders>
            <w:shd w:val="clear" w:color="000000" w:fill="FFFFFF"/>
            <w:noWrap/>
            <w:vAlign w:val="bottom"/>
            <w:hideMark/>
          </w:tcPr>
          <w:p w14:paraId="3BE8685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-6.19 (-£309,616)</w:t>
            </w:r>
          </w:p>
        </w:tc>
      </w:tr>
      <w:tr w:rsidR="008C3153" w:rsidRPr="00A4278B" w14:paraId="0FD0F40E" w14:textId="77777777" w:rsidTr="00AB705A">
        <w:trPr>
          <w:trHeight w:val="315"/>
        </w:trPr>
        <w:tc>
          <w:tcPr>
            <w:tcW w:w="1153" w:type="pct"/>
            <w:tcBorders>
              <w:top w:val="nil"/>
              <w:left w:val="single" w:sz="8" w:space="0" w:color="auto"/>
              <w:bottom w:val="single" w:sz="8" w:space="0" w:color="auto"/>
              <w:right w:val="single" w:sz="8" w:space="0" w:color="auto"/>
            </w:tcBorders>
            <w:shd w:val="clear" w:color="000000" w:fill="FFFFFF"/>
            <w:noWrap/>
            <w:vAlign w:val="center"/>
            <w:hideMark/>
          </w:tcPr>
          <w:p w14:paraId="2308E388"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Pancreas</w:t>
            </w:r>
          </w:p>
        </w:tc>
        <w:tc>
          <w:tcPr>
            <w:tcW w:w="859" w:type="pct"/>
            <w:tcBorders>
              <w:top w:val="nil"/>
              <w:left w:val="single" w:sz="8" w:space="0" w:color="auto"/>
              <w:bottom w:val="single" w:sz="8" w:space="0" w:color="auto"/>
              <w:right w:val="single" w:sz="8" w:space="0" w:color="auto"/>
            </w:tcBorders>
            <w:shd w:val="clear" w:color="000000" w:fill="FFFFFF"/>
            <w:noWrap/>
            <w:vAlign w:val="center"/>
            <w:hideMark/>
          </w:tcPr>
          <w:p w14:paraId="270DAE9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1.89</w:t>
            </w:r>
          </w:p>
        </w:tc>
        <w:tc>
          <w:tcPr>
            <w:tcW w:w="847" w:type="pct"/>
            <w:tcBorders>
              <w:top w:val="nil"/>
              <w:left w:val="single" w:sz="8" w:space="0" w:color="auto"/>
              <w:bottom w:val="single" w:sz="8" w:space="0" w:color="auto"/>
              <w:right w:val="single" w:sz="8" w:space="0" w:color="auto"/>
            </w:tcBorders>
            <w:shd w:val="clear" w:color="000000" w:fill="FFFFFF"/>
            <w:noWrap/>
            <w:vAlign w:val="bottom"/>
            <w:hideMark/>
          </w:tcPr>
          <w:p w14:paraId="52EF12E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-1.28 </w:t>
            </w:r>
          </w:p>
        </w:tc>
        <w:tc>
          <w:tcPr>
            <w:tcW w:w="870" w:type="pct"/>
            <w:tcBorders>
              <w:top w:val="nil"/>
              <w:left w:val="single" w:sz="8" w:space="0" w:color="auto"/>
              <w:bottom w:val="single" w:sz="8" w:space="0" w:color="auto"/>
              <w:right w:val="single" w:sz="8" w:space="0" w:color="auto"/>
            </w:tcBorders>
            <w:shd w:val="clear" w:color="000000" w:fill="FFFFFF"/>
            <w:noWrap/>
            <w:vAlign w:val="bottom"/>
            <w:hideMark/>
          </w:tcPr>
          <w:p w14:paraId="38B4BEB2"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w:t>
            </w:r>
          </w:p>
        </w:tc>
        <w:tc>
          <w:tcPr>
            <w:tcW w:w="1271" w:type="pct"/>
            <w:tcBorders>
              <w:top w:val="nil"/>
              <w:left w:val="single" w:sz="8" w:space="0" w:color="auto"/>
              <w:bottom w:val="single" w:sz="8" w:space="0" w:color="auto"/>
              <w:right w:val="single" w:sz="8" w:space="0" w:color="auto"/>
            </w:tcBorders>
            <w:shd w:val="clear" w:color="000000" w:fill="FFFFFF"/>
            <w:noWrap/>
            <w:vAlign w:val="bottom"/>
            <w:hideMark/>
          </w:tcPr>
          <w:p w14:paraId="090494E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-21.78 (-£1,089,034)</w:t>
            </w:r>
          </w:p>
        </w:tc>
      </w:tr>
      <w:tr w:rsidR="008C3153" w:rsidRPr="00A4278B" w14:paraId="3F072A73" w14:textId="77777777" w:rsidTr="00AB705A">
        <w:trPr>
          <w:trHeight w:val="315"/>
        </w:trPr>
        <w:tc>
          <w:tcPr>
            <w:tcW w:w="1153" w:type="pct"/>
            <w:tcBorders>
              <w:top w:val="nil"/>
              <w:left w:val="single" w:sz="8" w:space="0" w:color="auto"/>
              <w:bottom w:val="single" w:sz="8" w:space="0" w:color="auto"/>
              <w:right w:val="single" w:sz="8" w:space="0" w:color="auto"/>
            </w:tcBorders>
            <w:shd w:val="clear" w:color="auto" w:fill="auto"/>
            <w:noWrap/>
            <w:vAlign w:val="center"/>
            <w:hideMark/>
          </w:tcPr>
          <w:p w14:paraId="5E2F6EE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Sum</w:t>
            </w:r>
          </w:p>
        </w:tc>
        <w:tc>
          <w:tcPr>
            <w:tcW w:w="859" w:type="pct"/>
            <w:tcBorders>
              <w:top w:val="nil"/>
              <w:left w:val="single" w:sz="8" w:space="0" w:color="auto"/>
              <w:bottom w:val="single" w:sz="8" w:space="0" w:color="auto"/>
              <w:right w:val="single" w:sz="8" w:space="0" w:color="auto"/>
            </w:tcBorders>
            <w:shd w:val="clear" w:color="auto" w:fill="auto"/>
            <w:noWrap/>
            <w:vAlign w:val="bottom"/>
            <w:hideMark/>
          </w:tcPr>
          <w:p w14:paraId="5CBED8D4" w14:textId="77777777" w:rsidR="008C3153" w:rsidRPr="00A4278B" w:rsidRDefault="008C3153" w:rsidP="00A4278B">
            <w:pPr>
              <w:keepNext/>
              <w:keepLines/>
              <w:spacing w:after="0" w:line="240" w:lineRule="auto"/>
              <w:contextualSpacing/>
              <w:rPr>
                <w:rFonts w:eastAsia="Times New Roman" w:cs="Times New Roman"/>
                <w:color w:val="000000"/>
                <w:sz w:val="20"/>
                <w:szCs w:val="20"/>
                <w:lang w:eastAsia="en-GB"/>
              </w:rPr>
            </w:pPr>
            <w:r w:rsidRPr="00A4278B">
              <w:rPr>
                <w:rFonts w:eastAsia="Times New Roman" w:cs="Times New Roman"/>
                <w:color w:val="000000"/>
                <w:sz w:val="20"/>
                <w:szCs w:val="20"/>
                <w:lang w:eastAsia="en-GB"/>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14:paraId="2091245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w:t>
            </w:r>
          </w:p>
        </w:tc>
        <w:tc>
          <w:tcPr>
            <w:tcW w:w="870" w:type="pct"/>
            <w:tcBorders>
              <w:top w:val="nil"/>
              <w:left w:val="single" w:sz="8" w:space="0" w:color="auto"/>
              <w:bottom w:val="single" w:sz="8" w:space="0" w:color="auto"/>
              <w:right w:val="single" w:sz="8" w:space="0" w:color="auto"/>
            </w:tcBorders>
            <w:shd w:val="clear" w:color="auto" w:fill="auto"/>
            <w:noWrap/>
            <w:vAlign w:val="center"/>
            <w:hideMark/>
          </w:tcPr>
          <w:p w14:paraId="7B2C09F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125</w:t>
            </w:r>
          </w:p>
        </w:tc>
        <w:tc>
          <w:tcPr>
            <w:tcW w:w="1271" w:type="pct"/>
            <w:tcBorders>
              <w:top w:val="nil"/>
              <w:left w:val="single" w:sz="8" w:space="0" w:color="auto"/>
              <w:bottom w:val="single" w:sz="8" w:space="0" w:color="auto"/>
              <w:right w:val="single" w:sz="8" w:space="0" w:color="auto"/>
            </w:tcBorders>
            <w:shd w:val="clear" w:color="auto" w:fill="auto"/>
            <w:noWrap/>
            <w:vAlign w:val="center"/>
            <w:hideMark/>
          </w:tcPr>
          <w:p w14:paraId="6386A224"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 (-£827,110)</w:t>
            </w:r>
          </w:p>
        </w:tc>
      </w:tr>
    </w:tbl>
    <w:p w14:paraId="705862BA" w14:textId="77777777" w:rsidR="00A4278B" w:rsidRDefault="00A4278B" w:rsidP="008C3153"/>
    <w:p w14:paraId="0A7E66CE" w14:textId="0A72FBD7" w:rsidR="008C3153" w:rsidRDefault="008C3153" w:rsidP="008C3153">
      <w:r w:rsidRPr="00D35FBC">
        <w:t xml:space="preserve">The </w:t>
      </w:r>
      <w:r w:rsidRPr="006F1E86">
        <w:t>number of patients with sarcoma who express</w:t>
      </w:r>
      <w:r>
        <w:t xml:space="preserve"> the biomarker </w:t>
      </w:r>
      <w:r w:rsidRPr="00D35FBC">
        <w:t xml:space="preserve">is </w:t>
      </w:r>
      <w:r w:rsidR="000D3D7F">
        <w:t xml:space="preserve">approximately </w:t>
      </w:r>
      <w:r>
        <w:t>5</w:t>
      </w:r>
      <w:r w:rsidRPr="00D35FBC">
        <w:t xml:space="preserve"> per year. This means that treating identified </w:t>
      </w:r>
      <w:r>
        <w:t>sarcoma</w:t>
      </w:r>
      <w:r w:rsidRPr="00D35FBC">
        <w:t xml:space="preserve"> patients with the </w:t>
      </w:r>
      <w:r>
        <w:t>Drug X</w:t>
      </w:r>
      <w:r w:rsidRPr="00D35FBC">
        <w:t xml:space="preserve"> is expected to result in a </w:t>
      </w:r>
      <w:r w:rsidR="004856AB">
        <w:t xml:space="preserve">gain of (5 x </w:t>
      </w:r>
      <w:r w:rsidR="004856AB">
        <w:lastRenderedPageBreak/>
        <w:t xml:space="preserve">0.59 </w:t>
      </w:r>
      <w:r w:rsidR="004856AB">
        <w:rPr>
          <w:rFonts w:cs="Times New Roman"/>
        </w:rPr>
        <w:t>≈</w:t>
      </w:r>
      <w:r>
        <w:t>) 2.88</w:t>
      </w:r>
      <w:r w:rsidRPr="00D35FBC">
        <w:t xml:space="preserve"> QALYs per year to the health system when compared to </w:t>
      </w:r>
      <w:r>
        <w:t>SoC</w:t>
      </w:r>
      <w:r w:rsidRPr="00D35FBC">
        <w:t xml:space="preserve">. </w:t>
      </w:r>
      <w:r>
        <w:t xml:space="preserve">This contrasts with treating biomarker positive patients with colon or pancreatic cancer. Using Drug X in these populations </w:t>
      </w:r>
      <w:r w:rsidRPr="00D35FBC">
        <w:t xml:space="preserve">is expected to result in a loss of </w:t>
      </w:r>
      <w:r>
        <w:t xml:space="preserve">15.19 and 21.78 </w:t>
      </w:r>
      <w:r w:rsidRPr="00D35FBC">
        <w:t xml:space="preserve">QALYs </w:t>
      </w:r>
      <w:r>
        <w:t>respectively per year</w:t>
      </w:r>
      <w:r w:rsidRPr="00D35FBC">
        <w:t xml:space="preserve">. </w:t>
      </w:r>
    </w:p>
    <w:p w14:paraId="2E3A9FA4" w14:textId="52F1A099" w:rsidR="008C3153" w:rsidRDefault="008C3153" w:rsidP="008C3153">
      <w:r>
        <w:t xml:space="preserve">By summing up the yearly NHB across all histologies, </w:t>
      </w:r>
      <w:r w:rsidR="008C65BF">
        <w:rPr>
          <w:highlight w:val="yellow"/>
        </w:rPr>
        <w:fldChar w:fldCharType="begin"/>
      </w:r>
      <w:r w:rsidR="008C65BF">
        <w:instrText xml:space="preserve"> REF _Ref30599965 \h </w:instrText>
      </w:r>
      <w:r w:rsidR="008C65BF">
        <w:rPr>
          <w:highlight w:val="yellow"/>
        </w:rPr>
      </w:r>
      <w:r w:rsidR="008C65BF">
        <w:rPr>
          <w:highlight w:val="yellow"/>
        </w:rPr>
        <w:fldChar w:fldCharType="separate"/>
      </w:r>
      <w:r w:rsidR="00CA76BE">
        <w:t xml:space="preserve">Table </w:t>
      </w:r>
      <w:r w:rsidR="00CA76BE">
        <w:rPr>
          <w:noProof/>
        </w:rPr>
        <w:t>29</w:t>
      </w:r>
      <w:r w:rsidR="008C65BF">
        <w:rPr>
          <w:highlight w:val="yellow"/>
        </w:rPr>
        <w:fldChar w:fldCharType="end"/>
      </w:r>
      <w:r>
        <w:t xml:space="preserve"> shows that Drug X is expected to result in an overall loss of </w:t>
      </w:r>
      <w:r w:rsidR="000D3D7F">
        <w:t xml:space="preserve">approximately </w:t>
      </w:r>
      <w:r>
        <w:t xml:space="preserve">17 QALYs per year. This implies that a histology-independent approval for Drug X is not expected to be </w:t>
      </w:r>
      <w:r w:rsidR="009D6CA1">
        <w:t>cost-effective</w:t>
      </w:r>
      <w:r>
        <w:t>. Although Drug X</w:t>
      </w:r>
      <w:r w:rsidRPr="00D35FBC">
        <w:t xml:space="preserve"> </w:t>
      </w:r>
      <w:r>
        <w:t>appears</w:t>
      </w:r>
      <w:r w:rsidRPr="00D35FBC">
        <w:t xml:space="preserve"> </w:t>
      </w:r>
      <w:r w:rsidR="009D6CA1">
        <w:t>cost-effective</w:t>
      </w:r>
      <w:r w:rsidRPr="00D35FBC">
        <w:t xml:space="preserve"> in</w:t>
      </w:r>
      <w:r>
        <w:t xml:space="preserve"> some individual histologies (e.g. sarcoma and IFS)</w:t>
      </w:r>
      <w:r w:rsidR="007000B1">
        <w:t>,</w:t>
      </w:r>
      <w:r w:rsidRPr="00D35FBC">
        <w:t xml:space="preserve"> the </w:t>
      </w:r>
      <w:r>
        <w:t xml:space="preserve">overall </w:t>
      </w:r>
      <w:r w:rsidRPr="00D35FBC">
        <w:t>consequences of ap</w:t>
      </w:r>
      <w:r>
        <w:t>proving for all histologies would result in an overall annual los</w:t>
      </w:r>
      <w:r w:rsidR="006D0C0C">
        <w:t xml:space="preserve">s of health </w:t>
      </w:r>
      <w:r>
        <w:t>to the health system.</w:t>
      </w:r>
      <w:r w:rsidR="00701DE2" w:rsidRPr="00701DE2">
        <w:t xml:space="preserve"> The analys</w:t>
      </w:r>
      <w:r w:rsidR="00701DE2">
        <w:t xml:space="preserve">es </w:t>
      </w:r>
      <w:r w:rsidR="00701DE2" w:rsidRPr="00701DE2">
        <w:t>ill</w:t>
      </w:r>
      <w:r w:rsidR="00701DE2">
        <w:t>ustrate</w:t>
      </w:r>
      <w:r w:rsidR="00701DE2" w:rsidRPr="00701DE2">
        <w:t xml:space="preserve"> the importance of </w:t>
      </w:r>
      <w:r w:rsidR="00701DE2">
        <w:t xml:space="preserve">information on </w:t>
      </w:r>
      <w:r w:rsidR="00701DE2" w:rsidRPr="00701DE2">
        <w:t xml:space="preserve">the relative frequency of histologies </w:t>
      </w:r>
      <w:r w:rsidR="00701DE2">
        <w:t xml:space="preserve">expected </w:t>
      </w:r>
      <w:r w:rsidR="00701DE2" w:rsidRPr="00701DE2">
        <w:t xml:space="preserve">in the </w:t>
      </w:r>
      <w:r w:rsidR="00701DE2">
        <w:t xml:space="preserve">target </w:t>
      </w:r>
      <w:r w:rsidR="00701DE2" w:rsidRPr="00701DE2">
        <w:t>population.</w:t>
      </w:r>
    </w:p>
    <w:p w14:paraId="1A0B0FE7" w14:textId="57B98CF9" w:rsidR="008C3153" w:rsidRPr="00D35FBC" w:rsidRDefault="008C3153" w:rsidP="008C3153">
      <w:pPr>
        <w:pStyle w:val="Heading3"/>
      </w:pPr>
      <w:bookmarkStart w:id="244" w:name="_Toc33776232"/>
      <w:r>
        <w:t>Histology</w:t>
      </w:r>
      <w:r w:rsidR="00FD3AF1">
        <w:t>-</w:t>
      </w:r>
      <w:r>
        <w:t>dependent recommendations and the value of heterogeneity</w:t>
      </w:r>
      <w:bookmarkEnd w:id="244"/>
    </w:p>
    <w:p w14:paraId="356DC2AC" w14:textId="58330A02" w:rsidR="008C3153" w:rsidRDefault="008C3153" w:rsidP="008C3153">
      <w:r>
        <w:t>The assessment</w:t>
      </w:r>
      <w:r w:rsidR="00701DE2">
        <w:t>s</w:t>
      </w:r>
      <w:r>
        <w:t xml:space="preserve"> presented in </w:t>
      </w:r>
      <w:r w:rsidR="008C65BF">
        <w:rPr>
          <w:highlight w:val="yellow"/>
        </w:rPr>
        <w:fldChar w:fldCharType="begin"/>
      </w:r>
      <w:r w:rsidR="008C65BF">
        <w:instrText xml:space="preserve"> REF _Ref30599965 \h </w:instrText>
      </w:r>
      <w:r w:rsidR="008C65BF">
        <w:rPr>
          <w:highlight w:val="yellow"/>
        </w:rPr>
      </w:r>
      <w:r w:rsidR="008C65BF">
        <w:rPr>
          <w:highlight w:val="yellow"/>
        </w:rPr>
        <w:fldChar w:fldCharType="separate"/>
      </w:r>
      <w:r w:rsidR="00CA76BE">
        <w:t xml:space="preserve">Table </w:t>
      </w:r>
      <w:r w:rsidR="00CA76BE">
        <w:rPr>
          <w:noProof/>
        </w:rPr>
        <w:t>29</w:t>
      </w:r>
      <w:r w:rsidR="008C65BF">
        <w:rPr>
          <w:highlight w:val="yellow"/>
        </w:rPr>
        <w:fldChar w:fldCharType="end"/>
      </w:r>
      <w:r>
        <w:t xml:space="preserve"> </w:t>
      </w:r>
      <w:r w:rsidRPr="00D35FBC">
        <w:t xml:space="preserve">can </w:t>
      </w:r>
      <w:r w:rsidR="00701DE2">
        <w:t xml:space="preserve">also </w:t>
      </w:r>
      <w:r w:rsidRPr="00D35FBC">
        <w:t xml:space="preserve">be used to </w:t>
      </w:r>
      <w:r>
        <w:t>compare t</w:t>
      </w:r>
      <w:r w:rsidRPr="00D35FBC">
        <w:t xml:space="preserve">he </w:t>
      </w:r>
      <w:r w:rsidR="00B307BE">
        <w:t>population consequences</w:t>
      </w:r>
      <w:r w:rsidRPr="00D35FBC">
        <w:t xml:space="preserve"> of making </w:t>
      </w:r>
      <w:r>
        <w:t xml:space="preserve">different </w:t>
      </w:r>
      <w:r w:rsidR="00B307BE">
        <w:t xml:space="preserve">policy </w:t>
      </w:r>
      <w:r>
        <w:t>recommendations. Decision makers such as NICE have the option of different approval policies</w:t>
      </w:r>
      <w:r w:rsidR="00B307BE">
        <w:t>:</w:t>
      </w:r>
    </w:p>
    <w:p w14:paraId="4ED20B56" w14:textId="77777777" w:rsidR="008C3153" w:rsidRDefault="008C3153" w:rsidP="009A66EC">
      <w:pPr>
        <w:pStyle w:val="ListParagraph"/>
        <w:numPr>
          <w:ilvl w:val="0"/>
          <w:numId w:val="92"/>
        </w:numPr>
        <w:spacing w:before="0" w:after="160"/>
        <w:ind w:left="714" w:hanging="357"/>
      </w:pPr>
      <w:r>
        <w:t xml:space="preserve">No stratification: Histology-independent approval </w:t>
      </w:r>
    </w:p>
    <w:p w14:paraId="6B09CDB0" w14:textId="632A906F" w:rsidR="008C3153" w:rsidRDefault="008C3153" w:rsidP="009A66EC">
      <w:pPr>
        <w:pStyle w:val="ListParagraph"/>
        <w:numPr>
          <w:ilvl w:val="0"/>
          <w:numId w:val="92"/>
        </w:numPr>
        <w:spacing w:before="0" w:after="160"/>
        <w:ind w:left="714" w:hanging="357"/>
      </w:pPr>
      <w:r>
        <w:t xml:space="preserve">Partial stratification: </w:t>
      </w:r>
      <w:r w:rsidRPr="00FD4FA8">
        <w:t xml:space="preserve">Approval in a </w:t>
      </w:r>
      <w:r w:rsidR="00B307BE">
        <w:t xml:space="preserve">clinically </w:t>
      </w:r>
      <w:r w:rsidRPr="00FD4FA8">
        <w:t>defined set of histologies</w:t>
      </w:r>
    </w:p>
    <w:p w14:paraId="7224C4E8" w14:textId="155159D4" w:rsidR="008C3153" w:rsidRDefault="008C3153" w:rsidP="009A66EC">
      <w:pPr>
        <w:pStyle w:val="ListParagraph"/>
        <w:numPr>
          <w:ilvl w:val="0"/>
          <w:numId w:val="92"/>
        </w:numPr>
        <w:spacing w:before="0" w:after="160"/>
        <w:ind w:left="714" w:hanging="357"/>
      </w:pPr>
      <w:r>
        <w:t xml:space="preserve">Full stratification: </w:t>
      </w:r>
      <w:r w:rsidRPr="00FD4FA8">
        <w:t xml:space="preserve">Approval only in histologies in which </w:t>
      </w:r>
      <w:r w:rsidR="009D6CA1">
        <w:t>cost-effective</w:t>
      </w:r>
      <w:r>
        <w:t xml:space="preserve"> is demonstrated</w:t>
      </w:r>
    </w:p>
    <w:p w14:paraId="07A2EEBF" w14:textId="16549699" w:rsidR="008C3153" w:rsidRDefault="008C3153" w:rsidP="008C3153">
      <w:r>
        <w:t xml:space="preserve">These policies will determine the type of recommendations which are feasible and the </w:t>
      </w:r>
      <w:r w:rsidR="00B307BE">
        <w:t xml:space="preserve">relevant </w:t>
      </w:r>
      <w:r>
        <w:t xml:space="preserve">health </w:t>
      </w:r>
      <w:r w:rsidR="00B307BE">
        <w:t>consequences</w:t>
      </w:r>
      <w:r>
        <w:t xml:space="preserve"> </w:t>
      </w:r>
      <w:r w:rsidR="00B307BE">
        <w:t>that need to be considered.</w:t>
      </w:r>
      <w:r>
        <w:t xml:space="preserve"> Th</w:t>
      </w:r>
      <w:r w:rsidR="00B307BE">
        <w:t xml:space="preserve">e following </w:t>
      </w:r>
      <w:r>
        <w:t xml:space="preserve">section deals only with approval policies </w:t>
      </w:r>
      <w:r w:rsidR="00701DE2">
        <w:t xml:space="preserve">based on expected values </w:t>
      </w:r>
      <w:r w:rsidRPr="00620C2E">
        <w:t xml:space="preserve">without addressing the </w:t>
      </w:r>
      <w:r w:rsidR="00701DE2">
        <w:t xml:space="preserve">impact of uncertainty in decision </w:t>
      </w:r>
      <w:r w:rsidR="008A4DBF">
        <w:t>making. Uncertainty, the need for further evidence and alternative mechanisms to reduce the risk of decision making</w:t>
      </w:r>
      <w:r w:rsidR="006D0C0C">
        <w:t xml:space="preserve"> </w:t>
      </w:r>
      <w:r w:rsidR="008A4DBF">
        <w:t xml:space="preserve">are </w:t>
      </w:r>
      <w:r w:rsidR="00701DE2">
        <w:t>considered in subsequent sections.</w:t>
      </w:r>
    </w:p>
    <w:p w14:paraId="10ADCF9C" w14:textId="77777777" w:rsidR="008C3153" w:rsidRPr="009A5ACC" w:rsidRDefault="008C3153" w:rsidP="008C3153">
      <w:pPr>
        <w:pStyle w:val="Heading3"/>
      </w:pPr>
      <w:bookmarkStart w:id="245" w:name="_Toc33776233"/>
      <w:r>
        <w:t>No stratification: Histology-independent approval</w:t>
      </w:r>
      <w:bookmarkEnd w:id="245"/>
    </w:p>
    <w:p w14:paraId="77024C51" w14:textId="4068F4EF" w:rsidR="008C3153" w:rsidRDefault="008C3153" w:rsidP="008C3153">
      <w:r>
        <w:t xml:space="preserve">This represents an </w:t>
      </w:r>
      <w:r w:rsidR="00A046F9">
        <w:t>‘</w:t>
      </w:r>
      <w:r>
        <w:t>all or nothing</w:t>
      </w:r>
      <w:r w:rsidR="00A046F9">
        <w:t>’</w:t>
      </w:r>
      <w:r>
        <w:t xml:space="preserve"> </w:t>
      </w:r>
      <w:r w:rsidR="00B307BE">
        <w:t xml:space="preserve">approval </w:t>
      </w:r>
      <w:r>
        <w:t xml:space="preserve">policy in which the intervention is approved for all histologies or for none. There is no stratification of decision making by histology. In this case the relevant metric is the pooled ICER (or pooled NHB/NMB equivalent) across all histologies. Based on the results of </w:t>
      </w:r>
      <w:r w:rsidR="008C65BF">
        <w:rPr>
          <w:highlight w:val="yellow"/>
        </w:rPr>
        <w:fldChar w:fldCharType="begin"/>
      </w:r>
      <w:r w:rsidR="008C65BF">
        <w:instrText xml:space="preserve"> REF _Ref30599965 \h </w:instrText>
      </w:r>
      <w:r w:rsidR="008C65BF">
        <w:rPr>
          <w:highlight w:val="yellow"/>
        </w:rPr>
      </w:r>
      <w:r w:rsidR="008C65BF">
        <w:rPr>
          <w:highlight w:val="yellow"/>
        </w:rPr>
        <w:fldChar w:fldCharType="separate"/>
      </w:r>
      <w:r w:rsidR="00C20257">
        <w:t xml:space="preserve">Table </w:t>
      </w:r>
      <w:r w:rsidR="00C20257">
        <w:rPr>
          <w:noProof/>
        </w:rPr>
        <w:t>29</w:t>
      </w:r>
      <w:r w:rsidR="008C65BF">
        <w:rPr>
          <w:highlight w:val="yellow"/>
        </w:rPr>
        <w:fldChar w:fldCharType="end"/>
      </w:r>
      <w:r>
        <w:t>, Drug X would not be approved for use any histology as the pooled NHB is negative (correspondingly the pooled ICER would be higher than the £50,000 per QALY threshold). T</w:t>
      </w:r>
      <w:r w:rsidRPr="00961808">
        <w:t xml:space="preserve">he health system </w:t>
      </w:r>
      <w:r>
        <w:t xml:space="preserve">is expected to lose </w:t>
      </w:r>
      <w:r w:rsidR="000D3D7F">
        <w:t xml:space="preserve">approximately </w:t>
      </w:r>
      <w:r>
        <w:t xml:space="preserve">17 QALYs per year if Drug X was granted </w:t>
      </w:r>
      <w:r w:rsidR="006D0C0C">
        <w:t xml:space="preserve">a </w:t>
      </w:r>
      <w:r>
        <w:t xml:space="preserve">histology-independent approval. </w:t>
      </w:r>
    </w:p>
    <w:p w14:paraId="2E36A58E" w14:textId="622CE769" w:rsidR="008C3153" w:rsidRDefault="008C3153" w:rsidP="008C3153">
      <w:r>
        <w:t xml:space="preserve">However, a further consideration when making histology-independent decisions </w:t>
      </w:r>
      <w:r w:rsidRPr="00D35FBC">
        <w:t xml:space="preserve">is that some histologies </w:t>
      </w:r>
      <w:r>
        <w:t>which may harbour</w:t>
      </w:r>
      <w:r w:rsidRPr="00D35FBC">
        <w:t xml:space="preserve"> the mutation of interest</w:t>
      </w:r>
      <w:r>
        <w:t xml:space="preserve"> </w:t>
      </w:r>
      <w:r w:rsidRPr="00D35FBC">
        <w:t xml:space="preserve">may not be </w:t>
      </w:r>
      <w:r>
        <w:t>directly observed</w:t>
      </w:r>
      <w:r w:rsidRPr="00D35FBC">
        <w:t xml:space="preserve"> in the evidence base at the time of decision making</w:t>
      </w:r>
      <w:r>
        <w:t>, despite the</w:t>
      </w:r>
      <w:r w:rsidRPr="00D35FBC">
        <w:t xml:space="preserve"> inclusion/exclusion criteria of the trial </w:t>
      </w:r>
      <w:r>
        <w:t xml:space="preserve">permitting their </w:t>
      </w:r>
      <w:r>
        <w:lastRenderedPageBreak/>
        <w:t>inclusion</w:t>
      </w:r>
      <w:r w:rsidRPr="00D35FBC">
        <w:t>.</w:t>
      </w:r>
      <w:r>
        <w:t xml:space="preserve"> As these patients may be treated in clinical practice, consideration should be given to the potential impact of considering histolgies which are not represented in the trial data. The larger the incidence of unrepresented NTRK fusion positive histologies, the greater the influence this can have on decision making. In this case study it is estimated that there are 151 NTRK fusion positive cases in the set of unobserved histologies each year (</w:t>
      </w:r>
      <w:r w:rsidR="00BF0D1D">
        <w:t xml:space="preserve">see </w:t>
      </w:r>
      <w:r w:rsidR="00BF0D1D">
        <w:fldChar w:fldCharType="begin"/>
      </w:r>
      <w:r w:rsidR="00BF0D1D">
        <w:instrText xml:space="preserve"> REF _Ref26803034 \h </w:instrText>
      </w:r>
      <w:r w:rsidR="00BF0D1D">
        <w:fldChar w:fldCharType="separate"/>
      </w:r>
      <w:r w:rsidR="00CA76BE" w:rsidRPr="002D1DD7">
        <w:t xml:space="preserve">Table </w:t>
      </w:r>
      <w:r w:rsidR="00CA76BE">
        <w:rPr>
          <w:noProof/>
        </w:rPr>
        <w:t>16</w:t>
      </w:r>
      <w:r w:rsidR="00BF0D1D">
        <w:fldChar w:fldCharType="end"/>
      </w:r>
      <w:r w:rsidR="00BF0D1D">
        <w:t xml:space="preserve">, Section </w:t>
      </w:r>
      <w:r w:rsidR="00BF0D1D">
        <w:fldChar w:fldCharType="begin"/>
      </w:r>
      <w:r w:rsidR="00BF0D1D">
        <w:instrText xml:space="preserve"> REF _Ref32853541 \r \h </w:instrText>
      </w:r>
      <w:r w:rsidR="00BF0D1D">
        <w:fldChar w:fldCharType="separate"/>
      </w:r>
      <w:r w:rsidR="00C663A2">
        <w:t>6.3.4</w:t>
      </w:r>
      <w:r w:rsidR="00BF0D1D">
        <w:fldChar w:fldCharType="end"/>
      </w:r>
      <w:r w:rsidR="00BF0D1D" w:rsidRPr="00BF0D1D">
        <w:t xml:space="preserve"> for details</w:t>
      </w:r>
      <w:r>
        <w:t xml:space="preserve">). This is larger than the 125 cases in the observed set of histologies </w:t>
      </w:r>
      <w:r w:rsidR="00B307BE">
        <w:t xml:space="preserve">represented in the trial </w:t>
      </w:r>
      <w:r>
        <w:t xml:space="preserve">and </w:t>
      </w:r>
      <w:r w:rsidR="00B307BE">
        <w:t>s</w:t>
      </w:r>
      <w:r>
        <w:t>hould be explicitly considered if a histology-independent approval is sought.</w:t>
      </w:r>
    </w:p>
    <w:p w14:paraId="40B4CD34" w14:textId="06D0C09A" w:rsidR="008C3153" w:rsidRDefault="008C3153" w:rsidP="008C3153">
      <w:r>
        <w:t xml:space="preserve">If, as in this case study, the economic model is </w:t>
      </w:r>
      <w:r w:rsidR="00846DC7">
        <w:t>developed</w:t>
      </w:r>
      <w:r>
        <w:t xml:space="preserve"> around the probability or degree of response in each histology and a BHM has been used to analyse response</w:t>
      </w:r>
      <w:r w:rsidR="00846DC7">
        <w:t>,</w:t>
      </w:r>
      <w:r>
        <w:t xml:space="preserve"> then the predictive distribution c</w:t>
      </w:r>
      <w:r w:rsidR="006D0C0C">
        <w:t>ould</w:t>
      </w:r>
      <w:r>
        <w:t xml:space="preserve"> be used to estimate response in the unobserved histologies. </w:t>
      </w:r>
      <w:r w:rsidRPr="00620C2E">
        <w:t>This assumes that the effect</w:t>
      </w:r>
      <w:r>
        <w:t>s</w:t>
      </w:r>
      <w:r w:rsidRPr="00620C2E">
        <w:t xml:space="preserve"> </w:t>
      </w:r>
      <w:r>
        <w:t>for the unobserved histologies are</w:t>
      </w:r>
      <w:r w:rsidRPr="00620C2E">
        <w:t xml:space="preserve"> exchangeable with the observed histologies. </w:t>
      </w:r>
      <w:r>
        <w:t>For Drug X</w:t>
      </w:r>
      <w:r w:rsidR="00076767">
        <w:t>,</w:t>
      </w:r>
      <w:r>
        <w:t xml:space="preserve"> th</w:t>
      </w:r>
      <w:r w:rsidR="008A4DBF">
        <w:t>e</w:t>
      </w:r>
      <w:r>
        <w:t xml:space="preserve"> predictive distribution for response in unobserved histologies has a mean response probability of 57% and is highly uncertain with a 95% credible interval from </w:t>
      </w:r>
      <w:r w:rsidR="000B74BE">
        <w:t xml:space="preserve">1% to </w:t>
      </w:r>
      <w:r>
        <w:t>100%</w:t>
      </w:r>
      <w:r w:rsidR="000B74BE">
        <w:t>.</w:t>
      </w:r>
      <w:r>
        <w:t xml:space="preserve"> If estimates for the remaining parameters (</w:t>
      </w:r>
      <w:r w:rsidR="000B74BE">
        <w:t xml:space="preserve">e.g. </w:t>
      </w:r>
      <w:r>
        <w:t xml:space="preserve">quality of life, testing costs etc.) can be sourced from the literature or generalised from the </w:t>
      </w:r>
      <w:r w:rsidRPr="00620C2E">
        <w:t>observed histologies</w:t>
      </w:r>
      <w:r>
        <w:t>,</w:t>
      </w:r>
      <w:r w:rsidRPr="00620C2E">
        <w:t xml:space="preserve"> then ICER and </w:t>
      </w:r>
      <w:r>
        <w:t>NHB</w:t>
      </w:r>
      <w:r w:rsidRPr="00620C2E">
        <w:t xml:space="preserve"> estimates can </w:t>
      </w:r>
      <w:r>
        <w:t>also be estimated</w:t>
      </w:r>
      <w:r w:rsidRPr="00620C2E">
        <w:t xml:space="preserve"> for unrepresented histologies.</w:t>
      </w:r>
    </w:p>
    <w:p w14:paraId="73312512" w14:textId="570B330F" w:rsidR="008C3153" w:rsidRDefault="008C3153" w:rsidP="008C3153">
      <w:r>
        <w:t xml:space="preserve">The results </w:t>
      </w:r>
      <w:r w:rsidR="006D0C0C">
        <w:t>in</w:t>
      </w:r>
      <w:r>
        <w:t xml:space="preserve"> </w:t>
      </w:r>
      <w:r w:rsidR="008C65BF">
        <w:fldChar w:fldCharType="begin"/>
      </w:r>
      <w:r w:rsidR="008C65BF">
        <w:instrText xml:space="preserve"> REF _Ref30600147 \h </w:instrText>
      </w:r>
      <w:r w:rsidR="008C65BF">
        <w:fldChar w:fldCharType="separate"/>
      </w:r>
      <w:r w:rsidR="00C9471F">
        <w:t xml:space="preserve">Table </w:t>
      </w:r>
      <w:r w:rsidR="00C9471F">
        <w:rPr>
          <w:noProof/>
        </w:rPr>
        <w:t>30</w:t>
      </w:r>
      <w:r w:rsidR="008C65BF">
        <w:fldChar w:fldCharType="end"/>
      </w:r>
      <w:r w:rsidR="008C65BF">
        <w:t xml:space="preserve"> </w:t>
      </w:r>
      <w:r w:rsidRPr="00620C2E">
        <w:t xml:space="preserve">include </w:t>
      </w:r>
      <w:r>
        <w:t xml:space="preserve">the impact of including </w:t>
      </w:r>
      <w:r w:rsidRPr="00620C2E">
        <w:t xml:space="preserve">unrepresented histologies. To simplify the case study, we collapse all unobserved histologies into one </w:t>
      </w:r>
      <w:r w:rsidR="00A046F9">
        <w:t>‘</w:t>
      </w:r>
      <w:r w:rsidRPr="00620C2E">
        <w:t>unrepresented</w:t>
      </w:r>
      <w:r w:rsidR="00A046F9">
        <w:t>’</w:t>
      </w:r>
      <w:r w:rsidRPr="00620C2E">
        <w:t xml:space="preserve"> histology category. The response probability comes from</w:t>
      </w:r>
      <w:r>
        <w:t xml:space="preserve"> the predictive distribution from the BHM, costs and quality of life</w:t>
      </w:r>
      <w:r w:rsidR="008A4DBF">
        <w:t xml:space="preserve"> </w:t>
      </w:r>
      <w:r>
        <w:t xml:space="preserve">are assumed to be the same across all observed and unobserved histologies. The </w:t>
      </w:r>
      <w:r w:rsidRPr="00E36757">
        <w:t>average testing costs</w:t>
      </w:r>
      <w:r w:rsidR="00076767">
        <w:t xml:space="preserve"> </w:t>
      </w:r>
      <w:r w:rsidRPr="00E36757">
        <w:t>for unrepresented histologies were estimated to be £14,32</w:t>
      </w:r>
      <w:r>
        <w:t>2</w:t>
      </w:r>
      <w:r w:rsidR="00076767">
        <w:t xml:space="preserve"> per patient tested</w:t>
      </w:r>
      <w:r w:rsidRPr="00E36757">
        <w:t xml:space="preserve">. This </w:t>
      </w:r>
      <w:r w:rsidR="007000B1">
        <w:t xml:space="preserve">estimate was based on </w:t>
      </w:r>
      <w:r w:rsidRPr="00E36757">
        <w:t xml:space="preserve">observational data on NTRK fusion </w:t>
      </w:r>
      <w:r w:rsidRPr="00C93EA9">
        <w:t>prevalence</w:t>
      </w:r>
      <w:r w:rsidR="007000B1">
        <w:t xml:space="preserve"> (s</w:t>
      </w:r>
      <w:r w:rsidR="00C93EA9" w:rsidRPr="00C93EA9">
        <w:t>ee Appendix 12</w:t>
      </w:r>
      <w:r w:rsidRPr="00C93EA9">
        <w:t xml:space="preserve"> for details</w:t>
      </w:r>
      <w:r w:rsidR="007000B1">
        <w:t>)</w:t>
      </w:r>
      <w:r w:rsidRPr="00C93EA9">
        <w:t>.</w:t>
      </w:r>
    </w:p>
    <w:p w14:paraId="3F681F65" w14:textId="62B438EB" w:rsidR="008C3153" w:rsidRDefault="008C3153" w:rsidP="008C3153">
      <w:pPr>
        <w:pStyle w:val="Caption"/>
      </w:pPr>
      <w:bookmarkStart w:id="246" w:name="_Ref30600147"/>
      <w:bookmarkStart w:id="247" w:name="_Toc34033544"/>
      <w:r>
        <w:lastRenderedPageBreak/>
        <w:t xml:space="preserve">Table </w:t>
      </w:r>
      <w:r w:rsidR="00C974E5">
        <w:fldChar w:fldCharType="begin"/>
      </w:r>
      <w:r w:rsidR="00C974E5">
        <w:instrText xml:space="preserve"> SEQ Table \* ARABIC </w:instrText>
      </w:r>
      <w:r w:rsidR="00C974E5">
        <w:fldChar w:fldCharType="separate"/>
      </w:r>
      <w:r w:rsidR="00C9471F">
        <w:rPr>
          <w:noProof/>
        </w:rPr>
        <w:t>30</w:t>
      </w:r>
      <w:r w:rsidR="00C974E5">
        <w:rPr>
          <w:noProof/>
        </w:rPr>
        <w:fldChar w:fldCharType="end"/>
      </w:r>
      <w:bookmarkEnd w:id="246"/>
      <w:r w:rsidR="008C7423">
        <w:rPr>
          <w:noProof/>
        </w:rPr>
        <w:t>:</w:t>
      </w:r>
      <w:r>
        <w:t xml:space="preserve"> Incorporating unrepresented histologies into estimate of population net health effects (NHBs)</w:t>
      </w:r>
      <w:bookmarkEnd w:id="247"/>
    </w:p>
    <w:tbl>
      <w:tblPr>
        <w:tblW w:w="5340" w:type="pct"/>
        <w:tblLook w:val="04A0" w:firstRow="1" w:lastRow="0" w:firstColumn="1" w:lastColumn="0" w:noHBand="0" w:noVBand="1"/>
      </w:tblPr>
      <w:tblGrid>
        <w:gridCol w:w="2208"/>
        <w:gridCol w:w="1704"/>
        <w:gridCol w:w="1567"/>
        <w:gridCol w:w="1645"/>
        <w:gridCol w:w="2516"/>
      </w:tblGrid>
      <w:tr w:rsidR="008C3153" w:rsidRPr="00A4278B" w14:paraId="7456739D" w14:textId="77777777" w:rsidTr="008C3153">
        <w:trPr>
          <w:trHeight w:val="315"/>
        </w:trPr>
        <w:tc>
          <w:tcPr>
            <w:tcW w:w="1145" w:type="pct"/>
            <w:tcBorders>
              <w:top w:val="single" w:sz="8" w:space="0" w:color="auto"/>
              <w:left w:val="nil"/>
              <w:bottom w:val="single" w:sz="8" w:space="0" w:color="auto"/>
              <w:right w:val="nil"/>
            </w:tcBorders>
            <w:shd w:val="clear" w:color="auto" w:fill="auto"/>
            <w:noWrap/>
            <w:vAlign w:val="center"/>
            <w:hideMark/>
          </w:tcPr>
          <w:p w14:paraId="18894946"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Subgroup</w:t>
            </w:r>
          </w:p>
        </w:tc>
        <w:tc>
          <w:tcPr>
            <w:tcW w:w="1697" w:type="pct"/>
            <w:gridSpan w:val="2"/>
            <w:tcBorders>
              <w:top w:val="single" w:sz="8" w:space="0" w:color="auto"/>
              <w:left w:val="nil"/>
              <w:bottom w:val="single" w:sz="8" w:space="0" w:color="auto"/>
              <w:right w:val="nil"/>
            </w:tcBorders>
            <w:shd w:val="clear" w:color="auto" w:fill="auto"/>
            <w:vAlign w:val="center"/>
            <w:hideMark/>
          </w:tcPr>
          <w:p w14:paraId="65CCC544"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Per patient level                                             £50,000 per QALY threshold</w:t>
            </w:r>
          </w:p>
        </w:tc>
        <w:tc>
          <w:tcPr>
            <w:tcW w:w="2158" w:type="pct"/>
            <w:gridSpan w:val="2"/>
            <w:tcBorders>
              <w:top w:val="single" w:sz="8" w:space="0" w:color="auto"/>
              <w:left w:val="nil"/>
              <w:bottom w:val="single" w:sz="8" w:space="0" w:color="auto"/>
              <w:right w:val="nil"/>
            </w:tcBorders>
            <w:shd w:val="clear" w:color="auto" w:fill="auto"/>
            <w:noWrap/>
            <w:vAlign w:val="center"/>
            <w:hideMark/>
          </w:tcPr>
          <w:p w14:paraId="7BB89C70"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Population level </w:t>
            </w:r>
          </w:p>
        </w:tc>
      </w:tr>
      <w:tr w:rsidR="008C3153" w:rsidRPr="00A4278B" w14:paraId="1CBE4D12" w14:textId="77777777" w:rsidTr="008C3153">
        <w:trPr>
          <w:trHeight w:val="1215"/>
        </w:trPr>
        <w:tc>
          <w:tcPr>
            <w:tcW w:w="1145" w:type="pct"/>
            <w:tcBorders>
              <w:top w:val="nil"/>
              <w:left w:val="nil"/>
              <w:bottom w:val="single" w:sz="8" w:space="0" w:color="auto"/>
              <w:right w:val="nil"/>
            </w:tcBorders>
            <w:shd w:val="clear" w:color="auto" w:fill="auto"/>
            <w:noWrap/>
            <w:vAlign w:val="bottom"/>
            <w:hideMark/>
          </w:tcPr>
          <w:p w14:paraId="339E42D9" w14:textId="77777777" w:rsidR="008C3153" w:rsidRPr="00A4278B" w:rsidRDefault="008C3153" w:rsidP="00A4278B">
            <w:pPr>
              <w:keepNext/>
              <w:keepLines/>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884" w:type="pct"/>
            <w:tcBorders>
              <w:top w:val="nil"/>
              <w:left w:val="nil"/>
              <w:bottom w:val="single" w:sz="8" w:space="0" w:color="auto"/>
              <w:right w:val="nil"/>
            </w:tcBorders>
            <w:shd w:val="clear" w:color="auto" w:fill="auto"/>
            <w:vAlign w:val="center"/>
            <w:hideMark/>
          </w:tcPr>
          <w:p w14:paraId="59775F90" w14:textId="259F411F"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 xml:space="preserve"> (ΔCost/£50,000)</w:t>
            </w:r>
          </w:p>
        </w:tc>
        <w:tc>
          <w:tcPr>
            <w:tcW w:w="812" w:type="pct"/>
            <w:tcBorders>
              <w:top w:val="nil"/>
              <w:left w:val="nil"/>
              <w:bottom w:val="single" w:sz="8" w:space="0" w:color="auto"/>
              <w:right w:val="nil"/>
            </w:tcBorders>
            <w:shd w:val="clear" w:color="auto" w:fill="auto"/>
            <w:vAlign w:val="center"/>
            <w:hideMark/>
          </w:tcPr>
          <w:p w14:paraId="539A0442" w14:textId="00CA7D3E"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NHB (ΔQALY - 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w:t>
            </w:r>
          </w:p>
        </w:tc>
        <w:tc>
          <w:tcPr>
            <w:tcW w:w="853" w:type="pct"/>
            <w:tcBorders>
              <w:top w:val="nil"/>
              <w:left w:val="nil"/>
              <w:bottom w:val="single" w:sz="8" w:space="0" w:color="auto"/>
              <w:right w:val="nil"/>
            </w:tcBorders>
            <w:shd w:val="clear" w:color="auto" w:fill="auto"/>
            <w:vAlign w:val="center"/>
            <w:hideMark/>
          </w:tcPr>
          <w:p w14:paraId="56A235DC"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Incidence</w:t>
            </w:r>
          </w:p>
        </w:tc>
        <w:tc>
          <w:tcPr>
            <w:tcW w:w="1305" w:type="pct"/>
            <w:tcBorders>
              <w:top w:val="nil"/>
              <w:left w:val="nil"/>
              <w:bottom w:val="single" w:sz="8" w:space="0" w:color="auto"/>
              <w:right w:val="nil"/>
            </w:tcBorders>
            <w:shd w:val="clear" w:color="auto" w:fill="auto"/>
            <w:vAlign w:val="center"/>
            <w:hideMark/>
          </w:tcPr>
          <w:p w14:paraId="27F9299E" w14:textId="77777777" w:rsidR="008C3153" w:rsidRPr="00A4278B" w:rsidRDefault="008C3153" w:rsidP="00A4278B">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NHB, QALYs (NMB, £)</w:t>
            </w:r>
          </w:p>
        </w:tc>
      </w:tr>
      <w:tr w:rsidR="008C3153" w:rsidRPr="00A4278B" w14:paraId="0855E9F4" w14:textId="77777777" w:rsidTr="008C3153">
        <w:trPr>
          <w:trHeight w:val="300"/>
        </w:trPr>
        <w:tc>
          <w:tcPr>
            <w:tcW w:w="1145" w:type="pct"/>
            <w:tcBorders>
              <w:top w:val="nil"/>
              <w:left w:val="nil"/>
              <w:bottom w:val="nil"/>
              <w:right w:val="nil"/>
            </w:tcBorders>
            <w:shd w:val="clear" w:color="000000" w:fill="FFFFFF"/>
            <w:noWrap/>
            <w:vAlign w:val="center"/>
            <w:hideMark/>
          </w:tcPr>
          <w:p w14:paraId="4B9F67A2"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Sarcoma</w:t>
            </w:r>
          </w:p>
        </w:tc>
        <w:tc>
          <w:tcPr>
            <w:tcW w:w="884" w:type="pct"/>
            <w:tcBorders>
              <w:top w:val="nil"/>
              <w:left w:val="nil"/>
              <w:bottom w:val="nil"/>
              <w:right w:val="nil"/>
            </w:tcBorders>
            <w:shd w:val="clear" w:color="000000" w:fill="FFFFFF"/>
            <w:noWrap/>
            <w:vAlign w:val="center"/>
            <w:hideMark/>
          </w:tcPr>
          <w:p w14:paraId="3D577F4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1.12</w:t>
            </w:r>
          </w:p>
        </w:tc>
        <w:tc>
          <w:tcPr>
            <w:tcW w:w="812" w:type="pct"/>
            <w:tcBorders>
              <w:top w:val="nil"/>
              <w:left w:val="nil"/>
              <w:bottom w:val="nil"/>
              <w:right w:val="nil"/>
            </w:tcBorders>
            <w:shd w:val="clear" w:color="000000" w:fill="FFFFFF"/>
            <w:noWrap/>
            <w:vAlign w:val="bottom"/>
            <w:hideMark/>
          </w:tcPr>
          <w:p w14:paraId="60B9AC7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0.59 </w:t>
            </w:r>
          </w:p>
        </w:tc>
        <w:tc>
          <w:tcPr>
            <w:tcW w:w="853" w:type="pct"/>
            <w:tcBorders>
              <w:top w:val="nil"/>
              <w:left w:val="nil"/>
              <w:bottom w:val="nil"/>
              <w:right w:val="nil"/>
            </w:tcBorders>
            <w:shd w:val="clear" w:color="000000" w:fill="FFFFFF"/>
            <w:noWrap/>
            <w:vAlign w:val="bottom"/>
            <w:hideMark/>
          </w:tcPr>
          <w:p w14:paraId="4E193DF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w:t>
            </w:r>
          </w:p>
        </w:tc>
        <w:tc>
          <w:tcPr>
            <w:tcW w:w="1305" w:type="pct"/>
            <w:tcBorders>
              <w:top w:val="nil"/>
              <w:left w:val="nil"/>
              <w:bottom w:val="nil"/>
              <w:right w:val="nil"/>
            </w:tcBorders>
            <w:shd w:val="clear" w:color="000000" w:fill="FFFFFF"/>
            <w:noWrap/>
            <w:vAlign w:val="bottom"/>
            <w:hideMark/>
          </w:tcPr>
          <w:p w14:paraId="396C3C6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2.88 (£144,046)</w:t>
            </w:r>
          </w:p>
        </w:tc>
      </w:tr>
      <w:tr w:rsidR="008C3153" w:rsidRPr="00A4278B" w14:paraId="2BF3C249" w14:textId="77777777" w:rsidTr="008C3153">
        <w:trPr>
          <w:trHeight w:val="300"/>
        </w:trPr>
        <w:tc>
          <w:tcPr>
            <w:tcW w:w="1145" w:type="pct"/>
            <w:tcBorders>
              <w:top w:val="nil"/>
              <w:left w:val="nil"/>
              <w:bottom w:val="nil"/>
              <w:right w:val="nil"/>
            </w:tcBorders>
            <w:shd w:val="clear" w:color="000000" w:fill="FFFFFF"/>
            <w:noWrap/>
            <w:vAlign w:val="center"/>
            <w:hideMark/>
          </w:tcPr>
          <w:p w14:paraId="62FCE166"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Salivary gland</w:t>
            </w:r>
          </w:p>
        </w:tc>
        <w:tc>
          <w:tcPr>
            <w:tcW w:w="884" w:type="pct"/>
            <w:tcBorders>
              <w:top w:val="nil"/>
              <w:left w:val="nil"/>
              <w:bottom w:val="nil"/>
              <w:right w:val="nil"/>
            </w:tcBorders>
            <w:shd w:val="clear" w:color="000000" w:fill="FFFFFF"/>
            <w:noWrap/>
            <w:vAlign w:val="center"/>
            <w:hideMark/>
          </w:tcPr>
          <w:p w14:paraId="1A5FE2E5"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0.89</w:t>
            </w:r>
          </w:p>
        </w:tc>
        <w:tc>
          <w:tcPr>
            <w:tcW w:w="812" w:type="pct"/>
            <w:tcBorders>
              <w:top w:val="nil"/>
              <w:left w:val="nil"/>
              <w:bottom w:val="nil"/>
              <w:right w:val="nil"/>
            </w:tcBorders>
            <w:shd w:val="clear" w:color="000000" w:fill="FFFFFF"/>
            <w:noWrap/>
            <w:vAlign w:val="bottom"/>
            <w:hideMark/>
          </w:tcPr>
          <w:p w14:paraId="6B9020B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0.70 </w:t>
            </w:r>
          </w:p>
        </w:tc>
        <w:tc>
          <w:tcPr>
            <w:tcW w:w="853" w:type="pct"/>
            <w:tcBorders>
              <w:top w:val="nil"/>
              <w:left w:val="nil"/>
              <w:bottom w:val="nil"/>
              <w:right w:val="nil"/>
            </w:tcBorders>
            <w:shd w:val="clear" w:color="000000" w:fill="FFFFFF"/>
            <w:noWrap/>
            <w:vAlign w:val="bottom"/>
            <w:hideMark/>
          </w:tcPr>
          <w:p w14:paraId="1342F44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w:t>
            </w:r>
          </w:p>
        </w:tc>
        <w:tc>
          <w:tcPr>
            <w:tcW w:w="1305" w:type="pct"/>
            <w:tcBorders>
              <w:top w:val="nil"/>
              <w:left w:val="nil"/>
              <w:bottom w:val="nil"/>
              <w:right w:val="nil"/>
            </w:tcBorders>
            <w:shd w:val="clear" w:color="000000" w:fill="FFFFFF"/>
            <w:noWrap/>
            <w:vAlign w:val="bottom"/>
            <w:hideMark/>
          </w:tcPr>
          <w:p w14:paraId="0AA30B4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1.56 (£78,201)</w:t>
            </w:r>
          </w:p>
        </w:tc>
      </w:tr>
      <w:tr w:rsidR="008C3153" w:rsidRPr="00A4278B" w14:paraId="3D8A13EE" w14:textId="77777777" w:rsidTr="008C3153">
        <w:trPr>
          <w:trHeight w:val="300"/>
        </w:trPr>
        <w:tc>
          <w:tcPr>
            <w:tcW w:w="1145" w:type="pct"/>
            <w:tcBorders>
              <w:top w:val="nil"/>
              <w:left w:val="nil"/>
              <w:bottom w:val="nil"/>
              <w:right w:val="nil"/>
            </w:tcBorders>
            <w:shd w:val="clear" w:color="000000" w:fill="FFFFFF"/>
            <w:noWrap/>
            <w:vAlign w:val="center"/>
            <w:hideMark/>
          </w:tcPr>
          <w:p w14:paraId="41714628"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IFS</w:t>
            </w:r>
          </w:p>
        </w:tc>
        <w:tc>
          <w:tcPr>
            <w:tcW w:w="884" w:type="pct"/>
            <w:tcBorders>
              <w:top w:val="nil"/>
              <w:left w:val="nil"/>
              <w:bottom w:val="nil"/>
              <w:right w:val="nil"/>
            </w:tcBorders>
            <w:shd w:val="clear" w:color="000000" w:fill="FFFFFF"/>
            <w:noWrap/>
            <w:vAlign w:val="center"/>
            <w:hideMark/>
          </w:tcPr>
          <w:p w14:paraId="319D4BF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0.98</w:t>
            </w:r>
          </w:p>
        </w:tc>
        <w:tc>
          <w:tcPr>
            <w:tcW w:w="812" w:type="pct"/>
            <w:tcBorders>
              <w:top w:val="nil"/>
              <w:left w:val="nil"/>
              <w:bottom w:val="nil"/>
              <w:right w:val="nil"/>
            </w:tcBorders>
            <w:shd w:val="clear" w:color="000000" w:fill="FFFFFF"/>
            <w:noWrap/>
            <w:vAlign w:val="bottom"/>
            <w:hideMark/>
          </w:tcPr>
          <w:p w14:paraId="7A79127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0.82 </w:t>
            </w:r>
          </w:p>
        </w:tc>
        <w:tc>
          <w:tcPr>
            <w:tcW w:w="853" w:type="pct"/>
            <w:tcBorders>
              <w:top w:val="nil"/>
              <w:left w:val="nil"/>
              <w:bottom w:val="nil"/>
              <w:right w:val="nil"/>
            </w:tcBorders>
            <w:shd w:val="clear" w:color="000000" w:fill="FFFFFF"/>
            <w:noWrap/>
            <w:vAlign w:val="bottom"/>
            <w:hideMark/>
          </w:tcPr>
          <w:p w14:paraId="11C6F644"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w:t>
            </w:r>
          </w:p>
        </w:tc>
        <w:tc>
          <w:tcPr>
            <w:tcW w:w="1305" w:type="pct"/>
            <w:tcBorders>
              <w:top w:val="nil"/>
              <w:left w:val="nil"/>
              <w:bottom w:val="nil"/>
              <w:right w:val="nil"/>
            </w:tcBorders>
            <w:shd w:val="clear" w:color="000000" w:fill="FFFFFF"/>
            <w:noWrap/>
            <w:vAlign w:val="bottom"/>
            <w:hideMark/>
          </w:tcPr>
          <w:p w14:paraId="18E252A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22.35 (£1,117,570)</w:t>
            </w:r>
          </w:p>
        </w:tc>
      </w:tr>
      <w:tr w:rsidR="008C3153" w:rsidRPr="00A4278B" w14:paraId="2D646857" w14:textId="77777777" w:rsidTr="008C3153">
        <w:trPr>
          <w:trHeight w:val="300"/>
        </w:trPr>
        <w:tc>
          <w:tcPr>
            <w:tcW w:w="1145" w:type="pct"/>
            <w:tcBorders>
              <w:top w:val="nil"/>
              <w:left w:val="nil"/>
              <w:bottom w:val="nil"/>
              <w:right w:val="nil"/>
            </w:tcBorders>
            <w:shd w:val="clear" w:color="000000" w:fill="FFFFFF"/>
            <w:noWrap/>
            <w:vAlign w:val="center"/>
            <w:hideMark/>
          </w:tcPr>
          <w:p w14:paraId="752B78EF"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Thyroid</w:t>
            </w:r>
          </w:p>
        </w:tc>
        <w:tc>
          <w:tcPr>
            <w:tcW w:w="884" w:type="pct"/>
            <w:tcBorders>
              <w:top w:val="nil"/>
              <w:left w:val="nil"/>
              <w:bottom w:val="nil"/>
              <w:right w:val="nil"/>
            </w:tcBorders>
            <w:shd w:val="clear" w:color="000000" w:fill="FFFFFF"/>
            <w:noWrap/>
            <w:vAlign w:val="center"/>
            <w:hideMark/>
          </w:tcPr>
          <w:p w14:paraId="1FCB631C"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1.07</w:t>
            </w:r>
          </w:p>
        </w:tc>
        <w:tc>
          <w:tcPr>
            <w:tcW w:w="812" w:type="pct"/>
            <w:tcBorders>
              <w:top w:val="nil"/>
              <w:left w:val="nil"/>
              <w:bottom w:val="nil"/>
              <w:right w:val="nil"/>
            </w:tcBorders>
            <w:shd w:val="clear" w:color="000000" w:fill="FFFFFF"/>
            <w:noWrap/>
            <w:vAlign w:val="bottom"/>
            <w:hideMark/>
          </w:tcPr>
          <w:p w14:paraId="58A5ED6E"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0.69 </w:t>
            </w:r>
          </w:p>
        </w:tc>
        <w:tc>
          <w:tcPr>
            <w:tcW w:w="853" w:type="pct"/>
            <w:tcBorders>
              <w:top w:val="nil"/>
              <w:left w:val="nil"/>
              <w:bottom w:val="nil"/>
              <w:right w:val="nil"/>
            </w:tcBorders>
            <w:shd w:val="clear" w:color="000000" w:fill="FFFFFF"/>
            <w:noWrap/>
            <w:vAlign w:val="bottom"/>
            <w:hideMark/>
          </w:tcPr>
          <w:p w14:paraId="7092810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w:t>
            </w:r>
          </w:p>
        </w:tc>
        <w:tc>
          <w:tcPr>
            <w:tcW w:w="1305" w:type="pct"/>
            <w:tcBorders>
              <w:top w:val="nil"/>
              <w:left w:val="nil"/>
              <w:bottom w:val="nil"/>
              <w:right w:val="nil"/>
            </w:tcBorders>
            <w:shd w:val="clear" w:color="000000" w:fill="FFFFFF"/>
            <w:noWrap/>
            <w:vAlign w:val="bottom"/>
            <w:hideMark/>
          </w:tcPr>
          <w:p w14:paraId="3F6C00B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4.32 (£216,219)</w:t>
            </w:r>
          </w:p>
        </w:tc>
      </w:tr>
      <w:tr w:rsidR="008C3153" w:rsidRPr="00A4278B" w14:paraId="34E52D6B" w14:textId="77777777" w:rsidTr="008C3153">
        <w:trPr>
          <w:trHeight w:val="300"/>
        </w:trPr>
        <w:tc>
          <w:tcPr>
            <w:tcW w:w="1145" w:type="pct"/>
            <w:tcBorders>
              <w:top w:val="nil"/>
              <w:left w:val="nil"/>
              <w:bottom w:val="nil"/>
              <w:right w:val="nil"/>
            </w:tcBorders>
            <w:shd w:val="clear" w:color="000000" w:fill="FFFFFF"/>
            <w:noWrap/>
            <w:vAlign w:val="center"/>
            <w:hideMark/>
          </w:tcPr>
          <w:p w14:paraId="00038EC0"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Lung</w:t>
            </w:r>
          </w:p>
        </w:tc>
        <w:tc>
          <w:tcPr>
            <w:tcW w:w="884" w:type="pct"/>
            <w:tcBorders>
              <w:top w:val="nil"/>
              <w:left w:val="nil"/>
              <w:bottom w:val="nil"/>
              <w:right w:val="nil"/>
            </w:tcBorders>
            <w:shd w:val="clear" w:color="000000" w:fill="FFFFFF"/>
            <w:noWrap/>
            <w:vAlign w:val="center"/>
            <w:hideMark/>
          </w:tcPr>
          <w:p w14:paraId="2388179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1.92</w:t>
            </w:r>
          </w:p>
        </w:tc>
        <w:tc>
          <w:tcPr>
            <w:tcW w:w="812" w:type="pct"/>
            <w:tcBorders>
              <w:top w:val="nil"/>
              <w:left w:val="nil"/>
              <w:bottom w:val="nil"/>
              <w:right w:val="nil"/>
            </w:tcBorders>
            <w:shd w:val="clear" w:color="000000" w:fill="FFFFFF"/>
            <w:noWrap/>
            <w:vAlign w:val="bottom"/>
            <w:hideMark/>
          </w:tcPr>
          <w:p w14:paraId="36FEE74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-0.51 </w:t>
            </w:r>
          </w:p>
        </w:tc>
        <w:tc>
          <w:tcPr>
            <w:tcW w:w="853" w:type="pct"/>
            <w:tcBorders>
              <w:top w:val="nil"/>
              <w:left w:val="nil"/>
              <w:bottom w:val="nil"/>
              <w:right w:val="nil"/>
            </w:tcBorders>
            <w:shd w:val="clear" w:color="000000" w:fill="FFFFFF"/>
            <w:noWrap/>
            <w:vAlign w:val="bottom"/>
            <w:hideMark/>
          </w:tcPr>
          <w:p w14:paraId="6BFAB4F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w:t>
            </w:r>
          </w:p>
        </w:tc>
        <w:tc>
          <w:tcPr>
            <w:tcW w:w="1305" w:type="pct"/>
            <w:tcBorders>
              <w:top w:val="nil"/>
              <w:left w:val="nil"/>
              <w:bottom w:val="nil"/>
              <w:right w:val="nil"/>
            </w:tcBorders>
            <w:shd w:val="clear" w:color="000000" w:fill="FFFFFF"/>
            <w:noWrap/>
            <w:vAlign w:val="bottom"/>
            <w:hideMark/>
          </w:tcPr>
          <w:p w14:paraId="0BFE468C"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-8.52 (-£426,230)</w:t>
            </w:r>
          </w:p>
        </w:tc>
      </w:tr>
      <w:tr w:rsidR="008C3153" w:rsidRPr="00A4278B" w14:paraId="5C61CFDC" w14:textId="77777777" w:rsidTr="008C3153">
        <w:trPr>
          <w:trHeight w:val="300"/>
        </w:trPr>
        <w:tc>
          <w:tcPr>
            <w:tcW w:w="1145" w:type="pct"/>
            <w:tcBorders>
              <w:top w:val="nil"/>
              <w:left w:val="nil"/>
              <w:bottom w:val="nil"/>
              <w:right w:val="nil"/>
            </w:tcBorders>
            <w:shd w:val="clear" w:color="000000" w:fill="FFFFFF"/>
            <w:noWrap/>
            <w:vAlign w:val="center"/>
            <w:hideMark/>
          </w:tcPr>
          <w:p w14:paraId="570C436D"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Melanoma</w:t>
            </w:r>
          </w:p>
        </w:tc>
        <w:tc>
          <w:tcPr>
            <w:tcW w:w="884" w:type="pct"/>
            <w:tcBorders>
              <w:top w:val="nil"/>
              <w:left w:val="nil"/>
              <w:bottom w:val="nil"/>
              <w:right w:val="nil"/>
            </w:tcBorders>
            <w:shd w:val="clear" w:color="000000" w:fill="FFFFFF"/>
            <w:noWrap/>
            <w:vAlign w:val="center"/>
            <w:hideMark/>
          </w:tcPr>
          <w:p w14:paraId="0C83997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1.13</w:t>
            </w:r>
          </w:p>
        </w:tc>
        <w:tc>
          <w:tcPr>
            <w:tcW w:w="812" w:type="pct"/>
            <w:tcBorders>
              <w:top w:val="nil"/>
              <w:left w:val="nil"/>
              <w:bottom w:val="nil"/>
              <w:right w:val="nil"/>
            </w:tcBorders>
            <w:shd w:val="clear" w:color="000000" w:fill="FFFFFF"/>
            <w:noWrap/>
            <w:vAlign w:val="bottom"/>
            <w:hideMark/>
          </w:tcPr>
          <w:p w14:paraId="2FA3678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-0.09 </w:t>
            </w:r>
          </w:p>
        </w:tc>
        <w:tc>
          <w:tcPr>
            <w:tcW w:w="853" w:type="pct"/>
            <w:tcBorders>
              <w:top w:val="nil"/>
              <w:left w:val="nil"/>
              <w:bottom w:val="nil"/>
              <w:right w:val="nil"/>
            </w:tcBorders>
            <w:shd w:val="clear" w:color="000000" w:fill="FFFFFF"/>
            <w:noWrap/>
            <w:vAlign w:val="bottom"/>
            <w:hideMark/>
          </w:tcPr>
          <w:p w14:paraId="2AC6DB0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w:t>
            </w:r>
          </w:p>
        </w:tc>
        <w:tc>
          <w:tcPr>
            <w:tcW w:w="1305" w:type="pct"/>
            <w:tcBorders>
              <w:top w:val="nil"/>
              <w:left w:val="nil"/>
              <w:bottom w:val="nil"/>
              <w:right w:val="nil"/>
            </w:tcBorders>
            <w:shd w:val="clear" w:color="000000" w:fill="FFFFFF"/>
            <w:noWrap/>
            <w:vAlign w:val="bottom"/>
            <w:hideMark/>
          </w:tcPr>
          <w:p w14:paraId="29CDEF4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-0.23 (-£11,276)</w:t>
            </w:r>
          </w:p>
        </w:tc>
      </w:tr>
      <w:tr w:rsidR="008C3153" w:rsidRPr="00A4278B" w14:paraId="7B30E21D" w14:textId="77777777" w:rsidTr="008C3153">
        <w:trPr>
          <w:trHeight w:val="255"/>
        </w:trPr>
        <w:tc>
          <w:tcPr>
            <w:tcW w:w="1145" w:type="pct"/>
            <w:tcBorders>
              <w:top w:val="nil"/>
              <w:left w:val="nil"/>
              <w:bottom w:val="nil"/>
              <w:right w:val="nil"/>
            </w:tcBorders>
            <w:shd w:val="clear" w:color="000000" w:fill="FFFFFF"/>
            <w:noWrap/>
            <w:vAlign w:val="center"/>
            <w:hideMark/>
          </w:tcPr>
          <w:p w14:paraId="2F700CEE"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Colon</w:t>
            </w:r>
          </w:p>
        </w:tc>
        <w:tc>
          <w:tcPr>
            <w:tcW w:w="884" w:type="pct"/>
            <w:tcBorders>
              <w:top w:val="nil"/>
              <w:left w:val="nil"/>
              <w:bottom w:val="nil"/>
              <w:right w:val="nil"/>
            </w:tcBorders>
            <w:shd w:val="clear" w:color="000000" w:fill="FFFFFF"/>
            <w:noWrap/>
            <w:vAlign w:val="center"/>
            <w:hideMark/>
          </w:tcPr>
          <w:p w14:paraId="78ACD06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1.32</w:t>
            </w:r>
          </w:p>
        </w:tc>
        <w:tc>
          <w:tcPr>
            <w:tcW w:w="812" w:type="pct"/>
            <w:tcBorders>
              <w:top w:val="nil"/>
              <w:left w:val="nil"/>
              <w:bottom w:val="nil"/>
              <w:right w:val="nil"/>
            </w:tcBorders>
            <w:shd w:val="clear" w:color="000000" w:fill="FFFFFF"/>
            <w:noWrap/>
            <w:vAlign w:val="bottom"/>
            <w:hideMark/>
          </w:tcPr>
          <w:p w14:paraId="18C4571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-0.66 </w:t>
            </w:r>
          </w:p>
        </w:tc>
        <w:tc>
          <w:tcPr>
            <w:tcW w:w="853" w:type="pct"/>
            <w:tcBorders>
              <w:top w:val="nil"/>
              <w:left w:val="nil"/>
              <w:bottom w:val="nil"/>
              <w:right w:val="nil"/>
            </w:tcBorders>
            <w:shd w:val="clear" w:color="000000" w:fill="FFFFFF"/>
            <w:noWrap/>
            <w:vAlign w:val="bottom"/>
            <w:hideMark/>
          </w:tcPr>
          <w:p w14:paraId="3F4CD1A9"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23</w:t>
            </w:r>
          </w:p>
        </w:tc>
        <w:tc>
          <w:tcPr>
            <w:tcW w:w="1305" w:type="pct"/>
            <w:tcBorders>
              <w:top w:val="nil"/>
              <w:left w:val="nil"/>
              <w:bottom w:val="nil"/>
              <w:right w:val="nil"/>
            </w:tcBorders>
            <w:shd w:val="clear" w:color="000000" w:fill="FFFFFF"/>
            <w:noWrap/>
            <w:vAlign w:val="bottom"/>
            <w:hideMark/>
          </w:tcPr>
          <w:p w14:paraId="011419D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-15.19 (-£759,374)</w:t>
            </w:r>
          </w:p>
        </w:tc>
      </w:tr>
      <w:tr w:rsidR="008C3153" w:rsidRPr="00A4278B" w14:paraId="6424E668" w14:textId="77777777" w:rsidTr="008C3153">
        <w:trPr>
          <w:trHeight w:val="300"/>
        </w:trPr>
        <w:tc>
          <w:tcPr>
            <w:tcW w:w="1145" w:type="pct"/>
            <w:tcBorders>
              <w:top w:val="nil"/>
              <w:left w:val="nil"/>
              <w:bottom w:val="nil"/>
              <w:right w:val="nil"/>
            </w:tcBorders>
            <w:shd w:val="clear" w:color="000000" w:fill="FFFFFF"/>
            <w:noWrap/>
            <w:vAlign w:val="center"/>
            <w:hideMark/>
          </w:tcPr>
          <w:p w14:paraId="1D5F6089"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GIST</w:t>
            </w:r>
          </w:p>
        </w:tc>
        <w:tc>
          <w:tcPr>
            <w:tcW w:w="884" w:type="pct"/>
            <w:tcBorders>
              <w:top w:val="nil"/>
              <w:left w:val="nil"/>
              <w:bottom w:val="nil"/>
              <w:right w:val="nil"/>
            </w:tcBorders>
            <w:shd w:val="clear" w:color="000000" w:fill="FFFFFF"/>
            <w:noWrap/>
            <w:vAlign w:val="center"/>
            <w:hideMark/>
          </w:tcPr>
          <w:p w14:paraId="6F07194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1.01</w:t>
            </w:r>
          </w:p>
        </w:tc>
        <w:tc>
          <w:tcPr>
            <w:tcW w:w="812" w:type="pct"/>
            <w:tcBorders>
              <w:top w:val="nil"/>
              <w:left w:val="nil"/>
              <w:bottom w:val="nil"/>
              <w:right w:val="nil"/>
            </w:tcBorders>
            <w:shd w:val="clear" w:color="000000" w:fill="FFFFFF"/>
            <w:noWrap/>
            <w:vAlign w:val="bottom"/>
            <w:hideMark/>
          </w:tcPr>
          <w:p w14:paraId="7E6254E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0.68 </w:t>
            </w:r>
          </w:p>
        </w:tc>
        <w:tc>
          <w:tcPr>
            <w:tcW w:w="853" w:type="pct"/>
            <w:tcBorders>
              <w:top w:val="nil"/>
              <w:left w:val="nil"/>
              <w:bottom w:val="nil"/>
              <w:right w:val="nil"/>
            </w:tcBorders>
            <w:shd w:val="clear" w:color="000000" w:fill="FFFFFF"/>
            <w:noWrap/>
            <w:vAlign w:val="bottom"/>
            <w:hideMark/>
          </w:tcPr>
          <w:p w14:paraId="1D60B32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w:t>
            </w:r>
          </w:p>
        </w:tc>
        <w:tc>
          <w:tcPr>
            <w:tcW w:w="1305" w:type="pct"/>
            <w:tcBorders>
              <w:top w:val="nil"/>
              <w:left w:val="nil"/>
              <w:bottom w:val="nil"/>
              <w:right w:val="nil"/>
            </w:tcBorders>
            <w:shd w:val="clear" w:color="000000" w:fill="FFFFFF"/>
            <w:noWrap/>
            <w:vAlign w:val="bottom"/>
            <w:hideMark/>
          </w:tcPr>
          <w:p w14:paraId="21C6D6A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2.57 (£128,728)</w:t>
            </w:r>
          </w:p>
        </w:tc>
      </w:tr>
      <w:tr w:rsidR="008C3153" w:rsidRPr="00A4278B" w14:paraId="2BAAE771" w14:textId="77777777" w:rsidTr="008C3153">
        <w:trPr>
          <w:trHeight w:val="300"/>
        </w:trPr>
        <w:tc>
          <w:tcPr>
            <w:tcW w:w="1145" w:type="pct"/>
            <w:tcBorders>
              <w:top w:val="nil"/>
              <w:left w:val="nil"/>
              <w:bottom w:val="nil"/>
              <w:right w:val="nil"/>
            </w:tcBorders>
            <w:shd w:val="clear" w:color="000000" w:fill="FFFFFF"/>
            <w:noWrap/>
            <w:vAlign w:val="center"/>
            <w:hideMark/>
          </w:tcPr>
          <w:p w14:paraId="76A810A6"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Cholangiocarcinoma</w:t>
            </w:r>
          </w:p>
        </w:tc>
        <w:tc>
          <w:tcPr>
            <w:tcW w:w="884" w:type="pct"/>
            <w:tcBorders>
              <w:top w:val="nil"/>
              <w:left w:val="nil"/>
              <w:bottom w:val="nil"/>
              <w:right w:val="nil"/>
            </w:tcBorders>
            <w:shd w:val="clear" w:color="000000" w:fill="FFFFFF"/>
            <w:noWrap/>
            <w:vAlign w:val="center"/>
            <w:hideMark/>
          </w:tcPr>
          <w:p w14:paraId="2893AD9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1.40</w:t>
            </w:r>
          </w:p>
        </w:tc>
        <w:tc>
          <w:tcPr>
            <w:tcW w:w="812" w:type="pct"/>
            <w:tcBorders>
              <w:top w:val="nil"/>
              <w:left w:val="nil"/>
              <w:bottom w:val="nil"/>
              <w:right w:val="nil"/>
            </w:tcBorders>
            <w:shd w:val="clear" w:color="000000" w:fill="FFFFFF"/>
            <w:noWrap/>
            <w:vAlign w:val="bottom"/>
            <w:hideMark/>
          </w:tcPr>
          <w:p w14:paraId="447721F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-0.94 </w:t>
            </w:r>
          </w:p>
        </w:tc>
        <w:tc>
          <w:tcPr>
            <w:tcW w:w="853" w:type="pct"/>
            <w:tcBorders>
              <w:top w:val="nil"/>
              <w:left w:val="nil"/>
              <w:bottom w:val="nil"/>
              <w:right w:val="nil"/>
            </w:tcBorders>
            <w:shd w:val="clear" w:color="000000" w:fill="FFFFFF"/>
            <w:noWrap/>
            <w:vAlign w:val="bottom"/>
            <w:hideMark/>
          </w:tcPr>
          <w:p w14:paraId="295DFB3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0.3</w:t>
            </w:r>
          </w:p>
        </w:tc>
        <w:tc>
          <w:tcPr>
            <w:tcW w:w="1305" w:type="pct"/>
            <w:tcBorders>
              <w:top w:val="nil"/>
              <w:left w:val="nil"/>
              <w:bottom w:val="nil"/>
              <w:right w:val="nil"/>
            </w:tcBorders>
            <w:shd w:val="clear" w:color="000000" w:fill="FFFFFF"/>
            <w:noWrap/>
            <w:vAlign w:val="bottom"/>
            <w:hideMark/>
          </w:tcPr>
          <w:p w14:paraId="157B063C"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-0.31 (-£15,727)</w:t>
            </w:r>
          </w:p>
        </w:tc>
      </w:tr>
      <w:tr w:rsidR="008C3153" w:rsidRPr="00A4278B" w14:paraId="741F86FD" w14:textId="77777777" w:rsidTr="008C3153">
        <w:trPr>
          <w:trHeight w:val="300"/>
        </w:trPr>
        <w:tc>
          <w:tcPr>
            <w:tcW w:w="1145" w:type="pct"/>
            <w:tcBorders>
              <w:top w:val="nil"/>
              <w:left w:val="nil"/>
              <w:bottom w:val="nil"/>
              <w:right w:val="nil"/>
            </w:tcBorders>
            <w:shd w:val="clear" w:color="000000" w:fill="FFFFFF"/>
            <w:noWrap/>
            <w:vAlign w:val="center"/>
            <w:hideMark/>
          </w:tcPr>
          <w:p w14:paraId="567DA401"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Appendix</w:t>
            </w:r>
          </w:p>
        </w:tc>
        <w:tc>
          <w:tcPr>
            <w:tcW w:w="884" w:type="pct"/>
            <w:tcBorders>
              <w:top w:val="nil"/>
              <w:left w:val="nil"/>
              <w:bottom w:val="nil"/>
              <w:right w:val="nil"/>
            </w:tcBorders>
            <w:shd w:val="clear" w:color="000000" w:fill="FFFFFF"/>
            <w:noWrap/>
            <w:vAlign w:val="center"/>
            <w:hideMark/>
          </w:tcPr>
          <w:p w14:paraId="2D099EE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0.49</w:t>
            </w:r>
          </w:p>
        </w:tc>
        <w:tc>
          <w:tcPr>
            <w:tcW w:w="812" w:type="pct"/>
            <w:tcBorders>
              <w:top w:val="nil"/>
              <w:left w:val="nil"/>
              <w:bottom w:val="nil"/>
              <w:right w:val="nil"/>
            </w:tcBorders>
            <w:shd w:val="clear" w:color="000000" w:fill="FFFFFF"/>
            <w:noWrap/>
            <w:vAlign w:val="bottom"/>
            <w:hideMark/>
          </w:tcPr>
          <w:p w14:paraId="65226E1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0.12 </w:t>
            </w:r>
          </w:p>
        </w:tc>
        <w:tc>
          <w:tcPr>
            <w:tcW w:w="853" w:type="pct"/>
            <w:tcBorders>
              <w:top w:val="nil"/>
              <w:left w:val="nil"/>
              <w:bottom w:val="nil"/>
              <w:right w:val="nil"/>
            </w:tcBorders>
            <w:shd w:val="clear" w:color="000000" w:fill="FFFFFF"/>
            <w:noWrap/>
            <w:vAlign w:val="bottom"/>
            <w:hideMark/>
          </w:tcPr>
          <w:p w14:paraId="74E5741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16</w:t>
            </w:r>
          </w:p>
        </w:tc>
        <w:tc>
          <w:tcPr>
            <w:tcW w:w="1305" w:type="pct"/>
            <w:tcBorders>
              <w:top w:val="nil"/>
              <w:left w:val="nil"/>
              <w:bottom w:val="nil"/>
              <w:right w:val="nil"/>
            </w:tcBorders>
            <w:shd w:val="clear" w:color="000000" w:fill="FFFFFF"/>
            <w:noWrap/>
            <w:vAlign w:val="bottom"/>
            <w:hideMark/>
          </w:tcPr>
          <w:p w14:paraId="21A28D9D"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1.99 (£99,383)</w:t>
            </w:r>
          </w:p>
        </w:tc>
      </w:tr>
      <w:tr w:rsidR="008C3153" w:rsidRPr="00A4278B" w14:paraId="77B65107" w14:textId="77777777" w:rsidTr="008C3153">
        <w:trPr>
          <w:trHeight w:val="300"/>
        </w:trPr>
        <w:tc>
          <w:tcPr>
            <w:tcW w:w="1145" w:type="pct"/>
            <w:tcBorders>
              <w:top w:val="nil"/>
              <w:left w:val="nil"/>
              <w:bottom w:val="nil"/>
              <w:right w:val="nil"/>
            </w:tcBorders>
            <w:shd w:val="clear" w:color="000000" w:fill="FFFFFF"/>
            <w:noWrap/>
            <w:vAlign w:val="center"/>
            <w:hideMark/>
          </w:tcPr>
          <w:p w14:paraId="788A98A2"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Breast</w:t>
            </w:r>
          </w:p>
        </w:tc>
        <w:tc>
          <w:tcPr>
            <w:tcW w:w="884" w:type="pct"/>
            <w:tcBorders>
              <w:top w:val="nil"/>
              <w:left w:val="nil"/>
              <w:bottom w:val="nil"/>
              <w:right w:val="nil"/>
            </w:tcBorders>
            <w:shd w:val="clear" w:color="000000" w:fill="FFFFFF"/>
            <w:noWrap/>
            <w:vAlign w:val="center"/>
            <w:hideMark/>
          </w:tcPr>
          <w:p w14:paraId="780E817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1.89</w:t>
            </w:r>
          </w:p>
        </w:tc>
        <w:tc>
          <w:tcPr>
            <w:tcW w:w="812" w:type="pct"/>
            <w:tcBorders>
              <w:top w:val="nil"/>
              <w:left w:val="nil"/>
              <w:bottom w:val="nil"/>
              <w:right w:val="nil"/>
            </w:tcBorders>
            <w:shd w:val="clear" w:color="000000" w:fill="FFFFFF"/>
            <w:noWrap/>
            <w:vAlign w:val="bottom"/>
            <w:hideMark/>
          </w:tcPr>
          <w:p w14:paraId="5F8909B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-1.28 </w:t>
            </w:r>
          </w:p>
        </w:tc>
        <w:tc>
          <w:tcPr>
            <w:tcW w:w="853" w:type="pct"/>
            <w:tcBorders>
              <w:top w:val="nil"/>
              <w:left w:val="nil"/>
              <w:bottom w:val="nil"/>
              <w:right w:val="nil"/>
            </w:tcBorders>
            <w:shd w:val="clear" w:color="000000" w:fill="FFFFFF"/>
            <w:noWrap/>
            <w:vAlign w:val="bottom"/>
            <w:hideMark/>
          </w:tcPr>
          <w:p w14:paraId="2745C151"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w:t>
            </w:r>
          </w:p>
        </w:tc>
        <w:tc>
          <w:tcPr>
            <w:tcW w:w="1305" w:type="pct"/>
            <w:tcBorders>
              <w:top w:val="nil"/>
              <w:left w:val="nil"/>
              <w:bottom w:val="nil"/>
              <w:right w:val="nil"/>
            </w:tcBorders>
            <w:shd w:val="clear" w:color="000000" w:fill="FFFFFF"/>
            <w:noWrap/>
            <w:vAlign w:val="bottom"/>
            <w:hideMark/>
          </w:tcPr>
          <w:p w14:paraId="3A15F72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-6.19 (-£309,616)</w:t>
            </w:r>
          </w:p>
        </w:tc>
      </w:tr>
      <w:tr w:rsidR="008C3153" w:rsidRPr="00A4278B" w14:paraId="7223840C" w14:textId="77777777" w:rsidTr="008C3153">
        <w:trPr>
          <w:trHeight w:val="300"/>
        </w:trPr>
        <w:tc>
          <w:tcPr>
            <w:tcW w:w="1145" w:type="pct"/>
            <w:tcBorders>
              <w:top w:val="nil"/>
              <w:left w:val="nil"/>
              <w:bottom w:val="nil"/>
              <w:right w:val="nil"/>
            </w:tcBorders>
            <w:shd w:val="clear" w:color="000000" w:fill="FFFFFF"/>
            <w:noWrap/>
            <w:vAlign w:val="center"/>
            <w:hideMark/>
          </w:tcPr>
          <w:p w14:paraId="284F618C" w14:textId="77777777" w:rsidR="008C3153" w:rsidRPr="00A4278B" w:rsidRDefault="008C3153" w:rsidP="00A4278B">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Pancreas</w:t>
            </w:r>
          </w:p>
        </w:tc>
        <w:tc>
          <w:tcPr>
            <w:tcW w:w="884" w:type="pct"/>
            <w:tcBorders>
              <w:top w:val="nil"/>
              <w:left w:val="nil"/>
              <w:bottom w:val="nil"/>
              <w:right w:val="nil"/>
            </w:tcBorders>
            <w:shd w:val="clear" w:color="000000" w:fill="FFFFFF"/>
            <w:noWrap/>
            <w:vAlign w:val="center"/>
            <w:hideMark/>
          </w:tcPr>
          <w:p w14:paraId="085DEFD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1.89</w:t>
            </w:r>
          </w:p>
        </w:tc>
        <w:tc>
          <w:tcPr>
            <w:tcW w:w="812" w:type="pct"/>
            <w:tcBorders>
              <w:top w:val="nil"/>
              <w:left w:val="nil"/>
              <w:bottom w:val="nil"/>
              <w:right w:val="nil"/>
            </w:tcBorders>
            <w:shd w:val="clear" w:color="000000" w:fill="FFFFFF"/>
            <w:noWrap/>
            <w:vAlign w:val="bottom"/>
            <w:hideMark/>
          </w:tcPr>
          <w:p w14:paraId="16C68C28"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-1.28 </w:t>
            </w:r>
          </w:p>
        </w:tc>
        <w:tc>
          <w:tcPr>
            <w:tcW w:w="853" w:type="pct"/>
            <w:tcBorders>
              <w:top w:val="nil"/>
              <w:left w:val="nil"/>
              <w:bottom w:val="nil"/>
              <w:right w:val="nil"/>
            </w:tcBorders>
            <w:shd w:val="clear" w:color="000000" w:fill="FFFFFF"/>
            <w:noWrap/>
            <w:vAlign w:val="bottom"/>
            <w:hideMark/>
          </w:tcPr>
          <w:p w14:paraId="59FBA2D6"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17</w:t>
            </w:r>
          </w:p>
        </w:tc>
        <w:tc>
          <w:tcPr>
            <w:tcW w:w="1305" w:type="pct"/>
            <w:tcBorders>
              <w:top w:val="nil"/>
              <w:left w:val="nil"/>
              <w:bottom w:val="nil"/>
              <w:right w:val="nil"/>
            </w:tcBorders>
            <w:shd w:val="clear" w:color="000000" w:fill="FFFFFF"/>
            <w:noWrap/>
            <w:vAlign w:val="bottom"/>
            <w:hideMark/>
          </w:tcPr>
          <w:p w14:paraId="25A2D073"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-21.78 (-£1,089,034)</w:t>
            </w:r>
          </w:p>
        </w:tc>
      </w:tr>
      <w:tr w:rsidR="008C3153" w:rsidRPr="00A4278B" w14:paraId="4072D200" w14:textId="77777777" w:rsidTr="008C3153">
        <w:trPr>
          <w:trHeight w:val="315"/>
        </w:trPr>
        <w:tc>
          <w:tcPr>
            <w:tcW w:w="1145" w:type="pct"/>
            <w:tcBorders>
              <w:top w:val="nil"/>
              <w:left w:val="nil"/>
              <w:bottom w:val="single" w:sz="8" w:space="0" w:color="auto"/>
              <w:right w:val="nil"/>
            </w:tcBorders>
            <w:shd w:val="clear" w:color="000000" w:fill="FFFFFF"/>
            <w:noWrap/>
            <w:vAlign w:val="bottom"/>
            <w:hideMark/>
          </w:tcPr>
          <w:p w14:paraId="578DAA02" w14:textId="77777777" w:rsidR="008C3153" w:rsidRPr="00A4278B" w:rsidRDefault="008C3153" w:rsidP="00A4278B">
            <w:pPr>
              <w:keepNext/>
              <w:keepLines/>
              <w:spacing w:after="0" w:line="240" w:lineRule="auto"/>
              <w:contextualSpacing/>
              <w:rPr>
                <w:rFonts w:eastAsia="Times New Roman" w:cs="Times New Roman"/>
                <w:color w:val="000000"/>
                <w:sz w:val="20"/>
                <w:szCs w:val="20"/>
                <w:lang w:eastAsia="en-GB"/>
              </w:rPr>
            </w:pPr>
            <w:r w:rsidRPr="00A4278B">
              <w:rPr>
                <w:rFonts w:eastAsia="Times New Roman" w:cs="Times New Roman"/>
                <w:color w:val="000000"/>
                <w:sz w:val="20"/>
                <w:szCs w:val="20"/>
                <w:lang w:eastAsia="en-GB"/>
              </w:rPr>
              <w:t>Unrepresented</w:t>
            </w:r>
          </w:p>
        </w:tc>
        <w:tc>
          <w:tcPr>
            <w:tcW w:w="884" w:type="pct"/>
            <w:tcBorders>
              <w:top w:val="nil"/>
              <w:left w:val="nil"/>
              <w:bottom w:val="single" w:sz="8" w:space="0" w:color="auto"/>
              <w:right w:val="nil"/>
            </w:tcBorders>
            <w:shd w:val="clear" w:color="000000" w:fill="FFFFFF"/>
            <w:noWrap/>
            <w:vAlign w:val="bottom"/>
            <w:hideMark/>
          </w:tcPr>
          <w:p w14:paraId="70BFED0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0.97</w:t>
            </w:r>
          </w:p>
        </w:tc>
        <w:tc>
          <w:tcPr>
            <w:tcW w:w="812" w:type="pct"/>
            <w:tcBorders>
              <w:top w:val="nil"/>
              <w:left w:val="nil"/>
              <w:bottom w:val="single" w:sz="8" w:space="0" w:color="auto"/>
              <w:right w:val="nil"/>
            </w:tcBorders>
            <w:shd w:val="clear" w:color="auto" w:fill="auto"/>
            <w:noWrap/>
            <w:vAlign w:val="center"/>
            <w:hideMark/>
          </w:tcPr>
          <w:p w14:paraId="0DF64C9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xml:space="preserve">0.15 </w:t>
            </w:r>
          </w:p>
        </w:tc>
        <w:tc>
          <w:tcPr>
            <w:tcW w:w="853" w:type="pct"/>
            <w:tcBorders>
              <w:top w:val="nil"/>
              <w:left w:val="nil"/>
              <w:bottom w:val="single" w:sz="8" w:space="0" w:color="auto"/>
              <w:right w:val="nil"/>
            </w:tcBorders>
            <w:shd w:val="clear" w:color="000000" w:fill="FFFFFF"/>
            <w:noWrap/>
            <w:vAlign w:val="bottom"/>
            <w:hideMark/>
          </w:tcPr>
          <w:p w14:paraId="3CE50550"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151</w:t>
            </w:r>
          </w:p>
        </w:tc>
        <w:tc>
          <w:tcPr>
            <w:tcW w:w="1305" w:type="pct"/>
            <w:tcBorders>
              <w:top w:val="nil"/>
              <w:left w:val="nil"/>
              <w:bottom w:val="single" w:sz="8" w:space="0" w:color="auto"/>
              <w:right w:val="nil"/>
            </w:tcBorders>
            <w:shd w:val="clear" w:color="auto" w:fill="auto"/>
            <w:noWrap/>
            <w:vAlign w:val="center"/>
            <w:hideMark/>
          </w:tcPr>
          <w:p w14:paraId="39099A57"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22.33 (£1,116,748)</w:t>
            </w:r>
          </w:p>
        </w:tc>
      </w:tr>
      <w:tr w:rsidR="008C3153" w:rsidRPr="00A4278B" w14:paraId="62F8D924" w14:textId="77777777" w:rsidTr="008C3153">
        <w:trPr>
          <w:trHeight w:val="315"/>
        </w:trPr>
        <w:tc>
          <w:tcPr>
            <w:tcW w:w="1145" w:type="pct"/>
            <w:tcBorders>
              <w:top w:val="nil"/>
              <w:left w:val="nil"/>
              <w:bottom w:val="single" w:sz="8" w:space="0" w:color="auto"/>
              <w:right w:val="nil"/>
            </w:tcBorders>
            <w:shd w:val="clear" w:color="auto" w:fill="auto"/>
            <w:noWrap/>
            <w:vAlign w:val="center"/>
            <w:hideMark/>
          </w:tcPr>
          <w:p w14:paraId="0FEF0E0A"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Sum</w:t>
            </w:r>
          </w:p>
        </w:tc>
        <w:tc>
          <w:tcPr>
            <w:tcW w:w="884" w:type="pct"/>
            <w:tcBorders>
              <w:top w:val="nil"/>
              <w:left w:val="nil"/>
              <w:bottom w:val="single" w:sz="8" w:space="0" w:color="auto"/>
              <w:right w:val="nil"/>
            </w:tcBorders>
            <w:shd w:val="clear" w:color="auto" w:fill="auto"/>
            <w:noWrap/>
            <w:vAlign w:val="bottom"/>
            <w:hideMark/>
          </w:tcPr>
          <w:p w14:paraId="60FA4669" w14:textId="77777777" w:rsidR="008C3153" w:rsidRPr="00A4278B" w:rsidRDefault="008C3153" w:rsidP="00A4278B">
            <w:pPr>
              <w:keepNext/>
              <w:keepLines/>
              <w:spacing w:after="0" w:line="240" w:lineRule="auto"/>
              <w:contextualSpacing/>
              <w:rPr>
                <w:rFonts w:eastAsia="Times New Roman" w:cs="Times New Roman"/>
                <w:color w:val="000000"/>
                <w:sz w:val="20"/>
                <w:szCs w:val="20"/>
                <w:lang w:eastAsia="en-GB"/>
              </w:rPr>
            </w:pPr>
            <w:r w:rsidRPr="00A4278B">
              <w:rPr>
                <w:rFonts w:eastAsia="Times New Roman" w:cs="Times New Roman"/>
                <w:color w:val="000000"/>
                <w:sz w:val="20"/>
                <w:szCs w:val="20"/>
                <w:lang w:eastAsia="en-GB"/>
              </w:rPr>
              <w:t> </w:t>
            </w:r>
          </w:p>
        </w:tc>
        <w:tc>
          <w:tcPr>
            <w:tcW w:w="812" w:type="pct"/>
            <w:tcBorders>
              <w:top w:val="nil"/>
              <w:left w:val="nil"/>
              <w:bottom w:val="single" w:sz="8" w:space="0" w:color="auto"/>
              <w:right w:val="nil"/>
            </w:tcBorders>
            <w:shd w:val="clear" w:color="auto" w:fill="auto"/>
            <w:noWrap/>
            <w:vAlign w:val="bottom"/>
            <w:hideMark/>
          </w:tcPr>
          <w:p w14:paraId="7C6C0D7F"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w:t>
            </w:r>
          </w:p>
        </w:tc>
        <w:tc>
          <w:tcPr>
            <w:tcW w:w="853" w:type="pct"/>
            <w:tcBorders>
              <w:top w:val="nil"/>
              <w:left w:val="nil"/>
              <w:bottom w:val="single" w:sz="8" w:space="0" w:color="auto"/>
              <w:right w:val="nil"/>
            </w:tcBorders>
            <w:shd w:val="clear" w:color="auto" w:fill="auto"/>
            <w:noWrap/>
            <w:vAlign w:val="center"/>
            <w:hideMark/>
          </w:tcPr>
          <w:p w14:paraId="584EBBCB"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276</w:t>
            </w:r>
          </w:p>
        </w:tc>
        <w:tc>
          <w:tcPr>
            <w:tcW w:w="1305" w:type="pct"/>
            <w:tcBorders>
              <w:top w:val="nil"/>
              <w:left w:val="nil"/>
              <w:bottom w:val="single" w:sz="8" w:space="0" w:color="auto"/>
              <w:right w:val="nil"/>
            </w:tcBorders>
            <w:shd w:val="clear" w:color="auto" w:fill="auto"/>
            <w:noWrap/>
            <w:vAlign w:val="center"/>
            <w:hideMark/>
          </w:tcPr>
          <w:p w14:paraId="5F8741EC" w14:textId="77777777" w:rsidR="008C3153" w:rsidRPr="00A4278B" w:rsidRDefault="008C3153" w:rsidP="00A4278B">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5.79 (£289,638)</w:t>
            </w:r>
          </w:p>
        </w:tc>
      </w:tr>
    </w:tbl>
    <w:p w14:paraId="7FAF352F" w14:textId="77777777" w:rsidR="008C3153" w:rsidRDefault="008C3153" w:rsidP="008C3153"/>
    <w:p w14:paraId="7D7E1537" w14:textId="77777777" w:rsidR="00CA76BE" w:rsidRDefault="008C3153" w:rsidP="008C3153">
      <w:r>
        <w:t xml:space="preserve">After taking account of the unobserved histologies, Drug X is </w:t>
      </w:r>
      <w:r w:rsidR="008A4DBF">
        <w:t xml:space="preserve">now </w:t>
      </w:r>
      <w:r>
        <w:t>estimated to be cost</w:t>
      </w:r>
      <w:r w:rsidR="007000B1">
        <w:t>-</w:t>
      </w:r>
      <w:r>
        <w:t xml:space="preserve">effective </w:t>
      </w:r>
      <w:r w:rsidR="008A4DBF">
        <w:t xml:space="preserve">in the </w:t>
      </w:r>
      <w:r>
        <w:t xml:space="preserve">overall </w:t>
      </w:r>
      <w:r w:rsidR="008A4DBF">
        <w:t xml:space="preserve">population </w:t>
      </w:r>
      <w:r>
        <w:t>with positive NHBs. In this example, a histology</w:t>
      </w:r>
      <w:r w:rsidR="00FD3AF1">
        <w:t>-</w:t>
      </w:r>
      <w:r>
        <w:t xml:space="preserve">independent approval, including an assessment of the potential impact of unrepresented tumour sites, would result in an expected overall gain to the health system of </w:t>
      </w:r>
      <w:r w:rsidR="000A0793">
        <w:t xml:space="preserve">approximately </w:t>
      </w:r>
      <w:r>
        <w:t>5.79 QALYs (</w:t>
      </w:r>
      <w:r w:rsidR="000A0793">
        <w:t>NMB</w:t>
      </w:r>
      <w:r w:rsidR="000A0793">
        <w:rPr>
          <w:rFonts w:cs="Times New Roman"/>
        </w:rPr>
        <w:t>≈</w:t>
      </w:r>
      <w:r>
        <w:t>£290,000)</w:t>
      </w:r>
      <w:r w:rsidR="000B74BE">
        <w:t xml:space="preserve"> per year</w:t>
      </w:r>
      <w:r>
        <w:t xml:space="preserve">. Treating individuals </w:t>
      </w:r>
      <w:r w:rsidR="000B74BE">
        <w:t xml:space="preserve">with </w:t>
      </w:r>
      <w:r>
        <w:t>histologies unrepresented in the trial data is expected to result in positive NHB, given the assumptions made her</w:t>
      </w:r>
      <w:r w:rsidR="008A4DBF">
        <w:t>e</w:t>
      </w:r>
      <w:r>
        <w:t xml:space="preserve">. This is due to the relatively high mean response rate (57%) predicted by the BHM. </w:t>
      </w:r>
    </w:p>
    <w:p w14:paraId="7F98369E" w14:textId="11798208" w:rsidR="008C3153" w:rsidRDefault="008C3153" w:rsidP="008C3153">
      <w:r>
        <w:t xml:space="preserve">Although it </w:t>
      </w:r>
      <w:r w:rsidRPr="00B232E6">
        <w:t xml:space="preserve">may be challenging to identify data to inform benefits in unrepresented histologies, </w:t>
      </w:r>
      <w:r>
        <w:t>consid</w:t>
      </w:r>
      <w:r w:rsidR="00A4278B">
        <w:t>eration to the magnitude and po</w:t>
      </w:r>
      <w:r>
        <w:t xml:space="preserve">tential impact of these histologies should be explicitly considered. </w:t>
      </w:r>
      <w:r w:rsidRPr="00B232E6">
        <w:t xml:space="preserve"> </w:t>
      </w:r>
    </w:p>
    <w:p w14:paraId="0D7456FE" w14:textId="77777777" w:rsidR="008C3153" w:rsidRDefault="008C3153" w:rsidP="008C3153">
      <w:pPr>
        <w:pStyle w:val="Heading3"/>
      </w:pPr>
      <w:bookmarkStart w:id="248" w:name="_Toc33776234"/>
      <w:r>
        <w:t>Partial stratification: Approval in a defined set of histologies</w:t>
      </w:r>
      <w:bookmarkEnd w:id="248"/>
    </w:p>
    <w:p w14:paraId="433A1109" w14:textId="0FBC5577" w:rsidR="008C3153" w:rsidRDefault="008C3153" w:rsidP="008C3153">
      <w:r>
        <w:t xml:space="preserve">This is similar to </w:t>
      </w:r>
      <w:r w:rsidR="00076767">
        <w:t>the previous approval policy;</w:t>
      </w:r>
      <w:r>
        <w:t xml:space="preserve"> however</w:t>
      </w:r>
      <w:r w:rsidR="00076767">
        <w:t>,</w:t>
      </w:r>
      <w:r>
        <w:t xml:space="preserve"> in this case the intervention is approved only for a </w:t>
      </w:r>
      <w:r w:rsidR="00B307BE">
        <w:t xml:space="preserve">clinically </w:t>
      </w:r>
      <w:r>
        <w:t xml:space="preserve">defined set of histologies i.e. there is partial stratification of decision making by histology. The relevant metric here is the pooled ICER (or pooled NHB equivalent) for the </w:t>
      </w:r>
      <w:r w:rsidR="008A4DBF">
        <w:t xml:space="preserve">defined </w:t>
      </w:r>
      <w:r>
        <w:t xml:space="preserve">subset of histologies. The </w:t>
      </w:r>
      <w:r w:rsidR="008A4DBF">
        <w:t>basis for selecting a subset of histologies can be based</w:t>
      </w:r>
      <w:r>
        <w:t xml:space="preserve"> on theoretical </w:t>
      </w:r>
      <w:r w:rsidR="008A4DBF">
        <w:t xml:space="preserve">and/or </w:t>
      </w:r>
      <w:r>
        <w:t xml:space="preserve">empirical grounds. </w:t>
      </w:r>
      <w:r w:rsidRPr="001A6D70">
        <w:t>For example</w:t>
      </w:r>
      <w:r>
        <w:t>,</w:t>
      </w:r>
      <w:r w:rsidRPr="001A6D70">
        <w:t xml:space="preserve"> Section </w:t>
      </w:r>
      <w:r w:rsidRPr="001A6D70">
        <w:fldChar w:fldCharType="begin"/>
      </w:r>
      <w:r w:rsidRPr="001A6D70">
        <w:instrText xml:space="preserve"> REF _Ref27662684 \r \h </w:instrText>
      </w:r>
      <w:r>
        <w:instrText xml:space="preserve"> \* MERGEFORMAT </w:instrText>
      </w:r>
      <w:r w:rsidRPr="001A6D70">
        <w:fldChar w:fldCharType="separate"/>
      </w:r>
      <w:r w:rsidR="00C663A2">
        <w:t>2.6</w:t>
      </w:r>
      <w:r w:rsidRPr="001A6D70">
        <w:fldChar w:fldCharType="end"/>
      </w:r>
      <w:r w:rsidRPr="001A6D70">
        <w:t xml:space="preserve"> </w:t>
      </w:r>
      <w:r>
        <w:t xml:space="preserve">highlighted comments from the SAG to EMA for larotrectinib that appeared to </w:t>
      </w:r>
      <w:r w:rsidRPr="00BC7A48">
        <w:t xml:space="preserve">differentiate the strength of the biological rationale and the available </w:t>
      </w:r>
      <w:r w:rsidRPr="00BC7A48">
        <w:lastRenderedPageBreak/>
        <w:t>clinical evidence for several specific tumour types</w:t>
      </w:r>
      <w:r>
        <w:t xml:space="preserve"> (e.g. IFS, salivary gland/MASC, congenital mesoblastic nephroma and GIST). </w:t>
      </w:r>
      <w:r w:rsidRPr="00BC7A48">
        <w:t xml:space="preserve">For these specific tumour types, the SAG concluded that efficacy has been established in the absence of available treatments of proven efficacy in terms of convincing clinical efficacy endpoints and that clinical decisions to use larotrectinib were justified. </w:t>
      </w:r>
    </w:p>
    <w:p w14:paraId="25AC5A0B" w14:textId="6900D48A" w:rsidR="008C3153" w:rsidRDefault="008C3153" w:rsidP="008C3153">
      <w:r w:rsidRPr="00CB59AF">
        <w:t xml:space="preserve">To illustrate </w:t>
      </w:r>
      <w:r>
        <w:t xml:space="preserve">the implications of a policy decision based on </w:t>
      </w:r>
      <w:r w:rsidRPr="00CB59AF">
        <w:t>partial stratification</w:t>
      </w:r>
      <w:r w:rsidR="00A046F9">
        <w:t>,</w:t>
      </w:r>
      <w:r w:rsidRPr="00CB59AF">
        <w:t xml:space="preserve"> we assume there is </w:t>
      </w:r>
      <w:r>
        <w:t xml:space="preserve">sufficient grounds to consider </w:t>
      </w:r>
      <w:r w:rsidR="007000B1">
        <w:t>restricting a</w:t>
      </w:r>
      <w:r w:rsidR="008A4DBF">
        <w:t xml:space="preserve">n approval decision </w:t>
      </w:r>
      <w:r w:rsidR="007000B1">
        <w:t>for</w:t>
      </w:r>
      <w:r>
        <w:t xml:space="preserve"> Drug X </w:t>
      </w:r>
      <w:r w:rsidR="007000B1">
        <w:t xml:space="preserve">to </w:t>
      </w:r>
      <w:r w:rsidR="00B307BE">
        <w:t xml:space="preserve">only those </w:t>
      </w:r>
      <w:r w:rsidR="007000B1">
        <w:t>patients with</w:t>
      </w:r>
      <w:r>
        <w:t xml:space="preserve"> </w:t>
      </w:r>
      <w:r w:rsidRPr="00CB59AF">
        <w:t>IFS, salivary gland and GIST</w:t>
      </w:r>
      <w:r>
        <w:t xml:space="preserve">. </w:t>
      </w:r>
      <w:r w:rsidR="006D0C0C">
        <w:t>E</w:t>
      </w:r>
      <w:r>
        <w:t>vidence for patients with congential mesoblastic mephroma was not available at</w:t>
      </w:r>
      <w:r w:rsidR="006A65AA">
        <w:t xml:space="preserve"> the time of the FDA assessment, </w:t>
      </w:r>
      <w:r>
        <w:t xml:space="preserve">hence these patients are not included in the data used to inform the BHM. </w:t>
      </w:r>
    </w:p>
    <w:p w14:paraId="60070E51" w14:textId="1E997472" w:rsidR="008C3153" w:rsidRDefault="008C3153" w:rsidP="008C3153">
      <w:pPr>
        <w:pStyle w:val="Caption"/>
      </w:pPr>
      <w:bookmarkStart w:id="249" w:name="_Ref30600192"/>
      <w:bookmarkStart w:id="250" w:name="_Toc34033545"/>
      <w:r>
        <w:t xml:space="preserve">Table </w:t>
      </w:r>
      <w:r w:rsidR="00C974E5">
        <w:fldChar w:fldCharType="begin"/>
      </w:r>
      <w:r w:rsidR="00C974E5">
        <w:instrText xml:space="preserve"> SEQ Table \* ARABIC </w:instrText>
      </w:r>
      <w:r w:rsidR="00C974E5">
        <w:fldChar w:fldCharType="separate"/>
      </w:r>
      <w:r w:rsidR="00C20257">
        <w:rPr>
          <w:noProof/>
        </w:rPr>
        <w:t>31</w:t>
      </w:r>
      <w:r w:rsidR="00C974E5">
        <w:rPr>
          <w:noProof/>
        </w:rPr>
        <w:fldChar w:fldCharType="end"/>
      </w:r>
      <w:bookmarkEnd w:id="249"/>
      <w:r w:rsidR="008C7423">
        <w:rPr>
          <w:noProof/>
        </w:rPr>
        <w:t>:</w:t>
      </w:r>
      <w:r>
        <w:t xml:space="preserve"> Decision making with partial stratification</w:t>
      </w:r>
      <w:bookmarkEnd w:id="250"/>
    </w:p>
    <w:tbl>
      <w:tblPr>
        <w:tblW w:w="5000" w:type="pct"/>
        <w:tblLook w:val="04A0" w:firstRow="1" w:lastRow="0" w:firstColumn="1" w:lastColumn="0" w:noHBand="0" w:noVBand="1"/>
      </w:tblPr>
      <w:tblGrid>
        <w:gridCol w:w="1603"/>
        <w:gridCol w:w="1697"/>
        <w:gridCol w:w="1966"/>
        <w:gridCol w:w="1980"/>
        <w:gridCol w:w="1780"/>
      </w:tblGrid>
      <w:tr w:rsidR="008C3153" w:rsidRPr="00A4278B" w14:paraId="6CC6FCEE" w14:textId="77777777" w:rsidTr="00A4278B">
        <w:trPr>
          <w:trHeight w:val="992"/>
        </w:trPr>
        <w:tc>
          <w:tcPr>
            <w:tcW w:w="888" w:type="pct"/>
            <w:tcBorders>
              <w:top w:val="single" w:sz="8" w:space="0" w:color="auto"/>
              <w:left w:val="nil"/>
              <w:bottom w:val="single" w:sz="8" w:space="0" w:color="auto"/>
              <w:right w:val="nil"/>
            </w:tcBorders>
            <w:shd w:val="clear" w:color="auto" w:fill="auto"/>
            <w:noWrap/>
            <w:vAlign w:val="center"/>
            <w:hideMark/>
          </w:tcPr>
          <w:p w14:paraId="09BD2DB8"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Subgroup</w:t>
            </w:r>
          </w:p>
        </w:tc>
        <w:tc>
          <w:tcPr>
            <w:tcW w:w="940" w:type="pct"/>
            <w:tcBorders>
              <w:top w:val="single" w:sz="8" w:space="0" w:color="auto"/>
              <w:left w:val="nil"/>
              <w:bottom w:val="single" w:sz="8" w:space="0" w:color="auto"/>
              <w:right w:val="nil"/>
            </w:tcBorders>
            <w:shd w:val="clear" w:color="auto" w:fill="auto"/>
            <w:vAlign w:val="center"/>
            <w:hideMark/>
          </w:tcPr>
          <w:p w14:paraId="398F9BB9"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Per patient level                                             £50,000 per QALY threshold</w:t>
            </w:r>
          </w:p>
        </w:tc>
        <w:tc>
          <w:tcPr>
            <w:tcW w:w="1089" w:type="pct"/>
            <w:tcBorders>
              <w:top w:val="single" w:sz="8" w:space="0" w:color="auto"/>
              <w:left w:val="nil"/>
              <w:bottom w:val="single" w:sz="8" w:space="0" w:color="auto"/>
              <w:right w:val="nil"/>
            </w:tcBorders>
            <w:shd w:val="clear" w:color="auto" w:fill="auto"/>
            <w:vAlign w:val="center"/>
            <w:hideMark/>
          </w:tcPr>
          <w:p w14:paraId="5555E4AB"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1097" w:type="pct"/>
            <w:tcBorders>
              <w:top w:val="single" w:sz="8" w:space="0" w:color="auto"/>
              <w:left w:val="nil"/>
              <w:bottom w:val="single" w:sz="8" w:space="0" w:color="auto"/>
              <w:right w:val="nil"/>
            </w:tcBorders>
            <w:shd w:val="clear" w:color="auto" w:fill="auto"/>
            <w:noWrap/>
            <w:vAlign w:val="center"/>
            <w:hideMark/>
          </w:tcPr>
          <w:p w14:paraId="5B325381"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Population level </w:t>
            </w:r>
          </w:p>
        </w:tc>
        <w:tc>
          <w:tcPr>
            <w:tcW w:w="987" w:type="pct"/>
            <w:tcBorders>
              <w:top w:val="single" w:sz="8" w:space="0" w:color="auto"/>
              <w:left w:val="nil"/>
              <w:bottom w:val="single" w:sz="8" w:space="0" w:color="auto"/>
              <w:right w:val="nil"/>
            </w:tcBorders>
            <w:shd w:val="clear" w:color="auto" w:fill="auto"/>
            <w:noWrap/>
            <w:vAlign w:val="center"/>
            <w:hideMark/>
          </w:tcPr>
          <w:p w14:paraId="34BA5E78"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r>
      <w:tr w:rsidR="008C3153" w:rsidRPr="00A4278B" w14:paraId="371777EA" w14:textId="77777777" w:rsidTr="00A4278B">
        <w:trPr>
          <w:trHeight w:val="835"/>
        </w:trPr>
        <w:tc>
          <w:tcPr>
            <w:tcW w:w="888" w:type="pct"/>
            <w:tcBorders>
              <w:top w:val="nil"/>
              <w:left w:val="nil"/>
              <w:bottom w:val="single" w:sz="8" w:space="0" w:color="auto"/>
              <w:right w:val="nil"/>
            </w:tcBorders>
            <w:shd w:val="clear" w:color="auto" w:fill="auto"/>
            <w:noWrap/>
            <w:vAlign w:val="bottom"/>
            <w:hideMark/>
          </w:tcPr>
          <w:p w14:paraId="28E22069" w14:textId="77777777" w:rsidR="008C3153" w:rsidRPr="00A4278B" w:rsidRDefault="008C3153" w:rsidP="008C3153">
            <w:pPr>
              <w:keepNext/>
              <w:keepLines/>
              <w:spacing w:after="0" w:line="240" w:lineRule="auto"/>
              <w:contextualSpacing/>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w:t>
            </w:r>
          </w:p>
        </w:tc>
        <w:tc>
          <w:tcPr>
            <w:tcW w:w="940" w:type="pct"/>
            <w:tcBorders>
              <w:top w:val="nil"/>
              <w:left w:val="nil"/>
              <w:bottom w:val="single" w:sz="8" w:space="0" w:color="auto"/>
              <w:right w:val="nil"/>
            </w:tcBorders>
            <w:shd w:val="clear" w:color="auto" w:fill="auto"/>
            <w:vAlign w:val="center"/>
            <w:hideMark/>
          </w:tcPr>
          <w:p w14:paraId="06022FFE" w14:textId="2B626B8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Health </w:t>
            </w:r>
            <w:r w:rsidR="00DD63AF">
              <w:rPr>
                <w:rFonts w:eastAsia="Times New Roman" w:cs="Times New Roman"/>
                <w:b/>
                <w:color w:val="000000"/>
                <w:sz w:val="20"/>
                <w:szCs w:val="20"/>
                <w:lang w:eastAsia="en-GB"/>
              </w:rPr>
              <w:t>foregone</w:t>
            </w:r>
            <w:r w:rsidRPr="00A4278B">
              <w:rPr>
                <w:rFonts w:eastAsia="Times New Roman" w:cs="Times New Roman"/>
                <w:b/>
                <w:color w:val="000000"/>
                <w:sz w:val="20"/>
                <w:szCs w:val="20"/>
                <w:lang w:eastAsia="en-GB"/>
              </w:rPr>
              <w:t xml:space="preserve"> (ΔCost/£50,000)</w:t>
            </w:r>
          </w:p>
        </w:tc>
        <w:tc>
          <w:tcPr>
            <w:tcW w:w="1089" w:type="pct"/>
            <w:tcBorders>
              <w:top w:val="nil"/>
              <w:left w:val="nil"/>
              <w:bottom w:val="single" w:sz="8" w:space="0" w:color="auto"/>
              <w:right w:val="nil"/>
            </w:tcBorders>
            <w:shd w:val="clear" w:color="auto" w:fill="auto"/>
            <w:vAlign w:val="center"/>
            <w:hideMark/>
          </w:tcPr>
          <w:p w14:paraId="1CF7E091"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 xml:space="preserve">NHB, QALYs (NMB, £) </w:t>
            </w:r>
          </w:p>
        </w:tc>
        <w:tc>
          <w:tcPr>
            <w:tcW w:w="1097" w:type="pct"/>
            <w:tcBorders>
              <w:top w:val="nil"/>
              <w:left w:val="nil"/>
              <w:bottom w:val="single" w:sz="8" w:space="0" w:color="auto"/>
              <w:right w:val="nil"/>
            </w:tcBorders>
            <w:shd w:val="clear" w:color="auto" w:fill="auto"/>
            <w:vAlign w:val="center"/>
            <w:hideMark/>
          </w:tcPr>
          <w:p w14:paraId="6C6EE47A"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Incidence</w:t>
            </w:r>
          </w:p>
        </w:tc>
        <w:tc>
          <w:tcPr>
            <w:tcW w:w="987" w:type="pct"/>
            <w:tcBorders>
              <w:top w:val="nil"/>
              <w:left w:val="nil"/>
              <w:bottom w:val="single" w:sz="8" w:space="0" w:color="auto"/>
              <w:right w:val="nil"/>
            </w:tcBorders>
            <w:shd w:val="clear" w:color="auto" w:fill="auto"/>
            <w:vAlign w:val="center"/>
            <w:hideMark/>
          </w:tcPr>
          <w:p w14:paraId="7540194C" w14:textId="77777777" w:rsidR="008C3153" w:rsidRPr="00A4278B" w:rsidRDefault="008C3153" w:rsidP="008C3153">
            <w:pPr>
              <w:keepNext/>
              <w:keepLines/>
              <w:spacing w:after="0" w:line="240" w:lineRule="auto"/>
              <w:contextualSpacing/>
              <w:jc w:val="center"/>
              <w:rPr>
                <w:rFonts w:eastAsia="Times New Roman" w:cs="Times New Roman"/>
                <w:b/>
                <w:color w:val="000000"/>
                <w:sz w:val="20"/>
                <w:szCs w:val="20"/>
                <w:lang w:eastAsia="en-GB"/>
              </w:rPr>
            </w:pPr>
            <w:r w:rsidRPr="00A4278B">
              <w:rPr>
                <w:rFonts w:eastAsia="Times New Roman" w:cs="Times New Roman"/>
                <w:b/>
                <w:color w:val="000000"/>
                <w:sz w:val="20"/>
                <w:szCs w:val="20"/>
                <w:lang w:eastAsia="en-GB"/>
              </w:rPr>
              <w:t>NHB, QALYs (NMB, £)</w:t>
            </w:r>
          </w:p>
        </w:tc>
      </w:tr>
      <w:tr w:rsidR="008C3153" w:rsidRPr="00A4278B" w14:paraId="150A7F81" w14:textId="77777777" w:rsidTr="008C3153">
        <w:trPr>
          <w:trHeight w:val="300"/>
        </w:trPr>
        <w:tc>
          <w:tcPr>
            <w:tcW w:w="888" w:type="pct"/>
            <w:tcBorders>
              <w:top w:val="nil"/>
              <w:left w:val="nil"/>
              <w:bottom w:val="nil"/>
              <w:right w:val="nil"/>
            </w:tcBorders>
            <w:shd w:val="clear" w:color="000000" w:fill="FFFFFF"/>
            <w:noWrap/>
            <w:vAlign w:val="center"/>
            <w:hideMark/>
          </w:tcPr>
          <w:p w14:paraId="1A6016DD" w14:textId="77777777" w:rsidR="008C3153" w:rsidRPr="00A4278B" w:rsidRDefault="008C3153" w:rsidP="008C3153">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Salivary gland</w:t>
            </w:r>
          </w:p>
        </w:tc>
        <w:tc>
          <w:tcPr>
            <w:tcW w:w="940" w:type="pct"/>
            <w:tcBorders>
              <w:top w:val="nil"/>
              <w:left w:val="nil"/>
              <w:bottom w:val="nil"/>
              <w:right w:val="nil"/>
            </w:tcBorders>
            <w:shd w:val="clear" w:color="000000" w:fill="FFFFFF"/>
            <w:noWrap/>
            <w:vAlign w:val="center"/>
            <w:hideMark/>
          </w:tcPr>
          <w:p w14:paraId="7359E15E"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0.89</w:t>
            </w:r>
          </w:p>
        </w:tc>
        <w:tc>
          <w:tcPr>
            <w:tcW w:w="1089" w:type="pct"/>
            <w:tcBorders>
              <w:top w:val="nil"/>
              <w:left w:val="nil"/>
              <w:bottom w:val="nil"/>
              <w:right w:val="nil"/>
            </w:tcBorders>
            <w:shd w:val="clear" w:color="000000" w:fill="FFFFFF"/>
            <w:noWrap/>
            <w:vAlign w:val="center"/>
            <w:hideMark/>
          </w:tcPr>
          <w:p w14:paraId="5A27BF1E"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0.70 (£34,800)</w:t>
            </w:r>
          </w:p>
        </w:tc>
        <w:tc>
          <w:tcPr>
            <w:tcW w:w="1097" w:type="pct"/>
            <w:tcBorders>
              <w:top w:val="nil"/>
              <w:left w:val="nil"/>
              <w:bottom w:val="nil"/>
              <w:right w:val="nil"/>
            </w:tcBorders>
            <w:shd w:val="clear" w:color="000000" w:fill="FFFFFF"/>
            <w:noWrap/>
            <w:vAlign w:val="bottom"/>
            <w:hideMark/>
          </w:tcPr>
          <w:p w14:paraId="41DBD85C"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w:t>
            </w:r>
          </w:p>
        </w:tc>
        <w:tc>
          <w:tcPr>
            <w:tcW w:w="987" w:type="pct"/>
            <w:tcBorders>
              <w:top w:val="nil"/>
              <w:left w:val="nil"/>
              <w:bottom w:val="nil"/>
              <w:right w:val="nil"/>
            </w:tcBorders>
            <w:shd w:val="clear" w:color="000000" w:fill="FFFFFF"/>
            <w:noWrap/>
            <w:vAlign w:val="bottom"/>
            <w:hideMark/>
          </w:tcPr>
          <w:p w14:paraId="2A0821EE"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1.56 (£78,200)</w:t>
            </w:r>
          </w:p>
        </w:tc>
      </w:tr>
      <w:tr w:rsidR="008C3153" w:rsidRPr="00A4278B" w14:paraId="41F73535" w14:textId="77777777" w:rsidTr="008C3153">
        <w:trPr>
          <w:trHeight w:val="300"/>
        </w:trPr>
        <w:tc>
          <w:tcPr>
            <w:tcW w:w="888" w:type="pct"/>
            <w:tcBorders>
              <w:top w:val="nil"/>
              <w:left w:val="nil"/>
              <w:bottom w:val="nil"/>
              <w:right w:val="nil"/>
            </w:tcBorders>
            <w:shd w:val="clear" w:color="000000" w:fill="FFFFFF"/>
            <w:noWrap/>
            <w:vAlign w:val="center"/>
            <w:hideMark/>
          </w:tcPr>
          <w:p w14:paraId="4ECA3BBF" w14:textId="77777777" w:rsidR="008C3153" w:rsidRPr="00A4278B" w:rsidRDefault="008C3153" w:rsidP="008C3153">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IFS</w:t>
            </w:r>
          </w:p>
        </w:tc>
        <w:tc>
          <w:tcPr>
            <w:tcW w:w="940" w:type="pct"/>
            <w:tcBorders>
              <w:top w:val="nil"/>
              <w:left w:val="nil"/>
              <w:bottom w:val="nil"/>
              <w:right w:val="nil"/>
            </w:tcBorders>
            <w:shd w:val="clear" w:color="000000" w:fill="FFFFFF"/>
            <w:noWrap/>
            <w:vAlign w:val="center"/>
            <w:hideMark/>
          </w:tcPr>
          <w:p w14:paraId="3F62FDF5"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0.98</w:t>
            </w:r>
          </w:p>
        </w:tc>
        <w:tc>
          <w:tcPr>
            <w:tcW w:w="1089" w:type="pct"/>
            <w:tcBorders>
              <w:top w:val="nil"/>
              <w:left w:val="nil"/>
              <w:bottom w:val="nil"/>
              <w:right w:val="nil"/>
            </w:tcBorders>
            <w:shd w:val="clear" w:color="000000" w:fill="FFFFFF"/>
            <w:noWrap/>
            <w:vAlign w:val="center"/>
            <w:hideMark/>
          </w:tcPr>
          <w:p w14:paraId="53B5653D"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0.82 (£40,850)</w:t>
            </w:r>
          </w:p>
        </w:tc>
        <w:tc>
          <w:tcPr>
            <w:tcW w:w="1097" w:type="pct"/>
            <w:tcBorders>
              <w:top w:val="nil"/>
              <w:left w:val="nil"/>
              <w:bottom w:val="nil"/>
              <w:right w:val="nil"/>
            </w:tcBorders>
            <w:shd w:val="clear" w:color="000000" w:fill="FFFFFF"/>
            <w:noWrap/>
            <w:vAlign w:val="bottom"/>
            <w:hideMark/>
          </w:tcPr>
          <w:p w14:paraId="70F9A8B4"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27</w:t>
            </w:r>
          </w:p>
        </w:tc>
        <w:tc>
          <w:tcPr>
            <w:tcW w:w="987" w:type="pct"/>
            <w:tcBorders>
              <w:top w:val="nil"/>
              <w:left w:val="nil"/>
              <w:bottom w:val="nil"/>
              <w:right w:val="nil"/>
            </w:tcBorders>
            <w:shd w:val="clear" w:color="000000" w:fill="FFFFFF"/>
            <w:noWrap/>
            <w:vAlign w:val="bottom"/>
            <w:hideMark/>
          </w:tcPr>
          <w:p w14:paraId="34C9EF89"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22.35 (£1,117,600)</w:t>
            </w:r>
          </w:p>
        </w:tc>
      </w:tr>
      <w:tr w:rsidR="008C3153" w:rsidRPr="00A4278B" w14:paraId="7567ECB6" w14:textId="77777777" w:rsidTr="008C3153">
        <w:trPr>
          <w:trHeight w:val="315"/>
        </w:trPr>
        <w:tc>
          <w:tcPr>
            <w:tcW w:w="888" w:type="pct"/>
            <w:tcBorders>
              <w:top w:val="nil"/>
              <w:left w:val="nil"/>
              <w:bottom w:val="single" w:sz="8" w:space="0" w:color="auto"/>
              <w:right w:val="nil"/>
            </w:tcBorders>
            <w:shd w:val="clear" w:color="000000" w:fill="FFFFFF"/>
            <w:noWrap/>
            <w:vAlign w:val="center"/>
            <w:hideMark/>
          </w:tcPr>
          <w:p w14:paraId="43C1154F" w14:textId="77777777" w:rsidR="008C3153" w:rsidRPr="00A4278B" w:rsidRDefault="008C3153" w:rsidP="008C3153">
            <w:pPr>
              <w:keepNext/>
              <w:keepLines/>
              <w:spacing w:after="0" w:line="240" w:lineRule="auto"/>
              <w:contextualSpacing/>
              <w:rPr>
                <w:rFonts w:eastAsia="Times New Roman" w:cs="Times New Roman"/>
                <w:sz w:val="20"/>
                <w:szCs w:val="20"/>
                <w:lang w:eastAsia="en-GB"/>
              </w:rPr>
            </w:pPr>
            <w:r w:rsidRPr="00A4278B">
              <w:rPr>
                <w:rFonts w:eastAsia="Times New Roman" w:cs="Times New Roman"/>
                <w:sz w:val="20"/>
                <w:szCs w:val="20"/>
                <w:lang w:eastAsia="en-GB"/>
              </w:rPr>
              <w:t>GIST</w:t>
            </w:r>
          </w:p>
        </w:tc>
        <w:tc>
          <w:tcPr>
            <w:tcW w:w="940" w:type="pct"/>
            <w:tcBorders>
              <w:top w:val="nil"/>
              <w:left w:val="nil"/>
              <w:bottom w:val="single" w:sz="8" w:space="0" w:color="auto"/>
              <w:right w:val="nil"/>
            </w:tcBorders>
            <w:shd w:val="clear" w:color="000000" w:fill="FFFFFF"/>
            <w:noWrap/>
            <w:vAlign w:val="center"/>
            <w:hideMark/>
          </w:tcPr>
          <w:p w14:paraId="615B567B"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1.01</w:t>
            </w:r>
          </w:p>
        </w:tc>
        <w:tc>
          <w:tcPr>
            <w:tcW w:w="1089" w:type="pct"/>
            <w:tcBorders>
              <w:top w:val="nil"/>
              <w:left w:val="nil"/>
              <w:bottom w:val="single" w:sz="8" w:space="0" w:color="auto"/>
              <w:right w:val="nil"/>
            </w:tcBorders>
            <w:shd w:val="clear" w:color="000000" w:fill="FFFFFF"/>
            <w:noWrap/>
            <w:vAlign w:val="center"/>
            <w:hideMark/>
          </w:tcPr>
          <w:p w14:paraId="0811A446"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0.68 (£34,250)</w:t>
            </w:r>
          </w:p>
        </w:tc>
        <w:tc>
          <w:tcPr>
            <w:tcW w:w="1097" w:type="pct"/>
            <w:tcBorders>
              <w:top w:val="nil"/>
              <w:left w:val="nil"/>
              <w:bottom w:val="single" w:sz="8" w:space="0" w:color="auto"/>
              <w:right w:val="nil"/>
            </w:tcBorders>
            <w:shd w:val="clear" w:color="000000" w:fill="FFFFFF"/>
            <w:noWrap/>
            <w:vAlign w:val="bottom"/>
            <w:hideMark/>
          </w:tcPr>
          <w:p w14:paraId="27D7C103"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4</w:t>
            </w:r>
          </w:p>
        </w:tc>
        <w:tc>
          <w:tcPr>
            <w:tcW w:w="987" w:type="pct"/>
            <w:tcBorders>
              <w:top w:val="nil"/>
              <w:left w:val="nil"/>
              <w:bottom w:val="single" w:sz="8" w:space="0" w:color="auto"/>
              <w:right w:val="nil"/>
            </w:tcBorders>
            <w:shd w:val="clear" w:color="000000" w:fill="FFFFFF"/>
            <w:noWrap/>
            <w:vAlign w:val="bottom"/>
            <w:hideMark/>
          </w:tcPr>
          <w:p w14:paraId="1B1450AE"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2.57 (£128,700)</w:t>
            </w:r>
          </w:p>
        </w:tc>
      </w:tr>
      <w:tr w:rsidR="008C3153" w:rsidRPr="00A4278B" w14:paraId="013780A1" w14:textId="77777777" w:rsidTr="008C3153">
        <w:trPr>
          <w:trHeight w:val="315"/>
        </w:trPr>
        <w:tc>
          <w:tcPr>
            <w:tcW w:w="888" w:type="pct"/>
            <w:tcBorders>
              <w:top w:val="nil"/>
              <w:left w:val="nil"/>
              <w:bottom w:val="single" w:sz="8" w:space="0" w:color="auto"/>
              <w:right w:val="nil"/>
            </w:tcBorders>
            <w:shd w:val="clear" w:color="auto" w:fill="auto"/>
            <w:noWrap/>
            <w:vAlign w:val="center"/>
            <w:hideMark/>
          </w:tcPr>
          <w:p w14:paraId="2EF10997"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Sum</w:t>
            </w:r>
          </w:p>
        </w:tc>
        <w:tc>
          <w:tcPr>
            <w:tcW w:w="940" w:type="pct"/>
            <w:tcBorders>
              <w:top w:val="nil"/>
              <w:left w:val="nil"/>
              <w:bottom w:val="single" w:sz="8" w:space="0" w:color="auto"/>
              <w:right w:val="nil"/>
            </w:tcBorders>
            <w:shd w:val="clear" w:color="auto" w:fill="auto"/>
            <w:noWrap/>
            <w:vAlign w:val="bottom"/>
            <w:hideMark/>
          </w:tcPr>
          <w:p w14:paraId="7009A8EA" w14:textId="77777777" w:rsidR="008C3153" w:rsidRPr="00A4278B" w:rsidRDefault="008C3153" w:rsidP="008C3153">
            <w:pPr>
              <w:keepNext/>
              <w:keepLines/>
              <w:spacing w:after="0" w:line="240" w:lineRule="auto"/>
              <w:contextualSpacing/>
              <w:rPr>
                <w:rFonts w:eastAsia="Times New Roman" w:cs="Times New Roman"/>
                <w:color w:val="000000"/>
                <w:sz w:val="20"/>
                <w:szCs w:val="20"/>
                <w:lang w:eastAsia="en-GB"/>
              </w:rPr>
            </w:pPr>
            <w:r w:rsidRPr="00A4278B">
              <w:rPr>
                <w:rFonts w:eastAsia="Times New Roman" w:cs="Times New Roman"/>
                <w:color w:val="000000"/>
                <w:sz w:val="20"/>
                <w:szCs w:val="20"/>
                <w:lang w:eastAsia="en-GB"/>
              </w:rPr>
              <w:t> </w:t>
            </w:r>
          </w:p>
        </w:tc>
        <w:tc>
          <w:tcPr>
            <w:tcW w:w="1089" w:type="pct"/>
            <w:tcBorders>
              <w:top w:val="nil"/>
              <w:left w:val="nil"/>
              <w:bottom w:val="single" w:sz="8" w:space="0" w:color="auto"/>
              <w:right w:val="nil"/>
            </w:tcBorders>
            <w:shd w:val="clear" w:color="auto" w:fill="auto"/>
            <w:noWrap/>
            <w:vAlign w:val="bottom"/>
            <w:hideMark/>
          </w:tcPr>
          <w:p w14:paraId="3DA208A7"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 </w:t>
            </w:r>
          </w:p>
        </w:tc>
        <w:tc>
          <w:tcPr>
            <w:tcW w:w="1097" w:type="pct"/>
            <w:tcBorders>
              <w:top w:val="nil"/>
              <w:left w:val="nil"/>
              <w:bottom w:val="single" w:sz="8" w:space="0" w:color="auto"/>
              <w:right w:val="nil"/>
            </w:tcBorders>
            <w:shd w:val="clear" w:color="auto" w:fill="auto"/>
            <w:noWrap/>
            <w:vAlign w:val="center"/>
            <w:hideMark/>
          </w:tcPr>
          <w:p w14:paraId="0C32BB06"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33</w:t>
            </w:r>
          </w:p>
        </w:tc>
        <w:tc>
          <w:tcPr>
            <w:tcW w:w="987" w:type="pct"/>
            <w:tcBorders>
              <w:top w:val="nil"/>
              <w:left w:val="nil"/>
              <w:bottom w:val="single" w:sz="8" w:space="0" w:color="auto"/>
              <w:right w:val="nil"/>
            </w:tcBorders>
            <w:shd w:val="clear" w:color="auto" w:fill="auto"/>
            <w:noWrap/>
            <w:vAlign w:val="center"/>
            <w:hideMark/>
          </w:tcPr>
          <w:p w14:paraId="113D8C2E" w14:textId="77777777" w:rsidR="008C3153" w:rsidRPr="00A4278B" w:rsidRDefault="008C3153" w:rsidP="008C3153">
            <w:pPr>
              <w:keepNext/>
              <w:keepLines/>
              <w:spacing w:after="0" w:line="240" w:lineRule="auto"/>
              <w:contextualSpacing/>
              <w:jc w:val="center"/>
              <w:rPr>
                <w:rFonts w:eastAsia="Times New Roman" w:cs="Times New Roman"/>
                <w:color w:val="000000"/>
                <w:sz w:val="20"/>
                <w:szCs w:val="20"/>
                <w:lang w:eastAsia="en-GB"/>
              </w:rPr>
            </w:pPr>
            <w:r w:rsidRPr="00A4278B">
              <w:rPr>
                <w:rFonts w:eastAsia="Times New Roman" w:cs="Times New Roman"/>
                <w:color w:val="000000"/>
                <w:sz w:val="20"/>
                <w:szCs w:val="20"/>
                <w:lang w:eastAsia="en-GB"/>
              </w:rPr>
              <w:t>26.49 (£1,324,500)</w:t>
            </w:r>
          </w:p>
        </w:tc>
      </w:tr>
    </w:tbl>
    <w:p w14:paraId="494E51A4" w14:textId="77777777" w:rsidR="008C3153" w:rsidRDefault="008C3153" w:rsidP="008C3153"/>
    <w:p w14:paraId="5C9EE069" w14:textId="73E4627C" w:rsidR="008C3153" w:rsidRDefault="008C3153" w:rsidP="008C3153">
      <w:r>
        <w:t>As shown in</w:t>
      </w:r>
      <w:r w:rsidR="008C65BF">
        <w:t xml:space="preserve"> </w:t>
      </w:r>
      <w:r w:rsidR="008C65BF">
        <w:rPr>
          <w:highlight w:val="yellow"/>
        </w:rPr>
        <w:fldChar w:fldCharType="begin"/>
      </w:r>
      <w:r w:rsidR="008C65BF">
        <w:instrText xml:space="preserve"> REF _Ref30600192 \h </w:instrText>
      </w:r>
      <w:r w:rsidR="008C65BF">
        <w:rPr>
          <w:highlight w:val="yellow"/>
        </w:rPr>
      </w:r>
      <w:r w:rsidR="008C65BF">
        <w:rPr>
          <w:highlight w:val="yellow"/>
        </w:rPr>
        <w:fldChar w:fldCharType="separate"/>
      </w:r>
      <w:r w:rsidR="00C9471F">
        <w:t xml:space="preserve">Table </w:t>
      </w:r>
      <w:r w:rsidR="00C9471F">
        <w:rPr>
          <w:noProof/>
        </w:rPr>
        <w:t>31</w:t>
      </w:r>
      <w:r w:rsidR="008C65BF">
        <w:rPr>
          <w:highlight w:val="yellow"/>
        </w:rPr>
        <w:fldChar w:fldCharType="end"/>
      </w:r>
      <w:r>
        <w:t xml:space="preserve">, a decision to approve Drug X in </w:t>
      </w:r>
      <w:r w:rsidR="007000B1">
        <w:t xml:space="preserve">only </w:t>
      </w:r>
      <w:r>
        <w:t xml:space="preserve">these 3 </w:t>
      </w:r>
      <w:r w:rsidR="007000B1">
        <w:t xml:space="preserve">individual </w:t>
      </w:r>
      <w:r>
        <w:t xml:space="preserve">histologies is expected to result in an overall </w:t>
      </w:r>
      <w:r w:rsidR="006D0C0C">
        <w:t xml:space="preserve">annual </w:t>
      </w:r>
      <w:r>
        <w:t xml:space="preserve">gain to the health system of 26.49 QALYs.  Although partial stratification results in fewer patients receiving </w:t>
      </w:r>
      <w:r w:rsidR="008A4DBF">
        <w:t xml:space="preserve">Drug X compared to a full histology independent approval </w:t>
      </w:r>
      <w:r w:rsidR="007000B1">
        <w:t>(</w:t>
      </w:r>
      <w:r w:rsidR="008A4DBF">
        <w:t xml:space="preserve">i.e. </w:t>
      </w:r>
      <w:r>
        <w:t>33</w:t>
      </w:r>
      <w:r w:rsidR="000B74BE">
        <w:t xml:space="preserve"> patients</w:t>
      </w:r>
      <w:r>
        <w:t xml:space="preserve"> </w:t>
      </w:r>
      <w:r w:rsidR="008A4DBF">
        <w:t xml:space="preserve">annually </w:t>
      </w:r>
      <w:r>
        <w:t xml:space="preserve">vs 276 </w:t>
      </w:r>
      <w:r w:rsidR="000B74BE">
        <w:t>patients</w:t>
      </w:r>
      <w:r w:rsidR="008A4DBF">
        <w:t>)</w:t>
      </w:r>
      <w:r>
        <w:t>, there would be an overall gain to the health system from a policy decision based on partial stratification</w:t>
      </w:r>
      <w:r w:rsidR="008A4DBF">
        <w:t>.</w:t>
      </w:r>
      <w:r>
        <w:t xml:space="preserve"> This gain is equivalent to </w:t>
      </w:r>
      <w:r w:rsidR="000A0793">
        <w:t xml:space="preserve">approximately </w:t>
      </w:r>
      <w:r>
        <w:t>20.7 QALYs per annum</w:t>
      </w:r>
      <w:r w:rsidR="008A4DBF">
        <w:t xml:space="preserve"> (i.e. 26.49-5.79 QALYs)</w:t>
      </w:r>
      <w:r w:rsidR="00742485">
        <w:t xml:space="preserve">. In other words, a policy to </w:t>
      </w:r>
      <w:r w:rsidR="007522F6">
        <w:t xml:space="preserve">fully </w:t>
      </w:r>
      <w:r w:rsidR="00742485">
        <w:t xml:space="preserve">approve a histology independent product could result in an annual loss of 20.7 QALYs to the health system compared to </w:t>
      </w:r>
      <w:r w:rsidR="006D0C0C">
        <w:t>an</w:t>
      </w:r>
      <w:r w:rsidR="00742485">
        <w:t xml:space="preserve"> optimised approval decision based on a partial stratification approach. </w:t>
      </w:r>
      <w:r>
        <w:t xml:space="preserve"> </w:t>
      </w:r>
    </w:p>
    <w:p w14:paraId="56140DA9" w14:textId="02ECD3E8" w:rsidR="008C3153" w:rsidRDefault="008C3153" w:rsidP="008C3153">
      <w:r>
        <w:t xml:space="preserve">The majority of the gains from partial stratification </w:t>
      </w:r>
      <w:r w:rsidR="006A65AA">
        <w:t>are</w:t>
      </w:r>
      <w:r>
        <w:t xml:space="preserve"> achieved by avoiding </w:t>
      </w:r>
      <w:r w:rsidR="009D6CA1">
        <w:t xml:space="preserve">the approval of </w:t>
      </w:r>
      <w:r>
        <w:t xml:space="preserve">Drug X in </w:t>
      </w:r>
      <w:r w:rsidRPr="002E4DE7">
        <w:t>histologies with high testing costs and relatively large incidence</w:t>
      </w:r>
      <w:r w:rsidR="00CA76BE">
        <w:t xml:space="preserve"> (e.g. </w:t>
      </w:r>
      <w:r w:rsidRPr="002E4DE7">
        <w:t>lung, colon, breast and pancreatic cancer</w:t>
      </w:r>
      <w:r w:rsidR="00CA76BE">
        <w:t>)</w:t>
      </w:r>
      <w:r>
        <w:t xml:space="preserve"> for which Drug X does not appear to be cost-effective</w:t>
      </w:r>
      <w:r w:rsidR="0014544D">
        <w:t xml:space="preserve"> based on current evidene</w:t>
      </w:r>
      <w:r w:rsidRPr="002E4DE7">
        <w:t>.</w:t>
      </w:r>
      <w:r>
        <w:t xml:space="preserve"> A further advantage of partial stratification over no stratification is that assumptions about unrepresented histologies can be avoided in decision making. </w:t>
      </w:r>
      <w:r w:rsidR="0014544D">
        <w:t>However, a</w:t>
      </w:r>
      <w:r>
        <w:t xml:space="preserve"> disadvantage of partial stratification is a potential increase in monitoring costs required to prevent the use of Drug X outside of its subset of approved histologies.</w:t>
      </w:r>
      <w:r w:rsidR="006F7FD7">
        <w:fldChar w:fldCharType="begin"/>
      </w:r>
      <w:r w:rsidR="00054FE8">
        <w:instrText xml:space="preserve"> ADDIN EN.CITE &lt;EndNote&gt;&lt;Cite&gt;&lt;Author&gt;Espinoza&lt;/Author&gt;&lt;Year&gt;2014&lt;/Year&gt;&lt;RecNum&gt;3483&lt;/RecNum&gt;&lt;DisplayText&gt;&lt;style face="superscript"&gt;146&lt;/style&gt;&lt;/DisplayText&gt;&lt;record&gt;&lt;rec-number&gt;3483&lt;/rec-number&gt;&lt;foreign-keys&gt;&lt;key app="EN" db-id="dwaevxvazfs2f3ewvzmxrd0k0wasw55p2z2w" timestamp="1579606097"&gt;3483&lt;/key&gt;&lt;/foreign-keys&gt;&lt;ref-type name="Journal Article"&gt;17&lt;/ref-type&gt;&lt;contributors&gt;&lt;authors&gt;&lt;author&gt;Espinoza, M. A.&lt;/author&gt;&lt;author&gt;Manca, A.&lt;/author&gt;&lt;author&gt;Claxton, K.&lt;/author&gt;&lt;author&gt;Sculpher, M. J.&lt;/author&gt;&lt;/authors&gt;&lt;/contributors&gt;&lt;auth-address&gt;Department of Public Health, Pontificia Universidad Catolica de Chile, Santiago, Chile (MAE)&amp;#xD;Department of Scientific Affairs, Institute of Public Health, Santiago, Chile (MAE)&amp;#xD;Centre for Health Economics, University of York, York, UK (AM, KC, MJS)&amp;#xD;Department of Economics and Related Studies, University of York, York, UK (KC).&lt;/auth-address&gt;&lt;titles&gt;&lt;title&gt;The value of heterogeneity for cost-effectiveness subgroup analysis: conceptual framework and application&lt;/title&gt;&lt;secondary-title&gt;Med Decis Making&lt;/secondary-title&gt;&lt;/titles&gt;&lt;periodical&gt;&lt;full-title&gt;Medical Decision Making&lt;/full-title&gt;&lt;abbr-1&gt;Med Decis Making&lt;/abbr-1&gt;&lt;/periodical&gt;&lt;pages&gt;951-64&lt;/pages&gt;&lt;volume&gt;34&lt;/volume&gt;&lt;number&gt;8&lt;/number&gt;&lt;edition&gt;2014/06/20&lt;/edition&gt;&lt;keywords&gt;&lt;keyword&gt;*Cost-Benefit Analysis&lt;/keyword&gt;&lt;keyword&gt;Research&lt;/keyword&gt;&lt;keyword&gt;Uncertainty&lt;/keyword&gt;&lt;/keywords&gt;&lt;dates&gt;&lt;year&gt;2014&lt;/year&gt;&lt;pub-dates&gt;&lt;date&gt;Nov&lt;/date&gt;&lt;/pub-dates&gt;&lt;/dates&gt;&lt;isbn&gt;1552-681X (Electronic)&amp;#xD;0272-989X (Linking)&lt;/isbn&gt;&lt;accession-num&gt;24944196&lt;/accession-num&gt;&lt;urls&gt;&lt;/urls&gt;&lt;custom2&gt;4232328&lt;/custom2&gt;&lt;custom4&gt;STEVE&amp;apos;S REFERENCES&lt;/custom4&gt;&lt;electronic-resource-num&gt;0272989X14538705 [pii]&amp;#xD;10.1177/0272989X14538705&lt;/electronic-resource-num&gt;&lt;research-notes&gt;https://www.ncbi.nlm.nih.gov/pubmed/24944196&lt;/research-notes&gt;&lt;language&gt;eng&lt;/language&gt;&lt;/record&gt;&lt;/Cite&gt;&lt;/EndNote&gt;</w:instrText>
      </w:r>
      <w:r w:rsidR="006F7FD7">
        <w:fldChar w:fldCharType="separate"/>
      </w:r>
      <w:r w:rsidR="004D5B2B" w:rsidRPr="004D5B2B">
        <w:rPr>
          <w:noProof/>
          <w:vertAlign w:val="superscript"/>
        </w:rPr>
        <w:t>146</w:t>
      </w:r>
      <w:r w:rsidR="006F7FD7">
        <w:fldChar w:fldCharType="end"/>
      </w:r>
    </w:p>
    <w:p w14:paraId="5A5CED5A" w14:textId="417D0155" w:rsidR="008C3153" w:rsidRPr="009A5ACC" w:rsidRDefault="008C3153" w:rsidP="008C3153">
      <w:pPr>
        <w:pStyle w:val="Heading3"/>
      </w:pPr>
      <w:bookmarkStart w:id="251" w:name="_Toc33776235"/>
      <w:r>
        <w:lastRenderedPageBreak/>
        <w:t xml:space="preserve">Full stratification: </w:t>
      </w:r>
      <w:r w:rsidRPr="00FF280F">
        <w:t>Approval only in histologies in which cost</w:t>
      </w:r>
      <w:r w:rsidR="00CE2F86">
        <w:t>-</w:t>
      </w:r>
      <w:r w:rsidRPr="00FF280F">
        <w:t>effective</w:t>
      </w:r>
      <w:r w:rsidR="00CE2F86">
        <w:t>ness</w:t>
      </w:r>
      <w:r w:rsidRPr="00FF280F">
        <w:t xml:space="preserve"> is demonstrated</w:t>
      </w:r>
      <w:bookmarkEnd w:id="251"/>
    </w:p>
    <w:p w14:paraId="47C8BDA9" w14:textId="7A80E35C" w:rsidR="0014544D" w:rsidRDefault="008C3153" w:rsidP="008C3153">
      <w:r>
        <w:t>This is a fully histology</w:t>
      </w:r>
      <w:r w:rsidR="00A046F9">
        <w:t>-</w:t>
      </w:r>
      <w:r>
        <w:t xml:space="preserve">dependent approval policy in which the technology is restricted for use only in those histologies in which it has been shown to be </w:t>
      </w:r>
      <w:r w:rsidR="00BD0BE7">
        <w:t xml:space="preserve">potentially </w:t>
      </w:r>
      <w:r w:rsidR="009D6CA1">
        <w:t>cost-effective</w:t>
      </w:r>
      <w:r w:rsidR="0014544D">
        <w:t xml:space="preserve"> based on expected ICER/NHB estimates</w:t>
      </w:r>
      <w:r>
        <w:t xml:space="preserve">. Given the </w:t>
      </w:r>
      <w:r w:rsidR="00CA76BE">
        <w:t>ICER/NHB estimates</w:t>
      </w:r>
      <w:r>
        <w:t xml:space="preserve"> presented in</w:t>
      </w:r>
      <w:r w:rsidR="008C65BF">
        <w:t xml:space="preserve"> </w:t>
      </w:r>
      <w:r w:rsidR="008C65BF">
        <w:rPr>
          <w:highlight w:val="yellow"/>
        </w:rPr>
        <w:fldChar w:fldCharType="begin"/>
      </w:r>
      <w:r w:rsidR="008C65BF">
        <w:instrText xml:space="preserve"> REF _Ref30599965 \h </w:instrText>
      </w:r>
      <w:r w:rsidR="008C65BF">
        <w:rPr>
          <w:highlight w:val="yellow"/>
        </w:rPr>
      </w:r>
      <w:r w:rsidR="008C65BF">
        <w:rPr>
          <w:highlight w:val="yellow"/>
        </w:rPr>
        <w:fldChar w:fldCharType="separate"/>
      </w:r>
      <w:r w:rsidR="00C20257">
        <w:t xml:space="preserve">Table </w:t>
      </w:r>
      <w:r w:rsidR="00C20257">
        <w:rPr>
          <w:noProof/>
        </w:rPr>
        <w:t>29</w:t>
      </w:r>
      <w:r w:rsidR="008C65BF">
        <w:rPr>
          <w:highlight w:val="yellow"/>
        </w:rPr>
        <w:fldChar w:fldCharType="end"/>
      </w:r>
      <w:r>
        <w:t xml:space="preserve">, Drug X </w:t>
      </w:r>
      <w:r w:rsidR="0014544D">
        <w:t>appears potentially cost-effective in the following histologies:</w:t>
      </w:r>
      <w:r>
        <w:t xml:space="preserve"> sarcoma</w:t>
      </w:r>
      <w:r w:rsidR="0014544D">
        <w:t>;</w:t>
      </w:r>
      <w:r>
        <w:t xml:space="preserve"> salivary gland</w:t>
      </w:r>
      <w:r w:rsidR="0014544D">
        <w:t xml:space="preserve">; </w:t>
      </w:r>
      <w:r>
        <w:t>IFS</w:t>
      </w:r>
      <w:r w:rsidR="0014544D">
        <w:t>;</w:t>
      </w:r>
      <w:r>
        <w:t xml:space="preserve"> thyroid</w:t>
      </w:r>
      <w:r w:rsidR="0014544D">
        <w:t>;</w:t>
      </w:r>
      <w:r>
        <w:t xml:space="preserve"> GIST and appendix. These are the histologies in which NHBs are greater than zero. Equivalently they each have ICERs below £50,000</w:t>
      </w:r>
      <w:r w:rsidR="006A65AA">
        <w:t xml:space="preserve"> per QALY gained</w:t>
      </w:r>
      <w:r>
        <w:t xml:space="preserve">. Taking the sum of the NHB across each of these histologies results in </w:t>
      </w:r>
      <w:r w:rsidR="0014544D">
        <w:t xml:space="preserve">an overall annual gain of </w:t>
      </w:r>
      <w:r>
        <w:t xml:space="preserve">35.68 QALYs </w:t>
      </w:r>
      <w:r w:rsidR="0014544D">
        <w:t xml:space="preserve">to the health system </w:t>
      </w:r>
      <w:r>
        <w:t xml:space="preserve">from </w:t>
      </w:r>
      <w:r w:rsidR="0014544D">
        <w:t xml:space="preserve">a </w:t>
      </w:r>
      <w:r>
        <w:t xml:space="preserve">fully stratified approval </w:t>
      </w:r>
      <w:r w:rsidR="0014544D">
        <w:t xml:space="preserve">decision for </w:t>
      </w:r>
      <w:r>
        <w:t xml:space="preserve">Drug X. </w:t>
      </w:r>
      <w:r w:rsidR="0014544D" w:rsidRPr="0014544D">
        <w:t>The expected number of patients treated annually based on full stratification is estimated to be 60 patients.</w:t>
      </w:r>
    </w:p>
    <w:p w14:paraId="72741042" w14:textId="7145870D" w:rsidR="00745024" w:rsidRDefault="008C3153" w:rsidP="008C3153">
      <w:r w:rsidRPr="00D35FBC">
        <w:t xml:space="preserve">The additional value of distinguishing between different types of patients </w:t>
      </w:r>
      <w:r w:rsidR="0014544D">
        <w:t xml:space="preserve">represents </w:t>
      </w:r>
      <w:r w:rsidRPr="00D35FBC">
        <w:t>the value of heterogeneity</w:t>
      </w:r>
      <w:r>
        <w:t>.</w:t>
      </w:r>
      <w:r w:rsidR="006F7FD7">
        <w:fldChar w:fldCharType="begin">
          <w:fldData xml:space="preserve">PEVuZE5vdGU+PENpdGU+PEF1dGhvcj5Fc3Bpbm96YTwvQXV0aG9yPjxZZWFyPjIwMTQ8L1llYXI+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</w:fldData>
        </w:fldChar>
      </w:r>
      <w:r w:rsidR="00054FE8">
        <w:instrText xml:space="preserve"> ADDIN EN.CITE </w:instrText>
      </w:r>
      <w:r w:rsidR="00054FE8">
        <w:fldChar w:fldCharType="begin">
          <w:fldData xml:space="preserve">PEVuZE5vdGU+PENpdGU+PEF1dGhvcj5Fc3Bpbm96YTwvQXV0aG9yPjxZZWFyPjIwMTQ8L1llYXI+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</w:fldData>
        </w:fldChar>
      </w:r>
      <w:r w:rsidR="00054FE8">
        <w:instrText xml:space="preserve"> ADDIN EN.CITE.DATA </w:instrText>
      </w:r>
      <w:r w:rsidR="00054FE8">
        <w:fldChar w:fldCharType="end"/>
      </w:r>
      <w:r w:rsidR="006F7FD7">
        <w:fldChar w:fldCharType="separate"/>
      </w:r>
      <w:r w:rsidR="004D5B2B" w:rsidRPr="004D5B2B">
        <w:rPr>
          <w:noProof/>
          <w:vertAlign w:val="superscript"/>
        </w:rPr>
        <w:t>145-147</w:t>
      </w:r>
      <w:r w:rsidR="006F7FD7">
        <w:fldChar w:fldCharType="end"/>
      </w:r>
      <w:r>
        <w:t xml:space="preserve"> </w:t>
      </w:r>
      <w:r w:rsidR="0014544D">
        <w:t xml:space="preserve">In this example, the value of heterogeneity represents the difference between the NHB of a </w:t>
      </w:r>
      <w:r>
        <w:t xml:space="preserve">fully stratified </w:t>
      </w:r>
      <w:r w:rsidRPr="00D35FBC">
        <w:t xml:space="preserve">recommendation compared to </w:t>
      </w:r>
      <w:r>
        <w:t>a histology-independent recommendation with no stratificatio</w:t>
      </w:r>
      <w:r w:rsidR="0014544D">
        <w:t>n</w:t>
      </w:r>
      <w:r w:rsidR="00306382">
        <w:t xml:space="preserve">. This difference is equivalent to </w:t>
      </w:r>
      <w:r w:rsidRPr="00D357ED">
        <w:t>29.89</w:t>
      </w:r>
      <w:r>
        <w:t xml:space="preserve"> </w:t>
      </w:r>
      <w:r w:rsidRPr="00D35FBC">
        <w:t xml:space="preserve">QALYs </w:t>
      </w:r>
      <w:r w:rsidR="000A0793">
        <w:t>(</w:t>
      </w:r>
      <w:r w:rsidR="000A0793">
        <w:rPr>
          <w:rFonts w:cs="Times New Roman"/>
        </w:rPr>
        <w:t>≈</w:t>
      </w:r>
      <w:r w:rsidR="00BD0BE7" w:rsidRPr="00BD0BE7">
        <w:t xml:space="preserve">35.68 </w:t>
      </w:r>
      <w:r w:rsidR="000A0793">
        <w:t>-</w:t>
      </w:r>
      <w:r w:rsidR="00BD0BE7" w:rsidRPr="00BD0BE7">
        <w:t xml:space="preserve"> 5.79 </w:t>
      </w:r>
      <w:r w:rsidR="00BD0BE7">
        <w:t xml:space="preserve">QALYs) </w:t>
      </w:r>
      <w:r w:rsidRPr="00D35FBC">
        <w:t>per year.</w:t>
      </w:r>
      <w:r>
        <w:t xml:space="preserve"> </w:t>
      </w:r>
    </w:p>
    <w:p w14:paraId="0B70D8B2" w14:textId="1E2CC75A" w:rsidR="000268EF" w:rsidRDefault="007522F6" w:rsidP="008C3153">
      <w:r>
        <w:t>Exploring the value of heterogeneity</w:t>
      </w:r>
      <w:r w:rsidR="00306382" w:rsidRPr="00306382">
        <w:t xml:space="preserve"> may help to inform NICE</w:t>
      </w:r>
      <w:r w:rsidR="00CA76BE">
        <w:t xml:space="preserve"> </w:t>
      </w:r>
      <w:r w:rsidR="00306382" w:rsidRPr="00306382">
        <w:t>committee</w:t>
      </w:r>
      <w:r w:rsidR="00CA76BE">
        <w:t>s</w:t>
      </w:r>
      <w:r w:rsidR="00306382" w:rsidRPr="00306382">
        <w:t xml:space="preserve"> </w:t>
      </w:r>
      <w:r w:rsidR="00CA76BE">
        <w:t>of</w:t>
      </w:r>
      <w:r w:rsidR="00306382" w:rsidRPr="00306382">
        <w:t xml:space="preserve"> the consequences of alternative policy options, both in terms of the expected number of patients that would be eligible to receive a specific new treatment but also in terms of their overall consequences to the health system.</w:t>
      </w:r>
      <w:r w:rsidR="00306382">
        <w:t xml:space="preserve"> </w:t>
      </w:r>
      <w:r w:rsidR="00306382" w:rsidRPr="00306382">
        <w:t xml:space="preserve">While a histology-independent approval might be considered appropriate on the basis that this results in an overall positive annual NHB compared to </w:t>
      </w:r>
      <w:r w:rsidR="00306382">
        <w:t>rejecting the technology</w:t>
      </w:r>
      <w:r w:rsidR="00306382" w:rsidRPr="00306382">
        <w:t xml:space="preserve">, it is also important to consider the potential consequences of such an approval policy compared to a more restrictive or optimised recommendation. </w:t>
      </w:r>
      <w:r w:rsidR="00306382">
        <w:t xml:space="preserve">In this </w:t>
      </w:r>
      <w:r>
        <w:t>case study</w:t>
      </w:r>
      <w:r w:rsidR="00306382">
        <w:t>, there appear to be significant gains to the health system that could be achieved by an optimised recommendation. Importantly,</w:t>
      </w:r>
      <w:r w:rsidR="00306382" w:rsidRPr="00306382">
        <w:t xml:space="preserve"> an approval decision based on partial stratification </w:t>
      </w:r>
      <w:r w:rsidR="000268EF">
        <w:t xml:space="preserve">using </w:t>
      </w:r>
      <w:r w:rsidR="00306382">
        <w:t xml:space="preserve">only 3 </w:t>
      </w:r>
      <w:r w:rsidR="000268EF">
        <w:t xml:space="preserve">individual </w:t>
      </w:r>
      <w:r w:rsidR="00306382">
        <w:t xml:space="preserve">histologies appears to </w:t>
      </w:r>
      <w:r w:rsidR="00306382" w:rsidRPr="00306382">
        <w:t>confer</w:t>
      </w:r>
      <w:r w:rsidR="00306382">
        <w:t xml:space="preserve"> </w:t>
      </w:r>
      <w:r w:rsidR="00306382" w:rsidRPr="00306382">
        <w:t xml:space="preserve">approximately 74% of the </w:t>
      </w:r>
      <w:r w:rsidR="00306382">
        <w:t xml:space="preserve">gains that are potentially achieved based on a </w:t>
      </w:r>
      <w:r w:rsidR="00306382" w:rsidRPr="00306382">
        <w:t>full stratification</w:t>
      </w:r>
      <w:r w:rsidR="00306382">
        <w:t xml:space="preserve"> policy</w:t>
      </w:r>
      <w:r w:rsidR="00306382" w:rsidRPr="00306382">
        <w:t>.</w:t>
      </w:r>
      <w:r w:rsidR="00306382">
        <w:t xml:space="preserve"> </w:t>
      </w:r>
    </w:p>
    <w:p w14:paraId="7AA25E08" w14:textId="2796018C" w:rsidR="008C3153" w:rsidRDefault="005D5BBC" w:rsidP="00EC11CD">
      <w:pPr>
        <w:pStyle w:val="Heading2"/>
      </w:pPr>
      <w:bookmarkStart w:id="252" w:name="_Ref32318439"/>
      <w:bookmarkStart w:id="253" w:name="_Toc33776236"/>
      <w:r>
        <w:t>Uncertainty and decision making</w:t>
      </w:r>
      <w:bookmarkEnd w:id="252"/>
      <w:bookmarkEnd w:id="253"/>
    </w:p>
    <w:p w14:paraId="37B18E11" w14:textId="597102BB" w:rsidR="005D5BBC" w:rsidRDefault="005D5BBC" w:rsidP="005D5BBC">
      <w:pPr>
        <w:rPr>
          <w:rFonts w:eastAsia="SimSun" w:cs="Arial"/>
        </w:rPr>
      </w:pPr>
      <w:r w:rsidRPr="00BC61C7">
        <w:rPr>
          <w:rFonts w:eastAsia="SimSun" w:cs="Arial"/>
        </w:rPr>
        <w:t xml:space="preserve">The previous sections have discussed decisions about the approval of technologies. However, decision makers such as NICE also need to consider </w:t>
      </w:r>
      <w:r>
        <w:rPr>
          <w:rFonts w:eastAsia="SimSun" w:cs="Arial"/>
        </w:rPr>
        <w:t>the risk associated with decision making under uncertainty</w:t>
      </w:r>
      <w:r w:rsidRPr="00BC61C7">
        <w:rPr>
          <w:rFonts w:eastAsia="SimSun" w:cs="Arial"/>
        </w:rPr>
        <w:t xml:space="preserve">. Given the limitations in study design and sample size, there will always be uncertainties about the cost and health consequences associated with different treatment options. All ICERs and NHBs discussed previously will be associated with uncertainty. </w:t>
      </w:r>
      <w:r>
        <w:rPr>
          <w:rFonts w:eastAsia="SimSun" w:cs="Arial"/>
        </w:rPr>
        <w:t xml:space="preserve">This means that through the central estimate of </w:t>
      </w:r>
      <w:r w:rsidR="00CD39D2">
        <w:rPr>
          <w:rFonts w:eastAsia="SimSun" w:cs="Arial"/>
        </w:rPr>
        <w:t>the</w:t>
      </w:r>
      <w:r>
        <w:rPr>
          <w:rFonts w:eastAsia="SimSun" w:cs="Arial"/>
        </w:rPr>
        <w:t xml:space="preserve"> ICER</w:t>
      </w:r>
      <w:r w:rsidR="00CD39D2">
        <w:rPr>
          <w:rFonts w:eastAsia="SimSun" w:cs="Arial"/>
        </w:rPr>
        <w:t>/NHB</w:t>
      </w:r>
      <w:r>
        <w:rPr>
          <w:rFonts w:eastAsia="SimSun" w:cs="Arial"/>
        </w:rPr>
        <w:t xml:space="preserve"> indicate</w:t>
      </w:r>
      <w:r w:rsidR="00CD39D2">
        <w:rPr>
          <w:rFonts w:eastAsia="SimSun" w:cs="Arial"/>
        </w:rPr>
        <w:t>s</w:t>
      </w:r>
      <w:r>
        <w:rPr>
          <w:rFonts w:eastAsia="SimSun" w:cs="Arial"/>
        </w:rPr>
        <w:t xml:space="preserve"> that a treatment is </w:t>
      </w:r>
      <w:r w:rsidR="009D6CA1">
        <w:rPr>
          <w:rFonts w:eastAsia="SimSun" w:cs="Arial"/>
        </w:rPr>
        <w:t>cost-effective</w:t>
      </w:r>
      <w:r>
        <w:rPr>
          <w:rFonts w:eastAsia="SimSun" w:cs="Arial"/>
        </w:rPr>
        <w:t>, there is a</w:t>
      </w:r>
      <w:r w:rsidR="009D6CA1">
        <w:rPr>
          <w:rFonts w:eastAsia="SimSun" w:cs="Arial"/>
        </w:rPr>
        <w:t>lso a</w:t>
      </w:r>
      <w:r>
        <w:rPr>
          <w:rFonts w:eastAsia="SimSun" w:cs="Arial"/>
        </w:rPr>
        <w:t xml:space="preserve"> risk that the treatment is not </w:t>
      </w:r>
      <w:r w:rsidR="009D6CA1">
        <w:rPr>
          <w:rFonts w:eastAsia="SimSun" w:cs="Arial"/>
        </w:rPr>
        <w:t>cost-effective</w:t>
      </w:r>
      <w:r>
        <w:rPr>
          <w:rFonts w:eastAsia="SimSun" w:cs="Arial"/>
        </w:rPr>
        <w:t>. For example,</w:t>
      </w:r>
      <w:r w:rsidR="00900D39">
        <w:rPr>
          <w:rFonts w:eastAsia="SimSun" w:cs="Arial"/>
        </w:rPr>
        <w:t xml:space="preserve"> a treatment which meets the end of life</w:t>
      </w:r>
      <w:r>
        <w:rPr>
          <w:rFonts w:eastAsia="SimSun" w:cs="Arial"/>
        </w:rPr>
        <w:t xml:space="preserve"> criteria may have a central ICER estimate of £45,000</w:t>
      </w:r>
      <w:r w:rsidR="0046556F">
        <w:rPr>
          <w:rFonts w:eastAsia="SimSun" w:cs="Arial"/>
        </w:rPr>
        <w:t xml:space="preserve"> per </w:t>
      </w:r>
      <w:r>
        <w:rPr>
          <w:rFonts w:eastAsia="SimSun" w:cs="Arial"/>
        </w:rPr>
        <w:t xml:space="preserve">QALY and so is expected to be </w:t>
      </w:r>
      <w:r w:rsidR="009D6CA1">
        <w:rPr>
          <w:rFonts w:eastAsia="SimSun" w:cs="Arial"/>
        </w:rPr>
        <w:t>cost-effective</w:t>
      </w:r>
      <w:r>
        <w:rPr>
          <w:rFonts w:eastAsia="SimSun" w:cs="Arial"/>
        </w:rPr>
        <w:t xml:space="preserve">. However, due </w:t>
      </w:r>
      <w:r>
        <w:rPr>
          <w:rFonts w:eastAsia="SimSun" w:cs="Arial"/>
        </w:rPr>
        <w:lastRenderedPageBreak/>
        <w:t>to uncertainty there may be a 40% chance that the true ICER is above £50,000</w:t>
      </w:r>
      <w:r w:rsidR="0046556F">
        <w:rPr>
          <w:rFonts w:eastAsia="SimSun" w:cs="Arial"/>
        </w:rPr>
        <w:t xml:space="preserve"> per </w:t>
      </w:r>
      <w:r>
        <w:rPr>
          <w:rFonts w:eastAsia="SimSun" w:cs="Arial"/>
        </w:rPr>
        <w:t>QALY. The health losses associated with this eventuality is the risk of decision making under uncertainty.</w:t>
      </w:r>
    </w:p>
    <w:p w14:paraId="31A3FF3D" w14:textId="0BA9E0D0" w:rsidR="005D5BBC" w:rsidRDefault="005D5BBC" w:rsidP="005D5BBC">
      <w:pPr>
        <w:rPr>
          <w:rFonts w:eastAsia="SimSun" w:cs="Arial"/>
        </w:rPr>
      </w:pPr>
      <w:r w:rsidRPr="00BC61C7">
        <w:rPr>
          <w:rFonts w:eastAsia="SimSun" w:cs="Arial"/>
        </w:rPr>
        <w:t xml:space="preserve">Uncertainties can be divided into two categories; those that arise from assumptions inherent in constructing models (structural uncertainties) and those which are a result of imprecision in parameter estimates due </w:t>
      </w:r>
      <w:r w:rsidRPr="005D5BBC">
        <w:rPr>
          <w:rFonts w:eastAsia="SimSun" w:cs="Arial"/>
        </w:rPr>
        <w:t xml:space="preserve">to limited sample size (parameter uncertainties). Previous research has shown how uncertainties </w:t>
      </w:r>
      <w:r w:rsidRPr="004946D7">
        <w:rPr>
          <w:rFonts w:eastAsia="SimSun" w:cs="Arial"/>
        </w:rPr>
        <w:t xml:space="preserve">associated with imprecision can be addressed through </w:t>
      </w:r>
      <w:r w:rsidR="003D37F7" w:rsidRPr="004946D7">
        <w:rPr>
          <w:rFonts w:eastAsia="SimSun" w:cs="Arial"/>
        </w:rPr>
        <w:t>further data collection or pricing</w:t>
      </w:r>
      <w:r w:rsidRPr="004946D7">
        <w:rPr>
          <w:rFonts w:eastAsia="SimSun" w:cs="Arial"/>
        </w:rPr>
        <w:t xml:space="preserve"> </w:t>
      </w:r>
      <w:r w:rsidR="003D37F7" w:rsidRPr="004946D7">
        <w:rPr>
          <w:rFonts w:eastAsia="SimSun" w:cs="Arial"/>
        </w:rPr>
        <w:t>schemes</w:t>
      </w:r>
      <w:r w:rsidRPr="004946D7">
        <w:rPr>
          <w:rFonts w:eastAsia="SimSun" w:cs="Arial"/>
        </w:rPr>
        <w:t>.</w:t>
      </w:r>
      <w:r w:rsidR="00CB2733">
        <w:rPr>
          <w:rFonts w:eastAsia="SimSun" w:cs="Arial"/>
        </w:rPr>
        <w:fldChar w:fldCharType="begin">
          <w:fldData xml:space="preserve">PEVuZE5vdGU+PENpdGU+PEF1dGhvcj5HcmltbTwvQXV0aG9yPjxZZWFyPjIwMTY8L1llYXI+PFJl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=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PEVuZE5vdGU+PENpdGU+PEF1dGhvcj5HcmltbTwvQXV0aG9yPjxZZWFyPjIwMTY8L1llYXI+PFJl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=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191, 192</w:t>
      </w:r>
      <w:r w:rsidR="00CB2733">
        <w:rPr>
          <w:rFonts w:eastAsia="SimSun" w:cs="Arial"/>
        </w:rPr>
        <w:fldChar w:fldCharType="end"/>
      </w:r>
      <w:r w:rsidR="004946D7" w:rsidRPr="004946D7">
        <w:rPr>
          <w:rFonts w:eastAsia="SimSun" w:cs="Arial"/>
        </w:rPr>
        <w:t xml:space="preserve"> </w:t>
      </w:r>
      <w:r w:rsidRPr="004946D7">
        <w:rPr>
          <w:rFonts w:eastAsia="SimSun" w:cs="Arial"/>
        </w:rPr>
        <w:t>In this</w:t>
      </w:r>
      <w:r>
        <w:rPr>
          <w:rFonts w:eastAsia="SimSun" w:cs="Arial"/>
        </w:rPr>
        <w:t xml:space="preserve"> section we will show how these approaches can be used to reduce risk in decision making </w:t>
      </w:r>
      <w:r w:rsidR="006D0C0C">
        <w:rPr>
          <w:rFonts w:eastAsia="SimSun" w:cs="Arial"/>
        </w:rPr>
        <w:t xml:space="preserve">for </w:t>
      </w:r>
      <w:r>
        <w:rPr>
          <w:rFonts w:eastAsia="SimSun" w:cs="Arial"/>
        </w:rPr>
        <w:t>histology</w:t>
      </w:r>
      <w:r w:rsidR="00FD3AF1">
        <w:rPr>
          <w:rFonts w:eastAsia="SimSun" w:cs="Arial"/>
        </w:rPr>
        <w:t>-</w:t>
      </w:r>
      <w:r>
        <w:rPr>
          <w:rFonts w:eastAsia="SimSun" w:cs="Arial"/>
        </w:rPr>
        <w:t xml:space="preserve">independent technologies, in addition we show how stratified decision making </w:t>
      </w:r>
      <w:r w:rsidR="006D0C0C">
        <w:rPr>
          <w:rFonts w:eastAsia="SimSun" w:cs="Arial"/>
        </w:rPr>
        <w:t>represents an</w:t>
      </w:r>
      <w:r>
        <w:rPr>
          <w:rFonts w:eastAsia="SimSun" w:cs="Arial"/>
        </w:rPr>
        <w:t xml:space="preserve"> additional approach to managing risk associated with uncertainty.</w:t>
      </w:r>
    </w:p>
    <w:p w14:paraId="3F94EFE0" w14:textId="32EE3DEA" w:rsidR="008C3153" w:rsidRDefault="005D5BBC" w:rsidP="008C3153">
      <w:pPr>
        <w:pStyle w:val="Heading3"/>
      </w:pPr>
      <w:bookmarkStart w:id="254" w:name="_Toc33776237"/>
      <w:r>
        <w:t>The consequences of uncertainty</w:t>
      </w:r>
      <w:bookmarkEnd w:id="254"/>
    </w:p>
    <w:p w14:paraId="29B0F539" w14:textId="372E7132" w:rsidR="005D5BBC" w:rsidRDefault="005D5BBC" w:rsidP="005D5BBC">
      <w:pPr>
        <w:rPr>
          <w:rFonts w:eastAsia="SimSun" w:cs="Arial"/>
        </w:rPr>
      </w:pPr>
      <w:r w:rsidRPr="00BC61C7">
        <w:rPr>
          <w:rFonts w:eastAsia="SimSun" w:cs="Arial"/>
        </w:rPr>
        <w:t xml:space="preserve">This section introduces value of information (VOI) as a framework to quantify the health effects of uncertainty. </w:t>
      </w:r>
      <w:r w:rsidR="000268EF">
        <w:rPr>
          <w:rFonts w:eastAsia="SimSun" w:cs="Arial"/>
        </w:rPr>
        <w:t xml:space="preserve">VOI analyses </w:t>
      </w:r>
      <w:r w:rsidRPr="00BC61C7">
        <w:rPr>
          <w:rFonts w:eastAsia="SimSun" w:cs="Arial"/>
        </w:rPr>
        <w:t xml:space="preserve">can provide decision makers with metrics to help </w:t>
      </w:r>
      <w:r>
        <w:rPr>
          <w:rFonts w:eastAsia="SimSun" w:cs="Arial"/>
        </w:rPr>
        <w:t xml:space="preserve">understand the drivers of </w:t>
      </w:r>
      <w:r w:rsidR="006D0C0C">
        <w:rPr>
          <w:rFonts w:eastAsia="SimSun" w:cs="Arial"/>
        </w:rPr>
        <w:t xml:space="preserve">decision </w:t>
      </w:r>
      <w:r>
        <w:rPr>
          <w:rFonts w:eastAsia="SimSun" w:cs="Arial"/>
        </w:rPr>
        <w:t xml:space="preserve">uncertainty and </w:t>
      </w:r>
      <w:r w:rsidR="006D0C0C">
        <w:rPr>
          <w:rFonts w:eastAsia="SimSun" w:cs="Arial"/>
        </w:rPr>
        <w:t xml:space="preserve">assess alternative </w:t>
      </w:r>
      <w:r>
        <w:rPr>
          <w:rFonts w:eastAsia="SimSun" w:cs="Arial"/>
        </w:rPr>
        <w:t>strategies which c</w:t>
      </w:r>
      <w:r w:rsidR="006D0C0C">
        <w:rPr>
          <w:rFonts w:eastAsia="SimSun" w:cs="Arial"/>
        </w:rPr>
        <w:t>ould</w:t>
      </w:r>
      <w:r>
        <w:rPr>
          <w:rFonts w:eastAsia="SimSun" w:cs="Arial"/>
        </w:rPr>
        <w:t xml:space="preserve"> be used to manage this risk. The uncertainty associated with a histology</w:t>
      </w:r>
      <w:r w:rsidR="00FD3AF1">
        <w:rPr>
          <w:rFonts w:eastAsia="SimSun" w:cs="Arial"/>
        </w:rPr>
        <w:t>-</w:t>
      </w:r>
      <w:r>
        <w:rPr>
          <w:rFonts w:eastAsia="SimSun" w:cs="Arial"/>
        </w:rPr>
        <w:t>independent decision (</w:t>
      </w:r>
      <w:r w:rsidR="00F5612B">
        <w:rPr>
          <w:rFonts w:eastAsia="SimSun" w:cs="Arial"/>
        </w:rPr>
        <w:t>‘</w:t>
      </w:r>
      <w:r>
        <w:rPr>
          <w:rFonts w:eastAsia="SimSun" w:cs="Arial"/>
        </w:rPr>
        <w:t>no stratification</w:t>
      </w:r>
      <w:r w:rsidR="00F5612B">
        <w:rPr>
          <w:rFonts w:eastAsia="SimSun" w:cs="Arial"/>
        </w:rPr>
        <w:t>’</w:t>
      </w:r>
      <w:r>
        <w:rPr>
          <w:rFonts w:eastAsia="SimSun" w:cs="Arial"/>
        </w:rPr>
        <w:t xml:space="preserve">) is illustrated </w:t>
      </w:r>
      <w:r w:rsidR="006D0C0C">
        <w:rPr>
          <w:rFonts w:eastAsia="SimSun" w:cs="Arial"/>
        </w:rPr>
        <w:t>below</w:t>
      </w:r>
      <w:r>
        <w:rPr>
          <w:rFonts w:eastAsia="SimSun" w:cs="Arial"/>
        </w:rPr>
        <w:t xml:space="preserve">. The implications for partial and full stratification will be addressed </w:t>
      </w:r>
      <w:r w:rsidR="009D6CA1">
        <w:rPr>
          <w:rFonts w:eastAsia="SimSun" w:cs="Arial"/>
        </w:rPr>
        <w:t>in subsequent sections.</w:t>
      </w:r>
    </w:p>
    <w:p w14:paraId="48B422CE" w14:textId="0FF9A258" w:rsidR="005D5BBC" w:rsidRDefault="005D5BBC" w:rsidP="008C3153">
      <w:r w:rsidRPr="00BC61C7">
        <w:rPr>
          <w:rFonts w:eastAsia="SimSun" w:cs="Arial"/>
        </w:rPr>
        <w:t xml:space="preserve">The </w:t>
      </w:r>
      <w:r w:rsidR="000268EF">
        <w:rPr>
          <w:rFonts w:eastAsia="SimSun" w:cs="Arial"/>
        </w:rPr>
        <w:t xml:space="preserve">NHB </w:t>
      </w:r>
      <w:r w:rsidRPr="00BC61C7">
        <w:rPr>
          <w:rFonts w:eastAsia="SimSun" w:cs="Arial"/>
        </w:rPr>
        <w:t xml:space="preserve">results </w:t>
      </w:r>
      <w:r w:rsidR="000268EF">
        <w:rPr>
          <w:rFonts w:eastAsia="SimSun" w:cs="Arial"/>
        </w:rPr>
        <w:t xml:space="preserve">previously </w:t>
      </w:r>
      <w:r w:rsidRPr="00BC61C7">
        <w:rPr>
          <w:rFonts w:eastAsia="SimSun" w:cs="Arial"/>
        </w:rPr>
        <w:t xml:space="preserve">reported in </w:t>
      </w:r>
      <w:r w:rsidRPr="00BC61C7">
        <w:rPr>
          <w:rFonts w:eastAsia="SimSun" w:cs="Arial"/>
          <w:highlight w:val="yellow"/>
        </w:rPr>
        <w:fldChar w:fldCharType="begin"/>
      </w:r>
      <w:r w:rsidRPr="00BC61C7">
        <w:rPr>
          <w:rFonts w:eastAsia="SimSun" w:cs="Arial"/>
        </w:rPr>
        <w:instrText xml:space="preserve"> REF _Ref30600147 \h </w:instrText>
      </w:r>
      <w:r w:rsidRPr="00BC61C7">
        <w:rPr>
          <w:rFonts w:eastAsia="SimSun" w:cs="Arial"/>
          <w:highlight w:val="yellow"/>
        </w:rPr>
      </w:r>
      <w:r w:rsidRPr="00BC61C7">
        <w:rPr>
          <w:rFonts w:eastAsia="SimSun" w:cs="Arial"/>
          <w:highlight w:val="yellow"/>
        </w:rPr>
        <w:fldChar w:fldCharType="separate"/>
      </w:r>
      <w:r w:rsidR="00C9471F">
        <w:t xml:space="preserve">Table </w:t>
      </w:r>
      <w:r w:rsidR="00C9471F">
        <w:rPr>
          <w:noProof/>
        </w:rPr>
        <w:t>30</w:t>
      </w:r>
      <w:r w:rsidRPr="00BC61C7">
        <w:rPr>
          <w:rFonts w:eastAsia="SimSun" w:cs="Arial"/>
          <w:highlight w:val="yellow"/>
        </w:rPr>
        <w:fldChar w:fldCharType="end"/>
      </w:r>
      <w:r w:rsidRPr="00BC61C7">
        <w:rPr>
          <w:rFonts w:eastAsia="SimSun" w:cs="Arial"/>
        </w:rPr>
        <w:t xml:space="preserve"> are illustrated </w:t>
      </w:r>
      <w:r w:rsidR="000268EF">
        <w:rPr>
          <w:rFonts w:eastAsia="SimSun" w:cs="Arial"/>
        </w:rPr>
        <w:t xml:space="preserve">graphically </w:t>
      </w:r>
      <w:r w:rsidRPr="00BC61C7">
        <w:rPr>
          <w:rFonts w:eastAsia="SimSun" w:cs="Arial"/>
        </w:rPr>
        <w:t>in</w:t>
      </w:r>
      <w:r>
        <w:rPr>
          <w:rFonts w:eastAsia="SimSun" w:cs="Arial"/>
        </w:rPr>
        <w:t xml:space="preserve"> </w:t>
      </w:r>
      <w:r>
        <w:rPr>
          <w:rFonts w:eastAsia="SimSun" w:cs="Arial"/>
        </w:rPr>
        <w:fldChar w:fldCharType="begin"/>
      </w:r>
      <w:r>
        <w:rPr>
          <w:rFonts w:eastAsia="SimSun" w:cs="Arial"/>
        </w:rPr>
        <w:instrText xml:space="preserve"> REF _Ref30604036 \h </w:instrText>
      </w:r>
      <w:r>
        <w:rPr>
          <w:rFonts w:eastAsia="SimSun" w:cs="Arial"/>
        </w:rPr>
      </w:r>
      <w:r>
        <w:rPr>
          <w:rFonts w:eastAsia="SimSun" w:cs="Arial"/>
        </w:rPr>
        <w:fldChar w:fldCharType="separate"/>
      </w:r>
      <w:r w:rsidR="00C663A2">
        <w:t xml:space="preserve">Figure </w:t>
      </w:r>
      <w:r w:rsidR="00C663A2">
        <w:rPr>
          <w:noProof/>
        </w:rPr>
        <w:t>11</w:t>
      </w:r>
      <w:r>
        <w:rPr>
          <w:rFonts w:eastAsia="SimSun" w:cs="Arial"/>
        </w:rPr>
        <w:fldChar w:fldCharType="end"/>
      </w:r>
      <w:r w:rsidR="000268EF">
        <w:rPr>
          <w:rFonts w:eastAsia="SimSun" w:cs="Arial"/>
        </w:rPr>
        <w:t xml:space="preserve">. In addition, </w:t>
      </w:r>
      <w:r w:rsidRPr="00BC61C7">
        <w:rPr>
          <w:rFonts w:eastAsia="SimSun" w:cs="Arial"/>
        </w:rPr>
        <w:t>uncertaint</w:t>
      </w:r>
      <w:r w:rsidR="000268EF">
        <w:rPr>
          <w:rFonts w:eastAsia="SimSun" w:cs="Arial"/>
        </w:rPr>
        <w:t>y</w:t>
      </w:r>
      <w:r w:rsidRPr="00BC61C7">
        <w:rPr>
          <w:rFonts w:eastAsia="SimSun" w:cs="Arial"/>
        </w:rPr>
        <w:t xml:space="preserve"> around </w:t>
      </w:r>
      <w:r w:rsidR="000268EF">
        <w:rPr>
          <w:rFonts w:eastAsia="SimSun" w:cs="Arial"/>
        </w:rPr>
        <w:t xml:space="preserve">the expected (mean) </w:t>
      </w:r>
      <w:r w:rsidRPr="00BC61C7">
        <w:rPr>
          <w:rFonts w:eastAsia="SimSun" w:cs="Arial"/>
        </w:rPr>
        <w:t>estimates of NHB</w:t>
      </w:r>
      <w:r w:rsidR="000268EF">
        <w:rPr>
          <w:rFonts w:eastAsia="SimSun" w:cs="Arial"/>
        </w:rPr>
        <w:t xml:space="preserve"> are represented using a</w:t>
      </w:r>
      <w:r w:rsidRPr="00BC61C7">
        <w:rPr>
          <w:rFonts w:eastAsia="SimSun" w:cs="Arial"/>
        </w:rPr>
        <w:t xml:space="preserve"> 95% </w:t>
      </w:r>
      <w:r w:rsidR="00CE2F86">
        <w:rPr>
          <w:rFonts w:eastAsia="SimSun" w:cs="Arial"/>
        </w:rPr>
        <w:t xml:space="preserve">confidence </w:t>
      </w:r>
      <w:r w:rsidRPr="00BC61C7">
        <w:rPr>
          <w:rFonts w:eastAsia="SimSun" w:cs="Arial"/>
        </w:rPr>
        <w:t xml:space="preserve">interval. This is computed from the mean and 95% percentiles of the PSA for each histology. </w:t>
      </w:r>
      <w:r>
        <w:rPr>
          <w:rFonts w:eastAsia="SimSun" w:cs="Arial"/>
        </w:rPr>
        <w:fldChar w:fldCharType="begin"/>
      </w:r>
      <w:r>
        <w:rPr>
          <w:rFonts w:eastAsia="SimSun" w:cs="Arial"/>
        </w:rPr>
        <w:instrText xml:space="preserve"> REF _Ref30604036 \h </w:instrText>
      </w:r>
      <w:r>
        <w:rPr>
          <w:rFonts w:eastAsia="SimSun" w:cs="Arial"/>
        </w:rPr>
      </w:r>
      <w:r>
        <w:rPr>
          <w:rFonts w:eastAsia="SimSun" w:cs="Arial"/>
        </w:rPr>
        <w:fldChar w:fldCharType="separate"/>
      </w:r>
      <w:r w:rsidR="00C663A2">
        <w:t xml:space="preserve">Figure </w:t>
      </w:r>
      <w:r w:rsidR="00C663A2">
        <w:rPr>
          <w:noProof/>
        </w:rPr>
        <w:t>11</w:t>
      </w:r>
      <w:r>
        <w:rPr>
          <w:rFonts w:eastAsia="SimSun" w:cs="Arial"/>
        </w:rPr>
        <w:fldChar w:fldCharType="end"/>
      </w:r>
      <w:r w:rsidRPr="00BC61C7">
        <w:rPr>
          <w:rFonts w:eastAsia="SimSun" w:cs="Arial"/>
        </w:rPr>
        <w:t xml:space="preserve"> also plots the patient level pooled NHB. This is analogous to the pooled ICER</w:t>
      </w:r>
      <w:r w:rsidR="006D0C0C">
        <w:rPr>
          <w:rFonts w:eastAsia="SimSun" w:cs="Arial"/>
        </w:rPr>
        <w:t xml:space="preserve"> reported in</w:t>
      </w:r>
      <w:r w:rsidRPr="00BC61C7">
        <w:rPr>
          <w:rFonts w:eastAsia="SimSun" w:cs="Arial"/>
        </w:rPr>
        <w:t xml:space="preserve"> </w:t>
      </w:r>
      <w:r w:rsidRPr="00BC61C7">
        <w:rPr>
          <w:rFonts w:eastAsia="SimSun" w:cs="Arial"/>
        </w:rPr>
        <w:fldChar w:fldCharType="begin"/>
      </w:r>
      <w:r w:rsidRPr="00BC61C7">
        <w:rPr>
          <w:rFonts w:eastAsia="SimSun" w:cs="Arial"/>
        </w:rPr>
        <w:instrText xml:space="preserve"> REF _Ref30599809 \h </w:instrText>
      </w:r>
      <w:r w:rsidRPr="00BC61C7">
        <w:rPr>
          <w:rFonts w:eastAsia="SimSun" w:cs="Arial"/>
        </w:rPr>
      </w:r>
      <w:r w:rsidRPr="00BC61C7">
        <w:rPr>
          <w:rFonts w:eastAsia="SimSun" w:cs="Arial"/>
        </w:rPr>
        <w:fldChar w:fldCharType="separate"/>
      </w:r>
      <w:r w:rsidR="00C9471F">
        <w:t xml:space="preserve">Table </w:t>
      </w:r>
      <w:r w:rsidR="00C9471F">
        <w:rPr>
          <w:noProof/>
        </w:rPr>
        <w:t>25</w:t>
      </w:r>
      <w:r w:rsidRPr="00BC61C7">
        <w:rPr>
          <w:rFonts w:eastAsia="SimSun" w:cs="Arial"/>
        </w:rPr>
        <w:fldChar w:fldCharType="end"/>
      </w:r>
      <w:r w:rsidRPr="00BC61C7">
        <w:rPr>
          <w:rFonts w:eastAsia="SimSun" w:cs="Arial"/>
        </w:rPr>
        <w:t xml:space="preserve"> and </w:t>
      </w:r>
      <w:r w:rsidRPr="00BC61C7">
        <w:rPr>
          <w:rFonts w:eastAsia="SimSun" w:cs="Arial"/>
        </w:rPr>
        <w:fldChar w:fldCharType="begin"/>
      </w:r>
      <w:r w:rsidRPr="00BC61C7">
        <w:rPr>
          <w:rFonts w:eastAsia="SimSun" w:cs="Arial"/>
        </w:rPr>
        <w:instrText xml:space="preserve"> REF _Ref30604077 \h </w:instrText>
      </w:r>
      <w:r w:rsidRPr="00BC61C7">
        <w:rPr>
          <w:rFonts w:eastAsia="SimSun" w:cs="Arial"/>
        </w:rPr>
      </w:r>
      <w:r w:rsidRPr="00BC61C7">
        <w:rPr>
          <w:rFonts w:eastAsia="SimSun" w:cs="Arial"/>
        </w:rPr>
        <w:fldChar w:fldCharType="separate"/>
      </w:r>
      <w:r w:rsidR="00C9471F">
        <w:t xml:space="preserve">Table </w:t>
      </w:r>
      <w:r w:rsidR="00C9471F">
        <w:rPr>
          <w:noProof/>
        </w:rPr>
        <w:t>26</w:t>
      </w:r>
      <w:r w:rsidRPr="00BC61C7">
        <w:rPr>
          <w:rFonts w:eastAsia="SimSun" w:cs="Arial"/>
        </w:rPr>
        <w:fldChar w:fldCharType="end"/>
      </w:r>
      <w:r w:rsidRPr="00BC61C7">
        <w:rPr>
          <w:rFonts w:eastAsia="SimSun" w:cs="Arial"/>
        </w:rPr>
        <w:t xml:space="preserve">. The pooled NHB is a weighted average of the NHB associated with different histologies. Weights come from the incidence of NTRK positive histologies reported in </w:t>
      </w:r>
      <w:r w:rsidRPr="00BC61C7">
        <w:rPr>
          <w:rFonts w:eastAsia="SimSun" w:cs="Arial"/>
          <w:highlight w:val="yellow"/>
        </w:rPr>
        <w:fldChar w:fldCharType="begin"/>
      </w:r>
      <w:r w:rsidRPr="00BC61C7">
        <w:rPr>
          <w:rFonts w:eastAsia="SimSun" w:cs="Arial"/>
        </w:rPr>
        <w:instrText xml:space="preserve"> REF _Ref30600147 \h </w:instrText>
      </w:r>
      <w:r w:rsidRPr="00BC61C7">
        <w:rPr>
          <w:rFonts w:eastAsia="SimSun" w:cs="Arial"/>
          <w:highlight w:val="yellow"/>
        </w:rPr>
      </w:r>
      <w:r w:rsidRPr="00BC61C7">
        <w:rPr>
          <w:rFonts w:eastAsia="SimSun" w:cs="Arial"/>
          <w:highlight w:val="yellow"/>
        </w:rPr>
        <w:fldChar w:fldCharType="separate"/>
      </w:r>
      <w:r w:rsidR="00C9471F">
        <w:t xml:space="preserve">Table </w:t>
      </w:r>
      <w:r w:rsidR="00C9471F">
        <w:rPr>
          <w:noProof/>
        </w:rPr>
        <w:t>30</w:t>
      </w:r>
      <w:r w:rsidRPr="00BC61C7">
        <w:rPr>
          <w:rFonts w:eastAsia="SimSun" w:cs="Arial"/>
          <w:highlight w:val="yellow"/>
        </w:rPr>
        <w:fldChar w:fldCharType="end"/>
      </w:r>
      <w:r w:rsidRPr="00BC61C7">
        <w:rPr>
          <w:rFonts w:eastAsia="SimSun" w:cs="Arial"/>
        </w:rPr>
        <w:t xml:space="preserve"> with a perfect screening strategy assumed.</w:t>
      </w:r>
      <w:r>
        <w:rPr>
          <w:rFonts w:eastAsia="SimSun" w:cs="Arial"/>
        </w:rPr>
        <w:t xml:space="preserve"> </w:t>
      </w:r>
    </w:p>
    <w:p w14:paraId="36B763FA" w14:textId="6D2D69D1" w:rsidR="008C3153" w:rsidRDefault="008C3153" w:rsidP="008C3153">
      <w:pPr>
        <w:pStyle w:val="Caption"/>
        <w:rPr>
          <w:noProof/>
          <w:lang w:eastAsia="en-GB"/>
        </w:rPr>
      </w:pPr>
      <w:bookmarkStart w:id="255" w:name="_Ref30604036"/>
      <w:bookmarkStart w:id="256" w:name="_Toc34033571"/>
      <w:r>
        <w:lastRenderedPageBreak/>
        <w:t xml:space="preserve">Figure </w:t>
      </w:r>
      <w:r w:rsidR="00C974E5">
        <w:fldChar w:fldCharType="begin"/>
      </w:r>
      <w:r w:rsidR="00C974E5">
        <w:instrText xml:space="preserve"> SEQ Figure \* ARABIC </w:instrText>
      </w:r>
      <w:r w:rsidR="00C974E5">
        <w:fldChar w:fldCharType="separate"/>
      </w:r>
      <w:r w:rsidR="00C663A2">
        <w:rPr>
          <w:noProof/>
        </w:rPr>
        <w:t>11</w:t>
      </w:r>
      <w:r w:rsidR="00C974E5">
        <w:rPr>
          <w:noProof/>
        </w:rPr>
        <w:fldChar w:fldCharType="end"/>
      </w:r>
      <w:bookmarkEnd w:id="255"/>
      <w:r w:rsidR="008C7423">
        <w:rPr>
          <w:noProof/>
        </w:rPr>
        <w:t>:</w:t>
      </w:r>
      <w:r>
        <w:t xml:space="preserve"> Net health </w:t>
      </w:r>
      <w:r w:rsidR="005D59F6">
        <w:t>benefits</w:t>
      </w:r>
      <w:r>
        <w:t xml:space="preserve"> per person across histologies with uncertainty</w:t>
      </w:r>
      <w:bookmarkEnd w:id="256"/>
    </w:p>
    <w:p w14:paraId="3483518D" w14:textId="77777777" w:rsidR="008C3153" w:rsidRDefault="008C3153" w:rsidP="008C3153">
      <w:pPr>
        <w:keepNext/>
        <w:keepLines/>
      </w:pPr>
      <w:r>
        <w:rPr>
          <w:noProof/>
          <w:lang w:eastAsia="en-GB"/>
        </w:rPr>
        <w:drawing>
          <wp:inline distT="0" distB="0" distL="0" distR="0" wp14:anchorId="69ABB21F" wp14:editId="7ADD2E58">
            <wp:extent cx="4695115" cy="42312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r patient NHB by histology.tiff"/>
                    <pic:cNvPicPr/>
                  </pic:nvPicPr>
                  <pic:blipFill>
                    <a:blip r:embed="rId22">
                      <a:extLst>
                        <a:ext uri="{28A0092B-C50C-407E-A947-70E740481C1C}">
                          <a14:useLocalDpi xmlns:a14="http://schemas.microsoft.com/office/drawing/2010/main" val="0"/>
                        </a:ext>
                      </a:extLst>
                    </a:blip>
                    <a:stretch>
                      <a:fillRect/>
                    </a:stretch>
                  </pic:blipFill>
                  <pic:spPr>
                    <a:xfrm>
                      <a:off x="0" y="0"/>
                      <a:ext cx="4717686" cy="4251543"/>
                    </a:xfrm>
                    <a:prstGeom prst="rect">
                      <a:avLst/>
                    </a:prstGeom>
                  </pic:spPr>
                </pic:pic>
              </a:graphicData>
            </a:graphic>
          </wp:inline>
        </w:drawing>
      </w:r>
    </w:p>
    <w:p w14:paraId="1E20B8C6" w14:textId="3D5A6949" w:rsidR="007C6223" w:rsidRPr="00BC61C7" w:rsidRDefault="007C6223" w:rsidP="007C6223">
      <w:pPr>
        <w:rPr>
          <w:rFonts w:eastAsia="SimSun" w:cs="Arial"/>
        </w:rPr>
      </w:pPr>
      <w:r w:rsidRPr="00BC61C7">
        <w:rPr>
          <w:rFonts w:eastAsia="SimSun" w:cs="Arial"/>
        </w:rPr>
        <w:t xml:space="preserve">The </w:t>
      </w:r>
      <w:r w:rsidR="000268EF">
        <w:rPr>
          <w:rFonts w:eastAsia="SimSun" w:cs="Arial"/>
        </w:rPr>
        <w:t xml:space="preserve">figure </w:t>
      </w:r>
      <w:r w:rsidRPr="00BC61C7">
        <w:rPr>
          <w:rFonts w:eastAsia="SimSun" w:cs="Arial"/>
        </w:rPr>
        <w:t xml:space="preserve">shows that the Drug X is expected to </w:t>
      </w:r>
      <w:r>
        <w:rPr>
          <w:rFonts w:eastAsia="SimSun" w:cs="Arial"/>
        </w:rPr>
        <w:t xml:space="preserve">result in additional </w:t>
      </w:r>
      <w:r w:rsidR="009D6CA1">
        <w:rPr>
          <w:rFonts w:eastAsia="SimSun" w:cs="Arial"/>
        </w:rPr>
        <w:t>NHB</w:t>
      </w:r>
      <w:r w:rsidRPr="00BC61C7">
        <w:rPr>
          <w:rFonts w:eastAsia="SimSun" w:cs="Arial"/>
        </w:rPr>
        <w:t xml:space="preserve"> in sarcoma, salivary, IFS, thyroid and GIST with the 95% interval not crossing the line of equivalence with SoC. It is also expected to be </w:t>
      </w:r>
      <w:r w:rsidR="009D6CA1">
        <w:rPr>
          <w:rFonts w:eastAsia="SimSun" w:cs="Arial"/>
        </w:rPr>
        <w:t>cost-effective</w:t>
      </w:r>
      <w:r w:rsidRPr="00BC61C7">
        <w:rPr>
          <w:rFonts w:eastAsia="SimSun" w:cs="Arial"/>
        </w:rPr>
        <w:t xml:space="preserve"> in appendix and in those </w:t>
      </w:r>
      <w:r w:rsidR="007B5756">
        <w:rPr>
          <w:rFonts w:eastAsia="SimSun" w:cs="Arial"/>
        </w:rPr>
        <w:t xml:space="preserve">histologies </w:t>
      </w:r>
      <w:r w:rsidRPr="00BC61C7">
        <w:rPr>
          <w:rFonts w:eastAsia="SimSun" w:cs="Arial"/>
        </w:rPr>
        <w:t>that are unrepresented in the trial</w:t>
      </w:r>
      <w:r w:rsidR="005D59F6">
        <w:rPr>
          <w:rFonts w:eastAsia="SimSun" w:cs="Arial"/>
        </w:rPr>
        <w:t xml:space="preserve">, </w:t>
      </w:r>
      <w:r w:rsidRPr="00BC61C7">
        <w:rPr>
          <w:rFonts w:eastAsia="SimSun" w:cs="Arial"/>
        </w:rPr>
        <w:t xml:space="preserve">but this is uncertain. </w:t>
      </w:r>
      <w:r w:rsidR="007B5756">
        <w:rPr>
          <w:rFonts w:eastAsia="SimSun" w:cs="Arial"/>
        </w:rPr>
        <w:t xml:space="preserve">This uncertainty can be expressed in terms of the </w:t>
      </w:r>
      <w:r w:rsidR="007E6D8C">
        <w:rPr>
          <w:rFonts w:eastAsia="SimSun" w:cs="Arial"/>
        </w:rPr>
        <w:t>likelihood or probability</w:t>
      </w:r>
      <w:r w:rsidR="007B5756">
        <w:rPr>
          <w:rFonts w:eastAsia="SimSun" w:cs="Arial"/>
        </w:rPr>
        <w:t xml:space="preserve"> that Drug X is not cost-effective compared to the SoC (</w:t>
      </w:r>
      <w:r w:rsidR="00E47834">
        <w:rPr>
          <w:rFonts w:eastAsia="SimSun" w:cs="Arial"/>
        </w:rPr>
        <w:t xml:space="preserve">i.e. </w:t>
      </w:r>
      <w:r w:rsidRPr="00BC61C7">
        <w:rPr>
          <w:rFonts w:eastAsia="SimSun" w:cs="Arial"/>
        </w:rPr>
        <w:t>47% and 39% in appendix and unrepresented cancers</w:t>
      </w:r>
      <w:r w:rsidR="007B5756">
        <w:rPr>
          <w:rFonts w:eastAsia="SimSun" w:cs="Arial"/>
        </w:rPr>
        <w:t>, respectively)</w:t>
      </w:r>
      <w:r w:rsidRPr="00BC61C7">
        <w:rPr>
          <w:rFonts w:eastAsia="SimSun" w:cs="Arial"/>
        </w:rPr>
        <w:t>. For lung, melanoma, colon, cholangiocarcinoma, breast and pancreatic cancer</w:t>
      </w:r>
      <w:r>
        <w:rPr>
          <w:rFonts w:eastAsia="SimSun" w:cs="Arial"/>
        </w:rPr>
        <w:t xml:space="preserve"> the model estimates that there is approximately 0%</w:t>
      </w:r>
      <w:r w:rsidRPr="00BC61C7">
        <w:rPr>
          <w:rFonts w:eastAsia="SimSun" w:cs="Arial"/>
        </w:rPr>
        <w:t xml:space="preserve"> </w:t>
      </w:r>
      <w:r>
        <w:rPr>
          <w:rFonts w:eastAsia="SimSun" w:cs="Arial"/>
        </w:rPr>
        <w:t xml:space="preserve">chance that </w:t>
      </w:r>
      <w:r w:rsidRPr="00BC61C7">
        <w:rPr>
          <w:rFonts w:eastAsia="SimSun" w:cs="Arial"/>
        </w:rPr>
        <w:t xml:space="preserve">Drug X is </w:t>
      </w:r>
      <w:r w:rsidR="009D6CA1">
        <w:rPr>
          <w:rFonts w:eastAsia="SimSun" w:cs="Arial"/>
        </w:rPr>
        <w:t>cost-effective</w:t>
      </w:r>
      <w:r w:rsidRPr="00BC61C7">
        <w:rPr>
          <w:rFonts w:eastAsia="SimSun" w:cs="Arial"/>
        </w:rPr>
        <w:t>.</w:t>
      </w:r>
    </w:p>
    <w:p w14:paraId="685D505B" w14:textId="537005F3" w:rsidR="007C6223" w:rsidRDefault="007C6223" w:rsidP="007C6223">
      <w:pPr>
        <w:rPr>
          <w:rFonts w:eastAsia="SimSun" w:cs="Arial"/>
        </w:rPr>
      </w:pPr>
      <w:r w:rsidRPr="00BC61C7">
        <w:rPr>
          <w:rFonts w:eastAsia="SimSun" w:cs="Arial"/>
        </w:rPr>
        <w:t xml:space="preserve">As in </w:t>
      </w:r>
      <w:r w:rsidR="00F5612B">
        <w:rPr>
          <w:rFonts w:eastAsia="SimSun" w:cs="Arial"/>
        </w:rPr>
        <w:t xml:space="preserve">the </w:t>
      </w:r>
      <w:r w:rsidRPr="00BC61C7">
        <w:rPr>
          <w:rFonts w:eastAsia="SimSun" w:cs="Arial"/>
        </w:rPr>
        <w:t>previous analysis, the pooled population r</w:t>
      </w:r>
      <w:r w:rsidR="00A50134">
        <w:rPr>
          <w:rFonts w:eastAsia="SimSun" w:cs="Arial"/>
        </w:rPr>
        <w:t xml:space="preserve">epresents the expected consequences of </w:t>
      </w:r>
      <w:r w:rsidRPr="00BC61C7">
        <w:rPr>
          <w:rFonts w:eastAsia="SimSun" w:cs="Arial"/>
        </w:rPr>
        <w:t xml:space="preserve">a histology-independent recommendation. Drug X is expected to </w:t>
      </w:r>
      <w:r w:rsidR="00A50134">
        <w:rPr>
          <w:rFonts w:eastAsia="SimSun" w:cs="Arial"/>
        </w:rPr>
        <w:t xml:space="preserve">result in </w:t>
      </w:r>
      <w:r w:rsidRPr="00BC61C7">
        <w:rPr>
          <w:rFonts w:eastAsia="SimSun" w:cs="Arial"/>
        </w:rPr>
        <w:t xml:space="preserve">0.02 </w:t>
      </w:r>
      <w:r w:rsidR="00A50134">
        <w:rPr>
          <w:rFonts w:eastAsia="SimSun" w:cs="Arial"/>
        </w:rPr>
        <w:t xml:space="preserve">additional </w:t>
      </w:r>
      <w:r w:rsidRPr="00BC61C7">
        <w:rPr>
          <w:rFonts w:eastAsia="SimSun" w:cs="Arial"/>
        </w:rPr>
        <w:t xml:space="preserve">QALYs per person treated and </w:t>
      </w:r>
      <w:r w:rsidR="007E6D8C">
        <w:rPr>
          <w:rFonts w:eastAsia="SimSun" w:cs="Arial"/>
        </w:rPr>
        <w:t xml:space="preserve">there is </w:t>
      </w:r>
      <w:r w:rsidRPr="00BC61C7">
        <w:rPr>
          <w:rFonts w:eastAsia="SimSun" w:cs="Arial"/>
        </w:rPr>
        <w:t xml:space="preserve">a 52% chance that it is </w:t>
      </w:r>
      <w:r w:rsidR="009D6CA1">
        <w:rPr>
          <w:rFonts w:eastAsia="SimSun" w:cs="Arial"/>
        </w:rPr>
        <w:t>cost-effective</w:t>
      </w:r>
      <w:r>
        <w:rPr>
          <w:rFonts w:eastAsia="SimSun" w:cs="Arial"/>
        </w:rPr>
        <w:t xml:space="preserve"> compared</w:t>
      </w:r>
      <w:r w:rsidRPr="00BC61C7">
        <w:rPr>
          <w:rFonts w:eastAsia="SimSun" w:cs="Arial"/>
        </w:rPr>
        <w:t xml:space="preserve"> to SoC. </w:t>
      </w:r>
      <w:r>
        <w:rPr>
          <w:rFonts w:eastAsia="SimSun" w:cs="Arial"/>
        </w:rPr>
        <w:t xml:space="preserve">The pooled estimate relies on the relative incidence of histologies in the target population. </w:t>
      </w:r>
      <w:r w:rsidR="00CA76BE">
        <w:rPr>
          <w:rFonts w:eastAsia="SimSun" w:cs="Arial"/>
        </w:rPr>
        <w:t>Alt</w:t>
      </w:r>
      <w:r>
        <w:rPr>
          <w:rFonts w:eastAsia="SimSun" w:cs="Arial"/>
        </w:rPr>
        <w:t xml:space="preserve">hough uncertainty in histology incidence is not addressed quantitatively in this case study, this can be propagated through the PSA in the same manner as other uncertainties. </w:t>
      </w:r>
    </w:p>
    <w:p w14:paraId="3F7C71B0" w14:textId="7D35BBCE" w:rsidR="007C6223" w:rsidRPr="007C6223" w:rsidRDefault="007C6223" w:rsidP="008C3153">
      <w:pPr>
        <w:rPr>
          <w:rFonts w:eastAsia="SimSun" w:cs="Arial"/>
        </w:rPr>
      </w:pPr>
      <w:r w:rsidRPr="00BC61C7">
        <w:rPr>
          <w:rFonts w:eastAsia="SimSun" w:cs="Arial"/>
        </w:rPr>
        <w:t xml:space="preserve">The health system consequences of decision making can be better informed with reference to population health. </w:t>
      </w:r>
      <w:r w:rsidRPr="00BC61C7">
        <w:rPr>
          <w:rFonts w:eastAsia="SimSun" w:cs="Arial"/>
          <w:highlight w:val="yellow"/>
        </w:rPr>
        <w:fldChar w:fldCharType="begin"/>
      </w:r>
      <w:r w:rsidRPr="00BC61C7">
        <w:rPr>
          <w:rFonts w:eastAsia="SimSun" w:cs="Arial"/>
        </w:rPr>
        <w:instrText xml:space="preserve"> REF _Ref30604129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12</w:t>
      </w:r>
      <w:r w:rsidRPr="00BC61C7">
        <w:rPr>
          <w:rFonts w:eastAsia="SimSun" w:cs="Arial"/>
          <w:highlight w:val="yellow"/>
        </w:rPr>
        <w:fldChar w:fldCharType="end"/>
      </w:r>
      <w:r w:rsidRPr="00BC61C7">
        <w:rPr>
          <w:rFonts w:eastAsia="SimSun" w:cs="Arial"/>
        </w:rPr>
        <w:t xml:space="preserve"> shows the population NHB for each histology and the pooled NHB. This </w:t>
      </w:r>
      <w:r w:rsidRPr="00BC61C7">
        <w:rPr>
          <w:rFonts w:eastAsia="SimSun" w:cs="Arial"/>
        </w:rPr>
        <w:lastRenderedPageBreak/>
        <w:t xml:space="preserve">is calculated by multiplying the per-person NHB for each group illustrated in </w:t>
      </w:r>
      <w:r w:rsidRPr="00BC61C7">
        <w:rPr>
          <w:rFonts w:eastAsia="SimSun" w:cs="Arial"/>
          <w:highlight w:val="yellow"/>
        </w:rPr>
        <w:fldChar w:fldCharType="begin"/>
      </w:r>
      <w:r w:rsidRPr="00BC61C7">
        <w:rPr>
          <w:rFonts w:eastAsia="SimSun" w:cs="Arial"/>
        </w:rPr>
        <w:instrText xml:space="preserve"> REF _Ref30604036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11</w:t>
      </w:r>
      <w:r w:rsidRPr="00BC61C7">
        <w:rPr>
          <w:rFonts w:eastAsia="SimSun" w:cs="Arial"/>
          <w:highlight w:val="yellow"/>
        </w:rPr>
        <w:fldChar w:fldCharType="end"/>
      </w:r>
      <w:r w:rsidRPr="00BC61C7">
        <w:rPr>
          <w:rFonts w:eastAsia="SimSun" w:cs="Arial"/>
        </w:rPr>
        <w:t xml:space="preserve"> by the incidence for each group (see </w:t>
      </w:r>
      <w:r w:rsidRPr="00BC61C7">
        <w:rPr>
          <w:rFonts w:eastAsia="SimSun" w:cs="Arial"/>
          <w:highlight w:val="yellow"/>
        </w:rPr>
        <w:fldChar w:fldCharType="begin"/>
      </w:r>
      <w:r w:rsidRPr="00BC61C7">
        <w:rPr>
          <w:rFonts w:eastAsia="SimSun" w:cs="Arial"/>
        </w:rPr>
        <w:instrText xml:space="preserve"> REF _Ref30600147 \h </w:instrText>
      </w:r>
      <w:r w:rsidRPr="00BC61C7">
        <w:rPr>
          <w:rFonts w:eastAsia="SimSun" w:cs="Arial"/>
          <w:highlight w:val="yellow"/>
        </w:rPr>
      </w:r>
      <w:r w:rsidRPr="00BC61C7">
        <w:rPr>
          <w:rFonts w:eastAsia="SimSun" w:cs="Arial"/>
          <w:highlight w:val="yellow"/>
        </w:rPr>
        <w:fldChar w:fldCharType="separate"/>
      </w:r>
      <w:r w:rsidR="00C9471F">
        <w:t xml:space="preserve">Table </w:t>
      </w:r>
      <w:r w:rsidR="00C9471F">
        <w:rPr>
          <w:noProof/>
        </w:rPr>
        <w:t>30</w:t>
      </w:r>
      <w:r w:rsidRPr="00BC61C7">
        <w:rPr>
          <w:rFonts w:eastAsia="SimSun" w:cs="Arial"/>
          <w:highlight w:val="yellow"/>
        </w:rPr>
        <w:fldChar w:fldCharType="end"/>
      </w:r>
      <w:r w:rsidRPr="00BC61C7">
        <w:rPr>
          <w:rFonts w:eastAsia="SimSun" w:cs="Arial"/>
        </w:rPr>
        <w:t xml:space="preserve">). </w:t>
      </w:r>
    </w:p>
    <w:p w14:paraId="5DE5DB60" w14:textId="0A9B4B16" w:rsidR="008C3153" w:rsidRDefault="008C3153" w:rsidP="008C3153">
      <w:pPr>
        <w:pStyle w:val="Caption"/>
      </w:pPr>
      <w:bookmarkStart w:id="257" w:name="_Ref30604129"/>
      <w:bookmarkStart w:id="258" w:name="_Toc34033572"/>
      <w:r>
        <w:t xml:space="preserve">Figure </w:t>
      </w:r>
      <w:r w:rsidR="00C974E5">
        <w:fldChar w:fldCharType="begin"/>
      </w:r>
      <w:r w:rsidR="00C974E5">
        <w:instrText xml:space="preserve"> SEQ Figure \* ARABIC </w:instrText>
      </w:r>
      <w:r w:rsidR="00C974E5">
        <w:fldChar w:fldCharType="separate"/>
      </w:r>
      <w:r w:rsidR="00C663A2">
        <w:rPr>
          <w:noProof/>
        </w:rPr>
        <w:t>12</w:t>
      </w:r>
      <w:r w:rsidR="00C974E5">
        <w:rPr>
          <w:noProof/>
        </w:rPr>
        <w:fldChar w:fldCharType="end"/>
      </w:r>
      <w:bookmarkEnd w:id="257"/>
      <w:r w:rsidR="008C7423">
        <w:rPr>
          <w:noProof/>
        </w:rPr>
        <w:t>:</w:t>
      </w:r>
      <w:r w:rsidRPr="009335B7">
        <w:t xml:space="preserve"> </w:t>
      </w:r>
      <w:r>
        <w:t>Population n</w:t>
      </w:r>
      <w:r w:rsidRPr="009335B7">
        <w:t>et health effects across histologies with uncertainty</w:t>
      </w:r>
      <w:bookmarkEnd w:id="258"/>
    </w:p>
    <w:p w14:paraId="561DE81C" w14:textId="77777777" w:rsidR="008C3153" w:rsidRPr="007F5E57" w:rsidRDefault="008C3153" w:rsidP="008C3153">
      <w:pPr>
        <w:keepNext/>
        <w:keepLines/>
      </w:pPr>
      <w:r>
        <w:rPr>
          <w:noProof/>
          <w:lang w:eastAsia="en-GB"/>
        </w:rPr>
        <w:drawing>
          <wp:inline distT="0" distB="0" distL="0" distR="0" wp14:anchorId="1247D311" wp14:editId="6878F8A2">
            <wp:extent cx="5202550" cy="3854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pulation net health effects across histologies with uncertainty.tiff"/>
                    <pic:cNvPicPr/>
                  </pic:nvPicPr>
                  <pic:blipFill>
                    <a:blip r:embed="rId23">
                      <a:extLst>
                        <a:ext uri="{28A0092B-C50C-407E-A947-70E740481C1C}">
                          <a14:useLocalDpi xmlns:a14="http://schemas.microsoft.com/office/drawing/2010/main" val="0"/>
                        </a:ext>
                      </a:extLst>
                    </a:blip>
                    <a:stretch>
                      <a:fillRect/>
                    </a:stretch>
                  </pic:blipFill>
                  <pic:spPr>
                    <a:xfrm>
                      <a:off x="0" y="0"/>
                      <a:ext cx="5228830" cy="3873830"/>
                    </a:xfrm>
                    <a:prstGeom prst="rect">
                      <a:avLst/>
                    </a:prstGeom>
                  </pic:spPr>
                </pic:pic>
              </a:graphicData>
            </a:graphic>
          </wp:inline>
        </w:drawing>
      </w:r>
    </w:p>
    <w:p w14:paraId="63D22402" w14:textId="1910EDCE" w:rsidR="007C6223" w:rsidRPr="00BC61C7" w:rsidRDefault="007C6223" w:rsidP="007C6223">
      <w:pPr>
        <w:rPr>
          <w:rFonts w:eastAsia="SimSun" w:cs="Arial"/>
        </w:rPr>
      </w:pPr>
      <w:r w:rsidRPr="00BC61C7">
        <w:rPr>
          <w:rFonts w:eastAsia="SimSun" w:cs="Arial"/>
          <w:highlight w:val="yellow"/>
        </w:rPr>
        <w:fldChar w:fldCharType="begin"/>
      </w:r>
      <w:r w:rsidRPr="00BC61C7">
        <w:rPr>
          <w:rFonts w:eastAsia="SimSun" w:cs="Arial"/>
        </w:rPr>
        <w:instrText xml:space="preserve"> REF _Ref30604129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12</w:t>
      </w:r>
      <w:r w:rsidRPr="00BC61C7">
        <w:rPr>
          <w:rFonts w:eastAsia="SimSun" w:cs="Arial"/>
          <w:highlight w:val="yellow"/>
        </w:rPr>
        <w:fldChar w:fldCharType="end"/>
      </w:r>
      <w:r w:rsidRPr="00BC61C7">
        <w:rPr>
          <w:rFonts w:eastAsia="SimSun" w:cs="Arial"/>
        </w:rPr>
        <w:t xml:space="preserve"> shows that </w:t>
      </w:r>
      <w:r w:rsidR="005D59F6">
        <w:rPr>
          <w:rFonts w:eastAsia="SimSun" w:cs="Arial"/>
        </w:rPr>
        <w:t>al</w:t>
      </w:r>
      <w:r w:rsidRPr="00BC61C7">
        <w:rPr>
          <w:rFonts w:eastAsia="SimSun" w:cs="Arial"/>
        </w:rPr>
        <w:t xml:space="preserve">though uncertainty in per person NHB may be similar across histologies, the consequences of approval and uncertainty vary substantially when the size of populations are taken into account. </w:t>
      </w:r>
      <w:r w:rsidR="005D59F6">
        <w:rPr>
          <w:rFonts w:eastAsia="SimSun" w:cs="Arial"/>
        </w:rPr>
        <w:t>The figure</w:t>
      </w:r>
      <w:r w:rsidRPr="00BC61C7">
        <w:rPr>
          <w:rFonts w:eastAsia="SimSun" w:cs="Arial"/>
        </w:rPr>
        <w:t xml:space="preserve"> </w:t>
      </w:r>
      <w:r w:rsidR="005D59F6">
        <w:rPr>
          <w:rFonts w:eastAsia="SimSun" w:cs="Arial"/>
        </w:rPr>
        <w:t>show</w:t>
      </w:r>
      <w:r w:rsidRPr="00BC61C7">
        <w:rPr>
          <w:rFonts w:eastAsia="SimSun" w:cs="Arial"/>
        </w:rPr>
        <w:t>s that for many histologies (e.g. sarcoma, salivary, melanoma, breast etc.), the health consequences of approval and/or uncertainty are limited due to their small population. By contrast, the health consequences associated with the unrepresented histologies are relatively large as decisions in this group affect 151 individuals each year.</w:t>
      </w:r>
    </w:p>
    <w:p w14:paraId="30332912" w14:textId="2A499255" w:rsidR="007C6223" w:rsidRDefault="007C6223" w:rsidP="008C3153">
      <w:pPr>
        <w:rPr>
          <w:highlight w:val="yellow"/>
        </w:rPr>
      </w:pPr>
      <w:r w:rsidRPr="00BC61C7">
        <w:rPr>
          <w:rFonts w:eastAsia="SimSun" w:cs="Arial"/>
        </w:rPr>
        <w:t xml:space="preserve">The pooled category represents the health consequences of the </w:t>
      </w:r>
      <w:r w:rsidR="00F5612B">
        <w:rPr>
          <w:rFonts w:eastAsia="SimSun" w:cs="Arial"/>
        </w:rPr>
        <w:t>‘</w:t>
      </w:r>
      <w:r w:rsidRPr="00BC61C7">
        <w:rPr>
          <w:rFonts w:eastAsia="SimSun" w:cs="Arial"/>
        </w:rPr>
        <w:t>no stratification</w:t>
      </w:r>
      <w:r w:rsidR="00F5612B">
        <w:rPr>
          <w:rFonts w:eastAsia="SimSun" w:cs="Arial"/>
        </w:rPr>
        <w:t>’</w:t>
      </w:r>
      <w:r w:rsidRPr="00BC61C7">
        <w:rPr>
          <w:rFonts w:eastAsia="SimSun" w:cs="Arial"/>
        </w:rPr>
        <w:t xml:space="preserve"> approval policy i.e. a histology-independent approval. A histology-independent approval is expected to result in a gain of 5.79 QALYs per year on average (consistent with </w:t>
      </w:r>
      <w:r w:rsidRPr="00BC61C7">
        <w:rPr>
          <w:rFonts w:eastAsia="SimSun" w:cs="Arial"/>
          <w:highlight w:val="yellow"/>
        </w:rPr>
        <w:fldChar w:fldCharType="begin"/>
      </w:r>
      <w:r w:rsidRPr="00BC61C7">
        <w:rPr>
          <w:rFonts w:eastAsia="SimSun" w:cs="Arial"/>
        </w:rPr>
        <w:instrText xml:space="preserve"> REF _Ref30600147 \h </w:instrText>
      </w:r>
      <w:r w:rsidRPr="00BC61C7">
        <w:rPr>
          <w:rFonts w:eastAsia="SimSun" w:cs="Arial"/>
          <w:highlight w:val="yellow"/>
        </w:rPr>
      </w:r>
      <w:r w:rsidRPr="00BC61C7">
        <w:rPr>
          <w:rFonts w:eastAsia="SimSun" w:cs="Arial"/>
          <w:highlight w:val="yellow"/>
        </w:rPr>
        <w:fldChar w:fldCharType="separate"/>
      </w:r>
      <w:r w:rsidR="00C9471F">
        <w:t xml:space="preserve">Table </w:t>
      </w:r>
      <w:r w:rsidR="00C9471F">
        <w:rPr>
          <w:noProof/>
        </w:rPr>
        <w:t>30</w:t>
      </w:r>
      <w:r w:rsidRPr="00BC61C7">
        <w:rPr>
          <w:rFonts w:eastAsia="SimSun" w:cs="Arial"/>
          <w:highlight w:val="yellow"/>
        </w:rPr>
        <w:fldChar w:fldCharType="end"/>
      </w:r>
      <w:r w:rsidRPr="00BC61C7">
        <w:rPr>
          <w:rFonts w:eastAsia="SimSun" w:cs="Arial"/>
        </w:rPr>
        <w:t>). However, the 95% interval indicates that this is highly uncertain, with approval potentially resulting in loss</w:t>
      </w:r>
      <w:r>
        <w:rPr>
          <w:rFonts w:eastAsia="SimSun" w:cs="Arial"/>
        </w:rPr>
        <w:t>es up to</w:t>
      </w:r>
      <w:r w:rsidRPr="00BC61C7">
        <w:rPr>
          <w:rFonts w:eastAsia="SimSun" w:cs="Arial"/>
        </w:rPr>
        <w:t xml:space="preserve"> 120 QALYs per year</w:t>
      </w:r>
      <w:r>
        <w:rPr>
          <w:rFonts w:eastAsia="SimSun" w:cs="Arial"/>
        </w:rPr>
        <w:t xml:space="preserve"> (illustrated in </w:t>
      </w:r>
      <w:r w:rsidRPr="00BC61C7">
        <w:rPr>
          <w:rFonts w:eastAsia="SimSun" w:cs="Arial"/>
          <w:highlight w:val="yellow"/>
        </w:rPr>
        <w:fldChar w:fldCharType="begin"/>
      </w:r>
      <w:r w:rsidRPr="00BC61C7">
        <w:rPr>
          <w:rFonts w:eastAsia="SimSun" w:cs="Arial"/>
        </w:rPr>
        <w:instrText xml:space="preserve"> REF _Ref30604129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12</w:t>
      </w:r>
      <w:r w:rsidRPr="00BC61C7">
        <w:rPr>
          <w:rFonts w:eastAsia="SimSun" w:cs="Arial"/>
          <w:highlight w:val="yellow"/>
        </w:rPr>
        <w:fldChar w:fldCharType="end"/>
      </w:r>
      <w:r>
        <w:rPr>
          <w:rFonts w:eastAsia="SimSun" w:cs="Arial"/>
        </w:rPr>
        <w:t xml:space="preserve"> by the lower confidence interval whic</w:t>
      </w:r>
      <w:r w:rsidRPr="008E43A1">
        <w:rPr>
          <w:rFonts w:eastAsia="SimSun" w:cs="Arial"/>
        </w:rPr>
        <w:t>h extends to -120)</w:t>
      </w:r>
      <w:r w:rsidRPr="00BC61C7">
        <w:rPr>
          <w:rFonts w:eastAsia="SimSun" w:cs="Arial"/>
        </w:rPr>
        <w:t>. The next section will describe how VOI methods can be u</w:t>
      </w:r>
      <w:r w:rsidRPr="008E43A1">
        <w:rPr>
          <w:rFonts w:eastAsia="SimSun" w:cs="Arial"/>
        </w:rPr>
        <w:t>sed to quantify the health con</w:t>
      </w:r>
      <w:r>
        <w:rPr>
          <w:rFonts w:eastAsia="SimSun" w:cs="Arial"/>
        </w:rPr>
        <w:t>se</w:t>
      </w:r>
      <w:r w:rsidRPr="00BC61C7">
        <w:rPr>
          <w:rFonts w:eastAsia="SimSun" w:cs="Arial"/>
        </w:rPr>
        <w:t>quences of this uncertainty to help inform decision making</w:t>
      </w:r>
      <w:r w:rsidR="00E47834">
        <w:rPr>
          <w:rFonts w:eastAsia="SimSun" w:cs="Arial"/>
        </w:rPr>
        <w:t xml:space="preserve"> and approval policies</w:t>
      </w:r>
      <w:r w:rsidRPr="00BC61C7">
        <w:rPr>
          <w:rFonts w:eastAsia="SimSun" w:cs="Arial"/>
        </w:rPr>
        <w:t>.</w:t>
      </w:r>
    </w:p>
    <w:p w14:paraId="29B8EB06" w14:textId="6D7CDED6" w:rsidR="008C3153" w:rsidRDefault="008C3153" w:rsidP="008C3153">
      <w:pPr>
        <w:pStyle w:val="Heading3"/>
      </w:pPr>
      <w:bookmarkStart w:id="259" w:name="_Toc33776238"/>
      <w:r>
        <w:lastRenderedPageBreak/>
        <w:t xml:space="preserve">Quantifying the </w:t>
      </w:r>
      <w:r w:rsidR="007C6223">
        <w:t>health consequences of uncertainty</w:t>
      </w:r>
      <w:bookmarkEnd w:id="259"/>
    </w:p>
    <w:p w14:paraId="422CBF9C" w14:textId="1BC5B8E0" w:rsidR="008C3153" w:rsidRDefault="007C6223" w:rsidP="008C3153">
      <w:r>
        <w:rPr>
          <w:rFonts w:eastAsia="SimSun" w:cs="Arial"/>
        </w:rPr>
        <w:t>Histology</w:t>
      </w:r>
      <w:r w:rsidR="00F5612B">
        <w:rPr>
          <w:rFonts w:eastAsia="SimSun" w:cs="Arial"/>
        </w:rPr>
        <w:t>-</w:t>
      </w:r>
      <w:r>
        <w:rPr>
          <w:rFonts w:eastAsia="SimSun" w:cs="Arial"/>
        </w:rPr>
        <w:t>independent decision making (</w:t>
      </w:r>
      <w:r w:rsidR="00F5612B">
        <w:rPr>
          <w:rFonts w:eastAsia="SimSun" w:cs="Arial"/>
        </w:rPr>
        <w:t>‘</w:t>
      </w:r>
      <w:r w:rsidRPr="00BC61C7">
        <w:rPr>
          <w:rFonts w:eastAsia="SimSun" w:cs="Arial"/>
        </w:rPr>
        <w:t>no stratification</w:t>
      </w:r>
      <w:r>
        <w:rPr>
          <w:rFonts w:eastAsia="SimSun" w:cs="Arial"/>
        </w:rPr>
        <w:t>)</w:t>
      </w:r>
      <w:r w:rsidRPr="00BC61C7">
        <w:rPr>
          <w:rFonts w:eastAsia="SimSun" w:cs="Arial"/>
        </w:rPr>
        <w:t xml:space="preserve"> is concerned</w:t>
      </w:r>
      <w:r w:rsidR="00CD39D2">
        <w:rPr>
          <w:rFonts w:eastAsia="SimSun" w:cs="Arial"/>
        </w:rPr>
        <w:t xml:space="preserve"> with making approval </w:t>
      </w:r>
      <w:r w:rsidRPr="00BC61C7">
        <w:rPr>
          <w:rFonts w:eastAsia="SimSun" w:cs="Arial"/>
        </w:rPr>
        <w:t>decisions based on pooled cost</w:t>
      </w:r>
      <w:r w:rsidR="00F5612B">
        <w:rPr>
          <w:rFonts w:eastAsia="SimSun" w:cs="Arial"/>
        </w:rPr>
        <w:t>-</w:t>
      </w:r>
      <w:r w:rsidRPr="00BC61C7">
        <w:rPr>
          <w:rFonts w:eastAsia="SimSun" w:cs="Arial"/>
        </w:rPr>
        <w:t>effectiveness</w:t>
      </w:r>
      <w:r w:rsidR="009D6CA1">
        <w:rPr>
          <w:rFonts w:eastAsia="SimSun" w:cs="Arial"/>
        </w:rPr>
        <w:t xml:space="preserve"> estimates</w:t>
      </w:r>
      <w:r w:rsidRPr="00BC61C7">
        <w:rPr>
          <w:rFonts w:eastAsia="SimSun" w:cs="Arial"/>
        </w:rPr>
        <w:t xml:space="preserve">. From </w:t>
      </w:r>
      <w:r w:rsidRPr="00BC61C7">
        <w:rPr>
          <w:rFonts w:eastAsia="SimSun" w:cs="Arial"/>
          <w:highlight w:val="yellow"/>
        </w:rPr>
        <w:fldChar w:fldCharType="begin"/>
      </w:r>
      <w:r w:rsidRPr="00BC61C7">
        <w:rPr>
          <w:rFonts w:eastAsia="SimSun" w:cs="Arial"/>
        </w:rPr>
        <w:instrText xml:space="preserve"> REF _Ref30604129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12</w:t>
      </w:r>
      <w:r w:rsidRPr="00BC61C7">
        <w:rPr>
          <w:rFonts w:eastAsia="SimSun" w:cs="Arial"/>
          <w:highlight w:val="yellow"/>
        </w:rPr>
        <w:fldChar w:fldCharType="end"/>
      </w:r>
      <w:r w:rsidRPr="00BC61C7">
        <w:rPr>
          <w:rFonts w:eastAsia="SimSun" w:cs="Arial"/>
        </w:rPr>
        <w:t xml:space="preserve">, the Drug X is </w:t>
      </w:r>
      <w:r>
        <w:rPr>
          <w:rFonts w:eastAsia="SimSun" w:cs="Arial"/>
        </w:rPr>
        <w:t xml:space="preserve">expected to provide an </w:t>
      </w:r>
      <w:r w:rsidRPr="00BC61C7">
        <w:rPr>
          <w:rFonts w:eastAsia="SimSun" w:cs="Arial"/>
        </w:rPr>
        <w:t>expected benefit of (0.</w:t>
      </w:r>
      <w:r w:rsidR="004856AB">
        <w:rPr>
          <w:rFonts w:eastAsia="SimSun" w:cs="Arial"/>
        </w:rPr>
        <w:t xml:space="preserve">02 x 276 </w:t>
      </w:r>
      <w:r w:rsidR="004856AB">
        <w:rPr>
          <w:rFonts w:eastAsia="SimSun" w:cs="Times New Roman"/>
        </w:rPr>
        <w:t>≈</w:t>
      </w:r>
      <w:r w:rsidRPr="00FB0769">
        <w:rPr>
          <w:rFonts w:eastAsia="SimSun" w:cs="Arial"/>
        </w:rPr>
        <w:t>) 5.79 QALYs per</w:t>
      </w:r>
      <w:r w:rsidRPr="00BC61C7">
        <w:rPr>
          <w:rFonts w:eastAsia="SimSun" w:cs="Arial"/>
        </w:rPr>
        <w:t xml:space="preserve"> year at the</w:t>
      </w:r>
      <w:r>
        <w:rPr>
          <w:rFonts w:eastAsia="SimSun" w:cs="Arial"/>
        </w:rPr>
        <w:t xml:space="preserve"> pooled</w:t>
      </w:r>
      <w:r w:rsidRPr="00BC61C7">
        <w:rPr>
          <w:rFonts w:eastAsia="SimSun" w:cs="Arial"/>
        </w:rPr>
        <w:t xml:space="preserve"> population level. However, there is uncertainty about this </w:t>
      </w:r>
      <w:r w:rsidR="00E47834">
        <w:rPr>
          <w:rFonts w:eastAsia="SimSun" w:cs="Arial"/>
        </w:rPr>
        <w:t>benefit</w:t>
      </w:r>
      <w:r w:rsidRPr="00BC61C7">
        <w:rPr>
          <w:rFonts w:eastAsia="SimSun" w:cs="Arial"/>
        </w:rPr>
        <w:t>. VOI methods can be used to quantify the health consequences of uncertainty</w:t>
      </w:r>
      <w:r w:rsidR="00F5612B">
        <w:rPr>
          <w:rFonts w:eastAsia="SimSun" w:cs="Arial"/>
        </w:rPr>
        <w:t>,</w:t>
      </w:r>
      <w:r>
        <w:rPr>
          <w:rFonts w:eastAsia="SimSun" w:cs="Arial"/>
        </w:rPr>
        <w:t xml:space="preserve"> i.e. the risk associated with decision making with current information</w:t>
      </w:r>
      <w:r w:rsidRPr="00BC61C7">
        <w:rPr>
          <w:rFonts w:eastAsia="SimSun" w:cs="Arial"/>
        </w:rPr>
        <w:t>.</w:t>
      </w:r>
      <w:r w:rsidRPr="00BC61C7">
        <w:rPr>
          <w:rFonts w:eastAsia="SimSun" w:cs="Arial"/>
        </w:rPr>
        <w:fldChar w:fldCharType="begin">
          <w:fldData xml:space="preserve">PEVuZE5vdGU+PENpdGU+PEF1dGhvcj5CcmlnZ3M8L0F1dGhvcj48WWVhcj4yMDA2PC9ZZWFyPjxS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</w:fldData>
        </w:fldChar>
      </w:r>
      <w:r w:rsidR="00500BB3">
        <w:rPr>
          <w:rFonts w:eastAsia="SimSun" w:cs="Arial"/>
        </w:rPr>
        <w:instrText xml:space="preserve"> ADDIN EN.CITE </w:instrText>
      </w:r>
      <w:r w:rsidR="00500BB3">
        <w:rPr>
          <w:rFonts w:eastAsia="SimSun" w:cs="Arial"/>
        </w:rPr>
        <w:fldChar w:fldCharType="begin">
          <w:fldData xml:space="preserve">PEVuZE5vdGU+PENpdGU+PEF1dGhvcj5CcmlnZ3M8L0F1dGhvcj48WWVhcj4yMDA2PC9ZZWFyPjxS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</w:fldData>
        </w:fldChar>
      </w:r>
      <w:r w:rsidR="00500BB3">
        <w:rPr>
          <w:rFonts w:eastAsia="SimSun" w:cs="Arial"/>
        </w:rPr>
        <w:instrText xml:space="preserve"> ADDIN EN.CITE.DATA </w:instrText>
      </w:r>
      <w:r w:rsidR="00500BB3">
        <w:rPr>
          <w:rFonts w:eastAsia="SimSun" w:cs="Arial"/>
        </w:rPr>
      </w:r>
      <w:r w:rsidR="00500BB3">
        <w:rPr>
          <w:rFonts w:eastAsia="SimSun" w:cs="Arial"/>
        </w:rPr>
        <w:fldChar w:fldCharType="end"/>
      </w:r>
      <w:r w:rsidRPr="00BC61C7">
        <w:rPr>
          <w:rFonts w:eastAsia="SimSun" w:cs="Arial"/>
        </w:rPr>
      </w:r>
      <w:r w:rsidRPr="00BC61C7">
        <w:rPr>
          <w:rFonts w:eastAsia="SimSun" w:cs="Arial"/>
        </w:rPr>
        <w:fldChar w:fldCharType="separate"/>
      </w:r>
      <w:r w:rsidR="004D5B2B" w:rsidRPr="004D5B2B">
        <w:rPr>
          <w:rFonts w:eastAsia="SimSun" w:cs="Arial"/>
          <w:noProof/>
          <w:vertAlign w:val="superscript"/>
        </w:rPr>
        <w:t>189, 193, 194</w:t>
      </w:r>
      <w:r w:rsidRPr="00BC61C7">
        <w:rPr>
          <w:rFonts w:eastAsia="SimSun" w:cs="Arial"/>
        </w:rPr>
        <w:fldChar w:fldCharType="end"/>
      </w:r>
      <w:r w:rsidRPr="00BC61C7">
        <w:rPr>
          <w:rFonts w:eastAsia="SimSun" w:cs="Arial"/>
        </w:rPr>
        <w:t xml:space="preserve"> Uncertainty matters because it means that there is a chance of making the wrong decision. Quantifying the expected health consequences of uncertainty is achieved by multiplying the chance of making a wrong decision by the health consequences of making the wrong decision. This is illustrated in </w:t>
      </w:r>
      <w:r w:rsidRPr="00BC61C7">
        <w:rPr>
          <w:rFonts w:eastAsia="SimSun" w:cs="Arial"/>
          <w:highlight w:val="yellow"/>
        </w:rPr>
        <w:fldChar w:fldCharType="begin"/>
      </w:r>
      <w:r w:rsidRPr="00BC61C7">
        <w:rPr>
          <w:rFonts w:eastAsia="SimSun" w:cs="Arial"/>
        </w:rPr>
        <w:instrText xml:space="preserve"> REF _Ref30604328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13</w:t>
      </w:r>
      <w:r w:rsidRPr="00BC61C7">
        <w:rPr>
          <w:rFonts w:eastAsia="SimSun" w:cs="Arial"/>
          <w:highlight w:val="yellow"/>
        </w:rPr>
        <w:fldChar w:fldCharType="end"/>
      </w:r>
      <w:r w:rsidRPr="00BC61C7">
        <w:rPr>
          <w:rFonts w:eastAsia="SimSun" w:cs="Arial"/>
        </w:rPr>
        <w:t>.</w:t>
      </w:r>
    </w:p>
    <w:p w14:paraId="49BF9964" w14:textId="47C25F9F" w:rsidR="008C3153" w:rsidRPr="007F5E57" w:rsidRDefault="008C3153" w:rsidP="008C3153">
      <w:pPr>
        <w:pStyle w:val="Caption"/>
        <w:rPr>
          <w:highlight w:val="yellow"/>
        </w:rPr>
      </w:pPr>
      <w:bookmarkStart w:id="260" w:name="_Ref30604328"/>
      <w:bookmarkStart w:id="261" w:name="_Toc34033573"/>
      <w:r>
        <w:t xml:space="preserve">Figure </w:t>
      </w:r>
      <w:r w:rsidR="00C974E5">
        <w:fldChar w:fldCharType="begin"/>
      </w:r>
      <w:r w:rsidR="00C974E5">
        <w:instrText xml:space="preserve"> SEQ Figure \* ARABIC </w:instrText>
      </w:r>
      <w:r w:rsidR="00C974E5">
        <w:fldChar w:fldCharType="separate"/>
      </w:r>
      <w:r w:rsidR="00C663A2">
        <w:rPr>
          <w:noProof/>
        </w:rPr>
        <w:t>13</w:t>
      </w:r>
      <w:r w:rsidR="00C974E5">
        <w:rPr>
          <w:noProof/>
        </w:rPr>
        <w:fldChar w:fldCharType="end"/>
      </w:r>
      <w:bookmarkEnd w:id="260"/>
      <w:r w:rsidR="008C7423">
        <w:rPr>
          <w:noProof/>
        </w:rPr>
        <w:t>:</w:t>
      </w:r>
      <w:r>
        <w:t xml:space="preserve"> Estimating the health consequences of uncertainty</w:t>
      </w:r>
      <w:bookmarkEnd w:id="261"/>
    </w:p>
    <w:p w14:paraId="566C6360" w14:textId="77777777" w:rsidR="008C3153" w:rsidRDefault="008C3153" w:rsidP="008C3153">
      <w:pPr>
        <w:keepNext/>
        <w:keepLines/>
      </w:pPr>
      <w:r>
        <w:rPr>
          <w:noProof/>
          <w:lang w:eastAsia="en-GB"/>
        </w:rPr>
        <w:drawing>
          <wp:inline distT="0" distB="0" distL="0" distR="0" wp14:anchorId="03E7474E" wp14:editId="5AA736C1">
            <wp:extent cx="4612651" cy="3916614"/>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stimating the health consequences of uncertainty.tiff"/>
                    <pic:cNvPicPr/>
                  </pic:nvPicPr>
                  <pic:blipFill>
                    <a:blip r:embed="rId24">
                      <a:extLst>
                        <a:ext uri="{28A0092B-C50C-407E-A947-70E740481C1C}">
                          <a14:useLocalDpi xmlns:a14="http://schemas.microsoft.com/office/drawing/2010/main" val="0"/>
                        </a:ext>
                      </a:extLst>
                    </a:blip>
                    <a:stretch>
                      <a:fillRect/>
                    </a:stretch>
                  </pic:blipFill>
                  <pic:spPr>
                    <a:xfrm>
                      <a:off x="0" y="0"/>
                      <a:ext cx="4636633" cy="3936977"/>
                    </a:xfrm>
                    <a:prstGeom prst="rect">
                      <a:avLst/>
                    </a:prstGeom>
                  </pic:spPr>
                </pic:pic>
              </a:graphicData>
            </a:graphic>
          </wp:inline>
        </w:drawing>
      </w:r>
    </w:p>
    <w:p w14:paraId="517023C0" w14:textId="5A901CBD" w:rsidR="007E6D8C" w:rsidRDefault="007C6223" w:rsidP="008C3153">
      <w:pPr>
        <w:rPr>
          <w:rFonts w:eastAsia="SimSun" w:cs="Arial"/>
        </w:rPr>
      </w:pPr>
      <w:r w:rsidRPr="00BC61C7">
        <w:rPr>
          <w:rFonts w:eastAsia="SimSun" w:cs="Arial"/>
        </w:rPr>
        <w:t xml:space="preserve">If Drug X is more </w:t>
      </w:r>
      <w:r w:rsidR="009D6CA1">
        <w:rPr>
          <w:rFonts w:eastAsia="SimSun" w:cs="Arial"/>
        </w:rPr>
        <w:t>cost-effective</w:t>
      </w:r>
      <w:r w:rsidRPr="00BC61C7">
        <w:rPr>
          <w:rFonts w:eastAsia="SimSun" w:cs="Arial"/>
        </w:rPr>
        <w:t xml:space="preserve"> than SoC in the pooled population then there are zero health consequences of uncertainty. The tall left-hand bar in </w:t>
      </w:r>
      <w:r w:rsidRPr="00BC61C7">
        <w:rPr>
          <w:rFonts w:eastAsia="SimSun" w:cs="Arial"/>
          <w:highlight w:val="yellow"/>
        </w:rPr>
        <w:fldChar w:fldCharType="begin"/>
      </w:r>
      <w:r w:rsidRPr="00BC61C7">
        <w:rPr>
          <w:rFonts w:eastAsia="SimSun" w:cs="Arial"/>
        </w:rPr>
        <w:instrText xml:space="preserve"> REF _Ref30604328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13</w:t>
      </w:r>
      <w:r w:rsidRPr="00BC61C7">
        <w:rPr>
          <w:rFonts w:eastAsia="SimSun" w:cs="Arial"/>
          <w:highlight w:val="yellow"/>
        </w:rPr>
        <w:fldChar w:fldCharType="end"/>
      </w:r>
      <w:r w:rsidRPr="00BC61C7">
        <w:rPr>
          <w:rFonts w:eastAsia="SimSun" w:cs="Arial"/>
        </w:rPr>
        <w:t xml:space="preserve"> shows that there is estimated to be a 52% chance that the Drug X is </w:t>
      </w:r>
      <w:r w:rsidR="009D6CA1">
        <w:rPr>
          <w:rFonts w:eastAsia="SimSun" w:cs="Arial"/>
        </w:rPr>
        <w:t>cost-effective</w:t>
      </w:r>
      <w:r w:rsidRPr="00BC61C7">
        <w:rPr>
          <w:rFonts w:eastAsia="SimSun" w:cs="Arial"/>
        </w:rPr>
        <w:t xml:space="preserve"> in the pooled population. This corresponds a 52% chance of zero consequences of uncertainty. </w:t>
      </w:r>
      <w:r w:rsidR="007E6D8C">
        <w:rPr>
          <w:rFonts w:eastAsia="SimSun" w:cs="Arial"/>
        </w:rPr>
        <w:t xml:space="preserve"> </w:t>
      </w:r>
    </w:p>
    <w:p w14:paraId="2731512A" w14:textId="2F87CB55" w:rsidR="007E6D8C" w:rsidRDefault="007C6223" w:rsidP="008C3153">
      <w:pPr>
        <w:rPr>
          <w:rFonts w:eastAsia="SimSun" w:cs="Arial"/>
        </w:rPr>
      </w:pPr>
      <w:r w:rsidRPr="00BC61C7">
        <w:rPr>
          <w:rFonts w:eastAsia="SimSun" w:cs="Arial"/>
        </w:rPr>
        <w:t xml:space="preserve">Making an incorrect decision (e.g. approving the Drug X when it is not </w:t>
      </w:r>
      <w:r w:rsidR="009D6CA1">
        <w:rPr>
          <w:rFonts w:eastAsia="SimSun" w:cs="Arial"/>
        </w:rPr>
        <w:t>cost-effective</w:t>
      </w:r>
      <w:r w:rsidRPr="00BC61C7">
        <w:rPr>
          <w:rFonts w:eastAsia="SimSun" w:cs="Arial"/>
        </w:rPr>
        <w:t xml:space="preserve">) will have health consequences. For the pooled population there is a 48% chance that the decision to approve Drug X is incorrect. As shown in </w:t>
      </w:r>
      <w:r w:rsidRPr="00BC61C7">
        <w:rPr>
          <w:rFonts w:eastAsia="SimSun" w:cs="Arial"/>
          <w:highlight w:val="yellow"/>
        </w:rPr>
        <w:fldChar w:fldCharType="begin"/>
      </w:r>
      <w:r w:rsidRPr="00BC61C7">
        <w:rPr>
          <w:rFonts w:eastAsia="SimSun" w:cs="Arial"/>
        </w:rPr>
        <w:instrText xml:space="preserve"> REF _Ref30604328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13</w:t>
      </w:r>
      <w:r w:rsidRPr="00BC61C7">
        <w:rPr>
          <w:rFonts w:eastAsia="SimSun" w:cs="Arial"/>
          <w:highlight w:val="yellow"/>
        </w:rPr>
        <w:fldChar w:fldCharType="end"/>
      </w:r>
      <w:r w:rsidRPr="00BC61C7">
        <w:rPr>
          <w:rFonts w:eastAsia="SimSun" w:cs="Arial"/>
        </w:rPr>
        <w:t xml:space="preserve">, these health consequences are not uniform. There is a </w:t>
      </w:r>
      <w:r w:rsidRPr="00BC61C7">
        <w:rPr>
          <w:rFonts w:eastAsia="SimSun" w:cs="Arial"/>
        </w:rPr>
        <w:lastRenderedPageBreak/>
        <w:t xml:space="preserve">greater chance of more limited consequences compared to a smaller chance of greater consequences. </w:t>
      </w:r>
      <w:r w:rsidRPr="00BC61C7">
        <w:rPr>
          <w:rFonts w:eastAsia="SimSun" w:cs="Arial"/>
          <w:highlight w:val="yellow"/>
        </w:rPr>
        <w:fldChar w:fldCharType="begin"/>
      </w:r>
      <w:r w:rsidRPr="00BC61C7">
        <w:rPr>
          <w:rFonts w:eastAsia="SimSun" w:cs="Arial"/>
        </w:rPr>
        <w:instrText xml:space="preserve"> REF _Ref30604328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13</w:t>
      </w:r>
      <w:r w:rsidRPr="00BC61C7">
        <w:rPr>
          <w:rFonts w:eastAsia="SimSun" w:cs="Arial"/>
          <w:highlight w:val="yellow"/>
        </w:rPr>
        <w:fldChar w:fldCharType="end"/>
      </w:r>
      <w:r w:rsidRPr="00BC61C7">
        <w:rPr>
          <w:rFonts w:eastAsia="SimSun" w:cs="Arial"/>
        </w:rPr>
        <w:t xml:space="preserve"> shows there is a 21% chance of Drug X resulting in a loss of 25 QALYs per year (seco</w:t>
      </w:r>
      <w:r w:rsidR="007E6D8C">
        <w:rPr>
          <w:rFonts w:eastAsia="SimSun" w:cs="Arial"/>
        </w:rPr>
        <w:t>n</w:t>
      </w:r>
      <w:r w:rsidRPr="00BC61C7">
        <w:rPr>
          <w:rFonts w:eastAsia="SimSun" w:cs="Arial"/>
        </w:rPr>
        <w:t>d bar from the left). There is a 19% chance of a loss of 75 QALYs (third bar from the left) and so on. The weighted average over this range of outcomes provides an estimate of the health consequences of uncertainty. This is estimated to be 29.52 QALYs per year</w:t>
      </w:r>
      <w:r w:rsidR="0016126B">
        <w:rPr>
          <w:rFonts w:eastAsia="SimSun" w:cs="Arial"/>
        </w:rPr>
        <w:t xml:space="preserve">, </w:t>
      </w:r>
      <w:r w:rsidRPr="00BC61C7">
        <w:rPr>
          <w:rFonts w:eastAsia="SimSun" w:cs="Arial"/>
        </w:rPr>
        <w:t xml:space="preserve">equivalent to approximately 0.108 QALYs per person. </w:t>
      </w:r>
    </w:p>
    <w:p w14:paraId="424F932A" w14:textId="01F4CB8B" w:rsidR="007C6223" w:rsidRPr="007E6D8C" w:rsidRDefault="007C6223" w:rsidP="008C3153">
      <w:pPr>
        <w:rPr>
          <w:rFonts w:eastAsia="SimSun" w:cs="Arial"/>
        </w:rPr>
      </w:pPr>
      <w:r>
        <w:rPr>
          <w:rFonts w:eastAsia="SimSun" w:cs="Arial"/>
        </w:rPr>
        <w:t xml:space="preserve">This quantitative approach to the risks associated with uncertainty can be used to assess policy options which address this risk. In the </w:t>
      </w:r>
      <w:r w:rsidR="009D6CA1">
        <w:rPr>
          <w:rFonts w:eastAsia="SimSun" w:cs="Arial"/>
        </w:rPr>
        <w:t>following</w:t>
      </w:r>
      <w:r w:rsidR="007E6D8C">
        <w:rPr>
          <w:rFonts w:eastAsia="SimSun" w:cs="Arial"/>
        </w:rPr>
        <w:t xml:space="preserve"> </w:t>
      </w:r>
      <w:r>
        <w:rPr>
          <w:rFonts w:eastAsia="SimSun" w:cs="Arial"/>
        </w:rPr>
        <w:t xml:space="preserve">sections we will illustrate three approaches to managing </w:t>
      </w:r>
      <w:r w:rsidRPr="00AF1028">
        <w:rPr>
          <w:rFonts w:eastAsia="SimSun" w:cs="Arial"/>
        </w:rPr>
        <w:t>this risk: further data collection, pric</w:t>
      </w:r>
      <w:r w:rsidR="009D6CA1">
        <w:rPr>
          <w:rFonts w:eastAsia="SimSun" w:cs="Arial"/>
        </w:rPr>
        <w:t xml:space="preserve">ing agreements </w:t>
      </w:r>
      <w:r w:rsidRPr="00AF1028">
        <w:rPr>
          <w:rFonts w:eastAsia="SimSun" w:cs="Arial"/>
        </w:rPr>
        <w:t>and stratified decision making.</w:t>
      </w:r>
    </w:p>
    <w:p w14:paraId="3B75565A" w14:textId="522DA25D" w:rsidR="008C3153" w:rsidRPr="00115C5B" w:rsidRDefault="00E54F45" w:rsidP="008C3153">
      <w:pPr>
        <w:pStyle w:val="Heading3"/>
      </w:pPr>
      <w:bookmarkStart w:id="262" w:name="_Toc33776239"/>
      <w:r>
        <w:t>Managing risk through further data collection</w:t>
      </w:r>
      <w:bookmarkEnd w:id="262"/>
    </w:p>
    <w:p w14:paraId="4E968940" w14:textId="74C962DB" w:rsidR="00E54F45" w:rsidRDefault="00E54F45" w:rsidP="00E54F45">
      <w:pPr>
        <w:rPr>
          <w:rFonts w:eastAsia="SimSun" w:cs="Arial"/>
        </w:rPr>
      </w:pPr>
      <w:r>
        <w:rPr>
          <w:rFonts w:eastAsia="SimSun" w:cs="Arial"/>
        </w:rPr>
        <w:t>Further data collection is one approach to reduce risk associated with uncertainty. I</w:t>
      </w:r>
      <w:r w:rsidRPr="00A479A5">
        <w:rPr>
          <w:rFonts w:eastAsia="SimSun" w:cs="Arial"/>
        </w:rPr>
        <w:t>mprecision in parameter estimates due to limited sample size</w:t>
      </w:r>
      <w:r>
        <w:rPr>
          <w:rFonts w:eastAsia="SimSun" w:cs="Arial"/>
        </w:rPr>
        <w:t xml:space="preserve"> (e.g. overall survival)</w:t>
      </w:r>
      <w:r w:rsidRPr="00A479A5">
        <w:rPr>
          <w:rFonts w:eastAsia="SimSun" w:cs="Arial"/>
        </w:rPr>
        <w:t xml:space="preserve"> </w:t>
      </w:r>
      <w:r>
        <w:rPr>
          <w:rFonts w:eastAsia="SimSun" w:cs="Arial"/>
        </w:rPr>
        <w:t>can be reduced by collecting data on these parameters.</w:t>
      </w:r>
      <w:r w:rsidR="00CB2733">
        <w:rPr>
          <w:rFonts w:eastAsia="SimSun" w:cs="Arial"/>
        </w:rPr>
        <w:fldChar w:fldCharType="begin"/>
      </w:r>
      <w:r w:rsidR="00054FE8">
        <w:rPr>
          <w:rFonts w:eastAsia="SimSun" w:cs="Arial"/>
        </w:rPr>
        <w:instrText xml:space="preserve"> ADDIN EN.CITE &lt;EndNote&gt;&lt;Cite&gt;&lt;Author&gt;Ades&lt;/Author&gt;&lt;Year&gt;2004&lt;/Year&gt;&lt;RecNum&gt;3496&lt;/RecNum&gt;&lt;DisplayText&gt;&lt;style face="superscript"&gt;195&lt;/style&gt;&lt;/DisplayText&gt;&lt;record&gt;&lt;rec-number&gt;3496&lt;/rec-number&gt;&lt;foreign-keys&gt;&lt;key app="EN" db-id="dwaevxvazfs2f3ewvzmxrd0k0wasw55p2z2w" timestamp="1579606099"&gt;3496&lt;/key&gt;&lt;/foreign-keys&gt;&lt;ref-type name="Journal Article"&gt;17&lt;/ref-type&gt;&lt;contributors&gt;&lt;authors&gt;&lt;author&gt;Ades, A. E.&lt;/author&gt;&lt;author&gt;Lu, G.&lt;/author&gt;&lt;author&gt;Claxton, K.&lt;/author&gt;&lt;/authors&gt;&lt;/contributors&gt;&lt;auth-address&gt;Medical Research Council Health Services Research Collaboration, Bristol, United Kingdom. t.ades@bristol.ac.uk&lt;/auth-address&gt;&lt;titles&gt;&lt;title&gt;Expected value of sample information calculations in medical decision modeling&lt;/title&gt;&lt;secondary-title&gt;Med Decis Making&lt;/secondary-title&gt;&lt;/titles&gt;&lt;periodical&gt;&lt;full-title&gt;Medical Decision Making&lt;/full-title&gt;&lt;abbr-1&gt;Med Decis Making&lt;/abbr-1&gt;&lt;/periodical&gt;&lt;pages&gt;207-27&lt;/pages&gt;&lt;volume&gt;24&lt;/volume&gt;&lt;number&gt;2&lt;/number&gt;&lt;edition&gt;2004/04/20&lt;/edition&gt;&lt;keywords&gt;&lt;keyword&gt;Algorithms&lt;/keyword&gt;&lt;keyword&gt;*Decision Support Systems, Clinical&lt;/keyword&gt;&lt;keyword&gt;Information Management/*methods&lt;/keyword&gt;&lt;keyword&gt;*Models, Statistical&lt;/keyword&gt;&lt;keyword&gt;Monte Carlo Method&lt;/keyword&gt;&lt;keyword&gt;Odds Ratio&lt;/keyword&gt;&lt;keyword&gt;United Kingdom&lt;/keyword&gt;&lt;/keywords&gt;&lt;dates&gt;&lt;year&gt;2004&lt;/year&gt;&lt;pub-dates&gt;&lt;date&gt;Mar-Apr&lt;/date&gt;&lt;/pub-dates&gt;&lt;/dates&gt;&lt;isbn&gt;0272-989X (Print)&amp;#xD;0272-989X (Linking)&lt;/isbn&gt;&lt;accession-num&gt;15090106&lt;/accession-num&gt;&lt;urls&gt;&lt;/urls&gt;&lt;custom4&gt;STEVE&amp;apos;S REFERENCES&lt;/custom4&gt;&lt;electronic-resource-num&gt;10.1177/0272989X04263162&lt;/electronic-resource-num&gt;&lt;research-notes&gt;https://www.ncbi.nlm.nih.gov/pubmed/15090106&lt;/research-notes&gt;&lt;language&gt;eng&lt;/language&gt;&lt;/record&gt;&lt;/Cite&gt;&lt;/EndNote&gt;</w:instrText>
      </w:r>
      <w:r w:rsidR="00CB2733">
        <w:rPr>
          <w:rFonts w:eastAsia="SimSun" w:cs="Arial"/>
        </w:rPr>
        <w:fldChar w:fldCharType="separate"/>
      </w:r>
      <w:r w:rsidR="004D5B2B" w:rsidRPr="004D5B2B">
        <w:rPr>
          <w:rFonts w:eastAsia="SimSun" w:cs="Arial"/>
          <w:noProof/>
          <w:vertAlign w:val="superscript"/>
        </w:rPr>
        <w:t>195</w:t>
      </w:r>
      <w:r w:rsidR="00CB2733">
        <w:rPr>
          <w:rFonts w:eastAsia="SimSun" w:cs="Arial"/>
        </w:rPr>
        <w:fldChar w:fldCharType="end"/>
      </w:r>
      <w:r>
        <w:rPr>
          <w:rFonts w:eastAsia="SimSun" w:cs="Arial"/>
        </w:rPr>
        <w:t xml:space="preserve"> </w:t>
      </w:r>
    </w:p>
    <w:p w14:paraId="001C3BF0" w14:textId="6A800581" w:rsidR="00E54F45" w:rsidRDefault="00E54F45" w:rsidP="00E54F45">
      <w:pPr>
        <w:rPr>
          <w:rFonts w:eastAsia="Times New Roman" w:cs="Times New Roman"/>
        </w:rPr>
      </w:pPr>
      <w:r w:rsidRPr="00E749E1">
        <w:rPr>
          <w:rFonts w:eastAsia="SimSun" w:cs="Arial"/>
        </w:rPr>
        <w:t xml:space="preserve">Decisions about further data collection are important because under current policy arrangements when NICE is unable to approve a technology for routine use due to parameter uncertainties it may recommend it for </w:t>
      </w:r>
      <w:r w:rsidRPr="006D291F">
        <w:rPr>
          <w:rFonts w:eastAsia="SimSun" w:cs="Arial"/>
        </w:rPr>
        <w:t>inclusion into the CDF if it is eligible.</w:t>
      </w:r>
      <w:r w:rsidR="00CB2733">
        <w:rPr>
          <w:rFonts w:eastAsia="SimSun" w:cs="Arial"/>
        </w:rPr>
        <w:fldChar w:fldCharType="begin"/>
      </w:r>
      <w:r w:rsidR="004D5B2B">
        <w:rPr>
          <w:rFonts w:eastAsia="SimSun" w:cs="Arial"/>
        </w:rPr>
        <w:instrText xml:space="preserve"> ADDIN EN.CITE &lt;EndNote&gt;&lt;Cite&gt;&lt;Author&gt;NHS England Cancer Drugs Fund Team&lt;/Author&gt;&lt;Year&gt;2016&lt;/Year&gt;&lt;RecNum&gt;3583&lt;/RecNum&gt;&lt;DisplayText&gt;&lt;style face="superscript"&gt;196&lt;/style&gt;&lt;/DisplayText&gt;&lt;record&gt;&lt;rec-number&gt;3583&lt;/rec-number&gt;&lt;foreign-keys&gt;&lt;key app="EN" db-id="dwaevxvazfs2f3ewvzmxrd0k0wasw55p2z2w" timestamp="1582191038"&gt;3583&lt;/key&gt;&lt;/foreign-keys&gt;&lt;ref-type name="Report"&gt;27&lt;/ref-type&gt;&lt;contributors&gt;&lt;authors&gt;&lt;author&gt;NHS England Cancer Drugs Fund Team,&lt;/author&gt;&lt;/authors&gt;&lt;/contributors&gt;&lt;titles&gt;&lt;title&gt;Appraisal and Funding of Cancer Drugs from July 2016 (including the new Cancer Drugs Fund): A new deal for patients, taxpayers and industry&lt;/title&gt;&lt;/titles&gt;&lt;dates&gt;&lt;year&gt;2016&lt;/year&gt;&lt;/dates&gt;&lt;pub-location&gt;London&lt;/pub-location&gt;&lt;urls&gt;&lt;related-urls&gt;&lt;url&gt;https://www.england.nhs.uk/publication/cdf-sop-16/&lt;/url&gt;&lt;/related-urls&gt;&lt;/urls&gt;&lt;custom4&gt;STEVE&amp;apos;S REFRENCES&lt;/custom4&gt;&lt;/record&gt;&lt;/Cite&gt;&lt;/EndNote&gt;</w:instrText>
      </w:r>
      <w:r w:rsidR="00CB2733">
        <w:rPr>
          <w:rFonts w:eastAsia="SimSun" w:cs="Arial"/>
        </w:rPr>
        <w:fldChar w:fldCharType="separate"/>
      </w:r>
      <w:r w:rsidR="004D5B2B" w:rsidRPr="004D5B2B">
        <w:rPr>
          <w:rFonts w:eastAsia="SimSun" w:cs="Arial"/>
          <w:noProof/>
          <w:vertAlign w:val="superscript"/>
        </w:rPr>
        <w:t>196</w:t>
      </w:r>
      <w:r w:rsidR="00CB2733">
        <w:rPr>
          <w:rFonts w:eastAsia="SimSun" w:cs="Arial"/>
        </w:rPr>
        <w:fldChar w:fldCharType="end"/>
      </w:r>
      <w:r w:rsidRPr="006D291F">
        <w:rPr>
          <w:rFonts w:eastAsia="SimSun" w:cs="Arial"/>
        </w:rPr>
        <w:t xml:space="preserve"> </w:t>
      </w:r>
      <w:r w:rsidRPr="00785656">
        <w:rPr>
          <w:rFonts w:eastAsia="Times New Roman" w:cs="Times New Roman"/>
        </w:rPr>
        <w:t xml:space="preserve">Topics that are eligible for the CDF are </w:t>
      </w:r>
      <w:r w:rsidRPr="006D291F">
        <w:rPr>
          <w:rFonts w:eastAsia="Times New Roman" w:cs="Times New Roman"/>
        </w:rPr>
        <w:t>reimbursed</w:t>
      </w:r>
      <w:r w:rsidRPr="00785656">
        <w:rPr>
          <w:rFonts w:eastAsia="Times New Roman" w:cs="Times New Roman"/>
        </w:rPr>
        <w:t xml:space="preserve"> for a time-limited duration following</w:t>
      </w:r>
      <w:r w:rsidRPr="006D291F">
        <w:rPr>
          <w:rFonts w:eastAsia="Times New Roman" w:cs="Times New Roman"/>
        </w:rPr>
        <w:t xml:space="preserve"> the development of a</w:t>
      </w:r>
      <w:r w:rsidRPr="00785656">
        <w:rPr>
          <w:rFonts w:eastAsia="Times New Roman" w:cs="Times New Roman"/>
        </w:rPr>
        <w:t xml:space="preserve"> </w:t>
      </w:r>
      <w:r w:rsidRPr="006D291F">
        <w:rPr>
          <w:rFonts w:eastAsia="Times New Roman" w:cs="Times New Roman"/>
        </w:rPr>
        <w:t xml:space="preserve">managed </w:t>
      </w:r>
      <w:r w:rsidR="00900576">
        <w:rPr>
          <w:rFonts w:eastAsia="Times New Roman" w:cs="Times New Roman"/>
        </w:rPr>
        <w:t>access</w:t>
      </w:r>
      <w:r w:rsidRPr="006D291F">
        <w:rPr>
          <w:rFonts w:eastAsia="Times New Roman" w:cs="Times New Roman"/>
        </w:rPr>
        <w:t xml:space="preserve"> agreement (</w:t>
      </w:r>
      <w:r w:rsidRPr="00785656">
        <w:rPr>
          <w:rFonts w:eastAsia="Times New Roman" w:cs="Times New Roman"/>
        </w:rPr>
        <w:t>MAA</w:t>
      </w:r>
      <w:r w:rsidRPr="006D291F">
        <w:rPr>
          <w:rFonts w:eastAsia="Times New Roman" w:cs="Times New Roman"/>
        </w:rPr>
        <w:t>)</w:t>
      </w:r>
      <w:r w:rsidRPr="00785656">
        <w:rPr>
          <w:rFonts w:eastAsia="Times New Roman" w:cs="Times New Roman"/>
        </w:rPr>
        <w:t xml:space="preserve">. </w:t>
      </w:r>
      <w:r>
        <w:rPr>
          <w:rFonts w:eastAsia="Times New Roman" w:cs="Times New Roman"/>
        </w:rPr>
        <w:t>The MAA</w:t>
      </w:r>
      <w:r w:rsidRPr="00785656">
        <w:rPr>
          <w:rFonts w:eastAsia="Times New Roman" w:cs="Times New Roman"/>
        </w:rPr>
        <w:t xml:space="preserve"> consists of </w:t>
      </w:r>
      <w:r>
        <w:rPr>
          <w:rFonts w:eastAsia="Times New Roman" w:cs="Times New Roman"/>
        </w:rPr>
        <w:t xml:space="preserve">1) </w:t>
      </w:r>
      <w:r w:rsidRPr="00785656">
        <w:rPr>
          <w:rFonts w:eastAsia="Times New Roman" w:cs="Times New Roman"/>
        </w:rPr>
        <w:t xml:space="preserve">a data collection </w:t>
      </w:r>
      <w:r w:rsidRPr="006D291F">
        <w:rPr>
          <w:rFonts w:eastAsia="Times New Roman" w:cs="Times New Roman"/>
        </w:rPr>
        <w:t>agreement</w:t>
      </w:r>
      <w:r>
        <w:rPr>
          <w:rFonts w:eastAsia="Times New Roman" w:cs="Times New Roman"/>
        </w:rPr>
        <w:t xml:space="preserve"> (DCA)</w:t>
      </w:r>
      <w:r w:rsidRPr="006D291F">
        <w:rPr>
          <w:rFonts w:eastAsia="Times New Roman" w:cs="Times New Roman"/>
        </w:rPr>
        <w:t xml:space="preserve">, </w:t>
      </w:r>
      <w:r w:rsidRPr="00785656">
        <w:rPr>
          <w:rFonts w:eastAsia="Times New Roman" w:cs="Times New Roman"/>
        </w:rPr>
        <w:t>which specifies the data that must be collected that could sufficiently resolve the parameter uncertainties ident</w:t>
      </w:r>
      <w:r>
        <w:rPr>
          <w:rFonts w:eastAsia="Times New Roman" w:cs="Times New Roman"/>
        </w:rPr>
        <w:t>ified by the appraisal committee</w:t>
      </w:r>
      <w:r w:rsidRPr="00785656">
        <w:rPr>
          <w:rFonts w:eastAsia="Times New Roman" w:cs="Times New Roman"/>
        </w:rPr>
        <w:t xml:space="preserve"> and </w:t>
      </w:r>
      <w:r>
        <w:rPr>
          <w:rFonts w:eastAsia="Times New Roman" w:cs="Times New Roman"/>
        </w:rPr>
        <w:t xml:space="preserve">2) </w:t>
      </w:r>
      <w:r w:rsidRPr="00785656">
        <w:rPr>
          <w:rFonts w:eastAsia="Times New Roman" w:cs="Times New Roman"/>
        </w:rPr>
        <w:t xml:space="preserve">a commercial access agreement that ensures the technology is reimbursed at a cost-effective price during the period of the MAA. A technology remains in the CDF until the data collection agreed in the DCA is complete; it then proceeds to reappraisal and exits the fund. </w:t>
      </w:r>
    </w:p>
    <w:p w14:paraId="27874368" w14:textId="505C1715" w:rsidR="00E54F45" w:rsidRDefault="00E54F45" w:rsidP="00E54F45">
      <w:pPr>
        <w:rPr>
          <w:rFonts w:eastAsia="SimSun" w:cs="Arial"/>
        </w:rPr>
      </w:pPr>
      <w:r>
        <w:rPr>
          <w:rFonts w:eastAsia="Times New Roman" w:cs="Times New Roman"/>
        </w:rPr>
        <w:t xml:space="preserve">The MAA covers the entire eligible population determined by the NICE guidance which means that entry to the CDF is equivalent to an </w:t>
      </w:r>
      <w:r w:rsidR="00A16C4D">
        <w:rPr>
          <w:rFonts w:eastAsia="Times New Roman" w:cs="Times New Roman"/>
        </w:rPr>
        <w:t>‘</w:t>
      </w:r>
      <w:r>
        <w:rPr>
          <w:rFonts w:eastAsia="Times New Roman" w:cs="Times New Roman"/>
        </w:rPr>
        <w:t>approval with research</w:t>
      </w:r>
      <w:r w:rsidR="00A16C4D">
        <w:rPr>
          <w:rFonts w:eastAsia="Times New Roman" w:cs="Times New Roman"/>
        </w:rPr>
        <w:t>’</w:t>
      </w:r>
      <w:r>
        <w:rPr>
          <w:rFonts w:eastAsia="Times New Roman" w:cs="Times New Roman"/>
        </w:rPr>
        <w:t xml:space="preserve"> decision which is reassessed after the data collection period (usually </w:t>
      </w:r>
      <w:r w:rsidR="00A16C4D">
        <w:rPr>
          <w:rFonts w:eastAsia="Times New Roman" w:cs="Times New Roman"/>
        </w:rPr>
        <w:t>two</w:t>
      </w:r>
      <w:r>
        <w:rPr>
          <w:rFonts w:eastAsia="Times New Roman" w:cs="Times New Roman"/>
        </w:rPr>
        <w:t xml:space="preserve"> years).</w:t>
      </w:r>
      <w:r w:rsidR="00CB2733">
        <w:rPr>
          <w:rFonts w:eastAsia="Times New Roman" w:cs="Times New Roman"/>
        </w:rPr>
        <w:fldChar w:fldCharType="begin"/>
      </w:r>
      <w:r w:rsidR="004D5B2B">
        <w:rPr>
          <w:rFonts w:eastAsia="Times New Roman" w:cs="Times New Roman"/>
        </w:rPr>
        <w:instrText xml:space="preserve"> ADDIN EN.CITE &lt;EndNote&gt;&lt;Cite&gt;&lt;Author&gt;NHS England Cancer Drugs Fund Team&lt;/Author&gt;&lt;Year&gt;2016&lt;/Year&gt;&lt;RecNum&gt;3583&lt;/RecNum&gt;&lt;DisplayText&gt;&lt;style face="superscript"&gt;196, 197&lt;/style&gt;&lt;/DisplayText&gt;&lt;record&gt;&lt;rec-number&gt;3583&lt;/rec-number&gt;&lt;foreign-keys&gt;&lt;key app="EN" db-id="dwaevxvazfs2f3ewvzmxrd0k0wasw55p2z2w" timestamp="1582191038"&gt;3583&lt;/key&gt;&lt;/foreign-keys&gt;&lt;ref-type name="Report"&gt;27&lt;/ref-type&gt;&lt;contributors&gt;&lt;authors&gt;&lt;author&gt;NHS England Cancer Drugs Fund Team,&lt;/author&gt;&lt;/authors&gt;&lt;/contributors&gt;&lt;titles&gt;&lt;title&gt;Appraisal and Funding of Cancer Drugs from July 2016 (including the new Cancer Drugs Fund): A new deal for patients, taxpayers and industry&lt;/title&gt;&lt;/titles&gt;&lt;dates&gt;&lt;year&gt;2016&lt;/year&gt;&lt;/dates&gt;&lt;pub-location&gt;London&lt;/pub-location&gt;&lt;urls&gt;&lt;related-urls&gt;&lt;url&gt;https://www.england.nhs.uk/publication/cdf-sop-16/&lt;/url&gt;&lt;/related-urls&gt;&lt;/urls&gt;&lt;custom4&gt;STEVE&amp;apos;S REFRENCES&lt;/custom4&gt;&lt;/record&gt;&lt;/Cite&gt;&lt;Cite&gt;&lt;Author&gt;Claxton&lt;/Author&gt;&lt;Year&gt;2016&lt;/Year&gt;&lt;RecNum&gt;3587&lt;/RecNum&gt;&lt;record&gt;&lt;rec-number&gt;3587&lt;/rec-number&gt;&lt;foreign-keys&gt;&lt;key app="EN" db-id="dwaevxvazfs2f3ewvzmxrd0k0wasw55p2z2w" timestamp="1582191638"&gt;3587&lt;/key&gt;&lt;/foreign-keys&gt;&lt;ref-type name="Report"&gt;27&lt;/ref-type&gt;&lt;contributors&gt;&lt;authors&gt;&lt;author&gt;Claxton, K.&lt;/author&gt;&lt;/authors&gt;&lt;/contributors&gt;&lt;titles&gt;&lt;title&gt;Pharmaceutical Pricing: Early Access, The Cancer Drugs Fund and the Role of NICE&lt;/title&gt;&lt;/titles&gt;&lt;dates&gt;&lt;year&gt;2016&lt;/year&gt;&lt;/dates&gt;&lt;pub-location&gt;York&lt;/pub-location&gt;&lt;publisher&gt;Centre for Health Economics, University of York&lt;/publisher&gt;&lt;urls&gt;&lt;related-urls&gt;&lt;url&gt;https://www.york.ac.uk/media/che/documents/policybriefing/Drug_prices.pdf&lt;/url&gt;&lt;/related-urls&gt;&lt;/urls&gt;&lt;custom4&gt;STEVE&amp;apos;S REFRENCES&lt;/custom4&gt;&lt;/record&gt;&lt;/Cite&gt;&lt;/EndNote&gt;</w:instrText>
      </w:r>
      <w:r w:rsidR="00CB2733">
        <w:rPr>
          <w:rFonts w:eastAsia="Times New Roman" w:cs="Times New Roman"/>
        </w:rPr>
        <w:fldChar w:fldCharType="separate"/>
      </w:r>
      <w:r w:rsidR="004D5B2B" w:rsidRPr="004D5B2B">
        <w:rPr>
          <w:rFonts w:eastAsia="Times New Roman" w:cs="Times New Roman"/>
          <w:noProof/>
          <w:vertAlign w:val="superscript"/>
        </w:rPr>
        <w:t>196, 197</w:t>
      </w:r>
      <w:r w:rsidR="00CB2733">
        <w:rPr>
          <w:rFonts w:eastAsia="Times New Roman" w:cs="Times New Roman"/>
        </w:rPr>
        <w:fldChar w:fldCharType="end"/>
      </w:r>
      <w:r>
        <w:rPr>
          <w:rFonts w:eastAsia="Times New Roman" w:cs="Times New Roman"/>
        </w:rPr>
        <w:t xml:space="preserve"> </w:t>
      </w:r>
      <w:r>
        <w:rPr>
          <w:rFonts w:eastAsia="SimSun" w:cs="Arial"/>
        </w:rPr>
        <w:t xml:space="preserve">The assessments required to inform the suitability of an </w:t>
      </w:r>
      <w:r w:rsidR="00A16C4D">
        <w:rPr>
          <w:rFonts w:eastAsia="SimSun" w:cs="Arial"/>
        </w:rPr>
        <w:t>‘</w:t>
      </w:r>
      <w:r>
        <w:rPr>
          <w:rFonts w:eastAsia="Times New Roman" w:cs="Times New Roman"/>
        </w:rPr>
        <w:t>approval with research</w:t>
      </w:r>
      <w:r w:rsidR="00A16C4D">
        <w:rPr>
          <w:rFonts w:eastAsia="Times New Roman" w:cs="Times New Roman"/>
        </w:rPr>
        <w:t>’</w:t>
      </w:r>
      <w:r>
        <w:rPr>
          <w:rFonts w:eastAsia="Times New Roman" w:cs="Times New Roman"/>
        </w:rPr>
        <w:t xml:space="preserve"> decision over </w:t>
      </w:r>
      <w:r w:rsidR="00A16C4D">
        <w:rPr>
          <w:rFonts w:eastAsia="Times New Roman" w:cs="Times New Roman"/>
        </w:rPr>
        <w:t>‘</w:t>
      </w:r>
      <w:r>
        <w:rPr>
          <w:rFonts w:eastAsia="Times New Roman" w:cs="Times New Roman"/>
        </w:rPr>
        <w:t>only in research</w:t>
      </w:r>
      <w:r w:rsidR="00A16C4D">
        <w:rPr>
          <w:rFonts w:eastAsia="Times New Roman" w:cs="Times New Roman"/>
        </w:rPr>
        <w:t>’</w:t>
      </w:r>
      <w:r>
        <w:rPr>
          <w:rFonts w:eastAsia="Times New Roman" w:cs="Times New Roman"/>
        </w:rPr>
        <w:t>, approve and reject are covered in detail elsewhere.</w:t>
      </w:r>
      <w:r w:rsidR="00CB2733">
        <w:rPr>
          <w:rFonts w:eastAsia="Times New Roman" w:cs="Times New Roman"/>
        </w:rPr>
        <w:fldChar w:fldCharType="begin">
          <w:fldData xml:space="preserve">PEVuZE5vdGU+PENpdGU+PEF1dGhvcj5DbGF4dG9uPC9BdXRob3I+PFllYXI+MjAxNjwvWWVhcj48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</w:fldData>
        </w:fldChar>
      </w:r>
      <w:r w:rsidR="004D5B2B">
        <w:rPr>
          <w:rFonts w:eastAsia="Times New Roman" w:cs="Times New Roman"/>
        </w:rPr>
        <w:instrText xml:space="preserve"> ADDIN EN.CITE </w:instrText>
      </w:r>
      <w:r w:rsidR="004D5B2B">
        <w:rPr>
          <w:rFonts w:eastAsia="Times New Roman" w:cs="Times New Roman"/>
        </w:rPr>
        <w:fldChar w:fldCharType="begin">
          <w:fldData xml:space="preserve">PEVuZE5vdGU+PENpdGU+PEF1dGhvcj5DbGF4dG9uPC9BdXRob3I+PFllYXI+MjAxNjwvWWVhcj48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</w:fldData>
        </w:fldChar>
      </w:r>
      <w:r w:rsidR="004D5B2B">
        <w:rPr>
          <w:rFonts w:eastAsia="Times New Roman" w:cs="Times New Roman"/>
        </w:rPr>
        <w:instrText xml:space="preserve"> ADDIN EN.CITE.DATA </w:instrText>
      </w:r>
      <w:r w:rsidR="004D5B2B">
        <w:rPr>
          <w:rFonts w:eastAsia="Times New Roman" w:cs="Times New Roman"/>
        </w:rPr>
      </w:r>
      <w:r w:rsidR="004D5B2B">
        <w:rPr>
          <w:rFonts w:eastAsia="Times New Roman" w:cs="Times New Roman"/>
        </w:rPr>
        <w:fldChar w:fldCharType="end"/>
      </w:r>
      <w:r w:rsidR="00CB2733">
        <w:rPr>
          <w:rFonts w:eastAsia="Times New Roman" w:cs="Times New Roman"/>
        </w:rPr>
      </w:r>
      <w:r w:rsidR="00CB2733">
        <w:rPr>
          <w:rFonts w:eastAsia="Times New Roman" w:cs="Times New Roman"/>
        </w:rPr>
        <w:fldChar w:fldCharType="separate"/>
      </w:r>
      <w:r w:rsidR="004D5B2B" w:rsidRPr="004D5B2B">
        <w:rPr>
          <w:rFonts w:eastAsia="Times New Roman" w:cs="Times New Roman"/>
          <w:noProof/>
          <w:vertAlign w:val="superscript"/>
        </w:rPr>
        <w:t>194</w:t>
      </w:r>
      <w:r w:rsidR="00CB2733">
        <w:rPr>
          <w:rFonts w:eastAsia="Times New Roman" w:cs="Times New Roman"/>
        </w:rPr>
        <w:fldChar w:fldCharType="end"/>
      </w:r>
      <w:r>
        <w:rPr>
          <w:rFonts w:eastAsia="Times New Roman" w:cs="Times New Roman"/>
        </w:rPr>
        <w:t xml:space="preserve"> </w:t>
      </w:r>
      <w:r w:rsidRPr="0065755C">
        <w:rPr>
          <w:rFonts w:eastAsia="SimSun" w:cs="Arial"/>
        </w:rPr>
        <w:t xml:space="preserve">Explicit consideration of these assessments could aid the transparency of CDF entry requirements. However, </w:t>
      </w:r>
      <w:r>
        <w:rPr>
          <w:rFonts w:eastAsia="SimSun" w:cs="Arial"/>
        </w:rPr>
        <w:t>it is beyond the scope of this</w:t>
      </w:r>
      <w:r w:rsidRPr="0065755C">
        <w:rPr>
          <w:rFonts w:eastAsia="SimSun" w:cs="Arial"/>
        </w:rPr>
        <w:t xml:space="preserve"> report </w:t>
      </w:r>
      <w:r>
        <w:rPr>
          <w:rFonts w:eastAsia="SimSun" w:cs="Arial"/>
        </w:rPr>
        <w:t xml:space="preserve">to suggest reforms to CDF processes or determine the </w:t>
      </w:r>
      <w:r w:rsidRPr="0065755C">
        <w:rPr>
          <w:rFonts w:eastAsia="SimSun" w:cs="Arial"/>
        </w:rPr>
        <w:t xml:space="preserve">appropriate size of the </w:t>
      </w:r>
      <w:r w:rsidRPr="00DF727A">
        <w:rPr>
          <w:rFonts w:eastAsia="SimSun" w:cs="Arial"/>
        </w:rPr>
        <w:t>CDF</w:t>
      </w:r>
      <w:r w:rsidR="00DF5225">
        <w:rPr>
          <w:rFonts w:eastAsia="SimSun" w:cs="Arial"/>
        </w:rPr>
        <w:t xml:space="preserve"> budget</w:t>
      </w:r>
      <w:r w:rsidRPr="00DF727A">
        <w:rPr>
          <w:rFonts w:eastAsia="SimSun" w:cs="Arial"/>
        </w:rPr>
        <w:t>. These issues have been commented on elsewhere and require</w:t>
      </w:r>
      <w:r w:rsidRPr="0065755C">
        <w:rPr>
          <w:rFonts w:eastAsia="SimSun" w:cs="Arial"/>
        </w:rPr>
        <w:t xml:space="preserve"> further research.</w:t>
      </w:r>
      <w:r w:rsidR="00CB2733">
        <w:rPr>
          <w:rFonts w:eastAsia="SimSun" w:cs="Arial"/>
        </w:rPr>
        <w:fldChar w:fldCharType="begin">
          <w:fldData xml:space="preserve">PEVuZE5vdGU+PENpdGU+PEF1dGhvcj5HcmlldmU8L0F1dGhvcj48WWVhcj4yMDE2PC9ZZWFyPjxS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</w:fldData>
        </w:fldChar>
      </w:r>
      <w:r w:rsidR="00500BB3">
        <w:rPr>
          <w:rFonts w:eastAsia="SimSun" w:cs="Arial"/>
        </w:rPr>
        <w:instrText xml:space="preserve"> ADDIN EN.CITE </w:instrText>
      </w:r>
      <w:r w:rsidR="00500BB3">
        <w:rPr>
          <w:rFonts w:eastAsia="SimSun" w:cs="Arial"/>
        </w:rPr>
        <w:fldChar w:fldCharType="begin">
          <w:fldData xml:space="preserve">PEVuZE5vdGU+PENpdGU+PEF1dGhvcj5HcmlldmU8L0F1dGhvcj48WWVhcj4yMDE2PC9ZZWFyPjxS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</w:fldData>
        </w:fldChar>
      </w:r>
      <w:r w:rsidR="00500BB3">
        <w:rPr>
          <w:rFonts w:eastAsia="SimSun" w:cs="Arial"/>
        </w:rPr>
        <w:instrText xml:space="preserve"> ADDIN EN.CITE.DATA </w:instrText>
      </w:r>
      <w:r w:rsidR="00500BB3">
        <w:rPr>
          <w:rFonts w:eastAsia="SimSun" w:cs="Arial"/>
        </w:rPr>
      </w:r>
      <w:r w:rsidR="00500BB3">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197-199</w:t>
      </w:r>
      <w:r w:rsidR="00CB2733">
        <w:rPr>
          <w:rFonts w:eastAsia="SimSun" w:cs="Arial"/>
        </w:rPr>
        <w:fldChar w:fldCharType="end"/>
      </w:r>
      <w:r w:rsidRPr="0065755C">
        <w:rPr>
          <w:rFonts w:eastAsia="SimSun" w:cs="Arial"/>
        </w:rPr>
        <w:t xml:space="preserve"> </w:t>
      </w:r>
    </w:p>
    <w:p w14:paraId="0B31C041" w14:textId="397FC52A" w:rsidR="00E54F45" w:rsidRDefault="00E54F45" w:rsidP="00E54F45">
      <w:pPr>
        <w:rPr>
          <w:rFonts w:eastAsia="SimSun" w:cs="Arial"/>
        </w:rPr>
      </w:pPr>
      <w:r>
        <w:rPr>
          <w:rFonts w:eastAsia="SimSun" w:cs="Arial"/>
        </w:rPr>
        <w:t>T</w:t>
      </w:r>
      <w:r w:rsidRPr="0065755C">
        <w:rPr>
          <w:rFonts w:eastAsia="SimSun" w:cs="Arial"/>
        </w:rPr>
        <w:t xml:space="preserve">he aim here is to provide a framework to </w:t>
      </w:r>
      <w:r>
        <w:rPr>
          <w:rFonts w:eastAsia="SimSun" w:cs="Arial"/>
        </w:rPr>
        <w:t xml:space="preserve">understand how the CDF, in its current form, </w:t>
      </w:r>
      <w:r w:rsidR="00DF5225">
        <w:rPr>
          <w:rFonts w:eastAsia="SimSun" w:cs="Arial"/>
        </w:rPr>
        <w:t xml:space="preserve">can </w:t>
      </w:r>
      <w:r>
        <w:rPr>
          <w:rFonts w:eastAsia="SimSun" w:cs="Arial"/>
        </w:rPr>
        <w:t>help to address the risk associated with histology</w:t>
      </w:r>
      <w:r w:rsidR="00A16C4D">
        <w:rPr>
          <w:rFonts w:eastAsia="SimSun" w:cs="Arial"/>
        </w:rPr>
        <w:t>-</w:t>
      </w:r>
      <w:r>
        <w:rPr>
          <w:rFonts w:eastAsia="SimSun" w:cs="Arial"/>
        </w:rPr>
        <w:t xml:space="preserve">independent technologies. </w:t>
      </w:r>
      <w:r w:rsidR="00DF5225">
        <w:rPr>
          <w:rFonts w:eastAsia="SimSun" w:cs="Arial"/>
        </w:rPr>
        <w:t>Th</w:t>
      </w:r>
      <w:r w:rsidR="005D59F6">
        <w:rPr>
          <w:rFonts w:eastAsia="SimSun" w:cs="Arial"/>
        </w:rPr>
        <w:t xml:space="preserve">e intention is to demonstrate </w:t>
      </w:r>
      <w:r w:rsidR="005D59F6">
        <w:rPr>
          <w:rFonts w:eastAsia="SimSun" w:cs="Arial"/>
        </w:rPr>
        <w:lastRenderedPageBreak/>
        <w:t xml:space="preserve">how a unified decision framework could </w:t>
      </w:r>
      <w:r w:rsidR="00E47834">
        <w:rPr>
          <w:rFonts w:eastAsia="SimSun" w:cs="Arial"/>
        </w:rPr>
        <w:t>enabl</w:t>
      </w:r>
      <w:r w:rsidR="005D59F6">
        <w:rPr>
          <w:rFonts w:eastAsia="SimSun" w:cs="Arial"/>
        </w:rPr>
        <w:t>e</w:t>
      </w:r>
      <w:r w:rsidR="00E47834">
        <w:rPr>
          <w:rFonts w:eastAsia="SimSun" w:cs="Arial"/>
        </w:rPr>
        <w:t xml:space="preserve"> </w:t>
      </w:r>
      <w:r>
        <w:rPr>
          <w:rFonts w:eastAsia="SimSun" w:cs="Arial"/>
        </w:rPr>
        <w:t xml:space="preserve">CDF </w:t>
      </w:r>
      <w:r w:rsidR="00DF5225">
        <w:rPr>
          <w:rFonts w:eastAsia="SimSun" w:cs="Arial"/>
        </w:rPr>
        <w:t xml:space="preserve">data collection arrangements </w:t>
      </w:r>
      <w:r w:rsidR="00E47834">
        <w:rPr>
          <w:rFonts w:eastAsia="SimSun" w:cs="Arial"/>
        </w:rPr>
        <w:t>to be</w:t>
      </w:r>
      <w:r w:rsidR="00DF5225">
        <w:rPr>
          <w:rFonts w:eastAsia="SimSun" w:cs="Arial"/>
        </w:rPr>
        <w:t xml:space="preserve"> considered alongside </w:t>
      </w:r>
      <w:r>
        <w:rPr>
          <w:rFonts w:eastAsia="SimSun" w:cs="Arial"/>
        </w:rPr>
        <w:t>other risk reduction strategies (</w:t>
      </w:r>
      <w:r w:rsidR="00E47834">
        <w:rPr>
          <w:rFonts w:eastAsia="SimSun" w:cs="Arial"/>
        </w:rPr>
        <w:t>e.g. pricing schemes</w:t>
      </w:r>
      <w:r>
        <w:rPr>
          <w:rFonts w:eastAsia="SimSun" w:cs="Arial"/>
        </w:rPr>
        <w:t xml:space="preserve"> and stratified decision making)</w:t>
      </w:r>
      <w:r w:rsidR="005D59F6">
        <w:rPr>
          <w:rFonts w:eastAsia="SimSun" w:cs="Arial"/>
        </w:rPr>
        <w:t>.</w:t>
      </w:r>
    </w:p>
    <w:p w14:paraId="0EA93E6E" w14:textId="29996F46" w:rsidR="00E54F45" w:rsidRPr="00270FFD" w:rsidRDefault="00E54F45" w:rsidP="00E54F45">
      <w:pPr>
        <w:rPr>
          <w:rFonts w:eastAsia="SimSun" w:cs="Arial"/>
          <w:b/>
        </w:rPr>
      </w:pPr>
      <w:r w:rsidRPr="00270FFD">
        <w:rPr>
          <w:rFonts w:eastAsia="SimSun" w:cs="Arial"/>
          <w:b/>
        </w:rPr>
        <w:t xml:space="preserve">Decision uncertainty resolved by the </w:t>
      </w:r>
      <w:r w:rsidR="006A65AA">
        <w:rPr>
          <w:rFonts w:eastAsia="SimSun" w:cs="Arial"/>
          <w:b/>
        </w:rPr>
        <w:t>Cancer Drugs F</w:t>
      </w:r>
      <w:r>
        <w:rPr>
          <w:rFonts w:eastAsia="SimSun" w:cs="Arial"/>
          <w:b/>
        </w:rPr>
        <w:t>und (</w:t>
      </w:r>
      <w:r w:rsidRPr="00270FFD">
        <w:rPr>
          <w:rFonts w:eastAsia="SimSun" w:cs="Arial"/>
          <w:b/>
        </w:rPr>
        <w:t>CDF</w:t>
      </w:r>
      <w:r>
        <w:rPr>
          <w:rFonts w:eastAsia="SimSun" w:cs="Arial"/>
          <w:b/>
        </w:rPr>
        <w:t>)</w:t>
      </w:r>
    </w:p>
    <w:p w14:paraId="1D6B6329" w14:textId="366A2A59" w:rsidR="00E54F45" w:rsidRPr="00BC61C7" w:rsidRDefault="00E54F45" w:rsidP="00E54F45">
      <w:pPr>
        <w:rPr>
          <w:rFonts w:eastAsia="SimSun" w:cs="Arial"/>
        </w:rPr>
      </w:pPr>
      <w:r>
        <w:rPr>
          <w:rFonts w:eastAsia="SimSun" w:cs="Arial"/>
        </w:rPr>
        <w:t>Previously, t</w:t>
      </w:r>
      <w:r w:rsidRPr="00BC61C7">
        <w:rPr>
          <w:rFonts w:eastAsia="SimSun" w:cs="Arial"/>
        </w:rPr>
        <w:t xml:space="preserve">he value of resolving </w:t>
      </w:r>
      <w:r w:rsidRPr="00E749E1">
        <w:rPr>
          <w:rFonts w:eastAsia="SimSun" w:cs="Arial"/>
        </w:rPr>
        <w:t xml:space="preserve">all </w:t>
      </w:r>
      <w:r w:rsidRPr="00BC61C7">
        <w:rPr>
          <w:rFonts w:eastAsia="SimSun" w:cs="Arial"/>
        </w:rPr>
        <w:t>uncertainty</w:t>
      </w:r>
      <w:r w:rsidRPr="00E749E1">
        <w:rPr>
          <w:rFonts w:eastAsia="SimSun" w:cs="Arial"/>
        </w:rPr>
        <w:t xml:space="preserve"> was estimated to be</w:t>
      </w:r>
      <w:r w:rsidRPr="00BC61C7">
        <w:rPr>
          <w:rFonts w:eastAsia="SimSun" w:cs="Arial"/>
        </w:rPr>
        <w:t xml:space="preserve"> 29.52 QALYs per year </w:t>
      </w:r>
      <w:r w:rsidR="000A0793">
        <w:rPr>
          <w:rFonts w:eastAsia="SimSun" w:cs="Arial"/>
        </w:rPr>
        <w:t>(NMB</w:t>
      </w:r>
      <w:r w:rsidR="000A0793">
        <w:rPr>
          <w:rFonts w:eastAsia="SimSun" w:cs="Times New Roman"/>
        </w:rPr>
        <w:t>≈</w:t>
      </w:r>
      <w:r w:rsidRPr="00E749E1">
        <w:rPr>
          <w:rFonts w:eastAsia="SimSun" w:cs="Arial"/>
        </w:rPr>
        <w:t xml:space="preserve">£1.48 million), therefore this is </w:t>
      </w:r>
      <w:r w:rsidRPr="00BC61C7">
        <w:rPr>
          <w:rFonts w:eastAsia="SimSun" w:cs="Arial"/>
        </w:rPr>
        <w:t xml:space="preserve">an upper bound for </w:t>
      </w:r>
      <w:r>
        <w:rPr>
          <w:rFonts w:eastAsia="SimSun" w:cs="Arial"/>
        </w:rPr>
        <w:t>the risk which can be resolved through</w:t>
      </w:r>
      <w:r w:rsidRPr="00BC61C7">
        <w:rPr>
          <w:rFonts w:eastAsia="SimSun" w:cs="Arial"/>
        </w:rPr>
        <w:t xml:space="preserve"> further research</w:t>
      </w:r>
      <w:r>
        <w:rPr>
          <w:rFonts w:eastAsia="SimSun" w:cs="Arial"/>
        </w:rPr>
        <w:t xml:space="preserve"> each year</w:t>
      </w:r>
      <w:r w:rsidR="0016126B">
        <w:rPr>
          <w:rFonts w:eastAsia="SimSun" w:cs="Arial"/>
        </w:rPr>
        <w:t>.</w:t>
      </w:r>
      <w:r>
        <w:rPr>
          <w:rFonts w:eastAsia="SimSun" w:cs="Arial"/>
        </w:rPr>
        <w:t xml:space="preserve"> </w:t>
      </w:r>
      <w:r w:rsidR="00DF5225">
        <w:rPr>
          <w:rFonts w:eastAsia="SimSun" w:cs="Arial"/>
        </w:rPr>
        <w:t xml:space="preserve"> </w:t>
      </w:r>
      <w:r>
        <w:rPr>
          <w:rFonts w:eastAsia="SimSun" w:cs="Arial"/>
        </w:rPr>
        <w:t>However, t</w:t>
      </w:r>
      <w:r w:rsidRPr="00BC61C7">
        <w:rPr>
          <w:rFonts w:eastAsia="SimSun" w:cs="Arial"/>
        </w:rPr>
        <w:t>here are many sources of uncertainty in any model</w:t>
      </w:r>
      <w:r w:rsidR="00DF5225">
        <w:rPr>
          <w:rFonts w:eastAsia="SimSun" w:cs="Arial"/>
        </w:rPr>
        <w:t>;</w:t>
      </w:r>
      <w:r w:rsidRPr="00BC61C7">
        <w:rPr>
          <w:rFonts w:eastAsia="SimSun" w:cs="Arial"/>
        </w:rPr>
        <w:t xml:space="preserve"> for example, uncertainties in baseline risks, health state costs, health</w:t>
      </w:r>
      <w:r w:rsidR="00A16C4D">
        <w:rPr>
          <w:rFonts w:eastAsia="SimSun" w:cs="Arial"/>
        </w:rPr>
        <w:t>-</w:t>
      </w:r>
      <w:r w:rsidRPr="00BC61C7">
        <w:rPr>
          <w:rFonts w:eastAsia="SimSun" w:cs="Arial"/>
        </w:rPr>
        <w:t xml:space="preserve">related quality of life etc. Different types of research will </w:t>
      </w:r>
      <w:r w:rsidR="00DF5225">
        <w:rPr>
          <w:rFonts w:eastAsia="SimSun" w:cs="Arial"/>
        </w:rPr>
        <w:t xml:space="preserve">potentially be required to </w:t>
      </w:r>
      <w:r w:rsidRPr="00BC61C7">
        <w:rPr>
          <w:rFonts w:eastAsia="SimSun" w:cs="Arial"/>
        </w:rPr>
        <w:t xml:space="preserve">inform different </w:t>
      </w:r>
      <w:r w:rsidR="00DF5225">
        <w:rPr>
          <w:rFonts w:eastAsia="SimSun" w:cs="Arial"/>
        </w:rPr>
        <w:t xml:space="preserve">model </w:t>
      </w:r>
      <w:r w:rsidRPr="00BC61C7">
        <w:rPr>
          <w:rFonts w:eastAsia="SimSun" w:cs="Arial"/>
        </w:rPr>
        <w:t xml:space="preserve">parameters. For example, </w:t>
      </w:r>
      <w:r>
        <w:rPr>
          <w:rFonts w:eastAsia="SimSun" w:cs="Arial"/>
        </w:rPr>
        <w:t>observational</w:t>
      </w:r>
      <w:r w:rsidRPr="00BC61C7">
        <w:rPr>
          <w:rFonts w:eastAsia="SimSun" w:cs="Arial"/>
        </w:rPr>
        <w:t xml:space="preserve"> survey research may be sufficient to address uncertainties about health-related quality of life in specific disease states</w:t>
      </w:r>
      <w:r>
        <w:rPr>
          <w:rFonts w:eastAsia="SimSun" w:cs="Arial"/>
        </w:rPr>
        <w:t>, whereas randomised research may be required to resolve uncertainties in the relative effects of interventions</w:t>
      </w:r>
      <w:r w:rsidRPr="00BC61C7">
        <w:rPr>
          <w:rFonts w:eastAsia="SimSun" w:cs="Arial"/>
        </w:rPr>
        <w:t>.</w:t>
      </w:r>
      <w:r w:rsidR="00CB2733">
        <w:rPr>
          <w:rFonts w:eastAsia="SimSun" w:cs="Arial"/>
        </w:rPr>
        <w:fldChar w:fldCharType="begin"/>
      </w:r>
      <w:r w:rsidR="00054FE8">
        <w:rPr>
          <w:rFonts w:eastAsia="SimSun" w:cs="Arial"/>
        </w:rPr>
        <w:instrText xml:space="preserve"> ADDIN EN.CITE &lt;EndNote&gt;&lt;Cite&gt;&lt;Author&gt;Ades&lt;/Author&gt;&lt;Year&gt;2004&lt;/Year&gt;&lt;RecNum&gt;3496&lt;/RecNum&gt;&lt;DisplayText&gt;&lt;style face="superscript"&gt;195&lt;/style&gt;&lt;/DisplayText&gt;&lt;record&gt;&lt;rec-number&gt;3496&lt;/rec-number&gt;&lt;foreign-keys&gt;&lt;key app="EN" db-id="dwaevxvazfs2f3ewvzmxrd0k0wasw55p2z2w" timestamp="1579606099"&gt;3496&lt;/key&gt;&lt;/foreign-keys&gt;&lt;ref-type name="Journal Article"&gt;17&lt;/ref-type&gt;&lt;contributors&gt;&lt;authors&gt;&lt;author&gt;Ades, A. E.&lt;/author&gt;&lt;author&gt;Lu, G.&lt;/author&gt;&lt;author&gt;Claxton, K.&lt;/author&gt;&lt;/authors&gt;&lt;/contributors&gt;&lt;auth-address&gt;Medical Research Council Health Services Research Collaboration, Bristol, United Kingdom. t.ades@bristol.ac.uk&lt;/auth-address&gt;&lt;titles&gt;&lt;title&gt;Expected value of sample information calculations in medical decision modeling&lt;/title&gt;&lt;secondary-title&gt;Med Decis Making&lt;/secondary-title&gt;&lt;/titles&gt;&lt;periodical&gt;&lt;full-title&gt;Medical Decision Making&lt;/full-title&gt;&lt;abbr-1&gt;Med Decis Making&lt;/abbr-1&gt;&lt;/periodical&gt;&lt;pages&gt;207-27&lt;/pages&gt;&lt;volume&gt;24&lt;/volume&gt;&lt;number&gt;2&lt;/number&gt;&lt;edition&gt;2004/04/20&lt;/edition&gt;&lt;keywords&gt;&lt;keyword&gt;Algorithms&lt;/keyword&gt;&lt;keyword&gt;*Decision Support Systems, Clinical&lt;/keyword&gt;&lt;keyword&gt;Information Management/*methods&lt;/keyword&gt;&lt;keyword&gt;*Models, Statistical&lt;/keyword&gt;&lt;keyword&gt;Monte Carlo Method&lt;/keyword&gt;&lt;keyword&gt;Odds Ratio&lt;/keyword&gt;&lt;keyword&gt;United Kingdom&lt;/keyword&gt;&lt;/keywords&gt;&lt;dates&gt;&lt;year&gt;2004&lt;/year&gt;&lt;pub-dates&gt;&lt;date&gt;Mar-Apr&lt;/date&gt;&lt;/pub-dates&gt;&lt;/dates&gt;&lt;isbn&gt;0272-989X (Print)&amp;#xD;0272-989X (Linking)&lt;/isbn&gt;&lt;accession-num&gt;15090106&lt;/accession-num&gt;&lt;urls&gt;&lt;/urls&gt;&lt;custom4&gt;STEVE&amp;apos;S REFERENCES&lt;/custom4&gt;&lt;electronic-resource-num&gt;10.1177/0272989X04263162&lt;/electronic-resource-num&gt;&lt;research-notes&gt;https://www.ncbi.nlm.nih.gov/pubmed/15090106&lt;/research-notes&gt;&lt;language&gt;eng&lt;/language&gt;&lt;/record&gt;&lt;/Cite&gt;&lt;/EndNote&gt;</w:instrText>
      </w:r>
      <w:r w:rsidR="00CB2733">
        <w:rPr>
          <w:rFonts w:eastAsia="SimSun" w:cs="Arial"/>
        </w:rPr>
        <w:fldChar w:fldCharType="separate"/>
      </w:r>
      <w:r w:rsidR="004D5B2B" w:rsidRPr="004D5B2B">
        <w:rPr>
          <w:rFonts w:eastAsia="SimSun" w:cs="Arial"/>
          <w:noProof/>
          <w:vertAlign w:val="superscript"/>
        </w:rPr>
        <w:t>195</w:t>
      </w:r>
      <w:r w:rsidR="00CB2733">
        <w:rPr>
          <w:rFonts w:eastAsia="SimSun" w:cs="Arial"/>
        </w:rPr>
        <w:fldChar w:fldCharType="end"/>
      </w:r>
      <w:r w:rsidRPr="00BC61C7">
        <w:rPr>
          <w:rFonts w:eastAsia="SimSun" w:cs="Arial"/>
        </w:rPr>
        <w:t xml:space="preserve"> Research on </w:t>
      </w:r>
      <w:r>
        <w:rPr>
          <w:rFonts w:eastAsia="SimSun" w:cs="Arial"/>
        </w:rPr>
        <w:t xml:space="preserve">particular </w:t>
      </w:r>
      <w:r w:rsidRPr="00BC61C7">
        <w:rPr>
          <w:rFonts w:eastAsia="SimSun" w:cs="Arial"/>
        </w:rPr>
        <w:t xml:space="preserve">parameters will </w:t>
      </w:r>
      <w:r>
        <w:rPr>
          <w:rFonts w:eastAsia="SimSun" w:cs="Arial"/>
        </w:rPr>
        <w:t xml:space="preserve">resolve more or less uncertainty </w:t>
      </w:r>
      <w:r w:rsidRPr="00BC61C7">
        <w:rPr>
          <w:rFonts w:eastAsia="SimSun" w:cs="Arial"/>
        </w:rPr>
        <w:t xml:space="preserve">depending on how central </w:t>
      </w:r>
      <w:r>
        <w:rPr>
          <w:rFonts w:eastAsia="SimSun" w:cs="Arial"/>
        </w:rPr>
        <w:t>they are to the decision between the treatment alternatives</w:t>
      </w:r>
      <w:r w:rsidRPr="00BC61C7">
        <w:rPr>
          <w:rFonts w:eastAsia="SimSun" w:cs="Arial"/>
        </w:rPr>
        <w:t xml:space="preserve">. </w:t>
      </w:r>
      <w:r>
        <w:rPr>
          <w:rFonts w:eastAsia="SimSun" w:cs="Arial"/>
        </w:rPr>
        <w:t xml:space="preserve">This means that research on some parameters is more valuable than on others. </w:t>
      </w:r>
    </w:p>
    <w:p w14:paraId="3BC7E7A6" w14:textId="0317CBC2" w:rsidR="00E54F45" w:rsidRDefault="00E54F45" w:rsidP="00E54F45">
      <w:pPr>
        <w:rPr>
          <w:rFonts w:eastAsia="SimSun" w:cs="Arial"/>
        </w:rPr>
      </w:pPr>
      <w:r w:rsidRPr="00BC61C7">
        <w:rPr>
          <w:rFonts w:eastAsia="SimSun" w:cs="Arial"/>
        </w:rPr>
        <w:t xml:space="preserve">The upper bound for the value of additional research on specific parameters (or set of parameters) can be </w:t>
      </w:r>
      <w:r w:rsidR="00A16C4D" w:rsidRPr="00BC61C7">
        <w:rPr>
          <w:rFonts w:eastAsia="SimSun" w:cs="Arial"/>
        </w:rPr>
        <w:t>calculat</w:t>
      </w:r>
      <w:r w:rsidR="00A16C4D">
        <w:rPr>
          <w:rFonts w:eastAsia="SimSun" w:cs="Arial"/>
        </w:rPr>
        <w:t>ed</w:t>
      </w:r>
      <w:r w:rsidR="00A16C4D" w:rsidRPr="00BC61C7">
        <w:rPr>
          <w:rFonts w:eastAsia="SimSun" w:cs="Arial"/>
        </w:rPr>
        <w:t xml:space="preserve"> </w:t>
      </w:r>
      <w:r w:rsidRPr="00BC61C7">
        <w:rPr>
          <w:rFonts w:eastAsia="SimSun" w:cs="Arial"/>
        </w:rPr>
        <w:t>using an extension of VOI methods. These are called expected value of partial perfect information (EVPPI) methods.</w:t>
      </w:r>
      <w:r w:rsidRPr="00BC61C7">
        <w:rPr>
          <w:rFonts w:eastAsia="SimSun" w:cs="Arial"/>
        </w:rPr>
        <w:fldChar w:fldCharType="begin">
          <w:fldData xml:space="preserve">PEVuZE5vdGU+PENpdGU+PEF1dGhvcj5TdHJvbmc8L0F1dGhvcj48WWVhcj4yMDE0PC9ZZWFyPjxS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</w:fldData>
        </w:fldChar>
      </w:r>
      <w:r w:rsidR="00054FE8">
        <w:rPr>
          <w:rFonts w:eastAsia="SimSun" w:cs="Arial"/>
        </w:rPr>
        <w:instrText xml:space="preserve"> ADDIN EN.CITE </w:instrText>
      </w:r>
      <w:r w:rsidR="00054FE8">
        <w:rPr>
          <w:rFonts w:eastAsia="SimSun" w:cs="Arial"/>
        </w:rPr>
        <w:fldChar w:fldCharType="begin">
          <w:fldData xml:space="preserve">PEVuZE5vdGU+PENpdGU+PEF1dGhvcj5TdHJvbmc8L0F1dGhvcj48WWVhcj4yMDE0PC9ZZWFyPjxS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</w:fldData>
        </w:fldChar>
      </w:r>
      <w:r w:rsidR="00054FE8">
        <w:rPr>
          <w:rFonts w:eastAsia="SimSun" w:cs="Arial"/>
        </w:rPr>
        <w:instrText xml:space="preserve"> ADDIN EN.CITE.DATA </w:instrText>
      </w:r>
      <w:r w:rsidR="00054FE8">
        <w:rPr>
          <w:rFonts w:eastAsia="SimSun" w:cs="Arial"/>
        </w:rPr>
      </w:r>
      <w:r w:rsidR="00054FE8">
        <w:rPr>
          <w:rFonts w:eastAsia="SimSun" w:cs="Arial"/>
        </w:rPr>
        <w:fldChar w:fldCharType="end"/>
      </w:r>
      <w:r w:rsidRPr="00BC61C7">
        <w:rPr>
          <w:rFonts w:eastAsia="SimSun" w:cs="Arial"/>
        </w:rPr>
      </w:r>
      <w:r w:rsidRPr="00BC61C7">
        <w:rPr>
          <w:rFonts w:eastAsia="SimSun" w:cs="Arial"/>
        </w:rPr>
        <w:fldChar w:fldCharType="separate"/>
      </w:r>
      <w:r w:rsidR="004D5B2B" w:rsidRPr="004D5B2B">
        <w:rPr>
          <w:rFonts w:eastAsia="SimSun" w:cs="Arial"/>
          <w:noProof/>
          <w:vertAlign w:val="superscript"/>
        </w:rPr>
        <w:t>194, 200</w:t>
      </w:r>
      <w:r w:rsidRPr="00BC61C7">
        <w:rPr>
          <w:rFonts w:eastAsia="SimSun" w:cs="Arial"/>
        </w:rPr>
        <w:fldChar w:fldCharType="end"/>
      </w:r>
      <w:r w:rsidRPr="00BC61C7">
        <w:rPr>
          <w:rFonts w:eastAsia="SimSun" w:cs="Arial"/>
        </w:rPr>
        <w:t xml:space="preserve"> </w:t>
      </w:r>
      <w:r>
        <w:rPr>
          <w:rFonts w:eastAsia="SimSun" w:cs="Arial"/>
        </w:rPr>
        <w:t xml:space="preserve">In order to estimate the value of resolving uncertainty in a specific parameter, the EVPPI method estimates the payoff (in QALYs or £) from clinical decision if the parameter of interest was known with certainty compared to the payoff if that parameter remained uncertain. The difference between these two scenarios is the EVPPI. This decomposes the overall upper bound for the value of research into the value of resolving uncertainty in specific parameters </w:t>
      </w:r>
      <w:r w:rsidRPr="00BC61C7">
        <w:rPr>
          <w:rFonts w:eastAsia="SimSun" w:cs="Arial"/>
        </w:rPr>
        <w:t>(or set</w:t>
      </w:r>
      <w:r>
        <w:rPr>
          <w:rFonts w:eastAsia="SimSun" w:cs="Arial"/>
        </w:rPr>
        <w:t>s</w:t>
      </w:r>
      <w:r w:rsidRPr="00BC61C7">
        <w:rPr>
          <w:rFonts w:eastAsia="SimSun" w:cs="Arial"/>
        </w:rPr>
        <w:t xml:space="preserve"> of parameters)</w:t>
      </w:r>
      <w:r>
        <w:rPr>
          <w:rFonts w:eastAsia="SimSun" w:cs="Arial"/>
        </w:rPr>
        <w:t>.</w:t>
      </w:r>
    </w:p>
    <w:p w14:paraId="7F0E9747" w14:textId="28A4130E" w:rsidR="00E54F45" w:rsidRDefault="00E54F45" w:rsidP="00E54F45">
      <w:pPr>
        <w:rPr>
          <w:rFonts w:eastAsia="SimSun" w:cs="Arial"/>
        </w:rPr>
      </w:pPr>
      <w:r>
        <w:rPr>
          <w:rFonts w:eastAsia="SimSun" w:cs="Arial"/>
        </w:rPr>
        <w:t>To illustrate EVPPI analysis using the case study, consider the case in which only information on overall survival (for responders and non-responders) could be collected through CDF arrangements. This may be due to organisational or time constraints. Estimating EVPPI using the Gaussian Process method suggested by Strong and colleagues</w:t>
      </w:r>
      <w:r w:rsidR="006869F1">
        <w:rPr>
          <w:rFonts w:eastAsia="SimSun" w:cs="Arial"/>
        </w:rPr>
        <w:t>,</w:t>
      </w:r>
      <w:r w:rsidR="00CB2733">
        <w:rPr>
          <w:rFonts w:eastAsia="SimSun" w:cs="Arial"/>
        </w:rPr>
        <w:fldChar w:fldCharType="begin"/>
      </w:r>
      <w:r w:rsidR="00054FE8">
        <w:rPr>
          <w:rFonts w:eastAsia="SimSun" w:cs="Arial"/>
        </w:rPr>
        <w:instrText xml:space="preserve"> ADDIN EN.CITE &lt;EndNote&gt;&lt;Cite&gt;&lt;Author&gt;Strong&lt;/Author&gt;&lt;Year&gt;2014&lt;/Year&gt;&lt;RecNum&gt;3494&lt;/RecNum&gt;&lt;DisplayText&gt;&lt;style face="superscript"&gt;200&lt;/style&gt;&lt;/DisplayText&gt;&lt;record&gt;&lt;rec-number&gt;3494&lt;/rec-number&gt;&lt;foreign-keys&gt;&lt;key app="EN" db-id="dwaevxvazfs2f3ewvzmxrd0k0wasw55p2z2w" timestamp="1579606099"&gt;3494&lt;/key&gt;&lt;/foreign-keys&gt;&lt;ref-type name="Journal Article"&gt;17&lt;/ref-type&gt;&lt;contributors&gt;&lt;authors&gt;&lt;author&gt;Strong, M.&lt;/author&gt;&lt;author&gt;Oakley, J. E.&lt;/author&gt;&lt;author&gt;Brennan, A.&lt;/author&gt;&lt;/authors&gt;&lt;/contributors&gt;&lt;auth-address&gt;School of Health and Related Research (ScHARR), University of Sheffield, Sheffield, UK (MS, AB).&amp;#xD;School of Mathematics and Statistics, University of Sheffield, Sheffield,UK (JEO)&lt;/auth-address&gt;&lt;titles&gt;&lt;title&gt;Estimating multiparameter partial expected value of perfect information from a probabilistic sensitivity analysis sample: a nonparametric regression approach&lt;/title&gt;&lt;secondary-title&gt;Med Decis Making&lt;/secondary-title&gt;&lt;/titles&gt;&lt;periodical&gt;&lt;full-title&gt;Medical Decision Making&lt;/full-title&gt;&lt;abbr-1&gt;Med Decis Making&lt;/abbr-1&gt;&lt;/periodical&gt;&lt;pages&gt;311-26&lt;/pages&gt;&lt;volume&gt;34&lt;/volume&gt;&lt;number&gt;3&lt;/number&gt;&lt;edition&gt;2013/11/20&lt;/edition&gt;&lt;keywords&gt;&lt;keyword&gt;Decision Trees&lt;/keyword&gt;&lt;keyword&gt;Monte Carlo Method&lt;/keyword&gt;&lt;keyword&gt;*Probability&lt;/keyword&gt;&lt;keyword&gt;*Statistics, Nonparametric&lt;/keyword&gt;&lt;/keywords&gt;&lt;dates&gt;&lt;year&gt;2014&lt;/year&gt;&lt;pub-dates&gt;&lt;date&gt;Apr&lt;/date&gt;&lt;/pub-dates&gt;&lt;/dates&gt;&lt;isbn&gt;1552-681X (Electronic)&amp;#xD;0272-989X (Linking)&lt;/isbn&gt;&lt;accession-num&gt;24246566&lt;/accession-num&gt;&lt;urls&gt;&lt;/urls&gt;&lt;custom2&gt;4819801&lt;/custom2&gt;&lt;custom4&gt;STEVE&amp;apos;S REFERENCES&lt;/custom4&gt;&lt;electronic-resource-num&gt;0272989X13505910 [pii]&amp;#xD;10.1177/0272989X13505910&lt;/electronic-resource-num&gt;&lt;research-notes&gt;https://www.ncbi.nlm.nih.gov/pubmed/24246566&lt;/research-notes&gt;&lt;language&gt;eng&lt;/language&gt;&lt;/record&gt;&lt;/Cite&gt;&lt;/EndNote&gt;</w:instrText>
      </w:r>
      <w:r w:rsidR="00CB2733">
        <w:rPr>
          <w:rFonts w:eastAsia="SimSun" w:cs="Arial"/>
        </w:rPr>
        <w:fldChar w:fldCharType="separate"/>
      </w:r>
      <w:r w:rsidR="004D5B2B" w:rsidRPr="004D5B2B">
        <w:rPr>
          <w:rFonts w:eastAsia="SimSun" w:cs="Arial"/>
          <w:noProof/>
          <w:vertAlign w:val="superscript"/>
        </w:rPr>
        <w:t>200</w:t>
      </w:r>
      <w:r w:rsidR="00CB2733">
        <w:rPr>
          <w:rFonts w:eastAsia="SimSun" w:cs="Arial"/>
        </w:rPr>
        <w:fldChar w:fldCharType="end"/>
      </w:r>
      <w:r>
        <w:rPr>
          <w:rFonts w:eastAsia="SimSun" w:cs="Arial"/>
        </w:rPr>
        <w:t xml:space="preserve"> t</w:t>
      </w:r>
      <w:r w:rsidRPr="00BC61C7">
        <w:rPr>
          <w:rFonts w:eastAsia="SimSun" w:cs="Arial"/>
        </w:rPr>
        <w:t xml:space="preserve">he upper bound for the </w:t>
      </w:r>
      <w:r>
        <w:rPr>
          <w:rFonts w:eastAsia="SimSun" w:cs="Arial"/>
        </w:rPr>
        <w:t>value of research on overall survival is 12.16 QALYs (</w:t>
      </w:r>
      <w:r w:rsidR="000A0793">
        <w:rPr>
          <w:rFonts w:eastAsia="SimSun" w:cs="Arial"/>
        </w:rPr>
        <w:t>NMB</w:t>
      </w:r>
      <w:r w:rsidR="000A0793">
        <w:rPr>
          <w:rFonts w:eastAsia="SimSun" w:cs="Times New Roman"/>
        </w:rPr>
        <w:t>≈</w:t>
      </w:r>
      <w:r>
        <w:rPr>
          <w:rFonts w:eastAsia="SimSun" w:cs="Arial"/>
        </w:rPr>
        <w:t>£0.6 million) per year</w:t>
      </w:r>
      <w:r w:rsidRPr="00BC61C7">
        <w:rPr>
          <w:rFonts w:eastAsia="SimSun" w:cs="Arial"/>
        </w:rPr>
        <w:t xml:space="preserve">. </w:t>
      </w:r>
      <w:r>
        <w:rPr>
          <w:rFonts w:eastAsia="SimSun" w:cs="Arial"/>
        </w:rPr>
        <w:t xml:space="preserve">This can be compared to </w:t>
      </w:r>
      <w:r w:rsidR="000A0793">
        <w:rPr>
          <w:rFonts w:eastAsia="SimSun" w:cs="Arial"/>
        </w:rPr>
        <w:t>29.52 QALYs per year (NMB</w:t>
      </w:r>
      <w:r w:rsidR="000A0793">
        <w:rPr>
          <w:rFonts w:eastAsia="SimSun" w:cs="Times New Roman"/>
        </w:rPr>
        <w:t>≈</w:t>
      </w:r>
      <w:r w:rsidR="00197B27" w:rsidRPr="00197B27">
        <w:rPr>
          <w:rFonts w:eastAsia="SimSun" w:cs="Arial"/>
        </w:rPr>
        <w:t>£1.48 million</w:t>
      </w:r>
      <w:r w:rsidR="00197B27">
        <w:rPr>
          <w:rFonts w:eastAsia="SimSun" w:cs="Arial"/>
        </w:rPr>
        <w:t>)</w:t>
      </w:r>
      <w:r>
        <w:rPr>
          <w:rFonts w:eastAsia="SimSun" w:cs="Arial"/>
        </w:rPr>
        <w:t xml:space="preserve"> which is the value of resolving the uncertainty associated with all parameters in the model. EVPPI methods provide a more accurate assessment of the risk which can be resolved with particular data collection strategies. This same approach can be applied to any uncertainties which are parameterised in a decision model. As shown earlier, the distribution of histologies in practice can influence the cost</w:t>
      </w:r>
      <w:r w:rsidR="00A16C4D">
        <w:rPr>
          <w:rFonts w:eastAsia="SimSun" w:cs="Arial"/>
        </w:rPr>
        <w:t>-</w:t>
      </w:r>
      <w:r>
        <w:rPr>
          <w:rFonts w:eastAsia="SimSun" w:cs="Arial"/>
        </w:rPr>
        <w:t>effectiveness of Drug X when making histology</w:t>
      </w:r>
      <w:r w:rsidR="00A16C4D">
        <w:rPr>
          <w:rFonts w:eastAsia="SimSun" w:cs="Arial"/>
        </w:rPr>
        <w:t>-</w:t>
      </w:r>
      <w:r>
        <w:rPr>
          <w:rFonts w:eastAsia="SimSun" w:cs="Arial"/>
        </w:rPr>
        <w:t>independent recommendations. If uncertainty about the distribution of histologies can be parameterised</w:t>
      </w:r>
      <w:r w:rsidR="007E6D8C">
        <w:rPr>
          <w:rFonts w:eastAsia="SimSun" w:cs="Arial"/>
        </w:rPr>
        <w:t>,</w:t>
      </w:r>
      <w:r>
        <w:rPr>
          <w:rFonts w:eastAsia="SimSun" w:cs="Arial"/>
        </w:rPr>
        <w:t xml:space="preserve"> then EVPPI methods can be used to understand the value of research to resolve these uncertainties.</w:t>
      </w:r>
    </w:p>
    <w:p w14:paraId="6DCE8609" w14:textId="42012738" w:rsidR="00E54F45" w:rsidRDefault="00E54F45" w:rsidP="00E54F45">
      <w:pPr>
        <w:rPr>
          <w:rFonts w:eastAsia="Times New Roman" w:cs="Times New Roman"/>
        </w:rPr>
      </w:pPr>
      <w:r>
        <w:rPr>
          <w:rFonts w:eastAsia="SimSun" w:cs="Arial"/>
        </w:rPr>
        <w:lastRenderedPageBreak/>
        <w:t xml:space="preserve">These methods can be used to help prioritise data collection. Although the CDF financial resource constraint is softened by the </w:t>
      </w:r>
      <w:r>
        <w:rPr>
          <w:rFonts w:eastAsia="Times New Roman" w:cs="Times New Roman"/>
        </w:rPr>
        <w:t>expenditure control mechanism, the real resources required to coordinate and quality control data collection are limited.</w:t>
      </w:r>
      <w:r w:rsidR="00CB2733">
        <w:rPr>
          <w:rFonts w:eastAsia="Times New Roman" w:cs="Times New Roman"/>
        </w:rPr>
        <w:fldChar w:fldCharType="begin"/>
      </w:r>
      <w:r w:rsidR="004D5B2B">
        <w:rPr>
          <w:rFonts w:eastAsia="Times New Roman" w:cs="Times New Roman"/>
        </w:rPr>
        <w:instrText xml:space="preserve"> ADDIN EN.CITE &lt;EndNote&gt;&lt;Cite&gt;&lt;Author&gt;NHS England Cancer Drugs Fund Team&lt;/Author&gt;&lt;Year&gt;2016&lt;/Year&gt;&lt;RecNum&gt;3583&lt;/RecNum&gt;&lt;DisplayText&gt;&lt;style face="superscript"&gt;196&lt;/style&gt;&lt;/DisplayText&gt;&lt;record&gt;&lt;rec-number&gt;3583&lt;/rec-number&gt;&lt;foreign-keys&gt;&lt;key app="EN" db-id="dwaevxvazfs2f3ewvzmxrd0k0wasw55p2z2w" timestamp="1582191038"&gt;3583&lt;/key&gt;&lt;/foreign-keys&gt;&lt;ref-type name="Report"&gt;27&lt;/ref-type&gt;&lt;contributors&gt;&lt;authors&gt;&lt;author&gt;NHS England Cancer Drugs Fund Team,&lt;/author&gt;&lt;/authors&gt;&lt;/contributors&gt;&lt;titles&gt;&lt;title&gt;Appraisal and Funding of Cancer Drugs from July 2016 (including the new Cancer Drugs Fund): A new deal for patients, taxpayers and industry&lt;/title&gt;&lt;/titles&gt;&lt;dates&gt;&lt;year&gt;2016&lt;/year&gt;&lt;/dates&gt;&lt;pub-location&gt;London&lt;/pub-location&gt;&lt;urls&gt;&lt;related-urls&gt;&lt;url&gt;https://www.england.nhs.uk/publication/cdf-sop-16/&lt;/url&gt;&lt;/related-urls&gt;&lt;/urls&gt;&lt;custom4&gt;STEVE&amp;apos;S REFRENCES&lt;/custom4&gt;&lt;/record&gt;&lt;/Cite&gt;&lt;/EndNote&gt;</w:instrText>
      </w:r>
      <w:r w:rsidR="00CB2733">
        <w:rPr>
          <w:rFonts w:eastAsia="Times New Roman" w:cs="Times New Roman"/>
        </w:rPr>
        <w:fldChar w:fldCharType="separate"/>
      </w:r>
      <w:r w:rsidR="004D5B2B" w:rsidRPr="004D5B2B">
        <w:rPr>
          <w:rFonts w:eastAsia="Times New Roman" w:cs="Times New Roman"/>
          <w:noProof/>
          <w:vertAlign w:val="superscript"/>
        </w:rPr>
        <w:t>196</w:t>
      </w:r>
      <w:r w:rsidR="00CB2733">
        <w:rPr>
          <w:rFonts w:eastAsia="Times New Roman" w:cs="Times New Roman"/>
        </w:rPr>
        <w:fldChar w:fldCharType="end"/>
      </w:r>
      <w:r>
        <w:rPr>
          <w:rFonts w:eastAsia="Times New Roman" w:cs="Times New Roman"/>
        </w:rPr>
        <w:t xml:space="preserve"> </w:t>
      </w:r>
      <w:r>
        <w:rPr>
          <w:rFonts w:eastAsia="SimSun" w:cs="Arial"/>
        </w:rPr>
        <w:t>In the case where high quality data on certain parameters is challenging to collect through the CDF, EVPPI methods can be used to understand the risk which can be resolved by collecting data on th</w:t>
      </w:r>
      <w:r w:rsidR="007E6D8C">
        <w:rPr>
          <w:rFonts w:eastAsia="SimSun" w:cs="Arial"/>
        </w:rPr>
        <w:t>ese</w:t>
      </w:r>
      <w:r>
        <w:rPr>
          <w:rFonts w:eastAsia="SimSun" w:cs="Arial"/>
        </w:rPr>
        <w:t xml:space="preserve"> parameters. This can be used to </w:t>
      </w:r>
      <w:r w:rsidR="00E47834">
        <w:rPr>
          <w:rFonts w:eastAsia="SimSun" w:cs="Arial"/>
        </w:rPr>
        <w:t>determine</w:t>
      </w:r>
      <w:r>
        <w:rPr>
          <w:rFonts w:eastAsia="SimSun" w:cs="Arial"/>
        </w:rPr>
        <w:t xml:space="preserve">: 1) whether there is any value in collecting data on </w:t>
      </w:r>
      <w:r w:rsidR="00E47834">
        <w:rPr>
          <w:rFonts w:eastAsia="SimSun" w:cs="Arial"/>
        </w:rPr>
        <w:t xml:space="preserve">a specific </w:t>
      </w:r>
      <w:r>
        <w:rPr>
          <w:rFonts w:eastAsia="SimSun" w:cs="Arial"/>
        </w:rPr>
        <w:t>parameter; 2) whether the</w:t>
      </w:r>
      <w:r w:rsidR="00E47834">
        <w:rPr>
          <w:rFonts w:eastAsia="SimSun" w:cs="Arial"/>
        </w:rPr>
        <w:t xml:space="preserve"> benefits of the</w:t>
      </w:r>
      <w:r>
        <w:rPr>
          <w:rFonts w:eastAsia="SimSun" w:cs="Arial"/>
        </w:rPr>
        <w:t xml:space="preserve"> additional information is sufficient to justify the </w:t>
      </w:r>
      <w:r w:rsidR="00E47834">
        <w:rPr>
          <w:rFonts w:eastAsia="SimSun" w:cs="Arial"/>
        </w:rPr>
        <w:t xml:space="preserve">additional </w:t>
      </w:r>
      <w:r>
        <w:rPr>
          <w:rFonts w:eastAsia="SimSun" w:cs="Arial"/>
        </w:rPr>
        <w:t>costs</w:t>
      </w:r>
      <w:r w:rsidR="00E47834">
        <w:rPr>
          <w:rFonts w:eastAsia="SimSun" w:cs="Arial"/>
        </w:rPr>
        <w:t xml:space="preserve"> of collecting the data</w:t>
      </w:r>
      <w:r>
        <w:rPr>
          <w:rFonts w:eastAsia="SimSun" w:cs="Arial"/>
        </w:rPr>
        <w:t>; 3) whether other approaches</w:t>
      </w:r>
      <w:r w:rsidR="007E6D8C">
        <w:rPr>
          <w:rFonts w:eastAsia="SimSun" w:cs="Arial"/>
        </w:rPr>
        <w:t xml:space="preserve"> such</w:t>
      </w:r>
      <w:r>
        <w:rPr>
          <w:rFonts w:eastAsia="SimSun" w:cs="Arial"/>
        </w:rPr>
        <w:t xml:space="preserve"> as </w:t>
      </w:r>
      <w:r w:rsidR="00E47834">
        <w:rPr>
          <w:rFonts w:eastAsia="SimSun" w:cs="Arial"/>
        </w:rPr>
        <w:t>pricing schemes</w:t>
      </w:r>
      <w:r>
        <w:rPr>
          <w:rFonts w:eastAsia="SimSun" w:cs="Arial"/>
        </w:rPr>
        <w:t xml:space="preserve"> or stratification would be more appropriate to resolve </w:t>
      </w:r>
      <w:r w:rsidR="007E6D8C">
        <w:rPr>
          <w:rFonts w:eastAsia="SimSun" w:cs="Arial"/>
        </w:rPr>
        <w:t xml:space="preserve">the </w:t>
      </w:r>
      <w:r>
        <w:rPr>
          <w:rFonts w:eastAsia="SimSun" w:cs="Arial"/>
        </w:rPr>
        <w:t>decision risks.</w:t>
      </w:r>
    </w:p>
    <w:p w14:paraId="51CD6958" w14:textId="03FF5B6E" w:rsidR="00E54F45" w:rsidRDefault="00E54F45" w:rsidP="008C3153">
      <w:pPr>
        <w:rPr>
          <w:rFonts w:eastAsia="SimSun" w:cs="Arial"/>
        </w:rPr>
      </w:pPr>
      <w:r w:rsidRPr="00BC61C7">
        <w:rPr>
          <w:rFonts w:eastAsia="SimSun" w:cs="Arial"/>
        </w:rPr>
        <w:t xml:space="preserve">EVPPI </w:t>
      </w:r>
      <w:r>
        <w:rPr>
          <w:rFonts w:eastAsia="SimSun" w:cs="Arial"/>
        </w:rPr>
        <w:t xml:space="preserve">methods are an important extension to VOI analysis in decision making. However, EVPPI </w:t>
      </w:r>
      <w:r w:rsidRPr="00BC61C7">
        <w:rPr>
          <w:rFonts w:eastAsia="SimSun" w:cs="Arial"/>
        </w:rPr>
        <w:t>estimates are still upper bounds for the value of additional research on individual parameters. This is because EVPPI assumes that uncertainty in the parameter of interest is completely resolved</w:t>
      </w:r>
      <w:r w:rsidR="00A16C4D">
        <w:rPr>
          <w:rFonts w:eastAsia="SimSun" w:cs="Arial"/>
        </w:rPr>
        <w:t>,</w:t>
      </w:r>
      <w:r w:rsidRPr="00BC61C7">
        <w:rPr>
          <w:rFonts w:eastAsia="SimSun" w:cs="Arial"/>
        </w:rPr>
        <w:t xml:space="preserve"> i.e. it is the value of research if an infinite sample size was collected. Expected value of sample information (EVSI) methods relax this assumption by assessing the value of commissioning research with finite sample sizes.</w:t>
      </w:r>
      <w:r w:rsidRPr="00BC61C7">
        <w:rPr>
          <w:rFonts w:eastAsia="SimSun" w:cs="Arial"/>
        </w:rPr>
        <w:fldChar w:fldCharType="begin">
          <w:fldData xml:space="preserve">PEVuZE5vdGU+PENpdGU+PEF1dGhvcj5BZGVzPC9BdXRob3I+PFllYXI+MjAwNDwvWWVhcj48UmVj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</w:fldData>
        </w:fldChar>
      </w:r>
      <w:r w:rsidR="00054FE8">
        <w:rPr>
          <w:rFonts w:eastAsia="SimSun" w:cs="Arial"/>
        </w:rPr>
        <w:instrText xml:space="preserve"> ADDIN EN.CITE </w:instrText>
      </w:r>
      <w:r w:rsidR="00054FE8">
        <w:rPr>
          <w:rFonts w:eastAsia="SimSun" w:cs="Arial"/>
        </w:rPr>
        <w:fldChar w:fldCharType="begin">
          <w:fldData xml:space="preserve">PEVuZE5vdGU+PENpdGU+PEF1dGhvcj5BZGVzPC9BdXRob3I+PFllYXI+MjAwNDwvWWVhcj48UmVj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</w:fldData>
        </w:fldChar>
      </w:r>
      <w:r w:rsidR="00054FE8">
        <w:rPr>
          <w:rFonts w:eastAsia="SimSun" w:cs="Arial"/>
        </w:rPr>
        <w:instrText xml:space="preserve"> ADDIN EN.CITE.DATA </w:instrText>
      </w:r>
      <w:r w:rsidR="00054FE8">
        <w:rPr>
          <w:rFonts w:eastAsia="SimSun" w:cs="Arial"/>
        </w:rPr>
      </w:r>
      <w:r w:rsidR="00054FE8">
        <w:rPr>
          <w:rFonts w:eastAsia="SimSun" w:cs="Arial"/>
        </w:rPr>
        <w:fldChar w:fldCharType="end"/>
      </w:r>
      <w:r w:rsidRPr="00BC61C7">
        <w:rPr>
          <w:rFonts w:eastAsia="SimSun" w:cs="Arial"/>
        </w:rPr>
      </w:r>
      <w:r w:rsidRPr="00BC61C7">
        <w:rPr>
          <w:rFonts w:eastAsia="SimSun" w:cs="Arial"/>
        </w:rPr>
        <w:fldChar w:fldCharType="separate"/>
      </w:r>
      <w:r w:rsidR="004D5B2B" w:rsidRPr="004D5B2B">
        <w:rPr>
          <w:rFonts w:eastAsia="SimSun" w:cs="Arial"/>
          <w:noProof/>
          <w:vertAlign w:val="superscript"/>
        </w:rPr>
        <w:t>195, 201, 202</w:t>
      </w:r>
      <w:r w:rsidRPr="00BC61C7">
        <w:rPr>
          <w:rFonts w:eastAsia="SimSun" w:cs="Arial"/>
        </w:rPr>
        <w:fldChar w:fldCharType="end"/>
      </w:r>
      <w:r>
        <w:rPr>
          <w:rFonts w:eastAsia="SimSun" w:cs="Arial"/>
        </w:rPr>
        <w:t xml:space="preserve"> </w:t>
      </w:r>
    </w:p>
    <w:p w14:paraId="06A44365" w14:textId="1BC6BAB0" w:rsidR="00E54F45" w:rsidRDefault="00E54F45" w:rsidP="00E54F45">
      <w:pPr>
        <w:pStyle w:val="Heading3"/>
      </w:pPr>
      <w:bookmarkStart w:id="263" w:name="_Toc33776240"/>
      <w:r>
        <w:t xml:space="preserve">Managing risk through </w:t>
      </w:r>
      <w:r w:rsidR="003D37F7">
        <w:t>pricing schemes</w:t>
      </w:r>
      <w:bookmarkEnd w:id="263"/>
    </w:p>
    <w:p w14:paraId="50063ED3" w14:textId="629D5341" w:rsidR="00B21F40" w:rsidRDefault="00CD39D2" w:rsidP="00E54F45">
      <w:pPr>
        <w:rPr>
          <w:rFonts w:eastAsia="SimSun" w:cs="Arial"/>
        </w:rPr>
      </w:pPr>
      <w:r>
        <w:rPr>
          <w:rFonts w:eastAsia="SimSun" w:cs="Arial"/>
        </w:rPr>
        <w:t xml:space="preserve">The </w:t>
      </w:r>
      <w:r w:rsidR="00B21F40">
        <w:rPr>
          <w:rFonts w:eastAsia="SimSun" w:cs="Arial"/>
        </w:rPr>
        <w:t xml:space="preserve">NICE process allows for </w:t>
      </w:r>
      <w:r w:rsidR="00E47834">
        <w:rPr>
          <w:rFonts w:eastAsia="SimSun" w:cs="Arial"/>
        </w:rPr>
        <w:t xml:space="preserve">consideration of </w:t>
      </w:r>
      <w:r w:rsidR="00B21F40">
        <w:rPr>
          <w:rFonts w:eastAsia="SimSun" w:cs="Arial"/>
        </w:rPr>
        <w:t>a variety of pricing schemes</w:t>
      </w:r>
      <w:r w:rsidR="007E6D8C">
        <w:rPr>
          <w:rFonts w:eastAsia="SimSun" w:cs="Arial"/>
        </w:rPr>
        <w:t xml:space="preserve">, including: </w:t>
      </w:r>
      <w:r w:rsidR="00B21F40">
        <w:rPr>
          <w:rFonts w:eastAsia="SimSun" w:cs="Arial"/>
        </w:rPr>
        <w:t>p</w:t>
      </w:r>
      <w:r w:rsidR="00B21F40" w:rsidRPr="00B21F40">
        <w:rPr>
          <w:rFonts w:eastAsia="SimSun" w:cs="Arial"/>
        </w:rPr>
        <w:t>atient access schemes, commercial access agreements and flexible pricing</w:t>
      </w:r>
      <w:r w:rsidR="00B21F40">
        <w:rPr>
          <w:rFonts w:eastAsia="SimSun" w:cs="Arial"/>
        </w:rPr>
        <w:t>.</w:t>
      </w:r>
      <w:r w:rsidR="00CB2733">
        <w:rPr>
          <w:rFonts w:eastAsia="SimSun" w:cs="Arial"/>
        </w:rPr>
        <w:fldChar w:fldCharType="begin"/>
      </w:r>
      <w:r w:rsidR="004D5B2B">
        <w:rPr>
          <w:rFonts w:eastAsia="SimSun" w:cs="Arial"/>
        </w:rPr>
        <w:instrText xml:space="preserve"> ADDIN EN.CITE &lt;EndNote&gt;&lt;Cite&gt;&lt;Author&gt;National Institute for Health and Care Excellence&lt;/Author&gt;&lt;Year&gt;2018&lt;/Year&gt;&lt;RecNum&gt;3590&lt;/RecNum&gt;&lt;DisplayText&gt;&lt;style face="superscript"&gt;203&lt;/style&gt;&lt;/DisplayText&gt;&lt;record&gt;&lt;rec-number&gt;3590&lt;/rec-number&gt;&lt;foreign-keys&gt;&lt;key app="EN" db-id="dwaevxvazfs2f3ewvzmxrd0k0wasw55p2z2w" timestamp="1582192375"&gt;3590&lt;/key&gt;&lt;/foreign-keys&gt;&lt;ref-type name="Report"&gt;27&lt;/ref-type&gt;&lt;contributors&gt;&lt;authors&gt;&lt;author&gt;National Institute for Health and Care Excellence,&lt;/author&gt;&lt;/authors&gt;&lt;/contributors&gt;&lt;titles&gt;&lt;title&gt;Guide to the processes of technology appraisal &lt;/title&gt;&lt;secondary-title&gt;Process and methods&lt;/secondary-title&gt;&lt;/titles&gt;&lt;num-vols&gt;PMG19&lt;/num-vols&gt;&lt;dates&gt;&lt;year&gt;2018&lt;/year&gt;&lt;/dates&gt;&lt;publisher&gt;NICE&lt;/publisher&gt;&lt;urls&gt;&lt;related-urls&gt;&lt;url&gt;https://www.nice.org.uk/process/pmg19/resources/guide-to-the-processes-of-technology-appraisal-pdf-72286663351237&lt;/url&gt;&lt;/related-urls&gt;&lt;/urls&gt;&lt;custom4&gt;STEVE&amp;apos;S REFRENCES&lt;/custom4&gt;&lt;/record&gt;&lt;/Cite&gt;&lt;/EndNote&gt;</w:instrText>
      </w:r>
      <w:r w:rsidR="00CB2733">
        <w:rPr>
          <w:rFonts w:eastAsia="SimSun" w:cs="Arial"/>
        </w:rPr>
        <w:fldChar w:fldCharType="separate"/>
      </w:r>
      <w:r w:rsidR="004D5B2B" w:rsidRPr="004D5B2B">
        <w:rPr>
          <w:rFonts w:eastAsia="SimSun" w:cs="Arial"/>
          <w:noProof/>
          <w:vertAlign w:val="superscript"/>
        </w:rPr>
        <w:t>203</w:t>
      </w:r>
      <w:r w:rsidR="00CB2733">
        <w:rPr>
          <w:rFonts w:eastAsia="SimSun" w:cs="Arial"/>
        </w:rPr>
        <w:fldChar w:fldCharType="end"/>
      </w:r>
      <w:r w:rsidR="00B21F40">
        <w:rPr>
          <w:rFonts w:eastAsia="SimSun" w:cs="Arial"/>
        </w:rPr>
        <w:t xml:space="preserve"> These schemes can facilitate pricing arrangements </w:t>
      </w:r>
      <w:r w:rsidR="008D5879">
        <w:rPr>
          <w:rFonts w:eastAsia="SimSun" w:cs="Arial"/>
        </w:rPr>
        <w:t>such as</w:t>
      </w:r>
      <w:r w:rsidR="00B21F40">
        <w:rPr>
          <w:rFonts w:eastAsia="SimSun" w:cs="Arial"/>
        </w:rPr>
        <w:t xml:space="preserve"> </w:t>
      </w:r>
      <w:r w:rsidR="008D5879">
        <w:rPr>
          <w:rFonts w:eastAsia="SimSun" w:cs="Arial"/>
        </w:rPr>
        <w:t xml:space="preserve">simple </w:t>
      </w:r>
      <w:r w:rsidR="00B21F40">
        <w:rPr>
          <w:rFonts w:eastAsia="SimSun" w:cs="Arial"/>
        </w:rPr>
        <w:t>discounts</w:t>
      </w:r>
      <w:r w:rsidR="008D5879">
        <w:rPr>
          <w:rFonts w:eastAsia="SimSun" w:cs="Arial"/>
        </w:rPr>
        <w:t xml:space="preserve"> or </w:t>
      </w:r>
      <w:r w:rsidR="008D5879" w:rsidRPr="008D5879">
        <w:rPr>
          <w:rFonts w:eastAsia="SimSun" w:cs="Arial"/>
        </w:rPr>
        <w:t xml:space="preserve">more complex </w:t>
      </w:r>
      <w:r w:rsidR="00A16C4D">
        <w:rPr>
          <w:rFonts w:eastAsia="SimSun" w:cs="Arial"/>
        </w:rPr>
        <w:t>‘</w:t>
      </w:r>
      <w:r w:rsidR="00766295">
        <w:rPr>
          <w:rFonts w:eastAsia="SimSun" w:cs="Arial"/>
        </w:rPr>
        <w:t>pay-for-</w:t>
      </w:r>
      <w:r w:rsidR="008D5879" w:rsidRPr="008D5879">
        <w:rPr>
          <w:rFonts w:eastAsia="SimSun" w:cs="Arial"/>
        </w:rPr>
        <w:t>performance</w:t>
      </w:r>
      <w:r w:rsidR="00A16C4D">
        <w:rPr>
          <w:rFonts w:eastAsia="SimSun" w:cs="Arial"/>
        </w:rPr>
        <w:t>’</w:t>
      </w:r>
      <w:r w:rsidR="008D5879" w:rsidRPr="008D5879">
        <w:rPr>
          <w:rFonts w:eastAsia="SimSun" w:cs="Arial"/>
        </w:rPr>
        <w:t xml:space="preserve"> arrangements</w:t>
      </w:r>
      <w:r w:rsidR="008D5879">
        <w:rPr>
          <w:rFonts w:eastAsia="SimSun" w:cs="Arial"/>
        </w:rPr>
        <w:t>.</w:t>
      </w:r>
      <w:r w:rsidR="00B21F40">
        <w:rPr>
          <w:rFonts w:eastAsia="SimSun" w:cs="Arial"/>
        </w:rPr>
        <w:t xml:space="preserve"> </w:t>
      </w:r>
      <w:r w:rsidR="008D5879">
        <w:rPr>
          <w:rFonts w:eastAsia="SimSun" w:cs="Arial"/>
        </w:rPr>
        <w:t xml:space="preserve">In this section we illustrate the effect of a simple discount </w:t>
      </w:r>
      <w:r w:rsidR="00766295">
        <w:rPr>
          <w:rFonts w:eastAsia="SimSun" w:cs="Arial"/>
        </w:rPr>
        <w:t>and a pay-for-</w:t>
      </w:r>
      <w:r w:rsidR="00E746EF">
        <w:rPr>
          <w:rFonts w:eastAsia="SimSun" w:cs="Arial"/>
        </w:rPr>
        <w:t xml:space="preserve">performance scheme </w:t>
      </w:r>
      <w:r w:rsidR="008D5879">
        <w:rPr>
          <w:rFonts w:eastAsia="SimSun" w:cs="Arial"/>
        </w:rPr>
        <w:t xml:space="preserve">on uncertainty and </w:t>
      </w:r>
      <w:r w:rsidR="00DF5225">
        <w:rPr>
          <w:rFonts w:eastAsia="SimSun" w:cs="Arial"/>
        </w:rPr>
        <w:t xml:space="preserve">the expected </w:t>
      </w:r>
      <w:r w:rsidR="008D5879">
        <w:rPr>
          <w:rFonts w:eastAsia="SimSun" w:cs="Arial"/>
        </w:rPr>
        <w:t>value</w:t>
      </w:r>
      <w:r w:rsidR="00DF5225">
        <w:rPr>
          <w:rFonts w:eastAsia="SimSun" w:cs="Arial"/>
        </w:rPr>
        <w:t xml:space="preserve"> of a technology.</w:t>
      </w:r>
    </w:p>
    <w:p w14:paraId="3D127418" w14:textId="0F554059" w:rsidR="0016126B" w:rsidRDefault="00B21F40" w:rsidP="008C3153">
      <w:pPr>
        <w:rPr>
          <w:rFonts w:eastAsia="SimSun" w:cs="Arial"/>
        </w:rPr>
      </w:pPr>
      <w:r>
        <w:rPr>
          <w:rFonts w:eastAsia="SimSun" w:cs="Arial"/>
        </w:rPr>
        <w:t>Simple discounts</w:t>
      </w:r>
      <w:r w:rsidR="00676707">
        <w:rPr>
          <w:rFonts w:eastAsia="SimSun" w:cs="Arial"/>
        </w:rPr>
        <w:t xml:space="preserve"> have been identified in previous research as an </w:t>
      </w:r>
      <w:r>
        <w:rPr>
          <w:rFonts w:eastAsia="SimSun" w:cs="Arial"/>
        </w:rPr>
        <w:t xml:space="preserve">effective </w:t>
      </w:r>
      <w:r w:rsidR="00676707">
        <w:rPr>
          <w:rFonts w:eastAsia="SimSun" w:cs="Arial"/>
        </w:rPr>
        <w:t xml:space="preserve">approach for payers to </w:t>
      </w:r>
      <w:r w:rsidR="00E54F45">
        <w:rPr>
          <w:rFonts w:eastAsia="SimSun" w:cs="Arial"/>
        </w:rPr>
        <w:t xml:space="preserve">reduce the risk of approving technologies which are not </w:t>
      </w:r>
      <w:r w:rsidR="009D6CA1">
        <w:rPr>
          <w:rFonts w:eastAsia="SimSun" w:cs="Arial"/>
        </w:rPr>
        <w:t>cost-effective</w:t>
      </w:r>
      <w:r w:rsidR="00E54F45">
        <w:rPr>
          <w:rFonts w:eastAsia="SimSun" w:cs="Arial"/>
        </w:rPr>
        <w:t>.</w:t>
      </w:r>
      <w:r w:rsidR="00CB2733">
        <w:rPr>
          <w:rFonts w:eastAsia="SimSun" w:cs="Arial"/>
        </w:rPr>
        <w:fldChar w:fldCharType="begin">
          <w:fldData xml:space="preserve">PEVuZE5vdGU+PENpdGU+PEF1dGhvcj5HcmltbTwvQXV0aG9yPjxZZWFyPjIwMTY8L1llYXI+PFJl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PEVuZE5vdGU+PENpdGU+PEF1dGhvcj5HcmltbTwvQXV0aG9yPjxZZWFyPjIwMTY8L1llYXI+PFJl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191, 192, 197</w:t>
      </w:r>
      <w:r w:rsidR="00CB2733">
        <w:rPr>
          <w:rFonts w:eastAsia="SimSun" w:cs="Arial"/>
        </w:rPr>
        <w:fldChar w:fldCharType="end"/>
      </w:r>
      <w:r w:rsidR="00E54F45">
        <w:rPr>
          <w:rFonts w:eastAsia="SimSun" w:cs="Arial"/>
        </w:rPr>
        <w:t xml:space="preserve"> Reducing price of a technology which is expected to be </w:t>
      </w:r>
      <w:r w:rsidR="009D6CA1">
        <w:rPr>
          <w:rFonts w:eastAsia="SimSun" w:cs="Arial"/>
        </w:rPr>
        <w:t>cost-effective</w:t>
      </w:r>
      <w:r w:rsidR="00E54F45">
        <w:rPr>
          <w:rFonts w:eastAsia="SimSun" w:cs="Arial"/>
        </w:rPr>
        <w:t xml:space="preserve"> has two implications: 1) the value of implementing the technology will increase due to the resources saved</w:t>
      </w:r>
      <w:r w:rsidR="006D0C94">
        <w:rPr>
          <w:rFonts w:eastAsia="SimSun" w:cs="Arial"/>
        </w:rPr>
        <w:t>;</w:t>
      </w:r>
      <w:r w:rsidR="00E54F45">
        <w:rPr>
          <w:rFonts w:eastAsia="SimSun" w:cs="Arial"/>
        </w:rPr>
        <w:t xml:space="preserve"> 2) the risk of the technology not being</w:t>
      </w:r>
      <w:r w:rsidR="00E746EF">
        <w:rPr>
          <w:rFonts w:eastAsia="SimSun" w:cs="Arial"/>
        </w:rPr>
        <w:t xml:space="preserve"> </w:t>
      </w:r>
      <w:r w:rsidR="009D6CA1">
        <w:rPr>
          <w:rFonts w:eastAsia="SimSun" w:cs="Arial"/>
        </w:rPr>
        <w:t>cost-effective</w:t>
      </w:r>
      <w:r w:rsidR="00E746EF">
        <w:rPr>
          <w:rFonts w:eastAsia="SimSun" w:cs="Arial"/>
        </w:rPr>
        <w:t xml:space="preserve"> will decrease. </w:t>
      </w:r>
      <w:r w:rsidR="00E54F45">
        <w:rPr>
          <w:rFonts w:eastAsia="SimSun" w:cs="Arial"/>
        </w:rPr>
        <w:t xml:space="preserve">Under the current </w:t>
      </w:r>
      <w:r w:rsidR="00E54F45" w:rsidRPr="00DB05E8">
        <w:rPr>
          <w:rFonts w:eastAsia="SimSun" w:cs="Arial"/>
        </w:rPr>
        <w:t>price</w:t>
      </w:r>
      <w:r w:rsidR="00E746EF" w:rsidRPr="00DB05E8">
        <w:rPr>
          <w:rFonts w:eastAsia="SimSun" w:cs="Arial"/>
        </w:rPr>
        <w:t xml:space="preserve"> (£1,250</w:t>
      </w:r>
      <w:r w:rsidR="00DB05E8" w:rsidRPr="00DB05E8">
        <w:rPr>
          <w:rFonts w:eastAsia="SimSun" w:cs="Arial"/>
        </w:rPr>
        <w:t xml:space="preserve"> per</w:t>
      </w:r>
      <w:r w:rsidR="00DB05E8">
        <w:rPr>
          <w:rFonts w:eastAsia="SimSun" w:cs="Arial"/>
        </w:rPr>
        <w:t xml:space="preserve"> month</w:t>
      </w:r>
      <w:r w:rsidR="00E746EF">
        <w:rPr>
          <w:rFonts w:eastAsia="SimSun" w:cs="Arial"/>
        </w:rPr>
        <w:t>)</w:t>
      </w:r>
      <w:r w:rsidR="00E54F45">
        <w:rPr>
          <w:rFonts w:eastAsia="SimSun" w:cs="Arial"/>
        </w:rPr>
        <w:t>, a histology</w:t>
      </w:r>
      <w:r w:rsidR="00FD3AF1">
        <w:rPr>
          <w:rFonts w:eastAsia="SimSun" w:cs="Arial"/>
        </w:rPr>
        <w:t>-</w:t>
      </w:r>
      <w:r w:rsidR="00E54F45">
        <w:rPr>
          <w:rFonts w:eastAsia="SimSun" w:cs="Arial"/>
        </w:rPr>
        <w:t>independent recommendation for Drug X is expected to result in 5.79 additional QALYs per year. However, due to uncertainty in parameters there is a</w:t>
      </w:r>
      <w:r w:rsidR="00DF5225">
        <w:rPr>
          <w:rFonts w:eastAsia="SimSun" w:cs="Arial"/>
        </w:rPr>
        <w:t>lso a</w:t>
      </w:r>
      <w:r w:rsidR="00E54F45">
        <w:rPr>
          <w:rFonts w:eastAsia="SimSun" w:cs="Arial"/>
        </w:rPr>
        <w:t xml:space="preserve"> 48% chance that Drug X is not </w:t>
      </w:r>
      <w:r w:rsidR="009D6CA1">
        <w:rPr>
          <w:rFonts w:eastAsia="SimSun" w:cs="Arial"/>
        </w:rPr>
        <w:t>cost-effective</w:t>
      </w:r>
      <w:r w:rsidR="00E54F45">
        <w:rPr>
          <w:rFonts w:eastAsia="SimSun" w:cs="Arial"/>
        </w:rPr>
        <w:t>. As shown previously, the expected health consequences of this uncertainty have been estimat</w:t>
      </w:r>
      <w:r w:rsidR="00E746EF">
        <w:rPr>
          <w:rFonts w:eastAsia="SimSun" w:cs="Arial"/>
        </w:rPr>
        <w:t xml:space="preserve">ed to be 29.52 QALYs per year. </w:t>
      </w:r>
    </w:p>
    <w:p w14:paraId="5EC4558B" w14:textId="3A1E7244" w:rsidR="00E54F45" w:rsidRDefault="00E54F45" w:rsidP="008C3153">
      <w:pPr>
        <w:rPr>
          <w:rFonts w:eastAsia="SimSun" w:cs="Arial"/>
        </w:rPr>
      </w:pPr>
      <w:r>
        <w:rPr>
          <w:rFonts w:eastAsia="SimSun" w:cs="Arial"/>
        </w:rPr>
        <w:t xml:space="preserve">With a 10% </w:t>
      </w:r>
      <w:r w:rsidR="00E746EF">
        <w:rPr>
          <w:rFonts w:eastAsia="SimSun" w:cs="Arial"/>
        </w:rPr>
        <w:t xml:space="preserve">simple </w:t>
      </w:r>
      <w:r>
        <w:rPr>
          <w:rFonts w:eastAsia="SimSun" w:cs="Arial"/>
        </w:rPr>
        <w:t>discount</w:t>
      </w:r>
      <w:r w:rsidR="00DB05E8">
        <w:rPr>
          <w:rFonts w:eastAsia="SimSun" w:cs="Arial"/>
        </w:rPr>
        <w:t xml:space="preserve"> (£1,125</w:t>
      </w:r>
      <w:r w:rsidR="00DB05E8" w:rsidRPr="00DB05E8">
        <w:rPr>
          <w:rFonts w:eastAsia="SimSun" w:cs="Arial"/>
        </w:rPr>
        <w:t xml:space="preserve"> per month)</w:t>
      </w:r>
      <w:r w:rsidR="006D0C94">
        <w:rPr>
          <w:rFonts w:eastAsia="SimSun" w:cs="Arial"/>
        </w:rPr>
        <w:t>,</w:t>
      </w:r>
      <w:r>
        <w:rPr>
          <w:rFonts w:eastAsia="SimSun" w:cs="Arial"/>
        </w:rPr>
        <w:t xml:space="preserve"> the </w:t>
      </w:r>
      <w:r w:rsidR="00DF5225">
        <w:rPr>
          <w:rFonts w:eastAsia="SimSun" w:cs="Arial"/>
        </w:rPr>
        <w:t>expected value of</w:t>
      </w:r>
      <w:r>
        <w:rPr>
          <w:rFonts w:eastAsia="SimSun" w:cs="Arial"/>
        </w:rPr>
        <w:t xml:space="preserve"> Drug X is estimated to increase to 21.4 QALYs per year. Furthermore, the risk of Drug X not being </w:t>
      </w:r>
      <w:r w:rsidR="009D6CA1">
        <w:rPr>
          <w:rFonts w:eastAsia="SimSun" w:cs="Arial"/>
        </w:rPr>
        <w:t>cost-effective</w:t>
      </w:r>
      <w:r>
        <w:rPr>
          <w:rFonts w:eastAsia="SimSun" w:cs="Arial"/>
        </w:rPr>
        <w:t xml:space="preserve"> is </w:t>
      </w:r>
      <w:r w:rsidR="00DF5225">
        <w:rPr>
          <w:rFonts w:eastAsia="SimSun" w:cs="Arial"/>
        </w:rPr>
        <w:t>reduced</w:t>
      </w:r>
      <w:r>
        <w:rPr>
          <w:rFonts w:eastAsia="SimSun" w:cs="Arial"/>
        </w:rPr>
        <w:t xml:space="preserve"> to 42%. The potentially negative health consequences associated with the uncertainty are reduce</w:t>
      </w:r>
      <w:r w:rsidR="00DF5225">
        <w:rPr>
          <w:rFonts w:eastAsia="SimSun" w:cs="Arial"/>
        </w:rPr>
        <w:t>d</w:t>
      </w:r>
      <w:r>
        <w:rPr>
          <w:rFonts w:eastAsia="SimSun" w:cs="Arial"/>
        </w:rPr>
        <w:t xml:space="preserve"> to 23.91 QALYs per year (a reduction in risk of 5.61 QALYs). </w:t>
      </w:r>
      <w:r w:rsidR="00766295">
        <w:rPr>
          <w:rFonts w:eastAsia="SimSun" w:cs="Arial"/>
        </w:rPr>
        <w:t xml:space="preserve">A 20% simple discount (£1,000 per </w:t>
      </w:r>
      <w:r w:rsidR="00766295">
        <w:rPr>
          <w:rFonts w:eastAsia="SimSun" w:cs="Arial"/>
        </w:rPr>
        <w:lastRenderedPageBreak/>
        <w:t xml:space="preserve">month) increases the </w:t>
      </w:r>
      <w:r w:rsidR="00DF5225">
        <w:rPr>
          <w:rFonts w:eastAsia="SimSun" w:cs="Arial"/>
        </w:rPr>
        <w:t xml:space="preserve">expected value </w:t>
      </w:r>
      <w:r w:rsidR="00766295">
        <w:rPr>
          <w:rFonts w:eastAsia="SimSun" w:cs="Arial"/>
        </w:rPr>
        <w:t>to 30.04 QALYs per year and reduce</w:t>
      </w:r>
      <w:r w:rsidR="00A97C7A">
        <w:rPr>
          <w:rFonts w:eastAsia="SimSun" w:cs="Arial"/>
        </w:rPr>
        <w:t>s</w:t>
      </w:r>
      <w:r w:rsidR="00766295">
        <w:rPr>
          <w:rFonts w:eastAsia="SimSun" w:cs="Arial"/>
        </w:rPr>
        <w:t xml:space="preserve"> the </w:t>
      </w:r>
      <w:r w:rsidR="00DF5225">
        <w:rPr>
          <w:rFonts w:eastAsia="SimSun" w:cs="Arial"/>
        </w:rPr>
        <w:t>consequences of uncertainty</w:t>
      </w:r>
      <w:r w:rsidR="00766295">
        <w:rPr>
          <w:rFonts w:eastAsia="SimSun" w:cs="Arial"/>
        </w:rPr>
        <w:t xml:space="preserve"> to 21.3 QALYs per year</w:t>
      </w:r>
      <w:r w:rsidR="000A0793">
        <w:rPr>
          <w:rFonts w:eastAsia="SimSun" w:cs="Arial"/>
        </w:rPr>
        <w:t xml:space="preserve"> (a reduction in risk of 8.22 QALYs)</w:t>
      </w:r>
      <w:r w:rsidR="00766295">
        <w:rPr>
          <w:rFonts w:eastAsia="SimSun" w:cs="Arial"/>
        </w:rPr>
        <w:t>.</w:t>
      </w:r>
    </w:p>
    <w:p w14:paraId="4DC73177" w14:textId="7AF3CE7E" w:rsidR="00E746EF" w:rsidRDefault="00E746EF" w:rsidP="008C3153">
      <w:pPr>
        <w:rPr>
          <w:rFonts w:eastAsia="SimSun" w:cs="Arial"/>
        </w:rPr>
      </w:pPr>
      <w:r>
        <w:rPr>
          <w:rFonts w:eastAsia="SimSun" w:cs="Arial"/>
        </w:rPr>
        <w:t>To illustrate the use of more complex pr</w:t>
      </w:r>
      <w:r w:rsidR="00B455E0">
        <w:rPr>
          <w:rFonts w:eastAsia="SimSun" w:cs="Arial"/>
        </w:rPr>
        <w:t>i</w:t>
      </w:r>
      <w:r>
        <w:rPr>
          <w:rFonts w:eastAsia="SimSun" w:cs="Arial"/>
        </w:rPr>
        <w:t>ci</w:t>
      </w:r>
      <w:r w:rsidR="00766295">
        <w:rPr>
          <w:rFonts w:eastAsia="SimSun" w:cs="Arial"/>
        </w:rPr>
        <w:t>ng schemes</w:t>
      </w:r>
      <w:r w:rsidR="00DF5225">
        <w:rPr>
          <w:rFonts w:eastAsia="SimSun" w:cs="Arial"/>
        </w:rPr>
        <w:t>,</w:t>
      </w:r>
      <w:r w:rsidR="00766295">
        <w:rPr>
          <w:rFonts w:eastAsia="SimSun" w:cs="Arial"/>
        </w:rPr>
        <w:t xml:space="preserve"> we</w:t>
      </w:r>
      <w:r w:rsidR="007E6D8C">
        <w:rPr>
          <w:rFonts w:eastAsia="SimSun" w:cs="Arial"/>
        </w:rPr>
        <w:t xml:space="preserve"> also</w:t>
      </w:r>
      <w:r w:rsidR="00766295">
        <w:rPr>
          <w:rFonts w:eastAsia="SimSun" w:cs="Arial"/>
        </w:rPr>
        <w:t xml:space="preserve"> implemented a pay-for-</w:t>
      </w:r>
      <w:r>
        <w:rPr>
          <w:rFonts w:eastAsia="SimSun" w:cs="Arial"/>
        </w:rPr>
        <w:t xml:space="preserve">performance scheme. In this scenario the undiscounted cost of Drug </w:t>
      </w:r>
      <w:r w:rsidRPr="00DB05E8">
        <w:rPr>
          <w:rFonts w:eastAsia="SimSun" w:cs="Arial"/>
        </w:rPr>
        <w:t>X (£1,250</w:t>
      </w:r>
      <w:r w:rsidR="00DB05E8" w:rsidRPr="00DB05E8">
        <w:rPr>
          <w:rFonts w:eastAsia="SimSun" w:cs="Arial"/>
        </w:rPr>
        <w:t xml:space="preserve"> per</w:t>
      </w:r>
      <w:r w:rsidR="00DB05E8">
        <w:rPr>
          <w:rFonts w:eastAsia="SimSun" w:cs="Arial"/>
        </w:rPr>
        <w:t xml:space="preserve"> month</w:t>
      </w:r>
      <w:r>
        <w:rPr>
          <w:rFonts w:eastAsia="SimSun" w:cs="Arial"/>
        </w:rPr>
        <w:t xml:space="preserve">) is only </w:t>
      </w:r>
      <w:r w:rsidR="0016126B">
        <w:rPr>
          <w:rFonts w:eastAsia="SimSun" w:cs="Arial"/>
        </w:rPr>
        <w:t>incurred</w:t>
      </w:r>
      <w:r>
        <w:rPr>
          <w:rFonts w:eastAsia="SimSun" w:cs="Arial"/>
        </w:rPr>
        <w:t xml:space="preserve"> </w:t>
      </w:r>
      <w:r w:rsidR="00D50CAF">
        <w:rPr>
          <w:rFonts w:eastAsia="SimSun" w:cs="Arial"/>
        </w:rPr>
        <w:t>if a patient responds to trea</w:t>
      </w:r>
      <w:r w:rsidR="0016126B">
        <w:rPr>
          <w:rFonts w:eastAsia="SimSun" w:cs="Arial"/>
        </w:rPr>
        <w:t>tment</w:t>
      </w:r>
      <w:r w:rsidR="00D50CAF">
        <w:rPr>
          <w:rFonts w:eastAsia="SimSun" w:cs="Arial"/>
        </w:rPr>
        <w:t xml:space="preserve">. This has two impacts on </w:t>
      </w:r>
      <w:r w:rsidR="00766295">
        <w:rPr>
          <w:rFonts w:eastAsia="SimSun" w:cs="Arial"/>
        </w:rPr>
        <w:t xml:space="preserve">risk and </w:t>
      </w:r>
      <w:r w:rsidR="009D6CA1">
        <w:rPr>
          <w:rFonts w:eastAsia="SimSun" w:cs="Arial"/>
        </w:rPr>
        <w:t>cost-effective</w:t>
      </w:r>
      <w:r w:rsidR="00D50CAF">
        <w:rPr>
          <w:rFonts w:eastAsia="SimSun" w:cs="Arial"/>
        </w:rPr>
        <w:t>ness. First, this</w:t>
      </w:r>
      <w:r w:rsidR="007A5193">
        <w:rPr>
          <w:rFonts w:eastAsia="SimSun" w:cs="Arial"/>
        </w:rPr>
        <w:t xml:space="preserve"> acts in a similar manner to a price discount</w:t>
      </w:r>
      <w:r w:rsidR="00D50CAF">
        <w:rPr>
          <w:rFonts w:eastAsia="SimSun" w:cs="Arial"/>
        </w:rPr>
        <w:t xml:space="preserve"> because </w:t>
      </w:r>
      <w:r w:rsidR="007A5193">
        <w:rPr>
          <w:rFonts w:eastAsia="SimSun" w:cs="Arial"/>
        </w:rPr>
        <w:t xml:space="preserve">the </w:t>
      </w:r>
      <w:r w:rsidR="00784F1D">
        <w:rPr>
          <w:rFonts w:eastAsia="SimSun" w:cs="Arial"/>
        </w:rPr>
        <w:t xml:space="preserve">average </w:t>
      </w:r>
      <w:r w:rsidR="00320B54">
        <w:rPr>
          <w:rFonts w:eastAsia="SimSun" w:cs="Arial"/>
        </w:rPr>
        <w:t xml:space="preserve">response is </w:t>
      </w:r>
      <w:r w:rsidR="00784F1D">
        <w:rPr>
          <w:rFonts w:eastAsia="SimSun" w:cs="Arial"/>
        </w:rPr>
        <w:t>expected to be approximately 60% according to the BHM</w:t>
      </w:r>
      <w:r w:rsidR="007A5193">
        <w:rPr>
          <w:rFonts w:eastAsia="SimSun" w:cs="Arial"/>
        </w:rPr>
        <w:t xml:space="preserve"> (i.e. reducing the effective price by 40%)</w:t>
      </w:r>
      <w:r w:rsidR="00320B54">
        <w:rPr>
          <w:rFonts w:eastAsia="SimSun" w:cs="Arial"/>
        </w:rPr>
        <w:t xml:space="preserve">. Second, the </w:t>
      </w:r>
      <w:r w:rsidR="00766295">
        <w:rPr>
          <w:rFonts w:eastAsia="SimSun" w:cs="Arial"/>
        </w:rPr>
        <w:t xml:space="preserve">risk associated with Drug X </w:t>
      </w:r>
      <w:r w:rsidR="007A5193">
        <w:rPr>
          <w:rFonts w:eastAsia="SimSun" w:cs="Arial"/>
        </w:rPr>
        <w:t>not resulting in</w:t>
      </w:r>
      <w:r w:rsidR="00766295">
        <w:rPr>
          <w:rFonts w:eastAsia="SimSun" w:cs="Arial"/>
        </w:rPr>
        <w:t xml:space="preserve"> the expected </w:t>
      </w:r>
      <w:r w:rsidR="007A5193">
        <w:rPr>
          <w:rFonts w:eastAsia="SimSun" w:cs="Arial"/>
        </w:rPr>
        <w:t>outcomes</w:t>
      </w:r>
      <w:r w:rsidR="00766295">
        <w:rPr>
          <w:rFonts w:eastAsia="SimSun" w:cs="Arial"/>
        </w:rPr>
        <w:t xml:space="preserve"> </w:t>
      </w:r>
      <w:r w:rsidR="00320B54">
        <w:rPr>
          <w:rFonts w:eastAsia="SimSun" w:cs="Arial"/>
        </w:rPr>
        <w:t xml:space="preserve">is now shifted from the payer to the </w:t>
      </w:r>
      <w:r w:rsidR="007A5193">
        <w:rPr>
          <w:rFonts w:eastAsia="SimSun" w:cs="Arial"/>
        </w:rPr>
        <w:t>company</w:t>
      </w:r>
      <w:r w:rsidR="00320B54">
        <w:rPr>
          <w:rFonts w:eastAsia="SimSun" w:cs="Arial"/>
        </w:rPr>
        <w:t>.</w:t>
      </w:r>
      <w:r w:rsidR="00CB2733">
        <w:rPr>
          <w:rFonts w:eastAsia="SimSun" w:cs="Arial"/>
        </w:rPr>
        <w:fldChar w:fldCharType="begin">
          <w:fldData xml:space="preserve">PEVuZE5vdGU+PENpdGU+PEF1dGhvcj5IZXR0bGU8L0F1dGhvcj48WWVhcj4yMDE3PC9ZZWFyPjxS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PEVuZE5vdGU+PENpdGU+PEF1dGhvcj5IZXR0bGU8L0F1dGhvcj48WWVhcj4yMDE3PC9ZZWFyPjxS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192</w:t>
      </w:r>
      <w:r w:rsidR="00CB2733">
        <w:rPr>
          <w:rFonts w:eastAsia="SimSun" w:cs="Arial"/>
        </w:rPr>
        <w:fldChar w:fldCharType="end"/>
      </w:r>
      <w:r w:rsidR="00320B54">
        <w:rPr>
          <w:rFonts w:eastAsia="SimSun" w:cs="Arial"/>
        </w:rPr>
        <w:t xml:space="preserve"> </w:t>
      </w:r>
      <w:r w:rsidR="007A5193">
        <w:rPr>
          <w:rFonts w:eastAsia="SimSun" w:cs="Arial"/>
        </w:rPr>
        <w:t>These</w:t>
      </w:r>
      <w:r w:rsidR="005D59F6">
        <w:rPr>
          <w:rFonts w:eastAsia="SimSun" w:cs="Arial"/>
        </w:rPr>
        <w:t xml:space="preserve"> two</w:t>
      </w:r>
      <w:r w:rsidR="007A5193">
        <w:rPr>
          <w:rFonts w:eastAsia="SimSun" w:cs="Arial"/>
        </w:rPr>
        <w:t xml:space="preserve"> impacts </w:t>
      </w:r>
      <w:r w:rsidR="00766295">
        <w:rPr>
          <w:rFonts w:eastAsia="SimSun" w:cs="Arial"/>
        </w:rPr>
        <w:t>reduce the health consequences of uncertainty</w:t>
      </w:r>
      <w:r w:rsidR="007A5193">
        <w:rPr>
          <w:rFonts w:eastAsia="SimSun" w:cs="Arial"/>
        </w:rPr>
        <w:t xml:space="preserve"> to the health system</w:t>
      </w:r>
      <w:r w:rsidR="00766295">
        <w:rPr>
          <w:rFonts w:eastAsia="SimSun" w:cs="Arial"/>
        </w:rPr>
        <w:t xml:space="preserve">. With this </w:t>
      </w:r>
      <w:r w:rsidR="005D59F6">
        <w:rPr>
          <w:rFonts w:eastAsia="SimSun" w:cs="Arial"/>
        </w:rPr>
        <w:t xml:space="preserve">pricing </w:t>
      </w:r>
      <w:r w:rsidR="00766295">
        <w:rPr>
          <w:rFonts w:eastAsia="SimSun" w:cs="Arial"/>
        </w:rPr>
        <w:t>scheme</w:t>
      </w:r>
      <w:r w:rsidR="0016126B">
        <w:rPr>
          <w:rFonts w:eastAsia="SimSun" w:cs="Arial"/>
        </w:rPr>
        <w:t>,</w:t>
      </w:r>
      <w:r w:rsidR="00766295">
        <w:rPr>
          <w:rFonts w:eastAsia="SimSun" w:cs="Arial"/>
        </w:rPr>
        <w:t xml:space="preserve"> the </w:t>
      </w:r>
      <w:r w:rsidR="00A97C7A">
        <w:rPr>
          <w:rFonts w:eastAsia="SimSun" w:cs="Arial"/>
        </w:rPr>
        <w:t>expected value of</w:t>
      </w:r>
      <w:r w:rsidR="00766295">
        <w:rPr>
          <w:rFonts w:eastAsia="SimSun" w:cs="Arial"/>
        </w:rPr>
        <w:t xml:space="preserve"> Drug X </w:t>
      </w:r>
      <w:r w:rsidR="00A97C7A">
        <w:rPr>
          <w:rFonts w:eastAsia="SimSun" w:cs="Arial"/>
        </w:rPr>
        <w:t xml:space="preserve">increases to </w:t>
      </w:r>
      <w:r w:rsidR="00766295">
        <w:rPr>
          <w:rFonts w:eastAsia="SimSun" w:cs="Arial"/>
        </w:rPr>
        <w:t xml:space="preserve">51.95 QALYs per year and </w:t>
      </w:r>
      <w:r w:rsidR="00A97C7A">
        <w:rPr>
          <w:rFonts w:eastAsia="SimSun" w:cs="Arial"/>
        </w:rPr>
        <w:t xml:space="preserve">reduces </w:t>
      </w:r>
      <w:r w:rsidR="00766295">
        <w:rPr>
          <w:rFonts w:eastAsia="SimSun" w:cs="Arial"/>
        </w:rPr>
        <w:t xml:space="preserve">the </w:t>
      </w:r>
      <w:r w:rsidR="00A97C7A">
        <w:rPr>
          <w:rFonts w:eastAsia="SimSun" w:cs="Arial"/>
        </w:rPr>
        <w:t xml:space="preserve">consequences of uncertainty (i.e. the expected risk) to </w:t>
      </w:r>
      <w:r w:rsidR="00766295">
        <w:rPr>
          <w:rFonts w:eastAsia="SimSun" w:cs="Arial"/>
        </w:rPr>
        <w:t>9.35 QALYs per year</w:t>
      </w:r>
      <w:r w:rsidR="00784F1D">
        <w:rPr>
          <w:rFonts w:eastAsia="SimSun" w:cs="Arial"/>
        </w:rPr>
        <w:t xml:space="preserve"> (a reduction in risk of 20.17 QALYs)</w:t>
      </w:r>
      <w:r w:rsidR="00766295">
        <w:rPr>
          <w:rFonts w:eastAsia="SimSun" w:cs="Arial"/>
        </w:rPr>
        <w:t xml:space="preserve">. </w:t>
      </w:r>
    </w:p>
    <w:p w14:paraId="38B8B999" w14:textId="5F428E15" w:rsidR="00A97C7A" w:rsidRPr="00E54F45" w:rsidRDefault="00A97C7A" w:rsidP="008C3153">
      <w:pPr>
        <w:rPr>
          <w:rFonts w:eastAsia="SimSun" w:cs="Arial"/>
        </w:rPr>
      </w:pPr>
      <w:r>
        <w:rPr>
          <w:rFonts w:eastAsia="SimSun" w:cs="Arial"/>
        </w:rPr>
        <w:t xml:space="preserve">The examples here illustrate how alternative pricing approaches can be used to increase the expected value of a technology as well as impacting the risk and consequences associated with uncertainty. </w:t>
      </w:r>
    </w:p>
    <w:p w14:paraId="38370A4F" w14:textId="04A3F06A" w:rsidR="008C3153" w:rsidRDefault="00E54F45" w:rsidP="008C3153">
      <w:pPr>
        <w:pStyle w:val="Heading3"/>
      </w:pPr>
      <w:bookmarkStart w:id="264" w:name="_Ref32314921"/>
      <w:bookmarkStart w:id="265" w:name="_Toc33776241"/>
      <w:r>
        <w:t>Managing risk through stratified decision making</w:t>
      </w:r>
      <w:bookmarkEnd w:id="264"/>
      <w:bookmarkEnd w:id="265"/>
    </w:p>
    <w:p w14:paraId="32935935" w14:textId="540DFED0" w:rsidR="008C3153" w:rsidRDefault="008C3153" w:rsidP="008C3153">
      <w:r>
        <w:t>The previous discussion described how uncertainty can be addressed when making histology-independent decisions in which the technology is expected to be used across all histologies (no stratification). In this section we discuss how to apply these same principles under partial and full stratification.</w:t>
      </w:r>
      <w:r w:rsidR="00784F1D">
        <w:t xml:space="preserve"> </w:t>
      </w:r>
    </w:p>
    <w:p w14:paraId="59D21E4B" w14:textId="77777777" w:rsidR="008C3153" w:rsidRPr="00511308" w:rsidRDefault="008C3153" w:rsidP="00C663A2">
      <w:pPr>
        <w:pStyle w:val="Heading5"/>
      </w:pPr>
      <w:r w:rsidRPr="00511308">
        <w:t>Partial stratification</w:t>
      </w:r>
    </w:p>
    <w:p w14:paraId="394159EE" w14:textId="7F3D0D50" w:rsidR="00E54F45" w:rsidRDefault="00E54F45" w:rsidP="00E54F45">
      <w:pPr>
        <w:rPr>
          <w:rFonts w:eastAsia="SimSun" w:cs="Arial"/>
        </w:rPr>
      </w:pPr>
      <w:r w:rsidRPr="00BC61C7">
        <w:rPr>
          <w:rFonts w:eastAsia="SimSun" w:cs="Arial"/>
        </w:rPr>
        <w:t xml:space="preserve">The previous </w:t>
      </w:r>
      <w:r>
        <w:rPr>
          <w:rFonts w:eastAsia="SimSun" w:cs="Arial"/>
        </w:rPr>
        <w:t>sections</w:t>
      </w:r>
      <w:r w:rsidRPr="00BC61C7">
        <w:rPr>
          <w:rFonts w:eastAsia="SimSun" w:cs="Arial"/>
        </w:rPr>
        <w:t xml:space="preserve"> described how uncertainty </w:t>
      </w:r>
      <w:r w:rsidR="007A5193">
        <w:rPr>
          <w:rFonts w:eastAsia="SimSun" w:cs="Arial"/>
        </w:rPr>
        <w:t xml:space="preserve">and associated risk </w:t>
      </w:r>
      <w:r w:rsidRPr="00BC61C7">
        <w:rPr>
          <w:rFonts w:eastAsia="SimSun" w:cs="Arial"/>
        </w:rPr>
        <w:t>c</w:t>
      </w:r>
      <w:r w:rsidR="007A5193">
        <w:rPr>
          <w:rFonts w:eastAsia="SimSun" w:cs="Arial"/>
        </w:rPr>
        <w:t>ould</w:t>
      </w:r>
      <w:r w:rsidRPr="00BC61C7">
        <w:rPr>
          <w:rFonts w:eastAsia="SimSun" w:cs="Arial"/>
        </w:rPr>
        <w:t xml:space="preserve"> be </w:t>
      </w:r>
      <w:r w:rsidR="007A5193">
        <w:rPr>
          <w:rFonts w:eastAsia="SimSun" w:cs="Arial"/>
        </w:rPr>
        <w:t>managed</w:t>
      </w:r>
      <w:r w:rsidRPr="00BC61C7">
        <w:rPr>
          <w:rFonts w:eastAsia="SimSun" w:cs="Arial"/>
        </w:rPr>
        <w:t xml:space="preserve"> </w:t>
      </w:r>
      <w:r>
        <w:rPr>
          <w:rFonts w:eastAsia="SimSun" w:cs="Arial"/>
        </w:rPr>
        <w:t>through f</w:t>
      </w:r>
      <w:r w:rsidR="008B2489">
        <w:rPr>
          <w:rFonts w:eastAsia="SimSun" w:cs="Arial"/>
        </w:rPr>
        <w:t>urther data collection and pricing schemes</w:t>
      </w:r>
      <w:r>
        <w:rPr>
          <w:rFonts w:eastAsia="SimSun" w:cs="Arial"/>
        </w:rPr>
        <w:t>. Both assumed that the health technology would be approved for use in all histologies or none</w:t>
      </w:r>
      <w:r w:rsidR="006D0C94">
        <w:rPr>
          <w:rFonts w:eastAsia="SimSun" w:cs="Arial"/>
        </w:rPr>
        <w:t>,</w:t>
      </w:r>
      <w:r>
        <w:rPr>
          <w:rFonts w:eastAsia="SimSun" w:cs="Arial"/>
        </w:rPr>
        <w:t xml:space="preserve"> i.e. histology</w:t>
      </w:r>
      <w:r w:rsidR="006D0C94">
        <w:rPr>
          <w:rFonts w:eastAsia="SimSun" w:cs="Arial"/>
        </w:rPr>
        <w:t>-</w:t>
      </w:r>
      <w:r>
        <w:rPr>
          <w:rFonts w:eastAsia="SimSun" w:cs="Arial"/>
        </w:rPr>
        <w:t xml:space="preserve">independent approval decisions. </w:t>
      </w:r>
      <w:r w:rsidRPr="00BC61C7">
        <w:rPr>
          <w:rFonts w:eastAsia="SimSun" w:cs="Arial"/>
        </w:rPr>
        <w:t xml:space="preserve">In this section we discuss </w:t>
      </w:r>
      <w:r>
        <w:rPr>
          <w:rFonts w:eastAsia="SimSun" w:cs="Arial"/>
        </w:rPr>
        <w:t xml:space="preserve">stratification as an additional approach to reducing risk </w:t>
      </w:r>
      <w:r w:rsidR="00A97C7A">
        <w:rPr>
          <w:rFonts w:eastAsia="SimSun" w:cs="Arial"/>
        </w:rPr>
        <w:t xml:space="preserve">in approval decisions for products with a </w:t>
      </w:r>
      <w:r>
        <w:rPr>
          <w:rFonts w:eastAsia="SimSun" w:cs="Arial"/>
        </w:rPr>
        <w:t>histology</w:t>
      </w:r>
      <w:r w:rsidR="00FD3AF1">
        <w:rPr>
          <w:rFonts w:eastAsia="SimSun" w:cs="Arial"/>
        </w:rPr>
        <w:t>-</w:t>
      </w:r>
      <w:r>
        <w:rPr>
          <w:rFonts w:eastAsia="SimSun" w:cs="Arial"/>
        </w:rPr>
        <w:t xml:space="preserve">independent </w:t>
      </w:r>
      <w:r w:rsidR="00A97C7A">
        <w:rPr>
          <w:rFonts w:eastAsia="SimSun" w:cs="Arial"/>
        </w:rPr>
        <w:t>marketing authorisation</w:t>
      </w:r>
      <w:r>
        <w:rPr>
          <w:rFonts w:eastAsia="SimSun" w:cs="Arial"/>
        </w:rPr>
        <w:t xml:space="preserve">. </w:t>
      </w:r>
    </w:p>
    <w:p w14:paraId="6755DE85" w14:textId="4145FA0F" w:rsidR="00E54F45" w:rsidRPr="00E54F45" w:rsidRDefault="00E54F45" w:rsidP="008C3153">
      <w:pPr>
        <w:rPr>
          <w:rFonts w:eastAsia="SimSun" w:cs="Arial"/>
        </w:rPr>
      </w:pPr>
      <w:r w:rsidRPr="00BC61C7">
        <w:rPr>
          <w:rFonts w:eastAsia="SimSun" w:cs="Arial"/>
        </w:rPr>
        <w:t xml:space="preserve">In </w:t>
      </w:r>
      <w:r w:rsidR="00A97C7A">
        <w:rPr>
          <w:rFonts w:eastAsia="SimSun" w:cs="Arial"/>
        </w:rPr>
        <w:t>the case of partial stratification</w:t>
      </w:r>
      <w:r w:rsidRPr="00BC61C7">
        <w:rPr>
          <w:rFonts w:eastAsia="SimSun" w:cs="Arial"/>
        </w:rPr>
        <w:t xml:space="preserve"> the intervention is approved only for a </w:t>
      </w:r>
      <w:r w:rsidR="00A97C7A">
        <w:rPr>
          <w:rFonts w:eastAsia="SimSun" w:cs="Arial"/>
        </w:rPr>
        <w:t xml:space="preserve">clinically </w:t>
      </w:r>
      <w:r w:rsidRPr="00BC61C7">
        <w:rPr>
          <w:rFonts w:eastAsia="SimSun" w:cs="Arial"/>
        </w:rPr>
        <w:t>defined set of histologies. The relevant metric for decision making is the pooled NHB for the subset of histologies of interest. Therefore, it is the uncertainty in this pooled NHB that is of relevance to decision making.</w:t>
      </w:r>
      <w:r>
        <w:rPr>
          <w:rFonts w:eastAsia="SimSun" w:cs="Arial"/>
        </w:rPr>
        <w:t xml:space="preserve"> </w:t>
      </w:r>
      <w:r>
        <w:rPr>
          <w:rFonts w:eastAsia="SimSun" w:cs="Arial"/>
        </w:rPr>
        <w:fldChar w:fldCharType="begin"/>
      </w:r>
      <w:r>
        <w:rPr>
          <w:rFonts w:eastAsia="SimSun" w:cs="Arial"/>
        </w:rPr>
        <w:instrText xml:space="preserve"> REF _Ref32241129 \h </w:instrText>
      </w:r>
      <w:r>
        <w:rPr>
          <w:rFonts w:eastAsia="SimSun" w:cs="Arial"/>
        </w:rPr>
      </w:r>
      <w:r>
        <w:rPr>
          <w:rFonts w:eastAsia="SimSun" w:cs="Arial"/>
        </w:rPr>
        <w:fldChar w:fldCharType="separate"/>
      </w:r>
      <w:r w:rsidR="00C663A2">
        <w:t xml:space="preserve">Figure </w:t>
      </w:r>
      <w:r w:rsidR="00C663A2">
        <w:rPr>
          <w:noProof/>
        </w:rPr>
        <w:t>14</w:t>
      </w:r>
      <w:r>
        <w:rPr>
          <w:rFonts w:eastAsia="SimSun" w:cs="Arial"/>
        </w:rPr>
        <w:fldChar w:fldCharType="end"/>
      </w:r>
      <w:r w:rsidRPr="00BC61C7">
        <w:rPr>
          <w:rFonts w:eastAsia="SimSun" w:cs="Arial"/>
        </w:rPr>
        <w:t xml:space="preserve"> illustrates the uncertainty in pooled NHB for the approval of Drug X in IFS, salivary gland and GIST only</w:t>
      </w:r>
      <w:bookmarkStart w:id="266" w:name="_Ref30604416"/>
      <w:r w:rsidRPr="00BC61C7">
        <w:rPr>
          <w:rFonts w:eastAsia="SimSun" w:cs="Arial"/>
        </w:rPr>
        <w:t>.</w:t>
      </w:r>
      <w:bookmarkEnd w:id="266"/>
    </w:p>
    <w:p w14:paraId="39AC30EC" w14:textId="7A944687" w:rsidR="00B47481" w:rsidRDefault="00B47481" w:rsidP="001756EA">
      <w:pPr>
        <w:pStyle w:val="Caption"/>
      </w:pPr>
      <w:bookmarkStart w:id="267" w:name="_Ref32241129"/>
      <w:bookmarkStart w:id="268" w:name="_Toc34033574"/>
      <w:r>
        <w:lastRenderedPageBreak/>
        <w:t xml:space="preserve">Figure </w:t>
      </w:r>
      <w:r w:rsidR="00C974E5">
        <w:fldChar w:fldCharType="begin"/>
      </w:r>
      <w:r w:rsidR="00C974E5">
        <w:instrText xml:space="preserve"> SEQ Figure \* ARABIC </w:instrText>
      </w:r>
      <w:r w:rsidR="00C974E5">
        <w:fldChar w:fldCharType="separate"/>
      </w:r>
      <w:r w:rsidR="00C663A2">
        <w:rPr>
          <w:noProof/>
        </w:rPr>
        <w:t>14</w:t>
      </w:r>
      <w:r w:rsidR="00C974E5">
        <w:rPr>
          <w:noProof/>
        </w:rPr>
        <w:fldChar w:fldCharType="end"/>
      </w:r>
      <w:bookmarkEnd w:id="267"/>
      <w:r w:rsidR="008C7423">
        <w:rPr>
          <w:noProof/>
        </w:rPr>
        <w:t>:</w:t>
      </w:r>
      <w:r>
        <w:t xml:space="preserve"> </w:t>
      </w:r>
      <w:r w:rsidRPr="00D62EA3">
        <w:t>Population net health effects with uncertainty</w:t>
      </w:r>
      <w:r>
        <w:t xml:space="preserve"> for partially stratified decision making</w:t>
      </w:r>
      <w:bookmarkEnd w:id="268"/>
    </w:p>
    <w:p w14:paraId="2FB8D94F" w14:textId="3425774F" w:rsidR="008C3153" w:rsidRPr="00B47481" w:rsidRDefault="008C3153" w:rsidP="00B47481">
      <w:pPr>
        <w:keepNext/>
      </w:pPr>
      <w:r>
        <w:rPr>
          <w:noProof/>
          <w:lang w:eastAsia="en-GB"/>
        </w:rPr>
        <w:drawing>
          <wp:inline distT="0" distB="0" distL="0" distR="0" wp14:anchorId="5BEC6586" wp14:editId="16FFB699">
            <wp:extent cx="4025250" cy="3417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pulation net health effects with uncertainty for partially stratified decision making.tiff"/>
                    <pic:cNvPicPr/>
                  </pic:nvPicPr>
                  <pic:blipFill>
                    <a:blip r:embed="rId25">
                      <a:extLst>
                        <a:ext uri="{28A0092B-C50C-407E-A947-70E740481C1C}">
                          <a14:useLocalDpi xmlns:a14="http://schemas.microsoft.com/office/drawing/2010/main" val="0"/>
                        </a:ext>
                      </a:extLst>
                    </a:blip>
                    <a:stretch>
                      <a:fillRect/>
                    </a:stretch>
                  </pic:blipFill>
                  <pic:spPr>
                    <a:xfrm>
                      <a:off x="0" y="0"/>
                      <a:ext cx="4046024" cy="3435489"/>
                    </a:xfrm>
                    <a:prstGeom prst="rect">
                      <a:avLst/>
                    </a:prstGeom>
                  </pic:spPr>
                </pic:pic>
              </a:graphicData>
            </a:graphic>
          </wp:inline>
        </w:drawing>
      </w:r>
    </w:p>
    <w:p w14:paraId="2220C1DE" w14:textId="2329D349" w:rsidR="00F731D8" w:rsidRDefault="00F731D8" w:rsidP="00F731D8">
      <w:pPr>
        <w:rPr>
          <w:rFonts w:eastAsia="SimSun" w:cs="Arial"/>
        </w:rPr>
      </w:pPr>
      <w:r>
        <w:rPr>
          <w:rFonts w:eastAsia="SimSun" w:cs="Arial"/>
        </w:rPr>
        <w:fldChar w:fldCharType="begin"/>
      </w:r>
      <w:r>
        <w:rPr>
          <w:rFonts w:eastAsia="SimSun" w:cs="Arial"/>
        </w:rPr>
        <w:instrText xml:space="preserve"> REF _Ref32241129 \h </w:instrText>
      </w:r>
      <w:r>
        <w:rPr>
          <w:rFonts w:eastAsia="SimSun" w:cs="Arial"/>
        </w:rPr>
      </w:r>
      <w:r>
        <w:rPr>
          <w:rFonts w:eastAsia="SimSun" w:cs="Arial"/>
        </w:rPr>
        <w:fldChar w:fldCharType="separate"/>
      </w:r>
      <w:r w:rsidR="00C663A2">
        <w:t xml:space="preserve">Figure </w:t>
      </w:r>
      <w:r w:rsidR="00C663A2">
        <w:rPr>
          <w:noProof/>
        </w:rPr>
        <w:t>14</w:t>
      </w:r>
      <w:r>
        <w:rPr>
          <w:rFonts w:eastAsia="SimSun" w:cs="Arial"/>
        </w:rPr>
        <w:fldChar w:fldCharType="end"/>
      </w:r>
      <w:r>
        <w:rPr>
          <w:rFonts w:eastAsia="SimSun" w:cs="Arial"/>
        </w:rPr>
        <w:t xml:space="preserve"> </w:t>
      </w:r>
      <w:r w:rsidRPr="00BC61C7">
        <w:rPr>
          <w:rFonts w:eastAsia="SimSun" w:cs="Arial"/>
        </w:rPr>
        <w:t>shows that Drug X is expected to provide positive NHB in each of IFS, salivary gland and GIST individually. Implementing Drug X in this subset is expected to result in approximately 26.5 additional QALYs per year over SoC (this corresponds to</w:t>
      </w:r>
      <w:r w:rsidR="00C23F3C">
        <w:rPr>
          <w:rFonts w:eastAsia="SimSun" w:cs="Arial"/>
        </w:rPr>
        <w:t xml:space="preserve"> </w:t>
      </w:r>
      <w:r w:rsidR="00C23F3C">
        <w:rPr>
          <w:rFonts w:eastAsia="SimSun" w:cs="Arial"/>
          <w:highlight w:val="yellow"/>
        </w:rPr>
        <w:fldChar w:fldCharType="begin"/>
      </w:r>
      <w:r w:rsidR="00C23F3C">
        <w:rPr>
          <w:rFonts w:eastAsia="SimSun" w:cs="Arial"/>
        </w:rPr>
        <w:instrText xml:space="preserve"> REF _Ref30600192 \h </w:instrText>
      </w:r>
      <w:r w:rsidR="00C23F3C">
        <w:rPr>
          <w:rFonts w:eastAsia="SimSun" w:cs="Arial"/>
          <w:highlight w:val="yellow"/>
        </w:rPr>
      </w:r>
      <w:r w:rsidR="00C23F3C">
        <w:rPr>
          <w:rFonts w:eastAsia="SimSun" w:cs="Arial"/>
          <w:highlight w:val="yellow"/>
        </w:rPr>
        <w:fldChar w:fldCharType="separate"/>
      </w:r>
      <w:r w:rsidR="00C663A2">
        <w:t xml:space="preserve">Table </w:t>
      </w:r>
      <w:r w:rsidR="00C663A2">
        <w:rPr>
          <w:noProof/>
        </w:rPr>
        <w:t>33</w:t>
      </w:r>
      <w:r w:rsidR="00C23F3C">
        <w:rPr>
          <w:rFonts w:eastAsia="SimSun" w:cs="Arial"/>
          <w:highlight w:val="yellow"/>
        </w:rPr>
        <w:fldChar w:fldCharType="end"/>
      </w:r>
      <w:r w:rsidRPr="00BC61C7">
        <w:rPr>
          <w:rFonts w:eastAsia="SimSun" w:cs="Arial"/>
        </w:rPr>
        <w:t xml:space="preserve">). </w:t>
      </w:r>
      <w:r>
        <w:rPr>
          <w:rFonts w:eastAsia="SimSun" w:cs="Arial"/>
        </w:rPr>
        <w:fldChar w:fldCharType="begin"/>
      </w:r>
      <w:r>
        <w:rPr>
          <w:rFonts w:eastAsia="SimSun" w:cs="Arial"/>
        </w:rPr>
        <w:instrText xml:space="preserve"> REF _Ref32241129 \h </w:instrText>
      </w:r>
      <w:r>
        <w:rPr>
          <w:rFonts w:eastAsia="SimSun" w:cs="Arial"/>
        </w:rPr>
      </w:r>
      <w:r>
        <w:rPr>
          <w:rFonts w:eastAsia="SimSun" w:cs="Arial"/>
        </w:rPr>
        <w:fldChar w:fldCharType="separate"/>
      </w:r>
      <w:r w:rsidR="00C663A2">
        <w:t xml:space="preserve">Figure </w:t>
      </w:r>
      <w:r w:rsidR="00C663A2">
        <w:rPr>
          <w:noProof/>
        </w:rPr>
        <w:t>14</w:t>
      </w:r>
      <w:r>
        <w:rPr>
          <w:rFonts w:eastAsia="SimSun" w:cs="Arial"/>
        </w:rPr>
        <w:fldChar w:fldCharType="end"/>
      </w:r>
      <w:r>
        <w:rPr>
          <w:rFonts w:eastAsia="SimSun" w:cs="Arial"/>
        </w:rPr>
        <w:t xml:space="preserve"> </w:t>
      </w:r>
      <w:r w:rsidRPr="00BC61C7">
        <w:rPr>
          <w:rFonts w:eastAsia="SimSun" w:cs="Arial"/>
        </w:rPr>
        <w:t xml:space="preserve">graphically represents the uncertainty in this estimate. The 95% interval for the pooled effect is far from the line of equivalence between Drug X and SoC indicating that there is not much uncertainty in </w:t>
      </w:r>
      <w:r w:rsidR="009D6CA1">
        <w:rPr>
          <w:rFonts w:eastAsia="SimSun" w:cs="Arial"/>
        </w:rPr>
        <w:t>cost-effective</w:t>
      </w:r>
      <w:r w:rsidRPr="00BC61C7">
        <w:rPr>
          <w:rFonts w:eastAsia="SimSun" w:cs="Arial"/>
        </w:rPr>
        <w:t xml:space="preserve">ness in this subset of histologies. Given the model assumptions, it is estimated that there is </w:t>
      </w:r>
      <w:r>
        <w:rPr>
          <w:rFonts w:eastAsia="SimSun" w:cs="Arial"/>
        </w:rPr>
        <w:t xml:space="preserve">now </w:t>
      </w:r>
      <w:r w:rsidRPr="00BC61C7">
        <w:rPr>
          <w:rFonts w:eastAsia="SimSun" w:cs="Arial"/>
        </w:rPr>
        <w:t xml:space="preserve">a </w:t>
      </w:r>
      <w:r>
        <w:rPr>
          <w:rFonts w:eastAsia="SimSun" w:cs="Arial"/>
        </w:rPr>
        <w:t xml:space="preserve">0% risk </w:t>
      </w:r>
      <w:r w:rsidRPr="00BC61C7">
        <w:rPr>
          <w:rFonts w:eastAsia="SimSun" w:cs="Arial"/>
        </w:rPr>
        <w:t xml:space="preserve">that Drug X is not </w:t>
      </w:r>
      <w:r w:rsidR="009D6CA1">
        <w:rPr>
          <w:rFonts w:eastAsia="SimSun" w:cs="Arial"/>
        </w:rPr>
        <w:t>cost-effective</w:t>
      </w:r>
      <w:r w:rsidRPr="00BC61C7">
        <w:rPr>
          <w:rFonts w:eastAsia="SimSun" w:cs="Arial"/>
        </w:rPr>
        <w:t xml:space="preserve">. </w:t>
      </w:r>
      <w:r>
        <w:rPr>
          <w:rFonts w:eastAsia="SimSun" w:cs="Arial"/>
        </w:rPr>
        <w:t xml:space="preserve">This means that the risk in </w:t>
      </w:r>
      <w:r w:rsidR="00A97C7A">
        <w:rPr>
          <w:rFonts w:eastAsia="SimSun" w:cs="Arial"/>
        </w:rPr>
        <w:t>approving</w:t>
      </w:r>
      <w:r>
        <w:rPr>
          <w:rFonts w:eastAsia="SimSun" w:cs="Arial"/>
        </w:rPr>
        <w:t xml:space="preserve"> Drug X has been eliminated, without the need to carry our additional research or wait for research to report.</w:t>
      </w:r>
      <w:r w:rsidR="00A97C7A">
        <w:rPr>
          <w:rFonts w:eastAsia="SimSun" w:cs="Arial"/>
        </w:rPr>
        <w:t xml:space="preserve"> As such, a routine commissioning decision maybe considered appropriate for this specific subset of tumour sites.</w:t>
      </w:r>
    </w:p>
    <w:p w14:paraId="5DBA1DBD" w14:textId="77777777" w:rsidR="00F731D8" w:rsidRPr="00BC61C7" w:rsidRDefault="00F731D8" w:rsidP="00C663A2">
      <w:pPr>
        <w:pStyle w:val="Heading5"/>
      </w:pPr>
      <w:r w:rsidRPr="00BC61C7">
        <w:t>Full stratification</w:t>
      </w:r>
    </w:p>
    <w:p w14:paraId="7F4B4CA4" w14:textId="7CEFD8E2" w:rsidR="00B47481" w:rsidRPr="00F731D8" w:rsidRDefault="00F731D8" w:rsidP="008C3153">
      <w:pPr>
        <w:rPr>
          <w:rFonts w:eastAsia="SimSun" w:cs="Arial"/>
        </w:rPr>
      </w:pPr>
      <w:r w:rsidRPr="00BC61C7">
        <w:rPr>
          <w:rFonts w:eastAsia="SimSun" w:cs="Arial"/>
        </w:rPr>
        <w:t>Under full stratification there is the option to make different decisions for different histologies. This is a fully histology</w:t>
      </w:r>
      <w:r w:rsidR="006D0C94">
        <w:rPr>
          <w:rFonts w:eastAsia="SimSun" w:cs="Arial"/>
        </w:rPr>
        <w:t>-</w:t>
      </w:r>
      <w:r w:rsidRPr="00BC61C7">
        <w:rPr>
          <w:rFonts w:eastAsia="SimSun" w:cs="Arial"/>
        </w:rPr>
        <w:t xml:space="preserve">dependent approval policy in which the technology is restricted for use only in those histologies in which it has been shown to be </w:t>
      </w:r>
      <w:r w:rsidR="009D6CA1">
        <w:rPr>
          <w:rFonts w:eastAsia="SimSun" w:cs="Arial"/>
        </w:rPr>
        <w:t>cost-effective</w:t>
      </w:r>
      <w:r w:rsidRPr="00BC61C7">
        <w:rPr>
          <w:rFonts w:eastAsia="SimSun" w:cs="Arial"/>
        </w:rPr>
        <w:t xml:space="preserve">. </w:t>
      </w:r>
      <w:r w:rsidRPr="00BC61C7">
        <w:rPr>
          <w:rFonts w:eastAsia="SimSun" w:cs="Arial"/>
          <w:highlight w:val="yellow"/>
        </w:rPr>
        <w:fldChar w:fldCharType="begin"/>
      </w:r>
      <w:r w:rsidRPr="00BC61C7">
        <w:rPr>
          <w:rFonts w:eastAsia="SimSun" w:cs="Arial"/>
        </w:rPr>
        <w:instrText xml:space="preserve"> REF _Ref30604529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15</w:t>
      </w:r>
      <w:r w:rsidRPr="00BC61C7">
        <w:rPr>
          <w:rFonts w:eastAsia="SimSun" w:cs="Arial"/>
          <w:highlight w:val="yellow"/>
        </w:rPr>
        <w:fldChar w:fldCharType="end"/>
      </w:r>
      <w:r w:rsidRPr="00BC61C7">
        <w:rPr>
          <w:rFonts w:eastAsia="SimSun" w:cs="Arial"/>
        </w:rPr>
        <w:t xml:space="preserve"> illustrates the population level uncertainties in making fully stratified recommendations. </w:t>
      </w:r>
    </w:p>
    <w:p w14:paraId="45E41FC0" w14:textId="7559E294" w:rsidR="00B47481" w:rsidRDefault="00B47481" w:rsidP="00B47481">
      <w:pPr>
        <w:pStyle w:val="Caption"/>
      </w:pPr>
      <w:bookmarkStart w:id="269" w:name="_Ref30604529"/>
      <w:bookmarkStart w:id="270" w:name="_Toc34033575"/>
      <w:r>
        <w:lastRenderedPageBreak/>
        <w:t xml:space="preserve">Figure </w:t>
      </w:r>
      <w:r w:rsidR="00C974E5">
        <w:fldChar w:fldCharType="begin"/>
      </w:r>
      <w:r w:rsidR="00C974E5">
        <w:instrText xml:space="preserve"> SEQ Figure \* ARABIC </w:instrText>
      </w:r>
      <w:r w:rsidR="00C974E5">
        <w:fldChar w:fldCharType="separate"/>
      </w:r>
      <w:r w:rsidR="00C663A2">
        <w:rPr>
          <w:noProof/>
        </w:rPr>
        <w:t>15</w:t>
      </w:r>
      <w:r w:rsidR="00C974E5">
        <w:rPr>
          <w:noProof/>
        </w:rPr>
        <w:fldChar w:fldCharType="end"/>
      </w:r>
      <w:bookmarkEnd w:id="269"/>
      <w:r w:rsidR="008C7423">
        <w:rPr>
          <w:noProof/>
        </w:rPr>
        <w:t>:</w:t>
      </w:r>
      <w:r w:rsidRPr="00D62EA3">
        <w:t xml:space="preserve"> Population net health effects with uncertainty for </w:t>
      </w:r>
      <w:r>
        <w:t>fully</w:t>
      </w:r>
      <w:r w:rsidRPr="00D62EA3">
        <w:t xml:space="preserve"> stratified decision making</w:t>
      </w:r>
      <w:bookmarkEnd w:id="270"/>
    </w:p>
    <w:p w14:paraId="6B11DB37" w14:textId="2ACF6F04" w:rsidR="008C3153" w:rsidRDefault="008C3153" w:rsidP="00B47481">
      <w:pPr>
        <w:keepNext/>
      </w:pPr>
      <w:r>
        <w:rPr>
          <w:noProof/>
          <w:lang w:eastAsia="en-GB"/>
        </w:rPr>
        <w:drawing>
          <wp:inline distT="0" distB="0" distL="0" distR="0" wp14:anchorId="6B0CDB27" wp14:editId="6740639F">
            <wp:extent cx="4377438" cy="3004457"/>
            <wp:effectExtent l="0" t="0" r="444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pulation net health effects with uncertainty for fully stratified decision making.tiff"/>
                    <pic:cNvPicPr/>
                  </pic:nvPicPr>
                  <pic:blipFill>
                    <a:blip r:embed="rId26">
                      <a:extLst>
                        <a:ext uri="{28A0092B-C50C-407E-A947-70E740481C1C}">
                          <a14:useLocalDpi xmlns:a14="http://schemas.microsoft.com/office/drawing/2010/main" val="0"/>
                        </a:ext>
                      </a:extLst>
                    </a:blip>
                    <a:stretch>
                      <a:fillRect/>
                    </a:stretch>
                  </pic:blipFill>
                  <pic:spPr>
                    <a:xfrm>
                      <a:off x="0" y="0"/>
                      <a:ext cx="4385276" cy="3009836"/>
                    </a:xfrm>
                    <a:prstGeom prst="rect">
                      <a:avLst/>
                    </a:prstGeom>
                  </pic:spPr>
                </pic:pic>
              </a:graphicData>
            </a:graphic>
          </wp:inline>
        </w:drawing>
      </w:r>
    </w:p>
    <w:p w14:paraId="04F3816C" w14:textId="5015E231" w:rsidR="00F731D8" w:rsidRDefault="00F731D8" w:rsidP="00F731D8">
      <w:pPr>
        <w:rPr>
          <w:rFonts w:eastAsia="SimSun" w:cs="Arial"/>
        </w:rPr>
      </w:pPr>
      <w:bookmarkStart w:id="271" w:name="_Ref30604456"/>
      <w:r w:rsidRPr="00BC61C7">
        <w:rPr>
          <w:rFonts w:eastAsia="SimSun" w:cs="Arial"/>
        </w:rPr>
        <w:t xml:space="preserve">Approval in sarcoma, salivary gland, IFS, thyroid, GIST and appendix are all expected to provide positive NHB. Approval of Drug X in the remaining histologies is expected to result in a loss of population health. The figure </w:t>
      </w:r>
      <w:r w:rsidR="007A5193">
        <w:rPr>
          <w:rFonts w:eastAsia="SimSun" w:cs="Arial"/>
        </w:rPr>
        <w:t xml:space="preserve">also </w:t>
      </w:r>
      <w:r w:rsidRPr="00BC61C7">
        <w:rPr>
          <w:rFonts w:eastAsia="SimSun" w:cs="Arial"/>
        </w:rPr>
        <w:t xml:space="preserve">shows that uncertainty about health benefits (or losses) differ across histologies. The 95% uncertainty bounds cross the line of equivalence for melanoma and appendix only. </w:t>
      </w:r>
    </w:p>
    <w:p w14:paraId="478EE9FF" w14:textId="67303E86" w:rsidR="00C663A2" w:rsidRPr="00F731D8" w:rsidRDefault="00F731D8" w:rsidP="00C663A2">
      <w:r w:rsidRPr="00BC61C7">
        <w:t xml:space="preserve">Because separate </w:t>
      </w:r>
      <w:r>
        <w:t>approval</w:t>
      </w:r>
      <w:r w:rsidRPr="00BC61C7">
        <w:t xml:space="preserve"> decisions can be made for each histology, the </w:t>
      </w:r>
      <w:r>
        <w:t xml:space="preserve">risk associated with decision making </w:t>
      </w:r>
      <w:r w:rsidRPr="00BC61C7">
        <w:t xml:space="preserve">should be estimated </w:t>
      </w:r>
      <w:r w:rsidR="00CE2F86">
        <w:t xml:space="preserve">for </w:t>
      </w:r>
      <w:r w:rsidRPr="00BC61C7">
        <w:t xml:space="preserve">each histology separately. The </w:t>
      </w:r>
      <w:r>
        <w:t xml:space="preserve">risk associated with uncertainty in each histology </w:t>
      </w:r>
      <w:r w:rsidRPr="00584E93">
        <w:t xml:space="preserve">is reported in </w:t>
      </w:r>
      <w:r>
        <w:fldChar w:fldCharType="begin"/>
      </w:r>
      <w:r>
        <w:instrText xml:space="preserve"> REF _Ref32242641 \h </w:instrText>
      </w:r>
      <w:r w:rsidR="00C663A2">
        <w:instrText xml:space="preserve"> \* MERGEFORMAT </w:instrText>
      </w:r>
      <w:r>
        <w:fldChar w:fldCharType="separate"/>
      </w:r>
      <w:r w:rsidR="00C20257">
        <w:t xml:space="preserve">Table </w:t>
      </w:r>
      <w:r w:rsidR="00C20257">
        <w:rPr>
          <w:noProof/>
        </w:rPr>
        <w:t>32</w:t>
      </w:r>
      <w:r>
        <w:fldChar w:fldCharType="end"/>
      </w:r>
      <w:r>
        <w:t xml:space="preserve"> along with the </w:t>
      </w:r>
      <w:r w:rsidR="00A97C7A">
        <w:t>expected annual value of approving the treatment for</w:t>
      </w:r>
      <w:r>
        <w:t xml:space="preserve"> each histology.</w:t>
      </w:r>
      <w:bookmarkEnd w:id="271"/>
    </w:p>
    <w:p w14:paraId="21187608" w14:textId="5E68ACE3" w:rsidR="00F731D8" w:rsidRDefault="00F731D8" w:rsidP="00F731D8">
      <w:pPr>
        <w:pStyle w:val="Caption"/>
      </w:pPr>
      <w:bookmarkStart w:id="272" w:name="_Ref32242641"/>
      <w:bookmarkStart w:id="273" w:name="_Toc34033546"/>
      <w:r>
        <w:t xml:space="preserve">Table </w:t>
      </w:r>
      <w:r w:rsidR="00C974E5">
        <w:fldChar w:fldCharType="begin"/>
      </w:r>
      <w:r w:rsidR="00C974E5">
        <w:instrText xml:space="preserve"> SEQ Table \* ARABIC </w:instrText>
      </w:r>
      <w:r w:rsidR="00C974E5">
        <w:fldChar w:fldCharType="separate"/>
      </w:r>
      <w:r w:rsidR="00C9471F">
        <w:rPr>
          <w:noProof/>
        </w:rPr>
        <w:t>32</w:t>
      </w:r>
      <w:r w:rsidR="00C974E5">
        <w:rPr>
          <w:noProof/>
        </w:rPr>
        <w:fldChar w:fldCharType="end"/>
      </w:r>
      <w:bookmarkEnd w:id="272"/>
      <w:r w:rsidR="008C7423">
        <w:rPr>
          <w:noProof/>
        </w:rPr>
        <w:t>:</w:t>
      </w:r>
      <w:r>
        <w:t xml:space="preserve"> </w:t>
      </w:r>
      <w:r w:rsidRPr="00F731D8">
        <w:t>Benefits of approval and further research for fully stratified decision making</w:t>
      </w:r>
      <w:bookmarkEnd w:id="273"/>
    </w:p>
    <w:tbl>
      <w:tblPr>
        <w:tblW w:w="5000" w:type="pct"/>
        <w:tblLook w:val="04A0" w:firstRow="1" w:lastRow="0" w:firstColumn="1" w:lastColumn="0" w:noHBand="0" w:noVBand="1"/>
      </w:tblPr>
      <w:tblGrid>
        <w:gridCol w:w="2049"/>
        <w:gridCol w:w="1121"/>
        <w:gridCol w:w="2781"/>
        <w:gridCol w:w="3065"/>
      </w:tblGrid>
      <w:tr w:rsidR="00F731D8" w:rsidRPr="00DB5674" w14:paraId="088D2BFA" w14:textId="77777777" w:rsidTr="00F731D8">
        <w:trPr>
          <w:trHeight w:val="398"/>
        </w:trPr>
        <w:tc>
          <w:tcPr>
            <w:tcW w:w="1136" w:type="pct"/>
            <w:tcBorders>
              <w:top w:val="single" w:sz="4" w:space="0" w:color="auto"/>
              <w:left w:val="single" w:sz="4" w:space="0" w:color="auto"/>
              <w:bottom w:val="single" w:sz="4" w:space="0" w:color="auto"/>
              <w:right w:val="nil"/>
            </w:tcBorders>
            <w:shd w:val="clear" w:color="auto" w:fill="auto"/>
            <w:noWrap/>
            <w:vAlign w:val="center"/>
            <w:hideMark/>
          </w:tcPr>
          <w:p w14:paraId="49867B82" w14:textId="77777777" w:rsidR="00F731D8" w:rsidRPr="00DB5674" w:rsidRDefault="00F731D8" w:rsidP="006574F4">
            <w:pPr>
              <w:spacing w:after="0" w:line="240" w:lineRule="auto"/>
              <w:jc w:val="center"/>
              <w:rPr>
                <w:rFonts w:eastAsia="Times New Roman" w:cs="Times New Roman"/>
                <w:b/>
                <w:bCs/>
                <w:color w:val="000000"/>
                <w:lang w:eastAsia="en-GB"/>
              </w:rPr>
            </w:pPr>
            <w:r w:rsidRPr="00DB5674">
              <w:rPr>
                <w:rFonts w:eastAsia="Times New Roman" w:cs="Times New Roman"/>
                <w:b/>
                <w:bCs/>
                <w:color w:val="000000"/>
                <w:lang w:eastAsia="en-GB"/>
              </w:rPr>
              <w:t> </w:t>
            </w:r>
          </w:p>
        </w:tc>
        <w:tc>
          <w:tcPr>
            <w:tcW w:w="3864" w:type="pct"/>
            <w:gridSpan w:val="3"/>
            <w:tcBorders>
              <w:top w:val="single" w:sz="4" w:space="0" w:color="auto"/>
              <w:left w:val="nil"/>
              <w:bottom w:val="single" w:sz="4" w:space="0" w:color="auto"/>
              <w:right w:val="single" w:sz="4" w:space="0" w:color="000000"/>
            </w:tcBorders>
            <w:shd w:val="clear" w:color="auto" w:fill="auto"/>
            <w:vAlign w:val="center"/>
            <w:hideMark/>
          </w:tcPr>
          <w:p w14:paraId="473CF4EE" w14:textId="77777777" w:rsidR="00F731D8" w:rsidRPr="00DB5674" w:rsidRDefault="00F731D8" w:rsidP="006574F4">
            <w:pPr>
              <w:spacing w:after="0" w:line="240" w:lineRule="auto"/>
              <w:jc w:val="center"/>
              <w:rPr>
                <w:rFonts w:eastAsia="Times New Roman" w:cs="Times New Roman"/>
                <w:b/>
                <w:bCs/>
                <w:color w:val="000000"/>
                <w:lang w:eastAsia="en-GB"/>
              </w:rPr>
            </w:pPr>
            <w:r w:rsidRPr="00DB5674">
              <w:rPr>
                <w:rFonts w:eastAsia="Times New Roman" w:cs="Times New Roman"/>
                <w:b/>
                <w:bCs/>
                <w:color w:val="000000"/>
                <w:lang w:eastAsia="en-GB"/>
              </w:rPr>
              <w:t>Population level £50,000 per QALY threshold</w:t>
            </w:r>
          </w:p>
        </w:tc>
      </w:tr>
      <w:tr w:rsidR="00F731D8" w:rsidRPr="00DB5674" w14:paraId="3E8E7E94" w14:textId="77777777" w:rsidTr="00F731D8">
        <w:trPr>
          <w:trHeight w:val="643"/>
        </w:trPr>
        <w:tc>
          <w:tcPr>
            <w:tcW w:w="1136" w:type="pct"/>
            <w:tcBorders>
              <w:top w:val="nil"/>
              <w:left w:val="single" w:sz="4" w:space="0" w:color="auto"/>
              <w:bottom w:val="single" w:sz="4" w:space="0" w:color="auto"/>
              <w:right w:val="nil"/>
            </w:tcBorders>
            <w:shd w:val="clear" w:color="auto" w:fill="auto"/>
            <w:noWrap/>
            <w:vAlign w:val="center"/>
            <w:hideMark/>
          </w:tcPr>
          <w:p w14:paraId="2ADCBD4F" w14:textId="77777777" w:rsidR="00F731D8" w:rsidRPr="00DB5674" w:rsidRDefault="00F731D8" w:rsidP="006574F4">
            <w:pPr>
              <w:spacing w:after="0" w:line="240" w:lineRule="auto"/>
              <w:jc w:val="center"/>
              <w:rPr>
                <w:rFonts w:eastAsia="Times New Roman" w:cs="Times New Roman"/>
                <w:b/>
                <w:bCs/>
                <w:color w:val="000000"/>
                <w:lang w:eastAsia="en-GB"/>
              </w:rPr>
            </w:pPr>
            <w:r w:rsidRPr="00DB5674">
              <w:rPr>
                <w:rFonts w:eastAsia="Times New Roman" w:cs="Times New Roman"/>
                <w:b/>
                <w:bCs/>
                <w:color w:val="000000"/>
                <w:lang w:eastAsia="en-GB"/>
              </w:rPr>
              <w:t>Subgroup</w:t>
            </w:r>
          </w:p>
        </w:tc>
        <w:tc>
          <w:tcPr>
            <w:tcW w:w="622" w:type="pct"/>
            <w:tcBorders>
              <w:top w:val="nil"/>
              <w:left w:val="nil"/>
              <w:bottom w:val="single" w:sz="4" w:space="0" w:color="auto"/>
              <w:right w:val="nil"/>
            </w:tcBorders>
            <w:shd w:val="clear" w:color="auto" w:fill="auto"/>
            <w:vAlign w:val="center"/>
            <w:hideMark/>
          </w:tcPr>
          <w:p w14:paraId="71574EF8" w14:textId="77777777" w:rsidR="00F731D8" w:rsidRPr="00DB5674" w:rsidRDefault="00F731D8" w:rsidP="006574F4">
            <w:pPr>
              <w:spacing w:after="0" w:line="240" w:lineRule="auto"/>
              <w:jc w:val="center"/>
              <w:rPr>
                <w:rFonts w:eastAsia="Times New Roman" w:cs="Times New Roman"/>
                <w:b/>
                <w:bCs/>
                <w:color w:val="000000"/>
                <w:lang w:eastAsia="en-GB"/>
              </w:rPr>
            </w:pPr>
            <w:r w:rsidRPr="00DB5674">
              <w:rPr>
                <w:rFonts w:eastAsia="Times New Roman" w:cs="Times New Roman"/>
                <w:b/>
                <w:bCs/>
                <w:color w:val="000000"/>
                <w:lang w:eastAsia="en-GB"/>
              </w:rPr>
              <w:t>Incidence</w:t>
            </w:r>
          </w:p>
        </w:tc>
        <w:tc>
          <w:tcPr>
            <w:tcW w:w="1542" w:type="pct"/>
            <w:tcBorders>
              <w:top w:val="nil"/>
              <w:left w:val="nil"/>
              <w:bottom w:val="single" w:sz="4" w:space="0" w:color="auto"/>
              <w:right w:val="nil"/>
            </w:tcBorders>
            <w:shd w:val="clear" w:color="auto" w:fill="auto"/>
            <w:vAlign w:val="center"/>
            <w:hideMark/>
          </w:tcPr>
          <w:p w14:paraId="3D7D870A" w14:textId="77777777" w:rsidR="00F731D8" w:rsidRPr="00DB5674" w:rsidRDefault="00F731D8" w:rsidP="006574F4">
            <w:pPr>
              <w:spacing w:after="0" w:line="240" w:lineRule="auto"/>
              <w:jc w:val="center"/>
              <w:rPr>
                <w:rFonts w:eastAsia="Times New Roman" w:cs="Times New Roman"/>
                <w:b/>
                <w:bCs/>
                <w:color w:val="000000"/>
                <w:lang w:eastAsia="en-GB"/>
              </w:rPr>
            </w:pPr>
            <w:r w:rsidRPr="00DB5674">
              <w:rPr>
                <w:rFonts w:eastAsia="Times New Roman" w:cs="Times New Roman"/>
                <w:b/>
                <w:bCs/>
                <w:color w:val="000000"/>
                <w:lang w:eastAsia="en-GB"/>
              </w:rPr>
              <w:t>Health impact of uncertainty per year, QALYs (NMB, £)</w:t>
            </w:r>
          </w:p>
        </w:tc>
        <w:tc>
          <w:tcPr>
            <w:tcW w:w="1700" w:type="pct"/>
            <w:tcBorders>
              <w:top w:val="nil"/>
              <w:left w:val="nil"/>
              <w:bottom w:val="single" w:sz="4" w:space="0" w:color="auto"/>
              <w:right w:val="single" w:sz="4" w:space="0" w:color="auto"/>
            </w:tcBorders>
            <w:shd w:val="clear" w:color="auto" w:fill="auto"/>
            <w:vAlign w:val="center"/>
            <w:hideMark/>
          </w:tcPr>
          <w:p w14:paraId="13B269B8" w14:textId="0AC2CC5B" w:rsidR="00F731D8" w:rsidRPr="00DB5674" w:rsidRDefault="00F731D8" w:rsidP="006574F4">
            <w:pPr>
              <w:spacing w:after="0" w:line="240" w:lineRule="auto"/>
              <w:jc w:val="center"/>
              <w:rPr>
                <w:rFonts w:eastAsia="Times New Roman" w:cs="Times New Roman"/>
                <w:b/>
                <w:bCs/>
                <w:color w:val="000000"/>
                <w:lang w:eastAsia="en-GB"/>
              </w:rPr>
            </w:pPr>
            <w:r w:rsidRPr="00DB5674">
              <w:rPr>
                <w:rFonts w:eastAsia="Times New Roman" w:cs="Times New Roman"/>
                <w:b/>
                <w:bCs/>
                <w:color w:val="000000"/>
                <w:lang w:eastAsia="en-GB"/>
              </w:rPr>
              <w:t xml:space="preserve">Health impact of </w:t>
            </w:r>
            <w:r w:rsidR="00A97C7A">
              <w:rPr>
                <w:rFonts w:eastAsia="Times New Roman" w:cs="Times New Roman"/>
                <w:b/>
                <w:bCs/>
                <w:color w:val="000000"/>
                <w:lang w:eastAsia="en-GB"/>
              </w:rPr>
              <w:t>approval</w:t>
            </w:r>
            <w:r w:rsidRPr="00DB5674">
              <w:rPr>
                <w:rFonts w:eastAsia="Times New Roman" w:cs="Times New Roman"/>
                <w:b/>
                <w:bCs/>
                <w:color w:val="000000"/>
                <w:lang w:eastAsia="en-GB"/>
              </w:rPr>
              <w:t xml:space="preserve"> per year, QALYs (NMB, £)</w:t>
            </w:r>
          </w:p>
        </w:tc>
      </w:tr>
      <w:tr w:rsidR="00F731D8" w:rsidRPr="00DB5674" w14:paraId="2CFA669A"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7B9AB939"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Sarcoma</w:t>
            </w:r>
          </w:p>
        </w:tc>
        <w:tc>
          <w:tcPr>
            <w:tcW w:w="622" w:type="pct"/>
            <w:tcBorders>
              <w:top w:val="nil"/>
              <w:left w:val="nil"/>
              <w:bottom w:val="nil"/>
              <w:right w:val="nil"/>
            </w:tcBorders>
            <w:shd w:val="clear" w:color="000000" w:fill="FFFFFF"/>
            <w:noWrap/>
            <w:vAlign w:val="center"/>
            <w:hideMark/>
          </w:tcPr>
          <w:p w14:paraId="79C0A827"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5</w:t>
            </w:r>
          </w:p>
        </w:tc>
        <w:tc>
          <w:tcPr>
            <w:tcW w:w="1542" w:type="pct"/>
            <w:tcBorders>
              <w:top w:val="nil"/>
              <w:left w:val="nil"/>
              <w:bottom w:val="nil"/>
              <w:right w:val="nil"/>
            </w:tcBorders>
            <w:shd w:val="clear" w:color="auto" w:fill="auto"/>
            <w:noWrap/>
            <w:vAlign w:val="center"/>
            <w:hideMark/>
          </w:tcPr>
          <w:p w14:paraId="6EFFE876"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0.02 (£1,216)</w:t>
            </w:r>
          </w:p>
        </w:tc>
        <w:tc>
          <w:tcPr>
            <w:tcW w:w="1700" w:type="pct"/>
            <w:tcBorders>
              <w:top w:val="nil"/>
              <w:left w:val="nil"/>
              <w:bottom w:val="nil"/>
              <w:right w:val="single" w:sz="4" w:space="0" w:color="auto"/>
            </w:tcBorders>
            <w:shd w:val="clear" w:color="000000" w:fill="FFFFFF"/>
            <w:noWrap/>
            <w:vAlign w:val="center"/>
            <w:hideMark/>
          </w:tcPr>
          <w:p w14:paraId="6A85E04A"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2.88 (£144,046)</w:t>
            </w:r>
          </w:p>
        </w:tc>
      </w:tr>
      <w:tr w:rsidR="00F731D8" w:rsidRPr="00DB5674" w14:paraId="3FC2DCF5"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1D3EF51E"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Salivary gland</w:t>
            </w:r>
          </w:p>
        </w:tc>
        <w:tc>
          <w:tcPr>
            <w:tcW w:w="622" w:type="pct"/>
            <w:tcBorders>
              <w:top w:val="nil"/>
              <w:left w:val="nil"/>
              <w:bottom w:val="nil"/>
              <w:right w:val="nil"/>
            </w:tcBorders>
            <w:shd w:val="clear" w:color="000000" w:fill="FFFFFF"/>
            <w:noWrap/>
            <w:vAlign w:val="center"/>
            <w:hideMark/>
          </w:tcPr>
          <w:p w14:paraId="134E4B34"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w:t>
            </w:r>
          </w:p>
        </w:tc>
        <w:tc>
          <w:tcPr>
            <w:tcW w:w="1542" w:type="pct"/>
            <w:tcBorders>
              <w:top w:val="nil"/>
              <w:left w:val="nil"/>
              <w:bottom w:val="nil"/>
              <w:right w:val="nil"/>
            </w:tcBorders>
            <w:shd w:val="clear" w:color="000000" w:fill="FFFFFF"/>
            <w:noWrap/>
            <w:vAlign w:val="center"/>
            <w:hideMark/>
          </w:tcPr>
          <w:p w14:paraId="3DA7D26C"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 (£113)</w:t>
            </w:r>
          </w:p>
        </w:tc>
        <w:tc>
          <w:tcPr>
            <w:tcW w:w="1700" w:type="pct"/>
            <w:tcBorders>
              <w:top w:val="nil"/>
              <w:left w:val="nil"/>
              <w:bottom w:val="nil"/>
              <w:right w:val="single" w:sz="4" w:space="0" w:color="auto"/>
            </w:tcBorders>
            <w:shd w:val="clear" w:color="000000" w:fill="FFFFFF"/>
            <w:noWrap/>
            <w:vAlign w:val="center"/>
            <w:hideMark/>
          </w:tcPr>
          <w:p w14:paraId="6A404C7A"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1.56 (£78,201)</w:t>
            </w:r>
          </w:p>
        </w:tc>
      </w:tr>
      <w:tr w:rsidR="00F731D8" w:rsidRPr="00DB5674" w14:paraId="4D578782"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31A3676A"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IFS</w:t>
            </w:r>
          </w:p>
        </w:tc>
        <w:tc>
          <w:tcPr>
            <w:tcW w:w="622" w:type="pct"/>
            <w:tcBorders>
              <w:top w:val="nil"/>
              <w:left w:val="nil"/>
              <w:bottom w:val="nil"/>
              <w:right w:val="nil"/>
            </w:tcBorders>
            <w:shd w:val="clear" w:color="000000" w:fill="FFFFFF"/>
            <w:noWrap/>
            <w:vAlign w:val="center"/>
            <w:hideMark/>
          </w:tcPr>
          <w:p w14:paraId="64C32120"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27</w:t>
            </w:r>
          </w:p>
        </w:tc>
        <w:tc>
          <w:tcPr>
            <w:tcW w:w="1542" w:type="pct"/>
            <w:tcBorders>
              <w:top w:val="nil"/>
              <w:left w:val="nil"/>
              <w:bottom w:val="nil"/>
              <w:right w:val="nil"/>
            </w:tcBorders>
            <w:shd w:val="clear" w:color="auto" w:fill="auto"/>
            <w:noWrap/>
            <w:vAlign w:val="center"/>
            <w:hideMark/>
          </w:tcPr>
          <w:p w14:paraId="2CDABDBD"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0.01 (£577)</w:t>
            </w:r>
          </w:p>
        </w:tc>
        <w:tc>
          <w:tcPr>
            <w:tcW w:w="1700" w:type="pct"/>
            <w:tcBorders>
              <w:top w:val="nil"/>
              <w:left w:val="nil"/>
              <w:bottom w:val="nil"/>
              <w:right w:val="single" w:sz="4" w:space="0" w:color="auto"/>
            </w:tcBorders>
            <w:shd w:val="clear" w:color="000000" w:fill="FFFFFF"/>
            <w:noWrap/>
            <w:vAlign w:val="center"/>
            <w:hideMark/>
          </w:tcPr>
          <w:p w14:paraId="5EADD1D3"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22.35 (£1,117,570)</w:t>
            </w:r>
          </w:p>
        </w:tc>
      </w:tr>
      <w:tr w:rsidR="00F731D8" w:rsidRPr="00DB5674" w14:paraId="04CC1A2E"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31F669BC"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Thyroid</w:t>
            </w:r>
          </w:p>
        </w:tc>
        <w:tc>
          <w:tcPr>
            <w:tcW w:w="622" w:type="pct"/>
            <w:tcBorders>
              <w:top w:val="nil"/>
              <w:left w:val="nil"/>
              <w:bottom w:val="nil"/>
              <w:right w:val="nil"/>
            </w:tcBorders>
            <w:shd w:val="clear" w:color="000000" w:fill="FFFFFF"/>
            <w:noWrap/>
            <w:vAlign w:val="center"/>
            <w:hideMark/>
          </w:tcPr>
          <w:p w14:paraId="55430D2A"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6</w:t>
            </w:r>
          </w:p>
        </w:tc>
        <w:tc>
          <w:tcPr>
            <w:tcW w:w="1542" w:type="pct"/>
            <w:tcBorders>
              <w:top w:val="nil"/>
              <w:left w:val="nil"/>
              <w:bottom w:val="nil"/>
              <w:right w:val="nil"/>
            </w:tcBorders>
            <w:shd w:val="clear" w:color="auto" w:fill="auto"/>
            <w:noWrap/>
            <w:vAlign w:val="center"/>
            <w:hideMark/>
          </w:tcPr>
          <w:p w14:paraId="085CE31F"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0.01 (£665)</w:t>
            </w:r>
          </w:p>
        </w:tc>
        <w:tc>
          <w:tcPr>
            <w:tcW w:w="1700" w:type="pct"/>
            <w:tcBorders>
              <w:top w:val="nil"/>
              <w:left w:val="nil"/>
              <w:bottom w:val="nil"/>
              <w:right w:val="single" w:sz="4" w:space="0" w:color="auto"/>
            </w:tcBorders>
            <w:shd w:val="clear" w:color="000000" w:fill="FFFFFF"/>
            <w:noWrap/>
            <w:vAlign w:val="center"/>
            <w:hideMark/>
          </w:tcPr>
          <w:p w14:paraId="6E81CE16"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4.32 (£216,219)</w:t>
            </w:r>
          </w:p>
        </w:tc>
      </w:tr>
      <w:tr w:rsidR="00F731D8" w:rsidRPr="00DB5674" w14:paraId="64B25E4D"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251517AD"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Lung</w:t>
            </w:r>
          </w:p>
        </w:tc>
        <w:tc>
          <w:tcPr>
            <w:tcW w:w="622" w:type="pct"/>
            <w:tcBorders>
              <w:top w:val="nil"/>
              <w:left w:val="nil"/>
              <w:bottom w:val="nil"/>
              <w:right w:val="nil"/>
            </w:tcBorders>
            <w:shd w:val="clear" w:color="000000" w:fill="FFFFFF"/>
            <w:noWrap/>
            <w:vAlign w:val="center"/>
            <w:hideMark/>
          </w:tcPr>
          <w:p w14:paraId="353A0DD5"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17</w:t>
            </w:r>
          </w:p>
        </w:tc>
        <w:tc>
          <w:tcPr>
            <w:tcW w:w="1542" w:type="pct"/>
            <w:tcBorders>
              <w:top w:val="nil"/>
              <w:left w:val="nil"/>
              <w:bottom w:val="nil"/>
              <w:right w:val="nil"/>
            </w:tcBorders>
            <w:shd w:val="clear" w:color="auto" w:fill="auto"/>
            <w:noWrap/>
            <w:vAlign w:val="center"/>
            <w:hideMark/>
          </w:tcPr>
          <w:p w14:paraId="0F3170E2"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0.03 (£1,398)</w:t>
            </w:r>
          </w:p>
        </w:tc>
        <w:tc>
          <w:tcPr>
            <w:tcW w:w="1700" w:type="pct"/>
            <w:tcBorders>
              <w:top w:val="nil"/>
              <w:left w:val="nil"/>
              <w:bottom w:val="nil"/>
              <w:right w:val="single" w:sz="4" w:space="0" w:color="auto"/>
            </w:tcBorders>
            <w:shd w:val="clear" w:color="000000" w:fill="FFFFFF"/>
            <w:noWrap/>
            <w:vAlign w:val="center"/>
            <w:hideMark/>
          </w:tcPr>
          <w:p w14:paraId="76C45308"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-8.52 (-£426,230)</w:t>
            </w:r>
          </w:p>
        </w:tc>
      </w:tr>
      <w:tr w:rsidR="00F731D8" w:rsidRPr="00DB5674" w14:paraId="48B04AED"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29D8AEAE"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Melanoma</w:t>
            </w:r>
          </w:p>
        </w:tc>
        <w:tc>
          <w:tcPr>
            <w:tcW w:w="622" w:type="pct"/>
            <w:tcBorders>
              <w:top w:val="nil"/>
              <w:left w:val="nil"/>
              <w:bottom w:val="nil"/>
              <w:right w:val="nil"/>
            </w:tcBorders>
            <w:shd w:val="clear" w:color="000000" w:fill="FFFFFF"/>
            <w:noWrap/>
            <w:vAlign w:val="center"/>
            <w:hideMark/>
          </w:tcPr>
          <w:p w14:paraId="78B2029A"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3</w:t>
            </w:r>
          </w:p>
        </w:tc>
        <w:tc>
          <w:tcPr>
            <w:tcW w:w="1542" w:type="pct"/>
            <w:tcBorders>
              <w:top w:val="nil"/>
              <w:left w:val="nil"/>
              <w:bottom w:val="nil"/>
              <w:right w:val="nil"/>
            </w:tcBorders>
            <w:shd w:val="clear" w:color="auto" w:fill="auto"/>
            <w:noWrap/>
            <w:vAlign w:val="center"/>
            <w:hideMark/>
          </w:tcPr>
          <w:p w14:paraId="601AD364"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0.23 (£9,950)</w:t>
            </w:r>
          </w:p>
        </w:tc>
        <w:tc>
          <w:tcPr>
            <w:tcW w:w="1700" w:type="pct"/>
            <w:tcBorders>
              <w:top w:val="nil"/>
              <w:left w:val="nil"/>
              <w:bottom w:val="nil"/>
              <w:right w:val="single" w:sz="4" w:space="0" w:color="auto"/>
            </w:tcBorders>
            <w:shd w:val="clear" w:color="000000" w:fill="FFFFFF"/>
            <w:noWrap/>
            <w:vAlign w:val="center"/>
            <w:hideMark/>
          </w:tcPr>
          <w:p w14:paraId="002C9081"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-0.23 (-£11,276)</w:t>
            </w:r>
          </w:p>
        </w:tc>
      </w:tr>
      <w:tr w:rsidR="00F731D8" w:rsidRPr="00DB5674" w14:paraId="255B003A"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2E374A6E"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Colon</w:t>
            </w:r>
          </w:p>
        </w:tc>
        <w:tc>
          <w:tcPr>
            <w:tcW w:w="622" w:type="pct"/>
            <w:tcBorders>
              <w:top w:val="nil"/>
              <w:left w:val="nil"/>
              <w:bottom w:val="nil"/>
              <w:right w:val="nil"/>
            </w:tcBorders>
            <w:shd w:val="clear" w:color="000000" w:fill="FFFFFF"/>
            <w:noWrap/>
            <w:vAlign w:val="center"/>
            <w:hideMark/>
          </w:tcPr>
          <w:p w14:paraId="1A2F2825"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23</w:t>
            </w:r>
          </w:p>
        </w:tc>
        <w:tc>
          <w:tcPr>
            <w:tcW w:w="1542" w:type="pct"/>
            <w:tcBorders>
              <w:top w:val="nil"/>
              <w:left w:val="nil"/>
              <w:bottom w:val="nil"/>
              <w:right w:val="nil"/>
            </w:tcBorders>
            <w:shd w:val="clear" w:color="auto" w:fill="auto"/>
            <w:noWrap/>
            <w:vAlign w:val="center"/>
            <w:hideMark/>
          </w:tcPr>
          <w:p w14:paraId="1E23C02D"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0.02 (£1,045)</w:t>
            </w:r>
          </w:p>
        </w:tc>
        <w:tc>
          <w:tcPr>
            <w:tcW w:w="1700" w:type="pct"/>
            <w:tcBorders>
              <w:top w:val="nil"/>
              <w:left w:val="nil"/>
              <w:bottom w:val="nil"/>
              <w:right w:val="single" w:sz="4" w:space="0" w:color="auto"/>
            </w:tcBorders>
            <w:shd w:val="clear" w:color="000000" w:fill="FFFFFF"/>
            <w:noWrap/>
            <w:vAlign w:val="center"/>
            <w:hideMark/>
          </w:tcPr>
          <w:p w14:paraId="5C9042AE"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-15.19 (-£759,374)</w:t>
            </w:r>
          </w:p>
        </w:tc>
      </w:tr>
      <w:tr w:rsidR="00F731D8" w:rsidRPr="00DB5674" w14:paraId="123F38AF"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2F2483F1"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lastRenderedPageBreak/>
              <w:t>GIST</w:t>
            </w:r>
          </w:p>
        </w:tc>
        <w:tc>
          <w:tcPr>
            <w:tcW w:w="622" w:type="pct"/>
            <w:tcBorders>
              <w:top w:val="nil"/>
              <w:left w:val="nil"/>
              <w:bottom w:val="nil"/>
              <w:right w:val="nil"/>
            </w:tcBorders>
            <w:shd w:val="clear" w:color="000000" w:fill="FFFFFF"/>
            <w:noWrap/>
            <w:vAlign w:val="center"/>
            <w:hideMark/>
          </w:tcPr>
          <w:p w14:paraId="26E68A58"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4</w:t>
            </w:r>
          </w:p>
        </w:tc>
        <w:tc>
          <w:tcPr>
            <w:tcW w:w="1542" w:type="pct"/>
            <w:tcBorders>
              <w:top w:val="nil"/>
              <w:left w:val="nil"/>
              <w:bottom w:val="nil"/>
              <w:right w:val="nil"/>
            </w:tcBorders>
            <w:shd w:val="clear" w:color="auto" w:fill="auto"/>
            <w:noWrap/>
            <w:vAlign w:val="center"/>
            <w:hideMark/>
          </w:tcPr>
          <w:p w14:paraId="75562AFB"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0.01 (£407)</w:t>
            </w:r>
          </w:p>
        </w:tc>
        <w:tc>
          <w:tcPr>
            <w:tcW w:w="1700" w:type="pct"/>
            <w:tcBorders>
              <w:top w:val="nil"/>
              <w:left w:val="nil"/>
              <w:bottom w:val="nil"/>
              <w:right w:val="single" w:sz="4" w:space="0" w:color="auto"/>
            </w:tcBorders>
            <w:shd w:val="clear" w:color="000000" w:fill="FFFFFF"/>
            <w:noWrap/>
            <w:vAlign w:val="center"/>
            <w:hideMark/>
          </w:tcPr>
          <w:p w14:paraId="05BBD74C"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2.57 (£128,728)</w:t>
            </w:r>
          </w:p>
        </w:tc>
      </w:tr>
      <w:tr w:rsidR="00F731D8" w:rsidRPr="00DB5674" w14:paraId="2EC07B24"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1E6E3C49"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Cholangiocarcinoma</w:t>
            </w:r>
          </w:p>
        </w:tc>
        <w:tc>
          <w:tcPr>
            <w:tcW w:w="622" w:type="pct"/>
            <w:tcBorders>
              <w:top w:val="nil"/>
              <w:left w:val="nil"/>
              <w:bottom w:val="nil"/>
              <w:right w:val="nil"/>
            </w:tcBorders>
            <w:shd w:val="clear" w:color="000000" w:fill="FFFFFF"/>
            <w:noWrap/>
            <w:vAlign w:val="center"/>
            <w:hideMark/>
          </w:tcPr>
          <w:p w14:paraId="060B8488"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w:t>
            </w:r>
          </w:p>
        </w:tc>
        <w:tc>
          <w:tcPr>
            <w:tcW w:w="1542" w:type="pct"/>
            <w:tcBorders>
              <w:top w:val="nil"/>
              <w:left w:val="nil"/>
              <w:bottom w:val="nil"/>
              <w:right w:val="nil"/>
            </w:tcBorders>
            <w:shd w:val="clear" w:color="000000" w:fill="FFFFFF"/>
            <w:noWrap/>
            <w:vAlign w:val="center"/>
            <w:hideMark/>
          </w:tcPr>
          <w:p w14:paraId="02E7F7E1"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 (£2)</w:t>
            </w:r>
          </w:p>
        </w:tc>
        <w:tc>
          <w:tcPr>
            <w:tcW w:w="1700" w:type="pct"/>
            <w:tcBorders>
              <w:top w:val="nil"/>
              <w:left w:val="nil"/>
              <w:bottom w:val="nil"/>
              <w:right w:val="single" w:sz="4" w:space="0" w:color="auto"/>
            </w:tcBorders>
            <w:shd w:val="clear" w:color="000000" w:fill="FFFFFF"/>
            <w:noWrap/>
            <w:vAlign w:val="center"/>
            <w:hideMark/>
          </w:tcPr>
          <w:p w14:paraId="181D1522"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-0.31 (-£15,727)</w:t>
            </w:r>
          </w:p>
        </w:tc>
      </w:tr>
      <w:tr w:rsidR="00F731D8" w:rsidRPr="00DB5674" w14:paraId="38B296C2"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2940F0FE"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Appendix</w:t>
            </w:r>
          </w:p>
        </w:tc>
        <w:tc>
          <w:tcPr>
            <w:tcW w:w="622" w:type="pct"/>
            <w:tcBorders>
              <w:top w:val="nil"/>
              <w:left w:val="nil"/>
              <w:bottom w:val="nil"/>
              <w:right w:val="nil"/>
            </w:tcBorders>
            <w:shd w:val="clear" w:color="000000" w:fill="FFFFFF"/>
            <w:noWrap/>
            <w:vAlign w:val="center"/>
            <w:hideMark/>
          </w:tcPr>
          <w:p w14:paraId="3B69FCBE"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16</w:t>
            </w:r>
          </w:p>
        </w:tc>
        <w:tc>
          <w:tcPr>
            <w:tcW w:w="1542" w:type="pct"/>
            <w:tcBorders>
              <w:top w:val="nil"/>
              <w:left w:val="nil"/>
              <w:bottom w:val="nil"/>
              <w:right w:val="nil"/>
            </w:tcBorders>
            <w:shd w:val="clear" w:color="auto" w:fill="auto"/>
            <w:noWrap/>
            <w:vAlign w:val="center"/>
            <w:hideMark/>
          </w:tcPr>
          <w:p w14:paraId="6C11CEE6"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1.1 (£5,5078)</w:t>
            </w:r>
          </w:p>
        </w:tc>
        <w:tc>
          <w:tcPr>
            <w:tcW w:w="1700" w:type="pct"/>
            <w:tcBorders>
              <w:top w:val="nil"/>
              <w:left w:val="nil"/>
              <w:bottom w:val="nil"/>
              <w:right w:val="single" w:sz="4" w:space="0" w:color="auto"/>
            </w:tcBorders>
            <w:shd w:val="clear" w:color="000000" w:fill="FFFFFF"/>
            <w:noWrap/>
            <w:vAlign w:val="center"/>
            <w:hideMark/>
          </w:tcPr>
          <w:p w14:paraId="023B5182"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1.99 (£99,383)</w:t>
            </w:r>
          </w:p>
        </w:tc>
      </w:tr>
      <w:tr w:rsidR="00F731D8" w:rsidRPr="00DB5674" w14:paraId="579018F0" w14:textId="77777777" w:rsidTr="00F731D8">
        <w:trPr>
          <w:trHeight w:val="256"/>
        </w:trPr>
        <w:tc>
          <w:tcPr>
            <w:tcW w:w="1136" w:type="pct"/>
            <w:tcBorders>
              <w:top w:val="nil"/>
              <w:left w:val="single" w:sz="4" w:space="0" w:color="auto"/>
              <w:bottom w:val="nil"/>
              <w:right w:val="nil"/>
            </w:tcBorders>
            <w:shd w:val="clear" w:color="000000" w:fill="FFFFFF"/>
            <w:noWrap/>
            <w:vAlign w:val="center"/>
            <w:hideMark/>
          </w:tcPr>
          <w:p w14:paraId="364E629A"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Breast</w:t>
            </w:r>
          </w:p>
        </w:tc>
        <w:tc>
          <w:tcPr>
            <w:tcW w:w="622" w:type="pct"/>
            <w:tcBorders>
              <w:top w:val="nil"/>
              <w:left w:val="nil"/>
              <w:bottom w:val="nil"/>
              <w:right w:val="nil"/>
            </w:tcBorders>
            <w:shd w:val="clear" w:color="000000" w:fill="FFFFFF"/>
            <w:noWrap/>
            <w:vAlign w:val="center"/>
            <w:hideMark/>
          </w:tcPr>
          <w:p w14:paraId="78297B6B"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5</w:t>
            </w:r>
          </w:p>
        </w:tc>
        <w:tc>
          <w:tcPr>
            <w:tcW w:w="1542" w:type="pct"/>
            <w:tcBorders>
              <w:top w:val="nil"/>
              <w:left w:val="nil"/>
              <w:bottom w:val="nil"/>
              <w:right w:val="nil"/>
            </w:tcBorders>
            <w:shd w:val="clear" w:color="000000" w:fill="FFFFFF"/>
            <w:noWrap/>
            <w:vAlign w:val="center"/>
            <w:hideMark/>
          </w:tcPr>
          <w:p w14:paraId="6A70B107"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 (£0)</w:t>
            </w:r>
          </w:p>
        </w:tc>
        <w:tc>
          <w:tcPr>
            <w:tcW w:w="1700" w:type="pct"/>
            <w:tcBorders>
              <w:top w:val="nil"/>
              <w:left w:val="nil"/>
              <w:bottom w:val="nil"/>
              <w:right w:val="single" w:sz="4" w:space="0" w:color="auto"/>
            </w:tcBorders>
            <w:shd w:val="clear" w:color="000000" w:fill="FFFFFF"/>
            <w:noWrap/>
            <w:vAlign w:val="center"/>
            <w:hideMark/>
          </w:tcPr>
          <w:p w14:paraId="00444ECF"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-6.19 (-£309,616)</w:t>
            </w:r>
          </w:p>
        </w:tc>
      </w:tr>
      <w:tr w:rsidR="00F731D8" w:rsidRPr="00DB5674" w14:paraId="570C8C47" w14:textId="77777777" w:rsidTr="00F731D8">
        <w:trPr>
          <w:trHeight w:val="256"/>
        </w:trPr>
        <w:tc>
          <w:tcPr>
            <w:tcW w:w="1136" w:type="pct"/>
            <w:tcBorders>
              <w:top w:val="nil"/>
              <w:left w:val="single" w:sz="4" w:space="0" w:color="auto"/>
              <w:bottom w:val="single" w:sz="4" w:space="0" w:color="auto"/>
              <w:right w:val="nil"/>
            </w:tcBorders>
            <w:shd w:val="clear" w:color="000000" w:fill="FFFFFF"/>
            <w:noWrap/>
            <w:vAlign w:val="center"/>
            <w:hideMark/>
          </w:tcPr>
          <w:p w14:paraId="4E19A2CE" w14:textId="77777777" w:rsidR="00F731D8" w:rsidRPr="00DB5674" w:rsidRDefault="00F731D8" w:rsidP="006574F4">
            <w:pPr>
              <w:spacing w:after="0" w:line="240" w:lineRule="auto"/>
              <w:rPr>
                <w:rFonts w:eastAsia="Times New Roman" w:cs="Times New Roman"/>
                <w:color w:val="000000"/>
                <w:lang w:eastAsia="en-GB"/>
              </w:rPr>
            </w:pPr>
            <w:r w:rsidRPr="00DB5674">
              <w:rPr>
                <w:rFonts w:eastAsia="Times New Roman" w:cs="Times New Roman"/>
                <w:color w:val="000000"/>
                <w:lang w:eastAsia="en-GB"/>
              </w:rPr>
              <w:t>Pancreas</w:t>
            </w:r>
          </w:p>
        </w:tc>
        <w:tc>
          <w:tcPr>
            <w:tcW w:w="622" w:type="pct"/>
            <w:tcBorders>
              <w:top w:val="nil"/>
              <w:left w:val="nil"/>
              <w:bottom w:val="single" w:sz="4" w:space="0" w:color="auto"/>
              <w:right w:val="nil"/>
            </w:tcBorders>
            <w:shd w:val="clear" w:color="000000" w:fill="FFFFFF"/>
            <w:noWrap/>
            <w:vAlign w:val="center"/>
            <w:hideMark/>
          </w:tcPr>
          <w:p w14:paraId="4887851D"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17</w:t>
            </w:r>
          </w:p>
        </w:tc>
        <w:tc>
          <w:tcPr>
            <w:tcW w:w="1542" w:type="pct"/>
            <w:tcBorders>
              <w:top w:val="nil"/>
              <w:left w:val="nil"/>
              <w:bottom w:val="single" w:sz="4" w:space="0" w:color="auto"/>
              <w:right w:val="nil"/>
            </w:tcBorders>
            <w:shd w:val="clear" w:color="000000" w:fill="FFFFFF"/>
            <w:noWrap/>
            <w:vAlign w:val="center"/>
            <w:hideMark/>
          </w:tcPr>
          <w:p w14:paraId="120A7FEE"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0 (£0)</w:t>
            </w:r>
          </w:p>
        </w:tc>
        <w:tc>
          <w:tcPr>
            <w:tcW w:w="1700" w:type="pct"/>
            <w:tcBorders>
              <w:top w:val="nil"/>
              <w:left w:val="nil"/>
              <w:bottom w:val="single" w:sz="4" w:space="0" w:color="auto"/>
              <w:right w:val="single" w:sz="4" w:space="0" w:color="auto"/>
            </w:tcBorders>
            <w:shd w:val="clear" w:color="000000" w:fill="FFFFFF"/>
            <w:noWrap/>
            <w:vAlign w:val="center"/>
            <w:hideMark/>
          </w:tcPr>
          <w:p w14:paraId="37DA917F"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-21.78 (£1,089,034)</w:t>
            </w:r>
          </w:p>
        </w:tc>
      </w:tr>
      <w:tr w:rsidR="00F731D8" w:rsidRPr="00DB5674" w14:paraId="26868D6F" w14:textId="77777777" w:rsidTr="00F731D8">
        <w:trPr>
          <w:trHeight w:val="256"/>
        </w:trPr>
        <w:tc>
          <w:tcPr>
            <w:tcW w:w="1136" w:type="pct"/>
            <w:tcBorders>
              <w:top w:val="nil"/>
              <w:left w:val="single" w:sz="4" w:space="0" w:color="auto"/>
              <w:bottom w:val="single" w:sz="4" w:space="0" w:color="auto"/>
              <w:right w:val="nil"/>
            </w:tcBorders>
            <w:shd w:val="clear" w:color="auto" w:fill="auto"/>
            <w:noWrap/>
            <w:vAlign w:val="center"/>
            <w:hideMark/>
          </w:tcPr>
          <w:p w14:paraId="176E6327"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Sum</w:t>
            </w:r>
          </w:p>
        </w:tc>
        <w:tc>
          <w:tcPr>
            <w:tcW w:w="622" w:type="pct"/>
            <w:tcBorders>
              <w:top w:val="nil"/>
              <w:left w:val="nil"/>
              <w:bottom w:val="single" w:sz="4" w:space="0" w:color="auto"/>
              <w:right w:val="nil"/>
            </w:tcBorders>
            <w:shd w:val="clear" w:color="auto" w:fill="auto"/>
            <w:noWrap/>
            <w:vAlign w:val="center"/>
            <w:hideMark/>
          </w:tcPr>
          <w:p w14:paraId="00DE7D1A"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125</w:t>
            </w:r>
          </w:p>
        </w:tc>
        <w:tc>
          <w:tcPr>
            <w:tcW w:w="1542" w:type="pct"/>
            <w:tcBorders>
              <w:top w:val="nil"/>
              <w:left w:val="nil"/>
              <w:bottom w:val="single" w:sz="4" w:space="0" w:color="auto"/>
              <w:right w:val="nil"/>
            </w:tcBorders>
            <w:shd w:val="clear" w:color="auto" w:fill="auto"/>
            <w:noWrap/>
            <w:vAlign w:val="center"/>
            <w:hideMark/>
          </w:tcPr>
          <w:p w14:paraId="72720F2E"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1.41 (£70,452)</w:t>
            </w:r>
          </w:p>
        </w:tc>
        <w:tc>
          <w:tcPr>
            <w:tcW w:w="1700" w:type="pct"/>
            <w:tcBorders>
              <w:top w:val="nil"/>
              <w:left w:val="nil"/>
              <w:bottom w:val="single" w:sz="4" w:space="0" w:color="auto"/>
              <w:right w:val="single" w:sz="4" w:space="0" w:color="auto"/>
            </w:tcBorders>
            <w:shd w:val="clear" w:color="auto" w:fill="auto"/>
            <w:noWrap/>
            <w:vAlign w:val="center"/>
            <w:hideMark/>
          </w:tcPr>
          <w:p w14:paraId="1CBD5585" w14:textId="77777777" w:rsidR="00F731D8" w:rsidRPr="00DB5674" w:rsidRDefault="00F731D8" w:rsidP="006574F4">
            <w:pPr>
              <w:spacing w:after="0" w:line="240" w:lineRule="auto"/>
              <w:jc w:val="center"/>
              <w:rPr>
                <w:rFonts w:eastAsia="Times New Roman" w:cs="Times New Roman"/>
                <w:color w:val="000000"/>
                <w:lang w:eastAsia="en-GB"/>
              </w:rPr>
            </w:pPr>
            <w:r w:rsidRPr="00DB5674">
              <w:rPr>
                <w:rFonts w:eastAsia="Times New Roman" w:cs="Times New Roman"/>
                <w:color w:val="000000"/>
                <w:lang w:eastAsia="en-GB"/>
              </w:rPr>
              <w:t> </w:t>
            </w:r>
          </w:p>
        </w:tc>
      </w:tr>
    </w:tbl>
    <w:p w14:paraId="5042DEA4" w14:textId="1F1F1A54" w:rsidR="00F731D8" w:rsidRDefault="00F731D8" w:rsidP="00F731D8"/>
    <w:p w14:paraId="2C833AE4" w14:textId="00D2EEB2" w:rsidR="00F731D8" w:rsidRDefault="00F731D8" w:rsidP="00F731D8">
      <w:pPr>
        <w:rPr>
          <w:rFonts w:eastAsia="SimSun" w:cs="Arial"/>
        </w:rPr>
      </w:pPr>
      <w:r>
        <w:rPr>
          <w:rFonts w:eastAsia="SimSun" w:cs="Arial"/>
        </w:rPr>
        <w:fldChar w:fldCharType="begin"/>
      </w:r>
      <w:r>
        <w:rPr>
          <w:rFonts w:eastAsia="SimSun" w:cs="Arial"/>
        </w:rPr>
        <w:instrText xml:space="preserve"> REF _Ref32242641 \h </w:instrText>
      </w:r>
      <w:r>
        <w:rPr>
          <w:rFonts w:eastAsia="SimSun" w:cs="Arial"/>
        </w:rPr>
      </w:r>
      <w:r>
        <w:rPr>
          <w:rFonts w:eastAsia="SimSun" w:cs="Arial"/>
        </w:rPr>
        <w:fldChar w:fldCharType="separate"/>
      </w:r>
      <w:r w:rsidR="00C20257">
        <w:t xml:space="preserve">Table </w:t>
      </w:r>
      <w:r w:rsidR="00C20257">
        <w:rPr>
          <w:noProof/>
        </w:rPr>
        <w:t>32</w:t>
      </w:r>
      <w:r>
        <w:rPr>
          <w:rFonts w:eastAsia="SimSun" w:cs="Arial"/>
        </w:rPr>
        <w:fldChar w:fldCharType="end"/>
      </w:r>
      <w:r w:rsidRPr="00BC61C7">
        <w:rPr>
          <w:rFonts w:eastAsia="SimSun" w:cs="Arial"/>
        </w:rPr>
        <w:t xml:space="preserve"> shows that, of the histologies included, </w:t>
      </w:r>
      <w:r>
        <w:rPr>
          <w:rFonts w:eastAsia="SimSun" w:cs="Arial"/>
        </w:rPr>
        <w:t>the largest risks are associated with decisions about appendix and melanoma.</w:t>
      </w:r>
      <w:r w:rsidRPr="00BC61C7">
        <w:rPr>
          <w:rFonts w:eastAsia="SimSun" w:cs="Arial"/>
        </w:rPr>
        <w:t xml:space="preserve"> This is because these two histologies have uncertainty bounds in </w:t>
      </w:r>
      <w:r w:rsidRPr="00BC61C7">
        <w:rPr>
          <w:rFonts w:eastAsia="SimSun" w:cs="Arial"/>
          <w:highlight w:val="yellow"/>
        </w:rPr>
        <w:fldChar w:fldCharType="begin"/>
      </w:r>
      <w:r w:rsidRPr="00BC61C7">
        <w:rPr>
          <w:rFonts w:eastAsia="SimSun" w:cs="Arial"/>
        </w:rPr>
        <w:instrText xml:space="preserve"> REF _Ref30604529 \h </w:instrText>
      </w:r>
      <w:r w:rsidRPr="00BC61C7">
        <w:rPr>
          <w:rFonts w:eastAsia="SimSun" w:cs="Arial"/>
          <w:highlight w:val="yellow"/>
        </w:rPr>
      </w:r>
      <w:r w:rsidRPr="00BC61C7">
        <w:rPr>
          <w:rFonts w:eastAsia="SimSun" w:cs="Arial"/>
          <w:highlight w:val="yellow"/>
        </w:rPr>
        <w:fldChar w:fldCharType="separate"/>
      </w:r>
      <w:r w:rsidR="00C663A2">
        <w:t xml:space="preserve">Figure </w:t>
      </w:r>
      <w:r w:rsidR="00C663A2">
        <w:rPr>
          <w:noProof/>
        </w:rPr>
        <w:t>15</w:t>
      </w:r>
      <w:r w:rsidRPr="00BC61C7">
        <w:rPr>
          <w:rFonts w:eastAsia="SimSun" w:cs="Arial"/>
          <w:highlight w:val="yellow"/>
        </w:rPr>
        <w:fldChar w:fldCharType="end"/>
      </w:r>
      <w:r w:rsidRPr="00BC61C7">
        <w:rPr>
          <w:rFonts w:eastAsia="SimSun" w:cs="Arial"/>
        </w:rPr>
        <w:t xml:space="preserve"> which cross the line of equivalence. </w:t>
      </w:r>
      <w:r w:rsidR="004309DC">
        <w:rPr>
          <w:rFonts w:eastAsia="SimSun" w:cs="Arial"/>
        </w:rPr>
        <w:t xml:space="preserve">Since </w:t>
      </w:r>
      <w:r>
        <w:rPr>
          <w:rFonts w:eastAsia="SimSun" w:cs="Arial"/>
        </w:rPr>
        <w:t xml:space="preserve">further research </w:t>
      </w:r>
      <w:r w:rsidR="004309DC">
        <w:rPr>
          <w:rFonts w:eastAsia="SimSun" w:cs="Arial"/>
        </w:rPr>
        <w:t>appears</w:t>
      </w:r>
      <w:r>
        <w:rPr>
          <w:rFonts w:eastAsia="SimSun" w:cs="Arial"/>
        </w:rPr>
        <w:t xml:space="preserve"> most valuable in these histologies, this </w:t>
      </w:r>
      <w:r w:rsidR="004309DC">
        <w:rPr>
          <w:rFonts w:eastAsia="SimSun" w:cs="Arial"/>
        </w:rPr>
        <w:t xml:space="preserve">may </w:t>
      </w:r>
      <w:r>
        <w:rPr>
          <w:rFonts w:eastAsia="SimSun" w:cs="Arial"/>
        </w:rPr>
        <w:t xml:space="preserve">help prioritise further data collection. EVPPI assessments can be applied to these histologies to understand the parameters which are driving uncertainty. </w:t>
      </w:r>
      <w:r w:rsidRPr="00BC61C7">
        <w:rPr>
          <w:rFonts w:eastAsia="SimSun" w:cs="Arial"/>
        </w:rPr>
        <w:t xml:space="preserve">For other histologies, it is clear that Drug X is </w:t>
      </w:r>
      <w:r w:rsidR="009D6CA1">
        <w:rPr>
          <w:rFonts w:eastAsia="SimSun" w:cs="Arial"/>
        </w:rPr>
        <w:t>cost-effective</w:t>
      </w:r>
      <w:r w:rsidRPr="00BC61C7">
        <w:rPr>
          <w:rFonts w:eastAsia="SimSun" w:cs="Arial"/>
        </w:rPr>
        <w:t xml:space="preserve"> (e.g. IFS) or it is not</w:t>
      </w:r>
      <w:r>
        <w:rPr>
          <w:rFonts w:eastAsia="SimSun" w:cs="Arial"/>
        </w:rPr>
        <w:t xml:space="preserve"> </w:t>
      </w:r>
      <w:r w:rsidR="009D6CA1">
        <w:rPr>
          <w:rFonts w:eastAsia="SimSun" w:cs="Arial"/>
        </w:rPr>
        <w:t>cost-effective</w:t>
      </w:r>
      <w:r>
        <w:rPr>
          <w:rFonts w:eastAsia="SimSun" w:cs="Arial"/>
        </w:rPr>
        <w:t xml:space="preserve"> (e.g. pancreas) </w:t>
      </w:r>
      <w:r w:rsidR="004309DC">
        <w:rPr>
          <w:rFonts w:eastAsia="SimSun" w:cs="Arial"/>
        </w:rPr>
        <w:t xml:space="preserve">based on current evidence </w:t>
      </w:r>
      <w:r>
        <w:rPr>
          <w:rFonts w:eastAsia="SimSun" w:cs="Arial"/>
        </w:rPr>
        <w:t xml:space="preserve">and so there is </w:t>
      </w:r>
      <w:r w:rsidR="004309DC">
        <w:rPr>
          <w:rFonts w:eastAsia="SimSun" w:cs="Arial"/>
        </w:rPr>
        <w:t>appears limited risk of</w:t>
      </w:r>
      <w:r>
        <w:rPr>
          <w:rFonts w:eastAsia="SimSun" w:cs="Arial"/>
        </w:rPr>
        <w:t xml:space="preserve"> making the wrong decision and so little value in further research.</w:t>
      </w:r>
    </w:p>
    <w:p w14:paraId="41770A14" w14:textId="6754F798" w:rsidR="00F731D8" w:rsidRDefault="00F731D8" w:rsidP="00F731D8">
      <w:pPr>
        <w:rPr>
          <w:rFonts w:eastAsia="SimSun" w:cs="Arial"/>
        </w:rPr>
      </w:pPr>
      <w:r>
        <w:rPr>
          <w:rFonts w:eastAsia="SimSun" w:cs="Arial"/>
        </w:rPr>
        <w:fldChar w:fldCharType="begin"/>
      </w:r>
      <w:r>
        <w:rPr>
          <w:rFonts w:eastAsia="SimSun" w:cs="Arial"/>
        </w:rPr>
        <w:instrText xml:space="preserve"> REF _Ref32242641 \h </w:instrText>
      </w:r>
      <w:r>
        <w:rPr>
          <w:rFonts w:eastAsia="SimSun" w:cs="Arial"/>
        </w:rPr>
      </w:r>
      <w:r>
        <w:rPr>
          <w:rFonts w:eastAsia="SimSun" w:cs="Arial"/>
        </w:rPr>
        <w:fldChar w:fldCharType="separate"/>
      </w:r>
      <w:r w:rsidR="00C9471F">
        <w:t xml:space="preserve">Table </w:t>
      </w:r>
      <w:r w:rsidR="00C9471F">
        <w:rPr>
          <w:noProof/>
        </w:rPr>
        <w:t>32</w:t>
      </w:r>
      <w:r>
        <w:rPr>
          <w:rFonts w:eastAsia="SimSun" w:cs="Arial"/>
        </w:rPr>
        <w:fldChar w:fldCharType="end"/>
      </w:r>
      <w:r>
        <w:rPr>
          <w:rFonts w:eastAsia="SimSun" w:cs="Arial"/>
        </w:rPr>
        <w:t xml:space="preserve"> also illustrates that the total risk associated with decision making has reduced for stratified decision making compared to no stratification</w:t>
      </w:r>
      <w:r w:rsidRPr="00BC61C7">
        <w:rPr>
          <w:rFonts w:eastAsia="SimSun" w:cs="Arial"/>
        </w:rPr>
        <w:t xml:space="preserve">. </w:t>
      </w:r>
      <w:r>
        <w:rPr>
          <w:rFonts w:eastAsia="SimSun" w:cs="Arial"/>
        </w:rPr>
        <w:t>T</w:t>
      </w:r>
      <w:r w:rsidRPr="00BC61C7">
        <w:rPr>
          <w:rFonts w:eastAsia="SimSun" w:cs="Arial"/>
        </w:rPr>
        <w:t xml:space="preserve">he </w:t>
      </w:r>
      <w:r>
        <w:rPr>
          <w:rFonts w:eastAsia="SimSun" w:cs="Arial"/>
        </w:rPr>
        <w:t>expected health consequences of uncertainty were</w:t>
      </w:r>
      <w:r w:rsidRPr="00BC61C7">
        <w:rPr>
          <w:rFonts w:eastAsia="SimSun" w:cs="Arial"/>
        </w:rPr>
        <w:t xml:space="preserve"> </w:t>
      </w:r>
      <w:r>
        <w:rPr>
          <w:rFonts w:eastAsia="SimSun" w:cs="Arial"/>
        </w:rPr>
        <w:t>29.52</w:t>
      </w:r>
      <w:r w:rsidRPr="00BC61C7">
        <w:rPr>
          <w:rFonts w:eastAsia="SimSun" w:cs="Arial"/>
        </w:rPr>
        <w:t xml:space="preserve"> QALYs </w:t>
      </w:r>
      <w:r>
        <w:rPr>
          <w:rFonts w:eastAsia="SimSun" w:cs="Arial"/>
        </w:rPr>
        <w:t>per year</w:t>
      </w:r>
      <w:r w:rsidRPr="00BC61C7">
        <w:rPr>
          <w:rFonts w:eastAsia="SimSun" w:cs="Arial"/>
        </w:rPr>
        <w:t xml:space="preserve"> for no stratification. This was zero for partial stratification and </w:t>
      </w:r>
      <w:r w:rsidR="00784F1D">
        <w:rPr>
          <w:rFonts w:eastAsia="SimSun" w:cs="Arial"/>
        </w:rPr>
        <w:t xml:space="preserve">approximately </w:t>
      </w:r>
      <w:r>
        <w:rPr>
          <w:rFonts w:eastAsia="SimSun" w:cs="Arial"/>
        </w:rPr>
        <w:t>1.41</w:t>
      </w:r>
      <w:r w:rsidRPr="00BC61C7">
        <w:rPr>
          <w:rFonts w:eastAsia="SimSun" w:cs="Arial"/>
        </w:rPr>
        <w:t xml:space="preserve"> QALYs </w:t>
      </w:r>
      <w:r>
        <w:rPr>
          <w:rFonts w:eastAsia="SimSun" w:cs="Arial"/>
        </w:rPr>
        <w:t xml:space="preserve">per year </w:t>
      </w:r>
      <w:r w:rsidRPr="00BC61C7">
        <w:rPr>
          <w:rFonts w:eastAsia="SimSun" w:cs="Arial"/>
        </w:rPr>
        <w:t>for full stratification</w:t>
      </w:r>
      <w:r>
        <w:rPr>
          <w:rFonts w:eastAsia="SimSun" w:cs="Arial"/>
        </w:rPr>
        <w:t xml:space="preserve"> (implying a reduction of 28.11 QALYs)</w:t>
      </w:r>
      <w:r w:rsidRPr="00BC61C7">
        <w:rPr>
          <w:rFonts w:eastAsia="SimSun" w:cs="Arial"/>
        </w:rPr>
        <w:t xml:space="preserve">. </w:t>
      </w:r>
    </w:p>
    <w:p w14:paraId="0ECA8586" w14:textId="1B48E3F9" w:rsidR="00F731D8" w:rsidRDefault="00F731D8" w:rsidP="00F731D8">
      <w:pPr>
        <w:rPr>
          <w:rFonts w:eastAsia="SimSun" w:cs="Arial"/>
        </w:rPr>
      </w:pPr>
      <w:r>
        <w:rPr>
          <w:rFonts w:eastAsia="SimSun" w:cs="Arial"/>
        </w:rPr>
        <w:t>The change in uncertainty (as measured by VOI)</w:t>
      </w:r>
      <w:r w:rsidRPr="00BC61C7">
        <w:rPr>
          <w:rFonts w:eastAsia="SimSun" w:cs="Arial"/>
        </w:rPr>
        <w:t xml:space="preserve"> </w:t>
      </w:r>
      <w:r>
        <w:rPr>
          <w:rFonts w:eastAsia="SimSun" w:cs="Arial"/>
        </w:rPr>
        <w:t xml:space="preserve">from less stratification to more stratification </w:t>
      </w:r>
      <w:r w:rsidRPr="00BC61C7">
        <w:rPr>
          <w:rFonts w:eastAsia="SimSun" w:cs="Arial"/>
        </w:rPr>
        <w:t xml:space="preserve">has been called the </w:t>
      </w:r>
      <w:r w:rsidR="006D0C94">
        <w:rPr>
          <w:rFonts w:eastAsia="SimSun" w:cs="Arial"/>
        </w:rPr>
        <w:t>‘</w:t>
      </w:r>
      <w:r w:rsidRPr="00BC61C7">
        <w:rPr>
          <w:rFonts w:eastAsia="SimSun" w:cs="Arial"/>
        </w:rPr>
        <w:t>dynamic value of heterogeneity</w:t>
      </w:r>
      <w:r w:rsidR="006D0C94">
        <w:rPr>
          <w:rFonts w:eastAsia="SimSun" w:cs="Arial"/>
        </w:rPr>
        <w:t>’</w:t>
      </w:r>
      <w:r w:rsidRPr="00BC61C7">
        <w:rPr>
          <w:rFonts w:eastAsia="SimSun" w:cs="Arial"/>
        </w:rPr>
        <w:t xml:space="preserve"> in the literature.</w:t>
      </w:r>
      <w:r w:rsidR="00CB2733">
        <w:rPr>
          <w:rFonts w:eastAsia="SimSun" w:cs="Arial"/>
        </w:rPr>
        <w:fldChar w:fldCharType="begin"/>
      </w:r>
      <w:r w:rsidR="00054FE8">
        <w:rPr>
          <w:rFonts w:eastAsia="SimSun" w:cs="Arial"/>
        </w:rPr>
        <w:instrText xml:space="preserve"> ADDIN EN.CITE &lt;EndNote&gt;&lt;Cite&gt;&lt;Author&gt;Espinoza&lt;/Author&gt;&lt;Year&gt;2014&lt;/Year&gt;&lt;RecNum&gt;3483&lt;/RecNum&gt;&lt;DisplayText&gt;&lt;style face="superscript"&gt;146&lt;/style&gt;&lt;/DisplayText&gt;&lt;record&gt;&lt;rec-number&gt;3483&lt;/rec-number&gt;&lt;foreign-keys&gt;&lt;key app="EN" db-id="dwaevxvazfs2f3ewvzmxrd0k0wasw55p2z2w" timestamp="1579606097"&gt;3483&lt;/key&gt;&lt;/foreign-keys&gt;&lt;ref-type name="Journal Article"&gt;17&lt;/ref-type&gt;&lt;contributors&gt;&lt;authors&gt;&lt;author&gt;Espinoza, M. A.&lt;/author&gt;&lt;author&gt;Manca, A.&lt;/author&gt;&lt;author&gt;Claxton, K.&lt;/author&gt;&lt;author&gt;Sculpher, M. J.&lt;/author&gt;&lt;/authors&gt;&lt;/contributors&gt;&lt;auth-address&gt;Department of Public Health, Pontificia Universidad Catolica de Chile, Santiago, Chile (MAE)&amp;#xD;Department of Scientific Affairs, Institute of Public Health, Santiago, Chile (MAE)&amp;#xD;Centre for Health Economics, University of York, York, UK (AM, KC, MJS)&amp;#xD;Department of Economics and Related Studies, University of York, York, UK (KC).&lt;/auth-address&gt;&lt;titles&gt;&lt;title&gt;The value of heterogeneity for cost-effectiveness subgroup analysis: conceptual framework and application&lt;/title&gt;&lt;secondary-title&gt;Med Decis Making&lt;/secondary-title&gt;&lt;/titles&gt;&lt;periodical&gt;&lt;full-title&gt;Medical Decision Making&lt;/full-title&gt;&lt;abbr-1&gt;Med Decis Making&lt;/abbr-1&gt;&lt;/periodical&gt;&lt;pages&gt;951-64&lt;/pages&gt;&lt;volume&gt;34&lt;/volume&gt;&lt;number&gt;8&lt;/number&gt;&lt;edition&gt;2014/06/20&lt;/edition&gt;&lt;keywords&gt;&lt;keyword&gt;*Cost-Benefit Analysis&lt;/keyword&gt;&lt;keyword&gt;Research&lt;/keyword&gt;&lt;keyword&gt;Uncertainty&lt;/keyword&gt;&lt;/keywords&gt;&lt;dates&gt;&lt;year&gt;2014&lt;/year&gt;&lt;pub-dates&gt;&lt;date&gt;Nov&lt;/date&gt;&lt;/pub-dates&gt;&lt;/dates&gt;&lt;isbn&gt;1552-681X (Electronic)&amp;#xD;0272-989X (Linking)&lt;/isbn&gt;&lt;accession-num&gt;24944196&lt;/accession-num&gt;&lt;urls&gt;&lt;/urls&gt;&lt;custom2&gt;4232328&lt;/custom2&gt;&lt;custom4&gt;STEVE&amp;apos;S REFERENCES&lt;/custom4&gt;&lt;electronic-resource-num&gt;0272989X14538705 [pii]&amp;#xD;10.1177/0272989X14538705&lt;/electronic-resource-num&gt;&lt;research-notes&gt;https://www.ncbi.nlm.nih.gov/pubmed/24944196&lt;/research-notes&gt;&lt;language&gt;eng&lt;/language&gt;&lt;/record&gt;&lt;/Cite&gt;&lt;/EndNote&gt;</w:instrText>
      </w:r>
      <w:r w:rsidR="00CB2733">
        <w:rPr>
          <w:rFonts w:eastAsia="SimSun" w:cs="Arial"/>
        </w:rPr>
        <w:fldChar w:fldCharType="separate"/>
      </w:r>
      <w:r w:rsidR="004D5B2B" w:rsidRPr="004D5B2B">
        <w:rPr>
          <w:rFonts w:eastAsia="SimSun" w:cs="Arial"/>
          <w:noProof/>
          <w:vertAlign w:val="superscript"/>
        </w:rPr>
        <w:t>146</w:t>
      </w:r>
      <w:r w:rsidR="00CB2733">
        <w:rPr>
          <w:rFonts w:eastAsia="SimSun" w:cs="Arial"/>
        </w:rPr>
        <w:fldChar w:fldCharType="end"/>
      </w:r>
      <w:r>
        <w:rPr>
          <w:rFonts w:eastAsia="SimSun" w:cs="Arial"/>
        </w:rPr>
        <w:t xml:space="preserve"> It should be noted that increasing</w:t>
      </w:r>
      <w:r w:rsidRPr="00BC61C7">
        <w:rPr>
          <w:rFonts w:eastAsia="SimSun" w:cs="Arial"/>
        </w:rPr>
        <w:t xml:space="preserve"> strati</w:t>
      </w:r>
      <w:r>
        <w:rPr>
          <w:rFonts w:eastAsia="SimSun" w:cs="Arial"/>
        </w:rPr>
        <w:t xml:space="preserve">fication </w:t>
      </w:r>
      <w:r w:rsidRPr="00BC61C7">
        <w:rPr>
          <w:rFonts w:eastAsia="SimSun" w:cs="Arial"/>
        </w:rPr>
        <w:t xml:space="preserve">may increase or decrease the </w:t>
      </w:r>
      <w:r>
        <w:rPr>
          <w:rFonts w:eastAsia="SimSun" w:cs="Arial"/>
        </w:rPr>
        <w:t>uncertainty in decision making</w:t>
      </w:r>
      <w:r w:rsidRPr="00BC61C7">
        <w:rPr>
          <w:rFonts w:eastAsia="SimSun" w:cs="Arial"/>
        </w:rPr>
        <w:t>. When the characteristic that treatme</w:t>
      </w:r>
      <w:r>
        <w:rPr>
          <w:rFonts w:eastAsia="SimSun" w:cs="Arial"/>
        </w:rPr>
        <w:t xml:space="preserve">nt is being stratified by is </w:t>
      </w:r>
      <w:r w:rsidRPr="00BC61C7">
        <w:rPr>
          <w:rFonts w:eastAsia="SimSun" w:cs="Arial"/>
        </w:rPr>
        <w:t>important in explaining heterogeneity (such as histology in the case study)</w:t>
      </w:r>
      <w:r w:rsidR="006D0C94">
        <w:rPr>
          <w:rFonts w:eastAsia="SimSun" w:cs="Arial"/>
        </w:rPr>
        <w:t>,</w:t>
      </w:r>
      <w:r w:rsidRPr="00BC61C7">
        <w:rPr>
          <w:rFonts w:eastAsia="SimSun" w:cs="Arial"/>
        </w:rPr>
        <w:t xml:space="preserve"> then stratification will increase the value of implementing the treatment while reducing the </w:t>
      </w:r>
      <w:r>
        <w:rPr>
          <w:rFonts w:eastAsia="SimSun" w:cs="Arial"/>
        </w:rPr>
        <w:t>risk of making an incorrect decision</w:t>
      </w:r>
      <w:r w:rsidRPr="00BC61C7">
        <w:rPr>
          <w:rFonts w:eastAsia="SimSun" w:cs="Arial"/>
        </w:rPr>
        <w:t xml:space="preserve">. This is because variability in outcomes is translated into heterogeneity. However, if a stratification characteristic contains little information to distinguish outcomes then </w:t>
      </w:r>
      <w:r>
        <w:rPr>
          <w:rFonts w:eastAsia="SimSun" w:cs="Arial"/>
        </w:rPr>
        <w:t>uncertainty</w:t>
      </w:r>
      <w:r w:rsidRPr="00BC61C7">
        <w:rPr>
          <w:rFonts w:eastAsia="SimSun" w:cs="Arial"/>
        </w:rPr>
        <w:t xml:space="preserve"> may increase with stratification due to sample splitting.</w:t>
      </w:r>
      <w:r w:rsidR="00CB2733">
        <w:rPr>
          <w:rFonts w:eastAsia="SimSun" w:cs="Arial"/>
        </w:rPr>
        <w:fldChar w:fldCharType="begin"/>
      </w:r>
      <w:r w:rsidR="00054FE8">
        <w:rPr>
          <w:rFonts w:eastAsia="SimSun" w:cs="Arial"/>
        </w:rPr>
        <w:instrText xml:space="preserve"> ADDIN EN.CITE &lt;EndNote&gt;&lt;Cite&gt;&lt;Author&gt;Espinoza&lt;/Author&gt;&lt;Year&gt;2014&lt;/Year&gt;&lt;RecNum&gt;3483&lt;/RecNum&gt;&lt;DisplayText&gt;&lt;style face="superscript"&gt;146&lt;/style&gt;&lt;/DisplayText&gt;&lt;record&gt;&lt;rec-number&gt;3483&lt;/rec-number&gt;&lt;foreign-keys&gt;&lt;key app="EN" db-id="dwaevxvazfs2f3ewvzmxrd0k0wasw55p2z2w" timestamp="1579606097"&gt;3483&lt;/key&gt;&lt;/foreign-keys&gt;&lt;ref-type name="Journal Article"&gt;17&lt;/ref-type&gt;&lt;contributors&gt;&lt;authors&gt;&lt;author&gt;Espinoza, M. A.&lt;/author&gt;&lt;author&gt;Manca, A.&lt;/author&gt;&lt;author&gt;Claxton, K.&lt;/author&gt;&lt;author&gt;Sculpher, M. J.&lt;/author&gt;&lt;/authors&gt;&lt;/contributors&gt;&lt;auth-address&gt;Department of Public Health, Pontificia Universidad Catolica de Chile, Santiago, Chile (MAE)&amp;#xD;Department of Scientific Affairs, Institute of Public Health, Santiago, Chile (MAE)&amp;#xD;Centre for Health Economics, University of York, York, UK (AM, KC, MJS)&amp;#xD;Department of Economics and Related Studies, University of York, York, UK (KC).&lt;/auth-address&gt;&lt;titles&gt;&lt;title&gt;The value of heterogeneity for cost-effectiveness subgroup analysis: conceptual framework and application&lt;/title&gt;&lt;secondary-title&gt;Med Decis Making&lt;/secondary-title&gt;&lt;/titles&gt;&lt;periodical&gt;&lt;full-title&gt;Medical Decision Making&lt;/full-title&gt;&lt;abbr-1&gt;Med Decis Making&lt;/abbr-1&gt;&lt;/periodical&gt;&lt;pages&gt;951-64&lt;/pages&gt;&lt;volume&gt;34&lt;/volume&gt;&lt;number&gt;8&lt;/number&gt;&lt;edition&gt;2014/06/20&lt;/edition&gt;&lt;keywords&gt;&lt;keyword&gt;*Cost-Benefit Analysis&lt;/keyword&gt;&lt;keyword&gt;Research&lt;/keyword&gt;&lt;keyword&gt;Uncertainty&lt;/keyword&gt;&lt;/keywords&gt;&lt;dates&gt;&lt;year&gt;2014&lt;/year&gt;&lt;pub-dates&gt;&lt;date&gt;Nov&lt;/date&gt;&lt;/pub-dates&gt;&lt;/dates&gt;&lt;isbn&gt;1552-681X (Electronic)&amp;#xD;0272-989X (Linking)&lt;/isbn&gt;&lt;accession-num&gt;24944196&lt;/accession-num&gt;&lt;urls&gt;&lt;/urls&gt;&lt;custom2&gt;4232328&lt;/custom2&gt;&lt;custom4&gt;STEVE&amp;apos;S REFERENCES&lt;/custom4&gt;&lt;electronic-resource-num&gt;0272989X14538705 [pii]&amp;#xD;10.1177/0272989X14538705&lt;/electronic-resource-num&gt;&lt;research-notes&gt;https://www.ncbi.nlm.nih.gov/pubmed/24944196&lt;/research-notes&gt;&lt;language&gt;eng&lt;/language&gt;&lt;/record&gt;&lt;/Cite&gt;&lt;/EndNote&gt;</w:instrText>
      </w:r>
      <w:r w:rsidR="00CB2733">
        <w:rPr>
          <w:rFonts w:eastAsia="SimSun" w:cs="Arial"/>
        </w:rPr>
        <w:fldChar w:fldCharType="separate"/>
      </w:r>
      <w:r w:rsidR="004D5B2B" w:rsidRPr="004D5B2B">
        <w:rPr>
          <w:rFonts w:eastAsia="SimSun" w:cs="Arial"/>
          <w:noProof/>
          <w:vertAlign w:val="superscript"/>
        </w:rPr>
        <w:t>146</w:t>
      </w:r>
      <w:r w:rsidR="00CB2733">
        <w:rPr>
          <w:rFonts w:eastAsia="SimSun" w:cs="Arial"/>
        </w:rPr>
        <w:fldChar w:fldCharType="end"/>
      </w:r>
      <w:r w:rsidR="007522F6" w:rsidRPr="007522F6">
        <w:rPr>
          <w:rFonts w:eastAsia="SimSun" w:cs="Arial"/>
        </w:rPr>
        <w:t xml:space="preserve"> </w:t>
      </w:r>
      <w:r w:rsidRPr="00BC61C7">
        <w:rPr>
          <w:rFonts w:eastAsia="SimSun" w:cs="Arial"/>
        </w:rPr>
        <w:t xml:space="preserve"> </w:t>
      </w:r>
    </w:p>
    <w:p w14:paraId="51095C6E" w14:textId="541B1F9D" w:rsidR="00B30C5C" w:rsidRPr="00B30C5C" w:rsidRDefault="00B30C5C" w:rsidP="00F731D8">
      <w:pPr>
        <w:pStyle w:val="Heading3"/>
      </w:pPr>
      <w:bookmarkStart w:id="274" w:name="_Ref32320475"/>
      <w:bookmarkStart w:id="275" w:name="_Toc33776242"/>
      <w:r w:rsidRPr="00B30C5C">
        <w:t>Comparing approaches to risk management in histology</w:t>
      </w:r>
      <w:r w:rsidR="006D0C94">
        <w:t>-</w:t>
      </w:r>
      <w:r w:rsidRPr="00B30C5C">
        <w:t>independent technologies</w:t>
      </w:r>
      <w:bookmarkEnd w:id="274"/>
      <w:bookmarkEnd w:id="275"/>
    </w:p>
    <w:p w14:paraId="4F4B8895" w14:textId="1D8D36A0" w:rsidR="00421752" w:rsidRDefault="00421752" w:rsidP="00F731D8">
      <w:pPr>
        <w:rPr>
          <w:rFonts w:eastAsia="SimSun" w:cs="Arial"/>
        </w:rPr>
      </w:pPr>
      <w:r>
        <w:rPr>
          <w:rFonts w:eastAsia="SimSun" w:cs="Arial"/>
        </w:rPr>
        <w:t xml:space="preserve">When making a histology independent approval decision, with current evidence and without any discount, Drug X appeared </w:t>
      </w:r>
      <w:r w:rsidR="009D6CA1">
        <w:rPr>
          <w:rFonts w:eastAsia="SimSun" w:cs="Arial"/>
        </w:rPr>
        <w:t>cost-effective</w:t>
      </w:r>
      <w:r w:rsidR="004309DC">
        <w:rPr>
          <w:rFonts w:eastAsia="SimSun" w:cs="Arial"/>
        </w:rPr>
        <w:t xml:space="preserve"> based on expected values</w:t>
      </w:r>
      <w:r>
        <w:rPr>
          <w:rFonts w:eastAsia="SimSun" w:cs="Arial"/>
        </w:rPr>
        <w:t xml:space="preserve"> but the health consequences of uncertainty were estimated to be 29.52 QALYs per year. </w:t>
      </w:r>
      <w:r w:rsidR="00F731D8" w:rsidRPr="006B7F22">
        <w:rPr>
          <w:rFonts w:eastAsia="SimSun" w:cs="Arial"/>
        </w:rPr>
        <w:t xml:space="preserve">Three </w:t>
      </w:r>
      <w:r w:rsidR="00F731D8">
        <w:rPr>
          <w:rFonts w:eastAsia="SimSun" w:cs="Arial"/>
        </w:rPr>
        <w:t xml:space="preserve">approaches to risk management </w:t>
      </w:r>
      <w:r w:rsidR="00F731D8" w:rsidRPr="006B7F22">
        <w:rPr>
          <w:rFonts w:eastAsia="SimSun" w:cs="Arial"/>
        </w:rPr>
        <w:t xml:space="preserve">were explored: </w:t>
      </w:r>
      <w:r w:rsidR="008B2489">
        <w:rPr>
          <w:rFonts w:eastAsia="SimSun" w:cs="Arial"/>
        </w:rPr>
        <w:t xml:space="preserve">further data collection, pricing schemes </w:t>
      </w:r>
      <w:r w:rsidR="00F731D8">
        <w:rPr>
          <w:rFonts w:eastAsia="SimSun" w:cs="Arial"/>
        </w:rPr>
        <w:t xml:space="preserve">and stratified decision making. </w:t>
      </w:r>
    </w:p>
    <w:p w14:paraId="556627B6" w14:textId="371BD1A5" w:rsidR="008B2489" w:rsidRDefault="00421752" w:rsidP="00F731D8">
      <w:pPr>
        <w:rPr>
          <w:rFonts w:eastAsia="SimSun" w:cs="Arial"/>
        </w:rPr>
      </w:pPr>
      <w:r>
        <w:rPr>
          <w:rFonts w:eastAsia="SimSun" w:cs="Arial"/>
        </w:rPr>
        <w:t>T</w:t>
      </w:r>
      <w:r w:rsidR="00F731D8">
        <w:rPr>
          <w:rFonts w:eastAsia="SimSun" w:cs="Arial"/>
        </w:rPr>
        <w:t xml:space="preserve">he upper bound for value of further data collection on overall survival was expected to be 12.16 </w:t>
      </w:r>
      <w:r w:rsidR="00F731D8" w:rsidRPr="005252EF">
        <w:rPr>
          <w:rFonts w:eastAsia="SimSun" w:cs="Arial"/>
        </w:rPr>
        <w:t xml:space="preserve">QALYs, this is compared to a reduction in risk of 5.61 QALYs from a 10% price </w:t>
      </w:r>
      <w:r w:rsidR="008B2489">
        <w:rPr>
          <w:rFonts w:eastAsia="SimSun" w:cs="Arial"/>
        </w:rPr>
        <w:t>discount</w:t>
      </w:r>
      <w:r>
        <w:rPr>
          <w:rFonts w:eastAsia="SimSun" w:cs="Arial"/>
        </w:rPr>
        <w:t xml:space="preserve">, 8.22 </w:t>
      </w:r>
      <w:r>
        <w:rPr>
          <w:rFonts w:eastAsia="SimSun" w:cs="Arial"/>
        </w:rPr>
        <w:lastRenderedPageBreak/>
        <w:t>QALYs from a 20% discount, 20.17 QALYs from a pay-for-performance scheme</w:t>
      </w:r>
      <w:r w:rsidR="00F731D8" w:rsidRPr="005252EF">
        <w:rPr>
          <w:rFonts w:eastAsia="SimSun" w:cs="Arial"/>
        </w:rPr>
        <w:t xml:space="preserve"> and a reduction of 28.11 QALYs from stratification. </w:t>
      </w:r>
    </w:p>
    <w:p w14:paraId="3012A2E0" w14:textId="50C29F4D" w:rsidR="00F731D8" w:rsidRDefault="00F731D8" w:rsidP="00F731D8">
      <w:pPr>
        <w:rPr>
          <w:rFonts w:eastAsia="SimSun" w:cs="Arial"/>
        </w:rPr>
      </w:pPr>
      <w:r>
        <w:rPr>
          <w:rFonts w:eastAsia="SimSun" w:cs="Arial"/>
        </w:rPr>
        <w:t xml:space="preserve">The magnitude of uncertainty resolved through data collection will depend on which parameters can be informed by feasible research. Due to institutional or ethical constraints, data collection may not be possible for some parameters and this places limits on this approach to risk management. </w:t>
      </w:r>
    </w:p>
    <w:p w14:paraId="55FF4750" w14:textId="3A97F819" w:rsidR="00F731D8" w:rsidRPr="0067194E" w:rsidRDefault="00F731D8" w:rsidP="00F731D8">
      <w:pPr>
        <w:rPr>
          <w:rFonts w:eastAsia="SimSun" w:cs="Arial"/>
        </w:rPr>
      </w:pPr>
      <w:r>
        <w:rPr>
          <w:rFonts w:eastAsia="SimSun" w:cs="Arial"/>
        </w:rPr>
        <w:t xml:space="preserve">As discussed previously, the degree of uncertainty resolved through stratifying by histology will depend on the importance of histologies in explaining heterogeneity in </w:t>
      </w:r>
      <w:r w:rsidR="009D6CA1">
        <w:rPr>
          <w:rFonts w:eastAsia="SimSun" w:cs="Arial"/>
        </w:rPr>
        <w:t>cost-effective</w:t>
      </w:r>
      <w:r>
        <w:rPr>
          <w:rFonts w:eastAsia="SimSun" w:cs="Arial"/>
        </w:rPr>
        <w:t xml:space="preserve">ness. In cases in which </w:t>
      </w:r>
      <w:r w:rsidR="009D6CA1">
        <w:rPr>
          <w:rFonts w:eastAsia="SimSun" w:cs="Arial"/>
        </w:rPr>
        <w:t>cost-effective</w:t>
      </w:r>
      <w:r>
        <w:rPr>
          <w:rFonts w:eastAsia="SimSun" w:cs="Arial"/>
        </w:rPr>
        <w:t>ness does not vary significantly across histologies, the risk reduction from stratification will be lower. T</w:t>
      </w:r>
      <w:r w:rsidRPr="0067194E">
        <w:rPr>
          <w:rFonts w:eastAsia="SimSun" w:cs="Arial"/>
        </w:rPr>
        <w:t xml:space="preserve">here may </w:t>
      </w:r>
      <w:r>
        <w:rPr>
          <w:rFonts w:eastAsia="SimSun" w:cs="Arial"/>
        </w:rPr>
        <w:t xml:space="preserve">also </w:t>
      </w:r>
      <w:r w:rsidRPr="0067194E">
        <w:rPr>
          <w:rFonts w:eastAsia="SimSun" w:cs="Arial"/>
        </w:rPr>
        <w:t xml:space="preserve">be additional costs associated with </w:t>
      </w:r>
      <w:r>
        <w:rPr>
          <w:rFonts w:eastAsia="SimSun" w:cs="Arial"/>
        </w:rPr>
        <w:t>(partially or fully) stratified</w:t>
      </w:r>
      <w:r w:rsidRPr="0067194E">
        <w:rPr>
          <w:rFonts w:eastAsia="SimSun" w:cs="Arial"/>
        </w:rPr>
        <w:t xml:space="preserve"> recommendations, for example, the costs of monitoring clinician behaviour to ensure that treatments are not being used in histologies for which they do not have approval.</w:t>
      </w:r>
      <w:r w:rsidRPr="0067194E">
        <w:rPr>
          <w:rFonts w:eastAsia="SimSun" w:cs="Arial"/>
        </w:rPr>
        <w:fldChar w:fldCharType="begin">
          <w:fldData xml:space="preserve">PEVuZE5vdGU+PENpdGU+PEF1dGhvcj5Db3lsZTwvQXV0aG9yPjxZZWFyPjIwMDM8L1llYXI+PFJl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</w:fldData>
        </w:fldChar>
      </w:r>
      <w:r w:rsidR="00054FE8">
        <w:rPr>
          <w:rFonts w:eastAsia="SimSun" w:cs="Arial"/>
        </w:rPr>
        <w:instrText xml:space="preserve"> ADDIN EN.CITE </w:instrText>
      </w:r>
      <w:r w:rsidR="00054FE8">
        <w:rPr>
          <w:rFonts w:eastAsia="SimSun" w:cs="Arial"/>
        </w:rPr>
        <w:fldChar w:fldCharType="begin">
          <w:fldData xml:space="preserve">PEVuZE5vdGU+PENpdGU+PEF1dGhvcj5Db3lsZTwvQXV0aG9yPjxZZWFyPjIwMDM8L1llYXI+PFJl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</w:fldData>
        </w:fldChar>
      </w:r>
      <w:r w:rsidR="00054FE8">
        <w:rPr>
          <w:rFonts w:eastAsia="SimSun" w:cs="Arial"/>
        </w:rPr>
        <w:instrText xml:space="preserve"> ADDIN EN.CITE.DATA </w:instrText>
      </w:r>
      <w:r w:rsidR="00054FE8">
        <w:rPr>
          <w:rFonts w:eastAsia="SimSun" w:cs="Arial"/>
        </w:rPr>
      </w:r>
      <w:r w:rsidR="00054FE8">
        <w:rPr>
          <w:rFonts w:eastAsia="SimSun" w:cs="Arial"/>
        </w:rPr>
        <w:fldChar w:fldCharType="end"/>
      </w:r>
      <w:r w:rsidRPr="0067194E">
        <w:rPr>
          <w:rFonts w:eastAsia="SimSun" w:cs="Arial"/>
        </w:rPr>
      </w:r>
      <w:r w:rsidRPr="0067194E">
        <w:rPr>
          <w:rFonts w:eastAsia="SimSun" w:cs="Arial"/>
        </w:rPr>
        <w:fldChar w:fldCharType="separate"/>
      </w:r>
      <w:r w:rsidR="004D5B2B" w:rsidRPr="004D5B2B">
        <w:rPr>
          <w:rFonts w:eastAsia="SimSun" w:cs="Arial"/>
          <w:noProof/>
          <w:vertAlign w:val="superscript"/>
        </w:rPr>
        <w:t>145, 146</w:t>
      </w:r>
      <w:r w:rsidRPr="0067194E">
        <w:rPr>
          <w:rFonts w:eastAsia="SimSun" w:cs="Arial"/>
        </w:rPr>
        <w:fldChar w:fldCharType="end"/>
      </w:r>
      <w:r w:rsidRPr="0067194E">
        <w:rPr>
          <w:rFonts w:eastAsia="SimSun" w:cs="Arial"/>
        </w:rPr>
        <w:t xml:space="preserve"> In principle this cost can be incorporated into the analysis of alternative policy options, however reliable data to predict these costs may be difficult to find.</w:t>
      </w:r>
      <w:r w:rsidRPr="0067194E">
        <w:rPr>
          <w:rFonts w:eastAsia="SimSun" w:cs="Arial"/>
        </w:rPr>
        <w:fldChar w:fldCharType="begin"/>
      </w:r>
      <w:r w:rsidR="00054FE8">
        <w:rPr>
          <w:rFonts w:eastAsia="SimSun" w:cs="Arial"/>
        </w:rPr>
        <w:instrText xml:space="preserve"> ADDIN EN.CITE &lt;EndNote&gt;&lt;Cite&gt;&lt;Author&gt;Kim&lt;/Author&gt;&lt;Year&gt;2017&lt;/Year&gt;&lt;RecNum&gt;3500&lt;/RecNum&gt;&lt;DisplayText&gt;&lt;style face="superscript"&gt;204&lt;/style&gt;&lt;/DisplayText&gt;&lt;record&gt;&lt;rec-number&gt;3500&lt;/rec-number&gt;&lt;foreign-keys&gt;&lt;key app="EN" db-id="dwaevxvazfs2f3ewvzmxrd0k0wasw55p2z2w" timestamp="1579606100"&gt;3500&lt;/key&gt;&lt;/foreign-keys&gt;&lt;ref-type name="Journal Article"&gt;17&lt;/ref-type&gt;&lt;contributors&gt;&lt;authors&gt;&lt;author&gt;Kim, D. D.&lt;/author&gt;&lt;author&gt;Basu, A.&lt;/author&gt;&lt;/authors&gt;&lt;/contributors&gt;&lt;auth-address&gt;Center for the Evaluation of Value and Risk in Health, Institute for Clinical Research and Health Policy Studies, Tufts Medical Center, Boston, MA, USA (DDK).&amp;#xD;Pharmaceutical Outcomes Research and Policy Program, Department of Pharmacy, and the Departments of Health Services and Economics University of Washington, Seattle, WA, USA (AB).&lt;/auth-address&gt;&lt;titles&gt;&lt;title&gt;New metrics for economic evaluation in the presence of heterogeneity: Focusing on evaluating policy alternatives rather than treatment alternatives&lt;/title&gt;&lt;secondary-title&gt;Med Decis Making&lt;/secondary-title&gt;&lt;/titles&gt;&lt;periodical&gt;&lt;full-title&gt;Medical Decision Making&lt;/full-title&gt;&lt;abbr-1&gt;Med Decis Making&lt;/abbr-1&gt;&lt;/periodical&gt;&lt;pages&gt;930-941&lt;/pages&gt;&lt;volume&gt;37&lt;/volume&gt;&lt;number&gt;8&lt;/number&gt;&lt;edition&gt;2017/04/26&lt;/edition&gt;&lt;keywords&gt;&lt;keyword&gt;*Cost-Benefit Analysis&lt;/keyword&gt;&lt;keyword&gt;*Decision Making&lt;/keyword&gt;&lt;keyword&gt;Diffusion of Innovation&lt;/keyword&gt;&lt;keyword&gt;Female&lt;/keyword&gt;&lt;keyword&gt;*Health Policy&lt;/keyword&gt;&lt;keyword&gt;Humans&lt;/keyword&gt;&lt;keyword&gt;Male&lt;/keyword&gt;&lt;keyword&gt;Quality-Adjusted Life Years&lt;/keyword&gt;&lt;keyword&gt;Uncertainty&lt;/keyword&gt;&lt;/keywords&gt;&lt;dates&gt;&lt;year&gt;2017&lt;/year&gt;&lt;pub-dates&gt;&lt;date&gt;Nov&lt;/date&gt;&lt;/pub-dates&gt;&lt;/dates&gt;&lt;isbn&gt;1552-681X (Electronic)&amp;#xD;0272-989X (Linking)&lt;/isbn&gt;&lt;accession-num&gt;28441507&lt;/accession-num&gt;&lt;urls&gt;&lt;/urls&gt;&lt;custom4&gt;STEVE&amp;apos;S REFERENCES&lt;/custom4&gt;&lt;electronic-resource-num&gt;10.1177/0272989X17702379&lt;/electronic-resource-num&gt;&lt;research-notes&gt;https://www.ncbi.nlm.nih.gov/pubmed/28441507&lt;/research-notes&gt;&lt;language&gt;eng&lt;/language&gt;&lt;/record&gt;&lt;/Cite&gt;&lt;/EndNote&gt;</w:instrText>
      </w:r>
      <w:r w:rsidRPr="0067194E">
        <w:rPr>
          <w:rFonts w:eastAsia="SimSun" w:cs="Arial"/>
        </w:rPr>
        <w:fldChar w:fldCharType="separate"/>
      </w:r>
      <w:r w:rsidR="004D5B2B" w:rsidRPr="004D5B2B">
        <w:rPr>
          <w:rFonts w:eastAsia="SimSun" w:cs="Arial"/>
          <w:noProof/>
          <w:vertAlign w:val="superscript"/>
        </w:rPr>
        <w:t>204</w:t>
      </w:r>
      <w:r w:rsidRPr="0067194E">
        <w:rPr>
          <w:rFonts w:eastAsia="SimSun" w:cs="Arial"/>
        </w:rPr>
        <w:fldChar w:fldCharType="end"/>
      </w:r>
    </w:p>
    <w:p w14:paraId="3D5F9D08" w14:textId="4EE527AF" w:rsidR="00F731D8" w:rsidRDefault="00B21C04" w:rsidP="00F731D8">
      <w:pPr>
        <w:rPr>
          <w:rFonts w:eastAsia="SimSun" w:cs="Arial"/>
        </w:rPr>
      </w:pPr>
      <w:r>
        <w:rPr>
          <w:rFonts w:eastAsia="SimSun" w:cs="Arial"/>
        </w:rPr>
        <w:t xml:space="preserve">When considering the impact of </w:t>
      </w:r>
      <w:r w:rsidR="00240F70">
        <w:rPr>
          <w:rFonts w:eastAsia="SimSun" w:cs="Arial"/>
        </w:rPr>
        <w:t>pricing schemes</w:t>
      </w:r>
      <w:r w:rsidR="00F731D8">
        <w:rPr>
          <w:rFonts w:eastAsia="SimSun" w:cs="Arial"/>
        </w:rPr>
        <w:t xml:space="preserve">, the magnitude of risk reduction will </w:t>
      </w:r>
      <w:r w:rsidR="00240F70">
        <w:rPr>
          <w:rFonts w:eastAsia="SimSun" w:cs="Arial"/>
        </w:rPr>
        <w:t>depend on the pricing arrangement.</w:t>
      </w:r>
      <w:r w:rsidR="00CB2733">
        <w:rPr>
          <w:rFonts w:eastAsia="SimSun" w:cs="Arial"/>
        </w:rPr>
        <w:fldChar w:fldCharType="begin">
          <w:fldData xml:space="preserve">PEVuZE5vdGU+PENpdGU+PEF1dGhvcj5IZXR0bGU8L0F1dGhvcj48WWVhcj4yMDE3PC9ZZWFyPjxS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PEVuZE5vdGU+PENpdGU+PEF1dGhvcj5IZXR0bGU8L0F1dGhvcj48WWVhcj4yMDE3PC9ZZWFyPjxS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192</w:t>
      </w:r>
      <w:r w:rsidR="00CB2733">
        <w:rPr>
          <w:rFonts w:eastAsia="SimSun" w:cs="Arial"/>
        </w:rPr>
        <w:fldChar w:fldCharType="end"/>
      </w:r>
      <w:r w:rsidR="00240F70">
        <w:rPr>
          <w:rFonts w:eastAsia="SimSun" w:cs="Arial"/>
        </w:rPr>
        <w:t xml:space="preserve"> </w:t>
      </w:r>
      <w:r w:rsidR="00421752">
        <w:rPr>
          <w:rFonts w:eastAsia="SimSun" w:cs="Arial"/>
        </w:rPr>
        <w:t>For simple discounts, t</w:t>
      </w:r>
      <w:r w:rsidR="00240F70">
        <w:rPr>
          <w:rFonts w:eastAsia="SimSun" w:cs="Arial"/>
        </w:rPr>
        <w:t xml:space="preserve">he risk reduction will </w:t>
      </w:r>
      <w:r w:rsidR="00F731D8">
        <w:rPr>
          <w:rFonts w:eastAsia="SimSun" w:cs="Arial"/>
        </w:rPr>
        <w:t xml:space="preserve">increase with the scale of the price reduction. </w:t>
      </w:r>
      <w:r w:rsidR="00421752">
        <w:rPr>
          <w:rFonts w:eastAsia="SimSun" w:cs="Arial"/>
        </w:rPr>
        <w:t>Neither a</w:t>
      </w:r>
      <w:r w:rsidR="00240F70">
        <w:rPr>
          <w:rFonts w:eastAsia="SimSun" w:cs="Arial"/>
        </w:rPr>
        <w:t xml:space="preserve"> 10% </w:t>
      </w:r>
      <w:r w:rsidR="00421752">
        <w:rPr>
          <w:rFonts w:eastAsia="SimSun" w:cs="Arial"/>
        </w:rPr>
        <w:t xml:space="preserve">nor a 20% simple discount </w:t>
      </w:r>
      <w:r w:rsidR="00F731D8">
        <w:rPr>
          <w:rFonts w:eastAsia="SimSun" w:cs="Arial"/>
        </w:rPr>
        <w:t>reduce</w:t>
      </w:r>
      <w:r w:rsidR="00421752">
        <w:rPr>
          <w:rFonts w:eastAsia="SimSun" w:cs="Arial"/>
        </w:rPr>
        <w:t>d</w:t>
      </w:r>
      <w:r w:rsidR="00F731D8">
        <w:rPr>
          <w:rFonts w:eastAsia="SimSun" w:cs="Arial"/>
        </w:rPr>
        <w:t xml:space="preserve"> the risk of approval as much as either further data collection or stratified decision making</w:t>
      </w:r>
      <w:r w:rsidR="00240F70">
        <w:rPr>
          <w:rFonts w:eastAsia="SimSun" w:cs="Arial"/>
        </w:rPr>
        <w:t xml:space="preserve"> in the </w:t>
      </w:r>
      <w:r>
        <w:rPr>
          <w:rFonts w:eastAsia="SimSun" w:cs="Arial"/>
        </w:rPr>
        <w:t>case-study</w:t>
      </w:r>
      <w:r w:rsidR="00421752">
        <w:rPr>
          <w:rFonts w:eastAsia="SimSun" w:cs="Arial"/>
        </w:rPr>
        <w:t xml:space="preserve">. A pay-for-performance scheme reduced the risk more than </w:t>
      </w:r>
      <w:r w:rsidR="00784F1D">
        <w:rPr>
          <w:rFonts w:eastAsia="SimSun" w:cs="Arial"/>
        </w:rPr>
        <w:t xml:space="preserve">further </w:t>
      </w:r>
      <w:r w:rsidR="00421752">
        <w:rPr>
          <w:rFonts w:eastAsia="SimSun" w:cs="Arial"/>
        </w:rPr>
        <w:t xml:space="preserve">data collection but not as much as stratified decision making. </w:t>
      </w:r>
      <w:r w:rsidR="00CC41D8">
        <w:rPr>
          <w:rFonts w:eastAsia="SimSun" w:cs="Arial"/>
        </w:rPr>
        <w:t>It should be noted that</w:t>
      </w:r>
      <w:r w:rsidR="00F731D8">
        <w:rPr>
          <w:rFonts w:eastAsia="SimSun" w:cs="Arial"/>
        </w:rPr>
        <w:t xml:space="preserve">, when comparing price reductions (or stratification) to data collection, it </w:t>
      </w:r>
      <w:r w:rsidR="00F731D8" w:rsidRPr="001B1DFE">
        <w:rPr>
          <w:rFonts w:eastAsia="SimSun" w:cs="Arial"/>
        </w:rPr>
        <w:t>is important to take account of the fact that data collection takes time to report whereas the other risk</w:t>
      </w:r>
      <w:r w:rsidR="00F731D8">
        <w:rPr>
          <w:rFonts w:eastAsia="SimSun" w:cs="Arial"/>
        </w:rPr>
        <w:t xml:space="preserve"> management policies can theoretically begin immediately.</w:t>
      </w:r>
    </w:p>
    <w:p w14:paraId="3283D5D8" w14:textId="61B73F79" w:rsidR="00F731D8" w:rsidRPr="0016126B" w:rsidRDefault="00240F70" w:rsidP="00F731D8">
      <w:pPr>
        <w:rPr>
          <w:rFonts w:eastAsia="SimSun" w:cs="Arial"/>
        </w:rPr>
      </w:pPr>
      <w:r>
        <w:rPr>
          <w:rFonts w:eastAsia="SimSun" w:cs="Arial"/>
        </w:rPr>
        <w:t xml:space="preserve">Pricing schemes </w:t>
      </w:r>
      <w:r w:rsidR="00F731D8" w:rsidRPr="001B1DFE">
        <w:rPr>
          <w:rFonts w:eastAsia="SimSun" w:cs="Arial"/>
        </w:rPr>
        <w:t>and stratified decision making can also increase the value of approving technologies in addition to addressing risk.</w:t>
      </w:r>
      <w:r w:rsidR="00F731D8">
        <w:rPr>
          <w:rFonts w:eastAsia="SimSun" w:cs="Arial"/>
        </w:rPr>
        <w:t xml:space="preserve"> A 10%</w:t>
      </w:r>
      <w:r w:rsidR="00CC41D8">
        <w:rPr>
          <w:rFonts w:eastAsia="SimSun" w:cs="Arial"/>
        </w:rPr>
        <w:t xml:space="preserve"> and 20%</w:t>
      </w:r>
      <w:r w:rsidR="00F731D8">
        <w:rPr>
          <w:rFonts w:eastAsia="SimSun" w:cs="Arial"/>
        </w:rPr>
        <w:t xml:space="preserve"> discount increased the value </w:t>
      </w:r>
      <w:r w:rsidR="00F731D8" w:rsidRPr="001B1DFE">
        <w:rPr>
          <w:rFonts w:eastAsia="SimSun" w:cs="Arial"/>
        </w:rPr>
        <w:t xml:space="preserve">of Drug X from 5.79 to 21.4 </w:t>
      </w:r>
      <w:r w:rsidR="00CC41D8">
        <w:rPr>
          <w:rFonts w:eastAsia="SimSun" w:cs="Arial"/>
        </w:rPr>
        <w:t xml:space="preserve">and 30.04 </w:t>
      </w:r>
      <w:r w:rsidR="00F731D8" w:rsidRPr="00CC41D8">
        <w:rPr>
          <w:rFonts w:eastAsia="SimSun" w:cs="Arial"/>
        </w:rPr>
        <w:t>additional QALYs per year</w:t>
      </w:r>
      <w:r w:rsidR="00CC41D8" w:rsidRPr="00CC41D8">
        <w:rPr>
          <w:rFonts w:eastAsia="SimSun" w:cs="Arial"/>
        </w:rPr>
        <w:t xml:space="preserve"> respectively</w:t>
      </w:r>
      <w:r w:rsidR="00F731D8" w:rsidRPr="00CC41D8">
        <w:rPr>
          <w:rFonts w:eastAsia="SimSun" w:cs="Arial"/>
        </w:rPr>
        <w:t xml:space="preserve">. Partial and full stratification increased this to 26.49 and 35.68 QALYs per year respectively. </w:t>
      </w:r>
      <w:r w:rsidR="00CC41D8">
        <w:rPr>
          <w:rFonts w:eastAsia="SimSun" w:cs="Arial"/>
        </w:rPr>
        <w:t>The gain in value from stratification is a result of making</w:t>
      </w:r>
      <w:r w:rsidR="00F731D8" w:rsidRPr="00CC41D8">
        <w:rPr>
          <w:rFonts w:eastAsia="SimSun" w:cs="Arial"/>
        </w:rPr>
        <w:t xml:space="preserve"> more optimised decisions. This has been called the </w:t>
      </w:r>
      <w:r w:rsidR="00762F8F" w:rsidRPr="00CC41D8">
        <w:rPr>
          <w:rFonts w:eastAsia="SimSun" w:cs="Arial"/>
        </w:rPr>
        <w:t>‘</w:t>
      </w:r>
      <w:r w:rsidR="00F731D8" w:rsidRPr="00CC41D8">
        <w:rPr>
          <w:rFonts w:eastAsia="SimSun" w:cs="Arial"/>
        </w:rPr>
        <w:t>static value of heterogeneity</w:t>
      </w:r>
      <w:r w:rsidR="00762F8F" w:rsidRPr="00CC41D8">
        <w:rPr>
          <w:rFonts w:eastAsia="SimSun" w:cs="Arial"/>
        </w:rPr>
        <w:t>’</w:t>
      </w:r>
      <w:r w:rsidR="00F731D8" w:rsidRPr="00CC41D8">
        <w:rPr>
          <w:rFonts w:eastAsia="SimSun" w:cs="Arial"/>
        </w:rPr>
        <w:t xml:space="preserve"> in the literature.</w:t>
      </w:r>
      <w:r w:rsidR="00F731D8" w:rsidRPr="00CC41D8">
        <w:rPr>
          <w:rFonts w:eastAsia="SimSun" w:cs="Arial"/>
        </w:rPr>
        <w:fldChar w:fldCharType="begin"/>
      </w:r>
      <w:r w:rsidR="00054FE8">
        <w:rPr>
          <w:rFonts w:eastAsia="SimSun" w:cs="Arial"/>
        </w:rPr>
        <w:instrText xml:space="preserve"> ADDIN EN.CITE &lt;EndNote&gt;&lt;Cite&gt;&lt;Author&gt;Espinoza&lt;/Author&gt;&lt;Year&gt;2014&lt;/Year&gt;&lt;RecNum&gt;3483&lt;/RecNum&gt;&lt;DisplayText&gt;&lt;style face="superscript"&gt;146&lt;/style&gt;&lt;/DisplayText&gt;&lt;record&gt;&lt;rec-number&gt;3483&lt;/rec-number&gt;&lt;foreign-keys&gt;&lt;key app="EN" db-id="dwaevxvazfs2f3ewvzmxrd0k0wasw55p2z2w" timestamp="1579606097"&gt;3483&lt;/key&gt;&lt;/foreign-keys&gt;&lt;ref-type name="Journal Article"&gt;17&lt;/ref-type&gt;&lt;contributors&gt;&lt;authors&gt;&lt;author&gt;Espinoza, M. A.&lt;/author&gt;&lt;author&gt;Manca, A.&lt;/author&gt;&lt;author&gt;Claxton, K.&lt;/author&gt;&lt;author&gt;Sculpher, M. J.&lt;/author&gt;&lt;/authors&gt;&lt;/contributors&gt;&lt;auth-address&gt;Department of Public Health, Pontificia Universidad Catolica de Chile, Santiago, Chile (MAE)&amp;#xD;Department of Scientific Affairs, Institute of Public Health, Santiago, Chile (MAE)&amp;#xD;Centre for Health Economics, University of York, York, UK (AM, KC, MJS)&amp;#xD;Department of Economics and Related Studies, University of York, York, UK (KC).&lt;/auth-address&gt;&lt;titles&gt;&lt;title&gt;The value of heterogeneity for cost-effectiveness subgroup analysis: conceptual framework and application&lt;/title&gt;&lt;secondary-title&gt;Med Decis Making&lt;/secondary-title&gt;&lt;/titles&gt;&lt;periodical&gt;&lt;full-title&gt;Medical Decision Making&lt;/full-title&gt;&lt;abbr-1&gt;Med Decis Making&lt;/abbr-1&gt;&lt;/periodical&gt;&lt;pages&gt;951-64&lt;/pages&gt;&lt;volume&gt;34&lt;/volume&gt;&lt;number&gt;8&lt;/number&gt;&lt;edition&gt;2014/06/20&lt;/edition&gt;&lt;keywords&gt;&lt;keyword&gt;*Cost-Benefit Analysis&lt;/keyword&gt;&lt;keyword&gt;Research&lt;/keyword&gt;&lt;keyword&gt;Uncertainty&lt;/keyword&gt;&lt;/keywords&gt;&lt;dates&gt;&lt;year&gt;2014&lt;/year&gt;&lt;pub-dates&gt;&lt;date&gt;Nov&lt;/date&gt;&lt;/pub-dates&gt;&lt;/dates&gt;&lt;isbn&gt;1552-681X (Electronic)&amp;#xD;0272-989X (Linking)&lt;/isbn&gt;&lt;accession-num&gt;24944196&lt;/accession-num&gt;&lt;urls&gt;&lt;/urls&gt;&lt;custom2&gt;4232328&lt;/custom2&gt;&lt;custom4&gt;STEVE&amp;apos;S REFERENCES&lt;/custom4&gt;&lt;electronic-resource-num&gt;0272989X14538705 [pii]&amp;#xD;10.1177/0272989X14538705&lt;/electronic-resource-num&gt;&lt;research-notes&gt;https://www.ncbi.nlm.nih.gov/pubmed/24944196&lt;/research-notes&gt;&lt;language&gt;eng&lt;/language&gt;&lt;/record&gt;&lt;/Cite&gt;&lt;/EndNote&gt;</w:instrText>
      </w:r>
      <w:r w:rsidR="00F731D8" w:rsidRPr="00CC41D8">
        <w:rPr>
          <w:rFonts w:eastAsia="SimSun" w:cs="Arial"/>
        </w:rPr>
        <w:fldChar w:fldCharType="separate"/>
      </w:r>
      <w:r w:rsidR="004D5B2B" w:rsidRPr="004D5B2B">
        <w:rPr>
          <w:rFonts w:eastAsia="SimSun" w:cs="Arial"/>
          <w:noProof/>
          <w:vertAlign w:val="superscript"/>
        </w:rPr>
        <w:t>146</w:t>
      </w:r>
      <w:r w:rsidR="00F731D8" w:rsidRPr="00CC41D8">
        <w:rPr>
          <w:rFonts w:eastAsia="SimSun" w:cs="Arial"/>
        </w:rPr>
        <w:fldChar w:fldCharType="end"/>
      </w:r>
      <w:r w:rsidR="00CC41D8">
        <w:rPr>
          <w:rFonts w:eastAsia="SimSun" w:cs="Arial"/>
        </w:rPr>
        <w:t xml:space="preserve"> </w:t>
      </w:r>
      <w:r w:rsidR="00CC41D8" w:rsidRPr="00CC41D8">
        <w:rPr>
          <w:rFonts w:eastAsia="SimSun" w:cs="Arial"/>
        </w:rPr>
        <w:t xml:space="preserve">The pay-for-performance scheme increased </w:t>
      </w:r>
      <w:r w:rsidR="00CC41D8">
        <w:rPr>
          <w:rFonts w:eastAsia="SimSun" w:cs="Arial"/>
        </w:rPr>
        <w:t xml:space="preserve">the </w:t>
      </w:r>
      <w:r w:rsidR="00B21C04">
        <w:rPr>
          <w:rFonts w:eastAsia="SimSun" w:cs="Arial"/>
        </w:rPr>
        <w:t>potential value of approval</w:t>
      </w:r>
      <w:r w:rsidR="00CC41D8">
        <w:rPr>
          <w:rFonts w:eastAsia="SimSun" w:cs="Arial"/>
        </w:rPr>
        <w:t xml:space="preserve"> by the greatest extent. It resulted in</w:t>
      </w:r>
      <w:r w:rsidR="00CC41D8" w:rsidRPr="00CC41D8">
        <w:rPr>
          <w:rFonts w:eastAsia="SimSun" w:cs="Arial"/>
        </w:rPr>
        <w:t xml:space="preserve"> </w:t>
      </w:r>
      <w:r w:rsidR="00CC41D8">
        <w:rPr>
          <w:rFonts w:eastAsia="SimSun" w:cs="Arial"/>
        </w:rPr>
        <w:t>an additional</w:t>
      </w:r>
      <w:r w:rsidR="00CC41D8" w:rsidRPr="00CC41D8">
        <w:rPr>
          <w:rFonts w:eastAsia="SimSun" w:cs="Arial"/>
        </w:rPr>
        <w:t xml:space="preserve"> 51.95 QALYs per year</w:t>
      </w:r>
      <w:r w:rsidR="00CC41D8">
        <w:rPr>
          <w:rFonts w:eastAsia="SimSun" w:cs="Arial"/>
        </w:rPr>
        <w:t xml:space="preserve"> from approval of Drug X. </w:t>
      </w:r>
      <w:r w:rsidR="00CA14A9">
        <w:rPr>
          <w:rFonts w:eastAsia="SimSun" w:cs="Arial"/>
        </w:rPr>
        <w:t>This</w:t>
      </w:r>
      <w:r w:rsidR="00CC41D8">
        <w:rPr>
          <w:rFonts w:eastAsia="SimSun" w:cs="Arial"/>
        </w:rPr>
        <w:t xml:space="preserve"> gain is due</w:t>
      </w:r>
      <w:r w:rsidR="00CA14A9">
        <w:rPr>
          <w:rFonts w:eastAsia="SimSun" w:cs="Arial"/>
        </w:rPr>
        <w:t xml:space="preserve"> mostly</w:t>
      </w:r>
      <w:r w:rsidR="007211AD">
        <w:rPr>
          <w:rFonts w:eastAsia="SimSun" w:cs="Arial"/>
        </w:rPr>
        <w:t xml:space="preserve"> to the subst</w:t>
      </w:r>
      <w:r w:rsidR="00CC41D8">
        <w:rPr>
          <w:rFonts w:eastAsia="SimSun" w:cs="Arial"/>
        </w:rPr>
        <w:t>a</w:t>
      </w:r>
      <w:r w:rsidR="007211AD">
        <w:rPr>
          <w:rFonts w:eastAsia="SimSun" w:cs="Arial"/>
        </w:rPr>
        <w:t>nt</w:t>
      </w:r>
      <w:r w:rsidR="00CC41D8">
        <w:rPr>
          <w:rFonts w:eastAsia="SimSun" w:cs="Arial"/>
        </w:rPr>
        <w:t>ial discount implied by</w:t>
      </w:r>
      <w:r w:rsidR="00CA14A9">
        <w:rPr>
          <w:rFonts w:eastAsia="SimSun" w:cs="Arial"/>
        </w:rPr>
        <w:t xml:space="preserve"> the pay-for-performance scheme.</w:t>
      </w:r>
      <w:r w:rsidR="0016126B">
        <w:rPr>
          <w:rFonts w:eastAsia="SimSun" w:cs="Arial"/>
        </w:rPr>
        <w:t xml:space="preserve"> </w:t>
      </w:r>
      <w:r w:rsidR="00F731D8">
        <w:rPr>
          <w:rFonts w:eastAsia="SimSun" w:cs="Arial"/>
        </w:rPr>
        <w:t xml:space="preserve">Because </w:t>
      </w:r>
      <w:r w:rsidR="00CA14A9">
        <w:rPr>
          <w:rFonts w:eastAsia="SimSun" w:cs="Arial"/>
        </w:rPr>
        <w:t>these approaches to risk management (</w:t>
      </w:r>
      <w:r w:rsidR="00CA14A9" w:rsidRPr="00CA14A9">
        <w:rPr>
          <w:rFonts w:eastAsia="SimSun" w:cs="Arial"/>
        </w:rPr>
        <w:t>further data collection, pricing schemes and stratified decision making</w:t>
      </w:r>
      <w:r w:rsidR="00CA14A9">
        <w:rPr>
          <w:rFonts w:eastAsia="SimSun" w:cs="Arial"/>
        </w:rPr>
        <w:t>)</w:t>
      </w:r>
      <w:r w:rsidR="00F731D8">
        <w:rPr>
          <w:rFonts w:eastAsia="SimSun" w:cs="Arial"/>
        </w:rPr>
        <w:t xml:space="preserve"> are not mutually exclusive, each </w:t>
      </w:r>
      <w:r w:rsidR="00CA14A9">
        <w:rPr>
          <w:rFonts w:eastAsia="SimSun" w:cs="Arial"/>
        </w:rPr>
        <w:t xml:space="preserve">one </w:t>
      </w:r>
      <w:r w:rsidR="00F731D8">
        <w:rPr>
          <w:rFonts w:eastAsia="SimSun" w:cs="Arial"/>
        </w:rPr>
        <w:t xml:space="preserve">can be used in combination to address the risk of approving a technology which is not </w:t>
      </w:r>
      <w:r w:rsidR="009D6CA1">
        <w:rPr>
          <w:rFonts w:eastAsia="SimSun" w:cs="Arial"/>
        </w:rPr>
        <w:t>cost-effective</w:t>
      </w:r>
      <w:r w:rsidR="00F731D8">
        <w:rPr>
          <w:rFonts w:eastAsia="SimSun" w:cs="Arial"/>
        </w:rPr>
        <w:t>.</w:t>
      </w:r>
      <w:r w:rsidR="00CB2733">
        <w:rPr>
          <w:rFonts w:eastAsia="SimSun" w:cs="Arial"/>
        </w:rPr>
        <w:fldChar w:fldCharType="begin"/>
      </w:r>
      <w:r w:rsidR="004D5B2B">
        <w:rPr>
          <w:rFonts w:eastAsia="SimSun" w:cs="Arial"/>
        </w:rPr>
        <w:instrText xml:space="preserve"> ADDIN EN.CITE &lt;EndNote&gt;&lt;Cite&gt;&lt;Author&gt;Grimm&lt;/Author&gt;&lt;Year&gt;2016&lt;/Year&gt;&lt;RecNum&gt;3585&lt;/RecNum&gt;&lt;DisplayText&gt;&lt;style face="superscript"&gt;191&lt;/style&gt;&lt;/DisplayText&gt;&lt;record&gt;&lt;rec-number&gt;3585&lt;/rec-number&gt;&lt;foreign-keys&gt;&lt;key app="EN" db-id="dwaevxvazfs2f3ewvzmxrd0k0wasw55p2z2w" timestamp="1582191421"&gt;3585&lt;/key&gt;&lt;/foreign-keys&gt;&lt;ref-type name="Report"&gt;27&lt;/ref-type&gt;&lt;contributors&gt;&lt;authors&gt;&lt;author&gt;Grimm, S.&lt;/author&gt;&lt;author&gt;Strong, M.&lt;/author&gt;&lt;author&gt;Brennan, A.&lt;/author&gt;&lt;author&gt;Wailoo, A&lt;/author&gt;&lt;/authors&gt;&lt;/contributors&gt;&lt;titles&gt;&lt;title&gt;Framework for analysing risk in health technology assessments and its application to managed entry agreements. Report By The Decision Support Unit&lt;/title&gt;&lt;/titles&gt;&lt;dates&gt;&lt;year&gt;2016&lt;/year&gt;&lt;/dates&gt;&lt;pub-location&gt;Sheffield&lt;/pub-location&gt;&lt;publisher&gt;Decision Support Unit, ScHARR, University of Sheffield&lt;/publisher&gt;&lt;urls&gt;&lt;related-urls&gt;&lt;url&gt;http://nicedsu.org.uk/wp-content/uploads/2018/05/DSU-Managed-Access-report-FINAL.pdf&lt;/url&gt;&lt;/related-urls&gt;&lt;/urls&gt;&lt;custom4&gt;STEVE&amp;apos;S REFRENCES&lt;/custom4&gt;&lt;/record&gt;&lt;/Cite&gt;&lt;/EndNote&gt;</w:instrText>
      </w:r>
      <w:r w:rsidR="00CB2733">
        <w:rPr>
          <w:rFonts w:eastAsia="SimSun" w:cs="Arial"/>
        </w:rPr>
        <w:fldChar w:fldCharType="separate"/>
      </w:r>
      <w:r w:rsidR="004D5B2B" w:rsidRPr="004D5B2B">
        <w:rPr>
          <w:rFonts w:eastAsia="SimSun" w:cs="Arial"/>
          <w:noProof/>
          <w:vertAlign w:val="superscript"/>
        </w:rPr>
        <w:t>191</w:t>
      </w:r>
      <w:r w:rsidR="00CB2733">
        <w:rPr>
          <w:rFonts w:eastAsia="SimSun" w:cs="Arial"/>
        </w:rPr>
        <w:fldChar w:fldCharType="end"/>
      </w:r>
      <w:r w:rsidR="00F731D8">
        <w:rPr>
          <w:rFonts w:eastAsia="SimSun" w:cs="Arial"/>
        </w:rPr>
        <w:t xml:space="preserve"> </w:t>
      </w:r>
    </w:p>
    <w:p w14:paraId="76CF0A96" w14:textId="0B3E004C" w:rsidR="008C3153" w:rsidRDefault="00F731D8" w:rsidP="00EC11CD">
      <w:pPr>
        <w:pStyle w:val="Heading2"/>
      </w:pPr>
      <w:bookmarkStart w:id="276" w:name="_Toc33776243"/>
      <w:r>
        <w:lastRenderedPageBreak/>
        <w:t>Discussion</w:t>
      </w:r>
      <w:bookmarkEnd w:id="276"/>
    </w:p>
    <w:p w14:paraId="13040F3C" w14:textId="0BDF7799" w:rsidR="00EA5C46" w:rsidRPr="00A12730" w:rsidRDefault="00EA5C46" w:rsidP="00A12730">
      <w:pPr>
        <w:rPr>
          <w:rFonts w:eastAsia="SimSun" w:cs="Arial"/>
        </w:rPr>
      </w:pPr>
      <w:bookmarkStart w:id="277" w:name="_Hlk33001534"/>
      <w:r>
        <w:rPr>
          <w:rFonts w:eastAsia="SimSun" w:cs="Arial"/>
        </w:rPr>
        <w:t>We have</w:t>
      </w:r>
      <w:r w:rsidR="00F731D8" w:rsidRPr="00BC61C7">
        <w:rPr>
          <w:rFonts w:eastAsia="SimSun" w:cs="Arial"/>
        </w:rPr>
        <w:t xml:space="preserve"> illustrated a framework for decision making which takes account of </w:t>
      </w:r>
      <w:r w:rsidR="00DA3D7B">
        <w:rPr>
          <w:rFonts w:eastAsia="SimSun" w:cs="Arial"/>
        </w:rPr>
        <w:t xml:space="preserve">uncertainty and </w:t>
      </w:r>
      <w:r w:rsidR="00F731D8" w:rsidRPr="00BC61C7">
        <w:rPr>
          <w:rFonts w:eastAsia="SimSun" w:cs="Arial"/>
        </w:rPr>
        <w:t xml:space="preserve">heterogeneity </w:t>
      </w:r>
      <w:r w:rsidR="00DA3D7B">
        <w:rPr>
          <w:rFonts w:eastAsia="SimSun" w:cs="Arial"/>
        </w:rPr>
        <w:t>associated with</w:t>
      </w:r>
      <w:r w:rsidR="00F731D8" w:rsidRPr="00BC61C7">
        <w:rPr>
          <w:rFonts w:eastAsia="SimSun" w:cs="Arial"/>
        </w:rPr>
        <w:t xml:space="preserve"> histology-independent technologies. </w:t>
      </w:r>
      <w:bookmarkEnd w:id="277"/>
      <w:r w:rsidR="00F731D8" w:rsidRPr="00BC61C7">
        <w:rPr>
          <w:rFonts w:eastAsia="SimSun" w:cs="Arial"/>
        </w:rPr>
        <w:t xml:space="preserve">The aim was to outline assessments which can help support NICE </w:t>
      </w:r>
      <w:r w:rsidR="00A12730">
        <w:rPr>
          <w:rFonts w:eastAsia="SimSun" w:cs="Arial"/>
        </w:rPr>
        <w:t xml:space="preserve">and CDF </w:t>
      </w:r>
      <w:r w:rsidR="00F731D8" w:rsidRPr="00BC61C7">
        <w:rPr>
          <w:rFonts w:eastAsia="SimSun" w:cs="Arial"/>
        </w:rPr>
        <w:t>decision</w:t>
      </w:r>
      <w:r w:rsidR="00AF47E2">
        <w:rPr>
          <w:rFonts w:eastAsia="SimSun" w:cs="Arial"/>
        </w:rPr>
        <w:t xml:space="preserve"> making</w:t>
      </w:r>
      <w:r w:rsidR="00F731D8" w:rsidRPr="00BC61C7">
        <w:rPr>
          <w:rFonts w:eastAsia="SimSun" w:cs="Arial"/>
        </w:rPr>
        <w:t xml:space="preserve">, both in </w:t>
      </w:r>
      <w:r w:rsidR="00F731D8">
        <w:rPr>
          <w:rFonts w:eastAsia="SimSun" w:cs="Arial"/>
        </w:rPr>
        <w:t>making</w:t>
      </w:r>
      <w:r w:rsidR="00F731D8" w:rsidRPr="00BC61C7">
        <w:rPr>
          <w:rFonts w:eastAsia="SimSun" w:cs="Arial"/>
        </w:rPr>
        <w:t xml:space="preserve"> approval decisions and in </w:t>
      </w:r>
      <w:r w:rsidR="00F731D8">
        <w:rPr>
          <w:rFonts w:eastAsia="SimSun" w:cs="Arial"/>
        </w:rPr>
        <w:t>managing risks associated with uncertainties</w:t>
      </w:r>
      <w:r w:rsidR="00F731D8" w:rsidRPr="00BC61C7">
        <w:rPr>
          <w:rFonts w:eastAsia="SimSun" w:cs="Arial"/>
        </w:rPr>
        <w:t xml:space="preserve">. </w:t>
      </w:r>
    </w:p>
    <w:p w14:paraId="4FDF6F26" w14:textId="41467C83" w:rsidR="00EA5C46" w:rsidRDefault="00A12730" w:rsidP="00EA5C46">
      <w:pPr>
        <w:rPr>
          <w:rFonts w:eastAsia="SimSun" w:cs="Arial"/>
        </w:rPr>
      </w:pPr>
      <w:r>
        <w:rPr>
          <w:rFonts w:eastAsia="SimSun" w:cs="Arial"/>
        </w:rPr>
        <w:t>It is evident that</w:t>
      </w:r>
      <w:r w:rsidR="008C725D">
        <w:rPr>
          <w:rFonts w:eastAsia="SimSun" w:cs="Arial"/>
        </w:rPr>
        <w:t xml:space="preserve"> </w:t>
      </w:r>
      <w:r w:rsidR="00EA5C46">
        <w:rPr>
          <w:rFonts w:eastAsia="SimSun" w:cs="Arial"/>
        </w:rPr>
        <w:t xml:space="preserve">heterogeneity in </w:t>
      </w:r>
      <w:r>
        <w:rPr>
          <w:rFonts w:eastAsia="SimSun" w:cs="Arial"/>
        </w:rPr>
        <w:t xml:space="preserve">the cost-effectiveness of </w:t>
      </w:r>
      <w:r w:rsidR="00EA5C46">
        <w:rPr>
          <w:rFonts w:eastAsia="SimSun" w:cs="Arial"/>
        </w:rPr>
        <w:t>histology</w:t>
      </w:r>
      <w:r w:rsidR="0017478A">
        <w:rPr>
          <w:rFonts w:eastAsia="SimSun" w:cs="Arial"/>
        </w:rPr>
        <w:t>-</w:t>
      </w:r>
      <w:r w:rsidR="00EA5C46">
        <w:rPr>
          <w:rFonts w:eastAsia="SimSun" w:cs="Arial"/>
        </w:rPr>
        <w:t xml:space="preserve">independent technologies can arise from a number of sources and </w:t>
      </w:r>
      <w:r>
        <w:rPr>
          <w:rFonts w:eastAsia="SimSun" w:cs="Arial"/>
        </w:rPr>
        <w:t xml:space="preserve">that these should </w:t>
      </w:r>
      <w:r w:rsidR="00EA5C46">
        <w:rPr>
          <w:rFonts w:eastAsia="SimSun" w:cs="Arial"/>
        </w:rPr>
        <w:t xml:space="preserve">be </w:t>
      </w:r>
      <w:r w:rsidR="008C725D">
        <w:rPr>
          <w:rFonts w:eastAsia="SimSun" w:cs="Arial"/>
        </w:rPr>
        <w:t xml:space="preserve">explicitly </w:t>
      </w:r>
      <w:r w:rsidR="00EA5C46">
        <w:rPr>
          <w:rFonts w:eastAsia="SimSun" w:cs="Arial"/>
        </w:rPr>
        <w:t xml:space="preserve">considered when making decisions. </w:t>
      </w:r>
      <w:r>
        <w:rPr>
          <w:rFonts w:eastAsia="SimSun" w:cs="Arial"/>
        </w:rPr>
        <w:t xml:space="preserve">Even if clinical outcomes were identical across individual histologies, differences in the costs of identification can lead to important cost-effectiveness differences between individual histologies. In situations in which the </w:t>
      </w:r>
      <w:r w:rsidR="00EA5C46">
        <w:rPr>
          <w:rFonts w:eastAsia="SimSun" w:cs="Arial"/>
        </w:rPr>
        <w:t xml:space="preserve">target population </w:t>
      </w:r>
      <w:r>
        <w:rPr>
          <w:rFonts w:eastAsia="SimSun" w:cs="Arial"/>
        </w:rPr>
        <w:t xml:space="preserve">is expected to </w:t>
      </w:r>
      <w:r w:rsidR="00EA5C46">
        <w:rPr>
          <w:rFonts w:eastAsia="SimSun" w:cs="Arial"/>
        </w:rPr>
        <w:t>differ from the trial population</w:t>
      </w:r>
      <w:r>
        <w:rPr>
          <w:rFonts w:eastAsia="SimSun" w:cs="Arial"/>
        </w:rPr>
        <w:t xml:space="preserve"> (i.e.in terms of the distribution of histology types)</w:t>
      </w:r>
      <w:r w:rsidR="00EA5C46">
        <w:rPr>
          <w:rFonts w:eastAsia="SimSun" w:cs="Arial"/>
        </w:rPr>
        <w:t xml:space="preserve">, then explicit modelling of heterogeneity </w:t>
      </w:r>
      <w:r>
        <w:rPr>
          <w:rFonts w:eastAsia="SimSun" w:cs="Arial"/>
        </w:rPr>
        <w:t xml:space="preserve">will be required to support NICE decision making. </w:t>
      </w:r>
      <w:r w:rsidR="00EA5C46">
        <w:rPr>
          <w:rFonts w:eastAsia="SimSun" w:cs="Arial"/>
        </w:rPr>
        <w:t>If there exist any histologies which are unrepresented in the trial population then</w:t>
      </w:r>
      <w:r w:rsidR="0032727C">
        <w:rPr>
          <w:rFonts w:eastAsia="SimSun" w:cs="Arial"/>
        </w:rPr>
        <w:t xml:space="preserve"> consideration</w:t>
      </w:r>
      <w:r w:rsidR="00EA5C46">
        <w:rPr>
          <w:rFonts w:eastAsia="SimSun" w:cs="Arial"/>
        </w:rPr>
        <w:t xml:space="preserve"> </w:t>
      </w:r>
      <w:r w:rsidR="0032727C">
        <w:rPr>
          <w:rFonts w:eastAsia="SimSun" w:cs="Arial"/>
        </w:rPr>
        <w:t>will be required to the potential</w:t>
      </w:r>
      <w:r w:rsidR="00EA5C46">
        <w:rPr>
          <w:rFonts w:eastAsia="SimSun" w:cs="Arial"/>
        </w:rPr>
        <w:t xml:space="preserve"> costs and health consequences in unrepresented histologies along with their frequency in the target population </w:t>
      </w:r>
      <w:r w:rsidR="0032727C">
        <w:rPr>
          <w:rFonts w:eastAsia="SimSun" w:cs="Arial"/>
        </w:rPr>
        <w:t xml:space="preserve">to support a </w:t>
      </w:r>
      <w:r w:rsidR="00EA5C46">
        <w:rPr>
          <w:rFonts w:eastAsia="SimSun" w:cs="Arial"/>
        </w:rPr>
        <w:t>histology</w:t>
      </w:r>
      <w:r w:rsidR="00FD3AF1">
        <w:rPr>
          <w:rFonts w:eastAsia="SimSun" w:cs="Arial"/>
        </w:rPr>
        <w:t>-</w:t>
      </w:r>
      <w:r w:rsidR="00EA5C46">
        <w:rPr>
          <w:rFonts w:eastAsia="SimSun" w:cs="Arial"/>
        </w:rPr>
        <w:t xml:space="preserve">independent approval. </w:t>
      </w:r>
    </w:p>
    <w:p w14:paraId="49B7E204" w14:textId="108242A1" w:rsidR="00EA5C46" w:rsidRDefault="00EA5C46" w:rsidP="00EA5C46">
      <w:pPr>
        <w:rPr>
          <w:rFonts w:eastAsia="SimSun" w:cs="Arial"/>
        </w:rPr>
      </w:pPr>
      <w:r>
        <w:rPr>
          <w:rFonts w:eastAsia="SimSun" w:cs="Arial"/>
        </w:rPr>
        <w:t>Th</w:t>
      </w:r>
      <w:r w:rsidR="0032727C">
        <w:rPr>
          <w:rFonts w:eastAsia="SimSun" w:cs="Arial"/>
        </w:rPr>
        <w:t xml:space="preserve">e framework </w:t>
      </w:r>
      <w:r>
        <w:rPr>
          <w:rFonts w:eastAsia="SimSun" w:cs="Arial"/>
        </w:rPr>
        <w:t>explored the health consequences associated with three different approval policies: no stratification (histology</w:t>
      </w:r>
      <w:r w:rsidR="00FD3AF1">
        <w:rPr>
          <w:rFonts w:eastAsia="SimSun" w:cs="Arial"/>
        </w:rPr>
        <w:t>-</w:t>
      </w:r>
      <w:r>
        <w:rPr>
          <w:rFonts w:eastAsia="SimSun" w:cs="Arial"/>
        </w:rPr>
        <w:t>independent approval), partial stratification and full stratification. This demonstrated the potential health gains from making stratified decisions. As discussed above, modelling the costs and health consequences associated with heterogeneity will often be required to make histology</w:t>
      </w:r>
      <w:r w:rsidR="0017478A">
        <w:rPr>
          <w:rFonts w:eastAsia="SimSun" w:cs="Arial"/>
        </w:rPr>
        <w:t>-</w:t>
      </w:r>
      <w:r>
        <w:rPr>
          <w:rFonts w:eastAsia="SimSun" w:cs="Arial"/>
        </w:rPr>
        <w:t xml:space="preserve">independent decisions. This means that the assessments and assumptions required for stratified decision </w:t>
      </w:r>
      <w:r w:rsidRPr="00EA5C46">
        <w:rPr>
          <w:rFonts w:eastAsia="SimSun" w:cs="Arial"/>
        </w:rPr>
        <w:t>making will often be the same as those required for histology</w:t>
      </w:r>
      <w:r w:rsidR="0017478A">
        <w:rPr>
          <w:rFonts w:eastAsia="SimSun" w:cs="Arial"/>
        </w:rPr>
        <w:t>-</w:t>
      </w:r>
      <w:r w:rsidRPr="00EA5C46">
        <w:rPr>
          <w:rFonts w:eastAsia="SimSun" w:cs="Arial"/>
        </w:rPr>
        <w:t>independent decision making. Furthermore, because partially and fully stratified decision maki</w:t>
      </w:r>
      <w:r w:rsidR="001D413D">
        <w:rPr>
          <w:rFonts w:eastAsia="SimSun" w:cs="Arial"/>
        </w:rPr>
        <w:t>ng allows for approval only in the</w:t>
      </w:r>
      <w:r w:rsidRPr="00EA5C46">
        <w:rPr>
          <w:rFonts w:eastAsia="SimSun" w:cs="Arial"/>
        </w:rPr>
        <w:t xml:space="preserve"> subset of histologies</w:t>
      </w:r>
      <w:r>
        <w:rPr>
          <w:rFonts w:eastAsia="SimSun" w:cs="Arial"/>
        </w:rPr>
        <w:t xml:space="preserve"> for which there is observed data</w:t>
      </w:r>
      <w:r w:rsidRPr="00EA5C46">
        <w:rPr>
          <w:rFonts w:eastAsia="SimSun" w:cs="Arial"/>
        </w:rPr>
        <w:t>, these</w:t>
      </w:r>
      <w:r>
        <w:rPr>
          <w:rFonts w:eastAsia="SimSun" w:cs="Arial"/>
        </w:rPr>
        <w:t xml:space="preserve"> stratified approaches can be less dependent on strong assumptions. This is because they avoid the requirements to estimate ICERs</w:t>
      </w:r>
      <w:r w:rsidR="001D413D">
        <w:rPr>
          <w:rFonts w:eastAsia="SimSun" w:cs="Arial"/>
        </w:rPr>
        <w:t>/NHBs</w:t>
      </w:r>
      <w:r>
        <w:rPr>
          <w:rFonts w:eastAsia="SimSun" w:cs="Arial"/>
        </w:rPr>
        <w:t xml:space="preserve"> for unrepresented histologies.</w:t>
      </w:r>
    </w:p>
    <w:p w14:paraId="67381110" w14:textId="51F1A1D2" w:rsidR="008C725D" w:rsidRDefault="00EA5C46" w:rsidP="00F731D8">
      <w:pPr>
        <w:rPr>
          <w:rFonts w:eastAsia="SimSun" w:cs="Arial"/>
        </w:rPr>
      </w:pPr>
      <w:r>
        <w:rPr>
          <w:rFonts w:eastAsia="SimSun" w:cs="Arial"/>
        </w:rPr>
        <w:t>The role of stratified decision making was also illustrated as an approach to reducing the risk associated with uncertainty. This was compared to two other approaches to risk management</w:t>
      </w:r>
      <w:r w:rsidR="0016126B">
        <w:rPr>
          <w:rFonts w:eastAsia="SimSun" w:cs="Arial"/>
        </w:rPr>
        <w:t xml:space="preserve">: </w:t>
      </w:r>
      <w:r w:rsidRPr="00F731D8">
        <w:rPr>
          <w:rFonts w:eastAsia="SimSun" w:cs="Arial"/>
        </w:rPr>
        <w:t>furt</w:t>
      </w:r>
      <w:r>
        <w:rPr>
          <w:rFonts w:eastAsia="SimSun" w:cs="Arial"/>
        </w:rPr>
        <w:t>her data collection and pricing schemes</w:t>
      </w:r>
      <w:r w:rsidRPr="00F731D8">
        <w:rPr>
          <w:rFonts w:eastAsia="SimSun" w:cs="Arial"/>
        </w:rPr>
        <w:t>.</w:t>
      </w:r>
      <w:r w:rsidR="001D413D" w:rsidRPr="001D413D">
        <w:rPr>
          <w:rFonts w:eastAsia="SimSun" w:cs="Arial"/>
        </w:rPr>
        <w:fldChar w:fldCharType="begin">
          <w:fldData xml:space="preserve">PEVuZE5vdGU+PENpdGU+PEF1dGhvcj5DbGF4dG9uPC9BdXRob3I+PFllYXI+MTk5OTwvWWVhcj48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</w:fldData>
        </w:fldChar>
      </w:r>
      <w:r w:rsidR="00500BB3">
        <w:rPr>
          <w:rFonts w:eastAsia="SimSun" w:cs="Arial"/>
        </w:rPr>
        <w:instrText xml:space="preserve"> ADDIN EN.CITE </w:instrText>
      </w:r>
      <w:r w:rsidR="00500BB3">
        <w:rPr>
          <w:rFonts w:eastAsia="SimSun" w:cs="Arial"/>
        </w:rPr>
        <w:fldChar w:fldCharType="begin">
          <w:fldData xml:space="preserve">PEVuZE5vdGU+PENpdGU+PEF1dGhvcj5DbGF4dG9uPC9BdXRob3I+PFllYXI+MTk5OTwvWWVhcj48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</w:fldData>
        </w:fldChar>
      </w:r>
      <w:r w:rsidR="00500BB3">
        <w:rPr>
          <w:rFonts w:eastAsia="SimSun" w:cs="Arial"/>
        </w:rPr>
        <w:instrText xml:space="preserve"> ADDIN EN.CITE.DATA </w:instrText>
      </w:r>
      <w:r w:rsidR="00500BB3">
        <w:rPr>
          <w:rFonts w:eastAsia="SimSun" w:cs="Arial"/>
        </w:rPr>
      </w:r>
      <w:r w:rsidR="00500BB3">
        <w:rPr>
          <w:rFonts w:eastAsia="SimSun" w:cs="Arial"/>
        </w:rPr>
        <w:fldChar w:fldCharType="end"/>
      </w:r>
      <w:r w:rsidR="001D413D" w:rsidRPr="001D413D">
        <w:rPr>
          <w:rFonts w:eastAsia="SimSun" w:cs="Arial"/>
        </w:rPr>
      </w:r>
      <w:r w:rsidR="001D413D" w:rsidRPr="001D413D">
        <w:rPr>
          <w:rFonts w:eastAsia="SimSun" w:cs="Arial"/>
        </w:rPr>
        <w:fldChar w:fldCharType="separate"/>
      </w:r>
      <w:r w:rsidR="004D5B2B" w:rsidRPr="004D5B2B">
        <w:rPr>
          <w:rFonts w:eastAsia="SimSun" w:cs="Arial"/>
          <w:noProof/>
          <w:vertAlign w:val="superscript"/>
        </w:rPr>
        <w:t>191, 193, 201</w:t>
      </w:r>
      <w:r w:rsidR="001D413D" w:rsidRPr="001D413D">
        <w:rPr>
          <w:rFonts w:eastAsia="SimSun" w:cs="Arial"/>
        </w:rPr>
        <w:fldChar w:fldCharType="end"/>
      </w:r>
      <w:r w:rsidR="001D413D" w:rsidRPr="001D413D">
        <w:rPr>
          <w:rFonts w:eastAsia="SimSun" w:cs="Arial"/>
        </w:rPr>
        <w:t xml:space="preserve"> </w:t>
      </w:r>
      <w:r w:rsidRPr="00F731D8">
        <w:rPr>
          <w:rFonts w:eastAsia="SimSun" w:cs="Arial"/>
        </w:rPr>
        <w:t>This</w:t>
      </w:r>
      <w:r>
        <w:rPr>
          <w:rFonts w:eastAsia="SimSun" w:cs="Arial"/>
        </w:rPr>
        <w:t xml:space="preserve"> analysis showed that each approach can reduce risk associated with uncertainty</w:t>
      </w:r>
      <w:r w:rsidR="001D413D">
        <w:rPr>
          <w:rFonts w:eastAsia="SimSun" w:cs="Arial"/>
        </w:rPr>
        <w:t>. S</w:t>
      </w:r>
      <w:r w:rsidR="008C725D">
        <w:rPr>
          <w:rFonts w:eastAsia="SimSun" w:cs="Arial"/>
        </w:rPr>
        <w:t xml:space="preserve">tratified decision making </w:t>
      </w:r>
      <w:r w:rsidR="001D413D">
        <w:rPr>
          <w:rFonts w:eastAsia="SimSun" w:cs="Arial"/>
        </w:rPr>
        <w:t>was shown to be</w:t>
      </w:r>
      <w:r w:rsidR="008C725D">
        <w:rPr>
          <w:rFonts w:eastAsia="SimSun" w:cs="Arial"/>
        </w:rPr>
        <w:t xml:space="preserve"> the most effective policy</w:t>
      </w:r>
      <w:r w:rsidR="00D917AC">
        <w:rPr>
          <w:rFonts w:eastAsia="SimSun" w:cs="Arial"/>
        </w:rPr>
        <w:t xml:space="preserve"> for risk reduction</w:t>
      </w:r>
      <w:r w:rsidR="008C725D">
        <w:rPr>
          <w:rFonts w:eastAsia="SimSun" w:cs="Arial"/>
        </w:rPr>
        <w:t xml:space="preserve"> in the case study. T</w:t>
      </w:r>
      <w:r>
        <w:rPr>
          <w:rFonts w:eastAsia="SimSun" w:cs="Arial"/>
        </w:rPr>
        <w:t xml:space="preserve">he factors which </w:t>
      </w:r>
      <w:r w:rsidR="008C725D">
        <w:rPr>
          <w:rFonts w:eastAsia="SimSun" w:cs="Arial"/>
        </w:rPr>
        <w:t xml:space="preserve">determine the </w:t>
      </w:r>
      <w:r w:rsidR="00D917AC">
        <w:rPr>
          <w:rFonts w:eastAsia="SimSun" w:cs="Arial"/>
        </w:rPr>
        <w:t>magnitude</w:t>
      </w:r>
      <w:r w:rsidR="008C725D">
        <w:rPr>
          <w:rFonts w:eastAsia="SimSun" w:cs="Arial"/>
        </w:rPr>
        <w:t xml:space="preserve"> of uncertainty resolved by each approach were discussed and it was highlighted that these </w:t>
      </w:r>
      <w:r w:rsidR="00D917AC">
        <w:rPr>
          <w:rFonts w:eastAsia="SimSun" w:cs="Arial"/>
        </w:rPr>
        <w:t xml:space="preserve">factors </w:t>
      </w:r>
      <w:r w:rsidR="008C725D">
        <w:rPr>
          <w:rFonts w:eastAsia="SimSun" w:cs="Arial"/>
        </w:rPr>
        <w:t xml:space="preserve">will differ across </w:t>
      </w:r>
      <w:r w:rsidR="00A14A3A">
        <w:rPr>
          <w:rFonts w:eastAsia="SimSun" w:cs="Arial"/>
        </w:rPr>
        <w:t>histology</w:t>
      </w:r>
      <w:r w:rsidR="0017478A">
        <w:rPr>
          <w:rFonts w:eastAsia="SimSun" w:cs="Arial"/>
        </w:rPr>
        <w:t>-</w:t>
      </w:r>
      <w:r w:rsidR="00A14A3A">
        <w:rPr>
          <w:rFonts w:eastAsia="SimSun" w:cs="Arial"/>
        </w:rPr>
        <w:t>independent technologies</w:t>
      </w:r>
      <w:r w:rsidR="008C725D">
        <w:rPr>
          <w:rFonts w:eastAsia="SimSun" w:cs="Arial"/>
        </w:rPr>
        <w:t xml:space="preserve">. The policy, or </w:t>
      </w:r>
      <w:r w:rsidR="001D413D">
        <w:rPr>
          <w:rFonts w:eastAsia="SimSun" w:cs="Arial"/>
        </w:rPr>
        <w:t>combination</w:t>
      </w:r>
      <w:r w:rsidR="008C725D">
        <w:rPr>
          <w:rFonts w:eastAsia="SimSun" w:cs="Arial"/>
        </w:rPr>
        <w:t xml:space="preserve"> of policies, chosen in a specific scenario will depend on procedural feasibility and the characteristics of a given proposal.</w:t>
      </w:r>
    </w:p>
    <w:p w14:paraId="786DABBD" w14:textId="2248D476" w:rsidR="00EA5C46" w:rsidRPr="00EA5C46" w:rsidRDefault="00EA5C46" w:rsidP="00EA5C46">
      <w:pPr>
        <w:pStyle w:val="Heading3"/>
      </w:pPr>
      <w:bookmarkStart w:id="278" w:name="_Toc33776244"/>
      <w:r w:rsidRPr="00EA5C46">
        <w:lastRenderedPageBreak/>
        <w:t>Limitations of the analysis and directions for future research</w:t>
      </w:r>
      <w:bookmarkEnd w:id="278"/>
    </w:p>
    <w:p w14:paraId="1C040B62" w14:textId="48237D2A" w:rsidR="00C73D19" w:rsidRDefault="00F731D8" w:rsidP="00F731D8">
      <w:pPr>
        <w:rPr>
          <w:rFonts w:eastAsia="SimSun" w:cs="Arial"/>
        </w:rPr>
      </w:pPr>
      <w:r>
        <w:rPr>
          <w:rFonts w:eastAsia="SimSun" w:cs="Arial"/>
        </w:rPr>
        <w:t xml:space="preserve">A limitation of the analysis </w:t>
      </w:r>
      <w:r w:rsidR="00767DEC">
        <w:rPr>
          <w:rFonts w:eastAsia="SimSun" w:cs="Arial"/>
        </w:rPr>
        <w:t xml:space="preserve">in this section </w:t>
      </w:r>
      <w:r w:rsidRPr="007F6FE8">
        <w:rPr>
          <w:rFonts w:eastAsia="SimSun" w:cs="Arial"/>
        </w:rPr>
        <w:t xml:space="preserve">is that </w:t>
      </w:r>
      <w:r w:rsidR="0017478A">
        <w:rPr>
          <w:rFonts w:eastAsia="SimSun" w:cs="Arial"/>
        </w:rPr>
        <w:t>‘</w:t>
      </w:r>
      <w:r w:rsidRPr="007F6FE8">
        <w:rPr>
          <w:rFonts w:eastAsia="SimSun" w:cs="Arial"/>
        </w:rPr>
        <w:t>unrepresented histologies</w:t>
      </w:r>
      <w:r w:rsidR="0017478A">
        <w:rPr>
          <w:rFonts w:eastAsia="SimSun" w:cs="Arial"/>
        </w:rPr>
        <w:t>’</w:t>
      </w:r>
      <w:r w:rsidRPr="007F6FE8">
        <w:rPr>
          <w:rFonts w:eastAsia="SimSun" w:cs="Arial"/>
        </w:rPr>
        <w:t xml:space="preserve"> are included as a homogenous group. </w:t>
      </w:r>
      <w:r w:rsidR="0032727C">
        <w:rPr>
          <w:rFonts w:eastAsia="SimSun" w:cs="Arial"/>
        </w:rPr>
        <w:t xml:space="preserve">In </w:t>
      </w:r>
      <w:r>
        <w:rPr>
          <w:rFonts w:eastAsia="SimSun" w:cs="Arial"/>
        </w:rPr>
        <w:t xml:space="preserve">reality there may be significant heterogeneity </w:t>
      </w:r>
      <w:r w:rsidR="006574F4">
        <w:rPr>
          <w:rFonts w:eastAsia="SimSun" w:cs="Arial"/>
        </w:rPr>
        <w:t>between different unrepresented histologies</w:t>
      </w:r>
      <w:r>
        <w:rPr>
          <w:rFonts w:eastAsia="SimSun" w:cs="Arial"/>
        </w:rPr>
        <w:t xml:space="preserve">. The sections on stratified decision making assumed that </w:t>
      </w:r>
      <w:r w:rsidR="00767DEC">
        <w:rPr>
          <w:rFonts w:eastAsia="SimSun" w:cs="Arial"/>
        </w:rPr>
        <w:t>Drug X</w:t>
      </w:r>
      <w:r>
        <w:rPr>
          <w:rFonts w:eastAsia="SimSun" w:cs="Arial"/>
        </w:rPr>
        <w:t xml:space="preserve"> could only be approved in represented treatments. Theoretically, this need not be the case. If unrepresented histologies were</w:t>
      </w:r>
      <w:r w:rsidR="006574F4">
        <w:rPr>
          <w:rFonts w:eastAsia="SimSun" w:cs="Arial"/>
        </w:rPr>
        <w:t xml:space="preserve"> not treated as a homogenous group but were</w:t>
      </w:r>
      <w:r>
        <w:rPr>
          <w:rFonts w:eastAsia="SimSun" w:cs="Arial"/>
        </w:rPr>
        <w:t xml:space="preserve"> </w:t>
      </w:r>
      <w:r w:rsidR="007522F6">
        <w:rPr>
          <w:rFonts w:eastAsia="SimSun" w:cs="Arial"/>
        </w:rPr>
        <w:t>considered individually</w:t>
      </w:r>
      <w:r>
        <w:rPr>
          <w:rFonts w:eastAsia="SimSun" w:cs="Arial"/>
        </w:rPr>
        <w:t xml:space="preserve"> it is likely that for some Drug X </w:t>
      </w:r>
      <w:r w:rsidR="006574F4">
        <w:rPr>
          <w:rFonts w:eastAsia="SimSun" w:cs="Arial"/>
        </w:rPr>
        <w:t xml:space="preserve">would be expected to be </w:t>
      </w:r>
      <w:r w:rsidR="009D6CA1">
        <w:rPr>
          <w:rFonts w:eastAsia="SimSun" w:cs="Arial"/>
        </w:rPr>
        <w:t>cost-effective</w:t>
      </w:r>
      <w:r w:rsidR="006574F4">
        <w:rPr>
          <w:rFonts w:eastAsia="SimSun" w:cs="Arial"/>
        </w:rPr>
        <w:t xml:space="preserve"> and for others it would not. The uncertainty </w:t>
      </w:r>
      <w:r w:rsidR="00E31AF8">
        <w:rPr>
          <w:rFonts w:eastAsia="SimSun" w:cs="Arial"/>
        </w:rPr>
        <w:t>surrounding each would also differ</w:t>
      </w:r>
      <w:r w:rsidR="007522F6">
        <w:rPr>
          <w:rFonts w:eastAsia="SimSun" w:cs="Arial"/>
        </w:rPr>
        <w:t>.</w:t>
      </w:r>
      <w:r w:rsidR="00E31AF8">
        <w:rPr>
          <w:rFonts w:eastAsia="SimSun" w:cs="Arial"/>
        </w:rPr>
        <w:t xml:space="preserve"> </w:t>
      </w:r>
      <w:r>
        <w:rPr>
          <w:rFonts w:eastAsia="SimSun" w:cs="Arial"/>
        </w:rPr>
        <w:t xml:space="preserve">If approval </w:t>
      </w:r>
      <w:r w:rsidR="00E31AF8">
        <w:rPr>
          <w:rFonts w:eastAsia="SimSun" w:cs="Arial"/>
        </w:rPr>
        <w:t>in individual unrepresented histologies</w:t>
      </w:r>
      <w:r>
        <w:rPr>
          <w:rFonts w:eastAsia="SimSun" w:cs="Arial"/>
        </w:rPr>
        <w:t xml:space="preserve"> was feasible, the decision uncertainty remaining after full stratification would be larger than reported </w:t>
      </w:r>
      <w:r w:rsidR="00E31AF8">
        <w:rPr>
          <w:rFonts w:eastAsia="SimSun" w:cs="Arial"/>
        </w:rPr>
        <w:t xml:space="preserve">in Section </w:t>
      </w:r>
      <w:r w:rsidR="00E31AF8">
        <w:rPr>
          <w:rFonts w:eastAsia="SimSun" w:cs="Arial"/>
        </w:rPr>
        <w:fldChar w:fldCharType="begin"/>
      </w:r>
      <w:r w:rsidR="00E31AF8">
        <w:rPr>
          <w:rFonts w:eastAsia="SimSun" w:cs="Arial"/>
        </w:rPr>
        <w:instrText xml:space="preserve"> REF _Ref32314921 \r \h </w:instrText>
      </w:r>
      <w:r w:rsidR="00E31AF8">
        <w:rPr>
          <w:rFonts w:eastAsia="SimSun" w:cs="Arial"/>
        </w:rPr>
      </w:r>
      <w:r w:rsidR="00E31AF8">
        <w:rPr>
          <w:rFonts w:eastAsia="SimSun" w:cs="Arial"/>
        </w:rPr>
        <w:fldChar w:fldCharType="separate"/>
      </w:r>
      <w:r w:rsidR="00C663A2">
        <w:rPr>
          <w:rFonts w:eastAsia="SimSun" w:cs="Arial"/>
        </w:rPr>
        <w:t>7.4.5</w:t>
      </w:r>
      <w:r w:rsidR="00E31AF8">
        <w:rPr>
          <w:rFonts w:eastAsia="SimSun" w:cs="Arial"/>
        </w:rPr>
        <w:fldChar w:fldCharType="end"/>
      </w:r>
      <w:r>
        <w:rPr>
          <w:rFonts w:eastAsia="SimSun" w:cs="Arial"/>
        </w:rPr>
        <w:t xml:space="preserve">. </w:t>
      </w:r>
      <w:r w:rsidR="00E31AF8">
        <w:rPr>
          <w:rFonts w:eastAsia="SimSun" w:cs="Arial"/>
        </w:rPr>
        <w:t xml:space="preserve">This is because the uncertainty reported for fully stratified decision making </w:t>
      </w:r>
      <w:r w:rsidR="00E31AF8" w:rsidRPr="00E31AF8">
        <w:rPr>
          <w:rFonts w:eastAsia="SimSun" w:cs="Arial"/>
        </w:rPr>
        <w:t>(1.41 QALYs per year)</w:t>
      </w:r>
      <w:r w:rsidR="00E31AF8">
        <w:rPr>
          <w:rFonts w:eastAsia="SimSun" w:cs="Arial"/>
        </w:rPr>
        <w:t xml:space="preserve"> only considers uncertainty in the represented histologies. Including uncertainty in unrepresented histologies would necessarily increase this. </w:t>
      </w:r>
    </w:p>
    <w:p w14:paraId="76FA541F" w14:textId="642C6676" w:rsidR="00F731D8" w:rsidRPr="00E31AF8" w:rsidRDefault="00F731D8" w:rsidP="00F731D8">
      <w:pPr>
        <w:rPr>
          <w:rFonts w:eastAsia="SimSun" w:cs="Arial"/>
        </w:rPr>
      </w:pPr>
      <w:r>
        <w:rPr>
          <w:rFonts w:eastAsia="SimSun" w:cs="Arial"/>
        </w:rPr>
        <w:t>F</w:t>
      </w:r>
      <w:r w:rsidRPr="00BC61C7">
        <w:rPr>
          <w:rFonts w:eastAsia="SimSun" w:cs="Arial"/>
        </w:rPr>
        <w:t xml:space="preserve">or the sake of </w:t>
      </w:r>
      <w:r>
        <w:rPr>
          <w:rFonts w:eastAsia="SimSun" w:cs="Arial"/>
        </w:rPr>
        <w:t xml:space="preserve">clearly </w:t>
      </w:r>
      <w:r w:rsidRPr="00BC61C7">
        <w:rPr>
          <w:rFonts w:eastAsia="SimSun" w:cs="Arial"/>
        </w:rPr>
        <w:t xml:space="preserve">illustrating the core </w:t>
      </w:r>
      <w:r w:rsidRPr="00151650">
        <w:rPr>
          <w:rFonts w:eastAsia="SimSun" w:cs="Arial"/>
        </w:rPr>
        <w:t>principles of decision making u</w:t>
      </w:r>
      <w:r w:rsidR="00E31AF8">
        <w:rPr>
          <w:rFonts w:eastAsia="SimSun" w:cs="Arial"/>
        </w:rPr>
        <w:t xml:space="preserve">nder uncertainty other </w:t>
      </w:r>
      <w:r w:rsidRPr="00151650">
        <w:rPr>
          <w:rFonts w:eastAsia="SimSun" w:cs="Arial"/>
        </w:rPr>
        <w:t xml:space="preserve">simplifying assumptions were made. Namely, one-off infrastructure </w:t>
      </w:r>
      <w:r>
        <w:rPr>
          <w:rFonts w:eastAsia="SimSun" w:cs="Arial"/>
        </w:rPr>
        <w:t xml:space="preserve">costs, </w:t>
      </w:r>
      <w:r w:rsidRPr="00151650">
        <w:rPr>
          <w:rFonts w:eastAsia="SimSun" w:cs="Arial"/>
        </w:rPr>
        <w:t>population prevalence</w:t>
      </w:r>
      <w:r>
        <w:rPr>
          <w:rFonts w:eastAsia="SimSun" w:cs="Arial"/>
        </w:rPr>
        <w:t xml:space="preserve"> and test uncertainty </w:t>
      </w:r>
      <w:r w:rsidRPr="00151650">
        <w:rPr>
          <w:rFonts w:eastAsia="SimSun" w:cs="Arial"/>
        </w:rPr>
        <w:t xml:space="preserve">were not </w:t>
      </w:r>
      <w:r w:rsidR="00E31AF8">
        <w:rPr>
          <w:rFonts w:eastAsia="SimSun" w:cs="Arial"/>
        </w:rPr>
        <w:t xml:space="preserve">explicitly </w:t>
      </w:r>
      <w:r w:rsidRPr="00151650">
        <w:rPr>
          <w:rFonts w:eastAsia="SimSun" w:cs="Arial"/>
        </w:rPr>
        <w:t>modelled, these assumptions should be</w:t>
      </w:r>
      <w:r>
        <w:rPr>
          <w:rFonts w:eastAsia="SimSun" w:cs="Arial"/>
        </w:rPr>
        <w:t xml:space="preserve"> relaxed in future research</w:t>
      </w:r>
      <w:r w:rsidRPr="00BC61C7">
        <w:rPr>
          <w:rFonts w:eastAsia="SimSun" w:cs="Arial"/>
        </w:rPr>
        <w:t>.</w:t>
      </w:r>
      <w:r w:rsidRPr="00BC61C7">
        <w:rPr>
          <w:rFonts w:eastAsia="SimSun" w:cs="Arial"/>
        </w:rPr>
        <w:fldChar w:fldCharType="begin">
          <w:fldData xml:space="preserve">PEVuZE5vdGU+PENpdGU+PEF1dGhvcj5DbGF4dG9uPC9BdXRob3I+PFllYXI+MjAxNjwvWWVhcj48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PEVuZE5vdGU+PENpdGU+PEF1dGhvcj5DbGF4dG9uPC9BdXRob3I+PFllYXI+MjAxNjwvWWVhcj48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Pr="00BC61C7">
        <w:rPr>
          <w:rFonts w:eastAsia="SimSun" w:cs="Arial"/>
        </w:rPr>
      </w:r>
      <w:r w:rsidRPr="00BC61C7">
        <w:rPr>
          <w:rFonts w:eastAsia="SimSun" w:cs="Arial"/>
        </w:rPr>
        <w:fldChar w:fldCharType="separate"/>
      </w:r>
      <w:r w:rsidR="004D5B2B" w:rsidRPr="004D5B2B">
        <w:rPr>
          <w:rFonts w:eastAsia="SimSun" w:cs="Arial"/>
          <w:noProof/>
          <w:vertAlign w:val="superscript"/>
        </w:rPr>
        <w:t>194</w:t>
      </w:r>
      <w:r w:rsidRPr="00BC61C7">
        <w:rPr>
          <w:rFonts w:eastAsia="SimSun" w:cs="Arial"/>
        </w:rPr>
        <w:fldChar w:fldCharType="end"/>
      </w:r>
    </w:p>
    <w:p w14:paraId="7C7A27D0" w14:textId="69DEE713" w:rsidR="00F731D8" w:rsidRDefault="00F731D8" w:rsidP="00F731D8">
      <w:pPr>
        <w:rPr>
          <w:rFonts w:eastAsia="SimSun" w:cs="Arial"/>
        </w:rPr>
      </w:pPr>
      <w:r>
        <w:rPr>
          <w:rFonts w:eastAsia="SimSun" w:cs="Arial"/>
        </w:rPr>
        <w:t>O</w:t>
      </w:r>
      <w:r w:rsidRPr="00151650">
        <w:rPr>
          <w:rFonts w:eastAsia="SimSun" w:cs="Arial"/>
        </w:rPr>
        <w:t xml:space="preserve">ne-off infrastructure costs </w:t>
      </w:r>
      <w:r>
        <w:rPr>
          <w:rFonts w:eastAsia="SimSun" w:cs="Arial"/>
        </w:rPr>
        <w:t>are relevant in calculating per</w:t>
      </w:r>
      <w:r w:rsidR="0017478A">
        <w:rPr>
          <w:rFonts w:eastAsia="SimSun" w:cs="Arial"/>
        </w:rPr>
        <w:t>-</w:t>
      </w:r>
      <w:r>
        <w:rPr>
          <w:rFonts w:eastAsia="SimSun" w:cs="Arial"/>
        </w:rPr>
        <w:t xml:space="preserve">person testing costs. In the </w:t>
      </w:r>
      <w:r w:rsidRPr="00BC61C7">
        <w:rPr>
          <w:rFonts w:eastAsia="SimSun" w:cs="Arial"/>
        </w:rPr>
        <w:t xml:space="preserve">case study we have assumed a one off testing cost of £50 per individual tested. However, testing </w:t>
      </w:r>
      <w:r w:rsidR="00C20257">
        <w:rPr>
          <w:rFonts w:eastAsia="SimSun" w:cs="Arial"/>
        </w:rPr>
        <w:t>approaches based on</w:t>
      </w:r>
      <w:r w:rsidRPr="00BC61C7">
        <w:rPr>
          <w:rFonts w:eastAsia="SimSun" w:cs="Arial"/>
        </w:rPr>
        <w:t xml:space="preserve"> NGS </w:t>
      </w:r>
      <w:r w:rsidR="00C20257">
        <w:rPr>
          <w:rFonts w:eastAsia="SimSun" w:cs="Arial"/>
        </w:rPr>
        <w:t>may</w:t>
      </w:r>
      <w:r w:rsidRPr="00BC61C7">
        <w:rPr>
          <w:rFonts w:eastAsia="SimSun" w:cs="Arial"/>
        </w:rPr>
        <w:t xml:space="preserve"> require large </w:t>
      </w:r>
      <w:r w:rsidR="0017478A" w:rsidRPr="00BC61C7">
        <w:rPr>
          <w:rFonts w:eastAsia="SimSun" w:cs="Arial"/>
        </w:rPr>
        <w:t>up-front</w:t>
      </w:r>
      <w:r>
        <w:rPr>
          <w:rFonts w:eastAsia="SimSun" w:cs="Arial"/>
        </w:rPr>
        <w:t xml:space="preserve"> investments in infrastructure</w:t>
      </w:r>
      <w:r w:rsidRPr="005C3B84">
        <w:rPr>
          <w:rFonts w:eastAsia="SimSun" w:cs="Arial"/>
        </w:rPr>
        <w:t xml:space="preserve">. </w:t>
      </w:r>
      <w:r w:rsidR="00A01149">
        <w:rPr>
          <w:rFonts w:eastAsia="SimSun" w:cs="Arial"/>
        </w:rPr>
        <w:t>A recommended</w:t>
      </w:r>
      <w:r>
        <w:rPr>
          <w:rFonts w:eastAsia="SimSun" w:cs="Arial"/>
        </w:rPr>
        <w:t xml:space="preserve"> approach to incorporate capital costs, such as testing infrastructure, is to divide the one-off expenditure by the</w:t>
      </w:r>
      <w:r w:rsidR="00A01149">
        <w:rPr>
          <w:rFonts w:eastAsia="SimSun" w:cs="Arial"/>
        </w:rPr>
        <w:t xml:space="preserve"> total</w:t>
      </w:r>
      <w:r>
        <w:rPr>
          <w:rFonts w:eastAsia="SimSun" w:cs="Arial"/>
        </w:rPr>
        <w:t xml:space="preserve"> population of patients who are expected to use the infrastructure.</w:t>
      </w:r>
      <w:r w:rsidR="00CB2733">
        <w:rPr>
          <w:rFonts w:eastAsia="SimSun" w:cs="Arial"/>
        </w:rPr>
        <w:fldChar w:fldCharType="begin">
          <w:fldData xml:space="preserve">PEVuZE5vdGU+PENpdGU+PEF1dGhvcj5EcnVtbW9uZDwvQXV0aG9yPjxZZWFyPjIwMTU8L1llYXI+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PEVuZE5vdGU+PENpdGU+PEF1dGhvcj5EcnVtbW9uZDwvQXV0aG9yPjxZZWFyPjIwMTU8L1llYXI+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194, 205</w:t>
      </w:r>
      <w:r w:rsidR="00CB2733">
        <w:rPr>
          <w:rFonts w:eastAsia="SimSun" w:cs="Arial"/>
        </w:rPr>
        <w:fldChar w:fldCharType="end"/>
      </w:r>
      <w:r>
        <w:rPr>
          <w:rFonts w:eastAsia="SimSun" w:cs="Arial"/>
        </w:rPr>
        <w:t xml:space="preserve"> </w:t>
      </w:r>
      <w:r w:rsidR="00767DEC">
        <w:rPr>
          <w:rFonts w:eastAsia="SimSun" w:cs="Arial"/>
        </w:rPr>
        <w:t>For histology independent technologies</w:t>
      </w:r>
      <w:r>
        <w:rPr>
          <w:rFonts w:eastAsia="SimSun" w:cs="Arial"/>
        </w:rPr>
        <w:t xml:space="preserve"> this includes </w:t>
      </w:r>
      <w:r w:rsidRPr="00CB3661">
        <w:rPr>
          <w:rFonts w:eastAsia="SimSun" w:cs="Arial"/>
        </w:rPr>
        <w:t xml:space="preserve">individuals across </w:t>
      </w:r>
      <w:r w:rsidR="00A01149">
        <w:rPr>
          <w:rFonts w:eastAsia="SimSun" w:cs="Arial"/>
        </w:rPr>
        <w:t>a</w:t>
      </w:r>
      <w:r w:rsidRPr="00CB3661">
        <w:rPr>
          <w:rFonts w:eastAsia="SimSun" w:cs="Arial"/>
        </w:rPr>
        <w:t xml:space="preserve"> range of histologies</w:t>
      </w:r>
      <w:r>
        <w:rPr>
          <w:rFonts w:eastAsia="SimSun" w:cs="Arial"/>
        </w:rPr>
        <w:t xml:space="preserve"> and over the expected lifetime for the infrastructure. </w:t>
      </w:r>
      <w:r w:rsidRPr="007F6FE8">
        <w:rPr>
          <w:rFonts w:eastAsia="SimSun" w:cs="Arial"/>
        </w:rPr>
        <w:t xml:space="preserve">This has </w:t>
      </w:r>
      <w:r w:rsidR="00B21C04">
        <w:rPr>
          <w:rFonts w:eastAsia="SimSun" w:cs="Arial"/>
        </w:rPr>
        <w:t xml:space="preserve">several potential </w:t>
      </w:r>
      <w:r w:rsidRPr="007F6FE8">
        <w:rPr>
          <w:rFonts w:eastAsia="SimSun" w:cs="Arial"/>
        </w:rPr>
        <w:t>important</w:t>
      </w:r>
      <w:r w:rsidRPr="005C3B84">
        <w:rPr>
          <w:rFonts w:eastAsia="SimSun" w:cs="Arial"/>
        </w:rPr>
        <w:t xml:space="preserve"> implicati</w:t>
      </w:r>
      <w:r w:rsidR="00A01149">
        <w:rPr>
          <w:rFonts w:eastAsia="SimSun" w:cs="Arial"/>
        </w:rPr>
        <w:t>ons for decision making</w:t>
      </w:r>
      <w:r w:rsidRPr="005C3B84">
        <w:rPr>
          <w:rFonts w:eastAsia="SimSun" w:cs="Arial"/>
        </w:rPr>
        <w:t xml:space="preserve">. </w:t>
      </w:r>
    </w:p>
    <w:p w14:paraId="3AC8C2A3" w14:textId="3CB4B7A5" w:rsidR="00B21C04" w:rsidRDefault="00F731D8" w:rsidP="00F731D8">
      <w:pPr>
        <w:rPr>
          <w:rFonts w:eastAsia="SimSun" w:cs="Arial"/>
        </w:rPr>
      </w:pPr>
      <w:r>
        <w:rPr>
          <w:rFonts w:eastAsia="SimSun" w:cs="Arial"/>
        </w:rPr>
        <w:t xml:space="preserve">The first is that </w:t>
      </w:r>
      <w:r w:rsidRPr="005C3B84">
        <w:rPr>
          <w:rFonts w:eastAsia="SimSun" w:cs="Arial"/>
        </w:rPr>
        <w:t xml:space="preserve">any stratification of </w:t>
      </w:r>
      <w:r>
        <w:rPr>
          <w:rFonts w:eastAsia="SimSun" w:cs="Arial"/>
        </w:rPr>
        <w:t>approval</w:t>
      </w:r>
      <w:r w:rsidRPr="005C3B84">
        <w:rPr>
          <w:rFonts w:eastAsia="SimSun" w:cs="Arial"/>
        </w:rPr>
        <w:t xml:space="preserve"> </w:t>
      </w:r>
      <w:r>
        <w:rPr>
          <w:rFonts w:eastAsia="SimSun" w:cs="Arial"/>
        </w:rPr>
        <w:t xml:space="preserve">by histology </w:t>
      </w:r>
      <w:r w:rsidRPr="005C3B84">
        <w:rPr>
          <w:rFonts w:eastAsia="SimSun" w:cs="Arial"/>
        </w:rPr>
        <w:t>will necessarily mean that testing costs will be spread over a smaller number of patients. This will have the effect of increasing per</w:t>
      </w:r>
      <w:r w:rsidR="0017478A">
        <w:rPr>
          <w:rFonts w:eastAsia="SimSun" w:cs="Arial"/>
        </w:rPr>
        <w:t>-</w:t>
      </w:r>
      <w:r w:rsidRPr="005C3B84">
        <w:rPr>
          <w:rFonts w:eastAsia="SimSun" w:cs="Arial"/>
        </w:rPr>
        <w:t xml:space="preserve">person testing costs when treatments are approved </w:t>
      </w:r>
      <w:r>
        <w:rPr>
          <w:rFonts w:eastAsia="SimSun" w:cs="Arial"/>
        </w:rPr>
        <w:t>for subsets of histologies, reducing</w:t>
      </w:r>
      <w:r w:rsidRPr="005C3B84">
        <w:rPr>
          <w:rFonts w:eastAsia="SimSun" w:cs="Arial"/>
        </w:rPr>
        <w:t xml:space="preserve"> the </w:t>
      </w:r>
      <w:r>
        <w:rPr>
          <w:rFonts w:eastAsia="SimSun" w:cs="Arial"/>
        </w:rPr>
        <w:t xml:space="preserve">expected </w:t>
      </w:r>
      <w:r w:rsidRPr="005C3B84">
        <w:rPr>
          <w:rFonts w:eastAsia="SimSun" w:cs="Arial"/>
        </w:rPr>
        <w:t>health gains associated with stratification.</w:t>
      </w:r>
      <w:r>
        <w:rPr>
          <w:rFonts w:eastAsia="SimSun" w:cs="Arial"/>
        </w:rPr>
        <w:t xml:space="preserve"> </w:t>
      </w:r>
      <w:r w:rsidRPr="00C037CB">
        <w:rPr>
          <w:rFonts w:eastAsia="SimSun" w:cs="Arial"/>
        </w:rPr>
        <w:t xml:space="preserve">Second, if reimbursement decisions are changed before the end of the assumed lifetime of the one-off infrastructure investment and some proportion of these costs are not recoverable then this has </w:t>
      </w:r>
      <w:r w:rsidR="00A01149">
        <w:rPr>
          <w:rFonts w:eastAsia="SimSun" w:cs="Arial"/>
        </w:rPr>
        <w:t xml:space="preserve">important </w:t>
      </w:r>
      <w:r w:rsidRPr="00C037CB">
        <w:rPr>
          <w:rFonts w:eastAsia="SimSun" w:cs="Arial"/>
        </w:rPr>
        <w:t xml:space="preserve">implications for decision making under uncertainty. </w:t>
      </w:r>
      <w:r>
        <w:rPr>
          <w:rFonts w:eastAsia="SimSun" w:cs="Arial"/>
        </w:rPr>
        <w:t>The presence of significant irrecoverable costs</w:t>
      </w:r>
      <w:r w:rsidR="00A01149">
        <w:rPr>
          <w:rFonts w:eastAsia="SimSun" w:cs="Arial"/>
        </w:rPr>
        <w:t xml:space="preserve"> increases the costs associated with </w:t>
      </w:r>
      <w:r w:rsidR="000B6F77">
        <w:rPr>
          <w:rFonts w:eastAsia="SimSun" w:cs="Arial"/>
        </w:rPr>
        <w:t xml:space="preserve">initially </w:t>
      </w:r>
      <w:r w:rsidR="00A01149">
        <w:rPr>
          <w:rFonts w:eastAsia="SimSun" w:cs="Arial"/>
        </w:rPr>
        <w:t xml:space="preserve">implementing then </w:t>
      </w:r>
      <w:r w:rsidR="000B6F77">
        <w:rPr>
          <w:rFonts w:eastAsia="SimSun" w:cs="Arial"/>
        </w:rPr>
        <w:t xml:space="preserve">subsequently </w:t>
      </w:r>
      <w:r w:rsidR="00A01149">
        <w:rPr>
          <w:rFonts w:eastAsia="SimSun" w:cs="Arial"/>
        </w:rPr>
        <w:t>removing a technology</w:t>
      </w:r>
      <w:r w:rsidR="000B6F77">
        <w:rPr>
          <w:rFonts w:eastAsia="SimSun" w:cs="Arial"/>
        </w:rPr>
        <w:t xml:space="preserve"> from general use</w:t>
      </w:r>
      <w:r w:rsidR="00A01149">
        <w:rPr>
          <w:rFonts w:eastAsia="SimSun" w:cs="Arial"/>
        </w:rPr>
        <w:t xml:space="preserve">. </w:t>
      </w:r>
      <w:r w:rsidR="000B6F77">
        <w:rPr>
          <w:rFonts w:eastAsia="SimSun" w:cs="Arial"/>
        </w:rPr>
        <w:t xml:space="preserve">Taking account of these costs </w:t>
      </w:r>
      <w:r>
        <w:rPr>
          <w:rFonts w:eastAsia="SimSun" w:cs="Arial"/>
        </w:rPr>
        <w:t xml:space="preserve">will tend to favour </w:t>
      </w:r>
      <w:r w:rsidR="00A01149">
        <w:rPr>
          <w:rFonts w:eastAsia="SimSun" w:cs="Arial"/>
        </w:rPr>
        <w:t>more conservative approaches to decision making</w:t>
      </w:r>
      <w:r>
        <w:rPr>
          <w:rFonts w:eastAsia="SimSun" w:cs="Arial"/>
        </w:rPr>
        <w:t xml:space="preserve"> which demand </w:t>
      </w:r>
      <w:r w:rsidR="000B6F77">
        <w:rPr>
          <w:rFonts w:eastAsia="SimSun" w:cs="Arial"/>
        </w:rPr>
        <w:t>less uncertainty</w:t>
      </w:r>
      <w:r>
        <w:rPr>
          <w:rFonts w:eastAsia="SimSun" w:cs="Arial"/>
        </w:rPr>
        <w:t xml:space="preserve"> before a treatment is approved for widespread use.</w:t>
      </w:r>
      <w:r w:rsidR="00CB2733">
        <w:rPr>
          <w:rFonts w:eastAsia="SimSun" w:cs="Arial"/>
        </w:rPr>
        <w:fldChar w:fldCharType="begin">
          <w:fldData xml:space="preserve">PEVuZE5vdGU+PENpdGU+PEF1dGhvcj5DbGF4dG9uPC9BdXRob3I+PFllYXI+MjAxNjwvWWVhcj48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</w:fldData>
        </w:fldChar>
      </w:r>
      <w:r w:rsidR="004D5B2B">
        <w:rPr>
          <w:rFonts w:eastAsia="SimSun" w:cs="Arial"/>
        </w:rPr>
        <w:instrText xml:space="preserve"> ADDIN EN.CITE </w:instrText>
      </w:r>
      <w:r w:rsidR="004D5B2B">
        <w:rPr>
          <w:rFonts w:eastAsia="SimSun" w:cs="Arial"/>
        </w:rPr>
        <w:fldChar w:fldCharType="begin">
          <w:fldData xml:space="preserve">PEVuZE5vdGU+PENpdGU+PEF1dGhvcj5DbGF4dG9uPC9BdXRob3I+PFllYXI+MjAxNjwvWWVhcj48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</w:fldData>
        </w:fldChar>
      </w:r>
      <w:r w:rsidR="004D5B2B">
        <w:rPr>
          <w:rFonts w:eastAsia="SimSun" w:cs="Arial"/>
        </w:rPr>
        <w:instrText xml:space="preserve"> ADDIN EN.CITE.DATA </w:instrText>
      </w:r>
      <w:r w:rsidR="004D5B2B">
        <w:rPr>
          <w:rFonts w:eastAsia="SimSun" w:cs="Arial"/>
        </w:rPr>
      </w:r>
      <w:r w:rsidR="004D5B2B">
        <w:rPr>
          <w:rFonts w:eastAsia="SimSun" w:cs="Arial"/>
        </w:rPr>
        <w:fldChar w:fldCharType="end"/>
      </w:r>
      <w:r w:rsidR="00CB2733">
        <w:rPr>
          <w:rFonts w:eastAsia="SimSun" w:cs="Arial"/>
        </w:rPr>
      </w:r>
      <w:r w:rsidR="00CB2733">
        <w:rPr>
          <w:rFonts w:eastAsia="SimSun" w:cs="Arial"/>
        </w:rPr>
        <w:fldChar w:fldCharType="separate"/>
      </w:r>
      <w:r w:rsidR="004D5B2B" w:rsidRPr="004D5B2B">
        <w:rPr>
          <w:rFonts w:eastAsia="SimSun" w:cs="Arial"/>
          <w:noProof/>
          <w:vertAlign w:val="superscript"/>
        </w:rPr>
        <w:t>194</w:t>
      </w:r>
      <w:r w:rsidR="00CB2733">
        <w:rPr>
          <w:rFonts w:eastAsia="SimSun" w:cs="Arial"/>
        </w:rPr>
        <w:fldChar w:fldCharType="end"/>
      </w:r>
      <w:r>
        <w:rPr>
          <w:rFonts w:eastAsia="SimSun" w:cs="Arial"/>
        </w:rPr>
        <w:t xml:space="preserve"> </w:t>
      </w:r>
      <w:r w:rsidRPr="00C037CB">
        <w:rPr>
          <w:rFonts w:eastAsia="SimSun" w:cs="Arial"/>
        </w:rPr>
        <w:t xml:space="preserve">This has implications for the CDF as </w:t>
      </w:r>
      <w:r>
        <w:rPr>
          <w:rFonts w:eastAsia="SimSun" w:cs="Arial"/>
        </w:rPr>
        <w:t>MAAs stipulate</w:t>
      </w:r>
      <w:r w:rsidRPr="00C037CB">
        <w:rPr>
          <w:rFonts w:eastAsia="SimSun" w:cs="Arial"/>
        </w:rPr>
        <w:t xml:space="preserve"> approval of </w:t>
      </w:r>
      <w:r w:rsidR="000B6F77">
        <w:rPr>
          <w:rFonts w:eastAsia="SimSun" w:cs="Arial"/>
        </w:rPr>
        <w:t>technologies</w:t>
      </w:r>
      <w:r w:rsidRPr="00C037CB">
        <w:rPr>
          <w:rFonts w:eastAsia="SimSun" w:cs="Arial"/>
        </w:rPr>
        <w:t xml:space="preserve"> for the entire eligible population determined by the NICE guidance </w:t>
      </w:r>
      <w:r w:rsidRPr="00C037CB">
        <w:rPr>
          <w:rFonts w:eastAsia="SimSun" w:cs="Arial"/>
        </w:rPr>
        <w:lastRenderedPageBreak/>
        <w:t>alongs</w:t>
      </w:r>
      <w:r>
        <w:rPr>
          <w:rFonts w:eastAsia="SimSun" w:cs="Arial"/>
        </w:rPr>
        <w:t>ide research.</w:t>
      </w:r>
      <w:r w:rsidR="00CB2733">
        <w:rPr>
          <w:rFonts w:eastAsia="SimSun" w:cs="Arial"/>
        </w:rPr>
        <w:fldChar w:fldCharType="begin"/>
      </w:r>
      <w:r w:rsidR="004D5B2B">
        <w:rPr>
          <w:rFonts w:eastAsia="SimSun" w:cs="Arial"/>
        </w:rPr>
        <w:instrText xml:space="preserve"> ADDIN EN.CITE &lt;EndNote&gt;&lt;Cite&gt;&lt;Author&gt;NHS England Cancer Drugs Fund Team&lt;/Author&gt;&lt;Year&gt;2016&lt;/Year&gt;&lt;RecNum&gt;3583&lt;/RecNum&gt;&lt;DisplayText&gt;&lt;style face="superscript"&gt;196&lt;/style&gt;&lt;/DisplayText&gt;&lt;record&gt;&lt;rec-number&gt;3583&lt;/rec-number&gt;&lt;foreign-keys&gt;&lt;key app="EN" db-id="dwaevxvazfs2f3ewvzmxrd0k0wasw55p2z2w" timestamp="1582191038"&gt;3583&lt;/key&gt;&lt;/foreign-keys&gt;&lt;ref-type name="Report"&gt;27&lt;/ref-type&gt;&lt;contributors&gt;&lt;authors&gt;&lt;author&gt;NHS England Cancer Drugs Fund Team,&lt;/author&gt;&lt;/authors&gt;&lt;/contributors&gt;&lt;titles&gt;&lt;title&gt;Appraisal and Funding of Cancer Drugs from July 2016 (including the new Cancer Drugs Fund): A new deal for patients, taxpayers and industry&lt;/title&gt;&lt;/titles&gt;&lt;dates&gt;&lt;year&gt;2016&lt;/year&gt;&lt;/dates&gt;&lt;pub-location&gt;London&lt;/pub-location&gt;&lt;urls&gt;&lt;related-urls&gt;&lt;url&gt;https://www.england.nhs.uk/publication/cdf-sop-16/&lt;/url&gt;&lt;/related-urls&gt;&lt;/urls&gt;&lt;custom4&gt;STEVE&amp;apos;S REFRENCES&lt;/custom4&gt;&lt;/record&gt;&lt;/Cite&gt;&lt;/EndNote&gt;</w:instrText>
      </w:r>
      <w:r w:rsidR="00CB2733">
        <w:rPr>
          <w:rFonts w:eastAsia="SimSun" w:cs="Arial"/>
        </w:rPr>
        <w:fldChar w:fldCharType="separate"/>
      </w:r>
      <w:r w:rsidR="004D5B2B" w:rsidRPr="004D5B2B">
        <w:rPr>
          <w:rFonts w:eastAsia="SimSun" w:cs="Arial"/>
          <w:noProof/>
          <w:vertAlign w:val="superscript"/>
        </w:rPr>
        <w:t>196</w:t>
      </w:r>
      <w:r w:rsidR="00CB2733">
        <w:rPr>
          <w:rFonts w:eastAsia="SimSun" w:cs="Arial"/>
        </w:rPr>
        <w:fldChar w:fldCharType="end"/>
      </w:r>
      <w:r>
        <w:rPr>
          <w:rFonts w:eastAsia="SimSun" w:cs="Arial"/>
        </w:rPr>
        <w:t xml:space="preserve"> </w:t>
      </w:r>
      <w:r w:rsidR="00767DEC">
        <w:rPr>
          <w:rFonts w:eastAsia="SimSun" w:cs="Arial"/>
        </w:rPr>
        <w:t>Explicit c</w:t>
      </w:r>
      <w:r>
        <w:rPr>
          <w:rFonts w:eastAsia="SimSun" w:cs="Arial"/>
        </w:rPr>
        <w:t xml:space="preserve">onsideration of significant irrecoverable costs in this context will make the costs of inclusion into the CDF more transparent. </w:t>
      </w:r>
    </w:p>
    <w:p w14:paraId="75564ED2" w14:textId="712952D8" w:rsidR="00F731D8" w:rsidRDefault="000B6F77" w:rsidP="00F731D8">
      <w:pPr>
        <w:rPr>
          <w:rFonts w:eastAsia="SimSun" w:cs="Arial"/>
        </w:rPr>
      </w:pPr>
      <w:r>
        <w:rPr>
          <w:rFonts w:eastAsia="SimSun" w:cs="Arial"/>
        </w:rPr>
        <w:t>A t</w:t>
      </w:r>
      <w:r w:rsidR="00F731D8">
        <w:rPr>
          <w:rFonts w:eastAsia="SimSun" w:cs="Arial"/>
        </w:rPr>
        <w:t>hird</w:t>
      </w:r>
      <w:r>
        <w:rPr>
          <w:rFonts w:eastAsia="SimSun" w:cs="Arial"/>
        </w:rPr>
        <w:t xml:space="preserve"> implication of investment costs is that</w:t>
      </w:r>
      <w:r w:rsidR="00F731D8">
        <w:rPr>
          <w:rFonts w:eastAsia="SimSun" w:cs="Arial"/>
        </w:rPr>
        <w:t xml:space="preserve"> </w:t>
      </w:r>
      <w:r w:rsidR="00F731D8" w:rsidRPr="00BC61C7">
        <w:rPr>
          <w:rFonts w:eastAsia="SimSun" w:cs="Arial"/>
        </w:rPr>
        <w:t>testing infrastructure</w:t>
      </w:r>
      <w:r w:rsidR="00F731D8">
        <w:rPr>
          <w:rFonts w:eastAsia="SimSun" w:cs="Arial"/>
        </w:rPr>
        <w:t xml:space="preserve"> such as NGS</w:t>
      </w:r>
      <w:r w:rsidR="00F731D8" w:rsidRPr="00BC61C7">
        <w:rPr>
          <w:rFonts w:eastAsia="SimSun" w:cs="Arial"/>
        </w:rPr>
        <w:t xml:space="preserve"> may provide a basis for the use of </w:t>
      </w:r>
      <w:r w:rsidR="00F731D8">
        <w:rPr>
          <w:rFonts w:eastAsia="SimSun" w:cs="Arial"/>
        </w:rPr>
        <w:t>other health</w:t>
      </w:r>
      <w:r w:rsidR="00F731D8" w:rsidRPr="00BC61C7">
        <w:rPr>
          <w:rFonts w:eastAsia="SimSun" w:cs="Arial"/>
        </w:rPr>
        <w:t xml:space="preserve"> technologies which</w:t>
      </w:r>
      <w:r w:rsidR="00F731D8">
        <w:rPr>
          <w:rFonts w:eastAsia="SimSun" w:cs="Arial"/>
        </w:rPr>
        <w:t xml:space="preserve"> use the same infrastructure</w:t>
      </w:r>
      <w:r w:rsidR="00F731D8" w:rsidRPr="00BC61C7">
        <w:rPr>
          <w:rFonts w:eastAsia="SimSun" w:cs="Arial"/>
        </w:rPr>
        <w:t>.</w:t>
      </w:r>
      <w:r w:rsidR="00F731D8">
        <w:rPr>
          <w:rFonts w:eastAsia="SimSun" w:cs="Arial"/>
        </w:rPr>
        <w:t xml:space="preserve"> This</w:t>
      </w:r>
      <w:r>
        <w:rPr>
          <w:rFonts w:eastAsia="SimSun" w:cs="Arial"/>
        </w:rPr>
        <w:t xml:space="preserve"> means that the population </w:t>
      </w:r>
      <w:r w:rsidRPr="000B6F77">
        <w:rPr>
          <w:rFonts w:eastAsia="SimSun" w:cs="Arial"/>
        </w:rPr>
        <w:t>of patients who are expected to use the infrastructure</w:t>
      </w:r>
      <w:r>
        <w:rPr>
          <w:rFonts w:eastAsia="SimSun" w:cs="Arial"/>
        </w:rPr>
        <w:t xml:space="preserve"> extends across all </w:t>
      </w:r>
      <w:r w:rsidRPr="002F0A05">
        <w:rPr>
          <w:rFonts w:eastAsia="SimSun" w:cs="Arial"/>
        </w:rPr>
        <w:t xml:space="preserve">treatments and indications expected to use the infrastructure. </w:t>
      </w:r>
    </w:p>
    <w:p w14:paraId="238EBDBA" w14:textId="23A17BE1" w:rsidR="00767DEC" w:rsidRDefault="000B6F77" w:rsidP="00F731D8">
      <w:pPr>
        <w:rPr>
          <w:rFonts w:eastAsia="SimSun" w:cs="Arial"/>
        </w:rPr>
      </w:pPr>
      <w:r>
        <w:rPr>
          <w:rFonts w:eastAsia="SimSun" w:cs="Arial"/>
        </w:rPr>
        <w:t xml:space="preserve">A further simplification of the case study </w:t>
      </w:r>
      <w:r w:rsidR="00767DEC">
        <w:rPr>
          <w:rFonts w:eastAsia="SimSun" w:cs="Arial"/>
        </w:rPr>
        <w:t>was</w:t>
      </w:r>
      <w:r>
        <w:rPr>
          <w:rFonts w:eastAsia="SimSun" w:cs="Arial"/>
        </w:rPr>
        <w:t xml:space="preserve"> that it was assumed</w:t>
      </w:r>
      <w:r w:rsidR="00F731D8">
        <w:rPr>
          <w:rFonts w:eastAsia="SimSun" w:cs="Arial"/>
        </w:rPr>
        <w:t xml:space="preserve"> that the test used to identify </w:t>
      </w:r>
      <w:r>
        <w:rPr>
          <w:rFonts w:eastAsia="SimSun" w:cs="Arial"/>
        </w:rPr>
        <w:t>eligible patients was perfect i.e. it results in</w:t>
      </w:r>
      <w:r w:rsidR="00F731D8">
        <w:rPr>
          <w:rFonts w:eastAsia="SimSun" w:cs="Arial"/>
        </w:rPr>
        <w:t xml:space="preserve"> zero false positives</w:t>
      </w:r>
      <w:r w:rsidR="00726BA0">
        <w:rPr>
          <w:rFonts w:eastAsia="SimSun" w:cs="Arial"/>
        </w:rPr>
        <w:t xml:space="preserve"> </w:t>
      </w:r>
      <w:r w:rsidR="00F731D8">
        <w:rPr>
          <w:rFonts w:eastAsia="SimSun" w:cs="Arial"/>
        </w:rPr>
        <w:t>and zero false negatives</w:t>
      </w:r>
      <w:r>
        <w:rPr>
          <w:rFonts w:eastAsia="SimSun" w:cs="Arial"/>
        </w:rPr>
        <w:t>. The</w:t>
      </w:r>
      <w:r w:rsidR="00F731D8">
        <w:rPr>
          <w:rFonts w:eastAsia="SimSun" w:cs="Arial"/>
        </w:rPr>
        <w:t xml:space="preserve"> reality </w:t>
      </w:r>
      <w:r>
        <w:rPr>
          <w:rFonts w:eastAsia="SimSun" w:cs="Arial"/>
        </w:rPr>
        <w:t xml:space="preserve">of </w:t>
      </w:r>
      <w:r w:rsidR="00726BA0">
        <w:rPr>
          <w:rFonts w:eastAsia="SimSun" w:cs="Arial"/>
        </w:rPr>
        <w:t>testing will differ in two ways:</w:t>
      </w:r>
      <w:r>
        <w:rPr>
          <w:rFonts w:eastAsia="SimSun" w:cs="Arial"/>
        </w:rPr>
        <w:t xml:space="preserve"> 1) </w:t>
      </w:r>
      <w:r w:rsidR="00F731D8">
        <w:rPr>
          <w:rFonts w:eastAsia="SimSun" w:cs="Arial"/>
        </w:rPr>
        <w:t>the accurac</w:t>
      </w:r>
      <w:r>
        <w:rPr>
          <w:rFonts w:eastAsia="SimSun" w:cs="Arial"/>
        </w:rPr>
        <w:t>y of a test may</w:t>
      </w:r>
      <w:r w:rsidR="00726BA0">
        <w:rPr>
          <w:rFonts w:eastAsia="SimSun" w:cs="Arial"/>
        </w:rPr>
        <w:t xml:space="preserve"> not be perfect and </w:t>
      </w:r>
      <w:r>
        <w:rPr>
          <w:rFonts w:eastAsia="SimSun" w:cs="Arial"/>
        </w:rPr>
        <w:t xml:space="preserve">will </w:t>
      </w:r>
      <w:r w:rsidR="00726BA0">
        <w:rPr>
          <w:rFonts w:eastAsia="SimSun" w:cs="Arial"/>
        </w:rPr>
        <w:t xml:space="preserve">therefore </w:t>
      </w:r>
      <w:r>
        <w:rPr>
          <w:rFonts w:eastAsia="SimSun" w:cs="Arial"/>
        </w:rPr>
        <w:t>misclassify a certain proport</w:t>
      </w:r>
      <w:r w:rsidR="00726BA0">
        <w:rPr>
          <w:rFonts w:eastAsia="SimSun" w:cs="Arial"/>
        </w:rPr>
        <w:t>ion of patients;</w:t>
      </w:r>
      <w:r>
        <w:rPr>
          <w:rFonts w:eastAsia="SimSun" w:cs="Arial"/>
        </w:rPr>
        <w:t xml:space="preserve"> 2)</w:t>
      </w:r>
      <w:r w:rsidR="00726BA0">
        <w:rPr>
          <w:rFonts w:eastAsia="SimSun" w:cs="Arial"/>
        </w:rPr>
        <w:t xml:space="preserve"> the false positive and false negative rate will be estimated with uncertainty, meaning that the rate of misclassification may not be known with certainty. </w:t>
      </w:r>
      <w:r w:rsidR="00BC28C8">
        <w:rPr>
          <w:rFonts w:eastAsia="SimSun" w:cs="Arial"/>
        </w:rPr>
        <w:t xml:space="preserve">For point 1, the consequences of misclassification and the analytical approaches to deal with it have been discussed in Section </w:t>
      </w:r>
      <w:r w:rsidR="00BC28C8">
        <w:rPr>
          <w:rFonts w:eastAsia="SimSun" w:cs="Arial"/>
        </w:rPr>
        <w:fldChar w:fldCharType="begin"/>
      </w:r>
      <w:r w:rsidR="00BC28C8">
        <w:rPr>
          <w:rFonts w:eastAsia="SimSun" w:cs="Arial"/>
        </w:rPr>
        <w:instrText xml:space="preserve"> REF _Ref32318104 \r \h </w:instrText>
      </w:r>
      <w:r w:rsidR="00BC28C8">
        <w:rPr>
          <w:rFonts w:eastAsia="SimSun" w:cs="Arial"/>
        </w:rPr>
      </w:r>
      <w:r w:rsidR="00BC28C8">
        <w:rPr>
          <w:rFonts w:eastAsia="SimSun" w:cs="Arial"/>
        </w:rPr>
        <w:fldChar w:fldCharType="separate"/>
      </w:r>
      <w:r w:rsidR="00C663A2">
        <w:rPr>
          <w:rFonts w:eastAsia="SimSun" w:cs="Arial"/>
        </w:rPr>
        <w:t>7.2.1</w:t>
      </w:r>
      <w:r w:rsidR="00BC28C8">
        <w:rPr>
          <w:rFonts w:eastAsia="SimSun" w:cs="Arial"/>
        </w:rPr>
        <w:fldChar w:fldCharType="end"/>
      </w:r>
      <w:r w:rsidR="00BC28C8">
        <w:rPr>
          <w:rFonts w:eastAsia="SimSun" w:cs="Arial"/>
        </w:rPr>
        <w:t>. For the second point, i</w:t>
      </w:r>
      <w:r w:rsidR="00F731D8">
        <w:rPr>
          <w:rFonts w:eastAsia="SimSun" w:cs="Arial"/>
        </w:rPr>
        <w:t xml:space="preserve">f uncertainty </w:t>
      </w:r>
      <w:r w:rsidR="00BC28C8">
        <w:rPr>
          <w:rFonts w:eastAsia="SimSun" w:cs="Arial"/>
        </w:rPr>
        <w:t xml:space="preserve">in </w:t>
      </w:r>
      <w:r w:rsidR="00AD63AC">
        <w:rPr>
          <w:rFonts w:eastAsia="SimSun" w:cs="Arial"/>
        </w:rPr>
        <w:t xml:space="preserve">false positive and false negative rate </w:t>
      </w:r>
      <w:r w:rsidR="00F731D8">
        <w:rPr>
          <w:rFonts w:eastAsia="SimSun" w:cs="Arial"/>
        </w:rPr>
        <w:t xml:space="preserve">can be parameterised then the health consequences of this uncertainty can be managed using the same </w:t>
      </w:r>
      <w:r w:rsidR="00AD63AC">
        <w:rPr>
          <w:rFonts w:eastAsia="SimSun" w:cs="Arial"/>
        </w:rPr>
        <w:t xml:space="preserve">EVPPI </w:t>
      </w:r>
      <w:r w:rsidR="00F731D8">
        <w:rPr>
          <w:rFonts w:eastAsia="SimSun" w:cs="Arial"/>
        </w:rPr>
        <w:t>methods as illustrated in t</w:t>
      </w:r>
      <w:r w:rsidR="00AD63AC">
        <w:rPr>
          <w:rFonts w:eastAsia="SimSun" w:cs="Arial"/>
        </w:rPr>
        <w:t xml:space="preserve">he </w:t>
      </w:r>
      <w:r w:rsidR="00543D15">
        <w:rPr>
          <w:rFonts w:eastAsia="SimSun" w:cs="Arial"/>
        </w:rPr>
        <w:t>case study</w:t>
      </w:r>
      <w:r w:rsidR="00AD63AC">
        <w:rPr>
          <w:rFonts w:eastAsia="SimSun" w:cs="Arial"/>
        </w:rPr>
        <w:t xml:space="preserve">. </w:t>
      </w:r>
    </w:p>
    <w:p w14:paraId="5C8343C2" w14:textId="2EFBEB08" w:rsidR="003D12E6" w:rsidRDefault="00AB4596" w:rsidP="00AB4596">
      <w:pPr>
        <w:rPr>
          <w:rFonts w:eastAsia="SimSun" w:cs="Arial"/>
        </w:rPr>
      </w:pPr>
      <w:r>
        <w:rPr>
          <w:rFonts w:eastAsia="SimSun" w:cs="Arial"/>
        </w:rPr>
        <w:t>T</w:t>
      </w:r>
      <w:r w:rsidR="006032E6">
        <w:rPr>
          <w:rFonts w:eastAsia="SimSun" w:cs="Arial"/>
        </w:rPr>
        <w:t xml:space="preserve">he case study was </w:t>
      </w:r>
      <w:r w:rsidR="00B21C04">
        <w:rPr>
          <w:rFonts w:eastAsia="SimSun" w:cs="Arial"/>
        </w:rPr>
        <w:t xml:space="preserve">also </w:t>
      </w:r>
      <w:r w:rsidR="006032E6">
        <w:rPr>
          <w:rFonts w:eastAsia="SimSun" w:cs="Arial"/>
        </w:rPr>
        <w:t xml:space="preserve">built upon a </w:t>
      </w:r>
      <w:r>
        <w:rPr>
          <w:rFonts w:eastAsia="SimSun" w:cs="Arial"/>
        </w:rPr>
        <w:t xml:space="preserve">simplified </w:t>
      </w:r>
      <w:r w:rsidR="006032E6">
        <w:rPr>
          <w:rFonts w:eastAsia="SimSun" w:cs="Arial"/>
        </w:rPr>
        <w:t xml:space="preserve">surrogate relationship between response and survival. </w:t>
      </w:r>
      <w:r w:rsidR="003D12E6">
        <w:rPr>
          <w:rFonts w:eastAsia="SimSun" w:cs="Arial"/>
        </w:rPr>
        <w:t xml:space="preserve">Survival was assumed to be </w:t>
      </w:r>
      <w:r>
        <w:rPr>
          <w:rFonts w:eastAsia="SimSun" w:cs="Arial"/>
        </w:rPr>
        <w:t xml:space="preserve">determined by response and </w:t>
      </w:r>
      <w:r w:rsidR="004B7CE4" w:rsidRPr="004B7CE4">
        <w:rPr>
          <w:rFonts w:eastAsia="SimSun" w:cs="Arial"/>
        </w:rPr>
        <w:t xml:space="preserve">conditional on response or non response </w:t>
      </w:r>
      <w:r w:rsidR="004B7CE4">
        <w:rPr>
          <w:rFonts w:eastAsia="SimSun" w:cs="Arial"/>
        </w:rPr>
        <w:t xml:space="preserve">it was assumed to be </w:t>
      </w:r>
      <w:r w:rsidR="003D12E6">
        <w:rPr>
          <w:rFonts w:eastAsia="SimSun" w:cs="Arial"/>
        </w:rPr>
        <w:t>homogenou</w:t>
      </w:r>
      <w:r w:rsidR="004B7CE4">
        <w:rPr>
          <w:rFonts w:eastAsia="SimSun" w:cs="Arial"/>
        </w:rPr>
        <w:t>s across histologies</w:t>
      </w:r>
      <w:r w:rsidR="003D12E6">
        <w:rPr>
          <w:rFonts w:eastAsia="SimSun" w:cs="Arial"/>
        </w:rPr>
        <w:t>.</w:t>
      </w:r>
      <w:r w:rsidR="002F0A05">
        <w:rPr>
          <w:rFonts w:eastAsia="SimSun" w:cs="Arial"/>
        </w:rPr>
        <w:t xml:space="preserve"> The aim of this model was to link heterogeneity in response to heterogeneity in costs and health outcomes.</w:t>
      </w:r>
      <w:r w:rsidR="003D12E6">
        <w:rPr>
          <w:rFonts w:eastAsia="SimSun" w:cs="Arial"/>
        </w:rPr>
        <w:t xml:space="preserve"> </w:t>
      </w:r>
      <w:r w:rsidR="002F0A05">
        <w:rPr>
          <w:rFonts w:eastAsia="SimSun" w:cs="Arial"/>
        </w:rPr>
        <w:t>However, a</w:t>
      </w:r>
      <w:r w:rsidR="003D12E6">
        <w:rPr>
          <w:rFonts w:eastAsia="SimSun" w:cs="Arial"/>
        </w:rPr>
        <w:t xml:space="preserve">s discussed in Section </w:t>
      </w:r>
      <w:r w:rsidR="002F0A05">
        <w:rPr>
          <w:rFonts w:eastAsia="SimSun" w:cs="Arial"/>
        </w:rPr>
        <w:fldChar w:fldCharType="begin"/>
      </w:r>
      <w:r w:rsidR="002F0A05">
        <w:rPr>
          <w:rFonts w:eastAsia="SimSun" w:cs="Arial"/>
        </w:rPr>
        <w:instrText xml:space="preserve"> REF _Ref27555366 \r \h </w:instrText>
      </w:r>
      <w:r w:rsidR="002F0A05">
        <w:rPr>
          <w:rFonts w:eastAsia="SimSun" w:cs="Arial"/>
        </w:rPr>
      </w:r>
      <w:r w:rsidR="002F0A05">
        <w:rPr>
          <w:rFonts w:eastAsia="SimSun" w:cs="Arial"/>
        </w:rPr>
        <w:fldChar w:fldCharType="separate"/>
      </w:r>
      <w:r w:rsidR="00C663A2">
        <w:rPr>
          <w:rFonts w:eastAsia="SimSun" w:cs="Arial"/>
        </w:rPr>
        <w:t>4</w:t>
      </w:r>
      <w:r w:rsidR="002F0A05">
        <w:rPr>
          <w:rFonts w:eastAsia="SimSun" w:cs="Arial"/>
        </w:rPr>
        <w:fldChar w:fldCharType="end"/>
      </w:r>
      <w:r w:rsidR="00F97694">
        <w:rPr>
          <w:rFonts w:eastAsia="SimSun" w:cs="Arial"/>
        </w:rPr>
        <w:t xml:space="preserve">, </w:t>
      </w:r>
      <w:r w:rsidR="003D12E6">
        <w:rPr>
          <w:rFonts w:eastAsia="SimSun" w:cs="Arial"/>
        </w:rPr>
        <w:t xml:space="preserve">the relationship between </w:t>
      </w:r>
      <w:r w:rsidR="002F0A05">
        <w:rPr>
          <w:rFonts w:eastAsia="SimSun" w:cs="Arial"/>
        </w:rPr>
        <w:t>response a</w:t>
      </w:r>
      <w:r>
        <w:rPr>
          <w:rFonts w:eastAsia="SimSun" w:cs="Arial"/>
        </w:rPr>
        <w:t xml:space="preserve">nd survival is highly uncertain, </w:t>
      </w:r>
      <w:r w:rsidR="002F0A05">
        <w:rPr>
          <w:rFonts w:eastAsia="SimSun" w:cs="Arial"/>
        </w:rPr>
        <w:t>variable</w:t>
      </w:r>
      <w:r>
        <w:rPr>
          <w:rFonts w:eastAsia="SimSun" w:cs="Arial"/>
        </w:rPr>
        <w:t xml:space="preserve"> and may be very weak</w:t>
      </w:r>
      <w:r w:rsidR="002F0A05">
        <w:rPr>
          <w:rFonts w:eastAsia="SimSun" w:cs="Arial"/>
        </w:rPr>
        <w:t xml:space="preserve">. Further research is required to </w:t>
      </w:r>
      <w:r w:rsidR="00B21C04">
        <w:rPr>
          <w:rFonts w:eastAsia="SimSun" w:cs="Arial"/>
        </w:rPr>
        <w:t>better inform</w:t>
      </w:r>
      <w:r w:rsidR="002F0A05">
        <w:rPr>
          <w:rFonts w:eastAsia="SimSun" w:cs="Arial"/>
        </w:rPr>
        <w:t xml:space="preserve"> </w:t>
      </w:r>
      <w:r>
        <w:rPr>
          <w:rFonts w:eastAsia="SimSun" w:cs="Arial"/>
        </w:rPr>
        <w:t xml:space="preserve">how surrogate outcomes, such as response, can be linked to costs and health outcomes. </w:t>
      </w:r>
    </w:p>
    <w:p w14:paraId="26376456" w14:textId="04A4D797" w:rsidR="00C73D19" w:rsidRDefault="00B30C5C" w:rsidP="00F731D8">
      <w:pPr>
        <w:rPr>
          <w:rFonts w:eastAsia="SimSun" w:cs="Arial"/>
        </w:rPr>
      </w:pPr>
      <w:r w:rsidRPr="005C3BB4">
        <w:rPr>
          <w:rFonts w:eastAsia="SimSun" w:cs="Arial"/>
        </w:rPr>
        <w:t xml:space="preserve">Section </w:t>
      </w:r>
      <w:r w:rsidRPr="005C3BB4">
        <w:rPr>
          <w:rFonts w:eastAsia="SimSun" w:cs="Arial"/>
        </w:rPr>
        <w:fldChar w:fldCharType="begin"/>
      </w:r>
      <w:r w:rsidRPr="005C3BB4">
        <w:rPr>
          <w:rFonts w:eastAsia="SimSun" w:cs="Arial"/>
        </w:rPr>
        <w:instrText xml:space="preserve"> REF _Ref32320475 \r \h  \* MERGEFORMAT </w:instrText>
      </w:r>
      <w:r w:rsidRPr="005C3BB4">
        <w:rPr>
          <w:rFonts w:eastAsia="SimSun" w:cs="Arial"/>
        </w:rPr>
      </w:r>
      <w:r w:rsidRPr="005C3BB4">
        <w:rPr>
          <w:rFonts w:eastAsia="SimSun" w:cs="Arial"/>
        </w:rPr>
        <w:fldChar w:fldCharType="separate"/>
      </w:r>
      <w:r w:rsidR="00C663A2">
        <w:rPr>
          <w:rFonts w:eastAsia="SimSun" w:cs="Arial"/>
        </w:rPr>
        <w:t>7.4.6</w:t>
      </w:r>
      <w:r w:rsidRPr="005C3BB4">
        <w:rPr>
          <w:rFonts w:eastAsia="SimSun" w:cs="Arial"/>
        </w:rPr>
        <w:fldChar w:fldCharType="end"/>
      </w:r>
      <w:r w:rsidRPr="005C3BB4">
        <w:rPr>
          <w:rFonts w:eastAsia="SimSun" w:cs="Arial"/>
        </w:rPr>
        <w:t xml:space="preserve"> compared</w:t>
      </w:r>
      <w:r>
        <w:rPr>
          <w:rFonts w:eastAsia="SimSun" w:cs="Arial"/>
        </w:rPr>
        <w:t xml:space="preserve"> data collection, pricing schemes and stratified decision making </w:t>
      </w:r>
      <w:r w:rsidR="00543D15">
        <w:rPr>
          <w:rFonts w:eastAsia="SimSun" w:cs="Arial"/>
        </w:rPr>
        <w:t xml:space="preserve">as alternative approaches to </w:t>
      </w:r>
      <w:r>
        <w:rPr>
          <w:rFonts w:eastAsia="SimSun" w:cs="Arial"/>
        </w:rPr>
        <w:t xml:space="preserve">manage risk and increase the health impact of decision making. </w:t>
      </w:r>
      <w:r w:rsidR="00351EC0">
        <w:rPr>
          <w:rFonts w:eastAsia="SimSun" w:cs="Arial"/>
        </w:rPr>
        <w:t>Considering the full range of options</w:t>
      </w:r>
      <w:r w:rsidR="00087952">
        <w:rPr>
          <w:rFonts w:eastAsia="SimSun" w:cs="Arial"/>
        </w:rPr>
        <w:t xml:space="preserve"> </w:t>
      </w:r>
      <w:r w:rsidR="00351EC0">
        <w:rPr>
          <w:rFonts w:eastAsia="SimSun" w:cs="Arial"/>
        </w:rPr>
        <w:t>has important implications for price negotiations in histology</w:t>
      </w:r>
      <w:r w:rsidR="0017478A">
        <w:rPr>
          <w:rFonts w:eastAsia="SimSun" w:cs="Arial"/>
        </w:rPr>
        <w:t>-</w:t>
      </w:r>
      <w:r w:rsidR="00B33679">
        <w:rPr>
          <w:rFonts w:eastAsia="SimSun" w:cs="Arial"/>
        </w:rPr>
        <w:t>independent technologies. T</w:t>
      </w:r>
      <w:r w:rsidR="00351EC0">
        <w:rPr>
          <w:rFonts w:eastAsia="SimSun" w:cs="Arial"/>
        </w:rPr>
        <w:t>he health impacts of stratified decision making could be used as a benchmark in negotiating discounts required for histology</w:t>
      </w:r>
      <w:r w:rsidR="0017478A">
        <w:rPr>
          <w:rFonts w:eastAsia="SimSun" w:cs="Arial"/>
        </w:rPr>
        <w:t>-</w:t>
      </w:r>
      <w:r w:rsidR="00351EC0">
        <w:rPr>
          <w:rFonts w:eastAsia="SimSun" w:cs="Arial"/>
        </w:rPr>
        <w:t xml:space="preserve">independent approval. </w:t>
      </w:r>
      <w:r w:rsidR="00817FCC">
        <w:rPr>
          <w:rFonts w:eastAsia="SimSun" w:cs="Arial"/>
        </w:rPr>
        <w:t>For example, in order to obtain a histology</w:t>
      </w:r>
      <w:r w:rsidR="00FD3AF1">
        <w:rPr>
          <w:rFonts w:eastAsia="SimSun" w:cs="Arial"/>
        </w:rPr>
        <w:t>-</w:t>
      </w:r>
      <w:r w:rsidR="00817FCC">
        <w:rPr>
          <w:rFonts w:eastAsia="SimSun" w:cs="Arial"/>
        </w:rPr>
        <w:t xml:space="preserve">independent approval the </w:t>
      </w:r>
      <w:r w:rsidR="00396C4C">
        <w:rPr>
          <w:rFonts w:eastAsia="SimSun" w:cs="Arial"/>
        </w:rPr>
        <w:t>reimbursement decision maker could</w:t>
      </w:r>
      <w:r w:rsidR="00087952">
        <w:rPr>
          <w:rFonts w:eastAsia="SimSun" w:cs="Arial"/>
        </w:rPr>
        <w:t xml:space="preserve"> require a pricing scheme </w:t>
      </w:r>
      <w:r w:rsidR="00817FCC">
        <w:rPr>
          <w:rFonts w:eastAsia="SimSun" w:cs="Arial"/>
        </w:rPr>
        <w:t xml:space="preserve">sufficient to reduce risk to the level that would exisit under stratified decision making. </w:t>
      </w:r>
      <w:r w:rsidR="00351EC0">
        <w:rPr>
          <w:rFonts w:eastAsia="SimSun" w:cs="Arial"/>
        </w:rPr>
        <w:t>Any approval policy will create a specific set of incentives for research and pricing strategy.</w:t>
      </w:r>
      <w:r w:rsidR="00CB2733">
        <w:rPr>
          <w:rFonts w:eastAsia="SimSun" w:cs="Arial"/>
        </w:rPr>
        <w:fldChar w:fldCharType="begin"/>
      </w:r>
      <w:r w:rsidR="00500BB3">
        <w:rPr>
          <w:rFonts w:eastAsia="SimSun" w:cs="Arial"/>
        </w:rPr>
        <w:instrText xml:space="preserve"> ADDIN EN.CITE &lt;EndNote&gt;&lt;Cite&gt;&lt;Author&gt;Claxton&lt;/Author&gt;&lt;Year&gt;2007&lt;/Year&gt;&lt;RecNum&gt;3591&lt;/RecNum&gt;&lt;DisplayText&gt;&lt;style face="superscript"&gt;206, 207&lt;/style&gt;&lt;/DisplayText&gt;&lt;record&gt;&lt;rec-number&gt;3591&lt;/rec-number&gt;&lt;foreign-keys&gt;&lt;key app="EN" db-id="dwaevxvazfs2f3ewvzmxrd0k0wasw55p2z2w" timestamp="1582192463"&gt;3591&lt;/key&gt;&lt;/foreign-keys&gt;&lt;ref-type name="Journal Article"&gt;17&lt;/ref-type&gt;&lt;contributors&gt;&lt;authors&gt;&lt;author&gt;Claxton, K.&lt;/author&gt;&lt;/authors&gt;&lt;/contributors&gt;&lt;titles&gt;&lt;title&gt;OFT, VBP: QED? &lt;/title&gt;&lt;secondary-title&gt;Health Economics&lt;/secondary-title&gt;&lt;/titles&gt;&lt;periodical&gt;&lt;full-title&gt;Health Economics&lt;/full-title&gt;&lt;abbr-1&gt;Health Econ&lt;/abbr-1&gt;&lt;/periodical&gt;&lt;pages&gt;545-558&lt;/pages&gt;&lt;volume&gt;16&lt;/volume&gt;&lt;dates&gt;&lt;year&gt;2007&lt;/year&gt;&lt;/dates&gt;&lt;urls&gt;&lt;/urls&gt;&lt;custom4&gt;STEVE&amp;apos;S REFRENCES&lt;/custom4&gt;&lt;electronic-resource-num&gt;https://doi.org/10.1002/hec.1249&lt;/electronic-resource-num&gt;&lt;/record&gt;&lt;/Cite&gt;&lt;Cite&gt;&lt;Author&gt;Rothery&lt;/Author&gt;&lt;Year&gt;2017&lt;/Year&gt;&lt;RecNum&gt;3592&lt;/RecNum&gt;&lt;record&gt;&lt;rec-number&gt;3592&lt;/rec-number&gt;&lt;foreign-keys&gt;&lt;key app="EN" db-id="dwaevxvazfs2f3ewvzmxrd0k0wasw55p2z2w" timestamp="1582192556"&gt;3592&lt;/key&gt;&lt;/foreign-keys&gt;&lt;ref-type name="Journal Article"&gt;17&lt;/ref-type&gt;&lt;contributors&gt;&lt;authors&gt;&lt;author&gt;Rothery, C.&lt;/author&gt;&lt;author&gt;Claxton, K.&lt;/author&gt;&lt;author&gt;Palmer, S.&lt;/author&gt;&lt;author&gt;Epstein, D.&lt;/author&gt;&lt;author&gt;Tarricone, R.&lt;/author&gt;&lt;author&gt;Sculpher, M.&lt;/author&gt;&lt;/authors&gt;&lt;/contributors&gt;&lt;titles&gt;&lt;title&gt;Characterising uncertainty in the assessment of medical devices and determining future research needs&lt;/title&gt;&lt;secondary-title&gt;Health Economics&lt;/secondary-title&gt;&lt;/titles&gt;&lt;periodical&gt;&lt;full-title&gt;Health Economics&lt;/full-title&gt;&lt;abbr-1&gt;Health Econ&lt;/abbr-1&gt;&lt;/periodical&gt;&lt;pages&gt;109-123&lt;/pages&gt;&lt;volume&gt;26&lt;/volume&gt;&lt;dates&gt;&lt;year&gt;2017&lt;/year&gt;&lt;/dates&gt;&lt;urls&gt;&lt;/urls&gt;&lt;custom4&gt;STEVE&amp;apos;S REFRENCES&lt;/custom4&gt;&lt;/record&gt;&lt;/Cite&gt;&lt;/EndNote&gt;</w:instrText>
      </w:r>
      <w:r w:rsidR="00CB2733">
        <w:rPr>
          <w:rFonts w:eastAsia="SimSun" w:cs="Arial"/>
        </w:rPr>
        <w:fldChar w:fldCharType="separate"/>
      </w:r>
      <w:r w:rsidR="004D5B2B" w:rsidRPr="004D5B2B">
        <w:rPr>
          <w:rFonts w:eastAsia="SimSun" w:cs="Arial"/>
          <w:noProof/>
          <w:vertAlign w:val="superscript"/>
        </w:rPr>
        <w:t>206, 207</w:t>
      </w:r>
      <w:r w:rsidR="00CB2733">
        <w:rPr>
          <w:rFonts w:eastAsia="SimSun" w:cs="Arial"/>
        </w:rPr>
        <w:fldChar w:fldCharType="end"/>
      </w:r>
      <w:r w:rsidR="00351EC0">
        <w:rPr>
          <w:rFonts w:eastAsia="SimSun" w:cs="Arial"/>
        </w:rPr>
        <w:t xml:space="preserve"> Further research is required to understand the incentives provided by current arrangements and the potential benefits of changes to policy.</w:t>
      </w:r>
    </w:p>
    <w:p w14:paraId="35C9BD1A" w14:textId="72D6DFD7" w:rsidR="00C73D19" w:rsidRDefault="00EF2782" w:rsidP="00F731D8">
      <w:pPr>
        <w:rPr>
          <w:rFonts w:eastAsia="SimSun" w:cs="Arial"/>
        </w:rPr>
      </w:pPr>
      <w:r>
        <w:rPr>
          <w:rFonts w:eastAsia="SimSun" w:cs="Arial"/>
        </w:rPr>
        <w:lastRenderedPageBreak/>
        <w:t xml:space="preserve">Finally, the case-study focused on </w:t>
      </w:r>
      <w:r w:rsidR="00396C4C">
        <w:rPr>
          <w:rFonts w:eastAsia="SimSun" w:cs="Arial"/>
        </w:rPr>
        <w:t>histolog</w:t>
      </w:r>
      <w:r w:rsidR="00543D15">
        <w:rPr>
          <w:rFonts w:eastAsia="SimSun" w:cs="Arial"/>
        </w:rPr>
        <w:t>y</w:t>
      </w:r>
      <w:r w:rsidR="00396C4C">
        <w:rPr>
          <w:rFonts w:eastAsia="SimSun" w:cs="Arial"/>
        </w:rPr>
        <w:t xml:space="preserve"> as the the main source of heterogeneity. However, heterogeneity could be explored using a range of </w:t>
      </w:r>
      <w:r w:rsidR="000F5863">
        <w:rPr>
          <w:rFonts w:eastAsia="SimSun" w:cs="Arial"/>
        </w:rPr>
        <w:t xml:space="preserve">alternative </w:t>
      </w:r>
      <w:r w:rsidR="00396C4C">
        <w:rPr>
          <w:rFonts w:eastAsia="SimSun" w:cs="Arial"/>
        </w:rPr>
        <w:t xml:space="preserve">charcteristics and subgroups. </w:t>
      </w:r>
      <w:r w:rsidR="00C73D19" w:rsidRPr="00C73D19">
        <w:rPr>
          <w:rFonts w:eastAsia="SimSun" w:cs="Arial"/>
        </w:rPr>
        <w:t xml:space="preserve"> To move from histology as the </w:t>
      </w:r>
      <w:r w:rsidR="00396C4C">
        <w:rPr>
          <w:rFonts w:eastAsia="SimSun" w:cs="Arial"/>
        </w:rPr>
        <w:t>main</w:t>
      </w:r>
      <w:r w:rsidR="00C73D19" w:rsidRPr="00C73D19">
        <w:rPr>
          <w:rFonts w:eastAsia="SimSun" w:cs="Arial"/>
        </w:rPr>
        <w:t xml:space="preserve"> source of heterogeneity to considering a wider range of characteristics requires an understanding of how </w:t>
      </w:r>
      <w:r w:rsidR="000F5863">
        <w:rPr>
          <w:rFonts w:eastAsia="SimSun" w:cs="Arial"/>
        </w:rPr>
        <w:t xml:space="preserve">different </w:t>
      </w:r>
      <w:r w:rsidR="00C73D19" w:rsidRPr="00C73D19">
        <w:rPr>
          <w:rFonts w:eastAsia="SimSun" w:cs="Arial"/>
        </w:rPr>
        <w:t>characteristics can be utilised and combined in different ways in decision making.</w:t>
      </w:r>
      <w:r w:rsidR="00CB2733">
        <w:rPr>
          <w:rFonts w:eastAsia="SimSun" w:cs="Arial"/>
        </w:rPr>
        <w:fldChar w:fldCharType="begin"/>
      </w:r>
      <w:r w:rsidR="00054FE8">
        <w:rPr>
          <w:rFonts w:eastAsia="SimSun" w:cs="Arial"/>
        </w:rPr>
        <w:instrText xml:space="preserve"> ADDIN EN.CITE &lt;EndNote&gt;&lt;Cite&gt;&lt;Author&gt;Espinoza&lt;/Author&gt;&lt;Year&gt;2014&lt;/Year&gt;&lt;RecNum&gt;3483&lt;/RecNum&gt;&lt;DisplayText&gt;&lt;style face="superscript"&gt;146&lt;/style&gt;&lt;/DisplayText&gt;&lt;record&gt;&lt;rec-number&gt;3483&lt;/rec-number&gt;&lt;foreign-keys&gt;&lt;key app="EN" db-id="dwaevxvazfs2f3ewvzmxrd0k0wasw55p2z2w" timestamp="1579606097"&gt;3483&lt;/key&gt;&lt;/foreign-keys&gt;&lt;ref-type name="Journal Article"&gt;17&lt;/ref-type&gt;&lt;contributors&gt;&lt;authors&gt;&lt;author&gt;Espinoza, M. A.&lt;/author&gt;&lt;author&gt;Manca, A.&lt;/author&gt;&lt;author&gt;Claxton, K.&lt;/author&gt;&lt;author&gt;Sculpher, M. J.&lt;/author&gt;&lt;/authors&gt;&lt;/contributors&gt;&lt;auth-address&gt;Department of Public Health, Pontificia Universidad Catolica de Chile, Santiago, Chile (MAE)&amp;#xD;Department of Scientific Affairs, Institute of Public Health, Santiago, Chile (MAE)&amp;#xD;Centre for Health Economics, University of York, York, UK (AM, KC, MJS)&amp;#xD;Department of Economics and Related Studies, University of York, York, UK (KC).&lt;/auth-address&gt;&lt;titles&gt;&lt;title&gt;The value of heterogeneity for cost-effectiveness subgroup analysis: conceptual framework and application&lt;/title&gt;&lt;secondary-title&gt;Med Decis Making&lt;/secondary-title&gt;&lt;/titles&gt;&lt;periodical&gt;&lt;full-title&gt;Medical Decision Making&lt;/full-title&gt;&lt;abbr-1&gt;Med Decis Making&lt;/abbr-1&gt;&lt;/periodical&gt;&lt;pages&gt;951-64&lt;/pages&gt;&lt;volume&gt;34&lt;/volume&gt;&lt;number&gt;8&lt;/number&gt;&lt;edition&gt;2014/06/20&lt;/edition&gt;&lt;keywords&gt;&lt;keyword&gt;*Cost-Benefit Analysis&lt;/keyword&gt;&lt;keyword&gt;Research&lt;/keyword&gt;&lt;keyword&gt;Uncertainty&lt;/keyword&gt;&lt;/keywords&gt;&lt;dates&gt;&lt;year&gt;2014&lt;/year&gt;&lt;pub-dates&gt;&lt;date&gt;Nov&lt;/date&gt;&lt;/pub-dates&gt;&lt;/dates&gt;&lt;isbn&gt;1552-681X (Electronic)&amp;#xD;0272-989X (Linking)&lt;/isbn&gt;&lt;accession-num&gt;24944196&lt;/accession-num&gt;&lt;urls&gt;&lt;/urls&gt;&lt;custom2&gt;4232328&lt;/custom2&gt;&lt;custom4&gt;STEVE&amp;apos;S REFERENCES&lt;/custom4&gt;&lt;electronic-resource-num&gt;0272989X14538705 [pii]&amp;#xD;10.1177/0272989X14538705&lt;/electronic-resource-num&gt;&lt;research-notes&gt;https://www.ncbi.nlm.nih.gov/pubmed/24944196&lt;/research-notes&gt;&lt;language&gt;eng&lt;/language&gt;&lt;/record&gt;&lt;/Cite&gt;&lt;/EndNote&gt;</w:instrText>
      </w:r>
      <w:r w:rsidR="00CB2733">
        <w:rPr>
          <w:rFonts w:eastAsia="SimSun" w:cs="Arial"/>
        </w:rPr>
        <w:fldChar w:fldCharType="separate"/>
      </w:r>
      <w:r w:rsidR="004D5B2B" w:rsidRPr="004D5B2B">
        <w:rPr>
          <w:rFonts w:eastAsia="SimSun" w:cs="Arial"/>
          <w:noProof/>
          <w:vertAlign w:val="superscript"/>
        </w:rPr>
        <w:t>146</w:t>
      </w:r>
      <w:r w:rsidR="00CB2733">
        <w:rPr>
          <w:rFonts w:eastAsia="SimSun" w:cs="Arial"/>
        </w:rPr>
        <w:fldChar w:fldCharType="end"/>
      </w:r>
      <w:r w:rsidR="00C73D19" w:rsidRPr="00C73D19">
        <w:rPr>
          <w:rFonts w:eastAsia="SimSun" w:cs="Arial"/>
        </w:rPr>
        <w:t xml:space="preserve"> How best to decide on which characteristics to utilise in decision making and how they should interact is a complex question which requires further research. </w:t>
      </w:r>
    </w:p>
    <w:p w14:paraId="64509216" w14:textId="5220F1AD" w:rsidR="00C663A2" w:rsidRDefault="00C663A2">
      <w:pPr>
        <w:rPr>
          <w:rFonts w:eastAsia="SimSun" w:cs="Arial"/>
        </w:rPr>
      </w:pPr>
      <w:r>
        <w:rPr>
          <w:rFonts w:eastAsia="SimSun" w:cs="Arial"/>
        </w:rPr>
        <w:br w:type="page"/>
      </w:r>
    </w:p>
    <w:p w14:paraId="26C28C34" w14:textId="5BB157BF" w:rsidR="007D2D0F" w:rsidRDefault="007D2D0F" w:rsidP="00AA5949">
      <w:pPr>
        <w:pStyle w:val="Heading1"/>
      </w:pPr>
      <w:bookmarkStart w:id="279" w:name="_Ref31542680"/>
      <w:bookmarkStart w:id="280" w:name="_Toc33776245"/>
      <w:r w:rsidRPr="002D1DD7">
        <w:lastRenderedPageBreak/>
        <w:t xml:space="preserve">Recommendations </w:t>
      </w:r>
      <w:bookmarkEnd w:id="279"/>
      <w:r w:rsidR="00FC628A">
        <w:t>for practice and further research</w:t>
      </w:r>
      <w:bookmarkEnd w:id="280"/>
    </w:p>
    <w:p w14:paraId="349F730E" w14:textId="0AF0EB99" w:rsidR="00383C13" w:rsidRDefault="00383C13" w:rsidP="00383C13">
      <w:r>
        <w:t>Drawing on the research findings, recommendations are provided relating to three distinct areas:</w:t>
      </w:r>
    </w:p>
    <w:p w14:paraId="640DA013" w14:textId="07E6DE3C" w:rsidR="00383C13" w:rsidRDefault="00383C13" w:rsidP="00383C13">
      <w:r>
        <w:t>1.</w:t>
      </w:r>
      <w:r>
        <w:tab/>
        <w:t>The types of analysis and evidence required to inform decisions regarding histology-independent drugs by NICE.</w:t>
      </w:r>
    </w:p>
    <w:p w14:paraId="79C2D762" w14:textId="0FF17C38" w:rsidR="00383C13" w:rsidRDefault="00383C13" w:rsidP="00383C13">
      <w:r>
        <w:t>2.</w:t>
      </w:r>
      <w:r>
        <w:tab/>
      </w:r>
      <w:bookmarkStart w:id="281" w:name="_Hlk33007689"/>
      <w:r>
        <w:t>Potential changes to the NICE methods guide for technology appraisals or additional requirements relating to histology-independent drugs.</w:t>
      </w:r>
      <w:bookmarkEnd w:id="281"/>
    </w:p>
    <w:p w14:paraId="086629F5" w14:textId="5F75E38A" w:rsidR="00383C13" w:rsidRDefault="00383C13" w:rsidP="00383C13">
      <w:r>
        <w:t>3.</w:t>
      </w:r>
      <w:r>
        <w:tab/>
        <w:t>Priorities for methodological research.</w:t>
      </w:r>
    </w:p>
    <w:p w14:paraId="384A32C9" w14:textId="72B42DF7" w:rsidR="00383C13" w:rsidRDefault="00383C13" w:rsidP="00383C13">
      <w:pPr>
        <w:pStyle w:val="Heading2"/>
      </w:pPr>
      <w:bookmarkStart w:id="282" w:name="_Toc33776246"/>
      <w:r>
        <w:t>Types of analyses and evidence required to inform decisions regarding histology-independent products</w:t>
      </w:r>
      <w:bookmarkEnd w:id="282"/>
    </w:p>
    <w:p w14:paraId="4899B191" w14:textId="2B52CBB7" w:rsidR="00C94FD7" w:rsidRPr="00C94FD7" w:rsidRDefault="00C94FD7" w:rsidP="00C663A2">
      <w:pPr>
        <w:pStyle w:val="Heading5"/>
      </w:pPr>
      <w:r w:rsidRPr="00C94FD7">
        <w:t>Treatment effectiveness</w:t>
      </w:r>
    </w:p>
    <w:p w14:paraId="2F3C8F64" w14:textId="2F7DE7A0" w:rsidR="00A259CE" w:rsidRDefault="00A259CE" w:rsidP="00C94FD7">
      <w:r w:rsidRPr="00A259CE">
        <w:t xml:space="preserve">Complex innovative study designs are increasingly used to </w:t>
      </w:r>
      <w:r w:rsidR="00AF47E2">
        <w:t xml:space="preserve">improve </w:t>
      </w:r>
      <w:r w:rsidR="00543D15">
        <w:t xml:space="preserve">the efficiency of </w:t>
      </w:r>
      <w:r w:rsidR="00AF47E2">
        <w:t xml:space="preserve">the </w:t>
      </w:r>
      <w:r w:rsidR="00543D15">
        <w:t xml:space="preserve">drug development process and to </w:t>
      </w:r>
      <w:r w:rsidRPr="00A259CE">
        <w:t>speed up regulatory approval and access of drugs with new mechanisms of action. Adaptive basket trials are particularly suited to assess efficacy of histology-independent drugs, although their reliance on surrogate outcomes, small sample sizes and mostly uncontrolled designs pose challenges for HTA. Adequately designed and analysed basket studies which assess the homogeneity of outcomes and allow borrowing of information across baskets where appropriate, are recommended. In particular the use of comparative and randomised designs and primary outcomes that can adequately predict the clinical outcomes of interest is recommended</w:t>
      </w:r>
      <w:r w:rsidR="00FC628A">
        <w:t xml:space="preserve"> where feasible.</w:t>
      </w:r>
    </w:p>
    <w:p w14:paraId="4B3DD9A6" w14:textId="1A5248F4" w:rsidR="00C94FD7" w:rsidRDefault="00C94FD7" w:rsidP="00C94FD7">
      <w:r>
        <w:t>The potential for heterogeneity in treatment effects, either across tumour types or across other characteristic</w:t>
      </w:r>
      <w:r w:rsidR="00AF47E2">
        <w:t>s</w:t>
      </w:r>
      <w:r>
        <w:t>, is likely to be an important issue in the appraisal of histology independent technologies. Careful consideration should be given to the appropriateness of the assumptions of homogeneity of treatment effects and NICE committees should expect to see an exploration of this assumption in company submissions. Bayesian hierarchical methods, which are frequently used in the analysis of basket trials, may provide a useful vehicle with which to explore any heterogeneity. Where there is evidence of heterogeneity in treatment effects and estimates of cost-effectiveness, consideration should be given to optimised recommendations.</w:t>
      </w:r>
    </w:p>
    <w:p w14:paraId="3050F1F8" w14:textId="77777777" w:rsidR="00383C13" w:rsidRDefault="00C94FD7" w:rsidP="00C663A2">
      <w:pPr>
        <w:pStyle w:val="Heading5"/>
      </w:pPr>
      <w:r w:rsidRPr="00C94FD7">
        <w:t>Counterfactual</w:t>
      </w:r>
    </w:p>
    <w:p w14:paraId="3383A2FF" w14:textId="67783C07" w:rsidR="00C94FD7" w:rsidRPr="00383C13" w:rsidRDefault="00C94FD7" w:rsidP="00C94FD7">
      <w:pPr>
        <w:rPr>
          <w:b/>
          <w:bCs/>
        </w:rPr>
      </w:pPr>
      <w:r>
        <w:t>Generating a counterfactual is likely to be challenging in the context of histology independent technologies and</w:t>
      </w:r>
      <w:r w:rsidR="00AF47E2">
        <w:t>,</w:t>
      </w:r>
      <w:r>
        <w:t xml:space="preserve"> in the absence of randomised evidence, it is likely that no single approach will be able to provide robust estimates of relative effectiveness. Companies developing histology independent technologies therefore should be encouraged to consider several alternatives. Consideration </w:t>
      </w:r>
      <w:r w:rsidR="00AF47E2">
        <w:t xml:space="preserve">should be </w:t>
      </w:r>
      <w:r>
        <w:t xml:space="preserve">given to the relative strengths and weaknesses of these alternatives when </w:t>
      </w:r>
      <w:r>
        <w:lastRenderedPageBreak/>
        <w:t xml:space="preserve">evaluating the most appropriate comparison. Evidence on the prognostic and predicative performance of the biomarkers should also be considered where possible, though it is recognised that such data may be limited at the time of submission. </w:t>
      </w:r>
    </w:p>
    <w:p w14:paraId="5C10DDE3" w14:textId="77777777" w:rsidR="00C94FD7" w:rsidRPr="00C94FD7" w:rsidRDefault="00C94FD7" w:rsidP="00C663A2">
      <w:pPr>
        <w:pStyle w:val="Heading5"/>
      </w:pPr>
      <w:r w:rsidRPr="00C94FD7">
        <w:t>Generalisability</w:t>
      </w:r>
    </w:p>
    <w:p w14:paraId="0E1D31B9" w14:textId="1744729A" w:rsidR="00C94FD7" w:rsidRDefault="00C94FD7" w:rsidP="00C94FD7">
      <w:r>
        <w:t xml:space="preserve">Trial evidence available to support </w:t>
      </w:r>
      <w:r w:rsidR="00AF47E2">
        <w:t xml:space="preserve">approval </w:t>
      </w:r>
      <w:r>
        <w:t xml:space="preserve">of histology independent technologies may differ substantially from the patients eligible for treatment in practice. Significant differences may for example be seen in the distribution of tumour types, positioning of the technology and subsequent treatments received. The potential for heterogeneity in treatment effects means that differences between the trial population and </w:t>
      </w:r>
      <w:r w:rsidR="00AF47E2">
        <w:t xml:space="preserve">the </w:t>
      </w:r>
      <w:r>
        <w:t>eligible population may have an important impact on estimates of cost-effectiveness</w:t>
      </w:r>
      <w:r w:rsidR="00AF47E2">
        <w:t>.</w:t>
      </w:r>
      <w:r>
        <w:t xml:space="preserve"> </w:t>
      </w:r>
      <w:r w:rsidR="00AF47E2">
        <w:t>W</w:t>
      </w:r>
      <w:r>
        <w:t>here possible</w:t>
      </w:r>
      <w:r w:rsidR="00AF47E2">
        <w:t>,</w:t>
      </w:r>
      <w:r>
        <w:t xml:space="preserve"> it is important that such differences are properly accounted for. Consideration of the differences between the trial population and eligible population should also be bourne in mind when considering an appropriate counterfactual data set. </w:t>
      </w:r>
    </w:p>
    <w:p w14:paraId="11093B09" w14:textId="7EBA258F" w:rsidR="00C94FD7" w:rsidRDefault="00C94FD7" w:rsidP="00C94FD7">
      <w:r>
        <w:t xml:space="preserve">Trial evidence supporting histology independent technologies may not offer complete coverage of the eligible population. As such, there may be no effectiveness evidence supporting a proportion of the eligible population. Appropriate consideration should be given to these unrepresented tumour types in the appraisal of histology independent technologies. </w:t>
      </w:r>
      <w:r w:rsidR="004976B7">
        <w:t>BHM</w:t>
      </w:r>
      <w:r>
        <w:t>, may be able to provide an estimate of the distribution of treatment effects in this population</w:t>
      </w:r>
      <w:r w:rsidR="00835CE8">
        <w:t xml:space="preserve">. </w:t>
      </w:r>
      <w:r>
        <w:t xml:space="preserve">Data collection plans, where considered appropriate, should consider the potential for collecting evidence in unpresented tumours to better inform estimates of effect. Consideration should also be given to the fact </w:t>
      </w:r>
      <w:r w:rsidR="00AF47E2">
        <w:t xml:space="preserve">that </w:t>
      </w:r>
      <w:r>
        <w:t xml:space="preserve">unrepresented tumours are not </w:t>
      </w:r>
      <w:r w:rsidR="00835CE8">
        <w:t xml:space="preserve">a </w:t>
      </w:r>
      <w:r>
        <w:t>single tumour type</w:t>
      </w:r>
      <w:r w:rsidR="00AF47E2">
        <w:t xml:space="preserve"> and </w:t>
      </w:r>
      <w:r w:rsidR="00FC50BF">
        <w:t xml:space="preserve">may </w:t>
      </w:r>
      <w:r w:rsidR="00AF47E2">
        <w:t>be heterogeneous</w:t>
      </w:r>
      <w:r>
        <w:t xml:space="preserve">. As such, blanket approval or collection of data in unrepresented tumours may not be appropriate. </w:t>
      </w:r>
    </w:p>
    <w:p w14:paraId="2A2A7DEB" w14:textId="77777777" w:rsidR="00C94FD7" w:rsidRPr="00C94FD7" w:rsidRDefault="00C94FD7" w:rsidP="00C663A2">
      <w:pPr>
        <w:pStyle w:val="Heading5"/>
      </w:pPr>
      <w:r w:rsidRPr="00C94FD7">
        <w:t>Genomic testing</w:t>
      </w:r>
    </w:p>
    <w:p w14:paraId="3B2D7C4F" w14:textId="38464B26" w:rsidR="00C94FD7" w:rsidRDefault="00C94FD7" w:rsidP="00C94FD7">
      <w:r>
        <w:t>Genomic testing is likely to be integral to identify patients eligible for histology-independent therapy. Genomic testing costs may vary substantially across tumour types and therefore represent an important potential source of heterogeneity that should be appropriately considered. It is possible that some tumour types will not be cost-effective on the basis of genomic testing costs alone. Current NICE guidance provides that testing should be included where they are necessary to support a new healthcare technology. Investment in universal provision of genomic testing, however, generates challenges to this model as some testing strategies may be used to identify multiple potential targets. In princip</w:t>
      </w:r>
      <w:r w:rsidR="00546E59">
        <w:t>le,</w:t>
      </w:r>
      <w:r>
        <w:t xml:space="preserve"> it may therefore be appropriate to apportion testing costs over several technologies. It is currently unclear how this should be done or </w:t>
      </w:r>
      <w:r w:rsidR="00900576">
        <w:t xml:space="preserve">who </w:t>
      </w:r>
      <w:r>
        <w:t xml:space="preserve">should make such judgments. </w:t>
      </w:r>
    </w:p>
    <w:p w14:paraId="5B06B7AB" w14:textId="77777777" w:rsidR="00C94FD7" w:rsidRPr="00C94FD7" w:rsidRDefault="00C94FD7" w:rsidP="00C663A2">
      <w:pPr>
        <w:pStyle w:val="Heading5"/>
      </w:pPr>
      <w:r w:rsidRPr="00C94FD7">
        <w:t>Model structure</w:t>
      </w:r>
    </w:p>
    <w:p w14:paraId="52C0F55D" w14:textId="2C1D14AF" w:rsidR="00FC628A" w:rsidRDefault="00C94FD7" w:rsidP="00FC628A">
      <w:r>
        <w:t xml:space="preserve">Alternative sources of heterogeneity that may impact cost-effectiveness estimates (e.g. baseline risk, treatment effect, costs and HRQoL) should be explicitly acknowledged and appropriately reflected in </w:t>
      </w:r>
      <w:r>
        <w:lastRenderedPageBreak/>
        <w:t>any economic model. Where an economic analysis is developed using a partitioned survival analysis approach based on the direct extrapolation of TTE endpoint</w:t>
      </w:r>
      <w:r w:rsidR="00546E59">
        <w:t>s,</w:t>
      </w:r>
      <w:r>
        <w:t xml:space="preserve"> appropriate exploration of the validity of pooling PFS and OS </w:t>
      </w:r>
      <w:r w:rsidR="00FC628A">
        <w:t>across pre-specified subgroups and histologies (where data permits) should be undertaken (e.g. separate presentation of Kaplan-Meier curves and landmark PFS and OS rates). The process of internal and external validation should be clearly described.</w:t>
      </w:r>
    </w:p>
    <w:p w14:paraId="75B20BE7" w14:textId="50AAEF0E" w:rsidR="00835CE8" w:rsidRDefault="00C94FD7" w:rsidP="00FC628A">
      <w:r>
        <w:t xml:space="preserve">BHM approaches may be useful </w:t>
      </w:r>
      <w:r w:rsidR="00FC628A">
        <w:t>to support the validity of pooling PFS and OS data</w:t>
      </w:r>
      <w:r>
        <w:t xml:space="preserve">. </w:t>
      </w:r>
      <w:r w:rsidR="00A259CE" w:rsidRPr="00A259CE">
        <w:t>Where there is substantive evidence of heterogeneity in treatment effects, consideration should be given to alternative model structures that are better able to reflect this heterogeneity</w:t>
      </w:r>
      <w:r w:rsidR="00A259CE">
        <w:t xml:space="preserve"> including the use of landmark response approaches. </w:t>
      </w:r>
      <w:r>
        <w:t>If such a model is used</w:t>
      </w:r>
      <w:r w:rsidR="00546E59">
        <w:t>,</w:t>
      </w:r>
      <w:r>
        <w:t xml:space="preserve"> evidence supporting the proposed surrogate-final relationship should be presented and uncertainty surrounding the surrogate relationships included in the model </w:t>
      </w:r>
      <w:r w:rsidR="00FC628A">
        <w:t xml:space="preserve">should be fully characterised. </w:t>
      </w:r>
      <w:r w:rsidR="00543D15">
        <w:t>While concerns remain regar</w:t>
      </w:r>
      <w:r w:rsidR="00546E59">
        <w:t>d</w:t>
      </w:r>
      <w:r w:rsidR="00543D15">
        <w:t>ing the validity of</w:t>
      </w:r>
      <w:r w:rsidR="00835CE8" w:rsidRPr="00835CE8">
        <w:t xml:space="preserve"> response as a surrogate for PFS and OS, a surrogate-based modelling approach informed by predictions from meta-analyses which capture all relevant uncertainty</w:t>
      </w:r>
      <w:r w:rsidR="00543D15">
        <w:t xml:space="preserve"> </w:t>
      </w:r>
      <w:r w:rsidR="00835CE8">
        <w:t>may</w:t>
      </w:r>
      <w:r w:rsidR="00546E59">
        <w:t xml:space="preserve"> </w:t>
      </w:r>
      <w:r w:rsidR="00835CE8">
        <w:t xml:space="preserve">be preferable to the extrapolation of heavily censored and potentially confounded PFS and OS data. </w:t>
      </w:r>
      <w:r w:rsidR="00835CE8" w:rsidRPr="00835CE8">
        <w:t>The BRMA approach outlined in DSU TSD 20</w:t>
      </w:r>
      <w:r w:rsidR="00CB2733">
        <w:fldChar w:fldCharType="begin"/>
      </w:r>
      <w:r w:rsidR="00CB2733">
        <w:instrText xml:space="preserve"> ADDIN EN.CITE &lt;EndNote&gt;&lt;Cite&gt;&lt;Author&gt;Bujkiewicz&lt;/Author&gt;&lt;Year&gt;2019&lt;/Year&gt;&lt;RecNum&gt;3600&lt;/RecNum&gt;&lt;DisplayText&gt;&lt;style face="superscript"&gt;142&lt;/style&gt;&lt;/DisplayText&gt;&lt;record&gt;&lt;rec-number&gt;3600&lt;/rec-number&gt;&lt;foreign-keys&gt;&lt;key app="EN" db-id="dwaevxvazfs2f3ewvzmxrd0k0wasw55p2z2w" timestamp="1582194099"&gt;3600&lt;/key&gt;&lt;/foreign-keys&gt;&lt;ref-type name="Report"&gt;27&lt;/ref-type&gt;&lt;contributors&gt;&lt;authors&gt;&lt;author&gt;Bujkiewicz, S.&lt;/author&gt;&lt;author&gt;Achana, F.&lt;/author&gt;&lt;author&gt;Papanikos, T.&lt;/author&gt;&lt;author&gt;Riley, R.D.&lt;/author&gt;&lt;author&gt;Abrams, K.R.&lt;/author&gt;&lt;/authors&gt;&lt;/contributors&gt;&lt;titles&gt;&lt;title&gt;Multivariate meta-analysis of summary data for combining treatment effects on correlated outcomes and evaluating surrogate endpoints. Report by The Decision Support Unit&lt;/title&gt;&lt;secondary-title&gt;NICE DSU Technical Support Document&lt;/secondary-title&gt;&lt;/titles&gt;&lt;num-vols&gt;20&lt;/num-vols&gt;&lt;dates&gt;&lt;year&gt;2019&lt;/year&gt;&lt;/dates&gt;&lt;pub-location&gt;Sheffield&lt;/pub-location&gt;&lt;publisher&gt;Decision Support Unit, ScHARR, University of Sheffield&lt;/publisher&gt;&lt;urls&gt;&lt;related-urls&gt;&lt;url&gt;http://nicedsu.org.uk/wp-content/uploads/2019/10/TSD-20-mvmeta-final.pdf&lt;/url&gt;&lt;/related-urls&gt;&lt;/urls&gt;&lt;custom4&gt;STEVE&amp;apos;S REFRENCES&lt;/custom4&gt;&lt;/record&gt;&lt;/Cite&gt;&lt;/EndNote&gt;</w:instrText>
      </w:r>
      <w:r w:rsidR="00CB2733">
        <w:fldChar w:fldCharType="separate"/>
      </w:r>
      <w:r w:rsidR="00CB2733" w:rsidRPr="00CB2733">
        <w:rPr>
          <w:noProof/>
          <w:vertAlign w:val="superscript"/>
        </w:rPr>
        <w:t>142</w:t>
      </w:r>
      <w:r w:rsidR="00CB2733">
        <w:fldChar w:fldCharType="end"/>
      </w:r>
      <w:r w:rsidR="00835CE8" w:rsidRPr="00835CE8">
        <w:t xml:space="preserve"> </w:t>
      </w:r>
      <w:r w:rsidR="00543D15">
        <w:t xml:space="preserve">is recommended </w:t>
      </w:r>
      <w:r w:rsidR="00846DC7">
        <w:t xml:space="preserve">to </w:t>
      </w:r>
      <w:r w:rsidR="00835CE8" w:rsidRPr="00835CE8">
        <w:t>ensur</w:t>
      </w:r>
      <w:r w:rsidR="00846DC7">
        <w:t>e</w:t>
      </w:r>
      <w:r w:rsidR="00835CE8" w:rsidRPr="00835CE8">
        <w:t xml:space="preserve"> that all uncertainty around the surrogate relationship is reflected in the predictions used in the model.</w:t>
      </w:r>
      <w:r w:rsidR="00846DC7">
        <w:t xml:space="preserve"> </w:t>
      </w:r>
    </w:p>
    <w:p w14:paraId="24659456" w14:textId="77777777" w:rsidR="00C94FD7" w:rsidRPr="00C94FD7" w:rsidRDefault="00C94FD7" w:rsidP="00C663A2">
      <w:pPr>
        <w:pStyle w:val="Heading5"/>
      </w:pPr>
      <w:r w:rsidRPr="00C94FD7">
        <w:t>Consideration of uncertainty</w:t>
      </w:r>
    </w:p>
    <w:p w14:paraId="0958F091" w14:textId="27C6A863" w:rsidR="001D6463" w:rsidRDefault="00C94FD7" w:rsidP="00C94FD7">
      <w:r>
        <w:t>Uncertainty is inherent to all decision made by NICE and other reimbursement agencies, but may be particularly acute when considering histology independent technologies due to the limitations of the underlying evidence base. When considering the implications of uncertainty</w:t>
      </w:r>
      <w:r w:rsidR="00546E59">
        <w:t>,</w:t>
      </w:r>
      <w:r>
        <w:t xml:space="preserve"> due consideration should be given to the scale and consequence of decisions</w:t>
      </w:r>
      <w:r w:rsidR="00546E59">
        <w:t>,</w:t>
      </w:r>
      <w:r>
        <w:t xml:space="preserve"> as often populations may be small with limit</w:t>
      </w:r>
      <w:r w:rsidR="00546E59">
        <w:t>ed</w:t>
      </w:r>
      <w:r>
        <w:t xml:space="preserve"> consequences to the overall health system. </w:t>
      </w:r>
      <w:r w:rsidR="009036FD">
        <w:t>Quantification of the consequences</w:t>
      </w:r>
      <w:r>
        <w:t xml:space="preserve"> of uncertainty using NH</w:t>
      </w:r>
      <w:r w:rsidR="001D6463">
        <w:t>B</w:t>
      </w:r>
      <w:r>
        <w:t xml:space="preserve"> may provide an important </w:t>
      </w:r>
      <w:r w:rsidR="00546E59">
        <w:t xml:space="preserve">framework to add </w:t>
      </w:r>
      <w:r>
        <w:t>to the assessments already routinely specified with the exiting TA methods guide</w:t>
      </w:r>
      <w:r w:rsidR="00546E59">
        <w:t xml:space="preserve"> to quantify decision uncertainty</w:t>
      </w:r>
      <w:r>
        <w:t xml:space="preserve">. Routine presentation of such metrics </w:t>
      </w:r>
      <w:r w:rsidR="004976B7">
        <w:t>should be considered.</w:t>
      </w:r>
    </w:p>
    <w:p w14:paraId="03B150EE" w14:textId="489C98D4" w:rsidR="00846DC7" w:rsidRPr="00846DC7" w:rsidRDefault="00383C13" w:rsidP="003070AE">
      <w:pPr>
        <w:pStyle w:val="Heading2"/>
      </w:pPr>
      <w:bookmarkStart w:id="283" w:name="_Toc33776247"/>
      <w:bookmarkStart w:id="284" w:name="_Hlk33163443"/>
      <w:bookmarkStart w:id="285" w:name="_Toc401069431"/>
      <w:r w:rsidRPr="00846DC7">
        <w:t xml:space="preserve">Potential changes to the NICE methods guide for technology appraisals </w:t>
      </w:r>
      <w:r w:rsidR="00846DC7">
        <w:t>and/</w:t>
      </w:r>
      <w:r w:rsidRPr="00846DC7">
        <w:t>or additional requirements relating to histology-independent drugs.</w:t>
      </w:r>
      <w:bookmarkEnd w:id="283"/>
    </w:p>
    <w:bookmarkEnd w:id="284"/>
    <w:p w14:paraId="0E13A94C" w14:textId="129ACC57" w:rsidR="00396C4C" w:rsidRDefault="001D6463" w:rsidP="00396C4C">
      <w:r>
        <w:t>In practice there</w:t>
      </w:r>
      <w:r w:rsidR="00396C4C">
        <w:t xml:space="preserve"> may be barriers to NICE making partially or fully stratified decisions. This is because the NICE </w:t>
      </w:r>
      <w:r w:rsidR="00F97694">
        <w:t>TA</w:t>
      </w:r>
      <w:r w:rsidR="00396C4C">
        <w:t xml:space="preserve"> process has been developed primarily to make approval decisions for a technology in a defined population. However, stratified decision making can be </w:t>
      </w:r>
      <w:r w:rsidR="009036FD">
        <w:t>considered</w:t>
      </w:r>
      <w:r w:rsidR="00396C4C">
        <w:t xml:space="preserve"> as a subgroup analysis in which histology is the relevant source of heterogeneity. The NICE methods guide recognises that costs and the capacity to benefit may differ across patients with differing characteristics and recommends that this should be explored as part of the reference case.</w:t>
      </w:r>
      <w:r w:rsidR="00CB2733">
        <w:fldChar w:fldCharType="begin"/>
      </w:r>
      <w:r w:rsidR="00CB2733">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rsidR="00CB2733">
        <w:fldChar w:fldCharType="separate"/>
      </w:r>
      <w:r w:rsidR="00CB2733" w:rsidRPr="00CB2733">
        <w:rPr>
          <w:noProof/>
          <w:vertAlign w:val="superscript"/>
        </w:rPr>
        <w:t>4</w:t>
      </w:r>
      <w:r w:rsidR="00CB2733">
        <w:fldChar w:fldCharType="end"/>
      </w:r>
      <w:r w:rsidR="00396C4C">
        <w:t xml:space="preserve"> The assessments outlined</w:t>
      </w:r>
      <w:r w:rsidR="00846DC7">
        <w:t xml:space="preserve"> in our report </w:t>
      </w:r>
      <w:r w:rsidR="00396C4C">
        <w:t xml:space="preserve">are consistent with and should be supplemented by the existing NICE guidance on subgroup analysis. </w:t>
      </w:r>
    </w:p>
    <w:p w14:paraId="23528647" w14:textId="335CF16D" w:rsidR="00396C4C" w:rsidRDefault="00396C4C" w:rsidP="00396C4C">
      <w:r>
        <w:lastRenderedPageBreak/>
        <w:t xml:space="preserve">The quantity of subgroups which result from fully stratified decision making could present a challenge to implementing this approach in practice. Partial stratification of approval decisions is one approach to address this. Partial stratification would reduce the number of approval decisions which must be made, compared to full stratification. A transparent and accountable process for deciding which histologies should be grouped together would be required under this approach. The process for deciding which histologies should be grouped together could be usefully informed by the criteria for defining subgroups in the NICE methods guide. According to the current process, subgroups should be based on the expectation of </w:t>
      </w:r>
      <w:r w:rsidRPr="00F97694">
        <w:rPr>
          <w:i/>
          <w:iCs/>
        </w:rPr>
        <w:t>“differential clinical or cost-effectiveness, biologically plausible mechanisms, social characteristics or other clearly justified factors</w:t>
      </w:r>
      <w:r w:rsidR="00330F4E" w:rsidRPr="00F97694">
        <w:rPr>
          <w:i/>
          <w:iCs/>
        </w:rPr>
        <w:t>”</w:t>
      </w:r>
      <w:r w:rsidRPr="00F97694">
        <w:rPr>
          <w:i/>
          <w:iCs/>
        </w:rPr>
        <w:t>.</w:t>
      </w:r>
      <w:r w:rsidR="00CB2733">
        <w:fldChar w:fldCharType="begin"/>
      </w:r>
      <w:r w:rsidR="00CB2733">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rsidR="00CB2733">
        <w:fldChar w:fldCharType="separate"/>
      </w:r>
      <w:r w:rsidR="00CB2733" w:rsidRPr="00CB2733">
        <w:rPr>
          <w:noProof/>
          <w:vertAlign w:val="superscript"/>
        </w:rPr>
        <w:t>4</w:t>
      </w:r>
      <w:r w:rsidR="00CB2733">
        <w:fldChar w:fldCharType="end"/>
      </w:r>
      <w:r>
        <w:t xml:space="preserve"> The relevant subgroups should be defined at the scoping stage but with the possibility of subgroup identification later in the process. This same process may be appropriate to define which histologies should be group</w:t>
      </w:r>
      <w:r w:rsidR="00543D15">
        <w:t>ed</w:t>
      </w:r>
      <w:r>
        <w:t xml:space="preserve"> together to make partially stratified approval decisions.</w:t>
      </w:r>
    </w:p>
    <w:p w14:paraId="7E5501E5" w14:textId="66C9500A" w:rsidR="00396C4C" w:rsidRDefault="00396C4C" w:rsidP="00396C4C">
      <w:r>
        <w:t xml:space="preserve">A further issue for NICE </w:t>
      </w:r>
      <w:r w:rsidR="00543D15">
        <w:t xml:space="preserve">methods and process concerns the </w:t>
      </w:r>
      <w:r>
        <w:t>approv</w:t>
      </w:r>
      <w:r w:rsidR="00543D15">
        <w:t>al</w:t>
      </w:r>
      <w:r>
        <w:t xml:space="preserve"> </w:t>
      </w:r>
      <w:r w:rsidR="00543D15">
        <w:t xml:space="preserve">of </w:t>
      </w:r>
      <w:r>
        <w:t>a histology independent treatment in histolog</w:t>
      </w:r>
      <w:r w:rsidR="00E00B71">
        <w:t>ies not included in the main clinical studies</w:t>
      </w:r>
      <w:r>
        <w:t xml:space="preserve">. This </w:t>
      </w:r>
      <w:r w:rsidR="00E00B71">
        <w:t>could be considered as</w:t>
      </w:r>
      <w:r>
        <w:t xml:space="preserve"> a specific case of a more general problem </w:t>
      </w:r>
      <w:r w:rsidR="00543D15">
        <w:t xml:space="preserve">concerning the approval of </w:t>
      </w:r>
      <w:r>
        <w:t>treatments in populations for which there is</w:t>
      </w:r>
      <w:r w:rsidR="00E00B71">
        <w:t xml:space="preserve"> limited or no </w:t>
      </w:r>
      <w:r>
        <w:t xml:space="preserve">direct evidence. This problem is faced in different forms, two of which are outlined here to provide </w:t>
      </w:r>
      <w:r w:rsidR="00AF6EFE">
        <w:t xml:space="preserve">additional </w:t>
      </w:r>
      <w:r>
        <w:t>context f</w:t>
      </w:r>
      <w:r w:rsidR="00543D15">
        <w:t xml:space="preserve">or </w:t>
      </w:r>
      <w:r w:rsidR="00E00B71">
        <w:t xml:space="preserve">approval decisions </w:t>
      </w:r>
      <w:r w:rsidR="00767972">
        <w:t xml:space="preserve">covering </w:t>
      </w:r>
      <w:r>
        <w:t>unrepresented histologies. The first scenario pertains to making decisions about treatments using unrepresentative data. For example, approval is commonly granted for populations which are only imperfectly represented in trial data. This is the problem of external validity and is common with randomised trial data as clinical trials tend to be conducted populations which differ from the population of interest.</w:t>
      </w:r>
      <w:r w:rsidR="00CB2733">
        <w:fldChar w:fldCharType="begin"/>
      </w:r>
      <w:r w:rsidR="004D5B2B">
        <w:instrText xml:space="preserve"> ADDIN EN.CITE &lt;EndNote&gt;&lt;Cite&gt;&lt;Author&gt;Kennedy-Martin&lt;/Author&gt;&lt;Year&gt;2015&lt;/Year&gt;&lt;RecNum&gt;3597&lt;/RecNum&gt;&lt;DisplayText&gt;&lt;style face="superscript"&gt;208&lt;/style&gt;&lt;/DisplayText&gt;&lt;record&gt;&lt;rec-number&gt;3597&lt;/rec-number&gt;&lt;foreign-keys&gt;&lt;key app="EN" db-id="dwaevxvazfs2f3ewvzmxrd0k0wasw55p2z2w" timestamp="1582193315"&gt;3597&lt;/key&gt;&lt;/foreign-keys&gt;&lt;ref-type name="Journal Article"&gt;17&lt;/ref-type&gt;&lt;contributors&gt;&lt;authors&gt;&lt;author&gt;Kennedy-Martin, T.&lt;/author&gt;&lt;author&gt;Curtis, S.&lt;/author&gt;&lt;author&gt;Faries, D.&lt;/author&gt;&lt;author&gt;Robinson, S.&lt;/author&gt;&lt;author&gt;Johnston, J.&lt;/author&gt;&lt;/authors&gt;&lt;/contributors&gt;&lt;titles&gt;&lt;title&gt;A literature review on the representativeness of randomized controlled trial samples and implications for the external validity of trial results&lt;/title&gt;&lt;secondary-title&gt;Trials&lt;/secondary-title&gt;&lt;/titles&gt;&lt;periodical&gt;&lt;full-title&gt;Trials&lt;/full-title&gt;&lt;/periodical&gt;&lt;pages&gt;495&lt;/pages&gt;&lt;volume&gt;16&lt;/volume&gt;&lt;dates&gt;&lt;year&gt;2015&lt;/year&gt;&lt;/dates&gt;&lt;urls&gt;&lt;/urls&gt;&lt;custom4&gt;STEVE&amp;apos;S REFRENCES&lt;/custom4&gt;&lt;electronic-resource-num&gt;https://doi.org/10.1186/s13063-015-1023-4&lt;/electronic-resource-num&gt;&lt;/record&gt;&lt;/Cite&gt;&lt;/EndNote&gt;</w:instrText>
      </w:r>
      <w:r w:rsidR="00CB2733">
        <w:fldChar w:fldCharType="separate"/>
      </w:r>
      <w:r w:rsidR="004D5B2B" w:rsidRPr="004D5B2B">
        <w:rPr>
          <w:noProof/>
          <w:vertAlign w:val="superscript"/>
        </w:rPr>
        <w:t>208</w:t>
      </w:r>
      <w:r w:rsidR="00CB2733">
        <w:fldChar w:fldCharType="end"/>
      </w:r>
      <w:r>
        <w:t xml:space="preserve"> The second scenario is using a technology in new indications for which there is no data. For example pembrolizumab has been submitted for approval in a range of indications</w:t>
      </w:r>
      <w:r w:rsidR="00767972">
        <w:t>, including</w:t>
      </w:r>
      <w:r>
        <w:t>: squamous non-small-cell lung cancer, urothelial cancer, head and neck cancer among others.</w:t>
      </w:r>
      <w:r w:rsidR="00CB2733">
        <w:fldChar w:fldCharType="begin">
          <w:fldData xml:space="preserve">PEVuZE5vdGU+PENpdGU+PEF1dGhvcj5OYXRpb25hbCBJbnN0aXR1dGUgRm9yIEhlYWx0aCBBbmQg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</w:fldData>
        </w:fldChar>
      </w:r>
      <w:r w:rsidR="004D5B2B">
        <w:instrText xml:space="preserve"> ADDIN EN.CITE </w:instrText>
      </w:r>
      <w:r w:rsidR="004D5B2B">
        <w:fldChar w:fldCharType="begin">
          <w:fldData xml:space="preserve">PEVuZE5vdGU+PENpdGU+PEF1dGhvcj5OYXRpb25hbCBJbnN0aXR1dGUgRm9yIEhlYWx0aCBBbmQg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</w:fldData>
        </w:fldChar>
      </w:r>
      <w:r w:rsidR="004D5B2B">
        <w:instrText xml:space="preserve"> ADDIN EN.CITE.DATA </w:instrText>
      </w:r>
      <w:r w:rsidR="004D5B2B">
        <w:fldChar w:fldCharType="end"/>
      </w:r>
      <w:r w:rsidR="00CB2733">
        <w:fldChar w:fldCharType="separate"/>
      </w:r>
      <w:r w:rsidR="004D5B2B" w:rsidRPr="004D5B2B">
        <w:rPr>
          <w:noProof/>
          <w:vertAlign w:val="superscript"/>
        </w:rPr>
        <w:t>209-211</w:t>
      </w:r>
      <w:r w:rsidR="00CB2733">
        <w:fldChar w:fldCharType="end"/>
      </w:r>
      <w:r>
        <w:t xml:space="preserve"> In this case approval may not be granted for a new indication unless there is direct evidence in the population of interest. The approval in unrepresented histologies </w:t>
      </w:r>
      <w:r w:rsidR="00AF6EFE">
        <w:t xml:space="preserve">for </w:t>
      </w:r>
      <w:r>
        <w:t>histology</w:t>
      </w:r>
      <w:r w:rsidR="00AF6EFE">
        <w:t>-</w:t>
      </w:r>
      <w:r>
        <w:t xml:space="preserve">independent technologies represents a space between these two scenarios. </w:t>
      </w:r>
      <w:r w:rsidR="00767972">
        <w:t>Approval decisions for</w:t>
      </w:r>
      <w:r>
        <w:t xml:space="preserve"> treatments fo</w:t>
      </w:r>
      <w:r w:rsidR="00767972">
        <w:t>r use in</w:t>
      </w:r>
      <w:r>
        <w:t xml:space="preserve"> unrepresented histologies will depend on context, in some cases it will be more similar to approving in a slightly different population, and in others it will be more analogous to approval in a completely new indication.</w:t>
      </w:r>
    </w:p>
    <w:p w14:paraId="71D6C151" w14:textId="15CB08AB" w:rsidR="005D7FA4" w:rsidRDefault="00891AE9" w:rsidP="00891AE9">
      <w:r>
        <w:t>A</w:t>
      </w:r>
      <w:r w:rsidRPr="00891AE9">
        <w:t>ssessments of heterogeneity in survival outcomes at the point of intial marketing authorisation maybe challenging</w:t>
      </w:r>
      <w:r w:rsidR="00305978">
        <w:t xml:space="preserve"> </w:t>
      </w:r>
      <w:r w:rsidRPr="00891AE9">
        <w:t>due to data immaturity and potential confounding</w:t>
      </w:r>
      <w:r w:rsidR="00767972">
        <w:t xml:space="preserve">, </w:t>
      </w:r>
      <w:r w:rsidRPr="00891AE9">
        <w:t>unless these are</w:t>
      </w:r>
      <w:r w:rsidR="00305978">
        <w:t xml:space="preserve"> more explictly</w:t>
      </w:r>
      <w:r w:rsidRPr="00891AE9">
        <w:t xml:space="preserve"> linked to a surrogate outcome (e.g. response, DoR) for which more robust assessments of heterogeneity </w:t>
      </w:r>
      <w:r w:rsidR="00767972">
        <w:t>may</w:t>
      </w:r>
      <w:r w:rsidR="0041393F">
        <w:t xml:space="preserve"> </w:t>
      </w:r>
      <w:r w:rsidR="00767972">
        <w:t xml:space="preserve">be </w:t>
      </w:r>
      <w:r w:rsidRPr="00891AE9">
        <w:t>feasible.</w:t>
      </w:r>
      <w:r w:rsidR="001D6463">
        <w:t xml:space="preserve"> </w:t>
      </w:r>
      <w:r w:rsidR="00767972">
        <w:t xml:space="preserve">While </w:t>
      </w:r>
      <w:r w:rsidR="001D6463">
        <w:t xml:space="preserve">BHM </w:t>
      </w:r>
      <w:r w:rsidR="007546FF">
        <w:t>approaches could in theory be explored in the context of time to event endpoints (PFS, OS), the small numbers, potential for greater heterogeneity,</w:t>
      </w:r>
      <w:r w:rsidR="00767972">
        <w:t xml:space="preserve"> high </w:t>
      </w:r>
      <w:r w:rsidR="00767972">
        <w:lastRenderedPageBreak/>
        <w:t xml:space="preserve">censoring </w:t>
      </w:r>
      <w:r w:rsidR="007546FF">
        <w:t xml:space="preserve">and potential confounding remain important obstacles. </w:t>
      </w:r>
      <w:r w:rsidR="00305978">
        <w:t>However, m</w:t>
      </w:r>
      <w:r w:rsidR="007546FF">
        <w:t>any of the</w:t>
      </w:r>
      <w:r w:rsidR="001D6463">
        <w:t xml:space="preserve"> challenges associated with immaturity in time to event endpoint and potential confounding </w:t>
      </w:r>
      <w:r w:rsidR="00305978">
        <w:t xml:space="preserve">in uncontrolled </w:t>
      </w:r>
      <w:r w:rsidR="001D6463">
        <w:t xml:space="preserve">Phase II studies </w:t>
      </w:r>
      <w:r w:rsidR="009036FD">
        <w:t>are</w:t>
      </w:r>
      <w:r w:rsidR="001D6463">
        <w:t xml:space="preserve"> not restricted to histology-independent appraisals</w:t>
      </w:r>
      <w:r w:rsidR="00767972" w:rsidRPr="00767972">
        <w:t xml:space="preserve">. </w:t>
      </w:r>
      <w:r w:rsidR="00AF6EFE">
        <w:t xml:space="preserve">Our review of NICE TAs for products approved with ORR as the primary endpoint, identified </w:t>
      </w:r>
      <w:r w:rsidR="00305978">
        <w:t>a potential disconnect between the regulators</w:t>
      </w:r>
      <w:r w:rsidR="0041393F">
        <w:t>’</w:t>
      </w:r>
      <w:r w:rsidR="00305978">
        <w:t xml:space="preserve"> </w:t>
      </w:r>
      <w:r w:rsidR="009A1750">
        <w:t xml:space="preserve">acceptance of surrogate endpoints and the limited use of surrogate relationships in the corresponding NICE appraisals. While this disconnect may </w:t>
      </w:r>
      <w:r w:rsidR="009A1750" w:rsidRPr="009A1750">
        <w:t xml:space="preserve">reflect </w:t>
      </w:r>
      <w:r w:rsidR="009A1750">
        <w:t>legitim</w:t>
      </w:r>
      <w:r w:rsidR="005D7FA4">
        <w:t xml:space="preserve">ate </w:t>
      </w:r>
      <w:r w:rsidR="009A1750" w:rsidRPr="009A1750">
        <w:t>concerns regarding the reliability of ORR and CR as surrogates for PFS or OS</w:t>
      </w:r>
      <w:r w:rsidR="005D7FA4">
        <w:t xml:space="preserve">, we recommend that exploration of the </w:t>
      </w:r>
      <w:r w:rsidR="00767972" w:rsidRPr="00767972">
        <w:t xml:space="preserve">surrogate relationships between response-based outcomes (ORR and DoR) </w:t>
      </w:r>
      <w:r w:rsidR="005D7FA4">
        <w:t xml:space="preserve">should be more routinely considered in </w:t>
      </w:r>
      <w:r w:rsidR="00767972" w:rsidRPr="00767972">
        <w:t>economic modelling in help inform and/or validate longer term extrapolations of PFS and OS due to the likely immaturity of these endpoints.</w:t>
      </w:r>
      <w:r w:rsidR="005D7FA4">
        <w:t xml:space="preserve"> NICE will need to consider whether their existing methods guide needs to be more explicit about the challenges of uncontrolled Phase II studies and whether more specific guidance is needed concerning the role and use of surrogate endpoints </w:t>
      </w:r>
      <w:r w:rsidR="00E6622D">
        <w:t>in these circumstances</w:t>
      </w:r>
      <w:r w:rsidR="005D7FA4">
        <w:t>.</w:t>
      </w:r>
    </w:p>
    <w:p w14:paraId="7D8DBB25" w14:textId="221BDE3F" w:rsidR="00E6622D" w:rsidRDefault="005D7FA4" w:rsidP="00891AE9">
      <w:r>
        <w:t>The p</w:t>
      </w:r>
      <w:r w:rsidR="00891AE9">
        <w:t xml:space="preserve">resentation of the scale of the consequences of </w:t>
      </w:r>
      <w:r w:rsidR="00E6622D">
        <w:t xml:space="preserve">heterogeneity and </w:t>
      </w:r>
      <w:r w:rsidR="00891AE9">
        <w:t>decision uncertainty using population NH</w:t>
      </w:r>
      <w:r>
        <w:t>B</w:t>
      </w:r>
      <w:r w:rsidR="00891AE9">
        <w:t xml:space="preserve"> may provide an important additional approach to the assessments already routinely specified with the exiting TA methods guide. </w:t>
      </w:r>
      <w:r w:rsidR="00E6622D">
        <w:t>Similar arguments have been made in the context of regenerative medicines and cell therapies.</w:t>
      </w:r>
      <w:r w:rsidR="00CB2733">
        <w:fldChar w:fldCharType="begin">
          <w:fldData xml:space="preserve">PEVuZE5vdGU+PENpdGU+PEF1dGhvcj5IZXR0bGU8L0F1dGhvcj48WWVhcj4yMDE3PC9ZZWFyPjxS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</w:fldData>
        </w:fldChar>
      </w:r>
      <w:r w:rsidR="004D5B2B">
        <w:instrText xml:space="preserve"> ADDIN EN.CITE </w:instrText>
      </w:r>
      <w:r w:rsidR="004D5B2B">
        <w:fldChar w:fldCharType="begin">
          <w:fldData xml:space="preserve">PEVuZE5vdGU+PENpdGU+PEF1dGhvcj5IZXR0bGU8L0F1dGhvcj48WWVhcj4yMDE3PC9ZZWFyPjxS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</w:fldData>
        </w:fldChar>
      </w:r>
      <w:r w:rsidR="004D5B2B">
        <w:instrText xml:space="preserve"> ADDIN EN.CITE.DATA </w:instrText>
      </w:r>
      <w:r w:rsidR="004D5B2B">
        <w:fldChar w:fldCharType="end"/>
      </w:r>
      <w:r w:rsidR="00CB2733">
        <w:fldChar w:fldCharType="separate"/>
      </w:r>
      <w:r w:rsidR="004D5B2B" w:rsidRPr="004D5B2B">
        <w:rPr>
          <w:noProof/>
          <w:vertAlign w:val="superscript"/>
        </w:rPr>
        <w:t>192</w:t>
      </w:r>
      <w:r w:rsidR="00CB2733">
        <w:fldChar w:fldCharType="end"/>
      </w:r>
      <w:r w:rsidR="00E6622D">
        <w:t xml:space="preserve"> As part of their ongoing methods review NICE should consider whether the types of metrics presented in this report should be routinely requested within company submissions. </w:t>
      </w:r>
    </w:p>
    <w:p w14:paraId="69616F35" w14:textId="0ECD3FFE" w:rsidR="00846DC7" w:rsidRPr="00846DC7" w:rsidRDefault="00846DC7" w:rsidP="003070AE">
      <w:pPr>
        <w:pStyle w:val="Heading2"/>
      </w:pPr>
      <w:bookmarkStart w:id="286" w:name="_Toc33776248"/>
      <w:r w:rsidRPr="00846DC7">
        <w:t>P</w:t>
      </w:r>
      <w:r>
        <w:t>riorities for future methodological research</w:t>
      </w:r>
      <w:bookmarkEnd w:id="286"/>
    </w:p>
    <w:p w14:paraId="6D952D24" w14:textId="77777777" w:rsidR="008C4DCF" w:rsidRDefault="008C4DCF" w:rsidP="008C4DCF">
      <w:bookmarkStart w:id="287" w:name="_Hlk33425695"/>
      <w:r>
        <w:t>Methods were suggested that allowed for potential sources of heterogeneity of effect across tumour type or other patient characteristics to be accounted for, whilst still allowing some degree of borrowing of strength when estimating treatment effectiveness. However, estimation of the level of heterogeneity can be poor when evidence is sparse. Approaches for considering external evidence and expert opinion to construct an informative prior distribution for the heterogeneity parameter, may be an area for further research.</w:t>
      </w:r>
    </w:p>
    <w:p w14:paraId="0EF1A6D5" w14:textId="77777777" w:rsidR="008C4DCF" w:rsidRDefault="008C4DCF" w:rsidP="008C4DCF">
      <w:r>
        <w:t>Even if the heterogeneity parameter can be well estimated, it is unclear what degree of borrowing should be allowed when there is evidence of a high or very high level of heterogeneity. In particular, the implications of borrowing strength across treatment effects in the presence of very high heterogeneity and consequences for uncertainty in decision making should be researched.</w:t>
      </w:r>
    </w:p>
    <w:p w14:paraId="600FDEAE" w14:textId="3A6DE73E" w:rsidR="008C4DCF" w:rsidRDefault="008C4DCF" w:rsidP="008C4DCF">
      <w:r>
        <w:t>So far, methods such as the BHM which allow borrowing of information have mainly been applied to response endpoints. Their extension to time-to-event endpoints and potential for adjustment for known prognostic factors and other confounders would be an interesting area for further research.</w:t>
      </w:r>
      <w:r w:rsidR="00E45CD8">
        <w:t xml:space="preserve"> In </w:t>
      </w:r>
      <w:r w:rsidR="00E45CD8">
        <w:lastRenderedPageBreak/>
        <w:t>addition, further research should also consider the application of BHM approaches to surrogate relationships to determine the validity of borrowing across different subgroups and drug classes.</w:t>
      </w:r>
    </w:p>
    <w:p w14:paraId="254D17FB" w14:textId="3873A193" w:rsidR="00E45CD8" w:rsidRDefault="00E45CD8" w:rsidP="008C4DCF">
      <w:r>
        <w:t xml:space="preserve">Given the increasing use of </w:t>
      </w:r>
      <w:r w:rsidRPr="00E45CD8">
        <w:t>uncontrolled Phase II studies</w:t>
      </w:r>
      <w:r>
        <w:t xml:space="preserve"> </w:t>
      </w:r>
      <w:r w:rsidR="00713F05">
        <w:t xml:space="preserve">to support initial regulatory approval based on surrogate endpoints, </w:t>
      </w:r>
      <w:r>
        <w:t xml:space="preserve">further methodological research </w:t>
      </w:r>
      <w:r w:rsidR="00713F05">
        <w:t xml:space="preserve">is required to determine the basis for selecting between alternative surrogate endpoints for HTA assesments and specifically the appriate basis for selecting specific landmark response and survival time points. </w:t>
      </w:r>
    </w:p>
    <w:p w14:paraId="097C14B1" w14:textId="23BCD5F3" w:rsidR="008C4DCF" w:rsidRDefault="00E45CD8" w:rsidP="008C4DCF">
      <w:r>
        <w:t xml:space="preserve">Given the importance of testing costs as a source of heterogeneity and the lack of a clear concensus on the appropriate basis for apportioning costs between multiple current and future targets, </w:t>
      </w:r>
      <w:r w:rsidR="008C4DCF" w:rsidRPr="008C4DCF">
        <w:t xml:space="preserve">further methodological research </w:t>
      </w:r>
      <w:r>
        <w:t xml:space="preserve">should more fully </w:t>
      </w:r>
      <w:r w:rsidR="00713F05">
        <w:t>establish</w:t>
      </w:r>
      <w:r>
        <w:t xml:space="preserve"> how </w:t>
      </w:r>
      <w:r w:rsidR="008C4DCF" w:rsidRPr="008C4DCF">
        <w:t>these costs</w:t>
      </w:r>
      <w:r>
        <w:t xml:space="preserve"> should be appropriately included in future NICE appraisals.</w:t>
      </w:r>
    </w:p>
    <w:bookmarkEnd w:id="287"/>
    <w:p w14:paraId="44CF38A0" w14:textId="0A8A51AB" w:rsidR="005F28AE" w:rsidRPr="002D1DD7" w:rsidRDefault="005F28AE" w:rsidP="00CC7021">
      <w:r w:rsidRPr="002D1DD7">
        <w:br w:type="page"/>
      </w:r>
    </w:p>
    <w:p w14:paraId="3D70367C" w14:textId="1E051A00" w:rsidR="00BA3354" w:rsidRPr="002D1DD7" w:rsidRDefault="00C37DEF" w:rsidP="004B3D14">
      <w:pPr>
        <w:pStyle w:val="Heading1"/>
      </w:pPr>
      <w:bookmarkStart w:id="288" w:name="_Toc33776249"/>
      <w:r w:rsidRPr="002D1DD7">
        <w:lastRenderedPageBreak/>
        <w:t>References</w:t>
      </w:r>
      <w:bookmarkEnd w:id="285"/>
      <w:bookmarkEnd w:id="288"/>
    </w:p>
    <w:bookmarkStart w:id="289" w:name="OLE_LINK1"/>
    <w:p w14:paraId="229444DF" w14:textId="2819765F" w:rsidR="00500BB3" w:rsidRPr="00500BB3" w:rsidRDefault="005F28AE" w:rsidP="00500BB3">
      <w:pPr>
        <w:pStyle w:val="EndNoteBibliography"/>
        <w:spacing w:after="0"/>
      </w:pPr>
      <w:r w:rsidRPr="002D1DD7">
        <w:rPr>
          <w:noProof w:val="0"/>
          <w:sz w:val="24"/>
          <w:szCs w:val="24"/>
          <w:lang w:val="en-GB"/>
        </w:rPr>
        <w:fldChar w:fldCharType="begin"/>
      </w:r>
      <w:r w:rsidRPr="002D1DD7">
        <w:rPr>
          <w:noProof w:val="0"/>
          <w:sz w:val="24"/>
          <w:szCs w:val="24"/>
          <w:lang w:val="en-GB"/>
        </w:rPr>
        <w:instrText xml:space="preserve"> ADDIN EN.REFLIST </w:instrText>
      </w:r>
      <w:r w:rsidRPr="002D1DD7">
        <w:rPr>
          <w:noProof w:val="0"/>
          <w:sz w:val="24"/>
          <w:szCs w:val="24"/>
          <w:lang w:val="en-GB"/>
        </w:rPr>
        <w:fldChar w:fldCharType="separate"/>
      </w:r>
      <w:r w:rsidR="00500BB3" w:rsidRPr="00500BB3">
        <w:t xml:space="preserve">1. U.S. Department of Health and Human Services. Food and Drug Administration. Center for Drug Evaluation and Research. Approval Package for application number 125514Orig1s014. Trade Name: Keytruda. Generic or Proper name: pembrolizumab In. Rockville, Maryland, United States; 2017. Available from: </w:t>
      </w:r>
      <w:hyperlink r:id="rId27" w:history="1">
        <w:r w:rsidR="00500BB3" w:rsidRPr="00500BB3">
          <w:rPr>
            <w:rStyle w:val="Hyperlink"/>
          </w:rPr>
          <w:t>https://www.accessdata.fda.gov/drugsatfda_docs/nda/2019/125514Orig1s014.pdf</w:t>
        </w:r>
      </w:hyperlink>
    </w:p>
    <w:p w14:paraId="00DB19EA" w14:textId="04B775DE" w:rsidR="00500BB3" w:rsidRPr="00500BB3" w:rsidRDefault="00500BB3" w:rsidP="00500BB3">
      <w:pPr>
        <w:pStyle w:val="EndNoteBibliography"/>
        <w:spacing w:after="0"/>
      </w:pPr>
      <w:r w:rsidRPr="00500BB3">
        <w:t xml:space="preserve">2. European Medicines Agency. </w:t>
      </w:r>
      <w:r w:rsidRPr="00500BB3">
        <w:rPr>
          <w:i/>
        </w:rPr>
        <w:t>Assessment report: VITRAKVI. International non-proprietary name: larotrectinib</w:t>
      </w:r>
      <w:r w:rsidRPr="00500BB3">
        <w:t xml:space="preserve">: EMA; 2019. Available from: </w:t>
      </w:r>
      <w:hyperlink r:id="rId28" w:history="1">
        <w:r w:rsidRPr="00500BB3">
          <w:rPr>
            <w:rStyle w:val="Hyperlink"/>
          </w:rPr>
          <w:t>https://www.ema.europa.eu/en/documents/assessment-report/vitrakvi-epar-public-assessment-report_en.pdf</w:t>
        </w:r>
      </w:hyperlink>
    </w:p>
    <w:p w14:paraId="76E5A92C" w14:textId="77777777" w:rsidR="00500BB3" w:rsidRPr="00500BB3" w:rsidRDefault="00500BB3" w:rsidP="00500BB3">
      <w:pPr>
        <w:pStyle w:val="EndNoteBibliography"/>
        <w:spacing w:after="0"/>
      </w:pPr>
      <w:r w:rsidRPr="00500BB3">
        <w:t xml:space="preserve">3. Drilon A, Laetsch TW, Kummar S, DuBois SG, Lassen UN, Demetri GD, et al. Efficacy of larotrectinib in TRK fusion-positive cancers in adults and children. </w:t>
      </w:r>
      <w:r w:rsidRPr="00500BB3">
        <w:rPr>
          <w:i/>
        </w:rPr>
        <w:t>N Engl J Med</w:t>
      </w:r>
      <w:r w:rsidRPr="00500BB3">
        <w:t xml:space="preserve"> 2018;378:731-39. </w:t>
      </w:r>
    </w:p>
    <w:p w14:paraId="57D357E0" w14:textId="1DC41A89" w:rsidR="00500BB3" w:rsidRPr="00500BB3" w:rsidRDefault="00500BB3" w:rsidP="00500BB3">
      <w:pPr>
        <w:pStyle w:val="EndNoteBibliography"/>
        <w:spacing w:after="0"/>
      </w:pPr>
      <w:r w:rsidRPr="00500BB3">
        <w:t xml:space="preserve">4. National Institute for Health and Care Excellence (NICE). </w:t>
      </w:r>
      <w:r w:rsidRPr="00500BB3">
        <w:rPr>
          <w:i/>
        </w:rPr>
        <w:t>Guide to the methods of technology appraisal</w:t>
      </w:r>
      <w:r w:rsidRPr="00500BB3">
        <w:t xml:space="preserve">. London: NICE; 2013. Available from: </w:t>
      </w:r>
      <w:hyperlink r:id="rId29" w:history="1">
        <w:r w:rsidRPr="00500BB3">
          <w:rPr>
            <w:rStyle w:val="Hyperlink"/>
          </w:rPr>
          <w:t>https://www.nice.org.uk/process/pmg9/chapter/foreword</w:t>
        </w:r>
      </w:hyperlink>
    </w:p>
    <w:p w14:paraId="3946D1F5" w14:textId="4BA35A86" w:rsidR="00500BB3" w:rsidRPr="00500BB3" w:rsidRDefault="00500BB3" w:rsidP="00500BB3">
      <w:pPr>
        <w:pStyle w:val="EndNoteBibliography"/>
        <w:spacing w:after="0"/>
      </w:pPr>
      <w:r w:rsidRPr="00500BB3">
        <w:t xml:space="preserve">5. U.S. Department of Health and Human Services. Food and Drug Administration, Center for Drug Evaluation and Research (CDER), Center for Biologics Evaluation and Research (CBER). </w:t>
      </w:r>
      <w:r w:rsidRPr="00500BB3">
        <w:rPr>
          <w:i/>
        </w:rPr>
        <w:t>Developing Targeted Therapies in Low-Frequency Molecular Subsets of a Disease. Guidance for Industry</w:t>
      </w:r>
      <w:r w:rsidRPr="00500BB3">
        <w:t xml:space="preserve">. Silver Spring, MD, USA: FDA; 2018. Available from: </w:t>
      </w:r>
      <w:hyperlink r:id="rId30" w:history="1">
        <w:r w:rsidRPr="00500BB3">
          <w:rPr>
            <w:rStyle w:val="Hyperlink"/>
          </w:rPr>
          <w:t>https://www.fda.gov/media/117173/download</w:t>
        </w:r>
      </w:hyperlink>
    </w:p>
    <w:p w14:paraId="46E9D5CC" w14:textId="7E2F3EBD" w:rsidR="00500BB3" w:rsidRPr="00500BB3" w:rsidRDefault="00500BB3" w:rsidP="00500BB3">
      <w:pPr>
        <w:pStyle w:val="EndNoteBibliography"/>
        <w:spacing w:after="0"/>
      </w:pPr>
      <w:r w:rsidRPr="00500BB3">
        <w:t xml:space="preserve">6. U.S. Department of Health and Human Services. Food and Drug Administration, Center for Drug Evaluation and Research (CDER), Center for Biologics Evaluation and Research (CBER) OCoEO. Master Protocols: Efficient Clinical Trial Design Strategies to Expedite Development of Oncology Drugs and Biologics. Guidance for Industry. In. Silver Spring, MD, USA; 2018. Available from: </w:t>
      </w:r>
      <w:hyperlink r:id="rId31" w:history="1">
        <w:r w:rsidRPr="00500BB3">
          <w:rPr>
            <w:rStyle w:val="Hyperlink"/>
          </w:rPr>
          <w:t>https://www.fdanews.com/ext/resources/files/2018/2/09-28-18-Masterprotocols.pdf?1538162468</w:t>
        </w:r>
      </w:hyperlink>
    </w:p>
    <w:p w14:paraId="240636BB" w14:textId="77777777" w:rsidR="00500BB3" w:rsidRPr="00500BB3" w:rsidRDefault="00500BB3" w:rsidP="00500BB3">
      <w:pPr>
        <w:pStyle w:val="EndNoteBibliography"/>
        <w:spacing w:after="0"/>
      </w:pPr>
      <w:r w:rsidRPr="00500BB3">
        <w:t xml:space="preserve">7. Simon R. Optimal two-stage designs for phase II clinical trials. </w:t>
      </w:r>
      <w:r w:rsidRPr="00500BB3">
        <w:rPr>
          <w:i/>
        </w:rPr>
        <w:t>Control Clin Trials</w:t>
      </w:r>
      <w:r w:rsidRPr="00500BB3">
        <w:t xml:space="preserve"> 1989;10:1-10. </w:t>
      </w:r>
    </w:p>
    <w:p w14:paraId="3DD2F23D" w14:textId="5ADE2357" w:rsidR="00500BB3" w:rsidRPr="00500BB3" w:rsidRDefault="00500BB3" w:rsidP="00500BB3">
      <w:pPr>
        <w:pStyle w:val="EndNoteBibliography"/>
        <w:spacing w:after="0"/>
      </w:pPr>
      <w:r w:rsidRPr="00500BB3">
        <w:t xml:space="preserve">8. U.S. Department of Health and Human Services. Food and Drug Administration, Center for Drug Evaluation and Research (CDER), Center for Biologics Evaluation and Research (CBER). Guidance for Industry Expedited Programs for Serious Conditions – Drugs and Biologics. In. Silver Spring, MD, USA; 2014. Available from: </w:t>
      </w:r>
      <w:hyperlink r:id="rId32" w:history="1">
        <w:r w:rsidRPr="00500BB3">
          <w:rPr>
            <w:rStyle w:val="Hyperlink"/>
          </w:rPr>
          <w:t>https://www.fda.gov/files/drugs/published/Expedited-Programs-for-Serious-Conditions-Drugs-and-Biologics.pdf</w:t>
        </w:r>
      </w:hyperlink>
    </w:p>
    <w:p w14:paraId="56A385A9" w14:textId="197921EC" w:rsidR="00500BB3" w:rsidRPr="00500BB3" w:rsidRDefault="00500BB3" w:rsidP="00500BB3">
      <w:pPr>
        <w:pStyle w:val="EndNoteBibliography"/>
        <w:spacing w:after="0"/>
      </w:pPr>
      <w:r w:rsidRPr="00500BB3">
        <w:t>9. U.S. Department of Health and Human Services. Food and Drug Administration.</w:t>
      </w:r>
      <w:r w:rsidRPr="00500BB3">
        <w:rPr>
          <w:i/>
        </w:rPr>
        <w:t xml:space="preserve"> Drug Approval Package: Vitrakvi (larotrectinib)</w:t>
      </w:r>
      <w:r w:rsidRPr="00500BB3">
        <w:t xml:space="preserve">. FDA; 2018. [cited 2020 17th January]. Available from: </w:t>
      </w:r>
      <w:hyperlink r:id="rId33" w:history="1">
        <w:r w:rsidRPr="00500BB3">
          <w:rPr>
            <w:rStyle w:val="Hyperlink"/>
          </w:rPr>
          <w:t>https://www.accessdata.fda.gov/drugsatfda_docs/nda/2018/210861Orig1s000_21171Orig1s000TOC.cfm</w:t>
        </w:r>
      </w:hyperlink>
      <w:r w:rsidRPr="00500BB3">
        <w:t xml:space="preserve">. </w:t>
      </w:r>
    </w:p>
    <w:p w14:paraId="70CEC9EC" w14:textId="63CAB2AC" w:rsidR="00500BB3" w:rsidRPr="00500BB3" w:rsidRDefault="00500BB3" w:rsidP="00500BB3">
      <w:pPr>
        <w:pStyle w:val="EndNoteBibliography"/>
        <w:spacing w:after="0"/>
      </w:pPr>
      <w:r w:rsidRPr="00500BB3">
        <w:t xml:space="preserve">10. U.S. Department of Health and Human Services. Food and Drug Administration. Center for Drug Evaluation and Research. </w:t>
      </w:r>
      <w:r w:rsidRPr="00500BB3">
        <w:rPr>
          <w:i/>
        </w:rPr>
        <w:t>Approval Package for application number 212725Orig1s000, 212726Orig1s000. Trade Name: ROZLYTREK® capsules, 100mg and 200 mg (entrectinib)</w:t>
      </w:r>
      <w:r w:rsidRPr="00500BB3">
        <w:t xml:space="preserve">. Rockville, Maryland, United States; 2019. Available from: </w:t>
      </w:r>
      <w:hyperlink r:id="rId34" w:history="1">
        <w:r w:rsidRPr="00500BB3">
          <w:rPr>
            <w:rStyle w:val="Hyperlink"/>
          </w:rPr>
          <w:t>https://www.accessdata.fda.gov/drugsatfda_docs/nda/2019/212725Orig1s000,%20212726Orig1s000Approv.pdf</w:t>
        </w:r>
      </w:hyperlink>
    </w:p>
    <w:p w14:paraId="5B62F92D" w14:textId="77777777" w:rsidR="00500BB3" w:rsidRPr="00500BB3" w:rsidRDefault="00500BB3" w:rsidP="00500BB3">
      <w:pPr>
        <w:pStyle w:val="EndNoteBibliography"/>
        <w:spacing w:after="0"/>
      </w:pPr>
      <w:r w:rsidRPr="00500BB3">
        <w:t xml:space="preserve">11. Kim C, Prasad V. Strength of validation for surrogate end points used in the US Food and Drug Administration's approval of oncology drugs. </w:t>
      </w:r>
      <w:r w:rsidRPr="00500BB3">
        <w:rPr>
          <w:i/>
        </w:rPr>
        <w:t>Mayo Clin Proc</w:t>
      </w:r>
      <w:r w:rsidRPr="00500BB3">
        <w:t xml:space="preserve"> 2016;91:713-25. </w:t>
      </w:r>
    </w:p>
    <w:p w14:paraId="76E44171" w14:textId="79ED3143" w:rsidR="00500BB3" w:rsidRPr="00500BB3" w:rsidRDefault="00500BB3" w:rsidP="00500BB3">
      <w:pPr>
        <w:pStyle w:val="EndNoteBibliography"/>
        <w:spacing w:after="0"/>
      </w:pPr>
      <w:r w:rsidRPr="00500BB3">
        <w:t>12. European Medicines Agency.</w:t>
      </w:r>
      <w:r w:rsidRPr="00500BB3">
        <w:rPr>
          <w:i/>
        </w:rPr>
        <w:t xml:space="preserve"> Workshop on site and histology - Independent indications in oncology</w:t>
      </w:r>
      <w:r w:rsidRPr="00500BB3">
        <w:t xml:space="preserve">. EMA; 2017. [cited 2020 17th January]. Available from: </w:t>
      </w:r>
      <w:hyperlink r:id="rId35" w:history="1">
        <w:r w:rsidRPr="00500BB3">
          <w:rPr>
            <w:rStyle w:val="Hyperlink"/>
          </w:rPr>
          <w:t>https://www.ema.europa.eu/en/events/workshop-site-histology-independent-indications-oncology</w:t>
        </w:r>
      </w:hyperlink>
      <w:r w:rsidRPr="00500BB3">
        <w:t xml:space="preserve">. </w:t>
      </w:r>
    </w:p>
    <w:p w14:paraId="34AB8670" w14:textId="0BF1AC32" w:rsidR="00500BB3" w:rsidRPr="00500BB3" w:rsidRDefault="00500BB3" w:rsidP="00500BB3">
      <w:pPr>
        <w:pStyle w:val="EndNoteBibliography"/>
        <w:spacing w:after="0"/>
      </w:pPr>
      <w:r w:rsidRPr="00500BB3">
        <w:t>13. European Medicines Agency.</w:t>
      </w:r>
      <w:r w:rsidRPr="00500BB3">
        <w:rPr>
          <w:i/>
        </w:rPr>
        <w:t xml:space="preserve"> Workshop on single-arm trials in oncology</w:t>
      </w:r>
      <w:r w:rsidRPr="00500BB3">
        <w:t xml:space="preserve">. EMA; 2016. [cited 2020 17th January]. Available from: </w:t>
      </w:r>
      <w:hyperlink r:id="rId36" w:history="1">
        <w:r w:rsidRPr="00500BB3">
          <w:rPr>
            <w:rStyle w:val="Hyperlink"/>
          </w:rPr>
          <w:t>https://www.ema.europa.eu/en/events/workshop-single-arm-trials-oncology</w:t>
        </w:r>
      </w:hyperlink>
      <w:r w:rsidRPr="00500BB3">
        <w:t xml:space="preserve">. </w:t>
      </w:r>
    </w:p>
    <w:p w14:paraId="56DA891F" w14:textId="52498C60" w:rsidR="00500BB3" w:rsidRPr="00500BB3" w:rsidRDefault="00500BB3" w:rsidP="00500BB3">
      <w:pPr>
        <w:pStyle w:val="EndNoteBibliography"/>
        <w:spacing w:after="0"/>
      </w:pPr>
      <w:r w:rsidRPr="00500BB3">
        <w:lastRenderedPageBreak/>
        <w:t xml:space="preserve">14. European Medicines Agency. </w:t>
      </w:r>
      <w:r w:rsidRPr="00500BB3">
        <w:rPr>
          <w:i/>
        </w:rPr>
        <w:t>Guideline on the evaluation of anticancer medicinal products in man</w:t>
      </w:r>
      <w:r w:rsidRPr="00500BB3">
        <w:t xml:space="preserve">: EMA; 2017. Available from: </w:t>
      </w:r>
      <w:hyperlink r:id="rId37" w:history="1">
        <w:r w:rsidRPr="00500BB3">
          <w:rPr>
            <w:rStyle w:val="Hyperlink"/>
          </w:rPr>
          <w:t>https://www.ema.europa.eu/en/documents/scientific-guideline/guideline-evaluation-anticancer-medicinal-products-man-revision-5_en.pdf</w:t>
        </w:r>
      </w:hyperlink>
    </w:p>
    <w:p w14:paraId="397D8E80" w14:textId="471009A1" w:rsidR="00500BB3" w:rsidRPr="00500BB3" w:rsidRDefault="00500BB3" w:rsidP="00500BB3">
      <w:pPr>
        <w:pStyle w:val="EndNoteBibliography"/>
        <w:spacing w:after="0"/>
      </w:pPr>
      <w:r w:rsidRPr="00500BB3">
        <w:t xml:space="preserve">15. European Medicines Agency. </w:t>
      </w:r>
      <w:r w:rsidRPr="00500BB3">
        <w:rPr>
          <w:i/>
        </w:rPr>
        <w:t>Concept paper on the revision of the guideline on the evaluation of anticancer medicinal products in man</w:t>
      </w:r>
      <w:r w:rsidRPr="00500BB3">
        <w:t xml:space="preserve">: EMA; 2018. Available from: </w:t>
      </w:r>
      <w:hyperlink r:id="rId38" w:history="1">
        <w:r w:rsidRPr="00500BB3">
          <w:rPr>
            <w:rStyle w:val="Hyperlink"/>
          </w:rPr>
          <w:t>https://www.ema.europa.eu/en/documents/scientific-guideline/concept-paper-revision-guideline-evaluation-anticancer-medicinal-products-man_en.pdf</w:t>
        </w:r>
      </w:hyperlink>
    </w:p>
    <w:p w14:paraId="45172127" w14:textId="77777777" w:rsidR="00500BB3" w:rsidRPr="00500BB3" w:rsidRDefault="00500BB3" w:rsidP="00500BB3">
      <w:pPr>
        <w:pStyle w:val="EndNoteBibliography"/>
        <w:spacing w:after="0"/>
      </w:pPr>
      <w:r w:rsidRPr="00500BB3">
        <w:t xml:space="preserve">16. Gehan EA. The determination of the number of patients required in a preliminary and a follow-up trial of a new chemotherapeutic agent. </w:t>
      </w:r>
      <w:r w:rsidRPr="00500BB3">
        <w:rPr>
          <w:i/>
        </w:rPr>
        <w:t>J Chronic Dis</w:t>
      </w:r>
      <w:r w:rsidRPr="00500BB3">
        <w:t xml:space="preserve"> 1961;13:346-53. </w:t>
      </w:r>
    </w:p>
    <w:p w14:paraId="29A42792" w14:textId="77777777" w:rsidR="00500BB3" w:rsidRPr="00500BB3" w:rsidRDefault="00500BB3" w:rsidP="00500BB3">
      <w:pPr>
        <w:pStyle w:val="EndNoteBibliography"/>
        <w:spacing w:after="0"/>
      </w:pPr>
      <w:r w:rsidRPr="00500BB3">
        <w:t xml:space="preserve">17. Fleming TR. One-sample multiple testing procedure for Phase II clinical trials. </w:t>
      </w:r>
      <w:r w:rsidRPr="00500BB3">
        <w:rPr>
          <w:i/>
        </w:rPr>
        <w:t>Biometrics</w:t>
      </w:r>
      <w:r w:rsidRPr="00500BB3">
        <w:t xml:space="preserve"> 1982;38:143-51. </w:t>
      </w:r>
    </w:p>
    <w:p w14:paraId="09DBED61" w14:textId="77777777" w:rsidR="00500BB3" w:rsidRPr="00500BB3" w:rsidRDefault="00500BB3" w:rsidP="00500BB3">
      <w:pPr>
        <w:pStyle w:val="EndNoteBibliography"/>
        <w:spacing w:after="0"/>
      </w:pPr>
      <w:r w:rsidRPr="00500BB3">
        <w:t xml:space="preserve">18. Lin Y, Shih WJ. Adaptive two-stage designs for single-arm phase iia cancer clinical trials. </w:t>
      </w:r>
      <w:r w:rsidRPr="00500BB3">
        <w:rPr>
          <w:i/>
        </w:rPr>
        <w:t>Biometrics</w:t>
      </w:r>
      <w:r w:rsidRPr="00500BB3">
        <w:t xml:space="preserve"> 2004;60:482-90. </w:t>
      </w:r>
    </w:p>
    <w:p w14:paraId="6C8FCB2D" w14:textId="77777777" w:rsidR="00500BB3" w:rsidRPr="00500BB3" w:rsidRDefault="00500BB3" w:rsidP="00500BB3">
      <w:pPr>
        <w:pStyle w:val="EndNoteBibliography"/>
        <w:spacing w:after="0"/>
      </w:pPr>
      <w:r w:rsidRPr="00500BB3">
        <w:t xml:space="preserve">19. Herson J. Predictive probability early termination plans for Phase II clinical trials. </w:t>
      </w:r>
      <w:r w:rsidRPr="00500BB3">
        <w:rPr>
          <w:i/>
        </w:rPr>
        <w:t>Biometrics</w:t>
      </w:r>
      <w:r w:rsidRPr="00500BB3">
        <w:t xml:space="preserve"> 1979;35:775-83. </w:t>
      </w:r>
    </w:p>
    <w:p w14:paraId="2196ACC9" w14:textId="77777777" w:rsidR="00500BB3" w:rsidRPr="00500BB3" w:rsidRDefault="00500BB3" w:rsidP="00500BB3">
      <w:pPr>
        <w:pStyle w:val="EndNoteBibliography"/>
        <w:spacing w:after="0"/>
      </w:pPr>
      <w:r w:rsidRPr="00500BB3">
        <w:t xml:space="preserve">20. Thall PF, Simon R. Practical Bayesian guidelines for Phase IIB Clinical Trials. </w:t>
      </w:r>
      <w:r w:rsidRPr="00500BB3">
        <w:rPr>
          <w:i/>
        </w:rPr>
        <w:t>Biometrics</w:t>
      </w:r>
      <w:r w:rsidRPr="00500BB3">
        <w:t xml:space="preserve"> 1994;50:337-49. </w:t>
      </w:r>
    </w:p>
    <w:p w14:paraId="488748C0" w14:textId="77777777" w:rsidR="00500BB3" w:rsidRPr="00500BB3" w:rsidRDefault="00500BB3" w:rsidP="00500BB3">
      <w:pPr>
        <w:pStyle w:val="EndNoteBibliography"/>
        <w:spacing w:after="0"/>
      </w:pPr>
      <w:r w:rsidRPr="00500BB3">
        <w:t xml:space="preserve">21. Heitjan DF. Bayesian interim analysis of phase II cancer clinical trials. </w:t>
      </w:r>
      <w:r w:rsidRPr="00500BB3">
        <w:rPr>
          <w:i/>
        </w:rPr>
        <w:t>Stat Med</w:t>
      </w:r>
      <w:r w:rsidRPr="00500BB3">
        <w:t xml:space="preserve"> 1997;16:1791-802. </w:t>
      </w:r>
    </w:p>
    <w:p w14:paraId="78E68ED1" w14:textId="77777777" w:rsidR="00500BB3" w:rsidRPr="00500BB3" w:rsidRDefault="00500BB3" w:rsidP="00500BB3">
      <w:pPr>
        <w:pStyle w:val="EndNoteBibliography"/>
        <w:spacing w:after="0"/>
      </w:pPr>
      <w:r w:rsidRPr="00500BB3">
        <w:t xml:space="preserve">22. Tan S-B, Machin D. Bayesian two-stage designs for phase II clinical trials. </w:t>
      </w:r>
      <w:r w:rsidRPr="00500BB3">
        <w:rPr>
          <w:i/>
        </w:rPr>
        <w:t>Stat Med</w:t>
      </w:r>
      <w:r w:rsidRPr="00500BB3">
        <w:t xml:space="preserve"> 2002;21:1991-2012. </w:t>
      </w:r>
    </w:p>
    <w:p w14:paraId="20EE914C" w14:textId="77777777" w:rsidR="00500BB3" w:rsidRPr="00500BB3" w:rsidRDefault="00500BB3" w:rsidP="00500BB3">
      <w:pPr>
        <w:pStyle w:val="EndNoteBibliography"/>
        <w:spacing w:after="0"/>
      </w:pPr>
      <w:r w:rsidRPr="00500BB3">
        <w:t xml:space="preserve">23. Blagden SP, Billingham L, Brown LC, Buckland SW, Cooper AM, Ellis S, et al. Effective delivery of Complex Innovative Design (CID) cancer trials—A consensus statement. </w:t>
      </w:r>
      <w:r w:rsidRPr="00500BB3">
        <w:rPr>
          <w:i/>
        </w:rPr>
        <w:t>Br J Cancer</w:t>
      </w:r>
      <w:r w:rsidRPr="00500BB3">
        <w:t xml:space="preserve"> 2020. </w:t>
      </w:r>
    </w:p>
    <w:p w14:paraId="4A134856" w14:textId="77777777" w:rsidR="00500BB3" w:rsidRPr="00500BB3" w:rsidRDefault="00500BB3" w:rsidP="00500BB3">
      <w:pPr>
        <w:pStyle w:val="EndNoteBibliography"/>
        <w:spacing w:after="0"/>
      </w:pPr>
      <w:r w:rsidRPr="00500BB3">
        <w:t xml:space="preserve">24. Redig AJ, Pasi AJ. Basket trials and the evolution of clinical trial design in an era of genomic medicine. </w:t>
      </w:r>
      <w:r w:rsidRPr="00500BB3">
        <w:rPr>
          <w:i/>
        </w:rPr>
        <w:t>J Clin Oncol</w:t>
      </w:r>
      <w:r w:rsidRPr="00500BB3">
        <w:t xml:space="preserve"> 2015;33:975-77. </w:t>
      </w:r>
    </w:p>
    <w:p w14:paraId="3AB526B1" w14:textId="77777777" w:rsidR="00500BB3" w:rsidRPr="00500BB3" w:rsidRDefault="00500BB3" w:rsidP="00500BB3">
      <w:pPr>
        <w:pStyle w:val="EndNoteBibliography"/>
        <w:spacing w:after="0"/>
      </w:pPr>
      <w:r w:rsidRPr="00500BB3">
        <w:t xml:space="preserve">25. Renfro LA, Sargent DJ. Statistical controversies in clinical research: basket trials, umbrella trials, and other master protocols: a review and examples. </w:t>
      </w:r>
      <w:r w:rsidRPr="00500BB3">
        <w:rPr>
          <w:i/>
        </w:rPr>
        <w:t>Ann Oncol</w:t>
      </w:r>
      <w:r w:rsidRPr="00500BB3">
        <w:t xml:space="preserve"> 2017;28:34-43. </w:t>
      </w:r>
    </w:p>
    <w:p w14:paraId="0198195B" w14:textId="77777777" w:rsidR="00500BB3" w:rsidRPr="00500BB3" w:rsidRDefault="00500BB3" w:rsidP="00500BB3">
      <w:pPr>
        <w:pStyle w:val="EndNoteBibliography"/>
        <w:spacing w:after="0"/>
      </w:pPr>
      <w:r w:rsidRPr="00500BB3">
        <w:t xml:space="preserve">26. Hyman DM, Taylor BS, Baselga J. Implementing genome-driven oncology. </w:t>
      </w:r>
      <w:r w:rsidRPr="00500BB3">
        <w:rPr>
          <w:i/>
        </w:rPr>
        <w:t>Cell</w:t>
      </w:r>
      <w:r w:rsidRPr="00500BB3">
        <w:t xml:space="preserve"> 2017;168:584-99. </w:t>
      </w:r>
    </w:p>
    <w:p w14:paraId="3182B2E7" w14:textId="77777777" w:rsidR="00500BB3" w:rsidRPr="00500BB3" w:rsidRDefault="00500BB3" w:rsidP="00500BB3">
      <w:pPr>
        <w:pStyle w:val="EndNoteBibliography"/>
        <w:spacing w:after="0"/>
      </w:pPr>
      <w:r w:rsidRPr="00500BB3">
        <w:t xml:space="preserve">27. Renfro LA, Mandrekar SJ. Definitions and statistical properties of master protocols for personalized medicine in oncology. </w:t>
      </w:r>
      <w:r w:rsidRPr="00500BB3">
        <w:rPr>
          <w:i/>
        </w:rPr>
        <w:t>J Biopharm Stat</w:t>
      </w:r>
      <w:r w:rsidRPr="00500BB3">
        <w:t xml:space="preserve"> 2018;28:217-28. </w:t>
      </w:r>
    </w:p>
    <w:p w14:paraId="3150AA34" w14:textId="77777777" w:rsidR="00500BB3" w:rsidRPr="00500BB3" w:rsidRDefault="00500BB3" w:rsidP="00500BB3">
      <w:pPr>
        <w:pStyle w:val="EndNoteBibliography"/>
        <w:spacing w:after="0"/>
      </w:pPr>
      <w:r w:rsidRPr="00500BB3">
        <w:t xml:space="preserve">28. Simon R. New designs for basket clinical trials in oncology. </w:t>
      </w:r>
      <w:r w:rsidRPr="00500BB3">
        <w:rPr>
          <w:i/>
        </w:rPr>
        <w:t>J Biopharm Stat</w:t>
      </w:r>
      <w:r w:rsidRPr="00500BB3">
        <w:t xml:space="preserve"> 2018;28:245-55. </w:t>
      </w:r>
    </w:p>
    <w:p w14:paraId="71400866" w14:textId="77777777" w:rsidR="00500BB3" w:rsidRPr="00500BB3" w:rsidRDefault="00500BB3" w:rsidP="00500BB3">
      <w:pPr>
        <w:pStyle w:val="EndNoteBibliography"/>
        <w:spacing w:after="0"/>
      </w:pPr>
      <w:r w:rsidRPr="00500BB3">
        <w:t xml:space="preserve">29. Lopez-Chavez A, Thomas A, Rajan A, Raffeld M, Morrow B, Kelly R, et al. Molecular profiling and targeted therapy for advanced thoracic malignancies: A biomarker-derived, multiarm, multihistology Phase II basket trial. </w:t>
      </w:r>
      <w:r w:rsidRPr="00500BB3">
        <w:rPr>
          <w:i/>
        </w:rPr>
        <w:t>J Clin Oncol</w:t>
      </w:r>
      <w:r w:rsidRPr="00500BB3">
        <w:t xml:space="preserve"> 2015;33:1000-07. </w:t>
      </w:r>
    </w:p>
    <w:p w14:paraId="7980E7D9" w14:textId="77777777" w:rsidR="00500BB3" w:rsidRPr="00500BB3" w:rsidRDefault="00500BB3" w:rsidP="00500BB3">
      <w:pPr>
        <w:pStyle w:val="EndNoteBibliography"/>
        <w:spacing w:after="0"/>
      </w:pPr>
      <w:r w:rsidRPr="00500BB3">
        <w:t xml:space="preserve">30. Hyman DM, Puzanov I, Subbiah V, Faris JE, Chau I, Blay J-Y, et al. Vemurafenib in multiple nonmelanoma cancers with BRAF V600 mutations. </w:t>
      </w:r>
      <w:r w:rsidRPr="00500BB3">
        <w:rPr>
          <w:i/>
        </w:rPr>
        <w:t>N Engl J Med</w:t>
      </w:r>
      <w:r w:rsidRPr="00500BB3">
        <w:t xml:space="preserve"> 2015;373:726-36. </w:t>
      </w:r>
    </w:p>
    <w:p w14:paraId="1A5601E6" w14:textId="77777777" w:rsidR="00500BB3" w:rsidRPr="00500BB3" w:rsidRDefault="00500BB3" w:rsidP="00500BB3">
      <w:pPr>
        <w:pStyle w:val="EndNoteBibliography"/>
        <w:spacing w:after="0"/>
      </w:pPr>
      <w:r w:rsidRPr="00354FCE">
        <w:rPr>
          <w:lang w:val="fr-FR"/>
        </w:rPr>
        <w:t xml:space="preserve">31. Le Tourneau C, Delord J-P, Gonçalves A, Gavoille C, Dubot C, Isambert N, et al. </w:t>
      </w:r>
      <w:r w:rsidRPr="00500BB3">
        <w:t xml:space="preserve">Molecularly targeted therapy based on tumour molecular profiling versus conventional therapy for advanced cancer (SHIVA): a multicentre, open-label, proof-of-concept, randomised, controlled phase 2 trial. </w:t>
      </w:r>
      <w:r w:rsidRPr="00500BB3">
        <w:rPr>
          <w:i/>
        </w:rPr>
        <w:t>The Lancet Oncology</w:t>
      </w:r>
      <w:r w:rsidRPr="00500BB3">
        <w:t xml:space="preserve"> 2015;16:1324-34. </w:t>
      </w:r>
    </w:p>
    <w:p w14:paraId="11F69BBF" w14:textId="77777777" w:rsidR="00500BB3" w:rsidRPr="00500BB3" w:rsidRDefault="00500BB3" w:rsidP="00500BB3">
      <w:pPr>
        <w:pStyle w:val="EndNoteBibliography"/>
        <w:spacing w:after="0"/>
      </w:pPr>
      <w:r w:rsidRPr="00500BB3">
        <w:t xml:space="preserve">32. Beckman RA, Antonijevic Z, Kalamegham R, Chen C. Adaptive design for a confirmatory basket trial in multiple tumor types based on a putative predictive biomarker. </w:t>
      </w:r>
      <w:r w:rsidRPr="00500BB3">
        <w:rPr>
          <w:i/>
        </w:rPr>
        <w:t>Clin Pharmacol Ther</w:t>
      </w:r>
      <w:r w:rsidRPr="00500BB3">
        <w:t xml:space="preserve"> 2016;100:617-25. </w:t>
      </w:r>
    </w:p>
    <w:p w14:paraId="6B8B0B88" w14:textId="77777777" w:rsidR="00500BB3" w:rsidRPr="00500BB3" w:rsidRDefault="00500BB3" w:rsidP="00500BB3">
      <w:pPr>
        <w:pStyle w:val="EndNoteBibliography"/>
        <w:spacing w:after="0"/>
      </w:pPr>
      <w:r w:rsidRPr="00500BB3">
        <w:lastRenderedPageBreak/>
        <w:t xml:space="preserve">33. Antonijevic Z, Beckman R, editors. </w:t>
      </w:r>
      <w:r w:rsidRPr="00500BB3">
        <w:rPr>
          <w:i/>
        </w:rPr>
        <w:t>Platform trial designs in drug development: Umbrella trials and basket trials</w:t>
      </w:r>
      <w:r w:rsidRPr="00500BB3">
        <w:t xml:space="preserve">. Boca Raton: CRD Press, 2019. </w:t>
      </w:r>
    </w:p>
    <w:p w14:paraId="4D92A02F" w14:textId="77777777" w:rsidR="00500BB3" w:rsidRPr="00500BB3" w:rsidRDefault="00500BB3" w:rsidP="00500BB3">
      <w:pPr>
        <w:pStyle w:val="EndNoteBibliography"/>
        <w:spacing w:after="0"/>
      </w:pPr>
      <w:r w:rsidRPr="00500BB3">
        <w:t xml:space="preserve">34. Freidlin B, Korn EL. Borrowing information across subgroups in Phase II trials: Is it useful? </w:t>
      </w:r>
      <w:r w:rsidRPr="00500BB3">
        <w:rPr>
          <w:i/>
        </w:rPr>
        <w:t>Clin Cancer Res</w:t>
      </w:r>
      <w:r w:rsidRPr="00500BB3">
        <w:t xml:space="preserve"> 2013;19:1326-34. </w:t>
      </w:r>
    </w:p>
    <w:p w14:paraId="6BF4A886" w14:textId="77777777" w:rsidR="00500BB3" w:rsidRPr="00500BB3" w:rsidRDefault="00500BB3" w:rsidP="00500BB3">
      <w:pPr>
        <w:pStyle w:val="EndNoteBibliography"/>
        <w:spacing w:after="0"/>
      </w:pPr>
      <w:r w:rsidRPr="00500BB3">
        <w:t xml:space="preserve">35. Simon R. Critical review of umbrella, basket, and platform designs for oncology clinical trials. </w:t>
      </w:r>
      <w:r w:rsidRPr="00500BB3">
        <w:rPr>
          <w:i/>
        </w:rPr>
        <w:t>Clin Pharmacol Ther</w:t>
      </w:r>
      <w:r w:rsidRPr="00500BB3">
        <w:t xml:space="preserve"> 2017;102:934-41. </w:t>
      </w:r>
    </w:p>
    <w:p w14:paraId="6A793EAF" w14:textId="77777777" w:rsidR="00500BB3" w:rsidRPr="00500BB3" w:rsidRDefault="00500BB3" w:rsidP="00500BB3">
      <w:pPr>
        <w:pStyle w:val="EndNoteBibliography"/>
        <w:spacing w:after="0"/>
      </w:pPr>
      <w:r w:rsidRPr="00500BB3">
        <w:t xml:space="preserve">36. Simon RM. Primary site idependent clinical trials in oncology. In: Antonijevic Z, Beckman R, editors. </w:t>
      </w:r>
      <w:r w:rsidRPr="00500BB3">
        <w:rPr>
          <w:i/>
        </w:rPr>
        <w:t>Platform trials in drug development: Umbrella trials and basket trials</w:t>
      </w:r>
      <w:r w:rsidRPr="00500BB3">
        <w:t xml:space="preserve">. Boca Raton: CRC Press; 2019. p. 167-80. </w:t>
      </w:r>
    </w:p>
    <w:p w14:paraId="559A6A95" w14:textId="77777777" w:rsidR="00500BB3" w:rsidRPr="00500BB3" w:rsidRDefault="00500BB3" w:rsidP="00500BB3">
      <w:pPr>
        <w:pStyle w:val="EndNoteBibliography"/>
        <w:spacing w:after="0"/>
      </w:pPr>
      <w:r w:rsidRPr="00500BB3">
        <w:t xml:space="preserve">37. London WB, Chang MN. One- and two-stage designs for stratified phase II clinical trials. </w:t>
      </w:r>
      <w:r w:rsidRPr="00500BB3">
        <w:rPr>
          <w:i/>
        </w:rPr>
        <w:t>Stat Med</w:t>
      </w:r>
      <w:r w:rsidRPr="00500BB3">
        <w:t xml:space="preserve"> 2005;24:2597-611. </w:t>
      </w:r>
    </w:p>
    <w:p w14:paraId="7BEA317A" w14:textId="77777777" w:rsidR="00500BB3" w:rsidRPr="00500BB3" w:rsidRDefault="00500BB3" w:rsidP="00500BB3">
      <w:pPr>
        <w:pStyle w:val="EndNoteBibliography"/>
        <w:spacing w:after="0"/>
      </w:pPr>
      <w:r w:rsidRPr="00500BB3">
        <w:t xml:space="preserve">38. LeBlanc M, Rankin C, Crowley J. Multiple histology Phase II trials. </w:t>
      </w:r>
      <w:r w:rsidRPr="00500BB3">
        <w:rPr>
          <w:i/>
        </w:rPr>
        <w:t>Clin Cancer Res</w:t>
      </w:r>
      <w:r w:rsidRPr="00500BB3">
        <w:t xml:space="preserve"> 2009;15:4256-62. </w:t>
      </w:r>
    </w:p>
    <w:p w14:paraId="1126156C" w14:textId="77777777" w:rsidR="00500BB3" w:rsidRPr="00500BB3" w:rsidRDefault="00500BB3" w:rsidP="00500BB3">
      <w:pPr>
        <w:pStyle w:val="EndNoteBibliography"/>
        <w:spacing w:after="0"/>
      </w:pPr>
      <w:r w:rsidRPr="00500BB3">
        <w:t xml:space="preserve">39. Jung S-H, Chang MN, Kang SJ. Phase II cancer clinical trials with heterogeneous patient populations. </w:t>
      </w:r>
      <w:r w:rsidRPr="00500BB3">
        <w:rPr>
          <w:i/>
        </w:rPr>
        <w:t>J Biopharm Stat</w:t>
      </w:r>
      <w:r w:rsidRPr="00500BB3">
        <w:t xml:space="preserve"> 2012;22:312-28. </w:t>
      </w:r>
    </w:p>
    <w:p w14:paraId="7D20F438" w14:textId="77777777" w:rsidR="00500BB3" w:rsidRPr="00500BB3" w:rsidRDefault="00500BB3" w:rsidP="00500BB3">
      <w:pPr>
        <w:pStyle w:val="EndNoteBibliography"/>
        <w:spacing w:after="0"/>
      </w:pPr>
      <w:r w:rsidRPr="00500BB3">
        <w:t xml:space="preserve">40. Cunanan KM, Iasonos A, Shen R, Begg CB, Gönen M. An efficient basket trial design. </w:t>
      </w:r>
      <w:r w:rsidRPr="00500BB3">
        <w:rPr>
          <w:i/>
        </w:rPr>
        <w:t>Stat Med</w:t>
      </w:r>
      <w:r w:rsidRPr="00500BB3">
        <w:t xml:space="preserve"> 2017;36:1568-79. </w:t>
      </w:r>
    </w:p>
    <w:p w14:paraId="2B2D9ABC" w14:textId="77777777" w:rsidR="00500BB3" w:rsidRPr="00500BB3" w:rsidRDefault="00500BB3" w:rsidP="00500BB3">
      <w:pPr>
        <w:pStyle w:val="EndNoteBibliography"/>
        <w:spacing w:after="0"/>
      </w:pPr>
      <w:r w:rsidRPr="00500BB3">
        <w:t xml:space="preserve">41. Simon R, Geyer S, Subramanian J, Roychowdhury S. The Bayesian basket design for genomic variant-driven phase II trials. </w:t>
      </w:r>
      <w:r w:rsidRPr="00500BB3">
        <w:rPr>
          <w:i/>
        </w:rPr>
        <w:t>Semin Oncol</w:t>
      </w:r>
      <w:r w:rsidRPr="00500BB3">
        <w:t xml:space="preserve"> 2016;43:13-18. </w:t>
      </w:r>
    </w:p>
    <w:p w14:paraId="032CF8A1" w14:textId="77777777" w:rsidR="00500BB3" w:rsidRPr="00500BB3" w:rsidRDefault="00500BB3" w:rsidP="00500BB3">
      <w:pPr>
        <w:pStyle w:val="EndNoteBibliography"/>
        <w:spacing w:after="0"/>
      </w:pPr>
      <w:r w:rsidRPr="00500BB3">
        <w:t xml:space="preserve">42. Palmer AC, Plana D, Sorger PK. Comparing the efficacy of cancer therapies between subgroups in basket trials. </w:t>
      </w:r>
      <w:r w:rsidRPr="00500BB3">
        <w:rPr>
          <w:i/>
        </w:rPr>
        <w:t>bioRxiv</w:t>
      </w:r>
      <w:r w:rsidRPr="00500BB3">
        <w:t xml:space="preserve"> 2018:401620. </w:t>
      </w:r>
    </w:p>
    <w:p w14:paraId="662042A3" w14:textId="77777777" w:rsidR="00500BB3" w:rsidRPr="00500BB3" w:rsidRDefault="00500BB3" w:rsidP="00500BB3">
      <w:pPr>
        <w:pStyle w:val="EndNoteBibliography"/>
        <w:spacing w:after="0"/>
      </w:pPr>
      <w:r w:rsidRPr="00500BB3">
        <w:t xml:space="preserve">43. Spiegelhalter DJ, Abrams KR, Myles J. </w:t>
      </w:r>
      <w:r w:rsidRPr="00500BB3">
        <w:rPr>
          <w:i/>
        </w:rPr>
        <w:t>Bayesian approaches to clinical trials and Health-Care Evaluation</w:t>
      </w:r>
      <w:r w:rsidRPr="00500BB3">
        <w:t xml:space="preserve">. New York: Wiley; 2004. </w:t>
      </w:r>
    </w:p>
    <w:p w14:paraId="4278B67C" w14:textId="77777777" w:rsidR="00500BB3" w:rsidRPr="00500BB3" w:rsidRDefault="00500BB3" w:rsidP="00500BB3">
      <w:pPr>
        <w:pStyle w:val="EndNoteBibliography"/>
        <w:spacing w:after="0"/>
      </w:pPr>
      <w:r w:rsidRPr="00500BB3">
        <w:t xml:space="preserve">44. Thall PF, Wathen JK, Bekele BN, Champlin RE, Baker LH, Benjamin RS. Hierarchical Bayesian approaches to phase II trials in diseases with multiple subtypes. </w:t>
      </w:r>
      <w:r w:rsidRPr="00500BB3">
        <w:rPr>
          <w:i/>
        </w:rPr>
        <w:t>Stat Med</w:t>
      </w:r>
      <w:r w:rsidRPr="00500BB3">
        <w:t xml:space="preserve"> 2003;22:763-80. </w:t>
      </w:r>
    </w:p>
    <w:p w14:paraId="6615FE9B" w14:textId="77777777" w:rsidR="00500BB3" w:rsidRPr="00500BB3" w:rsidRDefault="00500BB3" w:rsidP="00500BB3">
      <w:pPr>
        <w:pStyle w:val="EndNoteBibliography"/>
        <w:spacing w:after="0"/>
      </w:pPr>
      <w:r w:rsidRPr="00500BB3">
        <w:t xml:space="preserve">45. Thall PF, Sung H-G. Some extensions and applications of a Bayesian strategy for monitoring multiple outcomes in clinical trials. </w:t>
      </w:r>
      <w:r w:rsidRPr="00500BB3">
        <w:rPr>
          <w:i/>
        </w:rPr>
        <w:t>Stat Med</w:t>
      </w:r>
      <w:r w:rsidRPr="00500BB3">
        <w:t xml:space="preserve"> 1998;17:1563-80. </w:t>
      </w:r>
    </w:p>
    <w:p w14:paraId="3CA0743D" w14:textId="1364E973" w:rsidR="00500BB3" w:rsidRPr="00500BB3" w:rsidRDefault="00500BB3" w:rsidP="00500BB3">
      <w:pPr>
        <w:pStyle w:val="EndNoteBibliography"/>
        <w:spacing w:after="0"/>
      </w:pPr>
      <w:r w:rsidRPr="00500BB3">
        <w:t xml:space="preserve">46. Chugh R, Wathen JK, Maki RG, Benjamin RS, Patel SR, Myers PA, et al. Phase II multicenter trial of imatinib in 10 histologic subtypes of sarcoma using a Bayesian hierarchical statistical model. 2009;27:3148-53. Available from: </w:t>
      </w:r>
      <w:hyperlink r:id="rId39" w:history="1">
        <w:r w:rsidRPr="00500BB3">
          <w:rPr>
            <w:rStyle w:val="Hyperlink"/>
          </w:rPr>
          <w:t>https://ascopubs.org/doi/abs/10.1200/JCO.2008.20.5054</w:t>
        </w:r>
      </w:hyperlink>
    </w:p>
    <w:p w14:paraId="0E33F0FF" w14:textId="77777777" w:rsidR="00500BB3" w:rsidRPr="00500BB3" w:rsidRDefault="00500BB3" w:rsidP="00500BB3">
      <w:pPr>
        <w:pStyle w:val="EndNoteBibliography"/>
        <w:spacing w:after="0"/>
      </w:pPr>
      <w:r w:rsidRPr="00500BB3">
        <w:t xml:space="preserve">47. Berry SM, Broglio KR, Groshen S, Berry DA. Bayesian hierarchical modeling of patient subpopulations: Efficient designs of Phase II oncology clinical trials. </w:t>
      </w:r>
      <w:r w:rsidRPr="00500BB3">
        <w:rPr>
          <w:i/>
        </w:rPr>
        <w:t>Clin Trial</w:t>
      </w:r>
      <w:r w:rsidRPr="00500BB3">
        <w:t xml:space="preserve"> 2013;10:720-34. </w:t>
      </w:r>
    </w:p>
    <w:p w14:paraId="55B013BE" w14:textId="77777777" w:rsidR="00500BB3" w:rsidRPr="00500BB3" w:rsidRDefault="00500BB3" w:rsidP="00500BB3">
      <w:pPr>
        <w:pStyle w:val="EndNoteBibliography"/>
        <w:spacing w:after="0"/>
      </w:pPr>
      <w:r w:rsidRPr="00500BB3">
        <w:t xml:space="preserve">48. Liu R, Liu Z, Ghadessi M, Vonk R. Increasing the efficiency of oncology basket trials using a Bayesian approach. </w:t>
      </w:r>
      <w:r w:rsidRPr="00500BB3">
        <w:rPr>
          <w:i/>
        </w:rPr>
        <w:t>Contemp Clin Trials</w:t>
      </w:r>
      <w:r w:rsidRPr="00500BB3">
        <w:t xml:space="preserve"> 2017;63:67-72. </w:t>
      </w:r>
    </w:p>
    <w:p w14:paraId="1051A60D" w14:textId="77777777" w:rsidR="00500BB3" w:rsidRPr="00500BB3" w:rsidRDefault="00500BB3" w:rsidP="00500BB3">
      <w:pPr>
        <w:pStyle w:val="EndNoteBibliography"/>
        <w:spacing w:after="0"/>
      </w:pPr>
      <w:r w:rsidRPr="00500BB3">
        <w:t xml:space="preserve">49. Neuenschwander B, Wandel S, Roychoudhury S, Bailey S. Robust exchangeability designs for early phase clinical trials with multiple strata. </w:t>
      </w:r>
      <w:r w:rsidRPr="00500BB3">
        <w:rPr>
          <w:i/>
        </w:rPr>
        <w:t>Pharm Stat</w:t>
      </w:r>
      <w:r w:rsidRPr="00500BB3">
        <w:t xml:space="preserve"> 2016;15:123-34. </w:t>
      </w:r>
    </w:p>
    <w:p w14:paraId="2BA68851" w14:textId="77777777" w:rsidR="00500BB3" w:rsidRPr="00500BB3" w:rsidRDefault="00500BB3" w:rsidP="00500BB3">
      <w:pPr>
        <w:pStyle w:val="EndNoteBibliography"/>
        <w:spacing w:after="0"/>
      </w:pPr>
      <w:r w:rsidRPr="00500BB3">
        <w:t xml:space="preserve">50. Cunanan KM, Iasonos A, Shen R, Gönen M. Variance prior specification for a basket trial design using Bayesian hierarchical modeling. </w:t>
      </w:r>
      <w:r w:rsidRPr="00500BB3">
        <w:rPr>
          <w:i/>
        </w:rPr>
        <w:t>Clin Trial</w:t>
      </w:r>
      <w:r w:rsidRPr="00500BB3">
        <w:t xml:space="preserve"> 2019;16:142-53. </w:t>
      </w:r>
    </w:p>
    <w:p w14:paraId="4ACC9028" w14:textId="77777777" w:rsidR="00500BB3" w:rsidRPr="00500BB3" w:rsidRDefault="00500BB3" w:rsidP="00500BB3">
      <w:pPr>
        <w:pStyle w:val="EndNoteBibliography"/>
        <w:spacing w:after="0"/>
      </w:pPr>
      <w:r w:rsidRPr="00500BB3">
        <w:t xml:space="preserve">51. Leon-Novelo LG, Bekele BN, Müller P, Quintana F, Wathen K. Borrowing strength with nonexchangeable priors over subpopulations. </w:t>
      </w:r>
      <w:r w:rsidRPr="00500BB3">
        <w:rPr>
          <w:i/>
        </w:rPr>
        <w:t>Biometrics</w:t>
      </w:r>
      <w:r w:rsidRPr="00500BB3">
        <w:t xml:space="preserve"> 2012;68:550-58. </w:t>
      </w:r>
    </w:p>
    <w:p w14:paraId="6E32B335" w14:textId="77777777" w:rsidR="00500BB3" w:rsidRPr="00500BB3" w:rsidRDefault="00500BB3" w:rsidP="00500BB3">
      <w:pPr>
        <w:pStyle w:val="EndNoteBibliography"/>
        <w:spacing w:after="0"/>
      </w:pPr>
      <w:r w:rsidRPr="00500BB3">
        <w:t xml:space="preserve">52. Chu Y, Yuan Y. BLAST: Bayesian latent subgroup design for basket trials accounting for patient heterogeneity. </w:t>
      </w:r>
      <w:r w:rsidRPr="00500BB3">
        <w:rPr>
          <w:i/>
        </w:rPr>
        <w:t>J R Stat Soc Ser C Appl Stat</w:t>
      </w:r>
      <w:r w:rsidRPr="00500BB3">
        <w:t xml:space="preserve"> 2018;67:723-40. </w:t>
      </w:r>
    </w:p>
    <w:p w14:paraId="64B9D6BE" w14:textId="77777777" w:rsidR="00500BB3" w:rsidRPr="00500BB3" w:rsidRDefault="00500BB3" w:rsidP="00500BB3">
      <w:pPr>
        <w:pStyle w:val="EndNoteBibliography"/>
        <w:spacing w:after="0"/>
      </w:pPr>
      <w:r w:rsidRPr="00500BB3">
        <w:t xml:space="preserve">53. Chu Y, Yuan Y. A Bayesian basket trial design using a calibrated Bayesian hierarchical model. </w:t>
      </w:r>
      <w:r w:rsidRPr="00500BB3">
        <w:rPr>
          <w:i/>
        </w:rPr>
        <w:t>Clin Trial</w:t>
      </w:r>
      <w:r w:rsidRPr="00500BB3">
        <w:t xml:space="preserve"> 2018;15:149-58. </w:t>
      </w:r>
    </w:p>
    <w:p w14:paraId="3C50576E" w14:textId="77777777" w:rsidR="00500BB3" w:rsidRPr="00500BB3" w:rsidRDefault="00500BB3" w:rsidP="00500BB3">
      <w:pPr>
        <w:pStyle w:val="EndNoteBibliography"/>
        <w:spacing w:after="0"/>
      </w:pPr>
      <w:r w:rsidRPr="00500BB3">
        <w:lastRenderedPageBreak/>
        <w:t xml:space="preserve">54. Fujikawa K, Teramukai S, Yokota I, Daimon T. A Bayesian basket trial design that borrows information across strata based on the similarity between the posterior distributions of the response probability. </w:t>
      </w:r>
      <w:r w:rsidRPr="00500BB3">
        <w:rPr>
          <w:i/>
        </w:rPr>
        <w:t>Biometrical J</w:t>
      </w:r>
      <w:r w:rsidRPr="00500BB3">
        <w:t xml:space="preserve"> 2019. </w:t>
      </w:r>
    </w:p>
    <w:p w14:paraId="6475D1FF" w14:textId="77777777" w:rsidR="00500BB3" w:rsidRPr="00500BB3" w:rsidRDefault="00500BB3" w:rsidP="00500BB3">
      <w:pPr>
        <w:pStyle w:val="EndNoteBibliography"/>
        <w:spacing w:after="0"/>
      </w:pPr>
      <w:r w:rsidRPr="00500BB3">
        <w:t xml:space="preserve">55. Hobbs BP, Landin R. Bayesian basket trial design with exchangeability monitoring. </w:t>
      </w:r>
      <w:r w:rsidRPr="00500BB3">
        <w:rPr>
          <w:i/>
        </w:rPr>
        <w:t>Stat Med</w:t>
      </w:r>
      <w:r w:rsidRPr="00500BB3">
        <w:t xml:space="preserve"> 2018;37:3557-72. </w:t>
      </w:r>
    </w:p>
    <w:p w14:paraId="710CCB32" w14:textId="77777777" w:rsidR="00500BB3" w:rsidRPr="00354FCE" w:rsidRDefault="00500BB3" w:rsidP="00500BB3">
      <w:pPr>
        <w:pStyle w:val="EndNoteBibliography"/>
        <w:spacing w:after="0"/>
        <w:rPr>
          <w:lang w:val="it-IT"/>
        </w:rPr>
      </w:pPr>
      <w:r w:rsidRPr="00500BB3">
        <w:t xml:space="preserve">56. Flaherty KT, Puzanov I, Kim KB, Ribas A, McArthur GA, Sosman JA, et al. Inhibition of mutated, activated BRAF in metastatic melanoma. </w:t>
      </w:r>
      <w:r w:rsidRPr="00354FCE">
        <w:rPr>
          <w:i/>
          <w:lang w:val="it-IT"/>
        </w:rPr>
        <w:t>N Engl J Med</w:t>
      </w:r>
      <w:r w:rsidRPr="00354FCE">
        <w:rPr>
          <w:lang w:val="it-IT"/>
        </w:rPr>
        <w:t xml:space="preserve"> 2010;363:809-19. </w:t>
      </w:r>
    </w:p>
    <w:p w14:paraId="25143D84" w14:textId="77777777" w:rsidR="00500BB3" w:rsidRPr="00500BB3" w:rsidRDefault="00500BB3" w:rsidP="00500BB3">
      <w:pPr>
        <w:pStyle w:val="EndNoteBibliography"/>
        <w:spacing w:after="0"/>
      </w:pPr>
      <w:r w:rsidRPr="00354FCE">
        <w:rPr>
          <w:lang w:val="it-IT"/>
        </w:rPr>
        <w:t xml:space="preserve">57. Prahallad A, Sun C, Huang S, Di Nicolantonio F, Salazar R, Zecchin D, et al. </w:t>
      </w:r>
      <w:r w:rsidRPr="00500BB3">
        <w:t xml:space="preserve">Unresponsiveness of colon cancer to BRAF(V600E) inhibition through feedback activation of EGFR. </w:t>
      </w:r>
      <w:r w:rsidRPr="00500BB3">
        <w:rPr>
          <w:i/>
        </w:rPr>
        <w:t>Nature</w:t>
      </w:r>
      <w:r w:rsidRPr="00500BB3">
        <w:t xml:space="preserve"> 2012;483:100-03. </w:t>
      </w:r>
    </w:p>
    <w:p w14:paraId="42B821D7" w14:textId="77777777" w:rsidR="00500BB3" w:rsidRPr="00500BB3" w:rsidRDefault="00500BB3" w:rsidP="00500BB3">
      <w:pPr>
        <w:pStyle w:val="EndNoteBibliography"/>
        <w:spacing w:after="0"/>
      </w:pPr>
      <w:r w:rsidRPr="00500BB3">
        <w:t xml:space="preserve">58. Heinrich MC, Joensuu H, Demetri GD, Corless CL, Apperley J, Fletcher JA, et al. Phase II, open-label study evaluating the activity of imatinib in treating life-threatening malignancies known to be associated with imatinib-sensitive tyrosine kinases. </w:t>
      </w:r>
      <w:r w:rsidRPr="00500BB3">
        <w:rPr>
          <w:i/>
        </w:rPr>
        <w:t>Clin Cancer Res</w:t>
      </w:r>
      <w:r w:rsidRPr="00500BB3">
        <w:t xml:space="preserve"> 2008;14:2717-25. </w:t>
      </w:r>
    </w:p>
    <w:p w14:paraId="1F2A32E3" w14:textId="77777777" w:rsidR="00500BB3" w:rsidRPr="00500BB3" w:rsidRDefault="00500BB3" w:rsidP="00500BB3">
      <w:pPr>
        <w:pStyle w:val="EndNoteBibliography"/>
        <w:spacing w:after="0"/>
      </w:pPr>
      <w:r w:rsidRPr="00500BB3">
        <w:t xml:space="preserve">59. Hudis CA. Trastuzumab — mechanism of action and use in clinical practice. </w:t>
      </w:r>
      <w:r w:rsidRPr="00500BB3">
        <w:rPr>
          <w:i/>
        </w:rPr>
        <w:t>N Engl J Med</w:t>
      </w:r>
      <w:r w:rsidRPr="00500BB3">
        <w:t xml:space="preserve"> 2007;357:39-51. </w:t>
      </w:r>
    </w:p>
    <w:p w14:paraId="364B8FBF" w14:textId="77777777" w:rsidR="00500BB3" w:rsidRPr="00500BB3" w:rsidRDefault="00500BB3" w:rsidP="00500BB3">
      <w:pPr>
        <w:pStyle w:val="EndNoteBibliography"/>
        <w:spacing w:after="0"/>
      </w:pPr>
      <w:r w:rsidRPr="00500BB3">
        <w:t xml:space="preserve">60. Fleming GF, Sill MW, Darcy KM, McMeekin DS, Thigpen JT, Adler LM, et al. Phase II trial of trastuzumab in women with advanced or recurrent, HER2-positive endometrial carcinoma: A Gynecologic Oncology Group study. </w:t>
      </w:r>
      <w:r w:rsidRPr="00500BB3">
        <w:rPr>
          <w:i/>
        </w:rPr>
        <w:t>Gynecol Oncol</w:t>
      </w:r>
      <w:r w:rsidRPr="00500BB3">
        <w:t xml:space="preserve"> 2010;116:15-20. </w:t>
      </w:r>
    </w:p>
    <w:p w14:paraId="03831993" w14:textId="77777777" w:rsidR="00500BB3" w:rsidRPr="00500BB3" w:rsidRDefault="00500BB3" w:rsidP="00500BB3">
      <w:pPr>
        <w:pStyle w:val="EndNoteBibliography"/>
        <w:spacing w:after="0"/>
      </w:pPr>
      <w:r w:rsidRPr="00500BB3">
        <w:t xml:space="preserve">61. Gatzemeier U, Groth G, Butts C, Van Zandwijk N, Shepherd F, Ardizzoni A, et al. Randomized phase II trial of gemcitabine–cisplatin with or without trastuzumab in HER2-positive non-small-cell lung cancer. </w:t>
      </w:r>
      <w:r w:rsidRPr="00500BB3">
        <w:rPr>
          <w:i/>
        </w:rPr>
        <w:t>Ann Oncol</w:t>
      </w:r>
      <w:r w:rsidRPr="00500BB3">
        <w:t xml:space="preserve"> 2004;15:19-27. </w:t>
      </w:r>
    </w:p>
    <w:p w14:paraId="5083DFA5" w14:textId="77777777" w:rsidR="00500BB3" w:rsidRPr="00500BB3" w:rsidRDefault="00500BB3" w:rsidP="00500BB3">
      <w:pPr>
        <w:pStyle w:val="EndNoteBibliography"/>
        <w:spacing w:after="0"/>
      </w:pPr>
      <w:r w:rsidRPr="00500BB3">
        <w:t xml:space="preserve">62. Fleming TR, Powers JH. Biomarkers and surrogate endpoints in clinical trials. </w:t>
      </w:r>
      <w:r w:rsidRPr="00500BB3">
        <w:rPr>
          <w:i/>
        </w:rPr>
        <w:t>Stat Med</w:t>
      </w:r>
      <w:r w:rsidRPr="00500BB3">
        <w:t xml:space="preserve"> 2012;31:2973-84. </w:t>
      </w:r>
    </w:p>
    <w:p w14:paraId="0484843E" w14:textId="77777777" w:rsidR="00500BB3" w:rsidRPr="00500BB3" w:rsidRDefault="00500BB3" w:rsidP="00500BB3">
      <w:pPr>
        <w:pStyle w:val="EndNoteBibliography"/>
        <w:spacing w:after="0"/>
      </w:pPr>
      <w:r w:rsidRPr="00500BB3">
        <w:t xml:space="preserve">63. Taylor RS, Elston J. The use of surrogate outcomes in model-based cost-effectiveness analyses: a survey of UK Health Technology Assessment reports. </w:t>
      </w:r>
      <w:r w:rsidRPr="00500BB3">
        <w:rPr>
          <w:i/>
        </w:rPr>
        <w:t>Health Technol Assess</w:t>
      </w:r>
      <w:r w:rsidRPr="00500BB3">
        <w:t xml:space="preserve"> 2009;13:1-72. </w:t>
      </w:r>
    </w:p>
    <w:p w14:paraId="658A8107" w14:textId="77777777" w:rsidR="00500BB3" w:rsidRPr="00500BB3" w:rsidRDefault="00500BB3" w:rsidP="00500BB3">
      <w:pPr>
        <w:pStyle w:val="EndNoteBibliography"/>
        <w:spacing w:after="0"/>
      </w:pPr>
      <w:r w:rsidRPr="00500BB3">
        <w:t xml:space="preserve">64. Fleming TR, DeMets DL. Surrogate end points in clinical trials: are we being misled? </w:t>
      </w:r>
      <w:r w:rsidRPr="00500BB3">
        <w:rPr>
          <w:i/>
        </w:rPr>
        <w:t>Annals of Internal Medicine</w:t>
      </w:r>
      <w:r w:rsidRPr="00500BB3">
        <w:t xml:space="preserve"> 1996;125:605-13. </w:t>
      </w:r>
    </w:p>
    <w:p w14:paraId="3B1163B6" w14:textId="77777777" w:rsidR="00500BB3" w:rsidRPr="00500BB3" w:rsidRDefault="00500BB3" w:rsidP="00500BB3">
      <w:pPr>
        <w:pStyle w:val="EndNoteBibliography"/>
        <w:spacing w:after="0"/>
      </w:pPr>
      <w:r w:rsidRPr="00500BB3">
        <w:t xml:space="preserve">65. Prentice RL. Surrogate endpoints in clinical trials: definition and operational criteria. </w:t>
      </w:r>
      <w:r w:rsidRPr="00500BB3">
        <w:rPr>
          <w:i/>
        </w:rPr>
        <w:t>Stat Med</w:t>
      </w:r>
      <w:r w:rsidRPr="00500BB3">
        <w:t xml:space="preserve"> 1989;8:431-40. </w:t>
      </w:r>
    </w:p>
    <w:p w14:paraId="7F7A035F" w14:textId="77777777" w:rsidR="00500BB3" w:rsidRPr="00500BB3" w:rsidRDefault="00500BB3" w:rsidP="00500BB3">
      <w:pPr>
        <w:pStyle w:val="EndNoteBibliography"/>
        <w:spacing w:after="0"/>
      </w:pPr>
      <w:r w:rsidRPr="00500BB3">
        <w:t xml:space="preserve">66. Buyse M, Molenberghs G, Burzykowski T, Renard D, Geys H. The validation of surrogate endpoints in meta-analyses of randomized experiments. </w:t>
      </w:r>
      <w:r w:rsidRPr="00500BB3">
        <w:rPr>
          <w:i/>
        </w:rPr>
        <w:t>Biostatistics</w:t>
      </w:r>
      <w:r w:rsidRPr="00500BB3">
        <w:t xml:space="preserve"> 2000;1:49-67. </w:t>
      </w:r>
    </w:p>
    <w:p w14:paraId="7199652C" w14:textId="77777777" w:rsidR="00500BB3" w:rsidRPr="00500BB3" w:rsidRDefault="00500BB3" w:rsidP="00500BB3">
      <w:pPr>
        <w:pStyle w:val="EndNoteBibliography"/>
        <w:spacing w:after="0"/>
      </w:pPr>
      <w:r w:rsidRPr="00500BB3">
        <w:t xml:space="preserve">67. Heller G. Statistical controversies in clinical research: an initial evaluation of a surrogate end point using a single randomized clinical trial and the Prentice criteria. </w:t>
      </w:r>
      <w:r w:rsidRPr="00500BB3">
        <w:rPr>
          <w:i/>
        </w:rPr>
        <w:t>Ann Oncol</w:t>
      </w:r>
      <w:r w:rsidRPr="00500BB3">
        <w:t xml:space="preserve"> 2015;26:2012-16. </w:t>
      </w:r>
    </w:p>
    <w:p w14:paraId="21627AA0" w14:textId="77777777" w:rsidR="00500BB3" w:rsidRPr="00500BB3" w:rsidRDefault="00500BB3" w:rsidP="00500BB3">
      <w:pPr>
        <w:pStyle w:val="EndNoteBibliography"/>
        <w:spacing w:after="0"/>
      </w:pPr>
      <w:r w:rsidRPr="00500BB3">
        <w:t xml:space="preserve">68. Biomarkers Definitions Working Group. Biomarkers and surrogate endpoints: preferred definitions and conceptual framework. </w:t>
      </w:r>
      <w:r w:rsidRPr="00500BB3">
        <w:rPr>
          <w:i/>
        </w:rPr>
        <w:t>Clin Pharmacol Ther</w:t>
      </w:r>
      <w:r w:rsidRPr="00500BB3">
        <w:t xml:space="preserve"> 2001;69:89-95. </w:t>
      </w:r>
    </w:p>
    <w:p w14:paraId="1D01952F" w14:textId="77777777" w:rsidR="00500BB3" w:rsidRPr="00500BB3" w:rsidRDefault="00500BB3" w:rsidP="00500BB3">
      <w:pPr>
        <w:pStyle w:val="EndNoteBibliography"/>
        <w:spacing w:after="0"/>
      </w:pPr>
      <w:r w:rsidRPr="00500BB3">
        <w:t xml:space="preserve">69. Bucher HC, Guyatt GH, Cook DJ, Holbrook A, McAlister FA. Users’ guides to the medical literature: XIX. Applying clinical trial results. A. How to use an article measuring the effect of an intervention on surrogate end points. </w:t>
      </w:r>
      <w:r w:rsidRPr="00500BB3">
        <w:rPr>
          <w:i/>
        </w:rPr>
        <w:t>JAMA</w:t>
      </w:r>
      <w:r w:rsidRPr="00500BB3">
        <w:t xml:space="preserve"> 1999;282:771-78. </w:t>
      </w:r>
    </w:p>
    <w:p w14:paraId="03664E7E" w14:textId="77777777" w:rsidR="00500BB3" w:rsidRPr="00500BB3" w:rsidRDefault="00500BB3" w:rsidP="00500BB3">
      <w:pPr>
        <w:pStyle w:val="EndNoteBibliography"/>
        <w:spacing w:after="0"/>
      </w:pPr>
      <w:r w:rsidRPr="00500BB3">
        <w:t xml:space="preserve">70. Elston J, Taylor RS. Use of surrogate outcomes in cost-effectiveness models: a review of United Kingdom health technology assessment reports. </w:t>
      </w:r>
      <w:r w:rsidRPr="00500BB3">
        <w:rPr>
          <w:i/>
        </w:rPr>
        <w:t>Int J Technol Assess Health Care</w:t>
      </w:r>
      <w:r w:rsidRPr="00500BB3">
        <w:t xml:space="preserve"> 2009;25:6-13. </w:t>
      </w:r>
    </w:p>
    <w:p w14:paraId="096BD560" w14:textId="77777777" w:rsidR="00500BB3" w:rsidRPr="00500BB3" w:rsidRDefault="00500BB3" w:rsidP="00500BB3">
      <w:pPr>
        <w:pStyle w:val="EndNoteBibliography"/>
        <w:spacing w:after="0"/>
      </w:pPr>
      <w:r w:rsidRPr="00500BB3">
        <w:t xml:space="preserve">71. German Institute of Quality and Efficiency in Health Care (IQWiG). </w:t>
      </w:r>
      <w:r w:rsidRPr="00500BB3">
        <w:rPr>
          <w:i/>
        </w:rPr>
        <w:t>Validity of surrogate endpoints in Oncology</w:t>
      </w:r>
      <w:r w:rsidRPr="00500BB3">
        <w:t xml:space="preserve">; 2011. </w:t>
      </w:r>
    </w:p>
    <w:p w14:paraId="6D8690FB" w14:textId="77777777" w:rsidR="00500BB3" w:rsidRPr="00500BB3" w:rsidRDefault="00500BB3" w:rsidP="00500BB3">
      <w:pPr>
        <w:pStyle w:val="EndNoteBibliography"/>
        <w:spacing w:after="0"/>
      </w:pPr>
      <w:r w:rsidRPr="00500BB3">
        <w:t xml:space="preserve">72. Lassere MN, Johnson KR, Schiff M, Rees D. Is blood pressure reduction a valid surrogate endpoint for stroke prevention? An analysis incorporating a systematic review of randomised controlled trials, a by-trial weighted errors-in-variables regression, the surrogate threshold effect </w:t>
      </w:r>
      <w:r w:rsidRPr="00500BB3">
        <w:lastRenderedPageBreak/>
        <w:t xml:space="preserve">(STE) and the Biomarker-Surrogacy (BioSurrogate) Evaluation Schema (BSES). </w:t>
      </w:r>
      <w:r w:rsidRPr="00500BB3">
        <w:rPr>
          <w:i/>
        </w:rPr>
        <w:t>BMC Med Res Methodol</w:t>
      </w:r>
      <w:r w:rsidRPr="00500BB3">
        <w:t xml:space="preserve"> 2012;12:27. </w:t>
      </w:r>
    </w:p>
    <w:p w14:paraId="219F3C93" w14:textId="77777777" w:rsidR="00500BB3" w:rsidRPr="00500BB3" w:rsidRDefault="00500BB3" w:rsidP="00500BB3">
      <w:pPr>
        <w:pStyle w:val="EndNoteBibliography"/>
        <w:spacing w:after="0"/>
      </w:pPr>
      <w:r w:rsidRPr="00500BB3">
        <w:t xml:space="preserve">73. Buyse M, Molenberghs G, Paoletti X, Oba K, Alonso A, Van der Elst W, et al. Statistical evaluation of surrogate endpoints with examples from cancer clinical trials. </w:t>
      </w:r>
      <w:r w:rsidRPr="00500BB3">
        <w:rPr>
          <w:i/>
        </w:rPr>
        <w:t>Biometrical J</w:t>
      </w:r>
      <w:r w:rsidRPr="00500BB3">
        <w:t xml:space="preserve"> 2016;58:104-32. </w:t>
      </w:r>
    </w:p>
    <w:p w14:paraId="5866AFA6" w14:textId="77777777" w:rsidR="00500BB3" w:rsidRPr="00500BB3" w:rsidRDefault="00500BB3" w:rsidP="00500BB3">
      <w:pPr>
        <w:pStyle w:val="EndNoteBibliography"/>
        <w:spacing w:after="0"/>
      </w:pPr>
      <w:r w:rsidRPr="00500BB3">
        <w:t xml:space="preserve">74. Fischer A, Hernandez-Villafuerte K, Latimer N, Henshall C. </w:t>
      </w:r>
      <w:r w:rsidRPr="00500BB3">
        <w:rPr>
          <w:i/>
        </w:rPr>
        <w:t>Extrapolation from Progression-Free Survival to Overall Survival in Oncology</w:t>
      </w:r>
      <w:r w:rsidRPr="00500BB3">
        <w:t xml:space="preserve">: Office of Health Economics; 2016. </w:t>
      </w:r>
    </w:p>
    <w:p w14:paraId="68394175" w14:textId="77777777" w:rsidR="00500BB3" w:rsidRPr="00500BB3" w:rsidRDefault="00500BB3" w:rsidP="00500BB3">
      <w:pPr>
        <w:pStyle w:val="EndNoteBibliography"/>
        <w:spacing w:after="0"/>
      </w:pPr>
      <w:r w:rsidRPr="00500BB3">
        <w:t xml:space="preserve">75. Davis S, Tappenden P, Cantrell A. </w:t>
      </w:r>
      <w:r w:rsidRPr="00500BB3">
        <w:rPr>
          <w:i/>
        </w:rPr>
        <w:t>A review of studies examining the relationship between progression-free survival and overall survival in advanced or metastatic cancer</w:t>
      </w:r>
      <w:r w:rsidRPr="00500BB3">
        <w:t xml:space="preserve">. University of Sheffield report for NICE Decision Support Unit; 2012. </w:t>
      </w:r>
    </w:p>
    <w:p w14:paraId="4FCB5A8B" w14:textId="77777777" w:rsidR="00500BB3" w:rsidRPr="00500BB3" w:rsidRDefault="00500BB3" w:rsidP="00500BB3">
      <w:pPr>
        <w:pStyle w:val="EndNoteBibliography"/>
        <w:spacing w:after="0"/>
      </w:pPr>
      <w:r w:rsidRPr="00500BB3">
        <w:t xml:space="preserve">76. Savina M, Gourgou S, Italiano A, Dinart D, Rondeau V, Penel N, et al. Meta-analyses evaluating surrogate endpoints for overall survival in cancer randomized trials: A critical review. </w:t>
      </w:r>
      <w:r w:rsidRPr="00500BB3">
        <w:rPr>
          <w:i/>
        </w:rPr>
        <w:t>Critical Reviews in Oncology Hematology</w:t>
      </w:r>
      <w:r w:rsidRPr="00500BB3">
        <w:t xml:space="preserve"> 2018;123:21-41. </w:t>
      </w:r>
    </w:p>
    <w:p w14:paraId="0DCDA89A" w14:textId="77777777" w:rsidR="00500BB3" w:rsidRPr="00500BB3" w:rsidRDefault="00500BB3" w:rsidP="00500BB3">
      <w:pPr>
        <w:pStyle w:val="EndNoteBibliography"/>
        <w:spacing w:after="0"/>
      </w:pPr>
      <w:r w:rsidRPr="00500BB3">
        <w:t xml:space="preserve">77. Haslam A, Hey SP, Gill J, Prasad V. A systematic review of trial-level meta-analyses measuring the strength of association between surrogate end-points and overall survival in oncology. </w:t>
      </w:r>
      <w:r w:rsidRPr="00500BB3">
        <w:rPr>
          <w:i/>
        </w:rPr>
        <w:t>Eur J Cancer</w:t>
      </w:r>
      <w:r w:rsidRPr="00500BB3">
        <w:t xml:space="preserve"> 2019;106:196-211. </w:t>
      </w:r>
    </w:p>
    <w:p w14:paraId="1C0BB2A4" w14:textId="77777777" w:rsidR="00500BB3" w:rsidRPr="00500BB3" w:rsidRDefault="00500BB3" w:rsidP="00500BB3">
      <w:pPr>
        <w:pStyle w:val="EndNoteBibliography"/>
        <w:spacing w:after="0"/>
      </w:pPr>
      <w:r w:rsidRPr="00500BB3">
        <w:t xml:space="preserve">78. Abdel-Rahman O. Surrogate end points for overall survival in trials of PD-(L)1 inhibitors for urinary cancers: a systematic review. </w:t>
      </w:r>
      <w:r w:rsidRPr="00500BB3">
        <w:rPr>
          <w:i/>
        </w:rPr>
        <w:t>Immunotherapy</w:t>
      </w:r>
      <w:r w:rsidRPr="00500BB3">
        <w:t xml:space="preserve"> 2018;10:139-48. </w:t>
      </w:r>
    </w:p>
    <w:p w14:paraId="5DBB97AC" w14:textId="77777777" w:rsidR="00500BB3" w:rsidRPr="00500BB3" w:rsidRDefault="00500BB3" w:rsidP="00500BB3">
      <w:pPr>
        <w:pStyle w:val="EndNoteBibliography"/>
        <w:spacing w:after="0"/>
      </w:pPr>
      <w:r w:rsidRPr="00500BB3">
        <w:t xml:space="preserve">79. Agarwal N, Bellmunt J, Maughan BL, Boucher KM, Choueiri TK, Qu AQ, et al. Six-month progression-free survival as the primary endpoint to evaluate the activity of new agents as second-line therapy for advanced urothelial carcinoma. </w:t>
      </w:r>
      <w:r w:rsidRPr="00500BB3">
        <w:rPr>
          <w:i/>
        </w:rPr>
        <w:t>Clin Genitourin Cancer</w:t>
      </w:r>
      <w:r w:rsidRPr="00500BB3">
        <w:t xml:space="preserve"> 2014;12:130-7. </w:t>
      </w:r>
    </w:p>
    <w:p w14:paraId="72FD2EFC" w14:textId="77777777" w:rsidR="00500BB3" w:rsidRPr="00500BB3" w:rsidRDefault="00500BB3" w:rsidP="00500BB3">
      <w:pPr>
        <w:pStyle w:val="EndNoteBibliography"/>
        <w:spacing w:after="0"/>
      </w:pPr>
      <w:r w:rsidRPr="00500BB3">
        <w:t xml:space="preserve">80. Agarwal SK, Mangal N, Menon RM, Freise KJ, Salem AH. Response rates as predictors of overall survival: A meta-analysis of acute myeloid leukemia trials. </w:t>
      </w:r>
      <w:r w:rsidRPr="00500BB3">
        <w:rPr>
          <w:i/>
        </w:rPr>
        <w:t>J Cancer</w:t>
      </w:r>
      <w:r w:rsidRPr="00500BB3">
        <w:t xml:space="preserve"> 2017;8:1562-67. </w:t>
      </w:r>
    </w:p>
    <w:p w14:paraId="513CD73F" w14:textId="77777777" w:rsidR="00500BB3" w:rsidRPr="00500BB3" w:rsidRDefault="00500BB3" w:rsidP="00500BB3">
      <w:pPr>
        <w:pStyle w:val="EndNoteBibliography"/>
        <w:spacing w:after="0"/>
      </w:pPr>
      <w:r w:rsidRPr="00500BB3">
        <w:t xml:space="preserve">81. Blumenthal GM, Karuri SW, Zhang H, Zhang LJ, Khozin S, Kazandjian D, et al. Overall response rate, progression-free survival, and overall survival with targeted and standard therapies in advanced non-small-cell lung cancer: Us food and drug administration trial-level and patient-level analyses. </w:t>
      </w:r>
      <w:r w:rsidRPr="00500BB3">
        <w:rPr>
          <w:i/>
        </w:rPr>
        <w:t>J Clin Oncol</w:t>
      </w:r>
      <w:r w:rsidRPr="00500BB3">
        <w:t xml:space="preserve"> 2015;33:1008-+. </w:t>
      </w:r>
    </w:p>
    <w:p w14:paraId="7E2B0E27" w14:textId="77777777" w:rsidR="00500BB3" w:rsidRPr="00354FCE" w:rsidRDefault="00500BB3" w:rsidP="00500BB3">
      <w:pPr>
        <w:pStyle w:val="EndNoteBibliography"/>
        <w:spacing w:after="0"/>
        <w:rPr>
          <w:lang w:val="it-IT"/>
        </w:rPr>
      </w:pPr>
      <w:r w:rsidRPr="00500BB3">
        <w:t xml:space="preserve">82. Blumenthal GM, Zhang L, Zhang H, Kazandjian D, Khozin S, Tang S, et al. Milestone analyses of immune checkpoint inhibitors, targeted therapy, and conventional therapy in metastatic non-small cell lung cancer trials: A meta-analysis. </w:t>
      </w:r>
      <w:r w:rsidRPr="00354FCE">
        <w:rPr>
          <w:i/>
          <w:lang w:val="it-IT"/>
        </w:rPr>
        <w:t>JAMA Oncol</w:t>
      </w:r>
      <w:r w:rsidRPr="00354FCE">
        <w:rPr>
          <w:lang w:val="it-IT"/>
        </w:rPr>
        <w:t xml:space="preserve"> 2017;3:e171029. </w:t>
      </w:r>
    </w:p>
    <w:p w14:paraId="2C6D9C74" w14:textId="77777777" w:rsidR="00500BB3" w:rsidRPr="00500BB3" w:rsidRDefault="00500BB3" w:rsidP="00500BB3">
      <w:pPr>
        <w:pStyle w:val="EndNoteBibliography"/>
        <w:spacing w:after="0"/>
      </w:pPr>
      <w:r w:rsidRPr="00354FCE">
        <w:rPr>
          <w:lang w:val="it-IT"/>
        </w:rPr>
        <w:t xml:space="preserve">83. Bruzzi P, Del Mastro L, Sormani MP, Bastholt L, Danova M, Focan C, et al. </w:t>
      </w:r>
      <w:r w:rsidRPr="00500BB3">
        <w:t xml:space="preserve">Objective response to chemotherapy as a potential surrogate end point of survival in metastatic breast cancer patients. </w:t>
      </w:r>
      <w:r w:rsidRPr="00500BB3">
        <w:rPr>
          <w:i/>
        </w:rPr>
        <w:t>J Clin Oncol</w:t>
      </w:r>
      <w:r w:rsidRPr="00500BB3">
        <w:t xml:space="preserve"> 2005;23:5117-25. </w:t>
      </w:r>
    </w:p>
    <w:p w14:paraId="04FB278B" w14:textId="77777777" w:rsidR="00500BB3" w:rsidRPr="00500BB3" w:rsidRDefault="00500BB3" w:rsidP="00500BB3">
      <w:pPr>
        <w:pStyle w:val="EndNoteBibliography"/>
        <w:spacing w:after="0"/>
      </w:pPr>
      <w:r w:rsidRPr="00500BB3">
        <w:t xml:space="preserve">84. Burzykowski T, Buyse M, Piccart-Gebhart MJ, Sledge G, Carmichael J, Luck HJ, et al. Evaluation of tumor response, disease control, progression-free survival, and time to progression as potential surrogate end points in metastatic breast cancer. </w:t>
      </w:r>
      <w:r w:rsidRPr="00500BB3">
        <w:rPr>
          <w:i/>
        </w:rPr>
        <w:t>J Clin Oncol</w:t>
      </w:r>
      <w:r w:rsidRPr="00500BB3">
        <w:t xml:space="preserve"> 2008;26:1987-92. </w:t>
      </w:r>
    </w:p>
    <w:p w14:paraId="231C584C" w14:textId="77777777" w:rsidR="00500BB3" w:rsidRPr="00354FCE" w:rsidRDefault="00500BB3" w:rsidP="00500BB3">
      <w:pPr>
        <w:pStyle w:val="EndNoteBibliography"/>
        <w:spacing w:after="0"/>
        <w:rPr>
          <w:lang w:val="it-IT"/>
        </w:rPr>
      </w:pPr>
      <w:r w:rsidRPr="00500BB3">
        <w:t xml:space="preserve">85. Buyse M, Thirion P, Carlson RW, Burzykowski T, Molenberghs G, Piedbois P. Relation between tumour response to first-line chemotherapy and survival in advanced colorectal cancer: A meta-analysis. </w:t>
      </w:r>
      <w:r w:rsidRPr="00354FCE">
        <w:rPr>
          <w:i/>
          <w:lang w:val="it-IT"/>
        </w:rPr>
        <w:t>Lancet</w:t>
      </w:r>
      <w:r w:rsidRPr="00354FCE">
        <w:rPr>
          <w:lang w:val="it-IT"/>
        </w:rPr>
        <w:t xml:space="preserve"> 2000;356:373-78. </w:t>
      </w:r>
    </w:p>
    <w:p w14:paraId="219B4AB6" w14:textId="77777777" w:rsidR="00500BB3" w:rsidRPr="00500BB3" w:rsidRDefault="00500BB3" w:rsidP="00500BB3">
      <w:pPr>
        <w:pStyle w:val="EndNoteBibliography"/>
        <w:spacing w:after="0"/>
      </w:pPr>
      <w:r w:rsidRPr="00354FCE">
        <w:rPr>
          <w:lang w:val="it-IT"/>
        </w:rPr>
        <w:t xml:space="preserve">86. Ciani O, Buyse M, Garside R, Peters J, Saad ED, Stein K, et al. </w:t>
      </w:r>
      <w:r w:rsidRPr="00500BB3">
        <w:t xml:space="preserve">Meta-analyses of randomized controlled trials show suboptimal validity of surrogate outcomes for overall survival in advanced colorectal cancer. </w:t>
      </w:r>
      <w:r w:rsidRPr="00500BB3">
        <w:rPr>
          <w:i/>
        </w:rPr>
        <w:t>J Clin Epidemiol</w:t>
      </w:r>
      <w:r w:rsidRPr="00500BB3">
        <w:t xml:space="preserve"> 2015;68:833-42. </w:t>
      </w:r>
    </w:p>
    <w:p w14:paraId="396F2000" w14:textId="77777777" w:rsidR="00500BB3" w:rsidRPr="00500BB3" w:rsidRDefault="00500BB3" w:rsidP="00500BB3">
      <w:pPr>
        <w:pStyle w:val="EndNoteBibliography"/>
        <w:spacing w:after="0"/>
      </w:pPr>
      <w:r w:rsidRPr="00500BB3">
        <w:t xml:space="preserve">87. Colloca G, Venturino A. Trial-level analysis of progression-free survival and response rate as end points of trials of first-line chemotherapy in advanced ovarian cancer. </w:t>
      </w:r>
      <w:r w:rsidRPr="00500BB3">
        <w:rPr>
          <w:i/>
        </w:rPr>
        <w:t>Med Oncol</w:t>
      </w:r>
      <w:r w:rsidRPr="00500BB3">
        <w:t xml:space="preserve"> 2017;34:87. </w:t>
      </w:r>
    </w:p>
    <w:p w14:paraId="1EDC6874" w14:textId="77777777" w:rsidR="00500BB3" w:rsidRPr="00500BB3" w:rsidRDefault="00500BB3" w:rsidP="00500BB3">
      <w:pPr>
        <w:pStyle w:val="EndNoteBibliography"/>
        <w:spacing w:after="0"/>
      </w:pPr>
      <w:r w:rsidRPr="00500BB3">
        <w:t xml:space="preserve">88. Colloca G, Venturino A, Guarneri D. Analysis of response-related and time-to-event endpoints in randomized trials of gemcitabine-based treatment versus gemcitabine alone as first-line treatment of patients with advanced pancreatic cancer. </w:t>
      </w:r>
      <w:r w:rsidRPr="00500BB3">
        <w:rPr>
          <w:i/>
        </w:rPr>
        <w:t>Clin Colorectal Cancer</w:t>
      </w:r>
      <w:r w:rsidRPr="00500BB3">
        <w:t xml:space="preserve"> 2016a;15:264-76. </w:t>
      </w:r>
    </w:p>
    <w:p w14:paraId="163088CD" w14:textId="77777777" w:rsidR="00500BB3" w:rsidRPr="00500BB3" w:rsidRDefault="00500BB3" w:rsidP="00500BB3">
      <w:pPr>
        <w:pStyle w:val="EndNoteBibliography"/>
        <w:spacing w:after="0"/>
      </w:pPr>
      <w:r w:rsidRPr="00500BB3">
        <w:lastRenderedPageBreak/>
        <w:t xml:space="preserve">89. Colloca G, Venturino A, Guarneri D. Analysis of clinical end points of randomised trials including bevacizumab and chemotherapy versus chemotherapy as first-line treatment of metastatic colorectal cancer. </w:t>
      </w:r>
      <w:r w:rsidRPr="00500BB3">
        <w:rPr>
          <w:i/>
        </w:rPr>
        <w:t>Clin Oncol (R Coll Radiol)</w:t>
      </w:r>
      <w:r w:rsidRPr="00500BB3">
        <w:t xml:space="preserve"> 2016b;28:e155-64. </w:t>
      </w:r>
    </w:p>
    <w:p w14:paraId="308958EE" w14:textId="77777777" w:rsidR="00500BB3" w:rsidRPr="00354FCE" w:rsidRDefault="00500BB3" w:rsidP="00500BB3">
      <w:pPr>
        <w:pStyle w:val="EndNoteBibliography"/>
        <w:spacing w:after="0"/>
        <w:rPr>
          <w:lang w:val="it-IT"/>
        </w:rPr>
      </w:pPr>
      <w:r w:rsidRPr="00500BB3">
        <w:t xml:space="preserve">90. Colloca G, Vitucci P, Venturino A. Trial level analysis of prostate-specific antigen-related versus unrelated endpoints in Phase III trials of first-line and second-line medical treatments of patients with metastatic castration-resistant prostate cancer. </w:t>
      </w:r>
      <w:r w:rsidRPr="00354FCE">
        <w:rPr>
          <w:i/>
          <w:lang w:val="it-IT"/>
        </w:rPr>
        <w:t>Clin Genitourin Cancer</w:t>
      </w:r>
      <w:r w:rsidRPr="00354FCE">
        <w:rPr>
          <w:lang w:val="it-IT"/>
        </w:rPr>
        <w:t xml:space="preserve"> 2016c;14:389-97. </w:t>
      </w:r>
    </w:p>
    <w:p w14:paraId="41747189" w14:textId="77777777" w:rsidR="00500BB3" w:rsidRPr="00500BB3" w:rsidRDefault="00500BB3" w:rsidP="00500BB3">
      <w:pPr>
        <w:pStyle w:val="EndNoteBibliography"/>
        <w:spacing w:after="0"/>
      </w:pPr>
      <w:r w:rsidRPr="00354FCE">
        <w:rPr>
          <w:lang w:val="it-IT"/>
        </w:rPr>
        <w:t xml:space="preserve">91. Cremolini C, Antoniotti C, Pietrantonio F, Berenato R, Tampellini M, Baratelli C, et al. </w:t>
      </w:r>
      <w:r w:rsidRPr="00500BB3">
        <w:t xml:space="preserve">Surrogate endpoints in second-line trials of targeted agents in metastatic colorectal cancer: A literature-based systematic review and meta-analysis. </w:t>
      </w:r>
      <w:r w:rsidRPr="00500BB3">
        <w:rPr>
          <w:i/>
        </w:rPr>
        <w:t>Cancer Res Treat</w:t>
      </w:r>
      <w:r w:rsidRPr="00500BB3">
        <w:t xml:space="preserve"> 2017;49:834-45. </w:t>
      </w:r>
    </w:p>
    <w:p w14:paraId="1449B452" w14:textId="77777777" w:rsidR="00500BB3" w:rsidRPr="00500BB3" w:rsidRDefault="00500BB3" w:rsidP="00500BB3">
      <w:pPr>
        <w:pStyle w:val="EndNoteBibliography"/>
        <w:spacing w:after="0"/>
      </w:pPr>
      <w:r w:rsidRPr="00500BB3">
        <w:t xml:space="preserve">92. Delea TE, Khuu A, Heng DYC, Haas T, Soulieres D. Association between treatment effects on disease progression end points and overall survival in clinical studies of patients with metastatic renal cell carcinoma. </w:t>
      </w:r>
      <w:r w:rsidRPr="00500BB3">
        <w:rPr>
          <w:i/>
        </w:rPr>
        <w:t>Br J Cancer</w:t>
      </w:r>
      <w:r w:rsidRPr="00500BB3">
        <w:t xml:space="preserve"> 2012;107:1059-68. </w:t>
      </w:r>
    </w:p>
    <w:p w14:paraId="44460913" w14:textId="77777777" w:rsidR="00500BB3" w:rsidRPr="00500BB3" w:rsidRDefault="00500BB3" w:rsidP="00500BB3">
      <w:pPr>
        <w:pStyle w:val="EndNoteBibliography"/>
        <w:spacing w:after="0"/>
      </w:pPr>
      <w:r w:rsidRPr="00500BB3">
        <w:t xml:space="preserve">93. Elia EG, Städler N, Ciani O, Taylor RS, Bujkiewicz S. Combining tumour response and progression free survival as surrogate endpoints for overall survival in advanced colorectal cancer. </w:t>
      </w:r>
      <w:r w:rsidRPr="00500BB3">
        <w:rPr>
          <w:i/>
        </w:rPr>
        <w:t>arXiv preprint arXiv:1809.02935</w:t>
      </w:r>
      <w:r w:rsidRPr="00500BB3">
        <w:t xml:space="preserve"> 2018. </w:t>
      </w:r>
    </w:p>
    <w:p w14:paraId="335F72FE" w14:textId="77777777" w:rsidR="00500BB3" w:rsidRPr="00500BB3" w:rsidRDefault="00500BB3" w:rsidP="00500BB3">
      <w:pPr>
        <w:pStyle w:val="EndNoteBibliography"/>
        <w:spacing w:after="0"/>
      </w:pPr>
      <w:r w:rsidRPr="00500BB3">
        <w:t xml:space="preserve">94. Foster NR, Qi Y, Shi Q, Krook JE, Kugler JW, Jett JR, et al. Tumor response and progression-free survival as potential surrogate endpoints for overall survival in extensive stage small-cell lung cancer: findings on the basis of North Central Cancer Treatment Group trials. </w:t>
      </w:r>
      <w:r w:rsidRPr="00500BB3">
        <w:rPr>
          <w:i/>
        </w:rPr>
        <w:t>Cancer</w:t>
      </w:r>
      <w:r w:rsidRPr="00500BB3">
        <w:t xml:space="preserve"> 2011;117:1262-71. </w:t>
      </w:r>
    </w:p>
    <w:p w14:paraId="3E116F59" w14:textId="77777777" w:rsidR="00500BB3" w:rsidRPr="00500BB3" w:rsidRDefault="00500BB3" w:rsidP="00500BB3">
      <w:pPr>
        <w:pStyle w:val="EndNoteBibliography"/>
        <w:spacing w:after="0"/>
      </w:pPr>
      <w:r w:rsidRPr="00500BB3">
        <w:t xml:space="preserve">95. Giessen C, Laubender RP, Ankerst DP, Stintzing S, Modest DP, Schulz C, et al. Surrogate endpoints in second-line treatment for mCRC: a systematic literature-based analysis from 23 randomised trials. </w:t>
      </w:r>
      <w:r w:rsidRPr="00500BB3">
        <w:rPr>
          <w:i/>
        </w:rPr>
        <w:t>Acta Oncologica</w:t>
      </w:r>
      <w:r w:rsidRPr="00500BB3">
        <w:t xml:space="preserve"> 2015;54:187-93. </w:t>
      </w:r>
    </w:p>
    <w:p w14:paraId="7C8EE265" w14:textId="77777777" w:rsidR="00500BB3" w:rsidRPr="00500BB3" w:rsidRDefault="00500BB3" w:rsidP="00500BB3">
      <w:pPr>
        <w:pStyle w:val="EndNoteBibliography"/>
        <w:spacing w:after="0"/>
      </w:pPr>
      <w:r w:rsidRPr="00500BB3">
        <w:t xml:space="preserve">96. Hackshaw A, Knight A, Barrett-Lee P, Leonard R. Surrogate markers and survival in women receiving first-line combination anthracycline chemotherapy for advanced breast cancer. </w:t>
      </w:r>
      <w:r w:rsidRPr="00500BB3">
        <w:rPr>
          <w:i/>
        </w:rPr>
        <w:t>Br J Cancer</w:t>
      </w:r>
      <w:r w:rsidRPr="00500BB3">
        <w:t xml:space="preserve"> 2005;93:1215-21. </w:t>
      </w:r>
    </w:p>
    <w:p w14:paraId="267F0C6B" w14:textId="77777777" w:rsidR="00500BB3" w:rsidRPr="00500BB3" w:rsidRDefault="00500BB3" w:rsidP="00500BB3">
      <w:pPr>
        <w:pStyle w:val="EndNoteBibliography"/>
        <w:spacing w:after="0"/>
      </w:pPr>
      <w:r w:rsidRPr="00500BB3">
        <w:t xml:space="preserve">97. Hamada T, Nakai Y, Isayama H, Yasunaga H, Matsui H, Takahara N, et al. Progression-free survival as a surrogate for overall survival in first-line chemotherapy for advanced pancreatic cancer. </w:t>
      </w:r>
      <w:r w:rsidRPr="00500BB3">
        <w:rPr>
          <w:i/>
        </w:rPr>
        <w:t>Eur J Cancer</w:t>
      </w:r>
      <w:r w:rsidRPr="00500BB3">
        <w:t xml:space="preserve"> 2016;65:11-20. </w:t>
      </w:r>
    </w:p>
    <w:p w14:paraId="388FCD1A" w14:textId="77777777" w:rsidR="00500BB3" w:rsidRPr="00500BB3" w:rsidRDefault="00500BB3" w:rsidP="00500BB3">
      <w:pPr>
        <w:pStyle w:val="EndNoteBibliography"/>
        <w:spacing w:after="0"/>
      </w:pPr>
      <w:r w:rsidRPr="00500BB3">
        <w:t xml:space="preserve">98. Han K, Ren M, Wick W, Abrey L, Das A, Jin J, et al. Progression-free survival as a surrogate endpoint for overall survival in glioblastoma: a literature-based meta-analysis from 91 trials. </w:t>
      </w:r>
      <w:r w:rsidRPr="00500BB3">
        <w:rPr>
          <w:i/>
        </w:rPr>
        <w:t>Neuro-Oncology</w:t>
      </w:r>
      <w:r w:rsidRPr="00500BB3">
        <w:t xml:space="preserve"> 2014;16:696-706. </w:t>
      </w:r>
    </w:p>
    <w:p w14:paraId="4C74E0F0" w14:textId="77777777" w:rsidR="00500BB3" w:rsidRPr="00500BB3" w:rsidRDefault="00500BB3" w:rsidP="00500BB3">
      <w:pPr>
        <w:pStyle w:val="EndNoteBibliography"/>
        <w:spacing w:after="0"/>
      </w:pPr>
      <w:r w:rsidRPr="00500BB3">
        <w:t xml:space="preserve">99. Hashim M, Pfeiffer BM, Bartsch R, Postma M, Heeg B. Do surrogate endpoints better correlate with overall survival in studies that did not allow for crossover or reported balanced postprogression treatments? An application in advanced non-small cell lung cancer. </w:t>
      </w:r>
      <w:r w:rsidRPr="00500BB3">
        <w:rPr>
          <w:i/>
        </w:rPr>
        <w:t>Value Health</w:t>
      </w:r>
      <w:r w:rsidRPr="00500BB3">
        <w:t xml:space="preserve"> 2018;21:9-17. </w:t>
      </w:r>
    </w:p>
    <w:p w14:paraId="6D552F66" w14:textId="77777777" w:rsidR="00500BB3" w:rsidRPr="00500BB3" w:rsidRDefault="00500BB3" w:rsidP="00500BB3">
      <w:pPr>
        <w:pStyle w:val="EndNoteBibliography"/>
        <w:spacing w:after="0"/>
      </w:pPr>
      <w:r w:rsidRPr="00500BB3">
        <w:t xml:space="preserve">100. Hotta K, Kato Y, Leighl N, Takigawa N, Gaafar RM, Kayatani H, et al. Magnitude of the benefit of progression-free survival as a potential surrogate marker in Phase 3 trials assessing targeted agents in molecularly selected patients with advanced non-small cell lung cancer: Systematic review. </w:t>
      </w:r>
      <w:r w:rsidRPr="00500BB3">
        <w:rPr>
          <w:i/>
        </w:rPr>
        <w:t>Plos One</w:t>
      </w:r>
      <w:r w:rsidRPr="00500BB3">
        <w:t xml:space="preserve"> 2015;10. </w:t>
      </w:r>
    </w:p>
    <w:p w14:paraId="07E0369C" w14:textId="77777777" w:rsidR="00500BB3" w:rsidRPr="00500BB3" w:rsidRDefault="00500BB3" w:rsidP="00500BB3">
      <w:pPr>
        <w:pStyle w:val="EndNoteBibliography"/>
        <w:spacing w:after="0"/>
      </w:pPr>
      <w:r w:rsidRPr="00500BB3">
        <w:t xml:space="preserve">101. Hotta K, Kiura K, Fujiwara Y, Takigawa N, Oze I, Ochi N, et al. Association between incremental gains in the objective response rate and survival improvement in phase III trials of first-line chemotherapy for extensive disease small-cell lung cancer. </w:t>
      </w:r>
      <w:r w:rsidRPr="00500BB3">
        <w:rPr>
          <w:i/>
        </w:rPr>
        <w:t>Ann Oncol</w:t>
      </w:r>
      <w:r w:rsidRPr="00500BB3">
        <w:t xml:space="preserve"> 2009;20:829-34. </w:t>
      </w:r>
    </w:p>
    <w:p w14:paraId="34BF9FF5" w14:textId="77777777" w:rsidR="00500BB3" w:rsidRPr="00500BB3" w:rsidRDefault="00500BB3" w:rsidP="00500BB3">
      <w:pPr>
        <w:pStyle w:val="EndNoteBibliography"/>
        <w:spacing w:after="0"/>
      </w:pPr>
      <w:r w:rsidRPr="00500BB3">
        <w:t xml:space="preserve">102. Ichikawa W, Sasaki Y. Correlation between tumor response to first-line chemotherapy and prognosis in advanced gastric cancer patients. </w:t>
      </w:r>
      <w:r w:rsidRPr="00500BB3">
        <w:rPr>
          <w:i/>
        </w:rPr>
        <w:t>Ann Oncol</w:t>
      </w:r>
      <w:r w:rsidRPr="00500BB3">
        <w:t xml:space="preserve"> 2006;17:1665-72. </w:t>
      </w:r>
    </w:p>
    <w:p w14:paraId="3FFB3EAD" w14:textId="77777777" w:rsidR="00500BB3" w:rsidRPr="00500BB3" w:rsidRDefault="00500BB3" w:rsidP="00500BB3">
      <w:pPr>
        <w:pStyle w:val="EndNoteBibliography"/>
        <w:spacing w:after="0"/>
      </w:pPr>
      <w:r w:rsidRPr="00500BB3">
        <w:t xml:space="preserve">103. Imaoka H, Sasaki M, Takahashi H, Hashimoto Y, Ohno I, Mitsunaga S, et al. Progression-free survival as a surrogate endpoint in advanced neuroendocrine neoplasms. </w:t>
      </w:r>
      <w:r w:rsidRPr="00500BB3">
        <w:rPr>
          <w:i/>
        </w:rPr>
        <w:t>Endocr Relat Cancer</w:t>
      </w:r>
      <w:r w:rsidRPr="00500BB3">
        <w:t xml:space="preserve"> 2017;24:475-83. </w:t>
      </w:r>
    </w:p>
    <w:p w14:paraId="33BF1837" w14:textId="77777777" w:rsidR="00500BB3" w:rsidRPr="00354FCE" w:rsidRDefault="00500BB3" w:rsidP="00500BB3">
      <w:pPr>
        <w:pStyle w:val="EndNoteBibliography"/>
        <w:spacing w:after="0"/>
        <w:rPr>
          <w:lang w:val="it-IT"/>
        </w:rPr>
      </w:pPr>
      <w:r w:rsidRPr="00500BB3">
        <w:t xml:space="preserve">104. Imaoka H, Sasaki M, Takahashi H, Hashimoto Y, Ohno I, Mitsunaga S, et al. Alternate endpoints for Phase II trials in advanced neuroendocrine tumors. </w:t>
      </w:r>
      <w:r w:rsidRPr="00354FCE">
        <w:rPr>
          <w:i/>
          <w:lang w:val="it-IT"/>
        </w:rPr>
        <w:t>Oncologist</w:t>
      </w:r>
      <w:r w:rsidRPr="00354FCE">
        <w:rPr>
          <w:lang w:val="it-IT"/>
        </w:rPr>
        <w:t xml:space="preserve"> 2019;24:47-53. </w:t>
      </w:r>
    </w:p>
    <w:p w14:paraId="5488BE20" w14:textId="77777777" w:rsidR="00500BB3" w:rsidRPr="00500BB3" w:rsidRDefault="00500BB3" w:rsidP="00500BB3">
      <w:pPr>
        <w:pStyle w:val="EndNoteBibliography"/>
        <w:spacing w:after="0"/>
      </w:pPr>
      <w:r w:rsidRPr="00354FCE">
        <w:rPr>
          <w:lang w:val="it-IT"/>
        </w:rPr>
        <w:lastRenderedPageBreak/>
        <w:t xml:space="preserve">105. Iezzi R, Pompili M, Rinninella E, Annicchiarico E, Garcovich M, Cerrito L, et al. </w:t>
      </w:r>
      <w:r w:rsidRPr="00500BB3">
        <w:t xml:space="preserve">TACE with degradable starch microspheres (DSM-TACE) as second-line treatment in HCC patients dismissing or ineligible for sorafenib. </w:t>
      </w:r>
      <w:r w:rsidRPr="00500BB3">
        <w:rPr>
          <w:i/>
        </w:rPr>
        <w:t>Eur Radiol</w:t>
      </w:r>
      <w:r w:rsidRPr="00500BB3">
        <w:t xml:space="preserve"> 2019;29:1285-92. </w:t>
      </w:r>
    </w:p>
    <w:p w14:paraId="4FBB6426" w14:textId="77777777" w:rsidR="00500BB3" w:rsidRPr="00500BB3" w:rsidRDefault="00500BB3" w:rsidP="00500BB3">
      <w:pPr>
        <w:pStyle w:val="EndNoteBibliography"/>
        <w:spacing w:after="0"/>
      </w:pPr>
      <w:r w:rsidRPr="00500BB3">
        <w:t xml:space="preserve">106. Johnson KR, Ringland C, Stokes BJ, Anthony DM, Freemantle N, Irs A, et al. Response rate or time to progression as predictors of survival in trials of metastatic colorectal cancer or non-small-cell lung cancer: a meta-analysis. </w:t>
      </w:r>
      <w:r w:rsidRPr="00500BB3">
        <w:rPr>
          <w:i/>
        </w:rPr>
        <w:t>Lancet Oncol</w:t>
      </w:r>
      <w:r w:rsidRPr="00500BB3">
        <w:t xml:space="preserve"> 2006;7:741-6. </w:t>
      </w:r>
    </w:p>
    <w:p w14:paraId="553B4C85" w14:textId="77777777" w:rsidR="00500BB3" w:rsidRPr="00500BB3" w:rsidRDefault="00500BB3" w:rsidP="00500BB3">
      <w:pPr>
        <w:pStyle w:val="EndNoteBibliography"/>
        <w:spacing w:after="0"/>
      </w:pPr>
      <w:r w:rsidRPr="00500BB3">
        <w:t xml:space="preserve">107. Kaufman HL, Schwartz LH, William WN, Jr., Sznol M, Fahrbach K, Xu Y, et al. Evaluation of classical clinical endpoints as surrogates for overall survival in patients treated with immune checkpoint blockers: a systematic review and meta-analysis. </w:t>
      </w:r>
      <w:r w:rsidRPr="00500BB3">
        <w:rPr>
          <w:i/>
        </w:rPr>
        <w:t>J Cancer Res Clin Oncol</w:t>
      </w:r>
      <w:r w:rsidRPr="00500BB3">
        <w:t xml:space="preserve"> 2018;144:2245-61. </w:t>
      </w:r>
    </w:p>
    <w:p w14:paraId="1F5949B5" w14:textId="77777777" w:rsidR="00500BB3" w:rsidRPr="00500BB3" w:rsidRDefault="00500BB3" w:rsidP="00500BB3">
      <w:pPr>
        <w:pStyle w:val="EndNoteBibliography"/>
        <w:spacing w:after="0"/>
      </w:pPr>
      <w:r w:rsidRPr="00500BB3">
        <w:t xml:space="preserve">108. Lee L, Wang L, Crump M. Identification of potential surrogate end points in randomized clinical trials of aggressive and indolent non-Hodgkin's lymphoma: correlation of complete response, time-to-event and overall survival end points. </w:t>
      </w:r>
      <w:r w:rsidRPr="00500BB3">
        <w:rPr>
          <w:i/>
        </w:rPr>
        <w:t>Ann Oncol</w:t>
      </w:r>
      <w:r w:rsidRPr="00500BB3">
        <w:t xml:space="preserve"> 2011;22:1392-403. </w:t>
      </w:r>
    </w:p>
    <w:p w14:paraId="435D1C47" w14:textId="77777777" w:rsidR="00500BB3" w:rsidRPr="00500BB3" w:rsidRDefault="00500BB3" w:rsidP="00500BB3">
      <w:pPr>
        <w:pStyle w:val="EndNoteBibliography"/>
        <w:spacing w:after="0"/>
      </w:pPr>
      <w:r w:rsidRPr="00500BB3">
        <w:t xml:space="preserve">109. Li J, He Q, Yu X, Khan K, Weng XW, Guan MJ. Complete response associated with immune checkpoint inhibitors in advanced non-small-cell lung cancer: a meta-analysis of nine randomized controlled trials. </w:t>
      </w:r>
      <w:r w:rsidRPr="00500BB3">
        <w:rPr>
          <w:i/>
        </w:rPr>
        <w:t>Cancer Manag Res</w:t>
      </w:r>
      <w:r w:rsidRPr="00500BB3">
        <w:t xml:space="preserve"> 2019;11:1623-29. </w:t>
      </w:r>
    </w:p>
    <w:p w14:paraId="1D41BC55" w14:textId="77777777" w:rsidR="00500BB3" w:rsidRPr="00500BB3" w:rsidRDefault="00500BB3" w:rsidP="00500BB3">
      <w:pPr>
        <w:pStyle w:val="EndNoteBibliography"/>
        <w:spacing w:after="0"/>
      </w:pPr>
      <w:r w:rsidRPr="00500BB3">
        <w:t xml:space="preserve">110. Li X, Liu S, Gu H, Wang D. Surrogate end points for survival in the target treatment of advanced non-small-cell lung cancer with gefitinib or erlotinib. </w:t>
      </w:r>
      <w:r w:rsidRPr="00500BB3">
        <w:rPr>
          <w:i/>
        </w:rPr>
        <w:t>J Cancer Res Clin Oncol</w:t>
      </w:r>
      <w:r w:rsidRPr="00500BB3">
        <w:t xml:space="preserve"> 2012;138:1963-9. </w:t>
      </w:r>
    </w:p>
    <w:p w14:paraId="3AB9E08D" w14:textId="77777777" w:rsidR="00500BB3" w:rsidRPr="00500BB3" w:rsidRDefault="00500BB3" w:rsidP="00500BB3">
      <w:pPr>
        <w:pStyle w:val="EndNoteBibliography"/>
        <w:spacing w:after="0"/>
      </w:pPr>
      <w:r w:rsidRPr="00500BB3">
        <w:t xml:space="preserve">111. Liu L, Chen F, Zhao J, Yu H. Correlation between overall survival and other endpoints in metastatic breast cancer with second- or third-line chemotherapy: Literature-based analysis of 24 randomized trials. </w:t>
      </w:r>
      <w:r w:rsidRPr="00500BB3">
        <w:rPr>
          <w:i/>
        </w:rPr>
        <w:t>Bull Cancer</w:t>
      </w:r>
      <w:r w:rsidRPr="00500BB3">
        <w:t xml:space="preserve"> 2016;103:336-44. </w:t>
      </w:r>
    </w:p>
    <w:p w14:paraId="43B14CA5" w14:textId="77777777" w:rsidR="00500BB3" w:rsidRPr="00500BB3" w:rsidRDefault="00500BB3" w:rsidP="00500BB3">
      <w:pPr>
        <w:pStyle w:val="EndNoteBibliography"/>
        <w:spacing w:after="0"/>
      </w:pPr>
      <w:r w:rsidRPr="00500BB3">
        <w:t xml:space="preserve">112. Louvet C, de Gramont A, Tournigand C, Artru P, Maindrault-Goebel F, Krulik M. Correlation between progression free survival and response rate in patients with metastatic colorectal carcinoma. </w:t>
      </w:r>
      <w:r w:rsidRPr="00500BB3">
        <w:rPr>
          <w:i/>
        </w:rPr>
        <w:t>Cancer</w:t>
      </w:r>
      <w:r w:rsidRPr="00500BB3">
        <w:t xml:space="preserve"> 2001;91:2033-8. </w:t>
      </w:r>
    </w:p>
    <w:p w14:paraId="21B4C22A" w14:textId="77777777" w:rsidR="00500BB3" w:rsidRPr="00500BB3" w:rsidRDefault="00500BB3" w:rsidP="00500BB3">
      <w:pPr>
        <w:pStyle w:val="EndNoteBibliography"/>
        <w:spacing w:after="0"/>
      </w:pPr>
      <w:r w:rsidRPr="00500BB3">
        <w:t xml:space="preserve">113. Makris EA, MacBarb R, Harvey DJ, Poultsides GA. Surrogate end points for overall survival in metastatic, locally advanced, or unresectable pancreatic cancer: A systematic review and meta-analysis of 24 randomized controlled trials. </w:t>
      </w:r>
      <w:r w:rsidRPr="00500BB3">
        <w:rPr>
          <w:i/>
        </w:rPr>
        <w:t>Ann Surg Oncol</w:t>
      </w:r>
      <w:r w:rsidRPr="00500BB3">
        <w:t xml:space="preserve"> 2017;24:2371-78. </w:t>
      </w:r>
    </w:p>
    <w:p w14:paraId="4AC36DB3" w14:textId="77777777" w:rsidR="00500BB3" w:rsidRPr="00500BB3" w:rsidRDefault="00500BB3" w:rsidP="00500BB3">
      <w:pPr>
        <w:pStyle w:val="EndNoteBibliography"/>
        <w:spacing w:after="0"/>
      </w:pPr>
      <w:r w:rsidRPr="00500BB3">
        <w:t xml:space="preserve">114. Mangal N, Salem AH, Li MY, Menon R, Freise KJ. Relationship between response rates and median progression-free survival in non-Hodgkin's lymphoma: A meta-analysis of published clinical trials. </w:t>
      </w:r>
      <w:r w:rsidRPr="00500BB3">
        <w:rPr>
          <w:i/>
        </w:rPr>
        <w:t>Hematol Oncol</w:t>
      </w:r>
      <w:r w:rsidRPr="00500BB3">
        <w:t xml:space="preserve"> 2018;36:37-43. </w:t>
      </w:r>
    </w:p>
    <w:p w14:paraId="0C9F1AF0" w14:textId="77777777" w:rsidR="00500BB3" w:rsidRPr="00500BB3" w:rsidRDefault="00500BB3" w:rsidP="00500BB3">
      <w:pPr>
        <w:pStyle w:val="EndNoteBibliography"/>
        <w:spacing w:after="0"/>
      </w:pPr>
      <w:r w:rsidRPr="00500BB3">
        <w:t xml:space="preserve">115. Mangal N, Salem AH, Menon RM, Freise KJ. Use of depth of response to predict progression-free survival in relapsed or refractory multiple myeloma: Evaluation of results from 102 clinical trials. </w:t>
      </w:r>
      <w:r w:rsidRPr="00500BB3">
        <w:rPr>
          <w:i/>
        </w:rPr>
        <w:t>Hematol Oncol</w:t>
      </w:r>
      <w:r w:rsidRPr="00500BB3">
        <w:t xml:space="preserve"> 2018;36:547-53. </w:t>
      </w:r>
    </w:p>
    <w:p w14:paraId="7DE1AB0F" w14:textId="77777777" w:rsidR="00500BB3" w:rsidRPr="00500BB3" w:rsidRDefault="00500BB3" w:rsidP="00500BB3">
      <w:pPr>
        <w:pStyle w:val="EndNoteBibliography"/>
        <w:spacing w:after="0"/>
      </w:pPr>
      <w:r w:rsidRPr="00500BB3">
        <w:t xml:space="preserve">116. Moriwaki T, Yamamoto Y, Gosho M, Kobayashi M, Sugaya A, Yamada T, et al. Correlations of survival with progression-free survival, response rate, and disease control rate in advanced biliary tract cancer: a meta-analysis of randomised trials of first-line chemotherapy. </w:t>
      </w:r>
      <w:r w:rsidRPr="00500BB3">
        <w:rPr>
          <w:i/>
        </w:rPr>
        <w:t>Br J Cancer</w:t>
      </w:r>
      <w:r w:rsidRPr="00500BB3">
        <w:t xml:space="preserve"> 2016;114:881-8. </w:t>
      </w:r>
    </w:p>
    <w:p w14:paraId="0C99B51D" w14:textId="77777777" w:rsidR="00500BB3" w:rsidRPr="00500BB3" w:rsidRDefault="00500BB3" w:rsidP="00500BB3">
      <w:pPr>
        <w:pStyle w:val="EndNoteBibliography"/>
        <w:spacing w:after="0"/>
      </w:pPr>
      <w:r w:rsidRPr="00500BB3">
        <w:t xml:space="preserve">117. Mushti SL, Mulkey F, Sridhara R. Evaluation of overall response rate and progression-free survival as potential surrogate endpoints for overall survival in immunotherapy trials. </w:t>
      </w:r>
      <w:r w:rsidRPr="00500BB3">
        <w:rPr>
          <w:i/>
        </w:rPr>
        <w:t>Clin Cancer Res</w:t>
      </w:r>
      <w:r w:rsidRPr="00500BB3">
        <w:t xml:space="preserve"> 2018;24:2268-75. </w:t>
      </w:r>
    </w:p>
    <w:p w14:paraId="1E97CB76" w14:textId="77777777" w:rsidR="00500BB3" w:rsidRPr="00500BB3" w:rsidRDefault="00500BB3" w:rsidP="00500BB3">
      <w:pPr>
        <w:pStyle w:val="EndNoteBibliography"/>
        <w:spacing w:after="0"/>
      </w:pPr>
      <w:r w:rsidRPr="00500BB3">
        <w:t xml:space="preserve">118. Nakashima K, Horita N, Nagai K, Manabe S, Murakami S, Ota E, et al. Progression-free survival, response rate, and disease control rate as predictors of overall survival in phase iii randomized controlled trials evaluating the first-line chemotherapy for advanced, locally advanced, and recurrent non-small cell lung carcinoma. </w:t>
      </w:r>
      <w:r w:rsidRPr="00500BB3">
        <w:rPr>
          <w:i/>
        </w:rPr>
        <w:t>J Thorac Oncol</w:t>
      </w:r>
      <w:r w:rsidRPr="00500BB3">
        <w:t xml:space="preserve"> 2016;11:1574-85. </w:t>
      </w:r>
    </w:p>
    <w:p w14:paraId="5A895704" w14:textId="77777777" w:rsidR="00500BB3" w:rsidRPr="00500BB3" w:rsidRDefault="00500BB3" w:rsidP="00500BB3">
      <w:pPr>
        <w:pStyle w:val="EndNoteBibliography"/>
        <w:spacing w:after="0"/>
      </w:pPr>
      <w:r w:rsidRPr="00500BB3">
        <w:t xml:space="preserve">119. Nickolich M, Babakoohi S, Fu P, Dowlati A. Clinical trial design in small cell lung cancer: surrogate end points and statistical evolution. </w:t>
      </w:r>
      <w:r w:rsidRPr="00500BB3">
        <w:rPr>
          <w:i/>
        </w:rPr>
        <w:t>Clinl Lung Cancer</w:t>
      </w:r>
      <w:r w:rsidRPr="00500BB3">
        <w:t xml:space="preserve"> 2014;15:207-12. </w:t>
      </w:r>
    </w:p>
    <w:p w14:paraId="7DA23BF5" w14:textId="77777777" w:rsidR="00500BB3" w:rsidRPr="00500BB3" w:rsidRDefault="00500BB3" w:rsidP="00500BB3">
      <w:pPr>
        <w:pStyle w:val="EndNoteBibliography"/>
        <w:spacing w:after="0"/>
      </w:pPr>
      <w:r w:rsidRPr="00500BB3">
        <w:lastRenderedPageBreak/>
        <w:t xml:space="preserve">120. Nie RC, Chen FP, Yuan SQ, Luo YS, Chen S, Chen YM, et al. Evaluation of objective response, disease control and progression-free survival as surrogate end-points for overall survival in anti-programmed death-1 and anti-programmed death ligand 1 trials. </w:t>
      </w:r>
      <w:r w:rsidRPr="00500BB3">
        <w:rPr>
          <w:i/>
        </w:rPr>
        <w:t>Eur J Cancer</w:t>
      </w:r>
      <w:r w:rsidRPr="00500BB3">
        <w:t xml:space="preserve"> 2019;106:1-11. </w:t>
      </w:r>
    </w:p>
    <w:p w14:paraId="2A64AC5F" w14:textId="77777777" w:rsidR="00500BB3" w:rsidRPr="00500BB3" w:rsidRDefault="00500BB3" w:rsidP="00500BB3">
      <w:pPr>
        <w:pStyle w:val="EndNoteBibliography"/>
        <w:spacing w:after="0"/>
      </w:pPr>
      <w:r w:rsidRPr="00500BB3">
        <w:t xml:space="preserve">121. Pang Y, Shen Z, Sun J, Wang W. Does the use of targeted agents in advanced gastroesophageal cancer increase complete response? A meta-analysis of 18 randomized controlled trials. </w:t>
      </w:r>
      <w:r w:rsidRPr="00500BB3">
        <w:rPr>
          <w:i/>
        </w:rPr>
        <w:t>Cancer Manag Res</w:t>
      </w:r>
      <w:r w:rsidRPr="00500BB3">
        <w:t xml:space="preserve"> 2018;10:5505-14. </w:t>
      </w:r>
    </w:p>
    <w:p w14:paraId="3F6F54F1" w14:textId="77777777" w:rsidR="00500BB3" w:rsidRPr="00500BB3" w:rsidRDefault="00500BB3" w:rsidP="00500BB3">
      <w:pPr>
        <w:pStyle w:val="EndNoteBibliography"/>
        <w:spacing w:after="0"/>
      </w:pPr>
      <w:r w:rsidRPr="00500BB3">
        <w:t xml:space="preserve">122. Penel N, Ryckewaert T, Kramar A. What is an active regimen in carcinoma of unknown primary sites? Analysis of correlation between activity endpoints reported in phase II trials. Correlation of activity endpoints in phase II trials. </w:t>
      </w:r>
      <w:r w:rsidRPr="00500BB3">
        <w:rPr>
          <w:i/>
        </w:rPr>
        <w:t>Bull Cancer</w:t>
      </w:r>
      <w:r w:rsidRPr="00500BB3">
        <w:t xml:space="preserve"> 2014;101:E19-24. </w:t>
      </w:r>
    </w:p>
    <w:p w14:paraId="5E40105F" w14:textId="77777777" w:rsidR="00500BB3" w:rsidRPr="00500BB3" w:rsidRDefault="00500BB3" w:rsidP="00500BB3">
      <w:pPr>
        <w:pStyle w:val="EndNoteBibliography"/>
        <w:spacing w:after="0"/>
      </w:pPr>
      <w:r w:rsidRPr="00500BB3">
        <w:t xml:space="preserve">123. Petrelli F, Barni S. Surrogate end points and postprogression survival in renal cell carcinoma: an analysis of first-line trials with targeted therapies. </w:t>
      </w:r>
      <w:r w:rsidRPr="00500BB3">
        <w:rPr>
          <w:i/>
        </w:rPr>
        <w:t>Clin Genitourin Cancer</w:t>
      </w:r>
      <w:r w:rsidRPr="00500BB3">
        <w:t xml:space="preserve"> 2013;11:385-9. </w:t>
      </w:r>
    </w:p>
    <w:p w14:paraId="2E4C8C6A" w14:textId="77777777" w:rsidR="00500BB3" w:rsidRPr="00354FCE" w:rsidRDefault="00500BB3" w:rsidP="00500BB3">
      <w:pPr>
        <w:pStyle w:val="EndNoteBibliography"/>
        <w:spacing w:after="0"/>
        <w:rPr>
          <w:lang w:val="de-DE"/>
        </w:rPr>
      </w:pPr>
      <w:r w:rsidRPr="00500BB3">
        <w:t xml:space="preserve">124. Petrelli F, Barni S. Surrogate endpoints in metastatic breast cancer treated with targeted therapies: an analysis of the first-line phase III trials. </w:t>
      </w:r>
      <w:r w:rsidRPr="00354FCE">
        <w:rPr>
          <w:i/>
          <w:lang w:val="de-DE"/>
        </w:rPr>
        <w:t>Med Oncol</w:t>
      </w:r>
      <w:r w:rsidRPr="00354FCE">
        <w:rPr>
          <w:lang w:val="de-DE"/>
        </w:rPr>
        <w:t xml:space="preserve"> 2014;31:776. </w:t>
      </w:r>
    </w:p>
    <w:p w14:paraId="33153713" w14:textId="77777777" w:rsidR="00500BB3" w:rsidRPr="00500BB3" w:rsidRDefault="00500BB3" w:rsidP="00500BB3">
      <w:pPr>
        <w:pStyle w:val="EndNoteBibliography"/>
        <w:spacing w:after="0"/>
      </w:pPr>
      <w:r w:rsidRPr="00354FCE">
        <w:rPr>
          <w:lang w:val="de-DE"/>
        </w:rPr>
        <w:t xml:space="preserve">125. Ritchie G, Gasper H, Man J, Lord S, Marschner I, Friedlander M, et al. </w:t>
      </w:r>
      <w:r w:rsidRPr="00500BB3">
        <w:t xml:space="preserve">Defining the most appropriate primary end point in phase 2 trials of immune checkpoint inhibitors for advanced solid cancers a systematic review and meta-analysis. </w:t>
      </w:r>
      <w:r w:rsidRPr="00500BB3">
        <w:rPr>
          <w:i/>
        </w:rPr>
        <w:t>JAMA Oncol</w:t>
      </w:r>
      <w:r w:rsidRPr="00500BB3">
        <w:t xml:space="preserve"> 2018;4:522-28. </w:t>
      </w:r>
    </w:p>
    <w:p w14:paraId="115B7168" w14:textId="77777777" w:rsidR="00500BB3" w:rsidRPr="00354FCE" w:rsidRDefault="00500BB3" w:rsidP="00500BB3">
      <w:pPr>
        <w:pStyle w:val="EndNoteBibliography"/>
        <w:spacing w:after="0"/>
        <w:rPr>
          <w:lang w:val="it-IT"/>
        </w:rPr>
      </w:pPr>
      <w:r w:rsidRPr="00500BB3">
        <w:t xml:space="preserve">126. Rose PG, Tian CQ, Bookman MA. Assessment of tumor response as a surrogate endpoint of survival in recurrent/platinum-resistant ovarian carcinoma: A Gynecologic Oncology Group study. </w:t>
      </w:r>
      <w:r w:rsidRPr="00354FCE">
        <w:rPr>
          <w:i/>
          <w:lang w:val="it-IT"/>
        </w:rPr>
        <w:t>Gynecol Oncol</w:t>
      </w:r>
      <w:r w:rsidRPr="00354FCE">
        <w:rPr>
          <w:lang w:val="it-IT"/>
        </w:rPr>
        <w:t xml:space="preserve"> 2010;117:324-29. </w:t>
      </w:r>
    </w:p>
    <w:p w14:paraId="7FBC618F" w14:textId="77777777" w:rsidR="00500BB3" w:rsidRPr="00500BB3" w:rsidRDefault="00500BB3" w:rsidP="00500BB3">
      <w:pPr>
        <w:pStyle w:val="EndNoteBibliography"/>
        <w:spacing w:after="0"/>
      </w:pPr>
      <w:r w:rsidRPr="00354FCE">
        <w:rPr>
          <w:lang w:val="it-IT"/>
        </w:rPr>
        <w:t xml:space="preserve">127. Roviello G, Andre F, Venturini S, Pistilli B, Curigliano G, Cristofanilli M, et al. </w:t>
      </w:r>
      <w:r w:rsidRPr="00500BB3">
        <w:t xml:space="preserve">Response rate as a potential surrogate for survival and efficacy in patients treated with novel immune checkpoint inhibitors: A meta-regression of randomised prospective studies. </w:t>
      </w:r>
      <w:r w:rsidRPr="00500BB3">
        <w:rPr>
          <w:i/>
        </w:rPr>
        <w:t>Eur J Cancer</w:t>
      </w:r>
      <w:r w:rsidRPr="00500BB3">
        <w:t xml:space="preserve"> 2017;86:257-65. </w:t>
      </w:r>
    </w:p>
    <w:p w14:paraId="4F3D169F" w14:textId="77777777" w:rsidR="00500BB3" w:rsidRPr="00500BB3" w:rsidRDefault="00500BB3" w:rsidP="00500BB3">
      <w:pPr>
        <w:pStyle w:val="EndNoteBibliography"/>
        <w:spacing w:after="0"/>
      </w:pPr>
      <w:r w:rsidRPr="00500BB3">
        <w:t xml:space="preserve">128. Sekine I, Tamura T, Kunitoh H, Kubota K, Shinkai T, Kamiya Y, et al. Progressive disease rate as a surrogate endpoint of phase II trials for non-small-cell lung cancer. </w:t>
      </w:r>
      <w:r w:rsidRPr="00500BB3">
        <w:rPr>
          <w:i/>
        </w:rPr>
        <w:t>Ann Oncol</w:t>
      </w:r>
      <w:r w:rsidRPr="00500BB3">
        <w:t xml:space="preserve"> 1999;10:731-33. </w:t>
      </w:r>
    </w:p>
    <w:p w14:paraId="5BBD4784" w14:textId="77777777" w:rsidR="00500BB3" w:rsidRPr="00500BB3" w:rsidRDefault="00500BB3" w:rsidP="00500BB3">
      <w:pPr>
        <w:pStyle w:val="EndNoteBibliography"/>
        <w:spacing w:after="0"/>
      </w:pPr>
      <w:r w:rsidRPr="00500BB3">
        <w:t xml:space="preserve">129. Shi Q, Flowers CR, Hiddemann W, Marcus R, Herold M, Hagenbeek A, et al. Thirty-month complete response as a surrogate end point in first-line follicular lymphoma therapy: An individual patient-level analysis of multiple randomized trials. </w:t>
      </w:r>
      <w:r w:rsidRPr="00500BB3">
        <w:rPr>
          <w:i/>
        </w:rPr>
        <w:t>J Clin Oncol</w:t>
      </w:r>
      <w:r w:rsidRPr="00500BB3">
        <w:t xml:space="preserve"> 2017;35:552-60. </w:t>
      </w:r>
    </w:p>
    <w:p w14:paraId="358FA9D1" w14:textId="77777777" w:rsidR="00500BB3" w:rsidRPr="00500BB3" w:rsidRDefault="00500BB3" w:rsidP="00500BB3">
      <w:pPr>
        <w:pStyle w:val="EndNoteBibliography"/>
        <w:spacing w:after="0"/>
      </w:pPr>
      <w:r w:rsidRPr="00500BB3">
        <w:t xml:space="preserve">130. Shitara K, Matsuo K, Muro K, Doi T, Ohtsu A. Correlation between overall survival and other endpoints in clinical trials of second-line chemotherapy for patients with advanced gastric cancer. </w:t>
      </w:r>
      <w:r w:rsidRPr="00500BB3">
        <w:rPr>
          <w:i/>
        </w:rPr>
        <w:t>Gastric Cancer</w:t>
      </w:r>
      <w:r w:rsidRPr="00500BB3">
        <w:t xml:space="preserve"> 2014;17:362-70. </w:t>
      </w:r>
    </w:p>
    <w:p w14:paraId="12CC5A75" w14:textId="77777777" w:rsidR="00500BB3" w:rsidRPr="00500BB3" w:rsidRDefault="00500BB3" w:rsidP="00500BB3">
      <w:pPr>
        <w:pStyle w:val="EndNoteBibliography"/>
        <w:spacing w:after="0"/>
      </w:pPr>
      <w:r w:rsidRPr="00500BB3">
        <w:t xml:space="preserve">131. Shukuya T, Mori K, Amann JM, Bertino EM, Otterson GA, Shields PG, et al. Relationship between overall survival and response or progression-free survival in advanced non-small cell lung cancer patients treated with anti-PD-1/PD-L1 antibodies. </w:t>
      </w:r>
      <w:r w:rsidRPr="00500BB3">
        <w:rPr>
          <w:i/>
        </w:rPr>
        <w:t>J Thorac Oncol</w:t>
      </w:r>
      <w:r w:rsidRPr="00500BB3">
        <w:t xml:space="preserve"> 2016;11:1927-39. </w:t>
      </w:r>
    </w:p>
    <w:p w14:paraId="384FC759" w14:textId="77777777" w:rsidR="00500BB3" w:rsidRPr="00500BB3" w:rsidRDefault="00500BB3" w:rsidP="00500BB3">
      <w:pPr>
        <w:pStyle w:val="EndNoteBibliography"/>
        <w:spacing w:after="0"/>
      </w:pPr>
      <w:r w:rsidRPr="00500BB3">
        <w:t xml:space="preserve">132. Siddiqui MK, Tyczynski J, Pahwa A, Fernandes AW. Objective response rate is a possible surrogate endpoint for survival in patients with advanced, recurrent ovarian cancer. </w:t>
      </w:r>
      <w:r w:rsidRPr="00500BB3">
        <w:rPr>
          <w:i/>
        </w:rPr>
        <w:t>Gynecol Oncol</w:t>
      </w:r>
      <w:r w:rsidRPr="00500BB3">
        <w:t xml:space="preserve"> 2017;146:44-51. </w:t>
      </w:r>
    </w:p>
    <w:p w14:paraId="6EF56853" w14:textId="77777777" w:rsidR="00500BB3" w:rsidRPr="00500BB3" w:rsidRDefault="00500BB3" w:rsidP="00500BB3">
      <w:pPr>
        <w:pStyle w:val="EndNoteBibliography"/>
        <w:spacing w:after="0"/>
      </w:pPr>
      <w:r w:rsidRPr="00500BB3">
        <w:t xml:space="preserve">133. Sidhu R, Rong A, Dahlberg S. Evaluation of progression-free survival as a surrogate endpoint for survival in chemotherapy and targeted agent metastatic colorectal cancer trials. </w:t>
      </w:r>
      <w:r w:rsidRPr="00500BB3">
        <w:rPr>
          <w:i/>
        </w:rPr>
        <w:t>Clin Cancer Res</w:t>
      </w:r>
      <w:r w:rsidRPr="00500BB3">
        <w:t xml:space="preserve"> 2013;19:969-76. </w:t>
      </w:r>
    </w:p>
    <w:p w14:paraId="7714798D" w14:textId="77777777" w:rsidR="00500BB3" w:rsidRPr="00500BB3" w:rsidRDefault="00500BB3" w:rsidP="00500BB3">
      <w:pPr>
        <w:pStyle w:val="EndNoteBibliography"/>
        <w:spacing w:after="0"/>
      </w:pPr>
      <w:r w:rsidRPr="00500BB3">
        <w:t xml:space="preserve">134. Tanaka K, Kawano M, Iwasaki T, Itonaga I, Tsumura H. Surrogacy of intermediate endpoints for overall survival in randomized controlled trials of first-line treatment for advanced soft tissue sarcoma in the pre- and post-pazopanib era: A meta-analytic evaluation. </w:t>
      </w:r>
      <w:r w:rsidRPr="00500BB3">
        <w:rPr>
          <w:i/>
        </w:rPr>
        <w:t>BMC Cancer</w:t>
      </w:r>
      <w:r w:rsidRPr="00500BB3">
        <w:t xml:space="preserve"> 2019;19 (1). </w:t>
      </w:r>
    </w:p>
    <w:p w14:paraId="7B01DC28" w14:textId="77777777" w:rsidR="00500BB3" w:rsidRPr="00500BB3" w:rsidRDefault="00500BB3" w:rsidP="00500BB3">
      <w:pPr>
        <w:pStyle w:val="EndNoteBibliography"/>
        <w:spacing w:after="0"/>
      </w:pPr>
      <w:r w:rsidRPr="00500BB3">
        <w:t xml:space="preserve">135. Tang PA, Bentzen SM, Chen EX, Siu LL. Surrogate end points for median overall survival in metastatic colorectal cancer: literature-based analysis from 39 randomized controlled trials of first-line chemotherapy. </w:t>
      </w:r>
      <w:r w:rsidRPr="00500BB3">
        <w:rPr>
          <w:i/>
        </w:rPr>
        <w:t>J Clin Oncol</w:t>
      </w:r>
      <w:r w:rsidRPr="00500BB3">
        <w:t xml:space="preserve"> 2007;25:4562-8. </w:t>
      </w:r>
    </w:p>
    <w:p w14:paraId="57E4C789" w14:textId="77777777" w:rsidR="00500BB3" w:rsidRPr="00500BB3" w:rsidRDefault="00500BB3" w:rsidP="00500BB3">
      <w:pPr>
        <w:pStyle w:val="EndNoteBibliography"/>
        <w:spacing w:after="0"/>
      </w:pPr>
      <w:r w:rsidRPr="00500BB3">
        <w:lastRenderedPageBreak/>
        <w:t xml:space="preserve">136. Tsujino K, Kawaguchi T, Kubo A, Aono N, Nakao K, Koh Y, et al. Response rate is associated with prolonged survival in patients with advanced non-small cell lung cancer treated with gefitinib or erlotinib. </w:t>
      </w:r>
      <w:r w:rsidRPr="00500BB3">
        <w:rPr>
          <w:i/>
        </w:rPr>
        <w:t>J Thorac Oncol</w:t>
      </w:r>
      <w:r w:rsidRPr="00500BB3">
        <w:t xml:space="preserve"> 2009;4:994-1001. </w:t>
      </w:r>
    </w:p>
    <w:p w14:paraId="57CD3847" w14:textId="77777777" w:rsidR="00500BB3" w:rsidRPr="00500BB3" w:rsidRDefault="00500BB3" w:rsidP="00500BB3">
      <w:pPr>
        <w:pStyle w:val="EndNoteBibliography"/>
        <w:spacing w:after="0"/>
      </w:pPr>
      <w:r w:rsidRPr="00500BB3">
        <w:t xml:space="preserve">137. Tsujino K, Shiraishi J, Tsuji T, Kurata T, Kawaguchi T, Kubo A, et al. Is response rate increment obtained by molecular targeted agents related to survival benefit in the phase III trials of advanced cancer? </w:t>
      </w:r>
      <w:r w:rsidRPr="00500BB3">
        <w:rPr>
          <w:i/>
        </w:rPr>
        <w:t>Ann Oncol</w:t>
      </w:r>
      <w:r w:rsidRPr="00500BB3">
        <w:t xml:space="preserve"> 2010;21:1668-74. </w:t>
      </w:r>
    </w:p>
    <w:p w14:paraId="3A644AA4" w14:textId="77777777" w:rsidR="00500BB3" w:rsidRPr="00500BB3" w:rsidRDefault="00500BB3" w:rsidP="00500BB3">
      <w:pPr>
        <w:pStyle w:val="EndNoteBibliography"/>
        <w:spacing w:after="0"/>
      </w:pPr>
      <w:r w:rsidRPr="00500BB3">
        <w:t xml:space="preserve">138. Vidaurre T, Wilkerson J, Simon R, Bates SE, Fojo T. Stable disease is not preferentially observed with targeted therapies and as currently defined has limited value in drug development. </w:t>
      </w:r>
      <w:r w:rsidRPr="00500BB3">
        <w:rPr>
          <w:i/>
        </w:rPr>
        <w:t>Cancer J</w:t>
      </w:r>
      <w:r w:rsidRPr="00500BB3">
        <w:t xml:space="preserve"> 2009;15:366-73. </w:t>
      </w:r>
    </w:p>
    <w:p w14:paraId="0BC3EF16" w14:textId="77777777" w:rsidR="00500BB3" w:rsidRPr="00500BB3" w:rsidRDefault="00500BB3" w:rsidP="00500BB3">
      <w:pPr>
        <w:pStyle w:val="EndNoteBibliography"/>
        <w:spacing w:after="0"/>
      </w:pPr>
      <w:r w:rsidRPr="00500BB3">
        <w:t xml:space="preserve">139. Wilkerson J, Fojo T. Progression-free survival is simply a measure of a drug's effect while administered and is not a surrogate for overall survival. </w:t>
      </w:r>
      <w:r w:rsidRPr="00500BB3">
        <w:rPr>
          <w:i/>
        </w:rPr>
        <w:t>Cancer J</w:t>
      </w:r>
      <w:r w:rsidRPr="00500BB3">
        <w:t xml:space="preserve"> 2009;15:379-85. </w:t>
      </w:r>
    </w:p>
    <w:p w14:paraId="3DEB010E" w14:textId="77777777" w:rsidR="00500BB3" w:rsidRPr="00354FCE" w:rsidRDefault="00500BB3" w:rsidP="00500BB3">
      <w:pPr>
        <w:pStyle w:val="EndNoteBibliography"/>
        <w:spacing w:after="0"/>
        <w:rPr>
          <w:lang w:val="fr-FR"/>
        </w:rPr>
      </w:pPr>
      <w:r w:rsidRPr="00500BB3">
        <w:t xml:space="preserve">140. Zer A, Prince RM, Amir E, Abdul Razak A. Evolution of randomized trials in advanced/metastatic soft tissue sarcoma: End point selection, surrogacy, and quality of reporting. </w:t>
      </w:r>
      <w:r w:rsidRPr="00354FCE">
        <w:rPr>
          <w:i/>
          <w:lang w:val="fr-FR"/>
        </w:rPr>
        <w:t>J Clin Oncol</w:t>
      </w:r>
      <w:r w:rsidRPr="00354FCE">
        <w:rPr>
          <w:lang w:val="fr-FR"/>
        </w:rPr>
        <w:t xml:space="preserve"> 2016;34:1469-75. </w:t>
      </w:r>
    </w:p>
    <w:p w14:paraId="7F57C5D4" w14:textId="77777777" w:rsidR="00500BB3" w:rsidRPr="00500BB3" w:rsidRDefault="00500BB3" w:rsidP="00500BB3">
      <w:pPr>
        <w:pStyle w:val="EndNoteBibliography"/>
        <w:spacing w:after="0"/>
      </w:pPr>
      <w:r w:rsidRPr="00354FCE">
        <w:rPr>
          <w:lang w:val="fr-FR"/>
        </w:rPr>
        <w:t xml:space="preserve">141. Zhu R, Lu D, Chu YW, Chai A, Green M, Zhang N, et al. </w:t>
      </w:r>
      <w:r w:rsidRPr="00500BB3">
        <w:t xml:space="preserve">Assessment of correlation between early and late efficacy endpoints to identify potential surrogacy relationships in non-hodgkin lymphoma: A literature-based meta-analysis of 108 Phase II and Phase III studies. </w:t>
      </w:r>
      <w:r w:rsidRPr="00500BB3">
        <w:rPr>
          <w:i/>
        </w:rPr>
        <w:t>AAPS Journal</w:t>
      </w:r>
      <w:r w:rsidRPr="00500BB3">
        <w:t xml:space="preserve"> 2017;19:669-81. </w:t>
      </w:r>
    </w:p>
    <w:p w14:paraId="0344A39E" w14:textId="01EAD040" w:rsidR="00500BB3" w:rsidRPr="00500BB3" w:rsidRDefault="00500BB3" w:rsidP="00500BB3">
      <w:pPr>
        <w:pStyle w:val="EndNoteBibliography"/>
        <w:spacing w:after="0"/>
      </w:pPr>
      <w:r w:rsidRPr="00500BB3">
        <w:t xml:space="preserve">142. Bujkiewicz S, Achana F, Papanikos T, Riley RD, Abrams KR. </w:t>
      </w:r>
      <w:r w:rsidRPr="00500BB3">
        <w:rPr>
          <w:i/>
        </w:rPr>
        <w:t>Multivariate meta-analysis of summary data for combining treatment effects on correlated outcomes and evaluating surrogate endpoints. Report by The Decision Support Unit</w:t>
      </w:r>
      <w:r w:rsidRPr="00500BB3">
        <w:t xml:space="preserve">. Sheffield: Decision Support Unit, ScHARR, University of Sheffield; 2019. Available from: </w:t>
      </w:r>
      <w:hyperlink r:id="rId40" w:history="1">
        <w:r w:rsidRPr="00500BB3">
          <w:rPr>
            <w:rStyle w:val="Hyperlink"/>
          </w:rPr>
          <w:t>http://nicedsu.org.uk/wp-content/uploads/2019/10/TSD-20-mvmeta-final.pdf</w:t>
        </w:r>
      </w:hyperlink>
    </w:p>
    <w:p w14:paraId="7BAB9D9A" w14:textId="77777777" w:rsidR="00500BB3" w:rsidRPr="00500BB3" w:rsidRDefault="00500BB3" w:rsidP="00500BB3">
      <w:pPr>
        <w:pStyle w:val="EndNoteBibliography"/>
        <w:spacing w:after="0"/>
      </w:pPr>
      <w:r w:rsidRPr="00500BB3">
        <w:t xml:space="preserve">143. Bujkiewicz S, Jackson D, Thompson J, Turner R, Städler N, Abrams K, et al. Bivariate network meta-analysis for surrogate endpoint evaluation. </w:t>
      </w:r>
      <w:r w:rsidRPr="00500BB3">
        <w:rPr>
          <w:i/>
        </w:rPr>
        <w:t>Stat Med</w:t>
      </w:r>
      <w:r w:rsidRPr="00500BB3">
        <w:t xml:space="preserve"> 2019;38:3322-41. </w:t>
      </w:r>
    </w:p>
    <w:p w14:paraId="4203AA2B" w14:textId="77777777" w:rsidR="00500BB3" w:rsidRPr="00500BB3" w:rsidRDefault="00500BB3" w:rsidP="00500BB3">
      <w:pPr>
        <w:pStyle w:val="EndNoteBibliography"/>
        <w:spacing w:after="0"/>
      </w:pPr>
      <w:r w:rsidRPr="00500BB3">
        <w:t xml:space="preserve">144. Phelps CE, Mushline AI. Focusing technology assessment using medical decision theory. </w:t>
      </w:r>
      <w:r w:rsidRPr="00500BB3">
        <w:rPr>
          <w:i/>
        </w:rPr>
        <w:t>Med Decis Making</w:t>
      </w:r>
      <w:r w:rsidRPr="00500BB3">
        <w:t xml:space="preserve"> 1988;8:279-89. </w:t>
      </w:r>
    </w:p>
    <w:p w14:paraId="37CB796F" w14:textId="77777777" w:rsidR="00500BB3" w:rsidRPr="00354FCE" w:rsidRDefault="00500BB3" w:rsidP="00500BB3">
      <w:pPr>
        <w:pStyle w:val="EndNoteBibliography"/>
        <w:spacing w:after="0"/>
        <w:rPr>
          <w:lang w:val="it-IT"/>
        </w:rPr>
      </w:pPr>
      <w:r w:rsidRPr="00500BB3">
        <w:t xml:space="preserve">145. Coyle D, Buxton MJ, O'Brien BJ. Stratified cost-effectiveness analysis: a framework for establishing efficient limited use criteria. </w:t>
      </w:r>
      <w:r w:rsidRPr="00354FCE">
        <w:rPr>
          <w:i/>
          <w:lang w:val="it-IT"/>
        </w:rPr>
        <w:t>Health Econ</w:t>
      </w:r>
      <w:r w:rsidRPr="00354FCE">
        <w:rPr>
          <w:lang w:val="it-IT"/>
        </w:rPr>
        <w:t xml:space="preserve"> 2003;12:421-7. </w:t>
      </w:r>
    </w:p>
    <w:p w14:paraId="02B8E7A8" w14:textId="77777777" w:rsidR="00500BB3" w:rsidRPr="00500BB3" w:rsidRDefault="00500BB3" w:rsidP="00500BB3">
      <w:pPr>
        <w:pStyle w:val="EndNoteBibliography"/>
        <w:spacing w:after="0"/>
      </w:pPr>
      <w:r w:rsidRPr="00354FCE">
        <w:rPr>
          <w:lang w:val="it-IT"/>
        </w:rPr>
        <w:t xml:space="preserve">146. Espinoza MA, Manca A, Claxton K, Sculpher MJ. </w:t>
      </w:r>
      <w:r w:rsidRPr="00500BB3">
        <w:t xml:space="preserve">The value of heterogeneity for cost-effectiveness subgroup analysis: conceptual framework and application. </w:t>
      </w:r>
      <w:r w:rsidRPr="00500BB3">
        <w:rPr>
          <w:i/>
        </w:rPr>
        <w:t>Med Decis Making</w:t>
      </w:r>
      <w:r w:rsidRPr="00500BB3">
        <w:t xml:space="preserve"> 2014;34:951-64. </w:t>
      </w:r>
    </w:p>
    <w:p w14:paraId="162B8848" w14:textId="77777777" w:rsidR="00500BB3" w:rsidRPr="00500BB3" w:rsidRDefault="00500BB3" w:rsidP="00500BB3">
      <w:pPr>
        <w:pStyle w:val="EndNoteBibliography"/>
        <w:spacing w:after="0"/>
      </w:pPr>
      <w:r w:rsidRPr="00500BB3">
        <w:t xml:space="preserve">147. Basu A, Meltzer D. Value of information on preference heterogeneity and individualized care. </w:t>
      </w:r>
      <w:r w:rsidRPr="00500BB3">
        <w:rPr>
          <w:i/>
        </w:rPr>
        <w:t>Med Decis Making</w:t>
      </w:r>
      <w:r w:rsidRPr="00500BB3">
        <w:t xml:space="preserve"> 2007;27:112-27. </w:t>
      </w:r>
    </w:p>
    <w:p w14:paraId="43E6DB58" w14:textId="2B802F92" w:rsidR="00500BB3" w:rsidRPr="00500BB3" w:rsidRDefault="00500BB3" w:rsidP="00500BB3">
      <w:pPr>
        <w:pStyle w:val="EndNoteBibliography"/>
        <w:spacing w:after="0"/>
      </w:pPr>
      <w:r w:rsidRPr="00500BB3">
        <w:t xml:space="preserve">148. Cancer Research UK. </w:t>
      </w:r>
      <w:r w:rsidRPr="00500BB3">
        <w:rPr>
          <w:i/>
        </w:rPr>
        <w:t>Cancer Research UK policy statement: Patient access to molecular diagnostics and targeted medicines in England</w:t>
      </w:r>
      <w:r w:rsidRPr="00500BB3">
        <w:t xml:space="preserve">. London; 2018. Available from: </w:t>
      </w:r>
      <w:hyperlink r:id="rId41" w:history="1">
        <w:r w:rsidRPr="00500BB3">
          <w:rPr>
            <w:rStyle w:val="Hyperlink"/>
          </w:rPr>
          <w:t>https://www.cancerresearchuk.org/sites/default/files/access_to_molecular_diagnostic_tests_and_targeted_medicines_in_england_0.pdf</w:t>
        </w:r>
      </w:hyperlink>
    </w:p>
    <w:p w14:paraId="450F1497" w14:textId="77777777" w:rsidR="00500BB3" w:rsidRPr="00500BB3" w:rsidRDefault="00500BB3" w:rsidP="00500BB3">
      <w:pPr>
        <w:pStyle w:val="EndNoteBibliography"/>
        <w:spacing w:after="0"/>
      </w:pPr>
      <w:r w:rsidRPr="00500BB3">
        <w:t xml:space="preserve">149. Lunn D, Jackson C, Best N, Thomas A, Spiegelhalter D. </w:t>
      </w:r>
      <w:r w:rsidRPr="00500BB3">
        <w:rPr>
          <w:i/>
        </w:rPr>
        <w:t>The BUGS book</w:t>
      </w:r>
      <w:r w:rsidRPr="00500BB3">
        <w:t xml:space="preserve">. Boca Raton, FL: CRC Press; 2013. </w:t>
      </w:r>
    </w:p>
    <w:p w14:paraId="0E21A068" w14:textId="11FAA536" w:rsidR="00500BB3" w:rsidRPr="00500BB3" w:rsidRDefault="00500BB3" w:rsidP="00500BB3">
      <w:pPr>
        <w:pStyle w:val="EndNoteBibliography"/>
        <w:spacing w:after="0"/>
      </w:pPr>
      <w:r w:rsidRPr="00500BB3">
        <w:t xml:space="preserve">150. R Core Team. </w:t>
      </w:r>
      <w:r w:rsidRPr="00500BB3">
        <w:rPr>
          <w:i/>
        </w:rPr>
        <w:t>R: A language and environment for statistical computing (</w:t>
      </w:r>
      <w:hyperlink r:id="rId42" w:history="1">
        <w:r w:rsidRPr="00500BB3">
          <w:rPr>
            <w:rStyle w:val="Hyperlink"/>
            <w:i/>
          </w:rPr>
          <w:t>https://www.R-project.org/</w:t>
        </w:r>
      </w:hyperlink>
      <w:r w:rsidRPr="00500BB3">
        <w:rPr>
          <w:i/>
        </w:rPr>
        <w:t>)</w:t>
      </w:r>
      <w:r w:rsidRPr="00500BB3">
        <w:t>. [program] Vienna, Austria: R Foundation for Statistical Computing; 2019.</w:t>
      </w:r>
    </w:p>
    <w:p w14:paraId="73FBCC29" w14:textId="68D90EDA" w:rsidR="00500BB3" w:rsidRPr="00500BB3" w:rsidRDefault="00500BB3" w:rsidP="00500BB3">
      <w:pPr>
        <w:pStyle w:val="EndNoteBibliography"/>
        <w:spacing w:after="0"/>
        <w:rPr>
          <w:u w:val="single"/>
        </w:rPr>
      </w:pPr>
      <w:r w:rsidRPr="00500BB3">
        <w:t xml:space="preserve">151. Sturtz S, Ligges U, Gelman A. R2WinBUGS: A package for running WinBUGS from R. </w:t>
      </w:r>
      <w:r w:rsidRPr="00500BB3">
        <w:rPr>
          <w:i/>
        </w:rPr>
        <w:t>Journal of Statistical Software</w:t>
      </w:r>
      <w:r w:rsidRPr="00500BB3">
        <w:t xml:space="preserve"> 2005;12:1-16 (</w:t>
      </w:r>
      <w:hyperlink r:id="rId43" w:history="1">
        <w:r w:rsidRPr="00500BB3">
          <w:rPr>
            <w:rStyle w:val="Hyperlink"/>
          </w:rPr>
          <w:t>http://www.jstatsoft.org/v12/i03</w:t>
        </w:r>
      </w:hyperlink>
      <w:r w:rsidRPr="00500BB3">
        <w:t xml:space="preserve">). Available from: </w:t>
      </w:r>
      <w:hyperlink r:id="rId44" w:history="1">
        <w:r w:rsidRPr="00500BB3">
          <w:rPr>
            <w:rStyle w:val="Hyperlink"/>
          </w:rPr>
          <w:t>http://www.jstatsoft.org/v12/i03</w:t>
        </w:r>
      </w:hyperlink>
    </w:p>
    <w:p w14:paraId="0A27E4C8" w14:textId="77777777" w:rsidR="00500BB3" w:rsidRPr="00500BB3" w:rsidRDefault="00500BB3" w:rsidP="00500BB3">
      <w:pPr>
        <w:pStyle w:val="EndNoteBibliography"/>
        <w:spacing w:after="0"/>
      </w:pPr>
      <w:r w:rsidRPr="00500BB3">
        <w:t xml:space="preserve">152. Brooks SP, Gelman A. General methods for monitoring convergence of iterative simulations. </w:t>
      </w:r>
      <w:r w:rsidRPr="00500BB3">
        <w:rPr>
          <w:i/>
        </w:rPr>
        <w:t>Journal of Computational and Graphical Statistics</w:t>
      </w:r>
      <w:r w:rsidRPr="00500BB3">
        <w:t xml:space="preserve"> 1998;7:434-55. </w:t>
      </w:r>
    </w:p>
    <w:p w14:paraId="407FAC94" w14:textId="77777777" w:rsidR="00500BB3" w:rsidRPr="00500BB3" w:rsidRDefault="00500BB3" w:rsidP="00500BB3">
      <w:pPr>
        <w:pStyle w:val="EndNoteBibliography"/>
        <w:spacing w:after="0"/>
      </w:pPr>
      <w:r w:rsidRPr="00500BB3">
        <w:lastRenderedPageBreak/>
        <w:t xml:space="preserve">153. Gelman A, Rubin DB. Inferences from iterative simulation using multiple sequences. </w:t>
      </w:r>
      <w:r w:rsidRPr="00500BB3">
        <w:rPr>
          <w:i/>
        </w:rPr>
        <w:t>Statistical Science</w:t>
      </w:r>
      <w:r w:rsidRPr="00500BB3">
        <w:t xml:space="preserve"> 1992;7:457-72. </w:t>
      </w:r>
    </w:p>
    <w:p w14:paraId="61AC1F4D" w14:textId="77777777" w:rsidR="00500BB3" w:rsidRPr="00500BB3" w:rsidRDefault="00500BB3" w:rsidP="00500BB3">
      <w:pPr>
        <w:pStyle w:val="EndNoteBibliography"/>
        <w:spacing w:after="0"/>
      </w:pPr>
      <w:r w:rsidRPr="00500BB3">
        <w:t xml:space="preserve">154. National Institute for Health and Care Excellence (NICE). </w:t>
      </w:r>
      <w:r w:rsidRPr="00500BB3">
        <w:rPr>
          <w:i/>
        </w:rPr>
        <w:t>Larotrectinib for treating NTRK fusion-positive advanced solid tumours</w:t>
      </w:r>
      <w:r w:rsidRPr="00500BB3">
        <w:t xml:space="preserve">: National Institute for Health and Care Excellence; 2019. </w:t>
      </w:r>
    </w:p>
    <w:p w14:paraId="4C0D4952" w14:textId="77777777" w:rsidR="00500BB3" w:rsidRPr="00500BB3" w:rsidRDefault="00500BB3" w:rsidP="00500BB3">
      <w:pPr>
        <w:pStyle w:val="EndNoteBibliography"/>
        <w:spacing w:after="0"/>
      </w:pPr>
      <w:r w:rsidRPr="00354FCE">
        <w:rPr>
          <w:lang w:val="it-IT"/>
        </w:rPr>
        <w:t xml:space="preserve">155. Bongarzone I, Vigneri P, Mariani L, Collini P, Pilotti S, Pierotti MA. </w:t>
      </w:r>
      <w:r w:rsidRPr="00500BB3">
        <w:t xml:space="preserve">RET/NTRK1 rearrangements in thyroid gland tumors of the papillary carcinoma family: correlation with clinicopathological features. </w:t>
      </w:r>
      <w:r w:rsidRPr="00500BB3">
        <w:rPr>
          <w:i/>
        </w:rPr>
        <w:t>Clin Cancer Res</w:t>
      </w:r>
      <w:r w:rsidRPr="00500BB3">
        <w:t xml:space="preserve"> 1998;4:223-28. </w:t>
      </w:r>
    </w:p>
    <w:p w14:paraId="19578CC3" w14:textId="77777777" w:rsidR="00500BB3" w:rsidRPr="00500BB3" w:rsidRDefault="00500BB3" w:rsidP="00500BB3">
      <w:pPr>
        <w:pStyle w:val="EndNoteBibliography"/>
        <w:spacing w:after="0"/>
      </w:pPr>
      <w:r w:rsidRPr="00500BB3">
        <w:t xml:space="preserve">156. Prasad ML, Vyas M, Horne MJ, Virk RK, Morotti R, Liu Z, et al. NTRK fusion oncogenes in pediatric papillary thyroid carcinoma in northeast United States. </w:t>
      </w:r>
      <w:r w:rsidRPr="00500BB3">
        <w:rPr>
          <w:i/>
        </w:rPr>
        <w:t>Cancer</w:t>
      </w:r>
      <w:r w:rsidRPr="00500BB3">
        <w:t xml:space="preserve"> 2016;122:1097-107. </w:t>
      </w:r>
    </w:p>
    <w:p w14:paraId="508F6AC5" w14:textId="77777777" w:rsidR="00500BB3" w:rsidRPr="00500BB3" w:rsidRDefault="00500BB3" w:rsidP="00500BB3">
      <w:pPr>
        <w:pStyle w:val="EndNoteBibliography"/>
        <w:spacing w:after="0"/>
      </w:pPr>
      <w:r w:rsidRPr="00500BB3">
        <w:rPr>
          <w:rFonts w:hint="eastAsia"/>
        </w:rPr>
        <w:t>157. Vokuhl C, Nourkami</w:t>
      </w:r>
      <w:r w:rsidRPr="00500BB3">
        <w:rPr>
          <w:rFonts w:hint="eastAsia"/>
        </w:rPr>
        <w:t>‐</w:t>
      </w:r>
      <w:r w:rsidRPr="00500BB3">
        <w:rPr>
          <w:rFonts w:hint="eastAsia"/>
        </w:rPr>
        <w:t>Tutdibi N, Furtwängler R, Gessler M, Graf N, Leuschner I. ETV6</w:t>
      </w:r>
      <w:r w:rsidRPr="00500BB3">
        <w:rPr>
          <w:rFonts w:hint="eastAsia"/>
        </w:rPr>
        <w:t>–</w:t>
      </w:r>
      <w:r w:rsidRPr="00500BB3">
        <w:rPr>
          <w:rFonts w:hint="eastAsia"/>
        </w:rPr>
        <w:t xml:space="preserve">NTRK3 in congenital mesoblastic nephroma: A </w:t>
      </w:r>
      <w:r w:rsidRPr="00500BB3">
        <w:t xml:space="preserve">report of the SIOP/GPOH nephroblastoma study. </w:t>
      </w:r>
      <w:r w:rsidRPr="00500BB3">
        <w:rPr>
          <w:i/>
        </w:rPr>
        <w:t>Pediatric Blood and Cancer</w:t>
      </w:r>
      <w:r w:rsidRPr="00500BB3">
        <w:t xml:space="preserve"> 2018;65:e26925. </w:t>
      </w:r>
    </w:p>
    <w:p w14:paraId="7D3F20F7" w14:textId="2109183E" w:rsidR="00500BB3" w:rsidRPr="00500BB3" w:rsidRDefault="00500BB3" w:rsidP="00500BB3">
      <w:pPr>
        <w:pStyle w:val="EndNoteBibliography"/>
        <w:spacing w:after="0"/>
      </w:pPr>
      <w:r w:rsidRPr="00500BB3">
        <w:t xml:space="preserve">158. Phillippo DM, A. E. Ades, S. Dias, S. Palmer, K. R. Abrams and N. J. Welton. . </w:t>
      </w:r>
      <w:r w:rsidRPr="00500BB3">
        <w:rPr>
          <w:i/>
        </w:rPr>
        <w:t>NICE DSU Technical Support Document 18: Methods for population-adjusted indirect comparisons in submissions to NICE</w:t>
      </w:r>
      <w:r w:rsidRPr="00500BB3">
        <w:t xml:space="preserve">. Sheffield, UK, ScHARR, University of Sheffield.; 2016. Available from: </w:t>
      </w:r>
      <w:hyperlink r:id="rId45" w:history="1">
        <w:r w:rsidRPr="00500BB3">
          <w:rPr>
            <w:rStyle w:val="Hyperlink"/>
          </w:rPr>
          <w:t>https://scharr.dept.shef.ac.uk/nicedsu/wp-content/uploads/sites/7/2017/05/Population-adjustment-TSD-FINAL.pdf</w:t>
        </w:r>
      </w:hyperlink>
    </w:p>
    <w:p w14:paraId="3EB8FA82" w14:textId="77777777" w:rsidR="00500BB3" w:rsidRPr="00500BB3" w:rsidRDefault="00500BB3" w:rsidP="00500BB3">
      <w:pPr>
        <w:pStyle w:val="EndNoteBibliography"/>
        <w:spacing w:after="0"/>
      </w:pPr>
      <w:r w:rsidRPr="00500BB3">
        <w:t xml:space="preserve">159. Hatswell AJ, Thompson GJ, Maroudas PA, Sofrygin O, Delea TE. Estimating outcomes and cost effectiveness using a single-arm clinical trial: ofatumumab for double-refractory chronic lymphocytic leukemia. </w:t>
      </w:r>
      <w:r w:rsidRPr="00500BB3">
        <w:rPr>
          <w:i/>
        </w:rPr>
        <w:t>Cost Eff Resour Alloc</w:t>
      </w:r>
      <w:r w:rsidRPr="00500BB3">
        <w:t xml:space="preserve"> 2017;15:8. </w:t>
      </w:r>
    </w:p>
    <w:p w14:paraId="1A688D2E" w14:textId="77777777" w:rsidR="00500BB3" w:rsidRPr="00500BB3" w:rsidRDefault="00500BB3" w:rsidP="00500BB3">
      <w:pPr>
        <w:pStyle w:val="EndNoteBibliography"/>
        <w:spacing w:after="0"/>
      </w:pPr>
      <w:r w:rsidRPr="00500BB3">
        <w:t xml:space="preserve">160. Hatswell AJ, Sullivan WG. Creating historical controls using data from a previous line of treatment - Two non-standard approaches. </w:t>
      </w:r>
      <w:r w:rsidRPr="00500BB3">
        <w:rPr>
          <w:i/>
        </w:rPr>
        <w:t>Stat Methods Med Res</w:t>
      </w:r>
      <w:r w:rsidRPr="00500BB3">
        <w:t xml:space="preserve"> 2019;0:1-10. </w:t>
      </w:r>
    </w:p>
    <w:p w14:paraId="38DA014B" w14:textId="77777777" w:rsidR="00500BB3" w:rsidRPr="00500BB3" w:rsidRDefault="00500BB3" w:rsidP="00500BB3">
      <w:pPr>
        <w:pStyle w:val="EndNoteBibliography"/>
        <w:spacing w:after="0"/>
      </w:pPr>
      <w:r w:rsidRPr="00500BB3">
        <w:t xml:space="preserve">161. Hsiao SJ, Zehir A, Sireci AN, Aisner DL. Detection of tumor NTRK gene fusions to identify patients who may benefit from tyrosine kinase (TRK) inhibitor therapy. </w:t>
      </w:r>
      <w:r w:rsidRPr="00500BB3">
        <w:rPr>
          <w:i/>
        </w:rPr>
        <w:t>J Mol Diagn</w:t>
      </w:r>
      <w:r w:rsidRPr="00500BB3">
        <w:t xml:space="preserve"> 2019;21:553-71. </w:t>
      </w:r>
    </w:p>
    <w:p w14:paraId="5BCEB9E7" w14:textId="10292B31" w:rsidR="00500BB3" w:rsidRPr="00500BB3" w:rsidRDefault="00500BB3" w:rsidP="00500BB3">
      <w:pPr>
        <w:pStyle w:val="EndNoteBibliography"/>
        <w:spacing w:after="0"/>
      </w:pPr>
      <w:r w:rsidRPr="00500BB3">
        <w:t>162. NHS England.</w:t>
      </w:r>
      <w:r w:rsidRPr="00500BB3">
        <w:rPr>
          <w:i/>
        </w:rPr>
        <w:t xml:space="preserve"> National Genomic Test Directory</w:t>
      </w:r>
      <w:r w:rsidRPr="00500BB3">
        <w:t xml:space="preserve">. 2019. [cited 2019 15th May]. Available from: </w:t>
      </w:r>
      <w:hyperlink r:id="rId46" w:history="1">
        <w:r w:rsidRPr="00500BB3">
          <w:rPr>
            <w:rStyle w:val="Hyperlink"/>
          </w:rPr>
          <w:t>https://www.england.nhs.uk/publication/national-genomic-test-directories/</w:t>
        </w:r>
      </w:hyperlink>
      <w:r w:rsidRPr="00500BB3">
        <w:t xml:space="preserve">. </w:t>
      </w:r>
    </w:p>
    <w:p w14:paraId="644A68CC" w14:textId="2FE693B9" w:rsidR="00500BB3" w:rsidRPr="001B2B93" w:rsidRDefault="00500BB3" w:rsidP="00500BB3">
      <w:pPr>
        <w:pStyle w:val="EndNoteBibliography"/>
        <w:spacing w:after="0"/>
        <w:rPr>
          <w:rFonts w:eastAsia="Times New Roman"/>
          <w:lang w:val="it-IT"/>
        </w:rPr>
      </w:pPr>
      <w:r w:rsidRPr="00500BB3">
        <w:t xml:space="preserve">163. </w:t>
      </w:r>
      <w:r w:rsidR="001B2B93" w:rsidRPr="001B2B93">
        <w:rPr>
          <w:rFonts w:eastAsia="Times New Roman"/>
        </w:rPr>
        <w:t xml:space="preserve">Vogelstein B, Kinzler KW. Cancer genes and the pathways they control. </w:t>
      </w:r>
      <w:r w:rsidR="001B2B93" w:rsidRPr="001B2B93">
        <w:rPr>
          <w:rFonts w:eastAsia="Times New Roman"/>
          <w:lang w:val="it-IT"/>
        </w:rPr>
        <w:t xml:space="preserve">Nat Med 2004;10:789. </w:t>
      </w:r>
    </w:p>
    <w:p w14:paraId="35A90499" w14:textId="6C8CCA71" w:rsidR="00500BB3" w:rsidRPr="00500BB3" w:rsidRDefault="00500BB3" w:rsidP="00500BB3">
      <w:pPr>
        <w:pStyle w:val="EndNoteBibliography"/>
        <w:spacing w:after="0"/>
      </w:pPr>
      <w:r w:rsidRPr="00354FCE">
        <w:rPr>
          <w:lang w:val="it-IT"/>
        </w:rPr>
        <w:t xml:space="preserve">164. </w:t>
      </w:r>
      <w:r w:rsidR="001B2B93" w:rsidRPr="001B2B93">
        <w:rPr>
          <w:rFonts w:eastAsia="Calibri"/>
          <w:noProof w:val="0"/>
          <w:lang w:val="it-IT"/>
        </w:rPr>
        <w:t xml:space="preserve">Morganti S, Tarantino P, Ferraro E, D'Amico P, Viale G, Trapani D, Duso BA, Curigliano G. </w:t>
      </w:r>
      <w:hyperlink r:id="rId47" w:history="1">
        <w:r w:rsidR="001B2B93" w:rsidRPr="001B2B93">
          <w:rPr>
            <w:rFonts w:eastAsia="Calibri"/>
            <w:noProof w:val="0"/>
            <w:lang w:val="it-IT"/>
          </w:rPr>
          <w:t>Complexity of genome sequencing and reporting: Next generation sequencing (NGS) technologies and implementation of precision medicine in real life.</w:t>
        </w:r>
      </w:hyperlink>
      <w:r w:rsidR="001B2B93" w:rsidRPr="001B2B93">
        <w:rPr>
          <w:rFonts w:eastAsia="Calibri"/>
          <w:noProof w:val="0"/>
          <w:lang w:val="it-IT"/>
        </w:rPr>
        <w:t xml:space="preserve"> </w:t>
      </w:r>
      <w:r w:rsidR="001B2B93" w:rsidRPr="001B2B93">
        <w:rPr>
          <w:rFonts w:eastAsia="Calibri"/>
          <w:i/>
          <w:noProof w:val="0"/>
          <w:lang w:val="en-GB"/>
        </w:rPr>
        <w:t>Crit Rev Oncol Hematol</w:t>
      </w:r>
      <w:r w:rsidR="001B2B93" w:rsidRPr="001B2B93">
        <w:rPr>
          <w:rFonts w:eastAsia="Calibri"/>
          <w:noProof w:val="0"/>
          <w:lang w:val="en-GB"/>
        </w:rPr>
        <w:t>. 2019 Jan;133:171-182</w:t>
      </w:r>
      <w:r w:rsidRPr="00500BB3">
        <w:t xml:space="preserve"> </w:t>
      </w:r>
    </w:p>
    <w:p w14:paraId="2AE9FFF2" w14:textId="77777777" w:rsidR="00500BB3" w:rsidRPr="00500BB3" w:rsidRDefault="00500BB3" w:rsidP="00500BB3">
      <w:pPr>
        <w:pStyle w:val="EndNoteBibliography"/>
        <w:spacing w:after="0"/>
      </w:pPr>
      <w:r w:rsidRPr="00500BB3">
        <w:t xml:space="preserve">165. Eifert C, Powers RS. From cancer genomes to oncogenic drivers, tumour dependencies and therapeutic targets. </w:t>
      </w:r>
      <w:r w:rsidRPr="00500BB3">
        <w:rPr>
          <w:i/>
        </w:rPr>
        <w:t>Nature Reviews Cancer</w:t>
      </w:r>
      <w:r w:rsidRPr="00500BB3">
        <w:t xml:space="preserve"> 2012;12:572. </w:t>
      </w:r>
    </w:p>
    <w:p w14:paraId="3FC6F41D" w14:textId="77777777" w:rsidR="00500BB3" w:rsidRPr="00500BB3" w:rsidRDefault="00500BB3" w:rsidP="00500BB3">
      <w:pPr>
        <w:pStyle w:val="EndNoteBibliography"/>
        <w:spacing w:after="0"/>
      </w:pPr>
      <w:r w:rsidRPr="00500BB3">
        <w:t xml:space="preserve">166. Sheikine Y, Kuo FC, Lindeman NI. Clinical and technical aspects of genomic diagnostics for precision oncology. </w:t>
      </w:r>
      <w:r w:rsidRPr="00500BB3">
        <w:rPr>
          <w:i/>
        </w:rPr>
        <w:t>J Clin Oncol</w:t>
      </w:r>
      <w:r w:rsidRPr="00500BB3">
        <w:t xml:space="preserve"> 2017;35:929-33. </w:t>
      </w:r>
    </w:p>
    <w:p w14:paraId="71C408B0" w14:textId="5A90B88E" w:rsidR="00500BB3" w:rsidRPr="00500BB3" w:rsidRDefault="00500BB3" w:rsidP="00500BB3">
      <w:pPr>
        <w:pStyle w:val="EndNoteBibliography"/>
        <w:spacing w:after="0"/>
      </w:pPr>
      <w:r w:rsidRPr="00500BB3">
        <w:t xml:space="preserve">167. </w:t>
      </w:r>
      <w:r w:rsidR="001B2B93" w:rsidRPr="0050706B">
        <w:rPr>
          <w:color w:val="000000"/>
        </w:rPr>
        <w:t xml:space="preserve">Solomon JP, Hechtman JF. Detection of NTRK fusions: merits and limitations of current diagnostic platforms. </w:t>
      </w:r>
      <w:r w:rsidR="001B2B93" w:rsidRPr="0050706B">
        <w:rPr>
          <w:i/>
          <w:color w:val="000000"/>
        </w:rPr>
        <w:t>Ca</w:t>
      </w:r>
      <w:r w:rsidR="001B2B93" w:rsidRPr="0050706B">
        <w:rPr>
          <w:rStyle w:val="jrnl"/>
          <w:i/>
          <w:color w:val="000000"/>
        </w:rPr>
        <w:t>ncer Res</w:t>
      </w:r>
      <w:r w:rsidR="001B2B93" w:rsidRPr="0050706B">
        <w:rPr>
          <w:color w:val="000000"/>
        </w:rPr>
        <w:t xml:space="preserve"> 2019 Jul 1;79(13):3163-3168</w:t>
      </w:r>
      <w:r w:rsidRPr="00500BB3">
        <w:t xml:space="preserve"> </w:t>
      </w:r>
    </w:p>
    <w:p w14:paraId="54EB505E" w14:textId="77777777" w:rsidR="00500BB3" w:rsidRPr="00500BB3" w:rsidRDefault="00500BB3" w:rsidP="00500BB3">
      <w:pPr>
        <w:pStyle w:val="EndNoteBibliography"/>
        <w:spacing w:after="0"/>
      </w:pPr>
      <w:r w:rsidRPr="00500BB3">
        <w:t xml:space="preserve">168. Penault-Llorca F, Rudzinski ER, Sepulveda AR. Testing algorithm for identification of patients with TRK fusion cancer. </w:t>
      </w:r>
      <w:r w:rsidRPr="00500BB3">
        <w:rPr>
          <w:i/>
        </w:rPr>
        <w:t>J Clin Pathol</w:t>
      </w:r>
      <w:r w:rsidRPr="00500BB3">
        <w:t xml:space="preserve"> 2019;72:460-67. </w:t>
      </w:r>
    </w:p>
    <w:p w14:paraId="166464F9" w14:textId="77777777" w:rsidR="00500BB3" w:rsidRPr="00500BB3" w:rsidRDefault="00500BB3" w:rsidP="00500BB3">
      <w:pPr>
        <w:pStyle w:val="EndNoteBibliography"/>
        <w:spacing w:after="0"/>
      </w:pPr>
      <w:r w:rsidRPr="00500BB3">
        <w:t xml:space="preserve">169. Wright C. Long Noncoding RNAs and Cancer. In: Gray S, editor. </w:t>
      </w:r>
      <w:r w:rsidRPr="00500BB3">
        <w:rPr>
          <w:i/>
        </w:rPr>
        <w:t>Epigenetic Cancer Therapy</w:t>
      </w:r>
      <w:r w:rsidRPr="00500BB3">
        <w:t xml:space="preserve">: Acadmic Press; 2015. p. 91-114. </w:t>
      </w:r>
    </w:p>
    <w:p w14:paraId="3BBE4C18" w14:textId="77777777" w:rsidR="00500BB3" w:rsidRPr="00500BB3" w:rsidRDefault="00500BB3" w:rsidP="00500BB3">
      <w:pPr>
        <w:pStyle w:val="EndNoteBibliography"/>
        <w:spacing w:after="0"/>
      </w:pPr>
      <w:r w:rsidRPr="00500BB3">
        <w:t xml:space="preserve">170. Marchiò C, Scaltriti M, Ladanyi M, Iafrate AJ, Bibeau F, Dietel M, et al. ESMO recommendations on the standard methods to detect NTRK fusions in daily practice and clinical research. </w:t>
      </w:r>
      <w:r w:rsidRPr="00500BB3">
        <w:rPr>
          <w:i/>
        </w:rPr>
        <w:t>Ann Oncol</w:t>
      </w:r>
      <w:r w:rsidRPr="00500BB3">
        <w:t xml:space="preserve"> 2019. </w:t>
      </w:r>
    </w:p>
    <w:p w14:paraId="2180A0C7" w14:textId="77777777" w:rsidR="00500BB3" w:rsidRPr="00500BB3" w:rsidRDefault="00500BB3" w:rsidP="00500BB3">
      <w:pPr>
        <w:pStyle w:val="EndNoteBibliography"/>
        <w:spacing w:after="0"/>
      </w:pPr>
      <w:r w:rsidRPr="00500BB3">
        <w:t xml:space="preserve">171. Sigal DS, Bhangoo MS, Hermel JA, Pavlick DC, Frampton G, Miller VA, et al. Comprehensive genomic profiling identifies novel NTRK fusions in neuroendocrine tumors. </w:t>
      </w:r>
      <w:r w:rsidRPr="00500BB3">
        <w:rPr>
          <w:i/>
        </w:rPr>
        <w:t>Oncotarget</w:t>
      </w:r>
      <w:r w:rsidRPr="00500BB3">
        <w:t xml:space="preserve"> 2018;9:35809-12. </w:t>
      </w:r>
    </w:p>
    <w:p w14:paraId="3FEE9787" w14:textId="77777777" w:rsidR="00500BB3" w:rsidRPr="00500BB3" w:rsidRDefault="00500BB3" w:rsidP="00500BB3">
      <w:pPr>
        <w:pStyle w:val="EndNoteBibliography"/>
        <w:spacing w:after="0"/>
      </w:pPr>
      <w:r w:rsidRPr="00500BB3">
        <w:lastRenderedPageBreak/>
        <w:t xml:space="preserve">172. Okamura R, Boichard A, Kato S, Sicklick JK, Bazhenova L, Kurzrock R. Analysis of NTRK alterations in pan-cancer adult and pediatric malignancies: implications for NTRK-targeted therapeutics. </w:t>
      </w:r>
      <w:r w:rsidRPr="00500BB3">
        <w:rPr>
          <w:i/>
        </w:rPr>
        <w:t>JCO Precision Oncology</w:t>
      </w:r>
      <w:r w:rsidRPr="00500BB3">
        <w:t xml:space="preserve"> 2018;2018. </w:t>
      </w:r>
    </w:p>
    <w:p w14:paraId="53C4B602" w14:textId="30C83FFE" w:rsidR="00500BB3" w:rsidRPr="00500BB3" w:rsidRDefault="00500BB3" w:rsidP="00500BB3">
      <w:pPr>
        <w:pStyle w:val="EndNoteBibliography"/>
        <w:spacing w:after="0"/>
      </w:pPr>
      <w:r w:rsidRPr="00500BB3">
        <w:t xml:space="preserve">173. Center for Drug Evaluation and Research. </w:t>
      </w:r>
      <w:r w:rsidRPr="00500BB3">
        <w:rPr>
          <w:i/>
        </w:rPr>
        <w:t>NDA Multidisciplinary Review and Evaluation NDA 210861 and NDA 211710 VITRAKVI (larotrectinib)</w:t>
      </w:r>
      <w:r w:rsidRPr="00500BB3">
        <w:t xml:space="preserve">: U.S. Food and Drug Administration, ; 2016. Available from: </w:t>
      </w:r>
      <w:hyperlink r:id="rId48" w:history="1">
        <w:r w:rsidRPr="00500BB3">
          <w:rPr>
            <w:rStyle w:val="Hyperlink"/>
          </w:rPr>
          <w:t>https://www.accessdata.fda.gov/drugsatfda_docs/nda/2018/210861Orig1s000_211710Orig1s000MultidisciplineR.pdf</w:t>
        </w:r>
      </w:hyperlink>
    </w:p>
    <w:p w14:paraId="4AB6241C" w14:textId="77777777" w:rsidR="00500BB3" w:rsidRPr="00500BB3" w:rsidRDefault="00500BB3" w:rsidP="00500BB3">
      <w:pPr>
        <w:pStyle w:val="EndNoteBibliography"/>
        <w:spacing w:after="0"/>
      </w:pPr>
      <w:r w:rsidRPr="00500BB3">
        <w:t xml:space="preserve">174. Amatu A, Sartore-Bianchi A, Siena S. NTRK gene fusions as novel targets of cancer therapy across multiple tumour types. </w:t>
      </w:r>
      <w:r w:rsidRPr="00500BB3">
        <w:rPr>
          <w:i/>
        </w:rPr>
        <w:t>ESMO Open</w:t>
      </w:r>
      <w:r w:rsidRPr="00500BB3">
        <w:t xml:space="preserve"> 2016;1:e000023. </w:t>
      </w:r>
    </w:p>
    <w:p w14:paraId="4A8C1721" w14:textId="77777777" w:rsidR="00500BB3" w:rsidRPr="00500BB3" w:rsidRDefault="00500BB3" w:rsidP="00500BB3">
      <w:pPr>
        <w:pStyle w:val="EndNoteBibliography"/>
        <w:spacing w:after="0"/>
      </w:pPr>
      <w:r w:rsidRPr="00500BB3">
        <w:t xml:space="preserve">175. Williams HL, Walsh K, Diamond A, Oniscu A, Deans ZC. Validation of the Oncomine™ focus panel for next-generation sequencing of clinical tumour samples. </w:t>
      </w:r>
      <w:r w:rsidRPr="00500BB3">
        <w:rPr>
          <w:i/>
        </w:rPr>
        <w:t>Virchows Archiv</w:t>
      </w:r>
      <w:r w:rsidRPr="00500BB3">
        <w:t xml:space="preserve"> 2018;473:489-503. </w:t>
      </w:r>
    </w:p>
    <w:p w14:paraId="6A2D5EDC" w14:textId="77777777" w:rsidR="00500BB3" w:rsidRPr="00500BB3" w:rsidRDefault="00500BB3" w:rsidP="00500BB3">
      <w:pPr>
        <w:pStyle w:val="EndNoteBibliography"/>
        <w:spacing w:after="0"/>
      </w:pPr>
      <w:r w:rsidRPr="00500BB3">
        <w:t xml:space="preserve">176. Solomon JP, Linkov I, Rosado A, Mullaney K, Rosen EY, Frosina D, et al. NTRK fusion detection across multiple assays and 33,997 cases: diagnostic implications and pitfalls. </w:t>
      </w:r>
      <w:r w:rsidRPr="00500BB3">
        <w:rPr>
          <w:i/>
        </w:rPr>
        <w:t>Modern Pathology</w:t>
      </w:r>
      <w:r w:rsidRPr="00500BB3">
        <w:t xml:space="preserve"> 2019;33:38-46. </w:t>
      </w:r>
    </w:p>
    <w:p w14:paraId="4A6BB0E0" w14:textId="1BC84AA5" w:rsidR="00500BB3" w:rsidRPr="00500BB3" w:rsidRDefault="00500BB3" w:rsidP="00500BB3">
      <w:pPr>
        <w:pStyle w:val="EndNoteBibliography"/>
        <w:spacing w:after="0"/>
      </w:pPr>
      <w:r w:rsidRPr="00500BB3">
        <w:rPr>
          <w:rFonts w:hint="eastAsia"/>
        </w:rPr>
        <w:t xml:space="preserve">177. </w:t>
      </w:r>
      <w:r w:rsidR="001B2B93" w:rsidRPr="0050706B">
        <w:t xml:space="preserve">Makretsov N, He M, Hayes M, Chia S, Horsman DE, Sorensen PHB, et al. A fluorescence in situ hybridization study of ETV6‐NTRK3 fusion gene in secretory breast carcinoma. </w:t>
      </w:r>
      <w:r w:rsidR="001B2B93" w:rsidRPr="0050706B">
        <w:rPr>
          <w:i/>
        </w:rPr>
        <w:t>Genes Chromosomes Cancer</w:t>
      </w:r>
      <w:r w:rsidR="001B2B93" w:rsidRPr="0050706B">
        <w:t xml:space="preserve"> 2004;40:152-57. </w:t>
      </w:r>
      <w:r w:rsidRPr="00500BB3">
        <w:rPr>
          <w:rFonts w:hint="eastAsia"/>
        </w:rPr>
        <w:t xml:space="preserve"> </w:t>
      </w:r>
    </w:p>
    <w:p w14:paraId="65D32222" w14:textId="77777777" w:rsidR="001B2B93" w:rsidRPr="0050706B" w:rsidRDefault="00500BB3" w:rsidP="001B2B93">
      <w:pPr>
        <w:pStyle w:val="EndNoteBibliography"/>
        <w:spacing w:after="0"/>
      </w:pPr>
      <w:r w:rsidRPr="00500BB3">
        <w:t xml:space="preserve">178. </w:t>
      </w:r>
      <w:r w:rsidR="001B2B93" w:rsidRPr="0050706B">
        <w:t xml:space="preserve">Scottish Science Advisory Council </w:t>
      </w:r>
      <w:r w:rsidR="001B2B93" w:rsidRPr="0050706B">
        <w:rPr>
          <w:i/>
        </w:rPr>
        <w:t>Informing the Future of Genomic Medicine in Scotland</w:t>
      </w:r>
      <w:r w:rsidR="001B2B93" w:rsidRPr="0050706B">
        <w:t xml:space="preserve">; Edinburgh, SSAC, 2019. Available from: </w:t>
      </w:r>
    </w:p>
    <w:p w14:paraId="2CC07114" w14:textId="2E3308B5" w:rsidR="00500BB3" w:rsidRPr="001B2B93" w:rsidRDefault="00C974E5" w:rsidP="001B2B93">
      <w:pPr>
        <w:rPr>
          <w:rFonts w:cs="Times New Roman"/>
        </w:rPr>
      </w:pPr>
      <w:hyperlink r:id="rId49" w:history="1">
        <w:r w:rsidR="001B2B93" w:rsidRPr="0050706B">
          <w:rPr>
            <w:rStyle w:val="Hyperlink"/>
            <w:rFonts w:cs="Times New Roman"/>
          </w:rPr>
          <w:t>https://www.scottishscience.org.uk/sites/default/files/article-attachments/Genomics%20Short%20Report.pdf</w:t>
        </w:r>
      </w:hyperlink>
    </w:p>
    <w:p w14:paraId="4FC22927" w14:textId="77777777" w:rsidR="00500BB3" w:rsidRPr="00500BB3" w:rsidRDefault="00500BB3" w:rsidP="00500BB3">
      <w:pPr>
        <w:pStyle w:val="EndNoteBibliography"/>
        <w:spacing w:after="0"/>
      </w:pPr>
      <w:r w:rsidRPr="00500BB3">
        <w:t xml:space="preserve">179. CADTH. </w:t>
      </w:r>
      <w:r w:rsidRPr="00500BB3">
        <w:rPr>
          <w:i/>
        </w:rPr>
        <w:t xml:space="preserve">Larotrectinib (Vitrakvi) for Neurotrophic Tyrosine Receptor Kinase (NTRK) Positive Solid Tumours: pan-Canadian Oncology Drug Review. Final Economic Guidance Report </w:t>
      </w:r>
      <w:r w:rsidRPr="00500BB3">
        <w:t xml:space="preserve">2019. </w:t>
      </w:r>
    </w:p>
    <w:p w14:paraId="009D8452" w14:textId="6B481D84" w:rsidR="00500BB3" w:rsidRPr="00500BB3" w:rsidRDefault="00500BB3" w:rsidP="00500BB3">
      <w:pPr>
        <w:pStyle w:val="EndNoteBibliography"/>
        <w:spacing w:after="0"/>
      </w:pPr>
      <w:r w:rsidRPr="00500BB3">
        <w:t xml:space="preserve">180. Woods B, Sideris E, Palmer S, Latimer N, Soares M. </w:t>
      </w:r>
      <w:r w:rsidRPr="00500BB3">
        <w:rPr>
          <w:i/>
        </w:rPr>
        <w:t>Partitioned survival analysis for decision modelling in health care: A critical review</w:t>
      </w:r>
      <w:r w:rsidRPr="00500BB3">
        <w:t xml:space="preserve">. Sheffield: Decision Support Unit, ScHARR; 2017. Available from: </w:t>
      </w:r>
      <w:hyperlink r:id="rId50" w:history="1">
        <w:r w:rsidRPr="00500BB3">
          <w:rPr>
            <w:rStyle w:val="Hyperlink"/>
          </w:rPr>
          <w:t>https://nicedsu.org.uk/wp-content/uploads/2017/06/Partitioned-Survival-Analysis-final-report.pdf</w:t>
        </w:r>
      </w:hyperlink>
    </w:p>
    <w:p w14:paraId="002B773C" w14:textId="286CB94B" w:rsidR="00500BB3" w:rsidRPr="00500BB3" w:rsidRDefault="00500BB3" w:rsidP="00500BB3">
      <w:pPr>
        <w:pStyle w:val="EndNoteBibliography"/>
        <w:spacing w:after="0"/>
      </w:pPr>
      <w:r w:rsidRPr="00500BB3">
        <w:t xml:space="preserve">181. Latimer NJ. </w:t>
      </w:r>
      <w:r w:rsidRPr="00500BB3">
        <w:rPr>
          <w:i/>
        </w:rPr>
        <w:t>NICE DSU technical support document 14: survival analysis for economic evaluations alongside clinical trials-extrapolation with patient-level data</w:t>
      </w:r>
      <w:r w:rsidRPr="00500BB3">
        <w:t xml:space="preserve">. Sheffield: Report by the Decision Support Unit; 2011. Available from: </w:t>
      </w:r>
      <w:hyperlink r:id="rId51" w:history="1">
        <w:r w:rsidRPr="00500BB3">
          <w:rPr>
            <w:rStyle w:val="Hyperlink"/>
          </w:rPr>
          <w:t>http://nicedsu.org.uk/wp-content/uploads/2016/03/NICE-DSU-TSD-Survival-analysis.updated-March-2013.v2.pdf</w:t>
        </w:r>
      </w:hyperlink>
    </w:p>
    <w:p w14:paraId="36476F28" w14:textId="77777777" w:rsidR="00500BB3" w:rsidRPr="00500BB3" w:rsidRDefault="00500BB3" w:rsidP="00500BB3">
      <w:pPr>
        <w:pStyle w:val="EndNoteBibliography"/>
        <w:spacing w:after="0"/>
      </w:pPr>
      <w:r w:rsidRPr="00500BB3">
        <w:t xml:space="preserve">182. Ouwens M, Mukhopadhyay P, Zhang Y, Huang M, Latimer N, Briggs A. Estimating lifetime benefits associated with immuno-oncology therapies: Challenges and approaches for overall survival extrapolations. </w:t>
      </w:r>
      <w:r w:rsidRPr="00500BB3">
        <w:rPr>
          <w:i/>
        </w:rPr>
        <w:t>Pharmacoeconomics</w:t>
      </w:r>
      <w:r w:rsidRPr="00500BB3">
        <w:t xml:space="preserve"> 2019;37:1129-38. </w:t>
      </w:r>
    </w:p>
    <w:p w14:paraId="7B6D1E2B" w14:textId="77777777" w:rsidR="00500BB3" w:rsidRPr="00500BB3" w:rsidRDefault="00500BB3" w:rsidP="00500BB3">
      <w:pPr>
        <w:pStyle w:val="EndNoteBibliography"/>
        <w:spacing w:after="0"/>
      </w:pPr>
      <w:r w:rsidRPr="00500BB3">
        <w:t xml:space="preserve">183. Price MJ, Welton NJ, Briggs AH, Ades AE. Model averaging in the presence of structural uncertainty about treatment effects: influence on treatment decision and expected value of information. </w:t>
      </w:r>
      <w:r w:rsidRPr="00500BB3">
        <w:rPr>
          <w:i/>
        </w:rPr>
        <w:t>Value Health</w:t>
      </w:r>
      <w:r w:rsidRPr="00500BB3">
        <w:t xml:space="preserve"> 2011;14:205-18. </w:t>
      </w:r>
    </w:p>
    <w:p w14:paraId="2D0334EB" w14:textId="77777777" w:rsidR="00500BB3" w:rsidRPr="00500BB3" w:rsidRDefault="00500BB3" w:rsidP="00500BB3">
      <w:pPr>
        <w:pStyle w:val="EndNoteBibliography"/>
        <w:spacing w:after="0"/>
      </w:pPr>
      <w:r w:rsidRPr="00500BB3">
        <w:t xml:space="preserve">184. Jackson CH, Bojke L, Thompson SG, Claxton K, Sharples LD. A framework for addressing structural uncertainty in decision models. </w:t>
      </w:r>
      <w:r w:rsidRPr="00500BB3">
        <w:rPr>
          <w:i/>
        </w:rPr>
        <w:t>Med Decis Making</w:t>
      </w:r>
      <w:r w:rsidRPr="00500BB3">
        <w:t xml:space="preserve"> 2011;31:662-74. </w:t>
      </w:r>
    </w:p>
    <w:p w14:paraId="66A81D80" w14:textId="4DCC114C" w:rsidR="00500BB3" w:rsidRPr="00500BB3" w:rsidRDefault="00500BB3" w:rsidP="00500BB3">
      <w:pPr>
        <w:pStyle w:val="EndNoteBibliography"/>
        <w:spacing w:after="0"/>
      </w:pPr>
      <w:r w:rsidRPr="00500BB3">
        <w:t>185. Australian Government. Department of Health.</w:t>
      </w:r>
      <w:r w:rsidRPr="00500BB3">
        <w:rPr>
          <w:i/>
        </w:rPr>
        <w:t xml:space="preserve"> Co-dependent and Hybrid Technologies</w:t>
      </w:r>
      <w:r w:rsidRPr="00500BB3">
        <w:t xml:space="preserve">. [cited 2020 17th January]. Available from: </w:t>
      </w:r>
      <w:hyperlink r:id="rId52" w:history="1">
        <w:r w:rsidRPr="00500BB3">
          <w:rPr>
            <w:rStyle w:val="Hyperlink"/>
          </w:rPr>
          <w:t>https://www1.health.gov.au/internet/hta/publishing.nsf/Content/co-1</w:t>
        </w:r>
      </w:hyperlink>
      <w:r w:rsidRPr="00500BB3">
        <w:t xml:space="preserve">. </w:t>
      </w:r>
    </w:p>
    <w:p w14:paraId="7815FFD6" w14:textId="77777777" w:rsidR="00500BB3" w:rsidRPr="00500BB3" w:rsidRDefault="00500BB3" w:rsidP="00500BB3">
      <w:pPr>
        <w:pStyle w:val="EndNoteBibliography"/>
        <w:spacing w:after="0"/>
      </w:pPr>
      <w:r w:rsidRPr="00500BB3">
        <w:t xml:space="preserve">186. Soares MO, Walker S, Palmer SJ, Sculpher MJ. Establishing the value of diagnostic and prognostic tests in health technology assessment. </w:t>
      </w:r>
      <w:r w:rsidRPr="00500BB3">
        <w:rPr>
          <w:i/>
        </w:rPr>
        <w:t>Med Decis Making</w:t>
      </w:r>
      <w:r w:rsidRPr="00500BB3">
        <w:t xml:space="preserve"> 2018;38:495-508. </w:t>
      </w:r>
    </w:p>
    <w:p w14:paraId="663A70FB" w14:textId="77777777" w:rsidR="00500BB3" w:rsidRPr="00500BB3" w:rsidRDefault="00500BB3" w:rsidP="00500BB3">
      <w:pPr>
        <w:pStyle w:val="EndNoteBibliography"/>
        <w:spacing w:after="0"/>
      </w:pPr>
      <w:r w:rsidRPr="00500BB3">
        <w:lastRenderedPageBreak/>
        <w:t xml:space="preserve">187. Albert CM, Davis JL, Federman N, Casanova M, Laetsch TW. TRK fusion cancers in children: a clinical review and recommendations for screening. </w:t>
      </w:r>
      <w:r w:rsidRPr="00500BB3">
        <w:rPr>
          <w:i/>
        </w:rPr>
        <w:t>J Clin Oncol</w:t>
      </w:r>
      <w:r w:rsidRPr="00500BB3">
        <w:t xml:space="preserve"> 2019;37:513-24. </w:t>
      </w:r>
    </w:p>
    <w:p w14:paraId="74EF0835" w14:textId="77777777" w:rsidR="00500BB3" w:rsidRPr="00500BB3" w:rsidRDefault="00500BB3" w:rsidP="00500BB3">
      <w:pPr>
        <w:pStyle w:val="EndNoteBibliography"/>
        <w:spacing w:after="0"/>
      </w:pPr>
      <w:r w:rsidRPr="00500BB3">
        <w:t xml:space="preserve">188. Stinnett AA, Mullahy J. Net health benefits: a new framework for the analysis of uncertainty in cost-effectiveness analysis. </w:t>
      </w:r>
      <w:r w:rsidRPr="00500BB3">
        <w:rPr>
          <w:i/>
        </w:rPr>
        <w:t>Med Decis Making</w:t>
      </w:r>
      <w:r w:rsidRPr="00500BB3">
        <w:t xml:space="preserve"> 1998;18:S68-S80. </w:t>
      </w:r>
    </w:p>
    <w:p w14:paraId="19F4C27C" w14:textId="77777777" w:rsidR="00500BB3" w:rsidRPr="00500BB3" w:rsidRDefault="00500BB3" w:rsidP="00500BB3">
      <w:pPr>
        <w:pStyle w:val="EndNoteBibliography"/>
        <w:spacing w:after="0"/>
      </w:pPr>
      <w:r w:rsidRPr="00500BB3">
        <w:t xml:space="preserve">189. Briggs A, Claxton K, Sculpher MJ. </w:t>
      </w:r>
      <w:r w:rsidRPr="00500BB3">
        <w:rPr>
          <w:i/>
        </w:rPr>
        <w:t>Decision Modelling for Health Economic Evaluation</w:t>
      </w:r>
      <w:r w:rsidRPr="00500BB3">
        <w:t xml:space="preserve">. Oxford: Oxford University Press; 2006. </w:t>
      </w:r>
    </w:p>
    <w:p w14:paraId="174D386E" w14:textId="77777777" w:rsidR="00500BB3" w:rsidRPr="00500BB3" w:rsidRDefault="00500BB3" w:rsidP="00500BB3">
      <w:pPr>
        <w:pStyle w:val="EndNoteBibliography"/>
        <w:spacing w:after="0"/>
      </w:pPr>
      <w:r w:rsidRPr="00500BB3">
        <w:t xml:space="preserve">190. Hettle R, Corbett M, Hinde S, Hodgson R, Jones-Diette J, Woolacott N, et al. The assessment and appraisal of regenerative medicines and cell therapy products: an exploration of methods for review, economic evaluation and appraisal. </w:t>
      </w:r>
      <w:r w:rsidRPr="00500BB3">
        <w:rPr>
          <w:i/>
        </w:rPr>
        <w:t>Health Technology Assessment</w:t>
      </w:r>
      <w:r w:rsidRPr="00500BB3">
        <w:t xml:space="preserve"> 2017;21:1-+. </w:t>
      </w:r>
    </w:p>
    <w:p w14:paraId="7B4AB460" w14:textId="3A48C0CB" w:rsidR="00500BB3" w:rsidRPr="00500BB3" w:rsidRDefault="00500BB3" w:rsidP="00500BB3">
      <w:pPr>
        <w:pStyle w:val="EndNoteBibliography"/>
        <w:spacing w:after="0"/>
      </w:pPr>
      <w:r w:rsidRPr="00500BB3">
        <w:t xml:space="preserve">191. Grimm S, Strong M, Brennan A, Wailoo A. </w:t>
      </w:r>
      <w:r w:rsidRPr="00500BB3">
        <w:rPr>
          <w:i/>
        </w:rPr>
        <w:t>Framework for analysing risk in health technology assessments and its application to managed entry agreements. Report By The Decision Support Unit</w:t>
      </w:r>
      <w:r w:rsidRPr="00500BB3">
        <w:t xml:space="preserve">. Sheffield: Decision Support Unit, ScHARR, University of Sheffield; 2016. Available from: </w:t>
      </w:r>
      <w:hyperlink r:id="rId53" w:history="1">
        <w:r w:rsidRPr="00500BB3">
          <w:rPr>
            <w:rStyle w:val="Hyperlink"/>
          </w:rPr>
          <w:t>http://nicedsu.org.uk/wp-content/uploads/2018/05/DSU-Managed-Access-report-FINAL.pdf</w:t>
        </w:r>
      </w:hyperlink>
    </w:p>
    <w:p w14:paraId="6B8B5D67" w14:textId="77777777" w:rsidR="00500BB3" w:rsidRPr="00500BB3" w:rsidRDefault="00500BB3" w:rsidP="00500BB3">
      <w:pPr>
        <w:pStyle w:val="EndNoteBibliography"/>
        <w:spacing w:after="0"/>
      </w:pPr>
      <w:r w:rsidRPr="00500BB3">
        <w:t xml:space="preserve">192. Hettle R, Corbett M, Hinde S, Hodgson R, Jones-Diette J, Woolacott N, et al. The assessment and appraisal of regenerative medicines and cell therapy products: an exploration of methods for review, economic evaluation and appraisal. </w:t>
      </w:r>
      <w:r w:rsidRPr="00500BB3">
        <w:rPr>
          <w:i/>
        </w:rPr>
        <w:t>Health Technol Assess</w:t>
      </w:r>
      <w:r w:rsidRPr="00500BB3">
        <w:t xml:space="preserve"> 2017;21:1-204. </w:t>
      </w:r>
    </w:p>
    <w:p w14:paraId="474F8C0F" w14:textId="77777777" w:rsidR="00500BB3" w:rsidRPr="00500BB3" w:rsidRDefault="00500BB3" w:rsidP="00500BB3">
      <w:pPr>
        <w:pStyle w:val="EndNoteBibliography"/>
        <w:spacing w:after="0"/>
      </w:pPr>
      <w:r w:rsidRPr="00500BB3">
        <w:t xml:space="preserve">193. Claxton K. The irrelevance of inference: a decision-making approach to the stochastic evaluation of health care technologies. </w:t>
      </w:r>
      <w:r w:rsidRPr="00500BB3">
        <w:rPr>
          <w:i/>
        </w:rPr>
        <w:t>J Health Econ</w:t>
      </w:r>
      <w:r w:rsidRPr="00500BB3">
        <w:t xml:space="preserve"> 1999;18:341-64. </w:t>
      </w:r>
    </w:p>
    <w:p w14:paraId="27D7BF02" w14:textId="77777777" w:rsidR="00500BB3" w:rsidRPr="00500BB3" w:rsidRDefault="00500BB3" w:rsidP="00500BB3">
      <w:pPr>
        <w:pStyle w:val="EndNoteBibliography"/>
        <w:spacing w:after="0"/>
      </w:pPr>
      <w:r w:rsidRPr="00500BB3">
        <w:t xml:space="preserve">194. Claxton K, Palmer S, Longworth L, Bojke L, Griffin S, Soares M, et al. A comprehensive algorithm for approval of health technologies with, without, or only in research: The key principles for informing coverage decisions. </w:t>
      </w:r>
      <w:r w:rsidRPr="00500BB3">
        <w:rPr>
          <w:i/>
        </w:rPr>
        <w:t>Value Health</w:t>
      </w:r>
      <w:r w:rsidRPr="00500BB3">
        <w:t xml:space="preserve"> 2016;19:885-91. </w:t>
      </w:r>
    </w:p>
    <w:p w14:paraId="4D595CD1" w14:textId="77777777" w:rsidR="00500BB3" w:rsidRPr="00500BB3" w:rsidRDefault="00500BB3" w:rsidP="00500BB3">
      <w:pPr>
        <w:pStyle w:val="EndNoteBibliography"/>
        <w:spacing w:after="0"/>
      </w:pPr>
      <w:r w:rsidRPr="00500BB3">
        <w:t xml:space="preserve">195. Ades AE, Lu G, Claxton K. Expected value of sample information calculations in medical decision modeling. </w:t>
      </w:r>
      <w:r w:rsidRPr="00500BB3">
        <w:rPr>
          <w:i/>
        </w:rPr>
        <w:t>Med Decis Making</w:t>
      </w:r>
      <w:r w:rsidRPr="00500BB3">
        <w:t xml:space="preserve"> 2004;24:207-27. </w:t>
      </w:r>
    </w:p>
    <w:p w14:paraId="20E02D6A" w14:textId="73E57003" w:rsidR="00500BB3" w:rsidRPr="00500BB3" w:rsidRDefault="00500BB3" w:rsidP="00500BB3">
      <w:pPr>
        <w:pStyle w:val="EndNoteBibliography"/>
        <w:spacing w:after="0"/>
      </w:pPr>
      <w:r w:rsidRPr="00500BB3">
        <w:t xml:space="preserve">196. NHS England Cancer Drugs Fund Team. </w:t>
      </w:r>
      <w:r w:rsidRPr="00500BB3">
        <w:rPr>
          <w:i/>
        </w:rPr>
        <w:t>Appraisal and Funding of Cancer Drugs from July 2016 (including the new Cancer Drugs Fund): A new deal for patients, taxpayers and industry</w:t>
      </w:r>
      <w:r w:rsidRPr="00500BB3">
        <w:t xml:space="preserve">. London; 2016. Available from: </w:t>
      </w:r>
      <w:hyperlink r:id="rId54" w:history="1">
        <w:r w:rsidRPr="00500BB3">
          <w:rPr>
            <w:rStyle w:val="Hyperlink"/>
          </w:rPr>
          <w:t>https://www.england.nhs.uk/publication/cdf-sop-16/</w:t>
        </w:r>
      </w:hyperlink>
    </w:p>
    <w:p w14:paraId="66E6A8DB" w14:textId="7B268F8E" w:rsidR="00500BB3" w:rsidRPr="00500BB3" w:rsidRDefault="00500BB3" w:rsidP="00500BB3">
      <w:pPr>
        <w:pStyle w:val="EndNoteBibliography"/>
        <w:spacing w:after="0"/>
      </w:pPr>
      <w:r w:rsidRPr="00500BB3">
        <w:t xml:space="preserve">197. Claxton K. </w:t>
      </w:r>
      <w:r w:rsidRPr="00500BB3">
        <w:rPr>
          <w:i/>
        </w:rPr>
        <w:t>Pharmaceutical Pricing: Early Access, The Cancer Drugs Fund and the Role of NICE</w:t>
      </w:r>
      <w:r w:rsidRPr="00500BB3">
        <w:t xml:space="preserve">. York: Centre for Health Economics, University of York; 2016. Available from: </w:t>
      </w:r>
      <w:hyperlink r:id="rId55" w:history="1">
        <w:r w:rsidRPr="00500BB3">
          <w:rPr>
            <w:rStyle w:val="Hyperlink"/>
          </w:rPr>
          <w:t>https://www.york.ac.uk/media/che/documents/policybriefing/Drug_prices.pdf</w:t>
        </w:r>
      </w:hyperlink>
    </w:p>
    <w:p w14:paraId="31BB04C2" w14:textId="77777777" w:rsidR="00500BB3" w:rsidRPr="00500BB3" w:rsidRDefault="00500BB3" w:rsidP="00500BB3">
      <w:pPr>
        <w:pStyle w:val="EndNoteBibliography"/>
        <w:spacing w:after="0"/>
      </w:pPr>
      <w:r w:rsidRPr="00500BB3">
        <w:t xml:space="preserve">198. Grieve R, Abrams K, Claxton K, Goldacre B, James N, Nicholl J, et al. Cancer Drugs Fund requires further reform. </w:t>
      </w:r>
      <w:r w:rsidRPr="00500BB3">
        <w:rPr>
          <w:i/>
        </w:rPr>
        <w:t>BMJ</w:t>
      </w:r>
      <w:r w:rsidRPr="00500BB3">
        <w:t xml:space="preserve"> 2016;354:i5090. </w:t>
      </w:r>
    </w:p>
    <w:p w14:paraId="03F941A1" w14:textId="77777777" w:rsidR="00500BB3" w:rsidRPr="00500BB3" w:rsidRDefault="00500BB3" w:rsidP="00500BB3">
      <w:pPr>
        <w:pStyle w:val="EndNoteBibliography"/>
        <w:spacing w:after="0"/>
      </w:pPr>
      <w:r w:rsidRPr="00500BB3">
        <w:t xml:space="preserve">199. Morrell L, Wordsworth S, Schuh A, Middleton MR, Rees S, Barker RW. Will the reformed Cancer Drugs Fund address the most common types of uncertainty? An analysis of NICE cancer drug appraisals. </w:t>
      </w:r>
      <w:r w:rsidRPr="00500BB3">
        <w:rPr>
          <w:i/>
        </w:rPr>
        <w:t>BMC Health Services Research</w:t>
      </w:r>
      <w:r w:rsidRPr="00500BB3">
        <w:t xml:space="preserve"> 2018;18. </w:t>
      </w:r>
    </w:p>
    <w:p w14:paraId="201AAD8D" w14:textId="77777777" w:rsidR="00500BB3" w:rsidRPr="00500BB3" w:rsidRDefault="00500BB3" w:rsidP="00500BB3">
      <w:pPr>
        <w:pStyle w:val="EndNoteBibliography"/>
        <w:spacing w:after="0"/>
      </w:pPr>
      <w:r w:rsidRPr="00500BB3">
        <w:t xml:space="preserve">200. Strong M, Oakley JE, Brennan A. Estimating multiparameter partial expected value of perfect information from a probabilistic sensitivity analysis sample: a nonparametric regression approach. </w:t>
      </w:r>
      <w:r w:rsidRPr="00500BB3">
        <w:rPr>
          <w:i/>
        </w:rPr>
        <w:t>Med Decis Making</w:t>
      </w:r>
      <w:r w:rsidRPr="00500BB3">
        <w:t xml:space="preserve"> 2014;34:311-26. </w:t>
      </w:r>
    </w:p>
    <w:p w14:paraId="3ADC930D" w14:textId="77777777" w:rsidR="00500BB3" w:rsidRPr="00500BB3" w:rsidRDefault="00500BB3" w:rsidP="00500BB3">
      <w:pPr>
        <w:pStyle w:val="EndNoteBibliography"/>
        <w:spacing w:after="0"/>
      </w:pPr>
      <w:r w:rsidRPr="00500BB3">
        <w:t xml:space="preserve">201. Strong M, Oakley JE, Brennan A, Breeze P. Estimating the expected value of sample information using the probabilistic sensitivity analysis sample: A fast, nonparametric regression-based method. </w:t>
      </w:r>
      <w:r w:rsidRPr="00500BB3">
        <w:rPr>
          <w:i/>
        </w:rPr>
        <w:t>Med Decis Making</w:t>
      </w:r>
      <w:r w:rsidRPr="00500BB3">
        <w:t xml:space="preserve"> 2015;35:570-83. </w:t>
      </w:r>
    </w:p>
    <w:p w14:paraId="5AB558B2" w14:textId="77777777" w:rsidR="00500BB3" w:rsidRPr="00500BB3" w:rsidRDefault="00500BB3" w:rsidP="00500BB3">
      <w:pPr>
        <w:pStyle w:val="EndNoteBibliography"/>
        <w:spacing w:after="0"/>
      </w:pPr>
      <w:r w:rsidRPr="00500BB3">
        <w:t xml:space="preserve">202. Willan AR, Pinto EM. The value of information and optimal clinical trial design. </w:t>
      </w:r>
      <w:r w:rsidRPr="00500BB3">
        <w:rPr>
          <w:i/>
        </w:rPr>
        <w:t>Stat Med</w:t>
      </w:r>
      <w:r w:rsidRPr="00500BB3">
        <w:t xml:space="preserve"> 2005;24:1791-806. </w:t>
      </w:r>
    </w:p>
    <w:p w14:paraId="2982FCB1" w14:textId="4A84482D" w:rsidR="00500BB3" w:rsidRPr="00500BB3" w:rsidRDefault="00500BB3" w:rsidP="00500BB3">
      <w:pPr>
        <w:pStyle w:val="EndNoteBibliography"/>
        <w:spacing w:after="0"/>
      </w:pPr>
      <w:r w:rsidRPr="00500BB3">
        <w:t xml:space="preserve">203. National Institute for Health and Care Excellence. </w:t>
      </w:r>
      <w:r w:rsidRPr="00500BB3">
        <w:rPr>
          <w:i/>
        </w:rPr>
        <w:t xml:space="preserve">Guide to the processes of technology appraisal </w:t>
      </w:r>
      <w:r w:rsidRPr="00500BB3">
        <w:t xml:space="preserve">NICE; 2018. Available from: </w:t>
      </w:r>
      <w:hyperlink r:id="rId56" w:history="1">
        <w:r w:rsidRPr="00500BB3">
          <w:rPr>
            <w:rStyle w:val="Hyperlink"/>
          </w:rPr>
          <w:t>https://www.nice.org.uk/process/pmg19/resources/guide-to-the-processes-of-technology-appraisal-pdf-72286663351237</w:t>
        </w:r>
      </w:hyperlink>
    </w:p>
    <w:p w14:paraId="22EE289E" w14:textId="77777777" w:rsidR="00500BB3" w:rsidRPr="00500BB3" w:rsidRDefault="00500BB3" w:rsidP="00500BB3">
      <w:pPr>
        <w:pStyle w:val="EndNoteBibliography"/>
        <w:spacing w:after="0"/>
      </w:pPr>
      <w:r w:rsidRPr="00500BB3">
        <w:lastRenderedPageBreak/>
        <w:t xml:space="preserve">204. Kim DD, Basu A. New metrics for economic evaluation in the presence of heterogeneity: Focusing on evaluating policy alternatives rather than treatment alternatives. </w:t>
      </w:r>
      <w:r w:rsidRPr="00500BB3">
        <w:rPr>
          <w:i/>
        </w:rPr>
        <w:t>Med Decis Making</w:t>
      </w:r>
      <w:r w:rsidRPr="00500BB3">
        <w:t xml:space="preserve"> 2017;37:930-41. </w:t>
      </w:r>
    </w:p>
    <w:p w14:paraId="695A1D21" w14:textId="77777777" w:rsidR="00500BB3" w:rsidRPr="00500BB3" w:rsidRDefault="00500BB3" w:rsidP="00500BB3">
      <w:pPr>
        <w:pStyle w:val="EndNoteBibliography"/>
        <w:spacing w:after="0"/>
      </w:pPr>
      <w:r w:rsidRPr="00500BB3">
        <w:t xml:space="preserve">205. Drummond MF, Sculpher MJ, Claxton K, Stoddart GL, Torrance GW. </w:t>
      </w:r>
      <w:r w:rsidRPr="00500BB3">
        <w:rPr>
          <w:i/>
        </w:rPr>
        <w:t>Methods for the Economic Evaluation of Health Care Programmes</w:t>
      </w:r>
      <w:r w:rsidRPr="00500BB3">
        <w:t xml:space="preserve">. Oxford: Oxford University Press; 2015. </w:t>
      </w:r>
    </w:p>
    <w:p w14:paraId="7B952525" w14:textId="77777777" w:rsidR="00500BB3" w:rsidRPr="00500BB3" w:rsidRDefault="00500BB3" w:rsidP="00500BB3">
      <w:pPr>
        <w:pStyle w:val="EndNoteBibliography"/>
        <w:spacing w:after="0"/>
      </w:pPr>
      <w:r w:rsidRPr="00354FCE">
        <w:rPr>
          <w:lang w:val="de-DE"/>
        </w:rPr>
        <w:t xml:space="preserve">206. Claxton K. OFT, VBP: QED? . </w:t>
      </w:r>
      <w:r w:rsidRPr="00500BB3">
        <w:rPr>
          <w:i/>
        </w:rPr>
        <w:t>Health Econ</w:t>
      </w:r>
      <w:r w:rsidRPr="00500BB3">
        <w:t xml:space="preserve"> 2007;16:545-58. </w:t>
      </w:r>
    </w:p>
    <w:p w14:paraId="4B360669" w14:textId="77777777" w:rsidR="00500BB3" w:rsidRPr="00500BB3" w:rsidRDefault="00500BB3" w:rsidP="00500BB3">
      <w:pPr>
        <w:pStyle w:val="EndNoteBibliography"/>
        <w:spacing w:after="0"/>
      </w:pPr>
      <w:r w:rsidRPr="00500BB3">
        <w:t xml:space="preserve">207. Rothery C, Claxton K, Palmer S, Epstein D, Tarricone R, Sculpher M. Characterising uncertainty in the assessment of medical devices and determining future research needs. </w:t>
      </w:r>
      <w:r w:rsidRPr="00500BB3">
        <w:rPr>
          <w:i/>
        </w:rPr>
        <w:t>Health Econ</w:t>
      </w:r>
      <w:r w:rsidRPr="00500BB3">
        <w:t xml:space="preserve"> 2017;26:109-23. </w:t>
      </w:r>
    </w:p>
    <w:p w14:paraId="13F7E044" w14:textId="77777777" w:rsidR="00500BB3" w:rsidRPr="00500BB3" w:rsidRDefault="00500BB3" w:rsidP="00500BB3">
      <w:pPr>
        <w:pStyle w:val="EndNoteBibliography"/>
        <w:spacing w:after="0"/>
      </w:pPr>
      <w:r w:rsidRPr="00500BB3">
        <w:t xml:space="preserve">208. Kennedy-Martin T, Curtis S, Faries D, Robinson S, Johnston J. A literature review on the representativeness of randomized controlled trial samples and implications for the external validity of trial results. </w:t>
      </w:r>
      <w:r w:rsidRPr="00500BB3">
        <w:rPr>
          <w:i/>
        </w:rPr>
        <w:t>Trials</w:t>
      </w:r>
      <w:r w:rsidRPr="00500BB3">
        <w:t xml:space="preserve"> 2015;16:495. </w:t>
      </w:r>
    </w:p>
    <w:p w14:paraId="2726157A" w14:textId="5622948C" w:rsidR="00500BB3" w:rsidRPr="00500BB3" w:rsidRDefault="00500BB3" w:rsidP="00500BB3">
      <w:pPr>
        <w:pStyle w:val="EndNoteBibliography"/>
        <w:spacing w:after="0"/>
      </w:pPr>
      <w:r w:rsidRPr="00500BB3">
        <w:t xml:space="preserve">209. National Institute For Health And Care Excellence. </w:t>
      </w:r>
      <w:r w:rsidRPr="00500BB3">
        <w:rPr>
          <w:i/>
        </w:rPr>
        <w:t>Pembrolizumab with carboplatin and paclitaxel for untreated metastatic squamous non-small-cell lung cancer</w:t>
      </w:r>
      <w:r w:rsidRPr="00500BB3">
        <w:t xml:space="preserve">. London: NICE; 2019. Available from: </w:t>
      </w:r>
      <w:hyperlink r:id="rId57" w:history="1">
        <w:r w:rsidRPr="00500BB3">
          <w:rPr>
            <w:rStyle w:val="Hyperlink"/>
          </w:rPr>
          <w:t>https://www.nice.org.uk/guidance/ta600</w:t>
        </w:r>
      </w:hyperlink>
    </w:p>
    <w:p w14:paraId="27372494" w14:textId="131A54D7" w:rsidR="00500BB3" w:rsidRPr="00500BB3" w:rsidRDefault="00500BB3" w:rsidP="00500BB3">
      <w:pPr>
        <w:pStyle w:val="EndNoteBibliography"/>
        <w:spacing w:after="0"/>
      </w:pPr>
      <w:r w:rsidRPr="00500BB3">
        <w:t xml:space="preserve">210. National Institute for Health and Care Excellence. </w:t>
      </w:r>
      <w:r w:rsidRPr="00500BB3">
        <w:rPr>
          <w:i/>
        </w:rPr>
        <w:t>Pembrolizumab for untreated PD-L1-positive locally advanced or metastatic urothelial cancer when cisplatin is unsuitable.</w:t>
      </w:r>
      <w:r w:rsidRPr="00500BB3">
        <w:t xml:space="preserve"> London: NICE; 2018. Available from: </w:t>
      </w:r>
      <w:hyperlink r:id="rId58" w:history="1">
        <w:r w:rsidRPr="00500BB3">
          <w:rPr>
            <w:rStyle w:val="Hyperlink"/>
          </w:rPr>
          <w:t>https://www.nice.org.uk/guidance/ta522</w:t>
        </w:r>
      </w:hyperlink>
    </w:p>
    <w:p w14:paraId="5AB5480C" w14:textId="128B403C" w:rsidR="00500BB3" w:rsidRPr="00500BB3" w:rsidRDefault="00500BB3" w:rsidP="00500BB3">
      <w:pPr>
        <w:pStyle w:val="EndNoteBibliography"/>
        <w:spacing w:after="0"/>
      </w:pPr>
      <w:r w:rsidRPr="00500BB3">
        <w:t>211. National Institute for Health and Care Excellence.</w:t>
      </w:r>
      <w:r w:rsidRPr="00500BB3">
        <w:rPr>
          <w:i/>
        </w:rPr>
        <w:t xml:space="preserve"> Pembrolizumab for untreated metastatic or unresectable recurrent squamous cell head and neck cancer [ID1140]</w:t>
      </w:r>
      <w:r w:rsidRPr="00500BB3">
        <w:t xml:space="preserve">. NICE; 2020. [cited 2020 20th February]. Available from: </w:t>
      </w:r>
      <w:hyperlink r:id="rId59" w:history="1">
        <w:r w:rsidRPr="00500BB3">
          <w:rPr>
            <w:rStyle w:val="Hyperlink"/>
          </w:rPr>
          <w:t>https://www.nice.org.uk/guidance/indevelopment/gid-ta10181</w:t>
        </w:r>
      </w:hyperlink>
      <w:r w:rsidRPr="00500BB3">
        <w:t xml:space="preserve">. </w:t>
      </w:r>
    </w:p>
    <w:p w14:paraId="30BBEAAC" w14:textId="297BF3C4" w:rsidR="00500BB3" w:rsidRPr="00500BB3" w:rsidRDefault="00500BB3" w:rsidP="00500BB3">
      <w:pPr>
        <w:pStyle w:val="EndNoteBibliography"/>
        <w:spacing w:after="0"/>
      </w:pPr>
      <w:r w:rsidRPr="00500BB3">
        <w:t xml:space="preserve">212. National Institute for Health and Care Excellence (NICE). </w:t>
      </w:r>
      <w:r w:rsidRPr="00500BB3">
        <w:rPr>
          <w:i/>
        </w:rPr>
        <w:t>TA492: Atezolizumab for untreated PD-L1-positive locally advanced or metastatic urothelial cancer when cisplatin is unsuitable</w:t>
      </w:r>
      <w:r w:rsidRPr="00500BB3">
        <w:t xml:space="preserve">; 2018. Available from: </w:t>
      </w:r>
      <w:hyperlink r:id="rId60" w:history="1">
        <w:r w:rsidRPr="00500BB3">
          <w:rPr>
            <w:rStyle w:val="Hyperlink"/>
          </w:rPr>
          <w:t>https://www.nice.org.uk/guidance/ta492</w:t>
        </w:r>
      </w:hyperlink>
    </w:p>
    <w:p w14:paraId="304E587F" w14:textId="43B5A7FD" w:rsidR="00500BB3" w:rsidRPr="00500BB3" w:rsidRDefault="00500BB3" w:rsidP="00500BB3">
      <w:pPr>
        <w:pStyle w:val="EndNoteBibliography"/>
        <w:spacing w:after="0"/>
      </w:pPr>
      <w:r w:rsidRPr="00500BB3">
        <w:t xml:space="preserve">213. National Institute for Health and Care Excellence (NICE). </w:t>
      </w:r>
      <w:r w:rsidRPr="00500BB3">
        <w:rPr>
          <w:i/>
        </w:rPr>
        <w:t>TA510: Daratumumab monotherapy for treating relapsed and refractory multiple myeloma</w:t>
      </w:r>
      <w:r w:rsidRPr="00500BB3">
        <w:t xml:space="preserve">; 2018. Available from: </w:t>
      </w:r>
      <w:hyperlink r:id="rId61" w:history="1">
        <w:r w:rsidRPr="00500BB3">
          <w:rPr>
            <w:rStyle w:val="Hyperlink"/>
          </w:rPr>
          <w:t>https://www.nice.org.uk/guidance/ta510</w:t>
        </w:r>
      </w:hyperlink>
    </w:p>
    <w:p w14:paraId="1C326E4F" w14:textId="074D45AB" w:rsidR="00500BB3" w:rsidRPr="00500BB3" w:rsidRDefault="00500BB3" w:rsidP="00500BB3">
      <w:pPr>
        <w:pStyle w:val="EndNoteBibliography"/>
        <w:spacing w:after="0"/>
      </w:pPr>
      <w:r w:rsidRPr="00500BB3">
        <w:t xml:space="preserve">214. National Institute for Health and Care Excellence (NICE). </w:t>
      </w:r>
      <w:r w:rsidRPr="00500BB3">
        <w:rPr>
          <w:i/>
        </w:rPr>
        <w:t>TA487: Venetoclax for treating chronic lymphocytic leukaemia</w:t>
      </w:r>
      <w:r w:rsidRPr="00500BB3">
        <w:t xml:space="preserve">; 2017. Available from: </w:t>
      </w:r>
      <w:hyperlink r:id="rId62" w:history="1">
        <w:r w:rsidRPr="00500BB3">
          <w:rPr>
            <w:rStyle w:val="Hyperlink"/>
          </w:rPr>
          <w:t>https://www.nice.org.uk/guidance/ta487</w:t>
        </w:r>
      </w:hyperlink>
    </w:p>
    <w:p w14:paraId="79017BD4" w14:textId="16EA9297" w:rsidR="00500BB3" w:rsidRPr="00500BB3" w:rsidRDefault="00500BB3" w:rsidP="00500BB3">
      <w:pPr>
        <w:pStyle w:val="EndNoteBibliography"/>
        <w:spacing w:after="0"/>
      </w:pPr>
      <w:r w:rsidRPr="00500BB3">
        <w:t xml:space="preserve">215. National Institute for Health and Care Excellence (NICE). </w:t>
      </w:r>
      <w:r w:rsidRPr="00500BB3">
        <w:rPr>
          <w:i/>
        </w:rPr>
        <w:t>TA462: Nivolumab for treating relapsed or refractory classical Hodgkin lymphoma</w:t>
      </w:r>
      <w:r w:rsidRPr="00500BB3">
        <w:t xml:space="preserve">; 2017. Available from: </w:t>
      </w:r>
      <w:hyperlink r:id="rId63" w:history="1">
        <w:r w:rsidRPr="00500BB3">
          <w:rPr>
            <w:rStyle w:val="Hyperlink"/>
          </w:rPr>
          <w:t>https://www.nice.org.uk/guidance/ta462</w:t>
        </w:r>
      </w:hyperlink>
    </w:p>
    <w:p w14:paraId="66D964E8" w14:textId="7802D7AB" w:rsidR="00500BB3" w:rsidRPr="00500BB3" w:rsidRDefault="00500BB3" w:rsidP="00500BB3">
      <w:pPr>
        <w:pStyle w:val="EndNoteBibliography"/>
        <w:spacing w:after="0"/>
      </w:pPr>
      <w:r w:rsidRPr="00500BB3">
        <w:t xml:space="preserve">216. National Institute for Health and Care Excellence (NICE). </w:t>
      </w:r>
      <w:r w:rsidRPr="00500BB3">
        <w:rPr>
          <w:i/>
        </w:rPr>
        <w:t>GID-TA10268: Brigatinib for treating ALK-positive non-small-cell lung cancer after crizotinib [ID1328]</w:t>
      </w:r>
      <w:r w:rsidRPr="00500BB3">
        <w:t xml:space="preserve">; 2019. Available from: </w:t>
      </w:r>
      <w:hyperlink r:id="rId64" w:history="1">
        <w:r w:rsidRPr="00500BB3">
          <w:rPr>
            <w:rStyle w:val="Hyperlink"/>
          </w:rPr>
          <w:t>https://www.nice.org.uk/guidance/indevelopment/gid-ta10268</w:t>
        </w:r>
      </w:hyperlink>
    </w:p>
    <w:p w14:paraId="2D7BA15C" w14:textId="17BD5B09" w:rsidR="00500BB3" w:rsidRPr="00500BB3" w:rsidRDefault="00500BB3" w:rsidP="00500BB3">
      <w:pPr>
        <w:pStyle w:val="EndNoteBibliography"/>
        <w:spacing w:after="0"/>
      </w:pPr>
      <w:r w:rsidRPr="00500BB3">
        <w:t xml:space="preserve">217. National Institute for Health and Care Excellence (NICE). </w:t>
      </w:r>
      <w:r w:rsidRPr="00500BB3">
        <w:rPr>
          <w:i/>
        </w:rPr>
        <w:t>TA416: Osimertinib for treating locally advanced or metastatic EGFR T790M mutation-positive non-small-cell lung cancer</w:t>
      </w:r>
      <w:r w:rsidRPr="00500BB3">
        <w:t xml:space="preserve">; 2016. Available from: </w:t>
      </w:r>
      <w:hyperlink r:id="rId65" w:history="1">
        <w:r w:rsidRPr="00500BB3">
          <w:rPr>
            <w:rStyle w:val="Hyperlink"/>
          </w:rPr>
          <w:t>https://www.nice.org.uk/guidance/ta416</w:t>
        </w:r>
      </w:hyperlink>
    </w:p>
    <w:p w14:paraId="771B30F1" w14:textId="1F98C382" w:rsidR="00500BB3" w:rsidRPr="00500BB3" w:rsidRDefault="00500BB3" w:rsidP="00500BB3">
      <w:pPr>
        <w:pStyle w:val="EndNoteBibliography"/>
        <w:spacing w:after="0"/>
      </w:pPr>
      <w:r w:rsidRPr="00500BB3">
        <w:t xml:space="preserve">218. National Institute for Health and Care Excellence (NICE). </w:t>
      </w:r>
      <w:r w:rsidRPr="00500BB3">
        <w:rPr>
          <w:i/>
        </w:rPr>
        <w:t>TA517: Avelumab for treating metastatic merkel cell carcinoma</w:t>
      </w:r>
      <w:r w:rsidRPr="00500BB3">
        <w:t xml:space="preserve">; 2017. Available from: </w:t>
      </w:r>
      <w:hyperlink r:id="rId66" w:history="1">
        <w:r w:rsidRPr="00500BB3">
          <w:rPr>
            <w:rStyle w:val="Hyperlink"/>
          </w:rPr>
          <w:t>https://www.nice.org.uk/guidance/ta517</w:t>
        </w:r>
      </w:hyperlink>
    </w:p>
    <w:p w14:paraId="4C87E7C8" w14:textId="48CF49B9" w:rsidR="00500BB3" w:rsidRPr="00500BB3" w:rsidRDefault="00500BB3" w:rsidP="00500BB3">
      <w:pPr>
        <w:pStyle w:val="EndNoteBibliography"/>
        <w:spacing w:after="0"/>
      </w:pPr>
      <w:r w:rsidRPr="00500BB3">
        <w:t xml:space="preserve">219. National Institute for Health and Care Excellence (NICE). </w:t>
      </w:r>
      <w:r w:rsidRPr="00500BB3">
        <w:rPr>
          <w:i/>
        </w:rPr>
        <w:t>TA529: Crizotinib for treating ROS1-positive advanced non-small-cell lung cancer</w:t>
      </w:r>
      <w:r w:rsidRPr="00500BB3">
        <w:t xml:space="preserve">; 2018. Available from: </w:t>
      </w:r>
      <w:hyperlink r:id="rId67" w:history="1">
        <w:r w:rsidRPr="00500BB3">
          <w:rPr>
            <w:rStyle w:val="Hyperlink"/>
          </w:rPr>
          <w:t>https://www.nice.org.uk/guidance/ta529</w:t>
        </w:r>
      </w:hyperlink>
    </w:p>
    <w:p w14:paraId="04F7C80F" w14:textId="77777777" w:rsidR="001B2B93" w:rsidRPr="001B2B93" w:rsidRDefault="00500BB3" w:rsidP="001B2B93">
      <w:pPr>
        <w:pStyle w:val="EndNoteBibliography"/>
        <w:spacing w:after="0"/>
        <w:rPr>
          <w:lang w:val="it-IT"/>
        </w:rPr>
      </w:pPr>
      <w:r w:rsidRPr="00500BB3">
        <w:t xml:space="preserve">220. </w:t>
      </w:r>
      <w:r w:rsidR="001B2B93" w:rsidRPr="0050706B">
        <w:t xml:space="preserve">Hatswell AJ, Freemantle N, Baio GJP. Economic evaluations of pharmaceuticals granted a marketing authorisation without the results of randomised trials: a systematic review and taxonomy. </w:t>
      </w:r>
      <w:r w:rsidR="001B2B93" w:rsidRPr="001B2B93">
        <w:rPr>
          <w:i/>
          <w:lang w:val="it-IT"/>
        </w:rPr>
        <w:t>Pharmacoeconomics</w:t>
      </w:r>
      <w:r w:rsidR="001B2B93" w:rsidRPr="001B2B93">
        <w:rPr>
          <w:lang w:val="it-IT"/>
        </w:rPr>
        <w:t xml:space="preserve"> 2017;35:163-76. </w:t>
      </w:r>
    </w:p>
    <w:p w14:paraId="1A86BDE6" w14:textId="4FD3A1EC" w:rsidR="00500BB3" w:rsidRPr="001B2B93" w:rsidRDefault="00500BB3" w:rsidP="00500BB3">
      <w:pPr>
        <w:pStyle w:val="EndNoteBibliography"/>
        <w:spacing w:after="0"/>
        <w:rPr>
          <w:lang w:val="it-IT"/>
        </w:rPr>
      </w:pPr>
      <w:r w:rsidRPr="001B2B93">
        <w:rPr>
          <w:lang w:val="it-IT"/>
        </w:rPr>
        <w:t xml:space="preserve"> </w:t>
      </w:r>
    </w:p>
    <w:p w14:paraId="25B01468" w14:textId="1E12EAD2" w:rsidR="00500BB3" w:rsidRPr="00500BB3" w:rsidRDefault="00500BB3" w:rsidP="00500BB3">
      <w:pPr>
        <w:pStyle w:val="EndNoteBibliography"/>
        <w:spacing w:after="0"/>
      </w:pPr>
      <w:r w:rsidRPr="001B2B93">
        <w:rPr>
          <w:lang w:val="it-IT"/>
        </w:rPr>
        <w:lastRenderedPageBreak/>
        <w:t xml:space="preserve">221. </w:t>
      </w:r>
      <w:r w:rsidR="001B2B93" w:rsidRPr="001B2B93">
        <w:rPr>
          <w:lang w:val="it-IT"/>
        </w:rPr>
        <w:t xml:space="preserve">Faria R, Hernandez Alava M, Manca A, Wailoo AJ. </w:t>
      </w:r>
      <w:r w:rsidR="001B2B93" w:rsidRPr="0050706B">
        <w:rPr>
          <w:i/>
        </w:rPr>
        <w:t>The use of observational data to inform estimates of treatment effectiveness for technology appraisal: methods for comparative individual patient data. Report by the Decision Support Unit</w:t>
      </w:r>
      <w:r w:rsidR="001B2B93" w:rsidRPr="0050706B">
        <w:t xml:space="preserve">. Sheffield: Decision Support Unit, ScHARR, University of Sheffield; 2015. Available from: </w:t>
      </w:r>
      <w:hyperlink r:id="rId68" w:history="1">
        <w:r w:rsidR="001B2B93" w:rsidRPr="0050706B">
          <w:rPr>
            <w:rStyle w:val="Hyperlink"/>
          </w:rPr>
          <w:t>http://nicedsu.org.uk/wp-content/uploads/2016/03/TSD17-DSU-Observational-data-FINAL.pdf</w:t>
        </w:r>
      </w:hyperlink>
      <w:r w:rsidRPr="00500BB3">
        <w:t xml:space="preserve"> </w:t>
      </w:r>
    </w:p>
    <w:p w14:paraId="138C3805" w14:textId="77777777" w:rsidR="001B2B93" w:rsidRPr="0050706B" w:rsidRDefault="00500BB3" w:rsidP="001B2B93">
      <w:pPr>
        <w:pStyle w:val="EndNoteBibliography"/>
        <w:spacing w:after="0"/>
      </w:pPr>
      <w:r w:rsidRPr="00500BB3">
        <w:t xml:space="preserve">222. </w:t>
      </w:r>
      <w:r w:rsidR="001B2B93" w:rsidRPr="0050706B">
        <w:t xml:space="preserve">Bell H, Wailoo A, Hernandez M, Grieve R, Faria R, Gibson L, et al. </w:t>
      </w:r>
      <w:r w:rsidR="001B2B93" w:rsidRPr="0050706B">
        <w:rPr>
          <w:i/>
        </w:rPr>
        <w:t>The use of real world data for the estimation of treatment effects in NICE decision making. Report by the Decision Support Unit</w:t>
      </w:r>
      <w:r w:rsidR="001B2B93" w:rsidRPr="0050706B">
        <w:t xml:space="preserve">. Sheffield: Decision Support Unit, ScHARR, University of Sheffield; 2016. Available from: </w:t>
      </w:r>
    </w:p>
    <w:p w14:paraId="219C94FB" w14:textId="4C3673CA" w:rsidR="00500BB3" w:rsidRPr="001B2B93" w:rsidRDefault="00C974E5" w:rsidP="001B2B93">
      <w:pPr>
        <w:rPr>
          <w:rFonts w:cs="Times New Roman"/>
        </w:rPr>
      </w:pPr>
      <w:hyperlink r:id="rId69" w:history="1">
        <w:r w:rsidR="001B2B93" w:rsidRPr="0050706B">
          <w:rPr>
            <w:rStyle w:val="Hyperlink"/>
            <w:rFonts w:cs="Times New Roman"/>
          </w:rPr>
          <w:t>http://nicedsu.org.uk/wp-content/uploads/2018/05/RWD-DSU-REPORT-Updated-DECEMBER-2016.pdf</w:t>
        </w:r>
      </w:hyperlink>
      <w:r w:rsidR="00500BB3" w:rsidRPr="00500BB3">
        <w:t xml:space="preserve"> </w:t>
      </w:r>
    </w:p>
    <w:p w14:paraId="05AF175E" w14:textId="0C7AEFEE" w:rsidR="00500BB3" w:rsidRPr="00500BB3" w:rsidRDefault="00500BB3" w:rsidP="00500BB3">
      <w:pPr>
        <w:pStyle w:val="EndNoteBibliography"/>
        <w:spacing w:after="0"/>
      </w:pPr>
      <w:r w:rsidRPr="00500BB3">
        <w:t xml:space="preserve">223. National Institute for Health and Care Excellence (NICE). </w:t>
      </w:r>
      <w:r w:rsidRPr="00500BB3">
        <w:rPr>
          <w:i/>
        </w:rPr>
        <w:t>TA540: Pembrolizumab for treating relapsed or refractory classical Hodgkin lymphoma</w:t>
      </w:r>
      <w:r w:rsidRPr="00500BB3">
        <w:t xml:space="preserve">; 2018. Available from: </w:t>
      </w:r>
      <w:hyperlink r:id="rId70" w:history="1">
        <w:r w:rsidRPr="00500BB3">
          <w:rPr>
            <w:rStyle w:val="Hyperlink"/>
          </w:rPr>
          <w:t>https://www.nice.org.uk/guidance/ta540</w:t>
        </w:r>
      </w:hyperlink>
    </w:p>
    <w:p w14:paraId="3AFA116F" w14:textId="77777777" w:rsidR="00500BB3" w:rsidRPr="00500BB3" w:rsidRDefault="00500BB3" w:rsidP="00500BB3">
      <w:pPr>
        <w:pStyle w:val="EndNoteBibliography"/>
        <w:spacing w:after="0"/>
      </w:pPr>
      <w:r w:rsidRPr="00500BB3">
        <w:t xml:space="preserve">224. Wright SJ, Newman WG, Payne K. Accounting for capacity constraints in economic evaluations of precision medicine: a systematic review. </w:t>
      </w:r>
      <w:r w:rsidRPr="00500BB3">
        <w:rPr>
          <w:i/>
        </w:rPr>
        <w:t>Pharmacoeconomics</w:t>
      </w:r>
      <w:r w:rsidRPr="00500BB3">
        <w:t xml:space="preserve"> 2019;37:1011-27. </w:t>
      </w:r>
    </w:p>
    <w:p w14:paraId="6F7A746C" w14:textId="77777777" w:rsidR="00500BB3" w:rsidRPr="00500BB3" w:rsidRDefault="00500BB3" w:rsidP="00500BB3">
      <w:pPr>
        <w:pStyle w:val="EndNoteBibliography"/>
        <w:spacing w:after="0"/>
      </w:pPr>
      <w:r w:rsidRPr="00500BB3">
        <w:t xml:space="preserve">225. Lee SJ, Kim NKD, Lee S-H, Kim ST, Park SH, Park JO, et al. NTRK gene amplification in patients with metastatic cancer. </w:t>
      </w:r>
      <w:r w:rsidRPr="00500BB3">
        <w:rPr>
          <w:i/>
        </w:rPr>
        <w:t>Precision Future Med</w:t>
      </w:r>
      <w:r w:rsidRPr="00500BB3">
        <w:t xml:space="preserve"> 2017;1:129-37. </w:t>
      </w:r>
    </w:p>
    <w:p w14:paraId="42C6C1F6" w14:textId="77777777" w:rsidR="00500BB3" w:rsidRPr="00500BB3" w:rsidRDefault="00500BB3" w:rsidP="00500BB3">
      <w:pPr>
        <w:pStyle w:val="EndNoteBibliography"/>
        <w:spacing w:after="0"/>
      </w:pPr>
      <w:r w:rsidRPr="00500BB3">
        <w:t xml:space="preserve">226. Lange AM, Lo H-W. Inhibiting TRK proteins in clinical cancer therapy. </w:t>
      </w:r>
      <w:r w:rsidRPr="00500BB3">
        <w:rPr>
          <w:i/>
        </w:rPr>
        <w:t>Cancers</w:t>
      </w:r>
      <w:r w:rsidRPr="00500BB3">
        <w:t xml:space="preserve"> 2018;10:105. </w:t>
      </w:r>
    </w:p>
    <w:p w14:paraId="082BF7AB" w14:textId="5B2EAA4C" w:rsidR="00500BB3" w:rsidRPr="00500BB3" w:rsidRDefault="00500BB3" w:rsidP="00500BB3">
      <w:pPr>
        <w:pStyle w:val="EndNoteBibliography"/>
        <w:spacing w:after="0"/>
      </w:pPr>
      <w:r w:rsidRPr="00500BB3">
        <w:t xml:space="preserve">227. Office for National Statistics. </w:t>
      </w:r>
      <w:r w:rsidRPr="00500BB3">
        <w:rPr>
          <w:i/>
        </w:rPr>
        <w:t>Cancer Registration Statistics, England: 2017</w:t>
      </w:r>
      <w:r w:rsidRPr="00500BB3">
        <w:t xml:space="preserve">. In. London; 2019. Available from: </w:t>
      </w:r>
      <w:hyperlink r:id="rId71" w:history="1">
        <w:r w:rsidRPr="00500BB3">
          <w:rPr>
            <w:rStyle w:val="Hyperlink"/>
          </w:rPr>
          <w:t>https://www.ons.gov.uk/releases/cancerregistrationstatisticsengland2017</w:t>
        </w:r>
      </w:hyperlink>
    </w:p>
    <w:p w14:paraId="51A12682" w14:textId="77777777" w:rsidR="00500BB3" w:rsidRPr="00500BB3" w:rsidRDefault="00500BB3" w:rsidP="00500BB3">
      <w:pPr>
        <w:pStyle w:val="EndNoteBibliography"/>
        <w:spacing w:after="0"/>
      </w:pPr>
      <w:r w:rsidRPr="00500BB3">
        <w:t xml:space="preserve">228. Coombes N, Elliss-Brookes L, Johnson S, Lyons J, Mackay C, Morement H, et al. </w:t>
      </w:r>
      <w:r w:rsidRPr="00500BB3">
        <w:rPr>
          <w:i/>
        </w:rPr>
        <w:t>Rare and less common cancers: Incidence and Mortality in England, 2010 to 2013</w:t>
      </w:r>
      <w:r w:rsidRPr="00500BB3">
        <w:t xml:space="preserve">. In: Network NCI, editor. London, UK: Public Health England; 2015. </w:t>
      </w:r>
    </w:p>
    <w:p w14:paraId="681EA5AD" w14:textId="77777777" w:rsidR="00500BB3" w:rsidRPr="00500BB3" w:rsidRDefault="00500BB3" w:rsidP="00500BB3">
      <w:pPr>
        <w:pStyle w:val="EndNoteBibliography"/>
        <w:spacing w:after="0"/>
      </w:pPr>
      <w:r w:rsidRPr="00500BB3">
        <w:t xml:space="preserve">229. UK and Ireland Neuroendcrine Tumour Society. </w:t>
      </w:r>
      <w:r w:rsidRPr="00500BB3">
        <w:rPr>
          <w:i/>
        </w:rPr>
        <w:t>Incidence and prevalence of neuroendocrine tumours in England</w:t>
      </w:r>
      <w:r w:rsidRPr="00500BB3">
        <w:t xml:space="preserve">. In: UKI NETS. London, UK: Endocrine Abstracts; 2017. </w:t>
      </w:r>
    </w:p>
    <w:p w14:paraId="1E0EAA4D" w14:textId="2DE1F978" w:rsidR="00500BB3" w:rsidRPr="00500BB3" w:rsidRDefault="00500BB3" w:rsidP="00500BB3">
      <w:pPr>
        <w:pStyle w:val="EndNoteBibliography"/>
        <w:spacing w:after="0"/>
      </w:pPr>
      <w:r w:rsidRPr="00500BB3">
        <w:t>230. National Cancer Institute.</w:t>
      </w:r>
      <w:r w:rsidRPr="00500BB3">
        <w:rPr>
          <w:i/>
        </w:rPr>
        <w:t xml:space="preserve"> Gastrointestinal Stromal Tumors Treatment (Adult) (PDQ®)–Health Professional Version</w:t>
      </w:r>
      <w:r w:rsidRPr="00500BB3">
        <w:t xml:space="preserve">. National Cancer Institute; 2018. [cited 2019 June]. Available from: </w:t>
      </w:r>
      <w:hyperlink r:id="rId72" w:history="1">
        <w:r w:rsidRPr="00500BB3">
          <w:rPr>
            <w:rStyle w:val="Hyperlink"/>
          </w:rPr>
          <w:t>https://www.cancer.gov/types/soft-tissue-sarcoma/hp/gist-treatment-pdq</w:t>
        </w:r>
      </w:hyperlink>
      <w:r w:rsidRPr="00500BB3">
        <w:t xml:space="preserve">. </w:t>
      </w:r>
    </w:p>
    <w:p w14:paraId="3B928D3A" w14:textId="77777777" w:rsidR="00500BB3" w:rsidRPr="00500BB3" w:rsidRDefault="00500BB3" w:rsidP="00500BB3">
      <w:pPr>
        <w:pStyle w:val="EndNoteBibliography"/>
        <w:spacing w:after="0"/>
      </w:pPr>
      <w:r w:rsidRPr="00500BB3">
        <w:t xml:space="preserve">231. Care Quality Improvement Department RCoP. </w:t>
      </w:r>
      <w:r w:rsidRPr="00500BB3">
        <w:rPr>
          <w:i/>
        </w:rPr>
        <w:t>National Lung Cancer Audit annual report 2018 (for the audit period 2017)</w:t>
      </w:r>
      <w:r w:rsidRPr="00500BB3">
        <w:t xml:space="preserve">. In: Physicians RCo, editor. London, UK: Healthcare Quality Improvement Partnership (HQIP) 2019. </w:t>
      </w:r>
    </w:p>
    <w:p w14:paraId="05429703" w14:textId="6F1DD048" w:rsidR="00500BB3" w:rsidRPr="00500BB3" w:rsidRDefault="00500BB3" w:rsidP="00500BB3">
      <w:pPr>
        <w:pStyle w:val="EndNoteBibliography"/>
        <w:spacing w:after="0"/>
      </w:pPr>
      <w:r w:rsidRPr="00500BB3">
        <w:t>232. World Population Review.</w:t>
      </w:r>
      <w:r w:rsidRPr="00500BB3">
        <w:rPr>
          <w:i/>
        </w:rPr>
        <w:t xml:space="preserve"> Western European Countries 2020. Western European Countries</w:t>
      </w:r>
      <w:r w:rsidRPr="00500BB3">
        <w:t xml:space="preserve">. 2019. [cited 2019 12th December]. Available from: </w:t>
      </w:r>
      <w:hyperlink r:id="rId73" w:history="1">
        <w:r w:rsidRPr="00500BB3">
          <w:rPr>
            <w:rStyle w:val="Hyperlink"/>
          </w:rPr>
          <w:t>http://worldpopulationreview.com/countries/western-european-countries/</w:t>
        </w:r>
      </w:hyperlink>
      <w:r w:rsidRPr="00500BB3">
        <w:t xml:space="preserve">. </w:t>
      </w:r>
    </w:p>
    <w:p w14:paraId="5373EA53" w14:textId="77777777" w:rsidR="00500BB3" w:rsidRPr="00500BB3" w:rsidRDefault="00500BB3" w:rsidP="00500BB3">
      <w:pPr>
        <w:pStyle w:val="EndNoteBibliography"/>
        <w:spacing w:after="0"/>
      </w:pPr>
      <w:r w:rsidRPr="00500BB3">
        <w:t xml:space="preserve">233. Marmor S, Portschy PR, Tuttle TM, Virnig BA. The rise in appendiceal cancer incidence: 2000–2009. </w:t>
      </w:r>
      <w:r w:rsidRPr="00500BB3">
        <w:rPr>
          <w:i/>
        </w:rPr>
        <w:t>J Gastrointest Surg</w:t>
      </w:r>
      <w:r w:rsidRPr="00500BB3">
        <w:t xml:space="preserve"> 2015;19:743-50. </w:t>
      </w:r>
    </w:p>
    <w:p w14:paraId="008865FD" w14:textId="77777777" w:rsidR="00500BB3" w:rsidRPr="00500BB3" w:rsidRDefault="00500BB3" w:rsidP="00500BB3">
      <w:pPr>
        <w:pStyle w:val="EndNoteBibliography"/>
        <w:spacing w:after="0"/>
      </w:pPr>
      <w:r w:rsidRPr="00500BB3">
        <w:t xml:space="preserve">234. Tsuchiya N, Sawada Y, Endo I, Saito K, Uemura Y, Nakatsura T. Biomarkers for the early diagnosis of hepatocellular carcinoma. </w:t>
      </w:r>
      <w:r w:rsidRPr="00500BB3">
        <w:rPr>
          <w:i/>
        </w:rPr>
        <w:t>World J Gastroenterol</w:t>
      </w:r>
      <w:r w:rsidRPr="00500BB3">
        <w:t xml:space="preserve"> 2015;21:10573. </w:t>
      </w:r>
    </w:p>
    <w:p w14:paraId="5B16D969" w14:textId="77777777" w:rsidR="00500BB3" w:rsidRPr="00354FCE" w:rsidRDefault="00500BB3" w:rsidP="00500BB3">
      <w:pPr>
        <w:pStyle w:val="EndNoteBibliography"/>
        <w:spacing w:after="0"/>
        <w:rPr>
          <w:lang w:val="it-IT"/>
        </w:rPr>
      </w:pPr>
      <w:r w:rsidRPr="00500BB3">
        <w:t xml:space="preserve">235. Sethi R, Kozin E, Remenschneider A, Meier J, VanderLaan P, Faquin W, et al. Mammary analogue secretory carcinoma: update on a new diagnosis of salivary gland malignancy. </w:t>
      </w:r>
      <w:r w:rsidRPr="00354FCE">
        <w:rPr>
          <w:i/>
          <w:lang w:val="it-IT"/>
        </w:rPr>
        <w:t>Laryngoscope</w:t>
      </w:r>
      <w:r w:rsidRPr="00354FCE">
        <w:rPr>
          <w:lang w:val="it-IT"/>
        </w:rPr>
        <w:t xml:space="preserve"> 2014;124:188-95. </w:t>
      </w:r>
    </w:p>
    <w:p w14:paraId="7D5C5144" w14:textId="77777777" w:rsidR="00500BB3" w:rsidRPr="00500BB3" w:rsidRDefault="00500BB3" w:rsidP="00500BB3">
      <w:pPr>
        <w:pStyle w:val="EndNoteBibliography"/>
        <w:spacing w:after="0"/>
      </w:pPr>
      <w:r w:rsidRPr="00354FCE">
        <w:rPr>
          <w:lang w:val="it-IT"/>
        </w:rPr>
        <w:t xml:space="preserve">236. Orbach D, Rey A, Cecchetto G, Oberlin O, Casanova M, Thebaud E, et al. </w:t>
      </w:r>
      <w:r w:rsidRPr="00500BB3">
        <w:t xml:space="preserve">Infantile fibrosarcoma: management based on the European experience. </w:t>
      </w:r>
      <w:r w:rsidRPr="00500BB3">
        <w:rPr>
          <w:i/>
        </w:rPr>
        <w:t>J Clin Oncol</w:t>
      </w:r>
      <w:r w:rsidRPr="00500BB3">
        <w:t xml:space="preserve"> 2009;28:318-23. </w:t>
      </w:r>
    </w:p>
    <w:p w14:paraId="6AEF9D46" w14:textId="77777777" w:rsidR="00500BB3" w:rsidRPr="00500BB3" w:rsidRDefault="00500BB3" w:rsidP="00500BB3">
      <w:pPr>
        <w:pStyle w:val="EndNoteBibliography"/>
        <w:spacing w:after="0"/>
      </w:pPr>
      <w:r w:rsidRPr="00500BB3">
        <w:lastRenderedPageBreak/>
        <w:t>237. Gooskens SL, Houwing ME, Vuja</w:t>
      </w:r>
      <w:r w:rsidRPr="00500BB3">
        <w:rPr>
          <w:rFonts w:hint="eastAsia"/>
        </w:rPr>
        <w:t>nic GM, Dome JS, Diertens T, Coulomb</w:t>
      </w:r>
      <w:r w:rsidRPr="00500BB3">
        <w:rPr>
          <w:rFonts w:hint="eastAsia"/>
        </w:rPr>
        <w:t>‐</w:t>
      </w:r>
      <w:r w:rsidRPr="00500BB3">
        <w:rPr>
          <w:rFonts w:hint="eastAsia"/>
        </w:rPr>
        <w:t xml:space="preserve">l'Herminé A, et al. Congenital mesoblastic nephroma 50 years after its recognition: a narrative review. </w:t>
      </w:r>
      <w:r w:rsidRPr="00500BB3">
        <w:rPr>
          <w:rFonts w:hint="eastAsia"/>
          <w:i/>
        </w:rPr>
        <w:t>Pediatric blood &amp; cancer</w:t>
      </w:r>
      <w:r w:rsidRPr="00500BB3">
        <w:rPr>
          <w:rFonts w:hint="eastAsia"/>
        </w:rPr>
        <w:t xml:space="preserve"> 2017;64:e26437. </w:t>
      </w:r>
    </w:p>
    <w:p w14:paraId="447C81C8" w14:textId="77777777" w:rsidR="00500BB3" w:rsidRPr="00500BB3" w:rsidRDefault="00500BB3" w:rsidP="00500BB3">
      <w:pPr>
        <w:pStyle w:val="EndNoteBibliography"/>
        <w:spacing w:after="0"/>
      </w:pPr>
      <w:r w:rsidRPr="00500BB3">
        <w:t xml:space="preserve">238. Deen MH, Burke KM, Janitz A, Campbell J. Cancers of the thyroid: overview and statistics in the United States and Oklahoma. </w:t>
      </w:r>
      <w:r w:rsidRPr="00500BB3">
        <w:rPr>
          <w:i/>
        </w:rPr>
        <w:t>The Journal of the Oklahoma State Medical Association</w:t>
      </w:r>
      <w:r w:rsidRPr="00500BB3">
        <w:t xml:space="preserve"> 2016;109:333. </w:t>
      </w:r>
    </w:p>
    <w:p w14:paraId="7D1DE2EB" w14:textId="77777777" w:rsidR="00500BB3" w:rsidRPr="00500BB3" w:rsidRDefault="00500BB3" w:rsidP="00500BB3">
      <w:pPr>
        <w:pStyle w:val="EndNoteBibliography"/>
        <w:spacing w:after="0"/>
      </w:pPr>
      <w:r w:rsidRPr="00500BB3">
        <w:t xml:space="preserve">239. Austin M, Xing Y, Hayes-Jordan A, Lally K, Cormier J. Melanoma incidence rises for children and adolescents: an epidemiologic review of pediatric melanoma in the United States. </w:t>
      </w:r>
      <w:r w:rsidRPr="00500BB3">
        <w:rPr>
          <w:i/>
        </w:rPr>
        <w:t>J Pediatr Surg</w:t>
      </w:r>
      <w:r w:rsidRPr="00500BB3">
        <w:t xml:space="preserve"> 2013;48:2207. </w:t>
      </w:r>
    </w:p>
    <w:p w14:paraId="516063A6" w14:textId="7E9A08DF" w:rsidR="00500BB3" w:rsidRPr="00500BB3" w:rsidRDefault="00500BB3" w:rsidP="00500BB3">
      <w:pPr>
        <w:pStyle w:val="EndNoteBibliography"/>
        <w:spacing w:after="0"/>
      </w:pPr>
      <w:r w:rsidRPr="00500BB3">
        <w:t>240. Cancer Research UK.</w:t>
      </w:r>
      <w:r w:rsidRPr="00500BB3">
        <w:rPr>
          <w:i/>
        </w:rPr>
        <w:t xml:space="preserve"> Breast cancer incidence by stage at diagnosis </w:t>
      </w:r>
      <w:r w:rsidRPr="00500BB3">
        <w:t xml:space="preserve">Cancer Research UK; 2014. [cited 2019 Jun]. Available from: </w:t>
      </w:r>
      <w:hyperlink r:id="rId74" w:history="1">
        <w:r w:rsidRPr="00500BB3">
          <w:rPr>
            <w:rStyle w:val="Hyperlink"/>
          </w:rPr>
          <w:t>https://www.cancerresearchuk.org/health-professional/cancer-statistics/statistics-by-cancer-type/breast-cancer/incidence</w:t>
        </w:r>
      </w:hyperlink>
      <w:r w:rsidRPr="00500BB3">
        <w:t xml:space="preserve">. </w:t>
      </w:r>
    </w:p>
    <w:p w14:paraId="7AA95B4F" w14:textId="77777777" w:rsidR="00500BB3" w:rsidRPr="00500BB3" w:rsidRDefault="00500BB3" w:rsidP="00500BB3">
      <w:pPr>
        <w:pStyle w:val="EndNoteBibliography"/>
        <w:spacing w:after="0"/>
      </w:pPr>
      <w:r w:rsidRPr="00500BB3">
        <w:t xml:space="preserve">241. Thrumurthy SG, Thrumurthy SSD, Gilbert CE, Ross P, Haji A. Colorectal adenocarcinoma: risks, prevention and diagnosis. </w:t>
      </w:r>
      <w:r w:rsidRPr="00500BB3">
        <w:rPr>
          <w:i/>
        </w:rPr>
        <w:t>BMJ</w:t>
      </w:r>
      <w:r w:rsidRPr="00500BB3">
        <w:t xml:space="preserve"> 2016;354:i3590. </w:t>
      </w:r>
    </w:p>
    <w:p w14:paraId="2CCF3697" w14:textId="3F86C1DE" w:rsidR="00500BB3" w:rsidRPr="00500BB3" w:rsidRDefault="00500BB3" w:rsidP="00500BB3">
      <w:pPr>
        <w:pStyle w:val="EndNoteBibliography"/>
        <w:spacing w:after="0"/>
      </w:pPr>
      <w:r w:rsidRPr="00500BB3">
        <w:t>242. Cancer Research UK.</w:t>
      </w:r>
      <w:r w:rsidRPr="00500BB3">
        <w:rPr>
          <w:i/>
        </w:rPr>
        <w:t xml:space="preserve"> Bowel cancer incidence by stage at diagnosis </w:t>
      </w:r>
      <w:r w:rsidRPr="00500BB3">
        <w:t xml:space="preserve">Cancer Research UK; 2016. [cited 2019 Jun]. Available from: </w:t>
      </w:r>
      <w:hyperlink r:id="rId75" w:history="1">
        <w:r w:rsidRPr="00500BB3">
          <w:rPr>
            <w:rStyle w:val="Hyperlink"/>
          </w:rPr>
          <w:t>https://www.cancerresearchuk.org/health-professional/cancer-statistics/statistics-by-cancer-type/bowel-cancer</w:t>
        </w:r>
      </w:hyperlink>
      <w:r w:rsidRPr="00500BB3">
        <w:t xml:space="preserve">. </w:t>
      </w:r>
    </w:p>
    <w:p w14:paraId="740263F1" w14:textId="77777777" w:rsidR="00500BB3" w:rsidRPr="00500BB3" w:rsidRDefault="00500BB3" w:rsidP="00500BB3">
      <w:pPr>
        <w:pStyle w:val="EndNoteBibliography"/>
        <w:spacing w:after="0"/>
      </w:pPr>
      <w:r w:rsidRPr="00500BB3">
        <w:t xml:space="preserve">243. Amelio JMS, Ruzafa JC, Desai K, Tzivelekis S, Muston D, Khalid JM, et al. Prevalence of gastrointestinal stromal tumour (GIST) in the United Kingdom at different therapeutic lines: an epidemiologic model. </w:t>
      </w:r>
      <w:r w:rsidRPr="00500BB3">
        <w:rPr>
          <w:i/>
        </w:rPr>
        <w:t>BMC Cancer</w:t>
      </w:r>
      <w:r w:rsidRPr="00500BB3">
        <w:t xml:space="preserve"> 2014;14:364. </w:t>
      </w:r>
    </w:p>
    <w:p w14:paraId="079C66EC" w14:textId="77777777" w:rsidR="00500BB3" w:rsidRPr="00500BB3" w:rsidRDefault="00500BB3" w:rsidP="00500BB3">
      <w:pPr>
        <w:pStyle w:val="EndNoteBibliography"/>
        <w:spacing w:after="0"/>
      </w:pPr>
      <w:r w:rsidRPr="00500BB3">
        <w:t xml:space="preserve">244. Skálová A, Vanecek T, Sima R, Laco J, Weinreb I, Perez-Ordonez B, et al. Mammary analogue secretory carcinoma of salivary glands, containing the ETV6-NTRK3 fusion gene: a hitherto undescribed salivary gland tumor entity. </w:t>
      </w:r>
      <w:r w:rsidRPr="00500BB3">
        <w:rPr>
          <w:i/>
        </w:rPr>
        <w:t>Am J Surg Pathol</w:t>
      </w:r>
      <w:r w:rsidRPr="00500BB3">
        <w:t xml:space="preserve"> 2010;34:599-608. </w:t>
      </w:r>
    </w:p>
    <w:p w14:paraId="18328A94" w14:textId="77777777" w:rsidR="00500BB3" w:rsidRPr="00500BB3" w:rsidRDefault="00500BB3" w:rsidP="00500BB3">
      <w:pPr>
        <w:pStyle w:val="EndNoteBibliography"/>
        <w:spacing w:after="0"/>
      </w:pPr>
      <w:r w:rsidRPr="00500BB3">
        <w:t xml:space="preserve">245. Luk PP, Selinger CI, Eviston TJ, Lum T, Yu B, O’Toole SA, et al. Mammary analogue secretory carcinoma: an evaluation of its clinicopathological and genetic characteristics. </w:t>
      </w:r>
      <w:r w:rsidRPr="00500BB3">
        <w:rPr>
          <w:i/>
        </w:rPr>
        <w:t>Pathology</w:t>
      </w:r>
      <w:r w:rsidRPr="00500BB3">
        <w:t xml:space="preserve"> 2015;47:659-66. </w:t>
      </w:r>
    </w:p>
    <w:p w14:paraId="5BDC3115" w14:textId="784EAC0B" w:rsidR="00500BB3" w:rsidRPr="00500BB3" w:rsidRDefault="00500BB3" w:rsidP="00500BB3">
      <w:pPr>
        <w:pStyle w:val="EndNoteBibliography"/>
        <w:spacing w:after="0"/>
      </w:pPr>
      <w:r w:rsidRPr="00500BB3">
        <w:t>246. Cancer Research UK.</w:t>
      </w:r>
      <w:r w:rsidRPr="00500BB3">
        <w:rPr>
          <w:i/>
        </w:rPr>
        <w:t xml:space="preserve"> Melanoma skin cancer incidence by stage at diagnosis </w:t>
      </w:r>
      <w:r w:rsidRPr="00500BB3">
        <w:t xml:space="preserve">Cancer Research UK; 2016. [cited 2019 Jun]. Available from: </w:t>
      </w:r>
      <w:hyperlink r:id="rId76" w:history="1">
        <w:r w:rsidRPr="00500BB3">
          <w:rPr>
            <w:rStyle w:val="Hyperlink"/>
          </w:rPr>
          <w:t>https://www.cancerresearchuk.org/health-professional/cancer-statistics/statistics-by-cancer-type/melanoma-skin-cancer/incidence</w:t>
        </w:r>
      </w:hyperlink>
      <w:r w:rsidRPr="00500BB3">
        <w:t xml:space="preserve">. </w:t>
      </w:r>
    </w:p>
    <w:p w14:paraId="0404AA6A" w14:textId="0DB0009C" w:rsidR="00500BB3" w:rsidRPr="00500BB3" w:rsidRDefault="00500BB3" w:rsidP="00500BB3">
      <w:pPr>
        <w:pStyle w:val="EndNoteBibliography"/>
        <w:spacing w:after="0"/>
      </w:pPr>
      <w:r w:rsidRPr="00500BB3">
        <w:t>247. UK PC.</w:t>
      </w:r>
      <w:r w:rsidRPr="00500BB3">
        <w:rPr>
          <w:i/>
        </w:rPr>
        <w:t xml:space="preserve"> Types of Pancreatic Cancer</w:t>
      </w:r>
      <w:r w:rsidRPr="00500BB3">
        <w:t xml:space="preserve">. 2018. [cited 2019 16th December]. Available from: </w:t>
      </w:r>
      <w:hyperlink r:id="rId77" w:history="1">
        <w:r w:rsidRPr="00500BB3">
          <w:rPr>
            <w:rStyle w:val="Hyperlink"/>
          </w:rPr>
          <w:t>https://www.pancreaticcancer.org.uk/information-and-support/facts-about-pancreatic-cancer/types-of-pancreatic-cancer/</w:t>
        </w:r>
      </w:hyperlink>
      <w:r w:rsidRPr="00500BB3">
        <w:t xml:space="preserve">. </w:t>
      </w:r>
    </w:p>
    <w:p w14:paraId="69FEB13E" w14:textId="77CA9218" w:rsidR="00500BB3" w:rsidRPr="00500BB3" w:rsidRDefault="00500BB3" w:rsidP="00500BB3">
      <w:pPr>
        <w:pStyle w:val="EndNoteBibliography"/>
        <w:spacing w:after="0"/>
      </w:pPr>
      <w:r w:rsidRPr="00500BB3">
        <w:t>248. Cancer Research UK.</w:t>
      </w:r>
      <w:r w:rsidRPr="00500BB3">
        <w:rPr>
          <w:i/>
        </w:rPr>
        <w:t xml:space="preserve"> Pancreatic cancer incidence by stage at diagnosis </w:t>
      </w:r>
      <w:r w:rsidRPr="00500BB3">
        <w:t xml:space="preserve">Cancer Research UK; 2016. [cited 2019 Jun]. Available from: </w:t>
      </w:r>
      <w:hyperlink r:id="rId78" w:anchor="heading-Three" w:history="1">
        <w:r w:rsidRPr="00500BB3">
          <w:rPr>
            <w:rStyle w:val="Hyperlink"/>
          </w:rPr>
          <w:t>https://www.cancerresearchuk.org/health-professional/cancer-statistics/statistics-by-cancer-type/pancreatic-cancer/incidence#heading-Three</w:t>
        </w:r>
      </w:hyperlink>
      <w:r w:rsidRPr="00500BB3">
        <w:t xml:space="preserve"> </w:t>
      </w:r>
    </w:p>
    <w:p w14:paraId="4813BC71" w14:textId="614410AC" w:rsidR="00500BB3" w:rsidRPr="00500BB3" w:rsidRDefault="00500BB3" w:rsidP="00500BB3">
      <w:pPr>
        <w:pStyle w:val="EndNoteBibliography"/>
        <w:spacing w:after="0"/>
      </w:pPr>
      <w:r w:rsidRPr="00500BB3">
        <w:t>249. Cancer Research UK.</w:t>
      </w:r>
      <w:r w:rsidRPr="00500BB3">
        <w:rPr>
          <w:i/>
        </w:rPr>
        <w:t xml:space="preserve"> Soft tissue sarcoma incidence statistics</w:t>
      </w:r>
      <w:r w:rsidRPr="00500BB3">
        <w:t xml:space="preserve">. 2010. [cited 2019 27th February]. Available from: </w:t>
      </w:r>
      <w:hyperlink r:id="rId79" w:anchor="heading-Four" w:history="1">
        <w:r w:rsidRPr="00500BB3">
          <w:rPr>
            <w:rStyle w:val="Hyperlink"/>
          </w:rPr>
          <w:t>https://www.cancerresearchuk.org/health-professional/cancer-statistics/statistics-by-cancer-type/soft-tissue-sarcoma/incidence#heading-Four</w:t>
        </w:r>
      </w:hyperlink>
      <w:r w:rsidRPr="00500BB3">
        <w:t xml:space="preserve">. </w:t>
      </w:r>
    </w:p>
    <w:p w14:paraId="03D2A180" w14:textId="061A9CB3" w:rsidR="00500BB3" w:rsidRPr="00500BB3" w:rsidRDefault="00500BB3" w:rsidP="00500BB3">
      <w:pPr>
        <w:pStyle w:val="EndNoteBibliography"/>
        <w:spacing w:after="0"/>
      </w:pPr>
      <w:r w:rsidRPr="00500BB3">
        <w:t>250. American Cancer Society.</w:t>
      </w:r>
      <w:r w:rsidRPr="00500BB3">
        <w:rPr>
          <w:i/>
        </w:rPr>
        <w:t xml:space="preserve"> Cancer Facts and Figures</w:t>
      </w:r>
      <w:r w:rsidRPr="00500BB3">
        <w:t xml:space="preserve">. 2017. [cited 2020 24th January]. Available from: </w:t>
      </w:r>
      <w:hyperlink r:id="rId80" w:history="1">
        <w:r w:rsidRPr="00500BB3">
          <w:rPr>
            <w:rStyle w:val="Hyperlink"/>
          </w:rPr>
          <w:t>https://www.cancer.org/research/cancer-facts-statistics/all-cancer-facts-figures/cancer-facts-figures-2017.html</w:t>
        </w:r>
      </w:hyperlink>
      <w:r w:rsidRPr="00500BB3">
        <w:t xml:space="preserve">. </w:t>
      </w:r>
    </w:p>
    <w:p w14:paraId="2FED1C2C" w14:textId="46C057BA" w:rsidR="00500BB3" w:rsidRPr="00500BB3" w:rsidRDefault="00500BB3" w:rsidP="00500BB3">
      <w:pPr>
        <w:pStyle w:val="EndNoteBibliography"/>
        <w:spacing w:after="0"/>
      </w:pPr>
      <w:r w:rsidRPr="00500BB3">
        <w:t>251. Cancer Research UK.</w:t>
      </w:r>
      <w:r w:rsidRPr="00500BB3">
        <w:rPr>
          <w:i/>
        </w:rPr>
        <w:t xml:space="preserve"> Cervical cancer incidence by stage at diagnosis </w:t>
      </w:r>
      <w:r w:rsidRPr="00500BB3">
        <w:t xml:space="preserve">Cancer Research UK; 2016. [cited 2019 Jun]. Available from: </w:t>
      </w:r>
      <w:hyperlink r:id="rId81" w:anchor="heading-Three" w:history="1">
        <w:r w:rsidRPr="00500BB3">
          <w:rPr>
            <w:rStyle w:val="Hyperlink"/>
          </w:rPr>
          <w:t>https://www.cancerresearchuk.org/health-professional/cancer-statistics/statistics-by-cancer-type/cervical-cancer/incidence#heading-Three</w:t>
        </w:r>
      </w:hyperlink>
      <w:r w:rsidRPr="00500BB3">
        <w:t xml:space="preserve">. </w:t>
      </w:r>
    </w:p>
    <w:p w14:paraId="69D3A87C" w14:textId="72313179" w:rsidR="00500BB3" w:rsidRPr="00500BB3" w:rsidRDefault="00500BB3" w:rsidP="00500BB3">
      <w:pPr>
        <w:pStyle w:val="EndNoteBibliography"/>
        <w:spacing w:after="0"/>
      </w:pPr>
      <w:r w:rsidRPr="00500BB3">
        <w:t xml:space="preserve">252. National Institute for Health and Care Excellence. </w:t>
      </w:r>
      <w:r w:rsidRPr="00500BB3">
        <w:rPr>
          <w:i/>
        </w:rPr>
        <w:t>Pembrolizumab for previously treated oesophageal or gastrooesophageal junction cancer Draft scope</w:t>
      </w:r>
      <w:r w:rsidRPr="00500BB3">
        <w:t xml:space="preserve">. London: NICE; 2018. Available from: </w:t>
      </w:r>
      <w:hyperlink r:id="rId82" w:history="1">
        <w:r w:rsidRPr="00500BB3">
          <w:rPr>
            <w:rStyle w:val="Hyperlink"/>
          </w:rPr>
          <w:t>https://www.nice.org.uk/guidance/gid-ta10322/documents/draft-scope-post-referral</w:t>
        </w:r>
      </w:hyperlink>
    </w:p>
    <w:p w14:paraId="17C9C8D6" w14:textId="05D407FF" w:rsidR="00500BB3" w:rsidRPr="00500BB3" w:rsidRDefault="00500BB3" w:rsidP="00500BB3">
      <w:pPr>
        <w:pStyle w:val="EndNoteBibliography"/>
        <w:spacing w:after="0"/>
      </w:pPr>
      <w:r w:rsidRPr="00500BB3">
        <w:lastRenderedPageBreak/>
        <w:t>253. Cancer Research UK.</w:t>
      </w:r>
      <w:r w:rsidRPr="00500BB3">
        <w:rPr>
          <w:i/>
        </w:rPr>
        <w:t xml:space="preserve"> Oesophageal cancer incidence by stage at diagnosis </w:t>
      </w:r>
      <w:r w:rsidRPr="00500BB3">
        <w:t xml:space="preserve">Cancer Research UK; 2016. [cited 2019 Jun]. Available from: </w:t>
      </w:r>
      <w:hyperlink r:id="rId83" w:history="1">
        <w:r w:rsidRPr="00500BB3">
          <w:rPr>
            <w:rStyle w:val="Hyperlink"/>
          </w:rPr>
          <w:t>https://www.cancerresearchuk.org/health-professional/cancer-statistics/statistics-by-cancer-type/oesophageal-cancer/incidence</w:t>
        </w:r>
      </w:hyperlink>
      <w:r w:rsidRPr="00500BB3">
        <w:t xml:space="preserve">. </w:t>
      </w:r>
    </w:p>
    <w:p w14:paraId="08987867" w14:textId="2D2E8AB8" w:rsidR="00500BB3" w:rsidRPr="00500BB3" w:rsidRDefault="00500BB3" w:rsidP="00500BB3">
      <w:pPr>
        <w:pStyle w:val="EndNoteBibliography"/>
        <w:spacing w:after="0"/>
      </w:pPr>
      <w:r w:rsidRPr="00500BB3">
        <w:t>254. Cancer Research UK.</w:t>
      </w:r>
      <w:r w:rsidRPr="00500BB3">
        <w:rPr>
          <w:i/>
        </w:rPr>
        <w:t xml:space="preserve"> Head and neck cancers statistics</w:t>
      </w:r>
      <w:r w:rsidRPr="00500BB3">
        <w:t xml:space="preserve">. 2016. [cited 2019 Available from: </w:t>
      </w:r>
      <w:hyperlink r:id="rId84" w:history="1">
        <w:r w:rsidRPr="00500BB3">
          <w:rPr>
            <w:rStyle w:val="Hyperlink"/>
          </w:rPr>
          <w:t>https://www.cancerresearchuk.org/health-professional/cancer-statistics/statistics-by-cancer-type/head-and-neck-cancers</w:t>
        </w:r>
      </w:hyperlink>
      <w:r w:rsidRPr="00500BB3">
        <w:t xml:space="preserve">. </w:t>
      </w:r>
    </w:p>
    <w:p w14:paraId="7A9C3688" w14:textId="77777777" w:rsidR="00500BB3" w:rsidRPr="00500BB3" w:rsidRDefault="00500BB3" w:rsidP="00500BB3">
      <w:pPr>
        <w:pStyle w:val="EndNoteBibliography"/>
        <w:spacing w:after="0"/>
      </w:pPr>
      <w:r w:rsidRPr="00500BB3">
        <w:t xml:space="preserve">255. Public Health England. </w:t>
      </w:r>
      <w:r w:rsidRPr="00500BB3">
        <w:rPr>
          <w:i/>
        </w:rPr>
        <w:t>Glioblastoma in England 2007-2011</w:t>
      </w:r>
      <w:r w:rsidRPr="00500BB3">
        <w:t xml:space="preserve">; 2016. </w:t>
      </w:r>
    </w:p>
    <w:p w14:paraId="539CD8E1" w14:textId="6C87E0A1" w:rsidR="00500BB3" w:rsidRPr="00500BB3" w:rsidRDefault="00500BB3" w:rsidP="00500BB3">
      <w:pPr>
        <w:pStyle w:val="EndNoteBibliography"/>
        <w:spacing w:after="0"/>
      </w:pPr>
      <w:r w:rsidRPr="00500BB3">
        <w:t>256. Cancer Research UK.</w:t>
      </w:r>
      <w:r w:rsidRPr="00500BB3">
        <w:rPr>
          <w:i/>
        </w:rPr>
        <w:t xml:space="preserve"> Ovarian cancer incidence by stage at diagnosis </w:t>
      </w:r>
      <w:r w:rsidRPr="00500BB3">
        <w:t xml:space="preserve">Cancer Research UK; 2016. [cited 2019 Jun]. Available from: </w:t>
      </w:r>
      <w:hyperlink r:id="rId85" w:history="1">
        <w:r w:rsidRPr="00500BB3">
          <w:rPr>
            <w:rStyle w:val="Hyperlink"/>
          </w:rPr>
          <w:t>https://www.cancerresearchuk.org/health-professional/cancer-statistics/statistics-by-cancer-type/ovarian-cancer/incidence</w:t>
        </w:r>
      </w:hyperlink>
      <w:r w:rsidRPr="00500BB3">
        <w:t xml:space="preserve"> </w:t>
      </w:r>
    </w:p>
    <w:p w14:paraId="180C999B" w14:textId="11BBF12C" w:rsidR="00500BB3" w:rsidRPr="00500BB3" w:rsidRDefault="00500BB3" w:rsidP="00500BB3">
      <w:pPr>
        <w:pStyle w:val="EndNoteBibliography"/>
        <w:spacing w:after="0"/>
      </w:pPr>
      <w:r w:rsidRPr="00500BB3">
        <w:t xml:space="preserve">257. Farrimond J. </w:t>
      </w:r>
      <w:r w:rsidRPr="00500BB3">
        <w:rPr>
          <w:i/>
        </w:rPr>
        <w:t>Analysis of the cancer registry combined database for use with the Brain and CNS Registry</w:t>
      </w:r>
      <w:r w:rsidRPr="00500BB3">
        <w:t xml:space="preserve">: National Cancer Intelligence Network. Eastern Cancer Registration and Information Centre; 2010. Available from: </w:t>
      </w:r>
      <w:hyperlink r:id="rId86" w:history="1">
        <w:r w:rsidRPr="00500BB3">
          <w:rPr>
            <w:rStyle w:val="Hyperlink"/>
          </w:rPr>
          <w:t>http://www.ncin.org.uk/search/brain+cns+registry</w:t>
        </w:r>
      </w:hyperlink>
    </w:p>
    <w:p w14:paraId="5857D032" w14:textId="65422DF8" w:rsidR="00500BB3" w:rsidRPr="00500BB3" w:rsidRDefault="00500BB3" w:rsidP="00500BB3">
      <w:pPr>
        <w:pStyle w:val="EndNoteBibliography"/>
        <w:spacing w:after="0"/>
      </w:pPr>
      <w:r w:rsidRPr="00500BB3">
        <w:t>258. Cancer Research UK.</w:t>
      </w:r>
      <w:r w:rsidRPr="00500BB3">
        <w:rPr>
          <w:i/>
        </w:rPr>
        <w:t xml:space="preserve"> Children's cancer incidence statistics</w:t>
      </w:r>
      <w:r w:rsidRPr="00500BB3">
        <w:t xml:space="preserve">. Cancer Research UK; 2014. [cited 2019 Jun]. Available from: </w:t>
      </w:r>
      <w:hyperlink r:id="rId87" w:history="1">
        <w:r w:rsidRPr="00500BB3">
          <w:rPr>
            <w:rStyle w:val="Hyperlink"/>
          </w:rPr>
          <w:t>https://www.cancerresearchuk.org/health-professional/cancer-statistics/childrens-cancers</w:t>
        </w:r>
      </w:hyperlink>
      <w:r w:rsidRPr="00500BB3">
        <w:t xml:space="preserve">. </w:t>
      </w:r>
    </w:p>
    <w:p w14:paraId="5A51761E" w14:textId="77777777" w:rsidR="00500BB3" w:rsidRPr="00500BB3" w:rsidRDefault="00500BB3" w:rsidP="00500BB3">
      <w:pPr>
        <w:pStyle w:val="EndNoteBibliography"/>
        <w:spacing w:after="0"/>
      </w:pPr>
      <w:r w:rsidRPr="00500BB3">
        <w:t xml:space="preserve">259. Brzeziańska E, Karbownik M, Migdalska-Sęk M, Pastuszak-Lewandoska D, Włoch J, Lewiński A. Molecular analysis of the RET and NTRK1 gene rearrangements in papillary thyroid carcinoma in the Polish population. </w:t>
      </w:r>
      <w:r w:rsidRPr="00500BB3">
        <w:rPr>
          <w:i/>
        </w:rPr>
        <w:t>Mut Res/Fundamental Molecular Mechanisms Mutagenesis</w:t>
      </w:r>
      <w:r w:rsidRPr="00500BB3">
        <w:t xml:space="preserve"> 2006;599:26-35. </w:t>
      </w:r>
    </w:p>
    <w:p w14:paraId="18343C7E" w14:textId="5D4E0375" w:rsidR="00500BB3" w:rsidRPr="00500BB3" w:rsidRDefault="00500BB3" w:rsidP="00500BB3">
      <w:pPr>
        <w:pStyle w:val="EndNoteBibliography"/>
        <w:spacing w:after="0"/>
      </w:pPr>
      <w:r w:rsidRPr="00500BB3">
        <w:t>260. Cancer Research UK.</w:t>
      </w:r>
      <w:r w:rsidRPr="00500BB3">
        <w:rPr>
          <w:i/>
        </w:rPr>
        <w:t xml:space="preserve"> Prostate cancer incidence by stage at diagnosis </w:t>
      </w:r>
      <w:r w:rsidRPr="00500BB3">
        <w:t xml:space="preserve">Cancer Research UK; 2016. [cited 2019 Jun]. Available from: </w:t>
      </w:r>
      <w:hyperlink r:id="rId88" w:anchor="heading-Three" w:history="1">
        <w:r w:rsidRPr="00500BB3">
          <w:rPr>
            <w:rStyle w:val="Hyperlink"/>
          </w:rPr>
          <w:t>https://www.cancerresearchuk.org/health-professional/cancer-statistics/statistics-by-cancer-type/prostate-cancer/incidence#heading-Three</w:t>
        </w:r>
      </w:hyperlink>
      <w:r w:rsidRPr="00500BB3">
        <w:t xml:space="preserve">. </w:t>
      </w:r>
    </w:p>
    <w:p w14:paraId="7484E498" w14:textId="63B53803" w:rsidR="00500BB3" w:rsidRPr="00500BB3" w:rsidRDefault="00500BB3" w:rsidP="00500BB3">
      <w:pPr>
        <w:pStyle w:val="EndNoteBibliography"/>
        <w:spacing w:after="0"/>
      </w:pPr>
      <w:r w:rsidRPr="00500BB3">
        <w:t>261. Cancer Research UK.</w:t>
      </w:r>
      <w:r w:rsidRPr="00500BB3">
        <w:rPr>
          <w:i/>
        </w:rPr>
        <w:t xml:space="preserve"> Kidney Cancer: Stages, types and grades</w:t>
      </w:r>
      <w:r w:rsidRPr="00500BB3">
        <w:t xml:space="preserve">. Cancer Research UK; 2016. [cited 2019 Dec]. Available from: </w:t>
      </w:r>
      <w:hyperlink r:id="rId89" w:history="1">
        <w:r w:rsidRPr="00500BB3">
          <w:rPr>
            <w:rStyle w:val="Hyperlink"/>
          </w:rPr>
          <w:t>https://www.cancerresearchuk.org/about-cancer/kidney-cancer/stages-types-grades/types-grades</w:t>
        </w:r>
      </w:hyperlink>
      <w:r w:rsidRPr="00500BB3">
        <w:t xml:space="preserve">. </w:t>
      </w:r>
    </w:p>
    <w:p w14:paraId="6D9063BA" w14:textId="77777777" w:rsidR="00500BB3" w:rsidRPr="00500BB3" w:rsidRDefault="00500BB3" w:rsidP="00500BB3">
      <w:pPr>
        <w:pStyle w:val="EndNoteBibliography"/>
        <w:spacing w:after="0"/>
      </w:pPr>
      <w:r w:rsidRPr="00500BB3">
        <w:t xml:space="preserve">262. Horowitz DP, Sharma CS, Connolly E, Gidea-Addeo D, Deutsch I. Secretory carcinoma of the breast: results from the survival, epidemiology and end results database. </w:t>
      </w:r>
      <w:r w:rsidRPr="00500BB3">
        <w:rPr>
          <w:i/>
        </w:rPr>
        <w:t>Breast</w:t>
      </w:r>
      <w:r w:rsidRPr="00500BB3">
        <w:t xml:space="preserve"> 2012;21:350-53. </w:t>
      </w:r>
    </w:p>
    <w:p w14:paraId="5E5532E4" w14:textId="77777777" w:rsidR="00500BB3" w:rsidRPr="00500BB3" w:rsidRDefault="00500BB3" w:rsidP="00500BB3">
      <w:pPr>
        <w:pStyle w:val="EndNoteBibliography"/>
        <w:spacing w:after="0"/>
      </w:pPr>
      <w:r w:rsidRPr="00500BB3">
        <w:t xml:space="preserve">263. Jacob JD, Hodge C, Franko J, Pezzi CM, Goldman CD, Klimberg VS. Rare breast cancer: 246 invasive secretory carcinomas from the National Cancer Data Base. </w:t>
      </w:r>
      <w:r w:rsidRPr="00500BB3">
        <w:rPr>
          <w:i/>
        </w:rPr>
        <w:t>J Surg Oncol</w:t>
      </w:r>
      <w:r w:rsidRPr="00500BB3">
        <w:t xml:space="preserve"> 2016;113:721-25. </w:t>
      </w:r>
    </w:p>
    <w:p w14:paraId="3EB1B8FA" w14:textId="77777777" w:rsidR="00500BB3" w:rsidRPr="00500BB3" w:rsidRDefault="00500BB3" w:rsidP="00500BB3">
      <w:pPr>
        <w:pStyle w:val="EndNoteBibliography"/>
        <w:spacing w:after="0"/>
      </w:pPr>
      <w:r w:rsidRPr="00500BB3">
        <w:t xml:space="preserve">264. Rushton L, Bagga S, Bevan R, Brown T, Cherrie J, Holmes P, et al. </w:t>
      </w:r>
      <w:r w:rsidRPr="00500BB3">
        <w:rPr>
          <w:i/>
        </w:rPr>
        <w:t>The burden of occupational cancer in Great Britain</w:t>
      </w:r>
      <w:r w:rsidRPr="00500BB3">
        <w:t xml:space="preserve">. London: Health &amp; Safety Executive; 2010. </w:t>
      </w:r>
    </w:p>
    <w:p w14:paraId="707FC0E1" w14:textId="19F79F92" w:rsidR="00500BB3" w:rsidRPr="00500BB3" w:rsidRDefault="00500BB3" w:rsidP="00500BB3">
      <w:pPr>
        <w:pStyle w:val="EndNoteBibliography"/>
        <w:spacing w:after="0"/>
      </w:pPr>
      <w:r w:rsidRPr="00500BB3">
        <w:t>265. Cancer Research UK.</w:t>
      </w:r>
      <w:r w:rsidRPr="00500BB3">
        <w:rPr>
          <w:i/>
        </w:rPr>
        <w:t xml:space="preserve"> Cancer of the Unknown Primary (CUP): stages and types</w:t>
      </w:r>
      <w:r w:rsidRPr="00500BB3">
        <w:t xml:space="preserve">. 2017. [cited 2019 16th December]. Available from: </w:t>
      </w:r>
      <w:hyperlink r:id="rId90" w:history="1">
        <w:r w:rsidRPr="00500BB3">
          <w:rPr>
            <w:rStyle w:val="Hyperlink"/>
          </w:rPr>
          <w:t>https://www.cancerresearchuk.org/about-cancer/cancer-unknown-primary-cup</w:t>
        </w:r>
      </w:hyperlink>
      <w:r w:rsidRPr="00500BB3">
        <w:t xml:space="preserve">. </w:t>
      </w:r>
    </w:p>
    <w:p w14:paraId="0BAB4CAD" w14:textId="77777777" w:rsidR="00500BB3" w:rsidRPr="00500BB3" w:rsidRDefault="00500BB3" w:rsidP="00500BB3">
      <w:pPr>
        <w:pStyle w:val="EndNoteBibliography"/>
        <w:spacing w:after="0"/>
      </w:pPr>
      <w:r w:rsidRPr="00500BB3">
        <w:t xml:space="preserve">266. Demetri GD, Paz-Ares L, Farago AF, Liu SV, Chawla SP, Tosi D, et al. Efficacy and safety of entrectinib in patients with NTRK fusion-positive tumours: Pooled analysis of STARTRK-2, STARTRK-1, and ALKA-372-001. </w:t>
      </w:r>
      <w:r w:rsidRPr="00500BB3">
        <w:rPr>
          <w:i/>
        </w:rPr>
        <w:t>Ann Oncol</w:t>
      </w:r>
      <w:r w:rsidRPr="00500BB3">
        <w:t xml:space="preserve"> 2018;29:ix175, LBA4. </w:t>
      </w:r>
    </w:p>
    <w:p w14:paraId="7EB0EC65" w14:textId="77777777" w:rsidR="00500BB3" w:rsidRPr="00500BB3" w:rsidRDefault="00500BB3" w:rsidP="00500BB3">
      <w:pPr>
        <w:pStyle w:val="EndNoteBibliography"/>
        <w:spacing w:after="0"/>
      </w:pPr>
      <w:r w:rsidRPr="00500BB3">
        <w:t xml:space="preserve">267. Hyman D, van Tilburg C, Albert C, Tan D, Geoerger B, Farago A, et al. 445PD Durability of response with larotrectinib in adult and pediatric patients with TRK fusion cancer. </w:t>
      </w:r>
      <w:r w:rsidRPr="00500BB3">
        <w:rPr>
          <w:i/>
        </w:rPr>
        <w:t>Ann Oncol</w:t>
      </w:r>
      <w:r w:rsidRPr="00500BB3">
        <w:t xml:space="preserve"> 2019;30:mdz244. 007. </w:t>
      </w:r>
    </w:p>
    <w:p w14:paraId="5B2FD34C" w14:textId="578F49EE" w:rsidR="00500BB3" w:rsidRPr="00500BB3" w:rsidRDefault="00500BB3" w:rsidP="00500BB3">
      <w:pPr>
        <w:pStyle w:val="EndNoteBibliography"/>
        <w:spacing w:after="0"/>
      </w:pPr>
      <w:r w:rsidRPr="00500BB3">
        <w:t xml:space="preserve">268. National Institute for Health and Clinical Excellence. </w:t>
      </w:r>
      <w:r w:rsidRPr="00500BB3">
        <w:rPr>
          <w:i/>
        </w:rPr>
        <w:t>Brigatinib for treating ALK-positive nonsmall-cell lung cancer after crizotinib [ID1328]. Committee papers</w:t>
      </w:r>
      <w:r w:rsidRPr="00500BB3">
        <w:t xml:space="preserve">. London: NICE; 2019. Available from: </w:t>
      </w:r>
      <w:hyperlink r:id="rId91" w:history="1">
        <w:r w:rsidRPr="00500BB3">
          <w:rPr>
            <w:rStyle w:val="Hyperlink"/>
          </w:rPr>
          <w:t>https://www.nice.org.uk/guidance/ta571/documents/committee-papers</w:t>
        </w:r>
      </w:hyperlink>
    </w:p>
    <w:p w14:paraId="643BF42F" w14:textId="77777777" w:rsidR="00500BB3" w:rsidRPr="00500BB3" w:rsidRDefault="00500BB3" w:rsidP="00500BB3">
      <w:pPr>
        <w:pStyle w:val="EndNoteBibliography"/>
      </w:pPr>
      <w:r w:rsidRPr="00500BB3">
        <w:t xml:space="preserve">269. Georghiou T, Bardsley M. </w:t>
      </w:r>
      <w:r w:rsidRPr="00500BB3">
        <w:rPr>
          <w:i/>
        </w:rPr>
        <w:t>Exploring the cost of end of life care</w:t>
      </w:r>
      <w:r w:rsidRPr="00500BB3">
        <w:t xml:space="preserve">. London: Nuffield Trust; 2014. </w:t>
      </w:r>
    </w:p>
    <w:p w14:paraId="6B762BD7" w14:textId="54C9FEAC" w:rsidR="009126F0" w:rsidRPr="002D1DD7" w:rsidRDefault="005F28AE" w:rsidP="009126F0">
      <w:pPr>
        <w:keepNext/>
        <w:rPr>
          <w:sz w:val="24"/>
          <w:szCs w:val="24"/>
        </w:rPr>
        <w:sectPr w:rsidR="009126F0" w:rsidRPr="002D1DD7">
          <w:footerReference w:type="default" r:id="rId92"/>
          <w:pgSz w:w="11906" w:h="16838"/>
          <w:pgMar w:top="1440" w:right="1440" w:bottom="1440" w:left="1440" w:header="708" w:footer="708" w:gutter="0"/>
          <w:cols w:space="708"/>
          <w:docGrid w:linePitch="360"/>
        </w:sectPr>
      </w:pPr>
      <w:r w:rsidRPr="002D1DD7">
        <w:rPr>
          <w:sz w:val="24"/>
          <w:szCs w:val="24"/>
        </w:rPr>
        <w:fldChar w:fldCharType="end"/>
      </w:r>
      <w:bookmarkEnd w:id="289"/>
    </w:p>
    <w:p w14:paraId="332E0DAE" w14:textId="2E4C36EA" w:rsidR="00057280" w:rsidRPr="002D1DD7" w:rsidRDefault="00057280" w:rsidP="003070AE">
      <w:pPr>
        <w:pStyle w:val="Heading1"/>
        <w:rPr>
          <w:lang w:eastAsia="zh-CN"/>
        </w:rPr>
      </w:pPr>
      <w:bookmarkStart w:id="290" w:name="_Ref30775747"/>
      <w:bookmarkStart w:id="291" w:name="_Toc33776250"/>
      <w:r w:rsidRPr="002D1DD7">
        <w:rPr>
          <w:lang w:eastAsia="zh-CN"/>
        </w:rPr>
        <w:lastRenderedPageBreak/>
        <w:t>Appendice</w:t>
      </w:r>
      <w:r w:rsidR="00F929B3" w:rsidRPr="002D1DD7">
        <w:rPr>
          <w:lang w:eastAsia="zh-CN"/>
        </w:rPr>
        <w:t>s</w:t>
      </w:r>
      <w:bookmarkEnd w:id="290"/>
      <w:bookmarkEnd w:id="291"/>
    </w:p>
    <w:p w14:paraId="0A93C6BC" w14:textId="394F5251" w:rsidR="00F929B3" w:rsidRPr="002D1DD7" w:rsidRDefault="00F929B3" w:rsidP="00EC11CD">
      <w:pPr>
        <w:pStyle w:val="NonnumberedH2"/>
      </w:pPr>
      <w:bookmarkStart w:id="292" w:name="_Toc33776251"/>
      <w:r w:rsidRPr="002D1DD7">
        <w:t>Appendix 1</w:t>
      </w:r>
      <w:r w:rsidR="000205E8" w:rsidRPr="002D1DD7">
        <w:t xml:space="preserve">: </w:t>
      </w:r>
      <w:r w:rsidRPr="002D1DD7">
        <w:t>List of regulatory sources</w:t>
      </w:r>
      <w:bookmarkEnd w:id="292"/>
    </w:p>
    <w:tbl>
      <w:tblPr>
        <w:tblStyle w:val="TableGrid"/>
        <w:tblW w:w="0" w:type="auto"/>
        <w:tblLook w:val="04A0" w:firstRow="1" w:lastRow="0" w:firstColumn="1" w:lastColumn="0" w:noHBand="0" w:noVBand="1"/>
      </w:tblPr>
      <w:tblGrid>
        <w:gridCol w:w="5788"/>
        <w:gridCol w:w="8160"/>
      </w:tblGrid>
      <w:tr w:rsidR="000205E8" w:rsidRPr="002D1DD7" w14:paraId="65AB44AA" w14:textId="77777777" w:rsidTr="000205E8">
        <w:tc>
          <w:tcPr>
            <w:tcW w:w="5788" w:type="dxa"/>
          </w:tcPr>
          <w:p w14:paraId="14A712E2" w14:textId="06DD03AB" w:rsidR="000205E8" w:rsidRPr="002D1DD7" w:rsidRDefault="000205E8" w:rsidP="000205E8">
            <w:pPr>
              <w:keepNext/>
              <w:spacing w:before="0" w:after="120"/>
              <w:jc w:val="both"/>
              <w:rPr>
                <w:rFonts w:cs="Times New Roman"/>
                <w:b/>
                <w:bCs/>
                <w:i/>
                <w:szCs w:val="18"/>
              </w:rPr>
            </w:pPr>
            <w:r w:rsidRPr="002D1DD7">
              <w:t>Workshop on site and histology - Independent indications in oncology</w:t>
            </w:r>
          </w:p>
        </w:tc>
        <w:tc>
          <w:tcPr>
            <w:tcW w:w="8160" w:type="dxa"/>
          </w:tcPr>
          <w:p w14:paraId="688C33C7" w14:textId="67E27A54" w:rsidR="000205E8" w:rsidRPr="002D1DD7" w:rsidRDefault="000205E8" w:rsidP="000205E8">
            <w:pPr>
              <w:keepNext/>
              <w:spacing w:before="0" w:after="120"/>
              <w:jc w:val="both"/>
              <w:rPr>
                <w:rFonts w:cs="Times New Roman"/>
                <w:b/>
                <w:bCs/>
                <w:i/>
                <w:szCs w:val="18"/>
              </w:rPr>
            </w:pPr>
            <w:r w:rsidRPr="002D1DD7">
              <w:t>https://www.ema.europa.eu/en/events/workshop-site-histology-independent-indications-oncology</w:t>
            </w:r>
          </w:p>
        </w:tc>
      </w:tr>
      <w:tr w:rsidR="000205E8" w:rsidRPr="002D1DD7" w14:paraId="533F1AC9" w14:textId="77777777" w:rsidTr="000205E8">
        <w:tc>
          <w:tcPr>
            <w:tcW w:w="5788" w:type="dxa"/>
          </w:tcPr>
          <w:p w14:paraId="767612C2" w14:textId="1E989B3C" w:rsidR="000205E8" w:rsidRPr="002D1DD7" w:rsidRDefault="000205E8" w:rsidP="000205E8">
            <w:pPr>
              <w:keepNext/>
              <w:spacing w:before="0" w:after="120"/>
              <w:jc w:val="both"/>
              <w:rPr>
                <w:rFonts w:cs="Times New Roman"/>
                <w:b/>
                <w:bCs/>
                <w:i/>
                <w:szCs w:val="18"/>
              </w:rPr>
            </w:pPr>
            <w:r w:rsidRPr="002D1DD7">
              <w:t xml:space="preserve">Workshop on </w:t>
            </w:r>
            <w:r w:rsidR="004A4474">
              <w:t>single-arm studies</w:t>
            </w:r>
            <w:r w:rsidRPr="002D1DD7">
              <w:t xml:space="preserve"> in oncology</w:t>
            </w:r>
          </w:p>
        </w:tc>
        <w:tc>
          <w:tcPr>
            <w:tcW w:w="8160" w:type="dxa"/>
          </w:tcPr>
          <w:p w14:paraId="2ABA96FC" w14:textId="0A37110C" w:rsidR="000205E8" w:rsidRPr="002D1DD7" w:rsidRDefault="000205E8" w:rsidP="000205E8">
            <w:pPr>
              <w:keepNext/>
              <w:spacing w:before="0" w:after="120"/>
              <w:jc w:val="both"/>
              <w:rPr>
                <w:rFonts w:cs="Times New Roman"/>
                <w:b/>
                <w:bCs/>
                <w:i/>
                <w:szCs w:val="18"/>
              </w:rPr>
            </w:pPr>
            <w:r w:rsidRPr="002D1DD7">
              <w:t>https://www.ema.europa.eu/en/events/workshop-single-arm-trials-oncology</w:t>
            </w:r>
          </w:p>
        </w:tc>
      </w:tr>
      <w:tr w:rsidR="000205E8" w:rsidRPr="00BE1F41" w14:paraId="590623AD" w14:textId="77777777" w:rsidTr="000205E8">
        <w:tc>
          <w:tcPr>
            <w:tcW w:w="5788" w:type="dxa"/>
          </w:tcPr>
          <w:p w14:paraId="2BB7C492" w14:textId="7D95A33E" w:rsidR="000205E8" w:rsidRPr="002D1DD7" w:rsidRDefault="000205E8" w:rsidP="000205E8">
            <w:pPr>
              <w:keepNext/>
              <w:spacing w:before="0" w:after="120"/>
              <w:jc w:val="both"/>
              <w:rPr>
                <w:rFonts w:cs="Times New Roman"/>
                <w:b/>
                <w:bCs/>
                <w:i/>
                <w:szCs w:val="18"/>
              </w:rPr>
            </w:pPr>
            <w:r w:rsidRPr="002D1DD7">
              <w:t>Developing Targeted Therapies in Low-Frequency Molecular Subsets of a Disease Guidance for Industry</w:t>
            </w:r>
          </w:p>
        </w:tc>
        <w:tc>
          <w:tcPr>
            <w:tcW w:w="8160" w:type="dxa"/>
          </w:tcPr>
          <w:p w14:paraId="43FCEC68" w14:textId="70A46FF7" w:rsidR="000205E8" w:rsidRPr="00A812B0" w:rsidRDefault="000205E8" w:rsidP="000205E8">
            <w:pPr>
              <w:keepNext/>
              <w:spacing w:before="0" w:after="120"/>
              <w:jc w:val="both"/>
              <w:rPr>
                <w:rFonts w:cs="Times New Roman"/>
                <w:b/>
                <w:bCs/>
                <w:i/>
                <w:szCs w:val="18"/>
                <w:lang w:val="de-DE"/>
              </w:rPr>
            </w:pPr>
            <w:r w:rsidRPr="00A812B0">
              <w:rPr>
                <w:lang w:val="de-DE"/>
              </w:rPr>
              <w:t>https://www.fda.gov/downloads/Drugs/GuidanceComplianceRegulatoryInformation/Guidances/ UCM588884.pdf</w:t>
            </w:r>
          </w:p>
        </w:tc>
      </w:tr>
      <w:tr w:rsidR="000205E8" w:rsidRPr="002D1DD7" w14:paraId="6FD41836" w14:textId="77777777" w:rsidTr="000205E8">
        <w:tc>
          <w:tcPr>
            <w:tcW w:w="5788" w:type="dxa"/>
          </w:tcPr>
          <w:p w14:paraId="5B939224" w14:textId="6F684D0A" w:rsidR="000205E8" w:rsidRPr="002D1DD7" w:rsidRDefault="000205E8" w:rsidP="000205E8">
            <w:pPr>
              <w:keepNext/>
              <w:spacing w:before="0" w:after="120"/>
              <w:jc w:val="both"/>
              <w:rPr>
                <w:rFonts w:cs="Times New Roman"/>
                <w:b/>
                <w:bCs/>
                <w:i/>
                <w:szCs w:val="18"/>
              </w:rPr>
            </w:pPr>
            <w:r w:rsidRPr="002D1DD7">
              <w:t>Master Protocols: Efficient Clinical Trial Design Strategies to Expedite Development of Oncology Drugs and Biologics Guidance for Industry</w:t>
            </w:r>
          </w:p>
        </w:tc>
        <w:tc>
          <w:tcPr>
            <w:tcW w:w="8160" w:type="dxa"/>
          </w:tcPr>
          <w:p w14:paraId="475A574E" w14:textId="0F6071A5" w:rsidR="000205E8" w:rsidRPr="002D1DD7" w:rsidRDefault="000205E8" w:rsidP="000205E8">
            <w:pPr>
              <w:keepNext/>
              <w:spacing w:before="0" w:after="120"/>
              <w:jc w:val="both"/>
              <w:rPr>
                <w:rFonts w:cs="Times New Roman"/>
                <w:b/>
                <w:bCs/>
                <w:i/>
                <w:szCs w:val="18"/>
              </w:rPr>
            </w:pPr>
            <w:r w:rsidRPr="002D1DD7">
              <w:t>https://www.fda.gov/downloads/Drugs/GuidanceComplianceRegulatoryInformation/ Guidances/UCM621817.pdf</w:t>
            </w:r>
          </w:p>
        </w:tc>
      </w:tr>
      <w:tr w:rsidR="000205E8" w:rsidRPr="002D1DD7" w14:paraId="47E4CA45" w14:textId="77777777" w:rsidTr="000205E8">
        <w:tc>
          <w:tcPr>
            <w:tcW w:w="5788" w:type="dxa"/>
          </w:tcPr>
          <w:p w14:paraId="36B1B765" w14:textId="01F487E9" w:rsidR="000205E8" w:rsidRPr="002D1DD7" w:rsidRDefault="000205E8" w:rsidP="000205E8">
            <w:pPr>
              <w:keepNext/>
              <w:spacing w:before="0" w:after="120"/>
              <w:jc w:val="both"/>
              <w:rPr>
                <w:rFonts w:cs="Times New Roman"/>
                <w:b/>
                <w:bCs/>
                <w:i/>
                <w:szCs w:val="18"/>
              </w:rPr>
            </w:pPr>
            <w:r w:rsidRPr="002D1DD7">
              <w:t>Guidance for Industry Expedited Programs for Serious Conditions – Drugs and Biologics</w:t>
            </w:r>
          </w:p>
        </w:tc>
        <w:tc>
          <w:tcPr>
            <w:tcW w:w="8160" w:type="dxa"/>
          </w:tcPr>
          <w:p w14:paraId="5AD56732" w14:textId="1D0E9544" w:rsidR="000205E8" w:rsidRPr="002D1DD7" w:rsidRDefault="000205E8" w:rsidP="000205E8">
            <w:pPr>
              <w:keepNext/>
              <w:spacing w:before="0" w:after="120"/>
              <w:jc w:val="both"/>
              <w:rPr>
                <w:rFonts w:cs="Times New Roman"/>
                <w:b/>
                <w:bCs/>
                <w:i/>
                <w:szCs w:val="18"/>
              </w:rPr>
            </w:pPr>
            <w:r w:rsidRPr="002D1DD7">
              <w:t>https://www.fda.gov/downloads/Drugs/Guidances/UCM358301.pdf</w:t>
            </w:r>
          </w:p>
        </w:tc>
      </w:tr>
      <w:tr w:rsidR="000205E8" w:rsidRPr="002D1DD7" w14:paraId="3C45FC16" w14:textId="77777777" w:rsidTr="000205E8">
        <w:tc>
          <w:tcPr>
            <w:tcW w:w="5788" w:type="dxa"/>
          </w:tcPr>
          <w:p w14:paraId="581E8461" w14:textId="53811E35" w:rsidR="000205E8" w:rsidRPr="002D1DD7" w:rsidRDefault="000205E8" w:rsidP="000205E8">
            <w:pPr>
              <w:keepNext/>
              <w:spacing w:before="0" w:after="120"/>
              <w:jc w:val="both"/>
              <w:rPr>
                <w:rFonts w:cs="Times New Roman"/>
                <w:b/>
                <w:bCs/>
                <w:i/>
                <w:szCs w:val="18"/>
              </w:rPr>
            </w:pPr>
            <w:r w:rsidRPr="002D1DD7">
              <w:t>Table of Surrogate Endpoints That Were the Basis of Drug Approval or Licensure</w:t>
            </w:r>
          </w:p>
        </w:tc>
        <w:tc>
          <w:tcPr>
            <w:tcW w:w="8160" w:type="dxa"/>
          </w:tcPr>
          <w:p w14:paraId="25C972CD" w14:textId="1B70B332" w:rsidR="000205E8" w:rsidRPr="002D1DD7" w:rsidRDefault="000205E8" w:rsidP="000205E8">
            <w:pPr>
              <w:keepNext/>
              <w:spacing w:before="0" w:after="120"/>
              <w:jc w:val="both"/>
              <w:rPr>
                <w:rFonts w:cs="Times New Roman"/>
                <w:b/>
                <w:bCs/>
                <w:i/>
                <w:szCs w:val="18"/>
              </w:rPr>
            </w:pPr>
            <w:r w:rsidRPr="002D1DD7">
              <w:t>https://www.fda.gov/Drugs/DevelopmentApprovalProcess/DevelopmentResources/ucm613636.htm</w:t>
            </w:r>
          </w:p>
        </w:tc>
      </w:tr>
      <w:tr w:rsidR="000205E8" w:rsidRPr="002D1DD7" w14:paraId="049E825A" w14:textId="77777777" w:rsidTr="000205E8">
        <w:tc>
          <w:tcPr>
            <w:tcW w:w="5788" w:type="dxa"/>
          </w:tcPr>
          <w:p w14:paraId="5CB4B88E" w14:textId="4D9733C5" w:rsidR="000205E8" w:rsidRPr="002D1DD7" w:rsidRDefault="000205E8" w:rsidP="000205E8">
            <w:pPr>
              <w:keepNext/>
              <w:spacing w:before="0" w:after="120"/>
              <w:jc w:val="both"/>
              <w:rPr>
                <w:rFonts w:cs="Times New Roman"/>
                <w:b/>
                <w:bCs/>
                <w:i/>
                <w:szCs w:val="18"/>
              </w:rPr>
            </w:pPr>
            <w:r w:rsidRPr="002D1DD7">
              <w:t>Guidance for Industry Clinical Trial Endpoints for the Approval of Cancer Drugs and Biologics</w:t>
            </w:r>
          </w:p>
        </w:tc>
        <w:tc>
          <w:tcPr>
            <w:tcW w:w="8160" w:type="dxa"/>
          </w:tcPr>
          <w:p w14:paraId="1C18F5E8" w14:textId="3CA9E5A8" w:rsidR="000205E8" w:rsidRPr="002D1DD7" w:rsidRDefault="000205E8" w:rsidP="000205E8">
            <w:pPr>
              <w:keepNext/>
              <w:spacing w:before="0" w:after="120"/>
              <w:jc w:val="both"/>
              <w:rPr>
                <w:rFonts w:cs="Times New Roman"/>
                <w:b/>
                <w:bCs/>
                <w:i/>
                <w:szCs w:val="18"/>
              </w:rPr>
            </w:pPr>
            <w:r w:rsidRPr="002D1DD7">
              <w:t>https://www.fda.gov/downloads/drugsGuidanceComplianceRegulatoyInformation/Guidance/UCM071590.pdf</w:t>
            </w:r>
          </w:p>
        </w:tc>
      </w:tr>
      <w:tr w:rsidR="000205E8" w:rsidRPr="002D1DD7" w14:paraId="01AB4159" w14:textId="77777777" w:rsidTr="000205E8">
        <w:tc>
          <w:tcPr>
            <w:tcW w:w="5788" w:type="dxa"/>
          </w:tcPr>
          <w:p w14:paraId="4FFB6B98" w14:textId="5CDC36BF" w:rsidR="000205E8" w:rsidRPr="002D1DD7" w:rsidRDefault="000205E8" w:rsidP="000205E8">
            <w:pPr>
              <w:keepNext/>
              <w:spacing w:before="0" w:after="120"/>
              <w:jc w:val="both"/>
              <w:rPr>
                <w:rFonts w:cs="Times New Roman"/>
                <w:b/>
                <w:bCs/>
                <w:i/>
                <w:szCs w:val="18"/>
              </w:rPr>
            </w:pPr>
            <w:r w:rsidRPr="002D1DD7">
              <w:t>Tissue agnostic therapies in oncology. Regulatory considerations for orphan drug designation</w:t>
            </w:r>
          </w:p>
        </w:tc>
        <w:tc>
          <w:tcPr>
            <w:tcW w:w="8160" w:type="dxa"/>
          </w:tcPr>
          <w:p w14:paraId="7B5B8932" w14:textId="072D19A1" w:rsidR="000205E8" w:rsidRPr="002D1DD7" w:rsidRDefault="000205E8" w:rsidP="000205E8">
            <w:pPr>
              <w:keepNext/>
              <w:spacing w:before="0" w:after="120"/>
              <w:jc w:val="both"/>
              <w:rPr>
                <w:rFonts w:cs="Times New Roman"/>
                <w:b/>
                <w:bCs/>
                <w:i/>
                <w:szCs w:val="18"/>
              </w:rPr>
            </w:pPr>
            <w:r w:rsidRPr="002D1DD7">
              <w:t>https://www.fda.gov/downloads/NewsEvents/MeetingsConferencesWorkshops/UCM598186.pdf</w:t>
            </w:r>
          </w:p>
        </w:tc>
      </w:tr>
      <w:tr w:rsidR="000205E8" w:rsidRPr="002D1DD7" w14:paraId="40949DF7" w14:textId="77777777" w:rsidTr="000205E8">
        <w:tc>
          <w:tcPr>
            <w:tcW w:w="5788" w:type="dxa"/>
          </w:tcPr>
          <w:p w14:paraId="21F6A250" w14:textId="683CD99A" w:rsidR="000205E8" w:rsidRPr="002D1DD7" w:rsidRDefault="000205E8" w:rsidP="000205E8">
            <w:pPr>
              <w:keepNext/>
              <w:spacing w:before="0" w:after="120"/>
              <w:jc w:val="both"/>
              <w:rPr>
                <w:rFonts w:cs="Times New Roman"/>
                <w:b/>
                <w:bCs/>
                <w:i/>
                <w:szCs w:val="18"/>
              </w:rPr>
            </w:pPr>
            <w:r w:rsidRPr="002D1DD7">
              <w:t>Essential considerations for successful qualification of novel methodologies</w:t>
            </w:r>
          </w:p>
        </w:tc>
        <w:tc>
          <w:tcPr>
            <w:tcW w:w="8160" w:type="dxa"/>
          </w:tcPr>
          <w:p w14:paraId="0DBDACA3" w14:textId="0174D7EB" w:rsidR="000205E8" w:rsidRPr="002D1DD7" w:rsidRDefault="000205E8" w:rsidP="000205E8">
            <w:pPr>
              <w:keepNext/>
              <w:spacing w:before="0" w:after="120"/>
              <w:jc w:val="both"/>
              <w:rPr>
                <w:rFonts w:cs="Times New Roman"/>
                <w:b/>
                <w:bCs/>
                <w:i/>
                <w:szCs w:val="18"/>
              </w:rPr>
            </w:pPr>
            <w:r w:rsidRPr="002D1DD7">
              <w:t>https://www.ema.europa.eu/documents/other/essential-considerations-successful-qualification-novel-methodologies_en.pdf</w:t>
            </w:r>
          </w:p>
        </w:tc>
      </w:tr>
      <w:tr w:rsidR="000205E8" w:rsidRPr="002D1DD7" w14:paraId="5D72E681" w14:textId="77777777" w:rsidTr="000205E8">
        <w:tc>
          <w:tcPr>
            <w:tcW w:w="5788" w:type="dxa"/>
          </w:tcPr>
          <w:p w14:paraId="207CE1C7" w14:textId="7A8C0638" w:rsidR="000205E8" w:rsidRPr="002D1DD7" w:rsidRDefault="000205E8" w:rsidP="000205E8">
            <w:pPr>
              <w:keepNext/>
              <w:spacing w:before="0" w:after="120"/>
              <w:jc w:val="both"/>
              <w:rPr>
                <w:rFonts w:cs="Times New Roman"/>
                <w:b/>
                <w:bCs/>
                <w:i/>
                <w:szCs w:val="18"/>
              </w:rPr>
            </w:pPr>
            <w:r w:rsidRPr="002D1DD7">
              <w:t xml:space="preserve">Scientific guidelines on biostatistics (e.g. investigation of subgroups in clinical trials, multiplicity issues in clinical trials, extrapolation of efficacy and safety in medicine development, methodological issues in confirmatory clinical trials planned with an adaptive design) </w:t>
            </w:r>
          </w:p>
        </w:tc>
        <w:tc>
          <w:tcPr>
            <w:tcW w:w="8160" w:type="dxa"/>
          </w:tcPr>
          <w:p w14:paraId="71EE48FC" w14:textId="68D786DB" w:rsidR="000205E8" w:rsidRPr="002D1DD7" w:rsidRDefault="000205E8" w:rsidP="000205E8">
            <w:pPr>
              <w:keepNext/>
              <w:spacing w:before="0" w:after="120"/>
              <w:jc w:val="both"/>
              <w:rPr>
                <w:rFonts w:cs="Times New Roman"/>
                <w:b/>
                <w:bCs/>
                <w:i/>
                <w:szCs w:val="18"/>
              </w:rPr>
            </w:pPr>
            <w:r w:rsidRPr="002D1DD7">
              <w:t>https://www.ema.europa.eu/en/human-regulatory/research-development/scientific-guidelines/clinical-efficacy-safety/biostatistics</w:t>
            </w:r>
          </w:p>
        </w:tc>
      </w:tr>
      <w:tr w:rsidR="000205E8" w:rsidRPr="002D1DD7" w14:paraId="4842520C" w14:textId="77777777" w:rsidTr="000205E8">
        <w:tc>
          <w:tcPr>
            <w:tcW w:w="5788" w:type="dxa"/>
          </w:tcPr>
          <w:p w14:paraId="1C01BF8D" w14:textId="2F5D7652" w:rsidR="000205E8" w:rsidRPr="002D1DD7" w:rsidRDefault="000205E8" w:rsidP="000205E8">
            <w:pPr>
              <w:keepNext/>
              <w:spacing w:before="0" w:after="120"/>
              <w:jc w:val="both"/>
              <w:rPr>
                <w:rFonts w:cs="Times New Roman"/>
                <w:b/>
                <w:bCs/>
                <w:i/>
                <w:szCs w:val="18"/>
              </w:rPr>
            </w:pPr>
            <w:r w:rsidRPr="002D1DD7">
              <w:t>Predictive biomarker-based assay development in the context of drug development and lifecycle</w:t>
            </w:r>
          </w:p>
        </w:tc>
        <w:tc>
          <w:tcPr>
            <w:tcW w:w="8160" w:type="dxa"/>
          </w:tcPr>
          <w:p w14:paraId="0A1E5227" w14:textId="2F90FDCF" w:rsidR="000205E8" w:rsidRPr="002D1DD7" w:rsidRDefault="000205E8" w:rsidP="000205E8">
            <w:pPr>
              <w:keepNext/>
              <w:spacing w:before="0" w:after="120"/>
              <w:jc w:val="both"/>
              <w:rPr>
                <w:rFonts w:cs="Times New Roman"/>
                <w:b/>
                <w:bCs/>
                <w:i/>
                <w:szCs w:val="18"/>
              </w:rPr>
            </w:pPr>
            <w:r w:rsidRPr="002D1DD7">
              <w:t>https://www.ema.europa.eu/en/predictive-biomarker-based-assay-development-context-drug-development-lifecycle</w:t>
            </w:r>
          </w:p>
        </w:tc>
      </w:tr>
      <w:tr w:rsidR="000205E8" w:rsidRPr="002D1DD7" w14:paraId="4B721C38" w14:textId="77777777" w:rsidTr="000205E8">
        <w:tc>
          <w:tcPr>
            <w:tcW w:w="5788" w:type="dxa"/>
          </w:tcPr>
          <w:p w14:paraId="6B46648C" w14:textId="60FE09AB" w:rsidR="000205E8" w:rsidRPr="002D1DD7" w:rsidRDefault="000205E8" w:rsidP="000205E8">
            <w:pPr>
              <w:keepNext/>
              <w:spacing w:before="0" w:after="120"/>
              <w:jc w:val="both"/>
            </w:pPr>
            <w:r w:rsidRPr="002D1DD7">
              <w:t>Guideline on the evaluation of anticancer medicinal products in man</w:t>
            </w:r>
          </w:p>
        </w:tc>
        <w:tc>
          <w:tcPr>
            <w:tcW w:w="8160" w:type="dxa"/>
          </w:tcPr>
          <w:p w14:paraId="068C324B" w14:textId="0CC5CCAD" w:rsidR="000205E8" w:rsidRPr="002D1DD7" w:rsidRDefault="000205E8" w:rsidP="000205E8">
            <w:pPr>
              <w:keepNext/>
              <w:spacing w:before="0" w:after="120"/>
              <w:jc w:val="both"/>
            </w:pPr>
            <w:r w:rsidRPr="002D1DD7">
              <w:t>https://www.ema.europa.eu/documents/scientific-guideline/guideline-evaluation-anticancer-medicinal-products-man-revision-5_en.pdf</w:t>
            </w:r>
          </w:p>
        </w:tc>
      </w:tr>
      <w:tr w:rsidR="000205E8" w:rsidRPr="002D1DD7" w14:paraId="3AA3122A" w14:textId="77777777" w:rsidTr="000205E8">
        <w:tc>
          <w:tcPr>
            <w:tcW w:w="5788" w:type="dxa"/>
          </w:tcPr>
          <w:p w14:paraId="68B98D57" w14:textId="1B49BD60" w:rsidR="000205E8" w:rsidRPr="002D1DD7" w:rsidRDefault="000205E8" w:rsidP="000205E8">
            <w:pPr>
              <w:keepNext/>
              <w:spacing w:before="0" w:after="120"/>
              <w:jc w:val="both"/>
            </w:pPr>
            <w:r w:rsidRPr="002D1DD7">
              <w:t>Appendix 4 to the guideline on the evaluation of anticancer medicinal products in man</w:t>
            </w:r>
          </w:p>
        </w:tc>
        <w:tc>
          <w:tcPr>
            <w:tcW w:w="8160" w:type="dxa"/>
          </w:tcPr>
          <w:p w14:paraId="3170420F" w14:textId="76F2CC03" w:rsidR="000205E8" w:rsidRPr="002D1DD7" w:rsidRDefault="000205E8" w:rsidP="000205E8">
            <w:pPr>
              <w:keepNext/>
              <w:spacing w:before="0" w:after="120"/>
              <w:jc w:val="both"/>
            </w:pPr>
            <w:r w:rsidRPr="002D1DD7">
              <w:t>https://www.ema.europa.eu/documents/scientific-guideline/evaluation-anticancer-medicinal-products-man-appendix-4-condition-specific-guidance-rev2_en.pdf</w:t>
            </w:r>
          </w:p>
        </w:tc>
      </w:tr>
    </w:tbl>
    <w:p w14:paraId="330BC111" w14:textId="77777777" w:rsidR="00F929B3" w:rsidRPr="002D1DD7" w:rsidRDefault="00F929B3" w:rsidP="00DA4314">
      <w:pPr>
        <w:rPr>
          <w:rStyle w:val="IntenseEmphasis"/>
        </w:rPr>
      </w:pPr>
    </w:p>
    <w:p w14:paraId="29A29DF4" w14:textId="570E2B19" w:rsidR="00F115CF" w:rsidRPr="002D1DD7" w:rsidRDefault="00F115CF" w:rsidP="00EC11CD">
      <w:pPr>
        <w:pStyle w:val="NonnumberedH2"/>
      </w:pPr>
      <w:bookmarkStart w:id="293" w:name="_Toc33776252"/>
      <w:r w:rsidRPr="002D1DD7">
        <w:t xml:space="preserve">Appendix </w:t>
      </w:r>
      <w:r w:rsidR="000205E8" w:rsidRPr="002D1DD7">
        <w:t>2</w:t>
      </w:r>
      <w:r w:rsidRPr="002D1DD7">
        <w:t>:</w:t>
      </w:r>
      <w:r w:rsidR="000205E8" w:rsidRPr="002D1DD7">
        <w:t xml:space="preserve"> Summary of trials</w:t>
      </w:r>
      <w:bookmarkEnd w:id="293"/>
      <w:r w:rsidR="000205E8" w:rsidRPr="002D1DD7">
        <w:t xml:space="preserve"> </w:t>
      </w:r>
      <w:r w:rsidRPr="002D1DD7">
        <w:t xml:space="preserve"> </w:t>
      </w:r>
    </w:p>
    <w:tbl>
      <w:tblPr>
        <w:tblStyle w:val="TableGrid"/>
        <w:tblW w:w="13452" w:type="dxa"/>
        <w:tblLook w:val="04A0" w:firstRow="1" w:lastRow="0" w:firstColumn="1" w:lastColumn="0" w:noHBand="0" w:noVBand="1"/>
      </w:tblPr>
      <w:tblGrid>
        <w:gridCol w:w="1103"/>
        <w:gridCol w:w="1497"/>
        <w:gridCol w:w="1717"/>
        <w:gridCol w:w="2166"/>
        <w:gridCol w:w="2213"/>
        <w:gridCol w:w="2642"/>
        <w:gridCol w:w="2114"/>
      </w:tblGrid>
      <w:tr w:rsidR="009126F0" w:rsidRPr="002D1DD7" w14:paraId="76D2CEBC" w14:textId="77777777" w:rsidTr="009126F0">
        <w:trPr>
          <w:trHeight w:val="531"/>
        </w:trPr>
        <w:tc>
          <w:tcPr>
            <w:tcW w:w="1103" w:type="dxa"/>
            <w:vMerge w:val="restart"/>
            <w:tcBorders>
              <w:top w:val="single" w:sz="12" w:space="0" w:color="auto"/>
              <w:left w:val="single" w:sz="12" w:space="0" w:color="auto"/>
            </w:tcBorders>
            <w:vAlign w:val="center"/>
          </w:tcPr>
          <w:p w14:paraId="64E3C762"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Product</w:t>
            </w:r>
          </w:p>
        </w:tc>
        <w:tc>
          <w:tcPr>
            <w:tcW w:w="1497" w:type="dxa"/>
            <w:vMerge w:val="restart"/>
            <w:tcBorders>
              <w:top w:val="single" w:sz="12" w:space="0" w:color="auto"/>
            </w:tcBorders>
            <w:vAlign w:val="center"/>
          </w:tcPr>
          <w:p w14:paraId="1164D5B8"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Indications</w:t>
            </w:r>
          </w:p>
        </w:tc>
        <w:tc>
          <w:tcPr>
            <w:tcW w:w="10852" w:type="dxa"/>
            <w:gridSpan w:val="5"/>
            <w:tcBorders>
              <w:top w:val="single" w:sz="12" w:space="0" w:color="auto"/>
              <w:bottom w:val="single" w:sz="4" w:space="0" w:color="auto"/>
              <w:right w:val="single" w:sz="12" w:space="0" w:color="auto"/>
            </w:tcBorders>
            <w:vAlign w:val="center"/>
          </w:tcPr>
          <w:p w14:paraId="6467A286"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Clinical Evidence</w:t>
            </w:r>
          </w:p>
        </w:tc>
      </w:tr>
      <w:tr w:rsidR="009126F0" w:rsidRPr="002D1DD7" w14:paraId="343B5972" w14:textId="77777777" w:rsidTr="009126F0">
        <w:tc>
          <w:tcPr>
            <w:tcW w:w="1103" w:type="dxa"/>
            <w:vMerge/>
            <w:tcBorders>
              <w:left w:val="single" w:sz="12" w:space="0" w:color="auto"/>
            </w:tcBorders>
            <w:vAlign w:val="center"/>
          </w:tcPr>
          <w:p w14:paraId="1051FD42" w14:textId="77777777" w:rsidR="009126F0" w:rsidRPr="002D1DD7" w:rsidRDefault="009126F0" w:rsidP="009126F0">
            <w:pPr>
              <w:jc w:val="center"/>
              <w:rPr>
                <w:rFonts w:ascii="Arial" w:hAnsi="Arial" w:cs="Arial"/>
                <w:b/>
                <w:sz w:val="14"/>
                <w:szCs w:val="14"/>
              </w:rPr>
            </w:pPr>
          </w:p>
        </w:tc>
        <w:tc>
          <w:tcPr>
            <w:tcW w:w="1497" w:type="dxa"/>
            <w:vMerge/>
            <w:tcBorders>
              <w:bottom w:val="single" w:sz="12" w:space="0" w:color="auto"/>
            </w:tcBorders>
            <w:vAlign w:val="center"/>
          </w:tcPr>
          <w:p w14:paraId="346D834D" w14:textId="77777777" w:rsidR="009126F0" w:rsidRPr="002D1DD7" w:rsidRDefault="009126F0" w:rsidP="009126F0">
            <w:pPr>
              <w:jc w:val="center"/>
              <w:rPr>
                <w:rFonts w:ascii="Arial" w:hAnsi="Arial" w:cs="Arial"/>
                <w:b/>
                <w:sz w:val="14"/>
                <w:szCs w:val="14"/>
              </w:rPr>
            </w:pPr>
          </w:p>
        </w:tc>
        <w:tc>
          <w:tcPr>
            <w:tcW w:w="1717" w:type="dxa"/>
            <w:tcBorders>
              <w:top w:val="single" w:sz="12" w:space="0" w:color="auto"/>
              <w:bottom w:val="single" w:sz="4" w:space="0" w:color="auto"/>
            </w:tcBorders>
            <w:vAlign w:val="center"/>
          </w:tcPr>
          <w:p w14:paraId="6852EEE5"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Study</w:t>
            </w:r>
          </w:p>
        </w:tc>
        <w:tc>
          <w:tcPr>
            <w:tcW w:w="2166" w:type="dxa"/>
            <w:tcBorders>
              <w:top w:val="single" w:sz="12" w:space="0" w:color="auto"/>
              <w:bottom w:val="single" w:sz="4" w:space="0" w:color="auto"/>
            </w:tcBorders>
            <w:vAlign w:val="center"/>
          </w:tcPr>
          <w:p w14:paraId="50A3C3CC"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Clinical Outcomes</w:t>
            </w:r>
          </w:p>
        </w:tc>
        <w:tc>
          <w:tcPr>
            <w:tcW w:w="2213" w:type="dxa"/>
            <w:tcBorders>
              <w:top w:val="single" w:sz="12" w:space="0" w:color="auto"/>
              <w:bottom w:val="single" w:sz="4" w:space="0" w:color="auto"/>
            </w:tcBorders>
            <w:vAlign w:val="center"/>
          </w:tcPr>
          <w:p w14:paraId="359B4592"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Study Design</w:t>
            </w:r>
          </w:p>
        </w:tc>
        <w:tc>
          <w:tcPr>
            <w:tcW w:w="2642" w:type="dxa"/>
            <w:tcBorders>
              <w:top w:val="single" w:sz="12" w:space="0" w:color="auto"/>
              <w:bottom w:val="single" w:sz="4" w:space="0" w:color="auto"/>
            </w:tcBorders>
            <w:vAlign w:val="center"/>
          </w:tcPr>
          <w:p w14:paraId="20C8D16D"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Patient Population</w:t>
            </w:r>
          </w:p>
        </w:tc>
        <w:tc>
          <w:tcPr>
            <w:tcW w:w="2114" w:type="dxa"/>
            <w:tcBorders>
              <w:top w:val="single" w:sz="12" w:space="0" w:color="auto"/>
              <w:bottom w:val="single" w:sz="4" w:space="0" w:color="auto"/>
              <w:right w:val="single" w:sz="12" w:space="0" w:color="auto"/>
            </w:tcBorders>
            <w:vAlign w:val="center"/>
          </w:tcPr>
          <w:p w14:paraId="5316FED7" w14:textId="77777777" w:rsidR="009126F0" w:rsidRPr="002D1DD7" w:rsidRDefault="009126F0" w:rsidP="009126F0">
            <w:pPr>
              <w:jc w:val="center"/>
              <w:rPr>
                <w:rFonts w:ascii="Arial" w:hAnsi="Arial" w:cs="Arial"/>
                <w:b/>
                <w:sz w:val="14"/>
                <w:szCs w:val="14"/>
              </w:rPr>
            </w:pPr>
            <w:r w:rsidRPr="002D1DD7">
              <w:rPr>
                <w:rFonts w:ascii="Arial" w:hAnsi="Arial" w:cs="Arial"/>
                <w:b/>
                <w:sz w:val="14"/>
                <w:szCs w:val="14"/>
              </w:rPr>
              <w:t>Biomarker Screening</w:t>
            </w:r>
          </w:p>
        </w:tc>
      </w:tr>
      <w:tr w:rsidR="002A7DD7" w:rsidRPr="002D1DD7" w14:paraId="3F2FEA21" w14:textId="77777777" w:rsidTr="004F034A">
        <w:tc>
          <w:tcPr>
            <w:tcW w:w="1103" w:type="dxa"/>
            <w:tcBorders>
              <w:top w:val="single" w:sz="12" w:space="0" w:color="auto"/>
              <w:left w:val="single" w:sz="12" w:space="0" w:color="auto"/>
            </w:tcBorders>
          </w:tcPr>
          <w:p w14:paraId="3114AB78" w14:textId="17E36739" w:rsidR="002A7DD7" w:rsidRPr="002D1DD7" w:rsidRDefault="002A7DD7" w:rsidP="00752426">
            <w:pPr>
              <w:rPr>
                <w:rFonts w:ascii="Arial" w:hAnsi="Arial" w:cs="Arial"/>
                <w:b/>
                <w:sz w:val="14"/>
                <w:szCs w:val="14"/>
              </w:rPr>
            </w:pPr>
            <w:r w:rsidRPr="002D1DD7">
              <w:rPr>
                <w:rFonts w:ascii="Arial" w:hAnsi="Arial" w:cs="Arial"/>
                <w:b/>
                <w:color w:val="222222"/>
                <w:sz w:val="12"/>
                <w:szCs w:val="12"/>
                <w:shd w:val="clear" w:color="auto" w:fill="FFFFFF"/>
              </w:rPr>
              <w:t>Merestinib</w:t>
            </w:r>
          </w:p>
        </w:tc>
        <w:tc>
          <w:tcPr>
            <w:tcW w:w="1497" w:type="dxa"/>
            <w:tcBorders>
              <w:top w:val="single" w:sz="12" w:space="0" w:color="auto"/>
              <w:bottom w:val="nil"/>
            </w:tcBorders>
          </w:tcPr>
          <w:p w14:paraId="0102F197" w14:textId="09FBC309" w:rsidR="002A7DD7" w:rsidRPr="002D1DD7" w:rsidRDefault="002A7DD7" w:rsidP="002A7DD7">
            <w:pPr>
              <w:jc w:val="center"/>
              <w:rPr>
                <w:rFonts w:ascii="Arial" w:hAnsi="Arial" w:cs="Arial"/>
                <w:b/>
                <w:sz w:val="14"/>
                <w:szCs w:val="14"/>
              </w:rPr>
            </w:pPr>
            <w:r w:rsidRPr="002D1DD7">
              <w:rPr>
                <w:rFonts w:ascii="Arial" w:hAnsi="Arial" w:cs="Arial"/>
                <w:color w:val="222222"/>
                <w:spacing w:val="3"/>
                <w:sz w:val="12"/>
                <w:szCs w:val="12"/>
                <w:shd w:val="clear" w:color="auto" w:fill="FFFFFF"/>
              </w:rPr>
              <w:t>Solid tumours</w:t>
            </w:r>
          </w:p>
        </w:tc>
        <w:tc>
          <w:tcPr>
            <w:tcW w:w="1717" w:type="dxa"/>
            <w:tcBorders>
              <w:top w:val="single" w:sz="12" w:space="0" w:color="auto"/>
              <w:bottom w:val="single" w:sz="4" w:space="0" w:color="auto"/>
            </w:tcBorders>
          </w:tcPr>
          <w:p w14:paraId="68FADCE9" w14:textId="1A75F522" w:rsidR="002A7DD7" w:rsidRPr="002D1DD7" w:rsidRDefault="002A7DD7" w:rsidP="000C2BF4">
            <w:pPr>
              <w:rPr>
                <w:rFonts w:ascii="Arial" w:hAnsi="Arial" w:cs="Arial"/>
                <w:b/>
                <w:sz w:val="14"/>
                <w:szCs w:val="14"/>
              </w:rPr>
            </w:pPr>
            <w:r w:rsidRPr="002D1DD7">
              <w:rPr>
                <w:rFonts w:ascii="Arial" w:hAnsi="Arial" w:cs="Arial"/>
                <w:sz w:val="12"/>
                <w:szCs w:val="12"/>
              </w:rPr>
              <w:t>NCT02920996</w:t>
            </w:r>
          </w:p>
        </w:tc>
        <w:tc>
          <w:tcPr>
            <w:tcW w:w="2166" w:type="dxa"/>
            <w:tcBorders>
              <w:top w:val="single" w:sz="12" w:space="0" w:color="auto"/>
              <w:bottom w:val="single" w:sz="4" w:space="0" w:color="auto"/>
            </w:tcBorders>
          </w:tcPr>
          <w:p w14:paraId="653A0BEE" w14:textId="77777777" w:rsidR="002A7DD7" w:rsidRPr="002D1DD7" w:rsidRDefault="002A7DD7" w:rsidP="002A7DD7">
            <w:pPr>
              <w:rPr>
                <w:rFonts w:ascii="Arial" w:hAnsi="Arial" w:cs="Arial"/>
                <w:b/>
                <w:sz w:val="12"/>
                <w:szCs w:val="12"/>
              </w:rPr>
            </w:pPr>
            <w:r w:rsidRPr="002D1DD7">
              <w:rPr>
                <w:rFonts w:ascii="Arial" w:hAnsi="Arial" w:cs="Arial"/>
                <w:b/>
                <w:sz w:val="12"/>
                <w:szCs w:val="12"/>
              </w:rPr>
              <w:t>MET cohort:</w:t>
            </w:r>
          </w:p>
          <w:p w14:paraId="7EE88818"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 xml:space="preserve">: </w:t>
            </w:r>
          </w:p>
          <w:p w14:paraId="39B9EA5E" w14:textId="77777777" w:rsidR="002A7DD7" w:rsidRPr="002D1DD7" w:rsidRDefault="002A7DD7" w:rsidP="009A66EC">
            <w:pPr>
              <w:pStyle w:val="ListParagraph"/>
              <w:numPr>
                <w:ilvl w:val="0"/>
                <w:numId w:val="10"/>
              </w:numPr>
              <w:spacing w:before="0" w:after="0"/>
              <w:rPr>
                <w:rFonts w:ascii="Arial" w:hAnsi="Arial" w:cs="Arial"/>
                <w:sz w:val="12"/>
                <w:szCs w:val="12"/>
              </w:rPr>
            </w:pPr>
            <w:r w:rsidRPr="002D1DD7">
              <w:rPr>
                <w:rFonts w:ascii="Arial" w:hAnsi="Arial" w:cs="Arial"/>
                <w:sz w:val="12"/>
                <w:szCs w:val="12"/>
              </w:rPr>
              <w:t>ORR (up to 2 years) [MET cohort]</w:t>
            </w:r>
          </w:p>
          <w:p w14:paraId="2C60F67C" w14:textId="77777777" w:rsidR="002A7DD7" w:rsidRPr="002D1DD7" w:rsidRDefault="002A7DD7" w:rsidP="002A7DD7">
            <w:pPr>
              <w:rPr>
                <w:rFonts w:ascii="Arial" w:hAnsi="Arial" w:cs="Arial"/>
                <w:b/>
                <w:sz w:val="12"/>
                <w:szCs w:val="12"/>
              </w:rPr>
            </w:pPr>
          </w:p>
          <w:p w14:paraId="1EDCC0D3"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r w:rsidRPr="002D1DD7">
              <w:rPr>
                <w:rFonts w:ascii="Arial" w:hAnsi="Arial" w:cs="Arial"/>
                <w:sz w:val="12"/>
                <w:szCs w:val="12"/>
              </w:rPr>
              <w:t xml:space="preserve">: </w:t>
            </w:r>
          </w:p>
          <w:p w14:paraId="15DE26F6" w14:textId="77777777" w:rsidR="002A7DD7" w:rsidRPr="002D1DD7" w:rsidRDefault="002A7DD7" w:rsidP="009A66EC">
            <w:pPr>
              <w:pStyle w:val="ListParagraph"/>
              <w:numPr>
                <w:ilvl w:val="0"/>
                <w:numId w:val="10"/>
              </w:numPr>
              <w:spacing w:before="0" w:after="0"/>
              <w:rPr>
                <w:rFonts w:ascii="Arial" w:hAnsi="Arial" w:cs="Arial"/>
                <w:sz w:val="12"/>
                <w:szCs w:val="12"/>
              </w:rPr>
            </w:pPr>
            <w:r w:rsidRPr="002D1DD7">
              <w:rPr>
                <w:rFonts w:ascii="Arial" w:hAnsi="Arial" w:cs="Arial"/>
                <w:sz w:val="12"/>
                <w:szCs w:val="12"/>
              </w:rPr>
              <w:t>OS rate (up to 2 years) [MET cohort]</w:t>
            </w:r>
          </w:p>
          <w:p w14:paraId="068969B6" w14:textId="77777777" w:rsidR="002A7DD7" w:rsidRPr="002D1DD7" w:rsidRDefault="002A7DD7" w:rsidP="009A66EC">
            <w:pPr>
              <w:pStyle w:val="ListParagraph"/>
              <w:numPr>
                <w:ilvl w:val="0"/>
                <w:numId w:val="10"/>
              </w:numPr>
              <w:spacing w:before="0" w:after="0"/>
              <w:rPr>
                <w:rFonts w:ascii="Arial" w:hAnsi="Arial" w:cs="Arial"/>
                <w:sz w:val="12"/>
                <w:szCs w:val="12"/>
              </w:rPr>
            </w:pPr>
            <w:r w:rsidRPr="002D1DD7">
              <w:rPr>
                <w:rFonts w:ascii="Arial" w:hAnsi="Arial" w:cs="Arial"/>
                <w:sz w:val="12"/>
                <w:szCs w:val="12"/>
              </w:rPr>
              <w:t>PFS rate (2 years) [MET cohort]</w:t>
            </w:r>
          </w:p>
          <w:p w14:paraId="60A92363" w14:textId="77777777" w:rsidR="002A7DD7" w:rsidRPr="002D1DD7" w:rsidRDefault="002A7DD7" w:rsidP="009A66EC">
            <w:pPr>
              <w:pStyle w:val="ListParagraph"/>
              <w:numPr>
                <w:ilvl w:val="0"/>
                <w:numId w:val="10"/>
              </w:numPr>
              <w:spacing w:before="0" w:after="0"/>
              <w:rPr>
                <w:rFonts w:ascii="Arial" w:hAnsi="Arial" w:cs="Arial"/>
                <w:sz w:val="12"/>
                <w:szCs w:val="12"/>
              </w:rPr>
            </w:pPr>
            <w:r w:rsidRPr="002D1DD7">
              <w:rPr>
                <w:rFonts w:ascii="Arial" w:hAnsi="Arial" w:cs="Arial"/>
                <w:sz w:val="12"/>
                <w:szCs w:val="12"/>
              </w:rPr>
              <w:t>Duration of response (up to 2 years) [MET cohort]</w:t>
            </w:r>
          </w:p>
          <w:p w14:paraId="7AF9B32E" w14:textId="53BF769D" w:rsidR="002A7DD7" w:rsidRPr="002D1DD7" w:rsidRDefault="002A7DD7" w:rsidP="002A7DD7">
            <w:pPr>
              <w:jc w:val="center"/>
              <w:rPr>
                <w:rFonts w:ascii="Arial" w:hAnsi="Arial" w:cs="Arial"/>
                <w:b/>
                <w:sz w:val="14"/>
                <w:szCs w:val="14"/>
              </w:rPr>
            </w:pPr>
            <w:r w:rsidRPr="002D1DD7">
              <w:rPr>
                <w:rFonts w:ascii="Arial" w:hAnsi="Arial" w:cs="Arial"/>
                <w:sz w:val="12"/>
                <w:szCs w:val="12"/>
              </w:rPr>
              <w:t>Safety ( 2 years) [all participants]</w:t>
            </w:r>
          </w:p>
        </w:tc>
        <w:tc>
          <w:tcPr>
            <w:tcW w:w="2213" w:type="dxa"/>
            <w:tcBorders>
              <w:top w:val="single" w:sz="12" w:space="0" w:color="auto"/>
              <w:bottom w:val="single" w:sz="4" w:space="0" w:color="auto"/>
            </w:tcBorders>
          </w:tcPr>
          <w:p w14:paraId="73364338" w14:textId="4DA08E74"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 </w:t>
            </w:r>
            <w:r w:rsidR="00F94955" w:rsidRPr="002D1DD7">
              <w:rPr>
                <w:rFonts w:ascii="Arial" w:hAnsi="Arial" w:cs="Arial"/>
                <w:sz w:val="12"/>
                <w:szCs w:val="12"/>
              </w:rPr>
              <w:t>(separate cohorts specified)</w:t>
            </w:r>
          </w:p>
          <w:p w14:paraId="03BDA18D"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n=25</w:t>
            </w:r>
          </w:p>
          <w:p w14:paraId="1CEB4869" w14:textId="77777777" w:rsidR="002A7DD7" w:rsidRPr="002D1DD7" w:rsidRDefault="002A7DD7" w:rsidP="002A7DD7">
            <w:pPr>
              <w:rPr>
                <w:rFonts w:ascii="Arial" w:hAnsi="Arial" w:cs="Arial"/>
                <w:sz w:val="12"/>
                <w:szCs w:val="12"/>
              </w:rPr>
            </w:pPr>
            <w:r w:rsidRPr="002D1DD7">
              <w:rPr>
                <w:rFonts w:ascii="Arial" w:hAnsi="Arial" w:cs="Arial"/>
                <w:sz w:val="12"/>
                <w:szCs w:val="12"/>
              </w:rPr>
              <w:t>Allocation approach: Non-randomised</w:t>
            </w:r>
          </w:p>
          <w:p w14:paraId="602BD2F4"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11 November 2016</w:t>
            </w:r>
          </w:p>
          <w:p w14:paraId="0C48B515"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October 2020</w:t>
            </w:r>
          </w:p>
          <w:p w14:paraId="585BDD87" w14:textId="5C57A352" w:rsidR="002A7DD7" w:rsidRPr="002D1DD7" w:rsidRDefault="002A7DD7" w:rsidP="00FC3668">
            <w:pPr>
              <w:rPr>
                <w:rFonts w:ascii="Arial" w:hAnsi="Arial" w:cs="Arial"/>
                <w:b/>
                <w:sz w:val="14"/>
                <w:szCs w:val="14"/>
              </w:rPr>
            </w:pPr>
            <w:r w:rsidRPr="002D1DD7">
              <w:rPr>
                <w:rFonts w:ascii="Arial" w:hAnsi="Arial" w:cs="Arial"/>
                <w:sz w:val="12"/>
                <w:szCs w:val="12"/>
              </w:rPr>
              <w:t>Estimated study completion: March 2024</w:t>
            </w:r>
          </w:p>
        </w:tc>
        <w:tc>
          <w:tcPr>
            <w:tcW w:w="2642" w:type="dxa"/>
            <w:tcBorders>
              <w:top w:val="single" w:sz="12" w:space="0" w:color="auto"/>
              <w:bottom w:val="single" w:sz="4" w:space="0" w:color="auto"/>
            </w:tcBorders>
          </w:tcPr>
          <w:p w14:paraId="574E5A96" w14:textId="36E5A6BC" w:rsidR="002A7DD7" w:rsidRPr="002D1DD7" w:rsidRDefault="002A7DD7" w:rsidP="006F096F">
            <w:pPr>
              <w:rPr>
                <w:rFonts w:ascii="Arial" w:hAnsi="Arial" w:cs="Arial"/>
                <w:b/>
                <w:sz w:val="14"/>
                <w:szCs w:val="14"/>
              </w:rPr>
            </w:pPr>
            <w:r w:rsidRPr="002D1DD7">
              <w:rPr>
                <w:rFonts w:ascii="Arial" w:hAnsi="Arial" w:cs="Arial"/>
                <w:color w:val="222222"/>
                <w:spacing w:val="3"/>
                <w:sz w:val="12"/>
                <w:szCs w:val="12"/>
                <w:shd w:val="clear" w:color="auto" w:fill="FFFFFF"/>
              </w:rPr>
              <w:t>NSCLC with MET exon 14 mutation or solid tumours with an NTRK rearrangement</w:t>
            </w:r>
          </w:p>
        </w:tc>
        <w:tc>
          <w:tcPr>
            <w:tcW w:w="2114" w:type="dxa"/>
            <w:tcBorders>
              <w:top w:val="single" w:sz="12" w:space="0" w:color="auto"/>
              <w:bottom w:val="single" w:sz="4" w:space="0" w:color="auto"/>
              <w:right w:val="single" w:sz="12" w:space="0" w:color="auto"/>
            </w:tcBorders>
          </w:tcPr>
          <w:p w14:paraId="005C5BA1"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b/>
                <w:color w:val="000000"/>
                <w:sz w:val="12"/>
                <w:szCs w:val="12"/>
                <w:lang w:eastAsia="en-GB"/>
              </w:rPr>
              <w:t>MET cohort</w:t>
            </w:r>
            <w:r w:rsidRPr="002D1DD7">
              <w:rPr>
                <w:rFonts w:ascii="Arial" w:eastAsia="Times New Roman" w:hAnsi="Arial" w:cs="Arial"/>
                <w:color w:val="000000"/>
                <w:sz w:val="12"/>
                <w:szCs w:val="12"/>
                <w:lang w:eastAsia="en-GB"/>
              </w:rPr>
              <w:t>: must have a MET exon 14 mutation as confirmed by targeted NextGen Sequencing using the DFCI/BWH OncoPanel or another CLIA-certified method. Participants whose NSCLC specimens contain actionable genetic mutations/alterations (e.g. ALK/EGFR) should receive appropriate targeted therapies prior to enrollment in the trial.</w:t>
            </w:r>
          </w:p>
          <w:p w14:paraId="7233DF11" w14:textId="77777777" w:rsidR="002A7DD7" w:rsidRPr="002D1DD7" w:rsidRDefault="002A7DD7" w:rsidP="009A66EC">
            <w:pPr>
              <w:numPr>
                <w:ilvl w:val="0"/>
                <w:numId w:val="9"/>
              </w:numPr>
              <w:shd w:val="clear" w:color="auto" w:fill="FFFFFF"/>
              <w:spacing w:before="84" w:after="60"/>
              <w:ind w:left="0"/>
              <w:rPr>
                <w:rFonts w:ascii="Arial" w:eastAsia="Times New Roman" w:hAnsi="Arial" w:cs="Arial"/>
                <w:color w:val="000000"/>
                <w:sz w:val="12"/>
                <w:szCs w:val="12"/>
                <w:lang w:eastAsia="en-GB"/>
              </w:rPr>
            </w:pPr>
            <w:r w:rsidRPr="002D1DD7">
              <w:rPr>
                <w:rFonts w:ascii="Arial" w:hAnsi="Arial" w:cs="Arial"/>
                <w:b/>
                <w:color w:val="000000"/>
                <w:sz w:val="12"/>
                <w:szCs w:val="12"/>
                <w:shd w:val="clear" w:color="auto" w:fill="FFFFFF"/>
              </w:rPr>
              <w:t>NTRK cohort</w:t>
            </w:r>
            <w:r w:rsidRPr="002D1DD7">
              <w:rPr>
                <w:rFonts w:ascii="Arial" w:hAnsi="Arial" w:cs="Arial"/>
                <w:color w:val="000000"/>
                <w:sz w:val="12"/>
                <w:szCs w:val="12"/>
                <w:shd w:val="clear" w:color="auto" w:fill="FFFFFF"/>
              </w:rPr>
              <w:t>: must have an NTRK1, 2, or 3 rearrangement as confirmed by targeted NextGen Sequencing using the DFCI/BWH OncoPanel or another CLIA-certified method.</w:t>
            </w:r>
          </w:p>
          <w:p w14:paraId="73F5FE76" w14:textId="77777777" w:rsidR="002A7DD7" w:rsidRPr="002D1DD7" w:rsidRDefault="002A7DD7" w:rsidP="002A7DD7">
            <w:pPr>
              <w:jc w:val="center"/>
              <w:rPr>
                <w:rFonts w:ascii="Arial" w:hAnsi="Arial" w:cs="Arial"/>
                <w:b/>
                <w:sz w:val="14"/>
                <w:szCs w:val="14"/>
              </w:rPr>
            </w:pPr>
          </w:p>
        </w:tc>
      </w:tr>
      <w:tr w:rsidR="002A7DD7" w:rsidRPr="002D1DD7" w14:paraId="5A4C3C69" w14:textId="77777777" w:rsidTr="009126F0">
        <w:trPr>
          <w:trHeight w:val="1079"/>
        </w:trPr>
        <w:tc>
          <w:tcPr>
            <w:tcW w:w="1103" w:type="dxa"/>
            <w:vMerge w:val="restart"/>
            <w:tcBorders>
              <w:top w:val="single" w:sz="12" w:space="0" w:color="auto"/>
              <w:left w:val="single" w:sz="12" w:space="0" w:color="auto"/>
            </w:tcBorders>
          </w:tcPr>
          <w:p w14:paraId="611A3761" w14:textId="77777777" w:rsidR="002A7DD7" w:rsidRPr="002D1DD7" w:rsidRDefault="002A7DD7" w:rsidP="002A7DD7">
            <w:pPr>
              <w:rPr>
                <w:rFonts w:ascii="Arial" w:hAnsi="Arial" w:cs="Arial"/>
                <w:b/>
                <w:color w:val="222222"/>
                <w:sz w:val="12"/>
                <w:szCs w:val="12"/>
                <w:highlight w:val="green"/>
                <w:shd w:val="clear" w:color="auto" w:fill="FFFFFF"/>
              </w:rPr>
            </w:pPr>
            <w:r w:rsidRPr="002D1DD7">
              <w:rPr>
                <w:rFonts w:ascii="Arial" w:hAnsi="Arial" w:cs="Arial"/>
                <w:b/>
                <w:color w:val="222222"/>
                <w:sz w:val="12"/>
                <w:szCs w:val="12"/>
                <w:shd w:val="clear" w:color="auto" w:fill="FFFFFF"/>
              </w:rPr>
              <w:t>Avelumab plus Talazoparib</w:t>
            </w:r>
          </w:p>
        </w:tc>
        <w:tc>
          <w:tcPr>
            <w:tcW w:w="1497" w:type="dxa"/>
            <w:tcBorders>
              <w:top w:val="single" w:sz="12" w:space="0" w:color="auto"/>
              <w:bottom w:val="single" w:sz="8" w:space="0" w:color="auto"/>
            </w:tcBorders>
          </w:tcPr>
          <w:p w14:paraId="45CB7335" w14:textId="77777777" w:rsidR="002A7DD7" w:rsidRPr="002D1DD7" w:rsidRDefault="002A7DD7" w:rsidP="002A7DD7">
            <w:pPr>
              <w:rPr>
                <w:rFonts w:ascii="Arial" w:hAnsi="Arial" w:cs="Arial"/>
                <w:color w:val="000000"/>
                <w:sz w:val="12"/>
                <w:szCs w:val="12"/>
                <w:highlight w:val="green"/>
                <w:shd w:val="clear" w:color="auto" w:fill="FFFFFF"/>
              </w:rPr>
            </w:pPr>
            <w:r w:rsidRPr="002D1DD7">
              <w:rPr>
                <w:rFonts w:ascii="Arial" w:hAnsi="Arial" w:cs="Arial"/>
                <w:color w:val="000000"/>
                <w:sz w:val="12"/>
                <w:szCs w:val="12"/>
                <w:shd w:val="clear" w:color="auto" w:fill="FFFFFF"/>
              </w:rPr>
              <w:t>Locally advanced (primary or recurrent) or metastatic solid tumours</w:t>
            </w:r>
          </w:p>
        </w:tc>
        <w:tc>
          <w:tcPr>
            <w:tcW w:w="1717" w:type="dxa"/>
            <w:tcBorders>
              <w:top w:val="single" w:sz="12" w:space="0" w:color="auto"/>
              <w:bottom w:val="single" w:sz="8" w:space="0" w:color="auto"/>
            </w:tcBorders>
          </w:tcPr>
          <w:p w14:paraId="290F9278" w14:textId="77777777" w:rsidR="002A7DD7" w:rsidRPr="002D1DD7" w:rsidRDefault="002A7DD7" w:rsidP="002A7DD7">
            <w:pPr>
              <w:rPr>
                <w:rFonts w:ascii="Arial" w:hAnsi="Arial" w:cs="Arial"/>
                <w:color w:val="000000"/>
                <w:sz w:val="12"/>
                <w:szCs w:val="12"/>
                <w:highlight w:val="green"/>
                <w:shd w:val="clear" w:color="auto" w:fill="FFFFFF"/>
              </w:rPr>
            </w:pPr>
            <w:r w:rsidRPr="002D1DD7">
              <w:rPr>
                <w:rFonts w:ascii="Helvetica" w:hAnsi="Helvetica"/>
                <w:color w:val="000000"/>
                <w:sz w:val="12"/>
                <w:szCs w:val="12"/>
                <w:shd w:val="clear" w:color="auto" w:fill="FFFFFF"/>
              </w:rPr>
              <w:t>NCT03330405</w:t>
            </w:r>
          </w:p>
        </w:tc>
        <w:tc>
          <w:tcPr>
            <w:tcW w:w="2166" w:type="dxa"/>
            <w:tcBorders>
              <w:top w:val="single" w:sz="12" w:space="0" w:color="auto"/>
              <w:bottom w:val="single" w:sz="8" w:space="0" w:color="auto"/>
            </w:tcBorders>
          </w:tcPr>
          <w:p w14:paraId="5572D3BE"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w:t>
            </w:r>
          </w:p>
          <w:p w14:paraId="31320B2C" w14:textId="77777777" w:rsidR="002A7DD7" w:rsidRPr="002D1DD7" w:rsidRDefault="002A7DD7" w:rsidP="009A66EC">
            <w:pPr>
              <w:pStyle w:val="ListParagraph"/>
              <w:numPr>
                <w:ilvl w:val="0"/>
                <w:numId w:val="11"/>
              </w:numPr>
              <w:spacing w:before="0" w:after="0"/>
              <w:rPr>
                <w:rFonts w:ascii="Arial" w:hAnsi="Arial" w:cs="Arial"/>
                <w:sz w:val="12"/>
                <w:szCs w:val="12"/>
              </w:rPr>
            </w:pPr>
            <w:r w:rsidRPr="002D1DD7">
              <w:rPr>
                <w:rFonts w:ascii="Arial" w:hAnsi="Arial" w:cs="Arial"/>
                <w:sz w:val="12"/>
                <w:szCs w:val="12"/>
              </w:rPr>
              <w:t>Safety (28 days)</w:t>
            </w:r>
          </w:p>
          <w:p w14:paraId="67E36715" w14:textId="493DD111" w:rsidR="002A7DD7" w:rsidRPr="002D1DD7" w:rsidRDefault="002A7DD7" w:rsidP="009A66EC">
            <w:pPr>
              <w:pStyle w:val="ListParagraph"/>
              <w:numPr>
                <w:ilvl w:val="0"/>
                <w:numId w:val="11"/>
              </w:numPr>
              <w:spacing w:before="0" w:after="0"/>
              <w:rPr>
                <w:rFonts w:ascii="Arial" w:hAnsi="Arial" w:cs="Arial"/>
                <w:sz w:val="12"/>
                <w:szCs w:val="12"/>
              </w:rPr>
            </w:pPr>
            <w:r w:rsidRPr="002D1DD7">
              <w:rPr>
                <w:rFonts w:ascii="Arial" w:hAnsi="Arial" w:cs="Arial"/>
                <w:sz w:val="12"/>
                <w:szCs w:val="12"/>
              </w:rPr>
              <w:t>Overall response (24 months)</w:t>
            </w:r>
          </w:p>
          <w:p w14:paraId="19F67124" w14:textId="77777777" w:rsidR="002A7DD7" w:rsidRPr="002D1DD7" w:rsidRDefault="002A7DD7" w:rsidP="002A7DD7">
            <w:pPr>
              <w:rPr>
                <w:rFonts w:ascii="Arial" w:hAnsi="Arial" w:cs="Arial"/>
                <w:b/>
                <w:sz w:val="12"/>
                <w:szCs w:val="12"/>
              </w:rPr>
            </w:pPr>
          </w:p>
          <w:p w14:paraId="1E5F23C2"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r w:rsidRPr="002D1DD7">
              <w:rPr>
                <w:rFonts w:ascii="Arial" w:hAnsi="Arial" w:cs="Arial"/>
                <w:sz w:val="12"/>
                <w:szCs w:val="12"/>
              </w:rPr>
              <w:t xml:space="preserve">: </w:t>
            </w:r>
          </w:p>
          <w:p w14:paraId="42EB8D5D"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Pharmacokinetics (15 days)</w:t>
            </w:r>
          </w:p>
          <w:p w14:paraId="619AF1FD"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Immunogenicity (15 days)</w:t>
            </w:r>
          </w:p>
          <w:p w14:paraId="10426283"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Overall response (24 months)</w:t>
            </w:r>
          </w:p>
          <w:p w14:paraId="5DC9E8C5"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PSA or CA-125 tumour marker (24 months)</w:t>
            </w:r>
          </w:p>
          <w:p w14:paraId="25F3BBB7"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PD-L1 levels (24 moths)</w:t>
            </w:r>
          </w:p>
          <w:p w14:paraId="12750F69"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Time to tumour response (24 months)</w:t>
            </w:r>
          </w:p>
          <w:p w14:paraId="2FDCDDE7"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Duration of response (24 months)</w:t>
            </w:r>
          </w:p>
          <w:p w14:paraId="4739A795"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PFS (24 months)</w:t>
            </w:r>
          </w:p>
          <w:p w14:paraId="09DECF9B"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OS (24 months)</w:t>
            </w:r>
          </w:p>
          <w:p w14:paraId="43CF23EE" w14:textId="77777777" w:rsidR="002A7DD7" w:rsidRPr="002D1DD7" w:rsidRDefault="002A7DD7" w:rsidP="009A66EC">
            <w:pPr>
              <w:pStyle w:val="ListParagraph"/>
              <w:numPr>
                <w:ilvl w:val="0"/>
                <w:numId w:val="12"/>
              </w:numPr>
              <w:spacing w:before="0" w:after="0"/>
              <w:rPr>
                <w:rFonts w:ascii="Arial" w:hAnsi="Arial" w:cs="Arial"/>
                <w:sz w:val="12"/>
                <w:szCs w:val="12"/>
              </w:rPr>
            </w:pPr>
            <w:r w:rsidRPr="002D1DD7">
              <w:rPr>
                <w:rFonts w:ascii="Arial" w:hAnsi="Arial" w:cs="Arial"/>
                <w:sz w:val="12"/>
                <w:szCs w:val="12"/>
              </w:rPr>
              <w:t>PSA response (24 months)</w:t>
            </w:r>
          </w:p>
        </w:tc>
        <w:tc>
          <w:tcPr>
            <w:tcW w:w="2213" w:type="dxa"/>
            <w:tcBorders>
              <w:top w:val="single" w:sz="12" w:space="0" w:color="auto"/>
              <w:bottom w:val="single" w:sz="8" w:space="0" w:color="auto"/>
            </w:tcBorders>
          </w:tcPr>
          <w:p w14:paraId="7CA24B42" w14:textId="5C4F7B32"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Ib/II </w:t>
            </w:r>
            <w:r w:rsidR="00050D88" w:rsidRPr="002D1DD7">
              <w:rPr>
                <w:rFonts w:ascii="Arial" w:hAnsi="Arial" w:cs="Arial"/>
                <w:sz w:val="12"/>
                <w:szCs w:val="12"/>
              </w:rPr>
              <w:t>(separate cohorts specified)</w:t>
            </w:r>
          </w:p>
          <w:p w14:paraId="792E0F18"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n=242</w:t>
            </w:r>
          </w:p>
          <w:p w14:paraId="7706101D" w14:textId="77777777" w:rsidR="002A7DD7" w:rsidRPr="002D1DD7" w:rsidRDefault="002A7DD7" w:rsidP="002A7DD7">
            <w:pPr>
              <w:rPr>
                <w:rFonts w:ascii="Arial" w:hAnsi="Arial" w:cs="Arial"/>
                <w:sz w:val="12"/>
                <w:szCs w:val="12"/>
              </w:rPr>
            </w:pPr>
            <w:r w:rsidRPr="002D1DD7">
              <w:rPr>
                <w:rFonts w:ascii="Arial" w:hAnsi="Arial" w:cs="Arial"/>
                <w:sz w:val="12"/>
                <w:szCs w:val="12"/>
              </w:rPr>
              <w:t>Allocation approach: Non-Randomised</w:t>
            </w:r>
          </w:p>
          <w:p w14:paraId="60DF2EFE"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19 October 2017</w:t>
            </w:r>
          </w:p>
          <w:p w14:paraId="6D1AAC53"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28 March 2020</w:t>
            </w:r>
          </w:p>
          <w:p w14:paraId="3351D521"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28 March 2020</w:t>
            </w:r>
          </w:p>
        </w:tc>
        <w:tc>
          <w:tcPr>
            <w:tcW w:w="2642" w:type="dxa"/>
            <w:tcBorders>
              <w:top w:val="single" w:sz="12" w:space="0" w:color="auto"/>
              <w:bottom w:val="single" w:sz="8" w:space="0" w:color="auto"/>
            </w:tcBorders>
          </w:tcPr>
          <w:p w14:paraId="656A18E5" w14:textId="77AC459E" w:rsidR="002A7DD7" w:rsidRPr="002D1DD7" w:rsidRDefault="002A7DD7" w:rsidP="002A7DD7">
            <w:pPr>
              <w:rPr>
                <w:rFonts w:ascii="Arial" w:hAnsi="Arial" w:cs="Arial"/>
                <w:color w:val="000000"/>
                <w:sz w:val="12"/>
                <w:szCs w:val="12"/>
                <w:highlight w:val="green"/>
                <w:shd w:val="clear" w:color="auto" w:fill="FFFFFF"/>
              </w:rPr>
            </w:pPr>
            <w:r w:rsidRPr="002D1DD7">
              <w:rPr>
                <w:rFonts w:ascii="Arial" w:hAnsi="Arial" w:cs="Arial"/>
                <w:color w:val="000000"/>
                <w:sz w:val="12"/>
                <w:szCs w:val="12"/>
                <w:shd w:val="clear" w:color="auto" w:fill="FFFFFF"/>
              </w:rPr>
              <w:t xml:space="preserve">Patients with locally advanced (primary or recurrent) or metastatic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including non-small cell lung cancer (NSCLC), triple negative breast cancer (TNBC), hormone receptor positive (HR+) breast cancer, recurrent platinum sensitive ovarian cancer, urothelial cancer (UC), and castration resistant prostate cancer (CRPC).</w:t>
            </w:r>
          </w:p>
        </w:tc>
        <w:tc>
          <w:tcPr>
            <w:tcW w:w="2114" w:type="dxa"/>
            <w:tcBorders>
              <w:top w:val="single" w:sz="12" w:space="0" w:color="auto"/>
              <w:bottom w:val="single" w:sz="8" w:space="0" w:color="auto"/>
              <w:right w:val="single" w:sz="12" w:space="0" w:color="auto"/>
            </w:tcBorders>
          </w:tcPr>
          <w:p w14:paraId="3249F517" w14:textId="77777777" w:rsidR="002A7DD7" w:rsidRPr="002D1DD7" w:rsidRDefault="002A7DD7" w:rsidP="002A7DD7">
            <w:pPr>
              <w:rPr>
                <w:rFonts w:ascii="Arial" w:hAnsi="Arial" w:cs="Arial"/>
                <w:sz w:val="12"/>
                <w:szCs w:val="12"/>
              </w:rPr>
            </w:pPr>
            <w:r w:rsidRPr="002D1DD7">
              <w:rPr>
                <w:rFonts w:ascii="Arial" w:hAnsi="Arial" w:cs="Arial"/>
                <w:sz w:val="12"/>
                <w:szCs w:val="12"/>
              </w:rPr>
              <w:t>N/A</w:t>
            </w:r>
          </w:p>
        </w:tc>
      </w:tr>
      <w:tr w:rsidR="002A7DD7" w:rsidRPr="002D1DD7" w14:paraId="175CE0A7" w14:textId="77777777" w:rsidTr="009126F0">
        <w:trPr>
          <w:trHeight w:val="1079"/>
        </w:trPr>
        <w:tc>
          <w:tcPr>
            <w:tcW w:w="1103" w:type="dxa"/>
            <w:vMerge/>
            <w:tcBorders>
              <w:left w:val="single" w:sz="12" w:space="0" w:color="auto"/>
            </w:tcBorders>
          </w:tcPr>
          <w:p w14:paraId="39B665CE" w14:textId="77777777" w:rsidR="002A7DD7" w:rsidRPr="002D1DD7" w:rsidRDefault="002A7DD7" w:rsidP="002A7DD7">
            <w:pPr>
              <w:rPr>
                <w:rFonts w:ascii="Arial" w:hAnsi="Arial" w:cs="Arial"/>
                <w:color w:val="222222"/>
                <w:sz w:val="12"/>
                <w:szCs w:val="12"/>
                <w:shd w:val="clear" w:color="auto" w:fill="FFFFFF"/>
              </w:rPr>
            </w:pPr>
          </w:p>
        </w:tc>
        <w:tc>
          <w:tcPr>
            <w:tcW w:w="1497" w:type="dxa"/>
            <w:tcBorders>
              <w:top w:val="single" w:sz="8" w:space="0" w:color="auto"/>
              <w:bottom w:val="single" w:sz="8" w:space="0" w:color="auto"/>
            </w:tcBorders>
          </w:tcPr>
          <w:p w14:paraId="256C6BA0"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Locally advanced or metastatic RAS-mutant solid tumours</w:t>
            </w:r>
          </w:p>
        </w:tc>
        <w:tc>
          <w:tcPr>
            <w:tcW w:w="1717" w:type="dxa"/>
            <w:tcBorders>
              <w:top w:val="single" w:sz="8" w:space="0" w:color="auto"/>
              <w:bottom w:val="single" w:sz="8" w:space="0" w:color="auto"/>
            </w:tcBorders>
          </w:tcPr>
          <w:p w14:paraId="4B69A028" w14:textId="77777777" w:rsidR="002A7DD7" w:rsidRPr="002D1DD7" w:rsidRDefault="002A7DD7" w:rsidP="002A7DD7">
            <w:pPr>
              <w:rPr>
                <w:rFonts w:ascii="Helvetica" w:hAnsi="Helvetica"/>
                <w:color w:val="000000"/>
                <w:sz w:val="12"/>
                <w:szCs w:val="12"/>
                <w:shd w:val="clear" w:color="auto" w:fill="FFFFFF"/>
              </w:rPr>
            </w:pPr>
            <w:r w:rsidRPr="002D1DD7">
              <w:rPr>
                <w:rFonts w:ascii="Helvetica" w:hAnsi="Helvetica"/>
                <w:color w:val="000000"/>
                <w:sz w:val="12"/>
                <w:szCs w:val="12"/>
                <w:shd w:val="clear" w:color="auto" w:fill="FFFFFF"/>
              </w:rPr>
              <w:t>NCT03637491</w:t>
            </w:r>
          </w:p>
        </w:tc>
        <w:tc>
          <w:tcPr>
            <w:tcW w:w="2166" w:type="dxa"/>
            <w:tcBorders>
              <w:top w:val="single" w:sz="8" w:space="0" w:color="auto"/>
              <w:bottom w:val="single" w:sz="8" w:space="0" w:color="auto"/>
            </w:tcBorders>
          </w:tcPr>
          <w:p w14:paraId="2E31FFDD"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w:t>
            </w:r>
          </w:p>
          <w:p w14:paraId="4F319940" w14:textId="77777777" w:rsidR="002A7DD7" w:rsidRPr="002D1DD7" w:rsidRDefault="002A7DD7" w:rsidP="009A66EC">
            <w:pPr>
              <w:pStyle w:val="ListParagraph"/>
              <w:numPr>
                <w:ilvl w:val="0"/>
                <w:numId w:val="13"/>
              </w:numPr>
              <w:spacing w:before="0" w:after="0"/>
              <w:rPr>
                <w:rFonts w:ascii="Arial" w:hAnsi="Arial" w:cs="Arial"/>
                <w:sz w:val="12"/>
                <w:szCs w:val="12"/>
              </w:rPr>
            </w:pPr>
            <w:r w:rsidRPr="002D1DD7">
              <w:rPr>
                <w:rFonts w:ascii="Arial" w:hAnsi="Arial" w:cs="Arial"/>
                <w:sz w:val="12"/>
                <w:szCs w:val="12"/>
              </w:rPr>
              <w:t>Safety (28 days)</w:t>
            </w:r>
          </w:p>
          <w:p w14:paraId="3CD10F88" w14:textId="77777777" w:rsidR="002A7DD7" w:rsidRPr="002D1DD7" w:rsidRDefault="002A7DD7" w:rsidP="009A66EC">
            <w:pPr>
              <w:pStyle w:val="ListParagraph"/>
              <w:numPr>
                <w:ilvl w:val="0"/>
                <w:numId w:val="13"/>
              </w:numPr>
              <w:spacing w:before="0" w:after="0"/>
              <w:rPr>
                <w:rFonts w:ascii="Arial" w:hAnsi="Arial" w:cs="Arial"/>
                <w:sz w:val="12"/>
                <w:szCs w:val="12"/>
              </w:rPr>
            </w:pPr>
            <w:r w:rsidRPr="002D1DD7">
              <w:rPr>
                <w:rFonts w:ascii="Arial" w:hAnsi="Arial" w:cs="Arial"/>
                <w:sz w:val="12"/>
                <w:szCs w:val="12"/>
              </w:rPr>
              <w:t>Confirmed objective response (24 months)</w:t>
            </w:r>
          </w:p>
          <w:p w14:paraId="3B4DA1BC" w14:textId="77777777" w:rsidR="002A7DD7" w:rsidRPr="002D1DD7" w:rsidRDefault="002A7DD7" w:rsidP="002A7DD7">
            <w:pPr>
              <w:rPr>
                <w:rFonts w:ascii="Arial" w:hAnsi="Arial" w:cs="Arial"/>
                <w:b/>
                <w:sz w:val="12"/>
                <w:szCs w:val="12"/>
              </w:rPr>
            </w:pPr>
          </w:p>
          <w:p w14:paraId="2C426E28"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r w:rsidRPr="002D1DD7">
              <w:rPr>
                <w:rFonts w:ascii="Arial" w:hAnsi="Arial" w:cs="Arial"/>
                <w:sz w:val="12"/>
                <w:szCs w:val="12"/>
              </w:rPr>
              <w:t xml:space="preserve">: </w:t>
            </w:r>
          </w:p>
          <w:p w14:paraId="0B88CB9A"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lastRenderedPageBreak/>
              <w:t>Pharmacokinetics (12 months)</w:t>
            </w:r>
          </w:p>
          <w:p w14:paraId="19F788F9"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Objective response (24 months)</w:t>
            </w:r>
          </w:p>
          <w:p w14:paraId="484E6A82"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Time to tumour response (24 months)</w:t>
            </w:r>
          </w:p>
          <w:p w14:paraId="0358E3F5"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Duration of response (24 months)</w:t>
            </w:r>
          </w:p>
          <w:p w14:paraId="042DE29C"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OS (24 months)</w:t>
            </w:r>
          </w:p>
          <w:p w14:paraId="6F5B1B6A"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PFS (24 months)</w:t>
            </w:r>
          </w:p>
          <w:p w14:paraId="153799D0"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Pharmacokinetics (3 months)</w:t>
            </w:r>
          </w:p>
          <w:p w14:paraId="11146E0C" w14:textId="77777777" w:rsidR="002A7DD7" w:rsidRPr="002D1DD7" w:rsidRDefault="002A7DD7" w:rsidP="009A66EC">
            <w:pPr>
              <w:pStyle w:val="ListParagraph"/>
              <w:numPr>
                <w:ilvl w:val="0"/>
                <w:numId w:val="14"/>
              </w:numPr>
              <w:spacing w:before="0" w:after="0"/>
              <w:rPr>
                <w:rFonts w:ascii="Arial" w:hAnsi="Arial" w:cs="Arial"/>
                <w:sz w:val="12"/>
                <w:szCs w:val="12"/>
              </w:rPr>
            </w:pPr>
            <w:r w:rsidRPr="002D1DD7">
              <w:rPr>
                <w:rFonts w:ascii="Arial" w:hAnsi="Arial" w:cs="Arial"/>
                <w:sz w:val="12"/>
                <w:szCs w:val="12"/>
              </w:rPr>
              <w:t>Biomarker levels (PD-L1, tumour mutational burden and DNA damage repair)</w:t>
            </w:r>
          </w:p>
        </w:tc>
        <w:tc>
          <w:tcPr>
            <w:tcW w:w="2213" w:type="dxa"/>
            <w:tcBorders>
              <w:top w:val="single" w:sz="8" w:space="0" w:color="auto"/>
              <w:bottom w:val="single" w:sz="8" w:space="0" w:color="auto"/>
            </w:tcBorders>
          </w:tcPr>
          <w:p w14:paraId="57CE7FA6" w14:textId="64D7413A" w:rsidR="002A7DD7" w:rsidRPr="002D1DD7" w:rsidRDefault="002A7DD7" w:rsidP="002A7DD7">
            <w:pPr>
              <w:rPr>
                <w:rFonts w:ascii="Arial" w:hAnsi="Arial" w:cs="Arial"/>
                <w:sz w:val="12"/>
                <w:szCs w:val="12"/>
              </w:rPr>
            </w:pPr>
            <w:r w:rsidRPr="002D1DD7">
              <w:rPr>
                <w:rFonts w:ascii="Arial" w:hAnsi="Arial" w:cs="Arial"/>
                <w:sz w:val="12"/>
                <w:szCs w:val="12"/>
              </w:rPr>
              <w:lastRenderedPageBreak/>
              <w:t xml:space="preserve">Design: Phase Ib/II </w:t>
            </w:r>
          </w:p>
          <w:p w14:paraId="2803F379"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n=127</w:t>
            </w:r>
          </w:p>
          <w:p w14:paraId="3AA03F93" w14:textId="77777777" w:rsidR="002A7DD7" w:rsidRPr="002D1DD7" w:rsidRDefault="002A7DD7" w:rsidP="002A7DD7">
            <w:pPr>
              <w:rPr>
                <w:rFonts w:ascii="Arial" w:hAnsi="Arial" w:cs="Arial"/>
                <w:sz w:val="12"/>
                <w:szCs w:val="12"/>
              </w:rPr>
            </w:pPr>
            <w:r w:rsidRPr="002D1DD7">
              <w:rPr>
                <w:rFonts w:ascii="Arial" w:hAnsi="Arial" w:cs="Arial"/>
                <w:sz w:val="12"/>
                <w:szCs w:val="12"/>
              </w:rPr>
              <w:t>Allocation approach: Randomised</w:t>
            </w:r>
          </w:p>
          <w:p w14:paraId="7B59D1BE"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15 August 2018</w:t>
            </w:r>
          </w:p>
          <w:p w14:paraId="3FD070D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1 May 2022</w:t>
            </w:r>
          </w:p>
          <w:p w14:paraId="3A86BE74" w14:textId="77777777" w:rsidR="002A7DD7" w:rsidRPr="002D1DD7" w:rsidRDefault="002A7DD7" w:rsidP="002A7DD7">
            <w:pPr>
              <w:rPr>
                <w:rFonts w:ascii="Arial" w:hAnsi="Arial" w:cs="Arial"/>
                <w:sz w:val="12"/>
                <w:szCs w:val="12"/>
              </w:rPr>
            </w:pPr>
            <w:r w:rsidRPr="002D1DD7">
              <w:rPr>
                <w:rFonts w:ascii="Arial" w:hAnsi="Arial" w:cs="Arial"/>
                <w:sz w:val="12"/>
                <w:szCs w:val="12"/>
              </w:rPr>
              <w:lastRenderedPageBreak/>
              <w:t>Estimated study completion: 7 November 2022</w:t>
            </w:r>
          </w:p>
        </w:tc>
        <w:tc>
          <w:tcPr>
            <w:tcW w:w="2642" w:type="dxa"/>
            <w:tcBorders>
              <w:top w:val="single" w:sz="8" w:space="0" w:color="auto"/>
              <w:bottom w:val="single" w:sz="8" w:space="0" w:color="auto"/>
            </w:tcBorders>
          </w:tcPr>
          <w:p w14:paraId="5E453EC2" w14:textId="0725535C"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lastRenderedPageBreak/>
              <w:t>Patients with locally advanced or metastatic KRAS- or NRAS-mutant non-small cell lung cancer, pancreatic ductal adenocarcinoma, or other KRAS- or NRAS-mutant solid tumours.</w:t>
            </w:r>
          </w:p>
        </w:tc>
        <w:tc>
          <w:tcPr>
            <w:tcW w:w="2114" w:type="dxa"/>
            <w:tcBorders>
              <w:top w:val="single" w:sz="8" w:space="0" w:color="auto"/>
              <w:bottom w:val="single" w:sz="8" w:space="0" w:color="auto"/>
              <w:right w:val="single" w:sz="12" w:space="0" w:color="auto"/>
            </w:tcBorders>
          </w:tcPr>
          <w:p w14:paraId="2185716B" w14:textId="77777777" w:rsidR="002A7DD7" w:rsidRPr="002D1DD7" w:rsidRDefault="002A7DD7" w:rsidP="002A7DD7">
            <w:pPr>
              <w:rPr>
                <w:rFonts w:ascii="Arial" w:hAnsi="Arial" w:cs="Arial"/>
                <w:sz w:val="12"/>
                <w:szCs w:val="12"/>
              </w:rPr>
            </w:pPr>
            <w:r w:rsidRPr="002D1DD7">
              <w:rPr>
                <w:rFonts w:ascii="Arial" w:hAnsi="Arial" w:cs="Arial"/>
                <w:color w:val="000000"/>
                <w:sz w:val="12"/>
                <w:szCs w:val="12"/>
                <w:shd w:val="clear" w:color="auto" w:fill="FFFFFF"/>
              </w:rPr>
              <w:t xml:space="preserve">Positive KRAS or NRAS mutation status as determined using a validated test performed in a College of American Pathologists (CAP)/Clinical Laboratory Improvement Amendments (CLIA)-certified laboratory (or other </w:t>
            </w:r>
            <w:r w:rsidRPr="002D1DD7">
              <w:rPr>
                <w:rFonts w:ascii="Arial" w:hAnsi="Arial" w:cs="Arial"/>
                <w:color w:val="000000"/>
                <w:sz w:val="12"/>
                <w:szCs w:val="12"/>
                <w:shd w:val="clear" w:color="auto" w:fill="FFFFFF"/>
              </w:rPr>
              <w:lastRenderedPageBreak/>
              <w:t>comparable local or regional certification)</w:t>
            </w:r>
          </w:p>
        </w:tc>
      </w:tr>
      <w:tr w:rsidR="002A7DD7" w:rsidRPr="002D1DD7" w14:paraId="1D107126" w14:textId="77777777" w:rsidTr="009126F0">
        <w:trPr>
          <w:trHeight w:val="1079"/>
        </w:trPr>
        <w:tc>
          <w:tcPr>
            <w:tcW w:w="1103" w:type="dxa"/>
            <w:vMerge/>
            <w:tcBorders>
              <w:left w:val="single" w:sz="12" w:space="0" w:color="auto"/>
            </w:tcBorders>
          </w:tcPr>
          <w:p w14:paraId="612324C8" w14:textId="77777777" w:rsidR="002A7DD7" w:rsidRPr="002D1DD7" w:rsidRDefault="002A7DD7" w:rsidP="002A7DD7">
            <w:pPr>
              <w:rPr>
                <w:rFonts w:ascii="Arial" w:hAnsi="Arial" w:cs="Arial"/>
                <w:color w:val="222222"/>
                <w:sz w:val="12"/>
                <w:szCs w:val="12"/>
                <w:shd w:val="clear" w:color="auto" w:fill="FFFFFF"/>
              </w:rPr>
            </w:pPr>
          </w:p>
        </w:tc>
        <w:tc>
          <w:tcPr>
            <w:tcW w:w="1497" w:type="dxa"/>
            <w:tcBorders>
              <w:top w:val="single" w:sz="8" w:space="0" w:color="auto"/>
              <w:bottom w:val="single" w:sz="8" w:space="0" w:color="auto"/>
            </w:tcBorders>
          </w:tcPr>
          <w:p w14:paraId="1C46FCC0"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Solid tumours with a BRCA or ATM defect</w:t>
            </w:r>
          </w:p>
        </w:tc>
        <w:tc>
          <w:tcPr>
            <w:tcW w:w="1717" w:type="dxa"/>
            <w:tcBorders>
              <w:top w:val="single" w:sz="8" w:space="0" w:color="auto"/>
              <w:bottom w:val="single" w:sz="8" w:space="0" w:color="auto"/>
            </w:tcBorders>
          </w:tcPr>
          <w:p w14:paraId="6A5B216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NCT03565991</w:t>
            </w:r>
          </w:p>
        </w:tc>
        <w:tc>
          <w:tcPr>
            <w:tcW w:w="2166" w:type="dxa"/>
            <w:tcBorders>
              <w:top w:val="single" w:sz="8" w:space="0" w:color="auto"/>
              <w:bottom w:val="single" w:sz="8" w:space="0" w:color="auto"/>
            </w:tcBorders>
          </w:tcPr>
          <w:p w14:paraId="451D231E"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w:t>
            </w:r>
          </w:p>
          <w:p w14:paraId="09D9004E" w14:textId="77777777" w:rsidR="002A7DD7" w:rsidRPr="002D1DD7" w:rsidRDefault="002A7DD7" w:rsidP="009A66EC">
            <w:pPr>
              <w:pStyle w:val="ListParagraph"/>
              <w:numPr>
                <w:ilvl w:val="0"/>
                <w:numId w:val="15"/>
              </w:numPr>
              <w:spacing w:before="0" w:after="0"/>
              <w:rPr>
                <w:rFonts w:ascii="Arial" w:hAnsi="Arial" w:cs="Arial"/>
                <w:sz w:val="12"/>
                <w:szCs w:val="12"/>
              </w:rPr>
            </w:pPr>
            <w:r w:rsidRPr="002D1DD7">
              <w:rPr>
                <w:rFonts w:ascii="Arial" w:hAnsi="Arial" w:cs="Arial"/>
                <w:sz w:val="12"/>
                <w:szCs w:val="12"/>
              </w:rPr>
              <w:t>Confirmed objective response (24 months)</w:t>
            </w:r>
          </w:p>
          <w:p w14:paraId="64ED71F9" w14:textId="77777777" w:rsidR="002A7DD7" w:rsidRPr="002D1DD7" w:rsidRDefault="002A7DD7" w:rsidP="002A7DD7">
            <w:pPr>
              <w:rPr>
                <w:rFonts w:ascii="Arial" w:hAnsi="Arial" w:cs="Arial"/>
                <w:sz w:val="12"/>
                <w:szCs w:val="12"/>
              </w:rPr>
            </w:pPr>
          </w:p>
          <w:p w14:paraId="043A3BCC"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4914A885"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Confirmed objective response by the investigator (24 months)</w:t>
            </w:r>
          </w:p>
          <w:p w14:paraId="3891E4FC"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Time to tumour response (24 months)</w:t>
            </w:r>
          </w:p>
          <w:p w14:paraId="500A7C40"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Duration of response (24 months)</w:t>
            </w:r>
          </w:p>
          <w:p w14:paraId="3D4D81E3"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PFS (24 months)</w:t>
            </w:r>
          </w:p>
          <w:p w14:paraId="617CA4C0"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OS (24 months)</w:t>
            </w:r>
          </w:p>
          <w:p w14:paraId="05C937F0"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PSA and CA-125 response (24 months)</w:t>
            </w:r>
          </w:p>
          <w:p w14:paraId="1373B208"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Circulating tumour cell level</w:t>
            </w:r>
          </w:p>
          <w:p w14:paraId="58818717"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Pharmacokinetics (up to 24 months)</w:t>
            </w:r>
          </w:p>
          <w:p w14:paraId="7C28614E" w14:textId="77777777" w:rsidR="002A7DD7" w:rsidRPr="002D1DD7" w:rsidRDefault="002A7DD7" w:rsidP="009A66EC">
            <w:pPr>
              <w:pStyle w:val="ListParagraph"/>
              <w:numPr>
                <w:ilvl w:val="0"/>
                <w:numId w:val="16"/>
              </w:numPr>
              <w:spacing w:before="0" w:after="0"/>
              <w:rPr>
                <w:rFonts w:ascii="Arial" w:hAnsi="Arial" w:cs="Arial"/>
                <w:sz w:val="12"/>
                <w:szCs w:val="12"/>
              </w:rPr>
            </w:pPr>
            <w:r w:rsidRPr="002D1DD7">
              <w:rPr>
                <w:rFonts w:ascii="Arial" w:hAnsi="Arial" w:cs="Arial"/>
                <w:sz w:val="12"/>
                <w:szCs w:val="12"/>
              </w:rPr>
              <w:t>Immunogenicity (up to 24 months)</w:t>
            </w:r>
          </w:p>
          <w:p w14:paraId="3429F961" w14:textId="77777777" w:rsidR="002A7DD7" w:rsidRPr="002D1DD7" w:rsidRDefault="002A7DD7" w:rsidP="002A7DD7">
            <w:pPr>
              <w:pStyle w:val="ListParagraph"/>
              <w:ind w:left="360"/>
              <w:rPr>
                <w:rFonts w:ascii="Arial" w:hAnsi="Arial" w:cs="Arial"/>
                <w:sz w:val="12"/>
                <w:szCs w:val="12"/>
              </w:rPr>
            </w:pPr>
          </w:p>
          <w:p w14:paraId="4950C472" w14:textId="77777777" w:rsidR="002A7DD7" w:rsidRPr="002D1DD7" w:rsidRDefault="002A7DD7" w:rsidP="002A7DD7">
            <w:pPr>
              <w:pStyle w:val="ListParagraph"/>
              <w:ind w:left="360"/>
              <w:rPr>
                <w:rFonts w:ascii="Arial" w:hAnsi="Arial" w:cs="Arial"/>
                <w:sz w:val="12"/>
                <w:szCs w:val="12"/>
              </w:rPr>
            </w:pPr>
          </w:p>
          <w:p w14:paraId="3A8D2AD2" w14:textId="77777777" w:rsidR="002A7DD7" w:rsidRPr="002D1DD7" w:rsidRDefault="002A7DD7" w:rsidP="002A7DD7">
            <w:pPr>
              <w:rPr>
                <w:rFonts w:ascii="Arial" w:hAnsi="Arial" w:cs="Arial"/>
                <w:sz w:val="12"/>
                <w:szCs w:val="12"/>
              </w:rPr>
            </w:pPr>
          </w:p>
          <w:p w14:paraId="54B09939" w14:textId="77777777" w:rsidR="002A7DD7" w:rsidRPr="002D1DD7" w:rsidRDefault="002A7DD7" w:rsidP="002A7DD7">
            <w:pPr>
              <w:rPr>
                <w:rFonts w:ascii="Arial" w:hAnsi="Arial" w:cs="Arial"/>
                <w:b/>
                <w:sz w:val="12"/>
                <w:szCs w:val="12"/>
              </w:rPr>
            </w:pPr>
          </w:p>
        </w:tc>
        <w:tc>
          <w:tcPr>
            <w:tcW w:w="2213" w:type="dxa"/>
            <w:tcBorders>
              <w:top w:val="single" w:sz="8" w:space="0" w:color="auto"/>
              <w:bottom w:val="single" w:sz="8" w:space="0" w:color="auto"/>
            </w:tcBorders>
          </w:tcPr>
          <w:p w14:paraId="15F2FEDE" w14:textId="53CDD549"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 </w:t>
            </w:r>
            <w:r w:rsidR="00050D88" w:rsidRPr="002D1DD7">
              <w:rPr>
                <w:rFonts w:ascii="Arial" w:hAnsi="Arial" w:cs="Arial"/>
                <w:sz w:val="12"/>
                <w:szCs w:val="12"/>
              </w:rPr>
              <w:t>(separate cohorts specified)</w:t>
            </w:r>
          </w:p>
          <w:p w14:paraId="2628585A"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n=200</w:t>
            </w:r>
          </w:p>
          <w:p w14:paraId="74D23608" w14:textId="20EA8FB2"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DF7AF0" w:rsidRPr="002D1DD7">
              <w:rPr>
                <w:rFonts w:ascii="Arial" w:hAnsi="Arial" w:cs="Arial"/>
                <w:sz w:val="12"/>
                <w:szCs w:val="12"/>
              </w:rPr>
              <w:t>Non-Randomised</w:t>
            </w:r>
          </w:p>
          <w:p w14:paraId="5C1739D7"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18 June 2018</w:t>
            </w:r>
          </w:p>
          <w:p w14:paraId="0212DBC7"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8 March 2021</w:t>
            </w:r>
          </w:p>
          <w:p w14:paraId="28861FA3"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2 December 2022</w:t>
            </w:r>
          </w:p>
        </w:tc>
        <w:tc>
          <w:tcPr>
            <w:tcW w:w="2642" w:type="dxa"/>
            <w:tcBorders>
              <w:top w:val="single" w:sz="8" w:space="0" w:color="auto"/>
              <w:bottom w:val="single" w:sz="8" w:space="0" w:color="auto"/>
            </w:tcBorders>
          </w:tcPr>
          <w:p w14:paraId="3C78687D" w14:textId="60233CB1"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Patients with locally advanced or metastatic solid tumours with a BRCA or ATM defect</w:t>
            </w:r>
          </w:p>
        </w:tc>
        <w:tc>
          <w:tcPr>
            <w:tcW w:w="2114" w:type="dxa"/>
            <w:tcBorders>
              <w:top w:val="single" w:sz="8" w:space="0" w:color="auto"/>
              <w:bottom w:val="single" w:sz="8" w:space="0" w:color="auto"/>
              <w:right w:val="single" w:sz="12" w:space="0" w:color="auto"/>
            </w:tcBorders>
          </w:tcPr>
          <w:p w14:paraId="724D5DB2"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Not given</w:t>
            </w:r>
          </w:p>
        </w:tc>
      </w:tr>
      <w:tr w:rsidR="002A7DD7" w:rsidRPr="002D1DD7" w14:paraId="158A7138" w14:textId="77777777" w:rsidTr="009126F0">
        <w:trPr>
          <w:trHeight w:val="1079"/>
        </w:trPr>
        <w:tc>
          <w:tcPr>
            <w:tcW w:w="1103" w:type="dxa"/>
            <w:tcBorders>
              <w:top w:val="single" w:sz="12" w:space="0" w:color="auto"/>
              <w:left w:val="single" w:sz="12" w:space="0" w:color="auto"/>
              <w:bottom w:val="single" w:sz="12" w:space="0" w:color="auto"/>
            </w:tcBorders>
          </w:tcPr>
          <w:p w14:paraId="7594A975" w14:textId="77777777" w:rsidR="002A7DD7" w:rsidRPr="002D1DD7" w:rsidRDefault="002A7DD7" w:rsidP="002A7DD7">
            <w:pPr>
              <w:rPr>
                <w:rFonts w:ascii="Arial" w:hAnsi="Arial" w:cs="Arial"/>
                <w:b/>
                <w:color w:val="222222"/>
                <w:sz w:val="12"/>
                <w:szCs w:val="12"/>
                <w:shd w:val="clear" w:color="auto" w:fill="FFFFFF"/>
              </w:rPr>
            </w:pPr>
            <w:r w:rsidRPr="002D1DD7">
              <w:rPr>
                <w:rFonts w:ascii="Arial" w:hAnsi="Arial" w:cs="Arial"/>
                <w:b/>
                <w:color w:val="000000"/>
                <w:sz w:val="12"/>
                <w:szCs w:val="12"/>
                <w:shd w:val="clear" w:color="auto" w:fill="FFFFFF"/>
              </w:rPr>
              <w:t>LOXO-195</w:t>
            </w:r>
          </w:p>
        </w:tc>
        <w:tc>
          <w:tcPr>
            <w:tcW w:w="1497" w:type="dxa"/>
            <w:tcBorders>
              <w:top w:val="single" w:sz="12" w:space="0" w:color="auto"/>
              <w:bottom w:val="single" w:sz="12" w:space="0" w:color="auto"/>
            </w:tcBorders>
          </w:tcPr>
          <w:p w14:paraId="6335E40A"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Solid tumours </w:t>
            </w:r>
          </w:p>
        </w:tc>
        <w:tc>
          <w:tcPr>
            <w:tcW w:w="1717" w:type="dxa"/>
            <w:tcBorders>
              <w:top w:val="single" w:sz="12" w:space="0" w:color="auto"/>
              <w:bottom w:val="single" w:sz="12" w:space="0" w:color="auto"/>
            </w:tcBorders>
          </w:tcPr>
          <w:p w14:paraId="257A3B43"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NCT03215511</w:t>
            </w:r>
          </w:p>
        </w:tc>
        <w:tc>
          <w:tcPr>
            <w:tcW w:w="2166" w:type="dxa"/>
            <w:tcBorders>
              <w:top w:val="single" w:sz="12" w:space="0" w:color="auto"/>
              <w:bottom w:val="single" w:sz="12" w:space="0" w:color="auto"/>
            </w:tcBorders>
          </w:tcPr>
          <w:p w14:paraId="5D4034D5"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w:t>
            </w:r>
          </w:p>
          <w:p w14:paraId="0337B1C4" w14:textId="77777777" w:rsidR="002A7DD7" w:rsidRPr="002D1DD7" w:rsidRDefault="002A7DD7" w:rsidP="009A66EC">
            <w:pPr>
              <w:pStyle w:val="ListParagraph"/>
              <w:numPr>
                <w:ilvl w:val="0"/>
                <w:numId w:val="17"/>
              </w:numPr>
              <w:spacing w:before="0" w:after="0"/>
              <w:rPr>
                <w:rFonts w:ascii="Arial" w:hAnsi="Arial" w:cs="Arial"/>
                <w:sz w:val="12"/>
                <w:szCs w:val="12"/>
              </w:rPr>
            </w:pPr>
            <w:r w:rsidRPr="002D1DD7">
              <w:rPr>
                <w:rFonts w:ascii="Arial" w:hAnsi="Arial" w:cs="Arial"/>
                <w:sz w:val="12"/>
                <w:szCs w:val="12"/>
              </w:rPr>
              <w:t>MTD</w:t>
            </w:r>
          </w:p>
          <w:p w14:paraId="0AAB4C47" w14:textId="77777777" w:rsidR="002A7DD7" w:rsidRPr="002D1DD7" w:rsidRDefault="002A7DD7" w:rsidP="009A66EC">
            <w:pPr>
              <w:pStyle w:val="ListParagraph"/>
              <w:numPr>
                <w:ilvl w:val="0"/>
                <w:numId w:val="17"/>
              </w:numPr>
              <w:spacing w:before="0" w:after="0"/>
              <w:rPr>
                <w:rFonts w:ascii="Arial" w:hAnsi="Arial" w:cs="Arial"/>
                <w:sz w:val="12"/>
                <w:szCs w:val="12"/>
              </w:rPr>
            </w:pPr>
            <w:r w:rsidRPr="002D1DD7">
              <w:rPr>
                <w:rFonts w:ascii="Arial" w:hAnsi="Arial" w:cs="Arial"/>
                <w:sz w:val="12"/>
                <w:szCs w:val="12"/>
              </w:rPr>
              <w:t>Best overall response (up to 2 years)</w:t>
            </w:r>
          </w:p>
          <w:p w14:paraId="6899E961" w14:textId="77777777" w:rsidR="002A7DD7" w:rsidRPr="002D1DD7" w:rsidRDefault="002A7DD7" w:rsidP="002A7DD7">
            <w:pPr>
              <w:rPr>
                <w:rFonts w:ascii="Arial" w:hAnsi="Arial" w:cs="Arial"/>
                <w:sz w:val="12"/>
                <w:szCs w:val="12"/>
              </w:rPr>
            </w:pPr>
          </w:p>
          <w:p w14:paraId="739B17CD"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1FED01C5"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Safety (up to 24 months)</w:t>
            </w:r>
          </w:p>
          <w:p w14:paraId="6269A46D"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Overall response (24 months)</w:t>
            </w:r>
          </w:p>
          <w:p w14:paraId="09D5DCD7"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Pharmacokinetics (5 months)</w:t>
            </w:r>
          </w:p>
          <w:p w14:paraId="6C85E584"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Duration of response (up to 24 months)</w:t>
            </w:r>
          </w:p>
          <w:p w14:paraId="67C2E8BE"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PFS (up to 24 months)</w:t>
            </w:r>
          </w:p>
          <w:p w14:paraId="3B67C187"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OS (up to 24 months)</w:t>
            </w:r>
          </w:p>
          <w:p w14:paraId="16781F3A" w14:textId="77777777" w:rsidR="002A7DD7" w:rsidRPr="002D1DD7" w:rsidRDefault="002A7DD7" w:rsidP="009A66EC">
            <w:pPr>
              <w:pStyle w:val="ListParagraph"/>
              <w:numPr>
                <w:ilvl w:val="0"/>
                <w:numId w:val="18"/>
              </w:numPr>
              <w:spacing w:before="0" w:after="0"/>
              <w:rPr>
                <w:rFonts w:ascii="Arial" w:hAnsi="Arial" w:cs="Arial"/>
                <w:sz w:val="12"/>
                <w:szCs w:val="12"/>
              </w:rPr>
            </w:pPr>
            <w:r w:rsidRPr="002D1DD7">
              <w:rPr>
                <w:rFonts w:ascii="Arial" w:hAnsi="Arial" w:cs="Arial"/>
                <w:sz w:val="12"/>
                <w:szCs w:val="12"/>
              </w:rPr>
              <w:t>Clinical benefit rate (up to 24 months</w:t>
            </w:r>
          </w:p>
        </w:tc>
        <w:tc>
          <w:tcPr>
            <w:tcW w:w="2213" w:type="dxa"/>
            <w:tcBorders>
              <w:top w:val="single" w:sz="12" w:space="0" w:color="auto"/>
              <w:bottom w:val="single" w:sz="12" w:space="0" w:color="auto"/>
            </w:tcBorders>
          </w:tcPr>
          <w:p w14:paraId="1952BCFA" w14:textId="05565EB2"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I/II </w:t>
            </w:r>
            <w:r w:rsidR="00050D88" w:rsidRPr="002D1DD7">
              <w:rPr>
                <w:rFonts w:ascii="Arial" w:hAnsi="Arial" w:cs="Arial"/>
                <w:sz w:val="12"/>
                <w:szCs w:val="12"/>
              </w:rPr>
              <w:t>(separate cohorts specified)</w:t>
            </w:r>
          </w:p>
          <w:p w14:paraId="1628928C"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n=93</w:t>
            </w:r>
          </w:p>
          <w:p w14:paraId="2D8AC287" w14:textId="74CC9DD6"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DF7AF0" w:rsidRPr="002D1DD7">
              <w:rPr>
                <w:rFonts w:ascii="Arial" w:hAnsi="Arial" w:cs="Arial"/>
                <w:sz w:val="12"/>
                <w:szCs w:val="12"/>
              </w:rPr>
              <w:t>Non-Randomised</w:t>
            </w:r>
          </w:p>
          <w:p w14:paraId="5152A0DB"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10 July 2017</w:t>
            </w:r>
          </w:p>
          <w:p w14:paraId="69F1D117"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August 2019</w:t>
            </w:r>
          </w:p>
          <w:p w14:paraId="7CEF4FE5"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18 May 2026</w:t>
            </w:r>
          </w:p>
        </w:tc>
        <w:tc>
          <w:tcPr>
            <w:tcW w:w="2642" w:type="dxa"/>
            <w:tcBorders>
              <w:top w:val="single" w:sz="12" w:space="0" w:color="auto"/>
              <w:bottom w:val="single" w:sz="12" w:space="0" w:color="auto"/>
            </w:tcBorders>
          </w:tcPr>
          <w:p w14:paraId="03D8FDA7" w14:textId="257C90B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with unresectable or metastatic solid tumours and progressed or intolerant to prior </w:t>
            </w:r>
            <w:r w:rsidR="00EA6986" w:rsidRPr="002D1DD7">
              <w:rPr>
                <w:rFonts w:ascii="Arial" w:hAnsi="Arial" w:cs="Arial"/>
                <w:color w:val="000000"/>
                <w:sz w:val="12"/>
                <w:szCs w:val="12"/>
                <w:shd w:val="clear" w:color="auto" w:fill="FFFFFF"/>
              </w:rPr>
              <w:t>T</w:t>
            </w:r>
            <w:r w:rsidR="00EA6986">
              <w:rPr>
                <w:rFonts w:ascii="Arial" w:hAnsi="Arial" w:cs="Arial"/>
                <w:color w:val="000000"/>
                <w:sz w:val="12"/>
                <w:szCs w:val="12"/>
                <w:shd w:val="clear" w:color="auto" w:fill="FFFFFF"/>
              </w:rPr>
              <w:t>rk-</w:t>
            </w:r>
            <w:r w:rsidRPr="002D1DD7">
              <w:rPr>
                <w:rFonts w:ascii="Arial" w:hAnsi="Arial" w:cs="Arial"/>
                <w:color w:val="000000"/>
                <w:sz w:val="12"/>
                <w:szCs w:val="12"/>
                <w:shd w:val="clear" w:color="auto" w:fill="FFFFFF"/>
              </w:rPr>
              <w:t>inhibitor.</w:t>
            </w:r>
          </w:p>
        </w:tc>
        <w:tc>
          <w:tcPr>
            <w:tcW w:w="2114" w:type="dxa"/>
            <w:tcBorders>
              <w:top w:val="single" w:sz="12" w:space="0" w:color="auto"/>
              <w:bottom w:val="single" w:sz="12" w:space="0" w:color="auto"/>
              <w:right w:val="single" w:sz="12" w:space="0" w:color="auto"/>
            </w:tcBorders>
          </w:tcPr>
          <w:p w14:paraId="3687B414"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NTRK gene fusions will be identified via a CLIA certified (or equivalent) laboratory. Exception: Patients with Infantile Fibrosarcoma (IFS) and congenital mesoblastic nephroma (CMN) may be enrolled based on ETV6+ FISH test without identifying NTRK3</w:t>
            </w:r>
          </w:p>
          <w:p w14:paraId="0F1436E4" w14:textId="77777777" w:rsidR="002A7DD7" w:rsidRPr="002D1DD7" w:rsidRDefault="002A7DD7" w:rsidP="002A7DD7">
            <w:pPr>
              <w:rPr>
                <w:rFonts w:ascii="Arial" w:hAnsi="Arial" w:cs="Arial"/>
                <w:color w:val="000000"/>
                <w:sz w:val="12"/>
                <w:szCs w:val="12"/>
                <w:shd w:val="clear" w:color="auto" w:fill="FFFFFF"/>
              </w:rPr>
            </w:pPr>
          </w:p>
        </w:tc>
      </w:tr>
      <w:tr w:rsidR="002A7DD7" w:rsidRPr="002D1DD7" w14:paraId="1DD4A82B" w14:textId="77777777" w:rsidTr="009126F0">
        <w:trPr>
          <w:trHeight w:val="1079"/>
        </w:trPr>
        <w:tc>
          <w:tcPr>
            <w:tcW w:w="1103" w:type="dxa"/>
            <w:tcBorders>
              <w:top w:val="single" w:sz="12" w:space="0" w:color="auto"/>
              <w:left w:val="single" w:sz="12" w:space="0" w:color="auto"/>
              <w:bottom w:val="single" w:sz="12" w:space="0" w:color="auto"/>
            </w:tcBorders>
          </w:tcPr>
          <w:p w14:paraId="7B262125" w14:textId="77777777" w:rsidR="002A7DD7" w:rsidRPr="002D1DD7" w:rsidRDefault="002A7DD7" w:rsidP="002A7DD7">
            <w:pPr>
              <w:rPr>
                <w:rFonts w:ascii="Arial" w:hAnsi="Arial" w:cs="Arial"/>
                <w:b/>
                <w:color w:val="000000"/>
                <w:sz w:val="12"/>
                <w:szCs w:val="12"/>
                <w:shd w:val="clear" w:color="auto" w:fill="FFFFFF"/>
              </w:rPr>
            </w:pPr>
            <w:r w:rsidRPr="002D1DD7">
              <w:rPr>
                <w:rFonts w:ascii="Arial" w:hAnsi="Arial" w:cs="Arial"/>
                <w:b/>
                <w:color w:val="000000"/>
                <w:sz w:val="12"/>
                <w:szCs w:val="12"/>
                <w:shd w:val="clear" w:color="auto" w:fill="FFFFFF"/>
              </w:rPr>
              <w:lastRenderedPageBreak/>
              <w:t>TPX - 0005</w:t>
            </w:r>
          </w:p>
        </w:tc>
        <w:tc>
          <w:tcPr>
            <w:tcW w:w="1497" w:type="dxa"/>
            <w:tcBorders>
              <w:top w:val="single" w:sz="12" w:space="0" w:color="auto"/>
              <w:bottom w:val="single" w:sz="12" w:space="0" w:color="auto"/>
            </w:tcBorders>
          </w:tcPr>
          <w:p w14:paraId="00D2844D" w14:textId="44F34FD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harbouring ALK, ROS1, or NTRK1-3 rearrangements</w:t>
            </w:r>
          </w:p>
        </w:tc>
        <w:tc>
          <w:tcPr>
            <w:tcW w:w="1717" w:type="dxa"/>
            <w:tcBorders>
              <w:top w:val="single" w:sz="12" w:space="0" w:color="auto"/>
              <w:bottom w:val="single" w:sz="12" w:space="0" w:color="auto"/>
            </w:tcBorders>
          </w:tcPr>
          <w:p w14:paraId="272A3B31"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NCT03093116</w:t>
            </w:r>
          </w:p>
        </w:tc>
        <w:tc>
          <w:tcPr>
            <w:tcW w:w="2166" w:type="dxa"/>
            <w:tcBorders>
              <w:top w:val="single" w:sz="12" w:space="0" w:color="auto"/>
              <w:bottom w:val="single" w:sz="12" w:space="0" w:color="auto"/>
            </w:tcBorders>
          </w:tcPr>
          <w:p w14:paraId="1A2D89A4" w14:textId="77777777" w:rsidR="002A7DD7" w:rsidRPr="002D1DD7" w:rsidRDefault="002A7DD7" w:rsidP="002A7DD7">
            <w:pPr>
              <w:rPr>
                <w:rFonts w:ascii="Arial" w:hAnsi="Arial" w:cs="Arial"/>
                <w:b/>
                <w:sz w:val="12"/>
                <w:szCs w:val="12"/>
              </w:rPr>
            </w:pPr>
            <w:r w:rsidRPr="002D1DD7">
              <w:rPr>
                <w:rFonts w:ascii="Arial" w:hAnsi="Arial" w:cs="Arial"/>
                <w:b/>
                <w:sz w:val="12"/>
                <w:szCs w:val="12"/>
              </w:rPr>
              <w:t>Primary:</w:t>
            </w:r>
          </w:p>
          <w:p w14:paraId="60061874" w14:textId="77777777" w:rsidR="002A7DD7" w:rsidRPr="002D1DD7" w:rsidRDefault="002A7DD7" w:rsidP="009A66EC">
            <w:pPr>
              <w:pStyle w:val="ListParagraph"/>
              <w:numPr>
                <w:ilvl w:val="0"/>
                <w:numId w:val="19"/>
              </w:numPr>
              <w:spacing w:before="0" w:after="0"/>
              <w:rPr>
                <w:rFonts w:ascii="Arial" w:hAnsi="Arial" w:cs="Arial"/>
                <w:sz w:val="12"/>
                <w:szCs w:val="12"/>
              </w:rPr>
            </w:pPr>
            <w:r w:rsidRPr="002D1DD7">
              <w:rPr>
                <w:rFonts w:ascii="Arial" w:hAnsi="Arial" w:cs="Arial"/>
                <w:sz w:val="12"/>
                <w:szCs w:val="12"/>
              </w:rPr>
              <w:t xml:space="preserve">Maximum tolerated dose (28 days of first dose) </w:t>
            </w:r>
          </w:p>
          <w:p w14:paraId="64E5015A" w14:textId="77777777" w:rsidR="002A7DD7" w:rsidRPr="002D1DD7" w:rsidRDefault="002A7DD7" w:rsidP="009A66EC">
            <w:pPr>
              <w:pStyle w:val="ListParagraph"/>
              <w:numPr>
                <w:ilvl w:val="0"/>
                <w:numId w:val="19"/>
              </w:numPr>
              <w:spacing w:before="0" w:after="0"/>
              <w:rPr>
                <w:rFonts w:ascii="Arial" w:hAnsi="Arial" w:cs="Arial"/>
                <w:sz w:val="12"/>
                <w:szCs w:val="12"/>
              </w:rPr>
            </w:pPr>
            <w:r w:rsidRPr="002D1DD7">
              <w:rPr>
                <w:rFonts w:ascii="Arial" w:hAnsi="Arial" w:cs="Arial"/>
                <w:sz w:val="12"/>
                <w:szCs w:val="12"/>
              </w:rPr>
              <w:t>Recommended Phase 2 Dose (28 days of first dose)</w:t>
            </w:r>
          </w:p>
          <w:p w14:paraId="4071CEBC" w14:textId="77777777" w:rsidR="002A7DD7" w:rsidRPr="002D1DD7" w:rsidRDefault="002A7DD7" w:rsidP="009A66EC">
            <w:pPr>
              <w:pStyle w:val="ListParagraph"/>
              <w:numPr>
                <w:ilvl w:val="0"/>
                <w:numId w:val="19"/>
              </w:numPr>
              <w:spacing w:before="0" w:after="0"/>
              <w:rPr>
                <w:rFonts w:ascii="Arial" w:hAnsi="Arial" w:cs="Arial"/>
                <w:sz w:val="12"/>
                <w:szCs w:val="12"/>
              </w:rPr>
            </w:pPr>
            <w:r w:rsidRPr="002D1DD7">
              <w:rPr>
                <w:rFonts w:ascii="Arial" w:hAnsi="Arial" w:cs="Arial"/>
                <w:sz w:val="12"/>
                <w:szCs w:val="12"/>
              </w:rPr>
              <w:t>ORR (2 to 3 months after treatment start)</w:t>
            </w:r>
          </w:p>
          <w:p w14:paraId="6914D17E" w14:textId="77777777" w:rsidR="002A7DD7" w:rsidRPr="002D1DD7" w:rsidRDefault="002A7DD7" w:rsidP="002A7DD7">
            <w:pPr>
              <w:rPr>
                <w:rFonts w:ascii="Arial" w:hAnsi="Arial" w:cs="Arial"/>
                <w:sz w:val="12"/>
                <w:szCs w:val="12"/>
              </w:rPr>
            </w:pPr>
          </w:p>
          <w:p w14:paraId="5EB5CEC0"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7FC97EE0"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Effect of food on AUC (2 to 3 months after treatment start)</w:t>
            </w:r>
          </w:p>
          <w:p w14:paraId="7015637D"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Time to response (3 years)</w:t>
            </w:r>
          </w:p>
          <w:p w14:paraId="7F96A605"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DoR (3 years)</w:t>
            </w:r>
          </w:p>
          <w:p w14:paraId="516C1882"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CBR (3 years)</w:t>
            </w:r>
          </w:p>
          <w:p w14:paraId="3AF51575"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PFS (3 years)</w:t>
            </w:r>
          </w:p>
          <w:p w14:paraId="6745085C"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OS (3 years)</w:t>
            </w:r>
          </w:p>
          <w:p w14:paraId="5E5EAFF9"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Intracranial ORR (3 years)</w:t>
            </w:r>
          </w:p>
          <w:p w14:paraId="7191DBA4" w14:textId="77777777" w:rsidR="002A7DD7" w:rsidRPr="002D1DD7" w:rsidRDefault="002A7DD7" w:rsidP="009A66EC">
            <w:pPr>
              <w:pStyle w:val="ListParagraph"/>
              <w:numPr>
                <w:ilvl w:val="0"/>
                <w:numId w:val="20"/>
              </w:numPr>
              <w:spacing w:before="0" w:after="0"/>
              <w:rPr>
                <w:rFonts w:ascii="Arial" w:hAnsi="Arial" w:cs="Arial"/>
                <w:b/>
                <w:sz w:val="12"/>
                <w:szCs w:val="12"/>
              </w:rPr>
            </w:pPr>
            <w:r w:rsidRPr="002D1DD7">
              <w:rPr>
                <w:rFonts w:ascii="Arial" w:hAnsi="Arial" w:cs="Arial"/>
                <w:sz w:val="12"/>
                <w:szCs w:val="12"/>
              </w:rPr>
              <w:t>CNS PFS (3 years)</w:t>
            </w:r>
          </w:p>
        </w:tc>
        <w:tc>
          <w:tcPr>
            <w:tcW w:w="2213" w:type="dxa"/>
            <w:tcBorders>
              <w:top w:val="single" w:sz="12" w:space="0" w:color="auto"/>
              <w:bottom w:val="single" w:sz="12" w:space="0" w:color="auto"/>
            </w:tcBorders>
          </w:tcPr>
          <w:p w14:paraId="03A409E9" w14:textId="0CD5F90A" w:rsidR="002A7DD7" w:rsidRPr="002D1DD7" w:rsidRDefault="002A7DD7" w:rsidP="002A7DD7">
            <w:pPr>
              <w:rPr>
                <w:rFonts w:ascii="Arial" w:hAnsi="Arial" w:cs="Arial"/>
                <w:sz w:val="12"/>
                <w:szCs w:val="12"/>
              </w:rPr>
            </w:pPr>
            <w:r w:rsidRPr="002D1DD7">
              <w:rPr>
                <w:rFonts w:ascii="Arial" w:hAnsi="Arial" w:cs="Arial"/>
                <w:sz w:val="12"/>
                <w:szCs w:val="12"/>
              </w:rPr>
              <w:t>Design: Phase I/II</w:t>
            </w:r>
            <w:r w:rsidR="000A06F7" w:rsidRPr="002D1DD7">
              <w:rPr>
                <w:rFonts w:ascii="Arial" w:hAnsi="Arial" w:cs="Arial"/>
                <w:sz w:val="12"/>
                <w:szCs w:val="12"/>
              </w:rPr>
              <w:t xml:space="preserve"> </w:t>
            </w:r>
            <w:r w:rsidR="00050D88" w:rsidRPr="002D1DD7">
              <w:rPr>
                <w:rFonts w:ascii="Arial" w:hAnsi="Arial" w:cs="Arial"/>
                <w:sz w:val="12"/>
                <w:szCs w:val="12"/>
              </w:rPr>
              <w:t>(separate cohorts specified)</w:t>
            </w:r>
          </w:p>
          <w:p w14:paraId="471CCF57"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450 participants</w:t>
            </w:r>
          </w:p>
          <w:p w14:paraId="374B1014" w14:textId="4399E707"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DF7AF0" w:rsidRPr="002D1DD7">
              <w:rPr>
                <w:rFonts w:ascii="Arial" w:hAnsi="Arial" w:cs="Arial"/>
                <w:sz w:val="12"/>
                <w:szCs w:val="12"/>
              </w:rPr>
              <w:t>N</w:t>
            </w:r>
            <w:r w:rsidRPr="002D1DD7">
              <w:rPr>
                <w:rFonts w:ascii="Arial" w:hAnsi="Arial" w:cs="Arial"/>
                <w:sz w:val="12"/>
                <w:szCs w:val="12"/>
              </w:rPr>
              <w:t>on-randomi</w:t>
            </w:r>
            <w:r w:rsidR="00DF7AF0" w:rsidRPr="002D1DD7">
              <w:rPr>
                <w:rFonts w:ascii="Arial" w:hAnsi="Arial" w:cs="Arial"/>
                <w:sz w:val="12"/>
                <w:szCs w:val="12"/>
              </w:rPr>
              <w:t>s</w:t>
            </w:r>
            <w:r w:rsidRPr="002D1DD7">
              <w:rPr>
                <w:rFonts w:ascii="Arial" w:hAnsi="Arial" w:cs="Arial"/>
                <w:sz w:val="12"/>
                <w:szCs w:val="12"/>
              </w:rPr>
              <w:t xml:space="preserve">ed </w:t>
            </w:r>
          </w:p>
          <w:p w14:paraId="0B082DAE"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27 February 2017</w:t>
            </w:r>
          </w:p>
          <w:p w14:paraId="53CD1A97"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date: January 2021</w:t>
            </w:r>
          </w:p>
          <w:p w14:paraId="7E81FD66"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December 2021</w:t>
            </w:r>
          </w:p>
        </w:tc>
        <w:tc>
          <w:tcPr>
            <w:tcW w:w="2642" w:type="dxa"/>
            <w:tcBorders>
              <w:top w:val="single" w:sz="12" w:space="0" w:color="auto"/>
              <w:bottom w:val="single" w:sz="12" w:space="0" w:color="auto"/>
            </w:tcBorders>
          </w:tcPr>
          <w:p w14:paraId="5BE33D7F" w14:textId="09E40C3F"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 18 years with histologically or cytologically confirmed confirmed locally advanced or metastatic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(including non-Hodgkin lymphoma) harmoring ALK, ROS1, NTRK1-3 gene rearrangement.</w:t>
            </w:r>
          </w:p>
        </w:tc>
        <w:tc>
          <w:tcPr>
            <w:tcW w:w="2114" w:type="dxa"/>
            <w:tcBorders>
              <w:top w:val="single" w:sz="12" w:space="0" w:color="auto"/>
              <w:bottom w:val="single" w:sz="12" w:space="0" w:color="auto"/>
              <w:right w:val="single" w:sz="12" w:space="0" w:color="auto"/>
            </w:tcBorders>
          </w:tcPr>
          <w:p w14:paraId="37BB0C53" w14:textId="77777777" w:rsidR="002A7DD7" w:rsidRPr="002D1DD7" w:rsidRDefault="002A7DD7" w:rsidP="005075FF">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09E9293A" w14:textId="77777777" w:rsidTr="009126F0">
        <w:trPr>
          <w:trHeight w:val="1079"/>
        </w:trPr>
        <w:tc>
          <w:tcPr>
            <w:tcW w:w="1103" w:type="dxa"/>
            <w:vMerge w:val="restart"/>
            <w:tcBorders>
              <w:left w:val="single" w:sz="12" w:space="0" w:color="auto"/>
            </w:tcBorders>
          </w:tcPr>
          <w:p w14:paraId="02442F33" w14:textId="77777777" w:rsidR="002A7DD7" w:rsidRPr="002D1DD7" w:rsidRDefault="002A7DD7" w:rsidP="002A7DD7">
            <w:pPr>
              <w:rPr>
                <w:rFonts w:ascii="Arial" w:hAnsi="Arial" w:cs="Arial"/>
                <w:b/>
                <w:color w:val="000000"/>
                <w:sz w:val="12"/>
                <w:szCs w:val="12"/>
                <w:shd w:val="clear" w:color="auto" w:fill="FFFFFF"/>
              </w:rPr>
            </w:pPr>
            <w:r w:rsidRPr="002D1DD7">
              <w:rPr>
                <w:rFonts w:ascii="Arial" w:hAnsi="Arial" w:cs="Arial"/>
                <w:b/>
                <w:color w:val="000000"/>
                <w:sz w:val="12"/>
                <w:szCs w:val="12"/>
                <w:shd w:val="clear" w:color="auto" w:fill="FFFFFF"/>
              </w:rPr>
              <w:t>Sunitinib</w:t>
            </w:r>
          </w:p>
        </w:tc>
        <w:tc>
          <w:tcPr>
            <w:tcW w:w="1497" w:type="dxa"/>
            <w:tcBorders>
              <w:top w:val="single" w:sz="12" w:space="0" w:color="auto"/>
              <w:bottom w:val="single" w:sz="12" w:space="0" w:color="auto"/>
            </w:tcBorders>
          </w:tcPr>
          <w:p w14:paraId="0CD36623" w14:textId="1E6146E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Refractory solid tumo</w:t>
            </w:r>
            <w:r w:rsidR="00DF7AF0" w:rsidRPr="002D1DD7">
              <w:rPr>
                <w:rFonts w:ascii="Arial" w:hAnsi="Arial" w:cs="Arial"/>
                <w:color w:val="000000"/>
                <w:sz w:val="12"/>
                <w:szCs w:val="12"/>
                <w:shd w:val="clear" w:color="auto" w:fill="FFFFFF"/>
              </w:rPr>
              <w:t>u</w:t>
            </w:r>
            <w:r w:rsidRPr="002D1DD7">
              <w:rPr>
                <w:rFonts w:ascii="Arial" w:hAnsi="Arial" w:cs="Arial"/>
                <w:color w:val="000000"/>
                <w:sz w:val="12"/>
                <w:szCs w:val="12"/>
                <w:shd w:val="clear" w:color="auto" w:fill="FFFFFF"/>
              </w:rPr>
              <w:t>rs</w:t>
            </w:r>
          </w:p>
          <w:p w14:paraId="2501FF72" w14:textId="77777777" w:rsidR="002A7DD7" w:rsidRPr="002D1DD7" w:rsidRDefault="002A7DD7" w:rsidP="002A7DD7">
            <w:pPr>
              <w:jc w:val="center"/>
              <w:rPr>
                <w:rFonts w:ascii="Arial" w:hAnsi="Arial" w:cs="Arial"/>
                <w:sz w:val="12"/>
                <w:szCs w:val="12"/>
              </w:rPr>
            </w:pPr>
          </w:p>
        </w:tc>
        <w:tc>
          <w:tcPr>
            <w:tcW w:w="1717" w:type="dxa"/>
            <w:tcBorders>
              <w:top w:val="single" w:sz="12" w:space="0" w:color="auto"/>
              <w:bottom w:val="single" w:sz="12" w:space="0" w:color="auto"/>
            </w:tcBorders>
          </w:tcPr>
          <w:p w14:paraId="58B181C2"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NCT02691793  </w:t>
            </w:r>
          </w:p>
        </w:tc>
        <w:tc>
          <w:tcPr>
            <w:tcW w:w="2166" w:type="dxa"/>
            <w:tcBorders>
              <w:top w:val="single" w:sz="12" w:space="0" w:color="auto"/>
              <w:bottom w:val="single" w:sz="12" w:space="0" w:color="auto"/>
            </w:tcBorders>
          </w:tcPr>
          <w:p w14:paraId="2CCBD9C4" w14:textId="77777777" w:rsidR="002A7DD7" w:rsidRPr="002D1DD7" w:rsidRDefault="002A7DD7" w:rsidP="002A7DD7">
            <w:pPr>
              <w:rPr>
                <w:rFonts w:ascii="Arial" w:hAnsi="Arial" w:cs="Arial"/>
                <w:b/>
                <w:sz w:val="12"/>
                <w:szCs w:val="12"/>
              </w:rPr>
            </w:pPr>
            <w:r w:rsidRPr="002D1DD7">
              <w:rPr>
                <w:rFonts w:ascii="Arial" w:hAnsi="Arial" w:cs="Arial"/>
                <w:b/>
                <w:sz w:val="12"/>
                <w:szCs w:val="12"/>
              </w:rPr>
              <w:t>Primary:</w:t>
            </w:r>
          </w:p>
          <w:p w14:paraId="236DEDC0" w14:textId="77777777" w:rsidR="002A7DD7" w:rsidRPr="002D1DD7" w:rsidRDefault="002A7DD7" w:rsidP="009A66EC">
            <w:pPr>
              <w:pStyle w:val="ListParagraph"/>
              <w:numPr>
                <w:ilvl w:val="0"/>
                <w:numId w:val="21"/>
              </w:numPr>
              <w:spacing w:before="0" w:after="0"/>
              <w:rPr>
                <w:rFonts w:ascii="Arial" w:hAnsi="Arial" w:cs="Arial"/>
                <w:sz w:val="12"/>
                <w:szCs w:val="12"/>
              </w:rPr>
            </w:pPr>
            <w:r w:rsidRPr="002D1DD7">
              <w:rPr>
                <w:rFonts w:ascii="Arial" w:hAnsi="Arial" w:cs="Arial"/>
                <w:sz w:val="12"/>
                <w:szCs w:val="12"/>
              </w:rPr>
              <w:t>PFS (24 months)</w:t>
            </w:r>
          </w:p>
          <w:p w14:paraId="4B46A568" w14:textId="77777777" w:rsidR="002A7DD7" w:rsidRPr="002D1DD7" w:rsidRDefault="002A7DD7" w:rsidP="002A7DD7">
            <w:pPr>
              <w:rPr>
                <w:rFonts w:ascii="Arial" w:hAnsi="Arial" w:cs="Arial"/>
                <w:sz w:val="12"/>
                <w:szCs w:val="12"/>
              </w:rPr>
            </w:pPr>
          </w:p>
          <w:p w14:paraId="70446BA2"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0BE2126D" w14:textId="77777777" w:rsidR="002A7DD7" w:rsidRPr="002D1DD7" w:rsidRDefault="002A7DD7" w:rsidP="009A66EC">
            <w:pPr>
              <w:pStyle w:val="ListParagraph"/>
              <w:numPr>
                <w:ilvl w:val="0"/>
                <w:numId w:val="22"/>
              </w:numPr>
              <w:spacing w:before="0" w:after="0"/>
              <w:rPr>
                <w:rFonts w:ascii="Arial" w:hAnsi="Arial" w:cs="Arial"/>
                <w:sz w:val="12"/>
                <w:szCs w:val="12"/>
              </w:rPr>
            </w:pPr>
            <w:r w:rsidRPr="002D1DD7">
              <w:rPr>
                <w:rFonts w:ascii="Arial" w:hAnsi="Arial" w:cs="Arial"/>
                <w:sz w:val="12"/>
                <w:szCs w:val="12"/>
              </w:rPr>
              <w:t>ORR (24 months)</w:t>
            </w:r>
          </w:p>
          <w:p w14:paraId="7AE99AB6" w14:textId="77777777" w:rsidR="002A7DD7" w:rsidRPr="002D1DD7" w:rsidRDefault="002A7DD7" w:rsidP="009A66EC">
            <w:pPr>
              <w:pStyle w:val="ListParagraph"/>
              <w:numPr>
                <w:ilvl w:val="0"/>
                <w:numId w:val="22"/>
              </w:numPr>
              <w:spacing w:before="0" w:after="0"/>
              <w:rPr>
                <w:rFonts w:ascii="Arial" w:hAnsi="Arial" w:cs="Arial"/>
                <w:sz w:val="12"/>
                <w:szCs w:val="12"/>
              </w:rPr>
            </w:pPr>
            <w:r w:rsidRPr="002D1DD7">
              <w:rPr>
                <w:rFonts w:ascii="Arial" w:hAnsi="Arial" w:cs="Arial"/>
                <w:sz w:val="12"/>
                <w:szCs w:val="12"/>
              </w:rPr>
              <w:t>TTP (24 months)</w:t>
            </w:r>
          </w:p>
          <w:p w14:paraId="6EE14461" w14:textId="77777777" w:rsidR="002A7DD7" w:rsidRPr="002D1DD7" w:rsidRDefault="002A7DD7" w:rsidP="009A66EC">
            <w:pPr>
              <w:pStyle w:val="ListParagraph"/>
              <w:numPr>
                <w:ilvl w:val="0"/>
                <w:numId w:val="22"/>
              </w:numPr>
              <w:spacing w:before="0" w:after="0"/>
              <w:rPr>
                <w:rFonts w:ascii="Arial" w:hAnsi="Arial" w:cs="Arial"/>
                <w:sz w:val="12"/>
                <w:szCs w:val="12"/>
              </w:rPr>
            </w:pPr>
            <w:r w:rsidRPr="002D1DD7">
              <w:rPr>
                <w:rFonts w:ascii="Arial" w:hAnsi="Arial" w:cs="Arial"/>
                <w:sz w:val="12"/>
                <w:szCs w:val="12"/>
              </w:rPr>
              <w:t>OS (24 months)</w:t>
            </w:r>
          </w:p>
          <w:p w14:paraId="53093EA3" w14:textId="77777777" w:rsidR="002A7DD7" w:rsidRPr="002D1DD7" w:rsidRDefault="002A7DD7" w:rsidP="009A66EC">
            <w:pPr>
              <w:pStyle w:val="ListParagraph"/>
              <w:numPr>
                <w:ilvl w:val="0"/>
                <w:numId w:val="22"/>
              </w:numPr>
              <w:spacing w:before="0" w:after="0"/>
              <w:rPr>
                <w:rFonts w:ascii="Arial" w:hAnsi="Arial" w:cs="Arial"/>
                <w:sz w:val="12"/>
                <w:szCs w:val="12"/>
              </w:rPr>
            </w:pPr>
            <w:r w:rsidRPr="002D1DD7">
              <w:rPr>
                <w:rFonts w:ascii="Arial" w:hAnsi="Arial" w:cs="Arial"/>
                <w:sz w:val="12"/>
                <w:szCs w:val="12"/>
              </w:rPr>
              <w:t>Number of subjects with AE (24 months)</w:t>
            </w:r>
          </w:p>
        </w:tc>
        <w:tc>
          <w:tcPr>
            <w:tcW w:w="2213" w:type="dxa"/>
            <w:tcBorders>
              <w:top w:val="single" w:sz="12" w:space="0" w:color="auto"/>
              <w:bottom w:val="single" w:sz="12" w:space="0" w:color="auto"/>
            </w:tcBorders>
          </w:tcPr>
          <w:p w14:paraId="24B4E7BB" w14:textId="5E13B7A4" w:rsidR="002A7DD7" w:rsidRPr="002D1DD7" w:rsidRDefault="002A7DD7" w:rsidP="002A7DD7">
            <w:pPr>
              <w:rPr>
                <w:rFonts w:ascii="Arial" w:hAnsi="Arial" w:cs="Arial"/>
                <w:sz w:val="12"/>
                <w:szCs w:val="12"/>
              </w:rPr>
            </w:pPr>
            <w:r w:rsidRPr="002D1DD7">
              <w:rPr>
                <w:rFonts w:ascii="Arial" w:hAnsi="Arial" w:cs="Arial"/>
                <w:sz w:val="12"/>
                <w:szCs w:val="12"/>
              </w:rPr>
              <w:t>Design: Phase 4</w:t>
            </w:r>
            <w:r w:rsidR="000A06F7" w:rsidRPr="002D1DD7">
              <w:rPr>
                <w:rFonts w:ascii="Arial" w:hAnsi="Arial" w:cs="Arial"/>
                <w:sz w:val="12"/>
                <w:szCs w:val="12"/>
              </w:rPr>
              <w:t xml:space="preserve"> </w:t>
            </w:r>
          </w:p>
          <w:p w14:paraId="4B2AB5B8"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25 participants</w:t>
            </w:r>
          </w:p>
          <w:p w14:paraId="0E91B510" w14:textId="1247334E"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DF7AF0" w:rsidRPr="002D1DD7">
              <w:rPr>
                <w:rFonts w:ascii="Arial" w:hAnsi="Arial" w:cs="Arial"/>
                <w:sz w:val="12"/>
                <w:szCs w:val="12"/>
              </w:rPr>
              <w:t>N</w:t>
            </w:r>
            <w:r w:rsidRPr="002D1DD7">
              <w:rPr>
                <w:rFonts w:ascii="Arial" w:hAnsi="Arial" w:cs="Arial"/>
                <w:sz w:val="12"/>
                <w:szCs w:val="12"/>
              </w:rPr>
              <w:t>on-</w:t>
            </w:r>
            <w:r w:rsidR="00DF7AF0" w:rsidRPr="002D1DD7">
              <w:rPr>
                <w:rFonts w:ascii="Arial" w:hAnsi="Arial" w:cs="Arial"/>
                <w:sz w:val="12"/>
                <w:szCs w:val="12"/>
              </w:rPr>
              <w:t>R</w:t>
            </w:r>
            <w:r w:rsidRPr="002D1DD7">
              <w:rPr>
                <w:rFonts w:ascii="Arial" w:hAnsi="Arial" w:cs="Arial"/>
                <w:sz w:val="12"/>
                <w:szCs w:val="12"/>
              </w:rPr>
              <w:t>andomi</w:t>
            </w:r>
            <w:r w:rsidR="00DF7AF0" w:rsidRPr="002D1DD7">
              <w:rPr>
                <w:rFonts w:ascii="Arial" w:hAnsi="Arial" w:cs="Arial"/>
                <w:sz w:val="12"/>
                <w:szCs w:val="12"/>
              </w:rPr>
              <w:t>s</w:t>
            </w:r>
            <w:r w:rsidRPr="002D1DD7">
              <w:rPr>
                <w:rFonts w:ascii="Arial" w:hAnsi="Arial" w:cs="Arial"/>
                <w:sz w:val="12"/>
                <w:szCs w:val="12"/>
              </w:rPr>
              <w:t>ed</w:t>
            </w:r>
          </w:p>
          <w:p w14:paraId="06DBD87E"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20 November 2017</w:t>
            </w:r>
          </w:p>
          <w:p w14:paraId="3B0D1DA9"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December 2018</w:t>
            </w:r>
          </w:p>
          <w:p w14:paraId="0137A59B"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December 2018</w:t>
            </w:r>
          </w:p>
        </w:tc>
        <w:tc>
          <w:tcPr>
            <w:tcW w:w="2642" w:type="dxa"/>
            <w:tcBorders>
              <w:top w:val="single" w:sz="12" w:space="0" w:color="auto"/>
              <w:bottom w:val="single" w:sz="12" w:space="0" w:color="auto"/>
            </w:tcBorders>
          </w:tcPr>
          <w:p w14:paraId="4ED8CA2E" w14:textId="533E80BD"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&gt;=19 years with RET fusion positive or FGFR2 fusion/other FGFR mutation refractory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and/or specific sensitivity to Sunitinib by Avatar scan that has progressed following standard therapy or that has not responded to standard therapy or for which there is no standard therapy.</w:t>
            </w:r>
          </w:p>
        </w:tc>
        <w:tc>
          <w:tcPr>
            <w:tcW w:w="2114" w:type="dxa"/>
            <w:tcBorders>
              <w:top w:val="single" w:sz="12" w:space="0" w:color="auto"/>
              <w:bottom w:val="single" w:sz="12" w:space="0" w:color="auto"/>
              <w:right w:val="single" w:sz="12" w:space="0" w:color="auto"/>
            </w:tcBorders>
          </w:tcPr>
          <w:p w14:paraId="6DD11A41"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317CE230" w14:textId="77777777" w:rsidTr="009126F0">
        <w:trPr>
          <w:trHeight w:val="1079"/>
        </w:trPr>
        <w:tc>
          <w:tcPr>
            <w:tcW w:w="1103" w:type="dxa"/>
            <w:vMerge/>
            <w:tcBorders>
              <w:left w:val="single" w:sz="12" w:space="0" w:color="auto"/>
            </w:tcBorders>
          </w:tcPr>
          <w:p w14:paraId="0369934E"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0444CF89"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Rare Tumours</w:t>
            </w:r>
          </w:p>
        </w:tc>
        <w:tc>
          <w:tcPr>
            <w:tcW w:w="1717" w:type="dxa"/>
            <w:tcBorders>
              <w:top w:val="single" w:sz="12" w:space="0" w:color="auto"/>
              <w:bottom w:val="single" w:sz="12" w:space="0" w:color="auto"/>
            </w:tcBorders>
          </w:tcPr>
          <w:p w14:paraId="5EDA771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NCT01396408  </w:t>
            </w:r>
          </w:p>
        </w:tc>
        <w:tc>
          <w:tcPr>
            <w:tcW w:w="2166" w:type="dxa"/>
            <w:tcBorders>
              <w:top w:val="single" w:sz="12" w:space="0" w:color="auto"/>
              <w:bottom w:val="single" w:sz="12" w:space="0" w:color="auto"/>
            </w:tcBorders>
          </w:tcPr>
          <w:p w14:paraId="7E17694B"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632F6E6F" w14:textId="77777777" w:rsidR="002A7DD7" w:rsidRPr="002D1DD7" w:rsidRDefault="002A7DD7" w:rsidP="009A66EC">
            <w:pPr>
              <w:pStyle w:val="ListParagraph"/>
              <w:numPr>
                <w:ilvl w:val="0"/>
                <w:numId w:val="23"/>
              </w:numPr>
              <w:spacing w:before="0" w:after="0"/>
              <w:rPr>
                <w:rFonts w:ascii="Arial" w:hAnsi="Arial" w:cs="Arial"/>
                <w:b/>
                <w:sz w:val="12"/>
                <w:szCs w:val="12"/>
              </w:rPr>
            </w:pPr>
            <w:r w:rsidRPr="002D1DD7">
              <w:rPr>
                <w:rFonts w:ascii="Arial" w:hAnsi="Arial" w:cs="Arial"/>
                <w:sz w:val="12"/>
                <w:szCs w:val="12"/>
              </w:rPr>
              <w:t>OR (every 4 weeks)</w:t>
            </w:r>
          </w:p>
          <w:p w14:paraId="2DAC92D5" w14:textId="77777777" w:rsidR="002A7DD7" w:rsidRPr="002D1DD7" w:rsidRDefault="002A7DD7" w:rsidP="002A7DD7">
            <w:pPr>
              <w:rPr>
                <w:rFonts w:ascii="Arial" w:hAnsi="Arial" w:cs="Arial"/>
                <w:b/>
                <w:sz w:val="12"/>
                <w:szCs w:val="12"/>
              </w:rPr>
            </w:pPr>
          </w:p>
          <w:p w14:paraId="5089CE8B"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51C58A2E" w14:textId="77777777" w:rsidR="002A7DD7" w:rsidRPr="003A7BD0" w:rsidRDefault="002A7DD7" w:rsidP="009A66EC">
            <w:pPr>
              <w:pStyle w:val="ListParagraph"/>
              <w:numPr>
                <w:ilvl w:val="0"/>
                <w:numId w:val="24"/>
              </w:numPr>
              <w:spacing w:before="0" w:after="0"/>
              <w:rPr>
                <w:rFonts w:ascii="Arial" w:hAnsi="Arial" w:cs="Arial"/>
                <w:sz w:val="12"/>
                <w:szCs w:val="12"/>
              </w:rPr>
            </w:pPr>
            <w:r w:rsidRPr="003A7BD0">
              <w:rPr>
                <w:rFonts w:ascii="Arial" w:hAnsi="Arial" w:cs="Arial"/>
                <w:sz w:val="12"/>
                <w:szCs w:val="12"/>
              </w:rPr>
              <w:t>DoR/TTP/PFS/OS (48 months)</w:t>
            </w:r>
          </w:p>
          <w:p w14:paraId="2252DED4" w14:textId="77777777" w:rsidR="002A7DD7" w:rsidRPr="002D1DD7" w:rsidRDefault="002A7DD7" w:rsidP="009A66EC">
            <w:pPr>
              <w:pStyle w:val="ListParagraph"/>
              <w:numPr>
                <w:ilvl w:val="0"/>
                <w:numId w:val="24"/>
              </w:numPr>
              <w:spacing w:before="0" w:after="0"/>
              <w:rPr>
                <w:rFonts w:ascii="Arial" w:hAnsi="Arial" w:cs="Arial"/>
                <w:sz w:val="12"/>
                <w:szCs w:val="12"/>
              </w:rPr>
            </w:pPr>
            <w:r w:rsidRPr="002D1DD7">
              <w:rPr>
                <w:rFonts w:ascii="Arial" w:hAnsi="Arial" w:cs="Arial"/>
                <w:sz w:val="12"/>
                <w:szCs w:val="12"/>
              </w:rPr>
              <w:t>Translational research (48 months)</w:t>
            </w:r>
          </w:p>
          <w:p w14:paraId="603B35DE" w14:textId="77777777" w:rsidR="002A7DD7" w:rsidRPr="002D1DD7" w:rsidRDefault="002A7DD7" w:rsidP="009A66EC">
            <w:pPr>
              <w:pStyle w:val="ListParagraph"/>
              <w:numPr>
                <w:ilvl w:val="0"/>
                <w:numId w:val="24"/>
              </w:numPr>
              <w:spacing w:before="0" w:after="0"/>
              <w:rPr>
                <w:rFonts w:ascii="Arial" w:hAnsi="Arial" w:cs="Arial"/>
                <w:sz w:val="12"/>
                <w:szCs w:val="12"/>
              </w:rPr>
            </w:pPr>
            <w:r w:rsidRPr="002D1DD7">
              <w:rPr>
                <w:rFonts w:ascii="Arial" w:hAnsi="Arial" w:cs="Arial"/>
                <w:sz w:val="12"/>
                <w:szCs w:val="12"/>
              </w:rPr>
              <w:t>Safety (daily up to 4 weeks after treatment)</w:t>
            </w:r>
          </w:p>
        </w:tc>
        <w:tc>
          <w:tcPr>
            <w:tcW w:w="2213" w:type="dxa"/>
            <w:tcBorders>
              <w:top w:val="single" w:sz="12" w:space="0" w:color="auto"/>
              <w:bottom w:val="single" w:sz="12" w:space="0" w:color="auto"/>
            </w:tcBorders>
          </w:tcPr>
          <w:p w14:paraId="5A8E7118" w14:textId="0B2B3C85"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w:t>
            </w:r>
            <w:r w:rsidR="00752426" w:rsidRPr="002D1DD7">
              <w:rPr>
                <w:rFonts w:ascii="Arial" w:hAnsi="Arial" w:cs="Arial"/>
                <w:sz w:val="12"/>
                <w:szCs w:val="12"/>
              </w:rPr>
              <w:t>II</w:t>
            </w:r>
            <w:r w:rsidR="000A06F7" w:rsidRPr="002D1DD7">
              <w:rPr>
                <w:rFonts w:ascii="Arial" w:hAnsi="Arial" w:cs="Arial"/>
                <w:sz w:val="12"/>
                <w:szCs w:val="12"/>
              </w:rPr>
              <w:t xml:space="preserve"> </w:t>
            </w:r>
          </w:p>
          <w:p w14:paraId="259591B1"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137</w:t>
            </w:r>
          </w:p>
          <w:p w14:paraId="76030352" w14:textId="20C95F94"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DF7AF0" w:rsidRPr="002D1DD7">
              <w:rPr>
                <w:rFonts w:ascii="Arial" w:hAnsi="Arial" w:cs="Arial"/>
                <w:sz w:val="12"/>
                <w:szCs w:val="12"/>
              </w:rPr>
              <w:t>N</w:t>
            </w:r>
            <w:r w:rsidRPr="002D1DD7">
              <w:rPr>
                <w:rFonts w:ascii="Arial" w:hAnsi="Arial" w:cs="Arial"/>
                <w:sz w:val="12"/>
                <w:szCs w:val="12"/>
              </w:rPr>
              <w:t>on-randomi</w:t>
            </w:r>
            <w:r w:rsidR="00DF7AF0" w:rsidRPr="002D1DD7">
              <w:rPr>
                <w:rFonts w:ascii="Arial" w:hAnsi="Arial" w:cs="Arial"/>
                <w:sz w:val="12"/>
                <w:szCs w:val="12"/>
              </w:rPr>
              <w:t>s</w:t>
            </w:r>
            <w:r w:rsidRPr="002D1DD7">
              <w:rPr>
                <w:rFonts w:ascii="Arial" w:hAnsi="Arial" w:cs="Arial"/>
                <w:sz w:val="12"/>
                <w:szCs w:val="12"/>
              </w:rPr>
              <w:t xml:space="preserve">ed </w:t>
            </w:r>
          </w:p>
          <w:p w14:paraId="52C14289"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14 July 2011</w:t>
            </w:r>
          </w:p>
          <w:p w14:paraId="5B2272AF" w14:textId="77777777" w:rsidR="002A7DD7" w:rsidRPr="002D1DD7" w:rsidRDefault="002A7DD7" w:rsidP="002A7DD7">
            <w:pPr>
              <w:rPr>
                <w:rFonts w:ascii="Arial" w:hAnsi="Arial" w:cs="Arial"/>
                <w:sz w:val="12"/>
                <w:szCs w:val="12"/>
              </w:rPr>
            </w:pPr>
            <w:r w:rsidRPr="002D1DD7">
              <w:rPr>
                <w:rFonts w:ascii="Arial" w:hAnsi="Arial" w:cs="Arial"/>
                <w:sz w:val="12"/>
                <w:szCs w:val="12"/>
              </w:rPr>
              <w:t>Primary completion date: July 2015</w:t>
            </w:r>
          </w:p>
          <w:p w14:paraId="53969983" w14:textId="77777777" w:rsidR="002A7DD7" w:rsidRPr="002D1DD7" w:rsidRDefault="002A7DD7" w:rsidP="002A7DD7">
            <w:pPr>
              <w:rPr>
                <w:rFonts w:ascii="Arial" w:hAnsi="Arial" w:cs="Arial"/>
                <w:sz w:val="12"/>
                <w:szCs w:val="12"/>
              </w:rPr>
            </w:pPr>
            <w:r w:rsidRPr="002D1DD7">
              <w:rPr>
                <w:rFonts w:ascii="Arial" w:hAnsi="Arial" w:cs="Arial"/>
                <w:sz w:val="12"/>
                <w:szCs w:val="12"/>
              </w:rPr>
              <w:t>Study completion date: December 2019</w:t>
            </w:r>
          </w:p>
        </w:tc>
        <w:tc>
          <w:tcPr>
            <w:tcW w:w="2642" w:type="dxa"/>
            <w:tcBorders>
              <w:top w:val="single" w:sz="12" w:space="0" w:color="auto"/>
              <w:bottom w:val="single" w:sz="12" w:space="0" w:color="auto"/>
            </w:tcBorders>
          </w:tcPr>
          <w:p w14:paraId="538C0CAE" w14:textId="1518A8B8"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&gt;=16 years with histologically or cytologically confirmed advanced rare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w:t>
            </w:r>
          </w:p>
          <w:p w14:paraId="3ECF6419" w14:textId="77777777"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Vascular sarcomas</w:t>
            </w:r>
          </w:p>
          <w:p w14:paraId="353FFAB5" w14:textId="77777777"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Clear cell ovary carcinomas</w:t>
            </w:r>
          </w:p>
          <w:p w14:paraId="7281D39C" w14:textId="77777777"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Thyroid carcinoma</w:t>
            </w:r>
          </w:p>
          <w:p w14:paraId="799FEA0D" w14:textId="11DB366F"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Neuro-endocrine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w:t>
            </w:r>
          </w:p>
          <w:p w14:paraId="06E2E199" w14:textId="77777777"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Adrenocorticocarcinoma</w:t>
            </w:r>
          </w:p>
          <w:p w14:paraId="48F55B36" w14:textId="77777777"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Thymic carcinoma</w:t>
            </w:r>
          </w:p>
          <w:p w14:paraId="07B8FC0A" w14:textId="77777777" w:rsidR="002A7DD7" w:rsidRPr="002D1DD7" w:rsidRDefault="002A7DD7" w:rsidP="009A66EC">
            <w:pPr>
              <w:pStyle w:val="ListParagraph"/>
              <w:numPr>
                <w:ilvl w:val="0"/>
                <w:numId w:val="25"/>
              </w:numPr>
              <w:spacing w:before="0" w:after="0"/>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Hepatocellular carcinoma</w:t>
            </w:r>
          </w:p>
        </w:tc>
        <w:tc>
          <w:tcPr>
            <w:tcW w:w="2114" w:type="dxa"/>
            <w:tcBorders>
              <w:top w:val="single" w:sz="12" w:space="0" w:color="auto"/>
              <w:bottom w:val="single" w:sz="12" w:space="0" w:color="auto"/>
              <w:right w:val="single" w:sz="12" w:space="0" w:color="auto"/>
            </w:tcBorders>
          </w:tcPr>
          <w:p w14:paraId="5EA9C1CE"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3765ABF2" w14:textId="77777777" w:rsidTr="009126F0">
        <w:trPr>
          <w:trHeight w:val="1079"/>
        </w:trPr>
        <w:tc>
          <w:tcPr>
            <w:tcW w:w="1103" w:type="dxa"/>
            <w:vMerge w:val="restart"/>
            <w:tcBorders>
              <w:top w:val="single" w:sz="12" w:space="0" w:color="auto"/>
              <w:left w:val="single" w:sz="12" w:space="0" w:color="auto"/>
            </w:tcBorders>
          </w:tcPr>
          <w:p w14:paraId="4168151D" w14:textId="77777777" w:rsidR="002A7DD7" w:rsidRPr="002D1DD7" w:rsidRDefault="002A7DD7" w:rsidP="002A7DD7">
            <w:pPr>
              <w:rPr>
                <w:rFonts w:ascii="Arial" w:hAnsi="Arial" w:cs="Arial"/>
                <w:b/>
                <w:color w:val="000000"/>
                <w:sz w:val="12"/>
                <w:szCs w:val="12"/>
                <w:shd w:val="clear" w:color="auto" w:fill="FFFFFF"/>
              </w:rPr>
            </w:pPr>
            <w:r w:rsidRPr="002D1DD7">
              <w:rPr>
                <w:rFonts w:ascii="Arial" w:hAnsi="Arial" w:cs="Arial"/>
                <w:b/>
                <w:color w:val="000000"/>
                <w:sz w:val="12"/>
                <w:szCs w:val="12"/>
                <w:shd w:val="clear" w:color="auto" w:fill="FFFFFF"/>
              </w:rPr>
              <w:t>Olaparib</w:t>
            </w:r>
          </w:p>
        </w:tc>
        <w:tc>
          <w:tcPr>
            <w:tcW w:w="1497" w:type="dxa"/>
            <w:tcBorders>
              <w:top w:val="single" w:sz="12" w:space="0" w:color="auto"/>
              <w:bottom w:val="single" w:sz="12" w:space="0" w:color="auto"/>
            </w:tcBorders>
          </w:tcPr>
          <w:p w14:paraId="50FEC6A3"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(unresectable and/or metastatic) cancers</w:t>
            </w:r>
          </w:p>
        </w:tc>
        <w:tc>
          <w:tcPr>
            <w:tcW w:w="1717" w:type="dxa"/>
            <w:tcBorders>
              <w:top w:val="single" w:sz="12" w:space="0" w:color="auto"/>
              <w:bottom w:val="single" w:sz="12" w:space="0" w:color="auto"/>
            </w:tcBorders>
          </w:tcPr>
          <w:p w14:paraId="59173188"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NCT03742895  </w:t>
            </w:r>
          </w:p>
        </w:tc>
        <w:tc>
          <w:tcPr>
            <w:tcW w:w="2166" w:type="dxa"/>
            <w:tcBorders>
              <w:top w:val="single" w:sz="12" w:space="0" w:color="auto"/>
              <w:bottom w:val="single" w:sz="12" w:space="0" w:color="auto"/>
            </w:tcBorders>
          </w:tcPr>
          <w:p w14:paraId="69D411D5"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7BD1A02" w14:textId="77777777" w:rsidR="002A7DD7" w:rsidRPr="002D1DD7" w:rsidRDefault="002A7DD7" w:rsidP="009A66EC">
            <w:pPr>
              <w:pStyle w:val="ListParagraph"/>
              <w:numPr>
                <w:ilvl w:val="0"/>
                <w:numId w:val="26"/>
              </w:numPr>
              <w:spacing w:before="0" w:after="0"/>
              <w:rPr>
                <w:rFonts w:ascii="Arial" w:hAnsi="Arial" w:cs="Arial"/>
                <w:sz w:val="12"/>
                <w:szCs w:val="12"/>
              </w:rPr>
            </w:pPr>
            <w:r w:rsidRPr="002D1DD7">
              <w:rPr>
                <w:rFonts w:ascii="Arial" w:hAnsi="Arial" w:cs="Arial"/>
                <w:sz w:val="12"/>
                <w:szCs w:val="12"/>
              </w:rPr>
              <w:t>ORR (up to 53 months)</w:t>
            </w:r>
          </w:p>
          <w:p w14:paraId="7C9B7B57" w14:textId="77777777" w:rsidR="002A7DD7" w:rsidRPr="002D1DD7" w:rsidRDefault="002A7DD7" w:rsidP="002A7DD7">
            <w:pPr>
              <w:rPr>
                <w:rFonts w:ascii="Arial" w:hAnsi="Arial" w:cs="Arial"/>
                <w:b/>
                <w:sz w:val="12"/>
                <w:szCs w:val="12"/>
              </w:rPr>
            </w:pPr>
          </w:p>
          <w:p w14:paraId="73D7B6C8"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358C125D" w14:textId="77777777" w:rsidR="002A7DD7" w:rsidRPr="002D1DD7" w:rsidRDefault="002A7DD7" w:rsidP="009A66EC">
            <w:pPr>
              <w:pStyle w:val="ListParagraph"/>
              <w:numPr>
                <w:ilvl w:val="0"/>
                <w:numId w:val="27"/>
              </w:numPr>
              <w:spacing w:before="0" w:after="0"/>
              <w:rPr>
                <w:rFonts w:ascii="Arial" w:hAnsi="Arial" w:cs="Arial"/>
                <w:b/>
                <w:sz w:val="12"/>
                <w:szCs w:val="12"/>
              </w:rPr>
            </w:pPr>
            <w:r w:rsidRPr="002D1DD7">
              <w:rPr>
                <w:rFonts w:ascii="Arial" w:hAnsi="Arial" w:cs="Arial"/>
                <w:sz w:val="12"/>
                <w:szCs w:val="12"/>
              </w:rPr>
              <w:t>DOR (up to 53 months)</w:t>
            </w:r>
          </w:p>
          <w:p w14:paraId="59A94F6D" w14:textId="77777777" w:rsidR="002A7DD7" w:rsidRPr="002D1DD7" w:rsidRDefault="002A7DD7" w:rsidP="009A66EC">
            <w:pPr>
              <w:pStyle w:val="ListParagraph"/>
              <w:numPr>
                <w:ilvl w:val="0"/>
                <w:numId w:val="27"/>
              </w:numPr>
              <w:spacing w:before="0" w:after="0"/>
              <w:rPr>
                <w:rFonts w:ascii="Arial" w:hAnsi="Arial" w:cs="Arial"/>
                <w:b/>
                <w:sz w:val="12"/>
                <w:szCs w:val="12"/>
              </w:rPr>
            </w:pPr>
            <w:r w:rsidRPr="002D1DD7">
              <w:rPr>
                <w:rFonts w:ascii="Arial" w:hAnsi="Arial" w:cs="Arial"/>
                <w:sz w:val="12"/>
                <w:szCs w:val="12"/>
              </w:rPr>
              <w:t>OS (up to 53 months)</w:t>
            </w:r>
          </w:p>
          <w:p w14:paraId="4F58FA0A" w14:textId="77777777" w:rsidR="002A7DD7" w:rsidRPr="002D1DD7" w:rsidRDefault="002A7DD7" w:rsidP="009A66EC">
            <w:pPr>
              <w:pStyle w:val="ListParagraph"/>
              <w:numPr>
                <w:ilvl w:val="0"/>
                <w:numId w:val="27"/>
              </w:numPr>
              <w:spacing w:before="0" w:after="0"/>
              <w:rPr>
                <w:rFonts w:ascii="Arial" w:hAnsi="Arial" w:cs="Arial"/>
                <w:b/>
                <w:sz w:val="12"/>
                <w:szCs w:val="12"/>
              </w:rPr>
            </w:pPr>
            <w:r w:rsidRPr="002D1DD7">
              <w:rPr>
                <w:rFonts w:ascii="Arial" w:hAnsi="Arial" w:cs="Arial"/>
                <w:sz w:val="12"/>
                <w:szCs w:val="12"/>
              </w:rPr>
              <w:t>PFS (up to 53 months)</w:t>
            </w:r>
          </w:p>
          <w:p w14:paraId="237D2BA0" w14:textId="77777777" w:rsidR="002A7DD7" w:rsidRPr="002D1DD7" w:rsidRDefault="002A7DD7" w:rsidP="009A66EC">
            <w:pPr>
              <w:pStyle w:val="ListParagraph"/>
              <w:numPr>
                <w:ilvl w:val="0"/>
                <w:numId w:val="27"/>
              </w:numPr>
              <w:spacing w:before="0" w:after="0"/>
              <w:rPr>
                <w:rFonts w:ascii="Arial" w:hAnsi="Arial" w:cs="Arial"/>
                <w:b/>
                <w:sz w:val="12"/>
                <w:szCs w:val="12"/>
              </w:rPr>
            </w:pPr>
            <w:r w:rsidRPr="002D1DD7">
              <w:rPr>
                <w:rFonts w:ascii="Arial" w:hAnsi="Arial" w:cs="Arial"/>
                <w:sz w:val="12"/>
                <w:szCs w:val="12"/>
              </w:rPr>
              <w:t>AEs (up to 53 months)</w:t>
            </w:r>
          </w:p>
          <w:p w14:paraId="4507D7A9" w14:textId="4F2748F5" w:rsidR="002A7DD7" w:rsidRPr="002D1DD7" w:rsidRDefault="002A7DD7" w:rsidP="009A66EC">
            <w:pPr>
              <w:pStyle w:val="ListParagraph"/>
              <w:numPr>
                <w:ilvl w:val="0"/>
                <w:numId w:val="27"/>
              </w:numPr>
              <w:spacing w:before="0" w:after="0"/>
              <w:rPr>
                <w:rFonts w:ascii="Arial" w:hAnsi="Arial" w:cs="Arial"/>
                <w:b/>
                <w:sz w:val="12"/>
                <w:szCs w:val="12"/>
              </w:rPr>
            </w:pPr>
            <w:r w:rsidRPr="002D1DD7">
              <w:rPr>
                <w:rFonts w:ascii="Arial" w:hAnsi="Arial" w:cs="Arial"/>
                <w:sz w:val="12"/>
                <w:szCs w:val="12"/>
              </w:rPr>
              <w:t>Time to earliest progression by cancer antigen-125 (up to 53 months)</w:t>
            </w:r>
          </w:p>
        </w:tc>
        <w:tc>
          <w:tcPr>
            <w:tcW w:w="2213" w:type="dxa"/>
            <w:tcBorders>
              <w:top w:val="single" w:sz="12" w:space="0" w:color="auto"/>
              <w:bottom w:val="single" w:sz="12" w:space="0" w:color="auto"/>
            </w:tcBorders>
          </w:tcPr>
          <w:p w14:paraId="58E93D5E" w14:textId="578BE61C"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w:t>
            </w:r>
            <w:r w:rsidR="00752426" w:rsidRPr="002D1DD7">
              <w:rPr>
                <w:rFonts w:ascii="Arial" w:hAnsi="Arial" w:cs="Arial"/>
                <w:sz w:val="12"/>
                <w:szCs w:val="12"/>
              </w:rPr>
              <w:t>II</w:t>
            </w:r>
            <w:r w:rsidR="00787BBC" w:rsidRPr="002D1DD7">
              <w:rPr>
                <w:rFonts w:ascii="Arial" w:hAnsi="Arial" w:cs="Arial"/>
                <w:sz w:val="12"/>
                <w:szCs w:val="12"/>
              </w:rPr>
              <w:t xml:space="preserve"> </w:t>
            </w:r>
          </w:p>
          <w:p w14:paraId="06E42A3A"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370 participants.</w:t>
            </w:r>
          </w:p>
          <w:p w14:paraId="7A3495D5" w14:textId="21A20EFE"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E4367D" w:rsidRPr="002D1DD7">
              <w:rPr>
                <w:rFonts w:ascii="Arial" w:hAnsi="Arial" w:cs="Arial"/>
                <w:sz w:val="12"/>
                <w:szCs w:val="12"/>
              </w:rPr>
              <w:t>N</w:t>
            </w:r>
            <w:r w:rsidRPr="002D1DD7">
              <w:rPr>
                <w:rFonts w:ascii="Arial" w:hAnsi="Arial" w:cs="Arial"/>
                <w:sz w:val="12"/>
                <w:szCs w:val="12"/>
              </w:rPr>
              <w:t>on-</w:t>
            </w:r>
            <w:r w:rsidR="00E4367D" w:rsidRPr="002D1DD7">
              <w:rPr>
                <w:rFonts w:ascii="Arial" w:hAnsi="Arial" w:cs="Arial"/>
                <w:sz w:val="12"/>
                <w:szCs w:val="12"/>
              </w:rPr>
              <w:t>R</w:t>
            </w:r>
            <w:r w:rsidRPr="002D1DD7">
              <w:rPr>
                <w:rFonts w:ascii="Arial" w:hAnsi="Arial" w:cs="Arial"/>
                <w:sz w:val="12"/>
                <w:szCs w:val="12"/>
              </w:rPr>
              <w:t>andomi</w:t>
            </w:r>
            <w:r w:rsidR="00E4367D" w:rsidRPr="002D1DD7">
              <w:rPr>
                <w:rFonts w:ascii="Arial" w:hAnsi="Arial" w:cs="Arial"/>
                <w:sz w:val="12"/>
                <w:szCs w:val="12"/>
              </w:rPr>
              <w:t>s</w:t>
            </w:r>
            <w:r w:rsidRPr="002D1DD7">
              <w:rPr>
                <w:rFonts w:ascii="Arial" w:hAnsi="Arial" w:cs="Arial"/>
                <w:sz w:val="12"/>
                <w:szCs w:val="12"/>
              </w:rPr>
              <w:t xml:space="preserve">ed </w:t>
            </w:r>
          </w:p>
          <w:p w14:paraId="173E6F41"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12 December 2018</w:t>
            </w:r>
          </w:p>
          <w:p w14:paraId="513EDEFD" w14:textId="77777777" w:rsidR="002A7DD7" w:rsidRPr="002D1DD7" w:rsidRDefault="002A7DD7" w:rsidP="002A7DD7">
            <w:pPr>
              <w:rPr>
                <w:rFonts w:ascii="Arial" w:hAnsi="Arial" w:cs="Arial"/>
                <w:sz w:val="12"/>
                <w:szCs w:val="12"/>
              </w:rPr>
            </w:pPr>
            <w:r w:rsidRPr="002D1DD7">
              <w:rPr>
                <w:rFonts w:ascii="Arial" w:hAnsi="Arial" w:cs="Arial"/>
                <w:sz w:val="12"/>
                <w:szCs w:val="12"/>
              </w:rPr>
              <w:t>Primary completion date: 30 April 2023</w:t>
            </w:r>
          </w:p>
          <w:p w14:paraId="73FD6999" w14:textId="77777777" w:rsidR="002A7DD7" w:rsidRPr="002D1DD7" w:rsidRDefault="002A7DD7" w:rsidP="002A7DD7">
            <w:pPr>
              <w:rPr>
                <w:rFonts w:ascii="Arial" w:hAnsi="Arial" w:cs="Arial"/>
                <w:sz w:val="12"/>
                <w:szCs w:val="12"/>
              </w:rPr>
            </w:pPr>
            <w:r w:rsidRPr="002D1DD7">
              <w:rPr>
                <w:rFonts w:ascii="Arial" w:hAnsi="Arial" w:cs="Arial"/>
                <w:sz w:val="12"/>
                <w:szCs w:val="12"/>
              </w:rPr>
              <w:t>Study completion date: 30 April 2023</w:t>
            </w:r>
          </w:p>
        </w:tc>
        <w:tc>
          <w:tcPr>
            <w:tcW w:w="2642" w:type="dxa"/>
            <w:tcBorders>
              <w:top w:val="single" w:sz="12" w:space="0" w:color="auto"/>
              <w:bottom w:val="single" w:sz="12" w:space="0" w:color="auto"/>
            </w:tcBorders>
          </w:tcPr>
          <w:p w14:paraId="5BC8FCAE"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Patients &gt;= 18 years with multiple types of advanced cancer (unresectable and/or metastatic) that: 1) have progressed or been intolerant to standard of care therapy; and 2) are positive for homologous recombination repair mutation (HRRm) or homologous recombination deficiency (HRD).</w:t>
            </w:r>
          </w:p>
        </w:tc>
        <w:tc>
          <w:tcPr>
            <w:tcW w:w="2114" w:type="dxa"/>
            <w:tcBorders>
              <w:top w:val="single" w:sz="12" w:space="0" w:color="auto"/>
              <w:bottom w:val="single" w:sz="12" w:space="0" w:color="auto"/>
              <w:right w:val="single" w:sz="12" w:space="0" w:color="auto"/>
            </w:tcBorders>
          </w:tcPr>
          <w:p w14:paraId="489280D8"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2CE67CF7" w14:textId="77777777" w:rsidTr="009126F0">
        <w:trPr>
          <w:trHeight w:val="1079"/>
        </w:trPr>
        <w:tc>
          <w:tcPr>
            <w:tcW w:w="1103" w:type="dxa"/>
            <w:vMerge/>
            <w:tcBorders>
              <w:left w:val="single" w:sz="12" w:space="0" w:color="auto"/>
            </w:tcBorders>
          </w:tcPr>
          <w:p w14:paraId="528235B6"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685355F1" w14:textId="31B69EA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non-Hodgkin lymphoma, or histiocytic disorders with defects in DNA Damage Repair Genes</w:t>
            </w:r>
          </w:p>
        </w:tc>
        <w:tc>
          <w:tcPr>
            <w:tcW w:w="1717" w:type="dxa"/>
            <w:tcBorders>
              <w:top w:val="single" w:sz="12" w:space="0" w:color="auto"/>
              <w:bottom w:val="single" w:sz="12" w:space="0" w:color="auto"/>
            </w:tcBorders>
          </w:tcPr>
          <w:p w14:paraId="6014DBAF"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NCT03233204</w:t>
            </w:r>
          </w:p>
        </w:tc>
        <w:tc>
          <w:tcPr>
            <w:tcW w:w="2166" w:type="dxa"/>
            <w:tcBorders>
              <w:top w:val="single" w:sz="12" w:space="0" w:color="auto"/>
              <w:bottom w:val="single" w:sz="12" w:space="0" w:color="auto"/>
            </w:tcBorders>
          </w:tcPr>
          <w:p w14:paraId="1B3CC050"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4AA7A95" w14:textId="77777777" w:rsidR="002A7DD7" w:rsidRPr="002D1DD7" w:rsidRDefault="002A7DD7" w:rsidP="009A66EC">
            <w:pPr>
              <w:pStyle w:val="ListParagraph"/>
              <w:numPr>
                <w:ilvl w:val="0"/>
                <w:numId w:val="28"/>
              </w:numPr>
              <w:spacing w:before="0" w:after="0"/>
              <w:rPr>
                <w:rFonts w:ascii="Arial" w:hAnsi="Arial" w:cs="Arial"/>
                <w:sz w:val="12"/>
                <w:szCs w:val="12"/>
              </w:rPr>
            </w:pPr>
            <w:r w:rsidRPr="002D1DD7">
              <w:rPr>
                <w:rFonts w:ascii="Arial" w:hAnsi="Arial" w:cs="Arial"/>
                <w:sz w:val="12"/>
                <w:szCs w:val="12"/>
              </w:rPr>
              <w:t>ORR (up to 4 years)</w:t>
            </w:r>
          </w:p>
          <w:p w14:paraId="1B2D5E7A" w14:textId="77777777" w:rsidR="002A7DD7" w:rsidRPr="002D1DD7" w:rsidRDefault="002A7DD7" w:rsidP="002A7DD7">
            <w:pPr>
              <w:rPr>
                <w:rFonts w:ascii="Arial" w:hAnsi="Arial" w:cs="Arial"/>
                <w:b/>
                <w:sz w:val="12"/>
                <w:szCs w:val="12"/>
              </w:rPr>
            </w:pPr>
          </w:p>
          <w:p w14:paraId="368E3893"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091D3978" w14:textId="77777777" w:rsidR="002A7DD7" w:rsidRPr="002D1DD7" w:rsidRDefault="002A7DD7" w:rsidP="009A66EC">
            <w:pPr>
              <w:pStyle w:val="ListParagraph"/>
              <w:numPr>
                <w:ilvl w:val="0"/>
                <w:numId w:val="29"/>
              </w:numPr>
              <w:spacing w:before="0" w:after="0"/>
              <w:rPr>
                <w:rFonts w:ascii="Arial" w:hAnsi="Arial" w:cs="Arial"/>
                <w:sz w:val="12"/>
                <w:szCs w:val="12"/>
              </w:rPr>
            </w:pPr>
            <w:r w:rsidRPr="002D1DD7">
              <w:rPr>
                <w:rFonts w:ascii="Arial" w:hAnsi="Arial" w:cs="Arial"/>
                <w:sz w:val="12"/>
                <w:szCs w:val="12"/>
              </w:rPr>
              <w:t>PFS (up to 4 years)</w:t>
            </w:r>
          </w:p>
          <w:p w14:paraId="413270CF" w14:textId="77777777" w:rsidR="002A7DD7" w:rsidRPr="002D1DD7" w:rsidRDefault="002A7DD7" w:rsidP="009A66EC">
            <w:pPr>
              <w:pStyle w:val="ListParagraph"/>
              <w:numPr>
                <w:ilvl w:val="0"/>
                <w:numId w:val="29"/>
              </w:numPr>
              <w:spacing w:before="0" w:after="0"/>
              <w:rPr>
                <w:rFonts w:ascii="Arial" w:hAnsi="Arial" w:cs="Arial"/>
                <w:sz w:val="12"/>
                <w:szCs w:val="12"/>
              </w:rPr>
            </w:pPr>
            <w:r w:rsidRPr="002D1DD7">
              <w:rPr>
                <w:rFonts w:ascii="Arial" w:hAnsi="Arial" w:cs="Arial"/>
                <w:sz w:val="12"/>
                <w:szCs w:val="12"/>
              </w:rPr>
              <w:t>Toxicity (up to 4 years)</w:t>
            </w:r>
          </w:p>
          <w:p w14:paraId="471E823A" w14:textId="77777777" w:rsidR="002A7DD7" w:rsidRPr="002D1DD7" w:rsidRDefault="002A7DD7" w:rsidP="009A66EC">
            <w:pPr>
              <w:pStyle w:val="ListParagraph"/>
              <w:numPr>
                <w:ilvl w:val="0"/>
                <w:numId w:val="29"/>
              </w:numPr>
              <w:spacing w:before="0" w:after="0"/>
              <w:rPr>
                <w:rFonts w:ascii="Arial" w:hAnsi="Arial" w:cs="Arial"/>
                <w:sz w:val="12"/>
                <w:szCs w:val="12"/>
              </w:rPr>
            </w:pPr>
            <w:r w:rsidRPr="002D1DD7">
              <w:rPr>
                <w:rFonts w:ascii="Arial" w:hAnsi="Arial" w:cs="Arial"/>
                <w:sz w:val="12"/>
                <w:szCs w:val="12"/>
              </w:rPr>
              <w:t>PK (up to 4 years)</w:t>
            </w:r>
          </w:p>
          <w:p w14:paraId="7876BA6B" w14:textId="77777777" w:rsidR="002A7DD7" w:rsidRPr="002D1DD7" w:rsidRDefault="002A7DD7" w:rsidP="002A7DD7">
            <w:pPr>
              <w:rPr>
                <w:rFonts w:ascii="Arial" w:hAnsi="Arial" w:cs="Arial"/>
                <w:sz w:val="12"/>
                <w:szCs w:val="12"/>
              </w:rPr>
            </w:pPr>
          </w:p>
          <w:p w14:paraId="7DDA826B" w14:textId="77777777" w:rsidR="002A7DD7" w:rsidRPr="002D1DD7" w:rsidRDefault="002A7DD7" w:rsidP="002A7DD7">
            <w:pPr>
              <w:rPr>
                <w:rFonts w:ascii="Arial" w:hAnsi="Arial" w:cs="Arial"/>
                <w:b/>
                <w:sz w:val="12"/>
                <w:szCs w:val="12"/>
              </w:rPr>
            </w:pPr>
            <w:r w:rsidRPr="002D1DD7">
              <w:rPr>
                <w:rFonts w:ascii="Arial" w:hAnsi="Arial" w:cs="Arial"/>
                <w:b/>
                <w:sz w:val="12"/>
                <w:szCs w:val="12"/>
              </w:rPr>
              <w:t>Other</w:t>
            </w:r>
          </w:p>
          <w:p w14:paraId="42CA4446" w14:textId="45ABC1DC" w:rsidR="002A7DD7" w:rsidRPr="002D1DD7" w:rsidRDefault="002A7DD7" w:rsidP="009A66EC">
            <w:pPr>
              <w:pStyle w:val="ListParagraph"/>
              <w:numPr>
                <w:ilvl w:val="0"/>
                <w:numId w:val="30"/>
              </w:numPr>
              <w:spacing w:before="0" w:after="0"/>
              <w:rPr>
                <w:rFonts w:ascii="Arial" w:hAnsi="Arial" w:cs="Arial"/>
                <w:sz w:val="12"/>
                <w:szCs w:val="12"/>
              </w:rPr>
            </w:pPr>
            <w:r w:rsidRPr="002D1DD7">
              <w:rPr>
                <w:rFonts w:ascii="Arial" w:hAnsi="Arial" w:cs="Arial"/>
                <w:sz w:val="12"/>
                <w:szCs w:val="12"/>
              </w:rPr>
              <w:t xml:space="preserve">Change in </w:t>
            </w:r>
            <w:r w:rsidR="00787BBC" w:rsidRPr="002D1DD7">
              <w:rPr>
                <w:rFonts w:ascii="Arial" w:hAnsi="Arial" w:cs="Arial"/>
                <w:sz w:val="12"/>
                <w:szCs w:val="12"/>
              </w:rPr>
              <w:t>tumour</w:t>
            </w:r>
            <w:r w:rsidRPr="002D1DD7">
              <w:rPr>
                <w:rFonts w:ascii="Arial" w:hAnsi="Arial" w:cs="Arial"/>
                <w:sz w:val="12"/>
                <w:szCs w:val="12"/>
              </w:rPr>
              <w:t xml:space="preserve"> genomic profile (up to 4 years)</w:t>
            </w:r>
          </w:p>
        </w:tc>
        <w:tc>
          <w:tcPr>
            <w:tcW w:w="2213" w:type="dxa"/>
            <w:tcBorders>
              <w:top w:val="single" w:sz="12" w:space="0" w:color="auto"/>
              <w:bottom w:val="single" w:sz="12" w:space="0" w:color="auto"/>
            </w:tcBorders>
          </w:tcPr>
          <w:p w14:paraId="64A9FF94" w14:textId="5EA1852F" w:rsidR="002A7DD7" w:rsidRPr="002D1DD7" w:rsidRDefault="002A7DD7" w:rsidP="002A7DD7">
            <w:pPr>
              <w:rPr>
                <w:rFonts w:ascii="Arial" w:hAnsi="Arial" w:cs="Arial"/>
                <w:sz w:val="12"/>
                <w:szCs w:val="12"/>
              </w:rPr>
            </w:pPr>
            <w:r w:rsidRPr="002D1DD7">
              <w:rPr>
                <w:rFonts w:ascii="Arial" w:hAnsi="Arial" w:cs="Arial"/>
                <w:sz w:val="12"/>
                <w:szCs w:val="12"/>
              </w:rPr>
              <w:lastRenderedPageBreak/>
              <w:t xml:space="preserve">Design: Phase </w:t>
            </w:r>
            <w:r w:rsidR="00752426" w:rsidRPr="002D1DD7">
              <w:rPr>
                <w:rFonts w:ascii="Arial" w:hAnsi="Arial" w:cs="Arial"/>
                <w:sz w:val="12"/>
                <w:szCs w:val="12"/>
              </w:rPr>
              <w:t>II</w:t>
            </w:r>
            <w:r w:rsidR="00787BBC" w:rsidRPr="002D1DD7">
              <w:rPr>
                <w:rFonts w:ascii="Arial" w:hAnsi="Arial" w:cs="Arial"/>
                <w:sz w:val="12"/>
                <w:szCs w:val="12"/>
              </w:rPr>
              <w:t xml:space="preserve"> </w:t>
            </w:r>
          </w:p>
          <w:p w14:paraId="68BEBBE9"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49 participants</w:t>
            </w:r>
          </w:p>
          <w:p w14:paraId="783BD01A" w14:textId="10EC9984"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E4367D" w:rsidRPr="002D1DD7">
              <w:rPr>
                <w:rFonts w:ascii="Arial" w:hAnsi="Arial" w:cs="Arial"/>
                <w:sz w:val="12"/>
                <w:szCs w:val="12"/>
              </w:rPr>
              <w:t>N</w:t>
            </w:r>
            <w:r w:rsidRPr="002D1DD7">
              <w:rPr>
                <w:rFonts w:ascii="Arial" w:hAnsi="Arial" w:cs="Arial"/>
                <w:sz w:val="12"/>
                <w:szCs w:val="12"/>
              </w:rPr>
              <w:t>on-</w:t>
            </w:r>
            <w:r w:rsidR="00E4367D" w:rsidRPr="002D1DD7">
              <w:rPr>
                <w:rFonts w:ascii="Arial" w:hAnsi="Arial" w:cs="Arial"/>
                <w:sz w:val="12"/>
                <w:szCs w:val="12"/>
              </w:rPr>
              <w:t>R</w:t>
            </w:r>
            <w:r w:rsidRPr="002D1DD7">
              <w:rPr>
                <w:rFonts w:ascii="Arial" w:hAnsi="Arial" w:cs="Arial"/>
                <w:sz w:val="12"/>
                <w:szCs w:val="12"/>
              </w:rPr>
              <w:t>andomi</w:t>
            </w:r>
            <w:r w:rsidR="00E4367D" w:rsidRPr="002D1DD7">
              <w:rPr>
                <w:rFonts w:ascii="Arial" w:hAnsi="Arial" w:cs="Arial"/>
                <w:sz w:val="12"/>
                <w:szCs w:val="12"/>
              </w:rPr>
              <w:t>s</w:t>
            </w:r>
            <w:r w:rsidRPr="002D1DD7">
              <w:rPr>
                <w:rFonts w:ascii="Arial" w:hAnsi="Arial" w:cs="Arial"/>
                <w:sz w:val="12"/>
                <w:szCs w:val="12"/>
              </w:rPr>
              <w:t xml:space="preserve">ed </w:t>
            </w:r>
          </w:p>
          <w:p w14:paraId="32CD0778"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24 July 2017</w:t>
            </w:r>
          </w:p>
          <w:p w14:paraId="7EA44A7A" w14:textId="77777777" w:rsidR="002A7DD7" w:rsidRPr="002D1DD7" w:rsidRDefault="002A7DD7" w:rsidP="002A7DD7">
            <w:pPr>
              <w:rPr>
                <w:rFonts w:ascii="Arial" w:hAnsi="Arial" w:cs="Arial"/>
                <w:sz w:val="12"/>
                <w:szCs w:val="12"/>
              </w:rPr>
            </w:pPr>
            <w:r w:rsidRPr="002D1DD7">
              <w:rPr>
                <w:rFonts w:ascii="Arial" w:hAnsi="Arial" w:cs="Arial"/>
                <w:sz w:val="12"/>
                <w:szCs w:val="12"/>
              </w:rPr>
              <w:lastRenderedPageBreak/>
              <w:t>Estimated primary completion date: 30 September 2024</w:t>
            </w:r>
          </w:p>
          <w:p w14:paraId="7FCA19E3"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30 September 2024</w:t>
            </w:r>
          </w:p>
        </w:tc>
        <w:tc>
          <w:tcPr>
            <w:tcW w:w="2642" w:type="dxa"/>
            <w:tcBorders>
              <w:top w:val="single" w:sz="12" w:space="0" w:color="auto"/>
              <w:bottom w:val="single" w:sz="12" w:space="0" w:color="auto"/>
            </w:tcBorders>
          </w:tcPr>
          <w:p w14:paraId="07500524" w14:textId="4646B65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lastRenderedPageBreak/>
              <w:t xml:space="preserve">Patients 1-21 years with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non-Hodgkin lymphoma, or histiocytic disorders with defects in deoxyribonucleic acid (DNA) damage repair genes that have spread to other places in the body and have come back or do not respond to treatment </w:t>
            </w:r>
          </w:p>
        </w:tc>
        <w:tc>
          <w:tcPr>
            <w:tcW w:w="2114" w:type="dxa"/>
            <w:tcBorders>
              <w:top w:val="single" w:sz="12" w:space="0" w:color="auto"/>
              <w:bottom w:val="single" w:sz="12" w:space="0" w:color="auto"/>
              <w:right w:val="single" w:sz="12" w:space="0" w:color="auto"/>
            </w:tcBorders>
          </w:tcPr>
          <w:p w14:paraId="23E1EA4E"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19B4642D" w14:textId="77777777" w:rsidTr="009126F0">
        <w:trPr>
          <w:trHeight w:val="1079"/>
        </w:trPr>
        <w:tc>
          <w:tcPr>
            <w:tcW w:w="1103" w:type="dxa"/>
            <w:vMerge/>
            <w:tcBorders>
              <w:left w:val="single" w:sz="12" w:space="0" w:color="auto"/>
            </w:tcBorders>
          </w:tcPr>
          <w:p w14:paraId="2154E646"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5112DD67" w14:textId="202A4B2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Glioma, cholangiocarcinoma, or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with IDH1 or IDH2 mutations </w:t>
            </w:r>
          </w:p>
        </w:tc>
        <w:tc>
          <w:tcPr>
            <w:tcW w:w="1717" w:type="dxa"/>
            <w:tcBorders>
              <w:top w:val="single" w:sz="12" w:space="0" w:color="auto"/>
              <w:bottom w:val="single" w:sz="12" w:space="0" w:color="auto"/>
            </w:tcBorders>
          </w:tcPr>
          <w:p w14:paraId="5BC48751"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NCT03212274</w:t>
            </w:r>
          </w:p>
        </w:tc>
        <w:tc>
          <w:tcPr>
            <w:tcW w:w="2166" w:type="dxa"/>
            <w:tcBorders>
              <w:top w:val="single" w:sz="12" w:space="0" w:color="auto"/>
              <w:bottom w:val="single" w:sz="12" w:space="0" w:color="auto"/>
            </w:tcBorders>
          </w:tcPr>
          <w:p w14:paraId="1D881288"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83BB8A9" w14:textId="77777777" w:rsidR="002A7DD7" w:rsidRPr="002D1DD7" w:rsidRDefault="002A7DD7" w:rsidP="009A66EC">
            <w:pPr>
              <w:pStyle w:val="ListParagraph"/>
              <w:numPr>
                <w:ilvl w:val="0"/>
                <w:numId w:val="31"/>
              </w:numPr>
              <w:spacing w:before="0" w:after="0"/>
              <w:rPr>
                <w:rFonts w:ascii="Arial" w:hAnsi="Arial" w:cs="Arial"/>
                <w:sz w:val="12"/>
                <w:szCs w:val="12"/>
              </w:rPr>
            </w:pPr>
            <w:r w:rsidRPr="002D1DD7">
              <w:rPr>
                <w:rFonts w:ascii="Arial" w:hAnsi="Arial" w:cs="Arial"/>
                <w:sz w:val="12"/>
                <w:szCs w:val="12"/>
              </w:rPr>
              <w:t>ORR (up to completion of course 8)</w:t>
            </w:r>
          </w:p>
          <w:p w14:paraId="7627E948" w14:textId="77777777" w:rsidR="002A7DD7" w:rsidRPr="002D1DD7" w:rsidRDefault="002A7DD7" w:rsidP="002A7DD7">
            <w:pPr>
              <w:rPr>
                <w:rFonts w:ascii="Arial" w:hAnsi="Arial" w:cs="Arial"/>
                <w:sz w:val="12"/>
                <w:szCs w:val="12"/>
              </w:rPr>
            </w:pPr>
          </w:p>
          <w:p w14:paraId="742D70B4"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0E49ABD8" w14:textId="77777777" w:rsidR="002A7DD7" w:rsidRPr="002D1DD7" w:rsidRDefault="002A7DD7" w:rsidP="009A66EC">
            <w:pPr>
              <w:pStyle w:val="ListParagraph"/>
              <w:numPr>
                <w:ilvl w:val="0"/>
                <w:numId w:val="32"/>
              </w:numPr>
              <w:spacing w:before="0" w:after="0"/>
              <w:rPr>
                <w:rFonts w:ascii="Arial" w:hAnsi="Arial" w:cs="Arial"/>
                <w:b/>
                <w:sz w:val="12"/>
                <w:szCs w:val="12"/>
              </w:rPr>
            </w:pPr>
            <w:r w:rsidRPr="002D1DD7">
              <w:rPr>
                <w:rFonts w:ascii="Arial" w:hAnsi="Arial" w:cs="Arial"/>
                <w:sz w:val="12"/>
                <w:szCs w:val="12"/>
              </w:rPr>
              <w:t>PFS (up to 1 year)</w:t>
            </w:r>
          </w:p>
          <w:p w14:paraId="3B523A16" w14:textId="77777777" w:rsidR="002A7DD7" w:rsidRPr="002D1DD7" w:rsidRDefault="002A7DD7" w:rsidP="009A66EC">
            <w:pPr>
              <w:pStyle w:val="ListParagraph"/>
              <w:numPr>
                <w:ilvl w:val="0"/>
                <w:numId w:val="32"/>
              </w:numPr>
              <w:spacing w:before="0" w:after="0"/>
              <w:rPr>
                <w:rFonts w:ascii="Arial" w:hAnsi="Arial" w:cs="Arial"/>
                <w:b/>
                <w:sz w:val="12"/>
                <w:szCs w:val="12"/>
              </w:rPr>
            </w:pPr>
            <w:r w:rsidRPr="002D1DD7">
              <w:rPr>
                <w:rFonts w:ascii="Arial" w:hAnsi="Arial" w:cs="Arial"/>
                <w:sz w:val="12"/>
                <w:szCs w:val="12"/>
              </w:rPr>
              <w:t>AE (up to 1 year)</w:t>
            </w:r>
          </w:p>
          <w:p w14:paraId="5C8B35CF" w14:textId="77777777" w:rsidR="002A7DD7" w:rsidRPr="002D1DD7" w:rsidRDefault="002A7DD7" w:rsidP="002A7DD7">
            <w:pPr>
              <w:rPr>
                <w:rFonts w:ascii="Arial" w:hAnsi="Arial" w:cs="Arial"/>
                <w:b/>
                <w:sz w:val="12"/>
                <w:szCs w:val="12"/>
              </w:rPr>
            </w:pPr>
          </w:p>
          <w:p w14:paraId="1006454A" w14:textId="0C37A807" w:rsidR="002A7DD7" w:rsidRPr="002D1DD7" w:rsidRDefault="002A7DD7" w:rsidP="00FC3668">
            <w:pPr>
              <w:rPr>
                <w:rFonts w:ascii="Arial" w:hAnsi="Arial" w:cs="Arial"/>
                <w:b/>
                <w:sz w:val="12"/>
                <w:szCs w:val="12"/>
              </w:rPr>
            </w:pPr>
          </w:p>
        </w:tc>
        <w:tc>
          <w:tcPr>
            <w:tcW w:w="2213" w:type="dxa"/>
            <w:tcBorders>
              <w:top w:val="single" w:sz="12" w:space="0" w:color="auto"/>
              <w:bottom w:val="single" w:sz="12" w:space="0" w:color="auto"/>
            </w:tcBorders>
          </w:tcPr>
          <w:p w14:paraId="5B9CDFB4" w14:textId="6CECD539"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w:t>
            </w:r>
            <w:r w:rsidR="005075FF" w:rsidRPr="002D1DD7">
              <w:rPr>
                <w:rFonts w:ascii="Arial" w:hAnsi="Arial" w:cs="Arial"/>
                <w:sz w:val="12"/>
                <w:szCs w:val="12"/>
              </w:rPr>
              <w:t>II</w:t>
            </w:r>
            <w:r w:rsidR="00787BBC" w:rsidRPr="002D1DD7">
              <w:rPr>
                <w:rFonts w:ascii="Arial" w:hAnsi="Arial" w:cs="Arial"/>
                <w:sz w:val="12"/>
                <w:szCs w:val="12"/>
              </w:rPr>
              <w:t xml:space="preserve"> </w:t>
            </w:r>
            <w:r w:rsidR="00050D88" w:rsidRPr="002D1DD7">
              <w:rPr>
                <w:rFonts w:ascii="Arial" w:hAnsi="Arial" w:cs="Arial"/>
                <w:sz w:val="12"/>
                <w:szCs w:val="12"/>
              </w:rPr>
              <w:t>(separate cohorts specified)</w:t>
            </w:r>
          </w:p>
          <w:p w14:paraId="2C3EE298"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145 participants</w:t>
            </w:r>
          </w:p>
          <w:p w14:paraId="07BB9029" w14:textId="5B10B727"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787BBC" w:rsidRPr="002D1DD7">
              <w:rPr>
                <w:rFonts w:ascii="Arial" w:hAnsi="Arial" w:cs="Arial"/>
                <w:sz w:val="12"/>
                <w:szCs w:val="12"/>
              </w:rPr>
              <w:t>N</w:t>
            </w:r>
            <w:r w:rsidRPr="002D1DD7">
              <w:rPr>
                <w:rFonts w:ascii="Arial" w:hAnsi="Arial" w:cs="Arial"/>
                <w:sz w:val="12"/>
                <w:szCs w:val="12"/>
              </w:rPr>
              <w:t>on-</w:t>
            </w:r>
            <w:r w:rsidR="00787BBC" w:rsidRPr="002D1DD7">
              <w:rPr>
                <w:rFonts w:ascii="Arial" w:hAnsi="Arial" w:cs="Arial"/>
                <w:sz w:val="12"/>
                <w:szCs w:val="12"/>
              </w:rPr>
              <w:t>R</w:t>
            </w:r>
            <w:r w:rsidRPr="002D1DD7">
              <w:rPr>
                <w:rFonts w:ascii="Arial" w:hAnsi="Arial" w:cs="Arial"/>
                <w:sz w:val="12"/>
                <w:szCs w:val="12"/>
              </w:rPr>
              <w:t>andomi</w:t>
            </w:r>
            <w:r w:rsidR="00787BBC" w:rsidRPr="002D1DD7">
              <w:rPr>
                <w:rFonts w:ascii="Arial" w:hAnsi="Arial" w:cs="Arial"/>
                <w:sz w:val="12"/>
                <w:szCs w:val="12"/>
              </w:rPr>
              <w:t>s</w:t>
            </w:r>
            <w:r w:rsidRPr="002D1DD7">
              <w:rPr>
                <w:rFonts w:ascii="Arial" w:hAnsi="Arial" w:cs="Arial"/>
                <w:sz w:val="12"/>
                <w:szCs w:val="12"/>
              </w:rPr>
              <w:t xml:space="preserve">ed </w:t>
            </w:r>
          </w:p>
          <w:p w14:paraId="41963436"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March 30, 2018</w:t>
            </w:r>
          </w:p>
          <w:p w14:paraId="3A5DC1C0" w14:textId="77777777" w:rsidR="002A7DD7" w:rsidRPr="002D1DD7" w:rsidRDefault="002A7DD7" w:rsidP="002A7DD7">
            <w:pPr>
              <w:rPr>
                <w:rFonts w:ascii="Arial" w:hAnsi="Arial" w:cs="Arial"/>
                <w:sz w:val="12"/>
                <w:szCs w:val="12"/>
              </w:rPr>
            </w:pPr>
            <w:r w:rsidRPr="002D1DD7">
              <w:rPr>
                <w:rFonts w:ascii="Arial" w:hAnsi="Arial" w:cs="Arial"/>
                <w:sz w:val="12"/>
                <w:szCs w:val="12"/>
              </w:rPr>
              <w:t>Primary Completion Date: July 31, 2019</w:t>
            </w:r>
          </w:p>
          <w:p w14:paraId="39DEBD30" w14:textId="77777777" w:rsidR="002A7DD7" w:rsidRPr="002D1DD7" w:rsidRDefault="002A7DD7" w:rsidP="002A7DD7">
            <w:pPr>
              <w:rPr>
                <w:rFonts w:ascii="Arial" w:hAnsi="Arial" w:cs="Arial"/>
                <w:sz w:val="12"/>
                <w:szCs w:val="12"/>
              </w:rPr>
            </w:pPr>
            <w:r w:rsidRPr="002D1DD7">
              <w:rPr>
                <w:rFonts w:ascii="Arial" w:hAnsi="Arial" w:cs="Arial"/>
                <w:sz w:val="12"/>
                <w:szCs w:val="12"/>
              </w:rPr>
              <w:t>Study Completion Date: July 31, 2019</w:t>
            </w:r>
          </w:p>
        </w:tc>
        <w:tc>
          <w:tcPr>
            <w:tcW w:w="2642" w:type="dxa"/>
            <w:tcBorders>
              <w:top w:val="single" w:sz="12" w:space="0" w:color="auto"/>
              <w:bottom w:val="single" w:sz="12" w:space="0" w:color="auto"/>
            </w:tcBorders>
          </w:tcPr>
          <w:p w14:paraId="310CBD7E" w14:textId="16700859"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diagnosed with a glioma, cholangiocarcinoma or other solid malignant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that has progressed despite standard therapy, or for which no effective standard therapy exists, with biopsy-confirmed evidence of an IDH1 or IDH2 mutation associated with neomorphic activity of the encoded proteins;; only specific mutations that lead to a neomorphic phenotype will be eligible for enrollment, and include IDH1: R132V, R132G, R132S, R132L, R132C and R132H; IDH2: R140W, R140L, R140Q, R172W, R172G, R172S, R172M, R172K</w:t>
            </w:r>
          </w:p>
        </w:tc>
        <w:tc>
          <w:tcPr>
            <w:tcW w:w="2114" w:type="dxa"/>
            <w:tcBorders>
              <w:top w:val="single" w:sz="12" w:space="0" w:color="auto"/>
              <w:bottom w:val="single" w:sz="12" w:space="0" w:color="auto"/>
              <w:right w:val="single" w:sz="12" w:space="0" w:color="auto"/>
            </w:tcBorders>
          </w:tcPr>
          <w:p w14:paraId="50CE698F"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Patients must have IDH1 or IDH2 mutation which must be detected in a clinical accredited laboratory using a Food and Drug Administration (FDA)-approved molecular test or a validated deoxyribonucleic acid (DNA)-based assay conducted in a Clinical Laboratory Improvement Amendments (CLIA)-certified laboratory</w:t>
            </w:r>
          </w:p>
        </w:tc>
      </w:tr>
      <w:tr w:rsidR="002A7DD7" w:rsidRPr="002D1DD7" w14:paraId="59E35A6D" w14:textId="77777777" w:rsidTr="009126F0">
        <w:trPr>
          <w:trHeight w:val="1079"/>
        </w:trPr>
        <w:tc>
          <w:tcPr>
            <w:tcW w:w="1103" w:type="dxa"/>
            <w:vMerge/>
            <w:tcBorders>
              <w:left w:val="single" w:sz="12" w:space="0" w:color="auto"/>
            </w:tcBorders>
          </w:tcPr>
          <w:p w14:paraId="3873C1EE"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4BE3880C"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cancer with a confirmed BRCA1 and/or BRCA2 mutation</w:t>
            </w:r>
          </w:p>
        </w:tc>
        <w:tc>
          <w:tcPr>
            <w:tcW w:w="1717" w:type="dxa"/>
            <w:tcBorders>
              <w:top w:val="single" w:sz="12" w:space="0" w:color="auto"/>
              <w:bottom w:val="single" w:sz="12" w:space="0" w:color="auto"/>
            </w:tcBorders>
          </w:tcPr>
          <w:p w14:paraId="72E72439"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NCT01078662</w:t>
            </w:r>
          </w:p>
        </w:tc>
        <w:tc>
          <w:tcPr>
            <w:tcW w:w="2166" w:type="dxa"/>
            <w:tcBorders>
              <w:top w:val="single" w:sz="12" w:space="0" w:color="auto"/>
              <w:bottom w:val="single" w:sz="12" w:space="0" w:color="auto"/>
            </w:tcBorders>
          </w:tcPr>
          <w:p w14:paraId="2865A62E"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5EA4F5C5" w14:textId="77777777" w:rsidR="002A7DD7" w:rsidRPr="002D1DD7" w:rsidRDefault="002A7DD7" w:rsidP="009A66EC">
            <w:pPr>
              <w:pStyle w:val="ListParagraph"/>
              <w:numPr>
                <w:ilvl w:val="0"/>
                <w:numId w:val="33"/>
              </w:numPr>
              <w:spacing w:before="0" w:after="0"/>
              <w:rPr>
                <w:rFonts w:ascii="Arial" w:hAnsi="Arial" w:cs="Arial"/>
                <w:b/>
                <w:sz w:val="12"/>
                <w:szCs w:val="12"/>
              </w:rPr>
            </w:pPr>
            <w:r w:rsidRPr="002D1DD7">
              <w:rPr>
                <w:rFonts w:ascii="Arial" w:hAnsi="Arial" w:cs="Arial"/>
                <w:sz w:val="12"/>
                <w:szCs w:val="12"/>
              </w:rPr>
              <w:t>Tumour response rate (maximum up to 29 months)</w:t>
            </w:r>
          </w:p>
          <w:p w14:paraId="79757635" w14:textId="77777777" w:rsidR="002A7DD7" w:rsidRPr="002D1DD7" w:rsidRDefault="002A7DD7" w:rsidP="002A7DD7">
            <w:pPr>
              <w:rPr>
                <w:rFonts w:ascii="Arial" w:hAnsi="Arial" w:cs="Arial"/>
                <w:b/>
                <w:sz w:val="12"/>
                <w:szCs w:val="12"/>
              </w:rPr>
            </w:pPr>
          </w:p>
          <w:p w14:paraId="2A44C1D2"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2ACC64CA" w14:textId="77777777" w:rsidR="002A7DD7" w:rsidRPr="002D1DD7" w:rsidRDefault="002A7DD7" w:rsidP="009A66EC">
            <w:pPr>
              <w:pStyle w:val="ListParagraph"/>
              <w:numPr>
                <w:ilvl w:val="0"/>
                <w:numId w:val="34"/>
              </w:numPr>
              <w:spacing w:before="0" w:after="0"/>
              <w:rPr>
                <w:rFonts w:ascii="Arial" w:hAnsi="Arial" w:cs="Arial"/>
                <w:b/>
                <w:sz w:val="12"/>
                <w:szCs w:val="12"/>
              </w:rPr>
            </w:pPr>
            <w:r w:rsidRPr="002D1DD7">
              <w:rPr>
                <w:rFonts w:ascii="Arial" w:hAnsi="Arial" w:cs="Arial"/>
                <w:sz w:val="12"/>
                <w:szCs w:val="12"/>
              </w:rPr>
              <w:t>ORR (up to 29 months)</w:t>
            </w:r>
          </w:p>
          <w:p w14:paraId="7E436881" w14:textId="77777777" w:rsidR="002A7DD7" w:rsidRPr="002D1DD7" w:rsidRDefault="002A7DD7" w:rsidP="009A66EC">
            <w:pPr>
              <w:pStyle w:val="ListParagraph"/>
              <w:numPr>
                <w:ilvl w:val="0"/>
                <w:numId w:val="34"/>
              </w:numPr>
              <w:spacing w:before="0" w:after="0"/>
              <w:rPr>
                <w:rFonts w:ascii="Arial" w:hAnsi="Arial" w:cs="Arial"/>
                <w:b/>
                <w:sz w:val="12"/>
                <w:szCs w:val="12"/>
              </w:rPr>
            </w:pPr>
            <w:r w:rsidRPr="002D1DD7">
              <w:rPr>
                <w:rFonts w:ascii="Arial" w:hAnsi="Arial" w:cs="Arial"/>
                <w:sz w:val="12"/>
                <w:szCs w:val="12"/>
              </w:rPr>
              <w:t>PFS (up to 29 months)</w:t>
            </w:r>
          </w:p>
          <w:p w14:paraId="7B0D15DF" w14:textId="77777777" w:rsidR="002A7DD7" w:rsidRPr="002D1DD7" w:rsidRDefault="002A7DD7" w:rsidP="009A66EC">
            <w:pPr>
              <w:pStyle w:val="ListParagraph"/>
              <w:numPr>
                <w:ilvl w:val="0"/>
                <w:numId w:val="34"/>
              </w:numPr>
              <w:spacing w:before="0" w:after="0"/>
              <w:rPr>
                <w:rFonts w:ascii="Arial" w:hAnsi="Arial" w:cs="Arial"/>
                <w:b/>
                <w:sz w:val="12"/>
                <w:szCs w:val="12"/>
              </w:rPr>
            </w:pPr>
            <w:r w:rsidRPr="002D1DD7">
              <w:rPr>
                <w:rFonts w:ascii="Arial" w:hAnsi="Arial" w:cs="Arial"/>
                <w:sz w:val="12"/>
                <w:szCs w:val="12"/>
              </w:rPr>
              <w:t>OS (up to 29 months)</w:t>
            </w:r>
          </w:p>
          <w:p w14:paraId="400CF357" w14:textId="77777777" w:rsidR="002A7DD7" w:rsidRPr="002D1DD7" w:rsidRDefault="002A7DD7" w:rsidP="009A66EC">
            <w:pPr>
              <w:pStyle w:val="ListParagraph"/>
              <w:numPr>
                <w:ilvl w:val="0"/>
                <w:numId w:val="34"/>
              </w:numPr>
              <w:spacing w:before="0" w:after="0"/>
              <w:rPr>
                <w:rFonts w:ascii="Arial" w:hAnsi="Arial" w:cs="Arial"/>
                <w:b/>
                <w:sz w:val="12"/>
                <w:szCs w:val="12"/>
              </w:rPr>
            </w:pPr>
            <w:r w:rsidRPr="002D1DD7">
              <w:rPr>
                <w:rFonts w:ascii="Arial" w:hAnsi="Arial" w:cs="Arial"/>
                <w:sz w:val="12"/>
                <w:szCs w:val="12"/>
              </w:rPr>
              <w:t>OS-12 months</w:t>
            </w:r>
          </w:p>
          <w:p w14:paraId="4BE016AA" w14:textId="77777777" w:rsidR="002A7DD7" w:rsidRPr="002D1DD7" w:rsidRDefault="002A7DD7" w:rsidP="009A66EC">
            <w:pPr>
              <w:pStyle w:val="ListParagraph"/>
              <w:numPr>
                <w:ilvl w:val="0"/>
                <w:numId w:val="34"/>
              </w:numPr>
              <w:spacing w:before="0" w:after="0"/>
              <w:rPr>
                <w:rFonts w:ascii="Arial" w:hAnsi="Arial" w:cs="Arial"/>
                <w:b/>
                <w:sz w:val="12"/>
                <w:szCs w:val="12"/>
              </w:rPr>
            </w:pPr>
            <w:r w:rsidRPr="002D1DD7">
              <w:rPr>
                <w:rFonts w:ascii="Arial" w:hAnsi="Arial" w:cs="Arial"/>
                <w:sz w:val="12"/>
                <w:szCs w:val="12"/>
              </w:rPr>
              <w:t>DOR (up to 29 months)</w:t>
            </w:r>
          </w:p>
          <w:p w14:paraId="6ED24B3A" w14:textId="77777777" w:rsidR="002A7DD7" w:rsidRPr="002D1DD7" w:rsidRDefault="002A7DD7" w:rsidP="009A66EC">
            <w:pPr>
              <w:pStyle w:val="ListParagraph"/>
              <w:numPr>
                <w:ilvl w:val="0"/>
                <w:numId w:val="34"/>
              </w:numPr>
              <w:spacing w:before="0" w:after="0"/>
              <w:rPr>
                <w:rFonts w:ascii="Arial" w:hAnsi="Arial" w:cs="Arial"/>
                <w:b/>
                <w:sz w:val="12"/>
                <w:szCs w:val="12"/>
              </w:rPr>
            </w:pPr>
            <w:r w:rsidRPr="002D1DD7">
              <w:rPr>
                <w:rFonts w:ascii="Arial" w:hAnsi="Arial" w:cs="Arial"/>
                <w:sz w:val="12"/>
                <w:szCs w:val="12"/>
              </w:rPr>
              <w:t>Disease control rate at week 16</w:t>
            </w:r>
          </w:p>
        </w:tc>
        <w:tc>
          <w:tcPr>
            <w:tcW w:w="2213" w:type="dxa"/>
            <w:tcBorders>
              <w:top w:val="single" w:sz="12" w:space="0" w:color="auto"/>
              <w:bottom w:val="single" w:sz="12" w:space="0" w:color="auto"/>
            </w:tcBorders>
          </w:tcPr>
          <w:p w14:paraId="149CD740" w14:textId="512C4613" w:rsidR="002A7DD7" w:rsidRPr="002D1DD7" w:rsidRDefault="002A7DD7" w:rsidP="002A7DD7">
            <w:pPr>
              <w:rPr>
                <w:rFonts w:ascii="Arial" w:hAnsi="Arial" w:cs="Arial"/>
                <w:sz w:val="12"/>
                <w:szCs w:val="12"/>
              </w:rPr>
            </w:pPr>
            <w:r w:rsidRPr="002D1DD7">
              <w:rPr>
                <w:rFonts w:ascii="Arial" w:hAnsi="Arial" w:cs="Arial"/>
                <w:sz w:val="12"/>
                <w:szCs w:val="12"/>
              </w:rPr>
              <w:t>Design: Phase II</w:t>
            </w:r>
            <w:r w:rsidR="00787BBC" w:rsidRPr="002D1DD7">
              <w:rPr>
                <w:rFonts w:ascii="Arial" w:hAnsi="Arial" w:cs="Arial"/>
                <w:sz w:val="12"/>
                <w:szCs w:val="12"/>
              </w:rPr>
              <w:t xml:space="preserve"> </w:t>
            </w:r>
          </w:p>
          <w:p w14:paraId="5FFA6A5F"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299 participants</w:t>
            </w:r>
          </w:p>
          <w:p w14:paraId="1F2E56A6" w14:textId="77777777"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787BBC" w:rsidRPr="002D1DD7">
              <w:rPr>
                <w:rFonts w:ascii="Arial" w:hAnsi="Arial" w:cs="Arial"/>
                <w:sz w:val="12"/>
                <w:szCs w:val="12"/>
              </w:rPr>
              <w:t>N</w:t>
            </w:r>
            <w:r w:rsidRPr="002D1DD7">
              <w:rPr>
                <w:rFonts w:ascii="Arial" w:hAnsi="Arial" w:cs="Arial"/>
                <w:sz w:val="12"/>
                <w:szCs w:val="12"/>
              </w:rPr>
              <w:t>on-</w:t>
            </w:r>
            <w:r w:rsidR="00787BBC" w:rsidRPr="002D1DD7">
              <w:rPr>
                <w:rFonts w:ascii="Arial" w:hAnsi="Arial" w:cs="Arial"/>
                <w:sz w:val="12"/>
                <w:szCs w:val="12"/>
              </w:rPr>
              <w:t>R</w:t>
            </w:r>
            <w:r w:rsidRPr="002D1DD7">
              <w:rPr>
                <w:rFonts w:ascii="Arial" w:hAnsi="Arial" w:cs="Arial"/>
                <w:sz w:val="12"/>
                <w:szCs w:val="12"/>
              </w:rPr>
              <w:t>andomi</w:t>
            </w:r>
            <w:r w:rsidR="00787BBC" w:rsidRPr="002D1DD7">
              <w:rPr>
                <w:rFonts w:ascii="Arial" w:hAnsi="Arial" w:cs="Arial"/>
                <w:sz w:val="12"/>
                <w:szCs w:val="12"/>
              </w:rPr>
              <w:t>s</w:t>
            </w:r>
            <w:r w:rsidRPr="002D1DD7">
              <w:rPr>
                <w:rFonts w:ascii="Arial" w:hAnsi="Arial" w:cs="Arial"/>
                <w:sz w:val="12"/>
                <w:szCs w:val="12"/>
              </w:rPr>
              <w:t xml:space="preserve">ed </w:t>
            </w:r>
          </w:p>
          <w:p w14:paraId="3012DDA2" w14:textId="5D7D2D59" w:rsidR="00752426" w:rsidRPr="002D1DD7" w:rsidRDefault="00752426" w:rsidP="00752426">
            <w:pPr>
              <w:rPr>
                <w:rFonts w:ascii="Arial" w:hAnsi="Arial" w:cs="Arial"/>
                <w:sz w:val="12"/>
                <w:szCs w:val="12"/>
              </w:rPr>
            </w:pPr>
            <w:r w:rsidRPr="002D1DD7">
              <w:rPr>
                <w:rFonts w:ascii="Arial" w:hAnsi="Arial" w:cs="Arial"/>
                <w:sz w:val="12"/>
                <w:szCs w:val="12"/>
              </w:rPr>
              <w:t>Study Start Date: February 21, 2010</w:t>
            </w:r>
          </w:p>
          <w:p w14:paraId="5ECD66D7" w14:textId="1D3F524C" w:rsidR="00752426" w:rsidRPr="002D1DD7" w:rsidRDefault="00752426" w:rsidP="00752426">
            <w:pPr>
              <w:rPr>
                <w:rFonts w:ascii="Arial" w:hAnsi="Arial" w:cs="Arial"/>
                <w:sz w:val="12"/>
                <w:szCs w:val="12"/>
              </w:rPr>
            </w:pPr>
            <w:r w:rsidRPr="002D1DD7">
              <w:rPr>
                <w:rFonts w:ascii="Arial" w:hAnsi="Arial" w:cs="Arial"/>
                <w:sz w:val="12"/>
                <w:szCs w:val="12"/>
              </w:rPr>
              <w:t>Primary Completion Date: July 31, 2012</w:t>
            </w:r>
          </w:p>
          <w:p w14:paraId="24CF9A3A" w14:textId="605D07E6" w:rsidR="00752426" w:rsidRPr="002D1DD7" w:rsidRDefault="00752426" w:rsidP="00752426">
            <w:pPr>
              <w:rPr>
                <w:rFonts w:ascii="Arial" w:hAnsi="Arial" w:cs="Arial"/>
                <w:sz w:val="12"/>
                <w:szCs w:val="12"/>
              </w:rPr>
            </w:pPr>
            <w:r w:rsidRPr="002D1DD7">
              <w:rPr>
                <w:rFonts w:ascii="Arial" w:hAnsi="Arial" w:cs="Arial"/>
                <w:sz w:val="12"/>
                <w:szCs w:val="12"/>
              </w:rPr>
              <w:t>Study Completion Date: December 31, 2019</w:t>
            </w:r>
          </w:p>
        </w:tc>
        <w:tc>
          <w:tcPr>
            <w:tcW w:w="2642" w:type="dxa"/>
            <w:tcBorders>
              <w:top w:val="single" w:sz="12" w:space="0" w:color="auto"/>
              <w:bottom w:val="single" w:sz="12" w:space="0" w:color="auto"/>
            </w:tcBorders>
          </w:tcPr>
          <w:p w14:paraId="4B5C6322"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with malignant solid tumours for which no standard treatment exists and with confirmed documented deleterious or suspected deleterious BRCA mutation (ovarian, breast, prostate, pancreatic, advanced tumours). </w:t>
            </w:r>
          </w:p>
        </w:tc>
        <w:tc>
          <w:tcPr>
            <w:tcW w:w="2114" w:type="dxa"/>
            <w:tcBorders>
              <w:top w:val="single" w:sz="12" w:space="0" w:color="auto"/>
              <w:bottom w:val="single" w:sz="12" w:space="0" w:color="auto"/>
              <w:right w:val="single" w:sz="12" w:space="0" w:color="auto"/>
            </w:tcBorders>
          </w:tcPr>
          <w:p w14:paraId="3253F4CE"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733F4266" w14:textId="77777777" w:rsidTr="009126F0">
        <w:trPr>
          <w:trHeight w:val="1079"/>
        </w:trPr>
        <w:tc>
          <w:tcPr>
            <w:tcW w:w="1103" w:type="dxa"/>
            <w:vMerge/>
            <w:tcBorders>
              <w:left w:val="single" w:sz="12" w:space="0" w:color="auto"/>
            </w:tcBorders>
          </w:tcPr>
          <w:p w14:paraId="0210EE67"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5E96A0FC" w14:textId="60931B6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with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harbo</w:t>
            </w:r>
            <w:r w:rsidR="00050D88" w:rsidRPr="002D1DD7">
              <w:rPr>
                <w:rFonts w:ascii="Arial" w:hAnsi="Arial" w:cs="Arial"/>
                <w:color w:val="000000"/>
                <w:sz w:val="12"/>
                <w:szCs w:val="12"/>
                <w:shd w:val="clear" w:color="auto" w:fill="FFFFFF"/>
              </w:rPr>
              <w:t>u</w:t>
            </w:r>
            <w:r w:rsidRPr="002D1DD7">
              <w:rPr>
                <w:rFonts w:ascii="Arial" w:hAnsi="Arial" w:cs="Arial"/>
                <w:color w:val="000000"/>
                <w:sz w:val="12"/>
                <w:szCs w:val="12"/>
                <w:shd w:val="clear" w:color="auto" w:fill="FFFFFF"/>
              </w:rPr>
              <w:t>ring damaging mutations in Homologous - DNA repair (HDR) genes or mutations such as ATM, CHK2, MRN (MRE11/NBS1/RAD50), CDKN2A/B and APOBEC</w:t>
            </w:r>
          </w:p>
        </w:tc>
        <w:tc>
          <w:tcPr>
            <w:tcW w:w="1717" w:type="dxa"/>
            <w:tcBorders>
              <w:top w:val="single" w:sz="12" w:space="0" w:color="auto"/>
              <w:bottom w:val="single" w:sz="12" w:space="0" w:color="auto"/>
            </w:tcBorders>
          </w:tcPr>
          <w:p w14:paraId="53AACCE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NCT02576444  </w:t>
            </w:r>
          </w:p>
        </w:tc>
        <w:tc>
          <w:tcPr>
            <w:tcW w:w="2166" w:type="dxa"/>
            <w:tcBorders>
              <w:top w:val="single" w:sz="12" w:space="0" w:color="auto"/>
              <w:bottom w:val="single" w:sz="12" w:space="0" w:color="auto"/>
            </w:tcBorders>
          </w:tcPr>
          <w:p w14:paraId="5A836CDE"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7EF46E44" w14:textId="77777777" w:rsidR="002A7DD7" w:rsidRPr="002D1DD7" w:rsidRDefault="002A7DD7" w:rsidP="009A66EC">
            <w:pPr>
              <w:pStyle w:val="ListParagraph"/>
              <w:numPr>
                <w:ilvl w:val="0"/>
                <w:numId w:val="35"/>
              </w:numPr>
              <w:spacing w:before="0" w:after="0"/>
              <w:rPr>
                <w:rFonts w:ascii="Arial" w:hAnsi="Arial" w:cs="Arial"/>
                <w:sz w:val="12"/>
                <w:szCs w:val="12"/>
              </w:rPr>
            </w:pPr>
            <w:r w:rsidRPr="002D1DD7">
              <w:rPr>
                <w:rFonts w:ascii="Arial" w:hAnsi="Arial" w:cs="Arial"/>
                <w:sz w:val="12"/>
                <w:szCs w:val="12"/>
              </w:rPr>
              <w:t>ORR (change from baseline to 16 weeks)</w:t>
            </w:r>
          </w:p>
        </w:tc>
        <w:tc>
          <w:tcPr>
            <w:tcW w:w="2213" w:type="dxa"/>
            <w:tcBorders>
              <w:top w:val="single" w:sz="12" w:space="0" w:color="auto"/>
              <w:bottom w:val="single" w:sz="12" w:space="0" w:color="auto"/>
            </w:tcBorders>
          </w:tcPr>
          <w:p w14:paraId="02371CF2" w14:textId="3FB9BAB0" w:rsidR="002A7DD7" w:rsidRPr="002D1DD7" w:rsidRDefault="002A7DD7" w:rsidP="002A7DD7">
            <w:pPr>
              <w:rPr>
                <w:rFonts w:ascii="Arial" w:hAnsi="Arial" w:cs="Arial"/>
                <w:sz w:val="12"/>
                <w:szCs w:val="12"/>
              </w:rPr>
            </w:pPr>
            <w:r w:rsidRPr="002D1DD7">
              <w:rPr>
                <w:rFonts w:ascii="Arial" w:hAnsi="Arial" w:cs="Arial"/>
                <w:sz w:val="12"/>
                <w:szCs w:val="12"/>
              </w:rPr>
              <w:t>Design: Phase II</w:t>
            </w:r>
            <w:r w:rsidR="00787BBC" w:rsidRPr="002D1DD7">
              <w:rPr>
                <w:rFonts w:ascii="Arial" w:hAnsi="Arial" w:cs="Arial"/>
                <w:sz w:val="12"/>
                <w:szCs w:val="12"/>
              </w:rPr>
              <w:t xml:space="preserve"> </w:t>
            </w:r>
            <w:r w:rsidR="00050D88" w:rsidRPr="002D1DD7">
              <w:rPr>
                <w:rFonts w:ascii="Arial" w:hAnsi="Arial" w:cs="Arial"/>
                <w:sz w:val="12"/>
                <w:szCs w:val="12"/>
              </w:rPr>
              <w:t>(separate cohorts specified)</w:t>
            </w:r>
          </w:p>
          <w:p w14:paraId="175E154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64 participants</w:t>
            </w:r>
          </w:p>
          <w:p w14:paraId="08010DD6" w14:textId="77777777"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E4367D" w:rsidRPr="002D1DD7">
              <w:rPr>
                <w:rFonts w:ascii="Arial" w:hAnsi="Arial" w:cs="Arial"/>
                <w:sz w:val="12"/>
                <w:szCs w:val="12"/>
              </w:rPr>
              <w:t>N</w:t>
            </w:r>
            <w:r w:rsidRPr="002D1DD7">
              <w:rPr>
                <w:rFonts w:ascii="Arial" w:hAnsi="Arial" w:cs="Arial"/>
                <w:sz w:val="12"/>
                <w:szCs w:val="12"/>
              </w:rPr>
              <w:t>on-</w:t>
            </w:r>
            <w:r w:rsidR="00E4367D" w:rsidRPr="002D1DD7">
              <w:rPr>
                <w:rFonts w:ascii="Arial" w:hAnsi="Arial" w:cs="Arial"/>
                <w:sz w:val="12"/>
                <w:szCs w:val="12"/>
              </w:rPr>
              <w:t>R</w:t>
            </w:r>
            <w:r w:rsidRPr="002D1DD7">
              <w:rPr>
                <w:rFonts w:ascii="Arial" w:hAnsi="Arial" w:cs="Arial"/>
                <w:sz w:val="12"/>
                <w:szCs w:val="12"/>
              </w:rPr>
              <w:t>andomi</w:t>
            </w:r>
            <w:r w:rsidR="00E4367D" w:rsidRPr="002D1DD7">
              <w:rPr>
                <w:rFonts w:ascii="Arial" w:hAnsi="Arial" w:cs="Arial"/>
                <w:sz w:val="12"/>
                <w:szCs w:val="12"/>
              </w:rPr>
              <w:t>s</w:t>
            </w:r>
            <w:r w:rsidRPr="002D1DD7">
              <w:rPr>
                <w:rFonts w:ascii="Arial" w:hAnsi="Arial" w:cs="Arial"/>
                <w:sz w:val="12"/>
                <w:szCs w:val="12"/>
              </w:rPr>
              <w:t xml:space="preserve">ed </w:t>
            </w:r>
          </w:p>
          <w:p w14:paraId="3E4123FC" w14:textId="38B9ED5E" w:rsidR="00752426" w:rsidRPr="002D1DD7" w:rsidRDefault="00752426" w:rsidP="00752426">
            <w:pPr>
              <w:rPr>
                <w:rFonts w:ascii="Arial" w:hAnsi="Arial" w:cs="Arial"/>
                <w:sz w:val="12"/>
                <w:szCs w:val="12"/>
              </w:rPr>
            </w:pPr>
            <w:r w:rsidRPr="002D1DD7">
              <w:rPr>
                <w:rFonts w:ascii="Arial" w:hAnsi="Arial" w:cs="Arial"/>
                <w:sz w:val="12"/>
                <w:szCs w:val="12"/>
              </w:rPr>
              <w:t>Study Start Date: November 2015</w:t>
            </w:r>
          </w:p>
          <w:p w14:paraId="640E4B8B" w14:textId="4A9BE978" w:rsidR="00752426" w:rsidRPr="002D1DD7" w:rsidRDefault="00752426" w:rsidP="00752426">
            <w:pPr>
              <w:rPr>
                <w:rFonts w:ascii="Arial" w:hAnsi="Arial" w:cs="Arial"/>
                <w:sz w:val="12"/>
                <w:szCs w:val="12"/>
              </w:rPr>
            </w:pPr>
            <w:r w:rsidRPr="002D1DD7">
              <w:rPr>
                <w:rFonts w:ascii="Arial" w:hAnsi="Arial" w:cs="Arial"/>
                <w:sz w:val="12"/>
                <w:szCs w:val="12"/>
              </w:rPr>
              <w:t>Primary Completion Date: March 2020</w:t>
            </w:r>
          </w:p>
          <w:p w14:paraId="0F641D52" w14:textId="65426F9C" w:rsidR="00752426" w:rsidRPr="002D1DD7" w:rsidRDefault="00752426" w:rsidP="00752426">
            <w:pPr>
              <w:rPr>
                <w:rFonts w:ascii="Arial" w:hAnsi="Arial" w:cs="Arial"/>
                <w:sz w:val="12"/>
                <w:szCs w:val="12"/>
              </w:rPr>
            </w:pPr>
            <w:r w:rsidRPr="002D1DD7">
              <w:rPr>
                <w:rFonts w:ascii="Arial" w:hAnsi="Arial" w:cs="Arial"/>
                <w:sz w:val="12"/>
                <w:szCs w:val="12"/>
              </w:rPr>
              <w:t>Study Completion Date: March 2020</w:t>
            </w:r>
          </w:p>
        </w:tc>
        <w:tc>
          <w:tcPr>
            <w:tcW w:w="2642" w:type="dxa"/>
            <w:tcBorders>
              <w:top w:val="single" w:sz="12" w:space="0" w:color="auto"/>
              <w:bottom w:val="single" w:sz="12" w:space="0" w:color="auto"/>
            </w:tcBorders>
          </w:tcPr>
          <w:p w14:paraId="0EC57DF3"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with histologically documented metastatic cancer (not hematologic malignancies). </w:t>
            </w:r>
          </w:p>
        </w:tc>
        <w:tc>
          <w:tcPr>
            <w:tcW w:w="2114" w:type="dxa"/>
            <w:tcBorders>
              <w:top w:val="single" w:sz="12" w:space="0" w:color="auto"/>
              <w:bottom w:val="single" w:sz="12" w:space="0" w:color="auto"/>
              <w:right w:val="single" w:sz="12" w:space="0" w:color="auto"/>
            </w:tcBorders>
          </w:tcPr>
          <w:p w14:paraId="497D9EBB" w14:textId="52AA4014"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 xml:space="preserve">Molecular testing or appropriate IHC results from CLIA-certified laboratories used for patient eligibility should be obtained from the most recent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biopsy (baseline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biopsies and on-progression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biopsies are optional)</w:t>
            </w:r>
          </w:p>
        </w:tc>
      </w:tr>
      <w:tr w:rsidR="002A7DD7" w:rsidRPr="002D1DD7" w14:paraId="21189D49" w14:textId="77777777" w:rsidTr="009126F0">
        <w:trPr>
          <w:trHeight w:val="1079"/>
        </w:trPr>
        <w:tc>
          <w:tcPr>
            <w:tcW w:w="1103" w:type="dxa"/>
            <w:vMerge/>
            <w:tcBorders>
              <w:left w:val="single" w:sz="12" w:space="0" w:color="auto"/>
            </w:tcBorders>
          </w:tcPr>
          <w:p w14:paraId="5CE3346B"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135EE655"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Relapsed or refractory tumour</w:t>
            </w:r>
          </w:p>
        </w:tc>
        <w:tc>
          <w:tcPr>
            <w:tcW w:w="1717" w:type="dxa"/>
            <w:tcBorders>
              <w:top w:val="single" w:sz="12" w:space="0" w:color="auto"/>
              <w:bottom w:val="single" w:sz="12" w:space="0" w:color="auto"/>
            </w:tcBorders>
          </w:tcPr>
          <w:p w14:paraId="3AB70F37"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NCT02813135  </w:t>
            </w:r>
          </w:p>
        </w:tc>
        <w:tc>
          <w:tcPr>
            <w:tcW w:w="2166" w:type="dxa"/>
            <w:tcBorders>
              <w:top w:val="single" w:sz="12" w:space="0" w:color="auto"/>
              <w:bottom w:val="single" w:sz="12" w:space="0" w:color="auto"/>
            </w:tcBorders>
          </w:tcPr>
          <w:p w14:paraId="1BCF7DA2"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21382BA" w14:textId="77777777" w:rsidR="002A7DD7" w:rsidRPr="002D1DD7" w:rsidRDefault="002A7DD7" w:rsidP="009A66EC">
            <w:pPr>
              <w:pStyle w:val="ListParagraph"/>
              <w:numPr>
                <w:ilvl w:val="0"/>
                <w:numId w:val="36"/>
              </w:numPr>
              <w:spacing w:before="0" w:after="0"/>
              <w:rPr>
                <w:rFonts w:ascii="Arial" w:hAnsi="Arial" w:cs="Arial"/>
                <w:sz w:val="12"/>
                <w:szCs w:val="12"/>
              </w:rPr>
            </w:pPr>
            <w:r w:rsidRPr="002D1DD7">
              <w:rPr>
                <w:rFonts w:ascii="Arial" w:hAnsi="Arial" w:cs="Arial"/>
                <w:sz w:val="12"/>
                <w:szCs w:val="12"/>
              </w:rPr>
              <w:t>ORR (56 days)</w:t>
            </w:r>
          </w:p>
          <w:p w14:paraId="418AC900" w14:textId="77777777" w:rsidR="002A7DD7" w:rsidRPr="002D1DD7" w:rsidRDefault="002A7DD7" w:rsidP="009A66EC">
            <w:pPr>
              <w:pStyle w:val="ListParagraph"/>
              <w:numPr>
                <w:ilvl w:val="0"/>
                <w:numId w:val="36"/>
              </w:numPr>
              <w:spacing w:before="0" w:after="0"/>
              <w:rPr>
                <w:rFonts w:ascii="Arial" w:hAnsi="Arial" w:cs="Arial"/>
                <w:sz w:val="12"/>
                <w:szCs w:val="12"/>
              </w:rPr>
            </w:pPr>
            <w:r w:rsidRPr="002D1DD7">
              <w:rPr>
                <w:rFonts w:ascii="Arial" w:hAnsi="Arial" w:cs="Arial"/>
                <w:sz w:val="12"/>
                <w:szCs w:val="12"/>
              </w:rPr>
              <w:t>TTP (56 days)</w:t>
            </w:r>
          </w:p>
        </w:tc>
        <w:tc>
          <w:tcPr>
            <w:tcW w:w="2213" w:type="dxa"/>
            <w:tcBorders>
              <w:top w:val="single" w:sz="12" w:space="0" w:color="auto"/>
              <w:bottom w:val="single" w:sz="12" w:space="0" w:color="auto"/>
            </w:tcBorders>
          </w:tcPr>
          <w:p w14:paraId="044DDE05" w14:textId="34945377" w:rsidR="002A7DD7" w:rsidRPr="002D1DD7" w:rsidRDefault="002A7DD7" w:rsidP="002A7DD7">
            <w:pPr>
              <w:rPr>
                <w:rFonts w:ascii="Arial" w:hAnsi="Arial" w:cs="Arial"/>
                <w:sz w:val="12"/>
                <w:szCs w:val="12"/>
              </w:rPr>
            </w:pPr>
            <w:r w:rsidRPr="002D1DD7">
              <w:rPr>
                <w:rFonts w:ascii="Arial" w:hAnsi="Arial" w:cs="Arial"/>
                <w:sz w:val="12"/>
                <w:szCs w:val="12"/>
              </w:rPr>
              <w:t>Phase I/II</w:t>
            </w:r>
            <w:r w:rsidR="00787BBC" w:rsidRPr="002D1DD7">
              <w:rPr>
                <w:rFonts w:ascii="Arial" w:hAnsi="Arial" w:cs="Arial"/>
                <w:sz w:val="12"/>
                <w:szCs w:val="12"/>
              </w:rPr>
              <w:t xml:space="preserve"> basket</w:t>
            </w:r>
          </w:p>
          <w:p w14:paraId="3A4B2834"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397 participants</w:t>
            </w:r>
          </w:p>
          <w:p w14:paraId="128AAA6B" w14:textId="7C3D5E50"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E4367D" w:rsidRPr="002D1DD7">
              <w:rPr>
                <w:rFonts w:ascii="Arial" w:hAnsi="Arial" w:cs="Arial"/>
                <w:sz w:val="12"/>
                <w:szCs w:val="12"/>
              </w:rPr>
              <w:t>N</w:t>
            </w:r>
            <w:r w:rsidRPr="002D1DD7">
              <w:rPr>
                <w:rFonts w:ascii="Arial" w:hAnsi="Arial" w:cs="Arial"/>
                <w:sz w:val="12"/>
                <w:szCs w:val="12"/>
              </w:rPr>
              <w:t>on-</w:t>
            </w:r>
            <w:r w:rsidR="00E4367D" w:rsidRPr="002D1DD7">
              <w:rPr>
                <w:rFonts w:ascii="Arial" w:hAnsi="Arial" w:cs="Arial"/>
                <w:sz w:val="12"/>
                <w:szCs w:val="12"/>
              </w:rPr>
              <w:t>R</w:t>
            </w:r>
            <w:r w:rsidRPr="002D1DD7">
              <w:rPr>
                <w:rFonts w:ascii="Arial" w:hAnsi="Arial" w:cs="Arial"/>
                <w:sz w:val="12"/>
                <w:szCs w:val="12"/>
              </w:rPr>
              <w:t>andomi</w:t>
            </w:r>
            <w:r w:rsidR="00E4367D" w:rsidRPr="002D1DD7">
              <w:rPr>
                <w:rFonts w:ascii="Arial" w:hAnsi="Arial" w:cs="Arial"/>
                <w:sz w:val="12"/>
                <w:szCs w:val="12"/>
              </w:rPr>
              <w:t>s</w:t>
            </w:r>
            <w:r w:rsidRPr="002D1DD7">
              <w:rPr>
                <w:rFonts w:ascii="Arial" w:hAnsi="Arial" w:cs="Arial"/>
                <w:sz w:val="12"/>
                <w:szCs w:val="12"/>
              </w:rPr>
              <w:t xml:space="preserve">ed </w:t>
            </w:r>
          </w:p>
          <w:p w14:paraId="6CB88C5B"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3 August 2016</w:t>
            </w:r>
          </w:p>
          <w:p w14:paraId="7EED75D1"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January 2022</w:t>
            </w:r>
          </w:p>
          <w:p w14:paraId="5099B133" w14:textId="59582D61" w:rsidR="002A7DD7" w:rsidRPr="002D1DD7" w:rsidRDefault="002A7DD7" w:rsidP="002A7DD7">
            <w:pPr>
              <w:rPr>
                <w:rFonts w:ascii="Arial" w:hAnsi="Arial" w:cs="Arial"/>
                <w:sz w:val="12"/>
                <w:szCs w:val="12"/>
              </w:rPr>
            </w:pPr>
            <w:r w:rsidRPr="002D1DD7">
              <w:rPr>
                <w:rFonts w:ascii="Arial" w:hAnsi="Arial" w:cs="Arial"/>
                <w:sz w:val="12"/>
                <w:szCs w:val="12"/>
              </w:rPr>
              <w:t>Estimated study completion: January 2022</w:t>
            </w:r>
          </w:p>
        </w:tc>
        <w:tc>
          <w:tcPr>
            <w:tcW w:w="2642" w:type="dxa"/>
            <w:tcBorders>
              <w:top w:val="single" w:sz="12" w:space="0" w:color="auto"/>
              <w:bottom w:val="single" w:sz="12" w:space="0" w:color="auto"/>
            </w:tcBorders>
          </w:tcPr>
          <w:p w14:paraId="332FE033" w14:textId="224B5A1D"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&lt;18 years with haematologic or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malignancy that has progressed despite standard therapy, or for which no effective standard therapy exists</w:t>
            </w:r>
          </w:p>
        </w:tc>
        <w:tc>
          <w:tcPr>
            <w:tcW w:w="2114" w:type="dxa"/>
            <w:tcBorders>
              <w:top w:val="single" w:sz="12" w:space="0" w:color="auto"/>
              <w:bottom w:val="single" w:sz="12" w:space="0" w:color="auto"/>
              <w:right w:val="single" w:sz="12" w:space="0" w:color="auto"/>
            </w:tcBorders>
          </w:tcPr>
          <w:p w14:paraId="4EB8C2DE" w14:textId="2E82552A"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 xml:space="preserve">Patient must have had advanced molecular profiling (i.e. WES/WGS +/- RNAseq) of their recurrent or refractory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i.e. at the time of disease progression/relapse; exceptionally patients with advanced molecular profiling at diagnosis may be allowed</w:t>
            </w:r>
          </w:p>
        </w:tc>
      </w:tr>
      <w:tr w:rsidR="002A7DD7" w:rsidRPr="002D1DD7" w14:paraId="20F8A0D1" w14:textId="77777777" w:rsidTr="009126F0">
        <w:trPr>
          <w:trHeight w:val="1079"/>
        </w:trPr>
        <w:tc>
          <w:tcPr>
            <w:tcW w:w="1103" w:type="dxa"/>
            <w:vMerge/>
            <w:tcBorders>
              <w:left w:val="single" w:sz="12" w:space="0" w:color="auto"/>
            </w:tcBorders>
          </w:tcPr>
          <w:p w14:paraId="4856BCCE"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42960905" w14:textId="70E09B8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Advanced cancer whose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harbors a genomic variant known to be a drug target or to predict sensitivity to a drug</w:t>
            </w:r>
          </w:p>
        </w:tc>
        <w:tc>
          <w:tcPr>
            <w:tcW w:w="1717" w:type="dxa"/>
            <w:tcBorders>
              <w:top w:val="single" w:sz="12" w:space="0" w:color="auto"/>
              <w:bottom w:val="single" w:sz="12" w:space="0" w:color="auto"/>
            </w:tcBorders>
          </w:tcPr>
          <w:p w14:paraId="10E4EB0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NCT02693535</w:t>
            </w:r>
          </w:p>
        </w:tc>
        <w:tc>
          <w:tcPr>
            <w:tcW w:w="2166" w:type="dxa"/>
            <w:tcBorders>
              <w:top w:val="single" w:sz="12" w:space="0" w:color="auto"/>
              <w:bottom w:val="single" w:sz="12" w:space="0" w:color="auto"/>
            </w:tcBorders>
          </w:tcPr>
          <w:p w14:paraId="3918EF5D"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CA3A6BE" w14:textId="77777777" w:rsidR="002A7DD7" w:rsidRPr="002D1DD7" w:rsidRDefault="002A7DD7" w:rsidP="009A66EC">
            <w:pPr>
              <w:pStyle w:val="ListParagraph"/>
              <w:numPr>
                <w:ilvl w:val="0"/>
                <w:numId w:val="37"/>
              </w:numPr>
              <w:spacing w:before="0" w:after="0"/>
              <w:rPr>
                <w:rFonts w:ascii="Arial" w:hAnsi="Arial" w:cs="Arial"/>
                <w:sz w:val="12"/>
                <w:szCs w:val="12"/>
              </w:rPr>
            </w:pPr>
            <w:r w:rsidRPr="002D1DD7">
              <w:rPr>
                <w:rFonts w:ascii="Arial" w:hAnsi="Arial" w:cs="Arial"/>
                <w:sz w:val="12"/>
                <w:szCs w:val="12"/>
              </w:rPr>
              <w:t>ORR (at 16 weeks of treatment)</w:t>
            </w:r>
          </w:p>
          <w:p w14:paraId="7D408656" w14:textId="77777777" w:rsidR="002A7DD7" w:rsidRPr="002D1DD7" w:rsidRDefault="002A7DD7" w:rsidP="002A7DD7">
            <w:pPr>
              <w:rPr>
                <w:rFonts w:ascii="Arial" w:hAnsi="Arial" w:cs="Arial"/>
                <w:sz w:val="12"/>
                <w:szCs w:val="12"/>
              </w:rPr>
            </w:pPr>
          </w:p>
          <w:p w14:paraId="2F6E7DBD"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3CDA9619" w14:textId="77777777" w:rsidR="002A7DD7" w:rsidRPr="002D1DD7" w:rsidRDefault="002A7DD7" w:rsidP="009A66EC">
            <w:pPr>
              <w:pStyle w:val="ListParagraph"/>
              <w:numPr>
                <w:ilvl w:val="0"/>
                <w:numId w:val="38"/>
              </w:numPr>
              <w:spacing w:before="0" w:after="0"/>
              <w:rPr>
                <w:rFonts w:ascii="Arial" w:hAnsi="Arial" w:cs="Arial"/>
                <w:b/>
                <w:sz w:val="12"/>
                <w:szCs w:val="12"/>
              </w:rPr>
            </w:pPr>
            <w:r w:rsidRPr="002D1DD7">
              <w:rPr>
                <w:rFonts w:ascii="Arial" w:hAnsi="Arial" w:cs="Arial"/>
                <w:sz w:val="12"/>
                <w:szCs w:val="12"/>
              </w:rPr>
              <w:t>OS (up to 3 years)</w:t>
            </w:r>
          </w:p>
        </w:tc>
        <w:tc>
          <w:tcPr>
            <w:tcW w:w="2213" w:type="dxa"/>
            <w:tcBorders>
              <w:top w:val="single" w:sz="12" w:space="0" w:color="auto"/>
              <w:bottom w:val="single" w:sz="12" w:space="0" w:color="auto"/>
            </w:tcBorders>
          </w:tcPr>
          <w:p w14:paraId="28BD2024" w14:textId="207FB970" w:rsidR="002A7DD7" w:rsidRPr="002D1DD7" w:rsidRDefault="002A7DD7" w:rsidP="002A7DD7">
            <w:pPr>
              <w:rPr>
                <w:rFonts w:ascii="Arial" w:hAnsi="Arial" w:cs="Arial"/>
                <w:sz w:val="12"/>
                <w:szCs w:val="12"/>
              </w:rPr>
            </w:pPr>
            <w:r w:rsidRPr="002D1DD7">
              <w:rPr>
                <w:rFonts w:ascii="Arial" w:hAnsi="Arial" w:cs="Arial"/>
                <w:sz w:val="12"/>
                <w:szCs w:val="12"/>
              </w:rPr>
              <w:t>Phase II</w:t>
            </w:r>
            <w:r w:rsidR="00787BBC" w:rsidRPr="002D1DD7">
              <w:rPr>
                <w:rFonts w:ascii="Arial" w:hAnsi="Arial" w:cs="Arial"/>
                <w:sz w:val="12"/>
                <w:szCs w:val="12"/>
              </w:rPr>
              <w:t xml:space="preserve"> </w:t>
            </w:r>
            <w:r w:rsidR="00050D88" w:rsidRPr="002D1DD7">
              <w:rPr>
                <w:rFonts w:ascii="Arial" w:hAnsi="Arial" w:cs="Arial"/>
                <w:sz w:val="12"/>
                <w:szCs w:val="12"/>
              </w:rPr>
              <w:t>(separate cohorts specified)</w:t>
            </w:r>
          </w:p>
          <w:p w14:paraId="7A86BD7F"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2980</w:t>
            </w:r>
          </w:p>
          <w:p w14:paraId="1E20A8BA" w14:textId="5F58885E"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E4367D" w:rsidRPr="002D1DD7">
              <w:rPr>
                <w:rFonts w:ascii="Arial" w:hAnsi="Arial" w:cs="Arial"/>
                <w:sz w:val="12"/>
                <w:szCs w:val="12"/>
              </w:rPr>
              <w:t>N</w:t>
            </w:r>
            <w:r w:rsidRPr="002D1DD7">
              <w:rPr>
                <w:rFonts w:ascii="Arial" w:hAnsi="Arial" w:cs="Arial"/>
                <w:sz w:val="12"/>
                <w:szCs w:val="12"/>
              </w:rPr>
              <w:t>on-</w:t>
            </w:r>
            <w:r w:rsidR="00E4367D" w:rsidRPr="002D1DD7">
              <w:rPr>
                <w:rFonts w:ascii="Arial" w:hAnsi="Arial" w:cs="Arial"/>
                <w:sz w:val="12"/>
                <w:szCs w:val="12"/>
              </w:rPr>
              <w:t>R</w:t>
            </w:r>
            <w:r w:rsidRPr="002D1DD7">
              <w:rPr>
                <w:rFonts w:ascii="Arial" w:hAnsi="Arial" w:cs="Arial"/>
                <w:sz w:val="12"/>
                <w:szCs w:val="12"/>
              </w:rPr>
              <w:t>andomi</w:t>
            </w:r>
            <w:r w:rsidR="00E4367D" w:rsidRPr="002D1DD7">
              <w:rPr>
                <w:rFonts w:ascii="Arial" w:hAnsi="Arial" w:cs="Arial"/>
                <w:sz w:val="12"/>
                <w:szCs w:val="12"/>
              </w:rPr>
              <w:t>s</w:t>
            </w:r>
            <w:r w:rsidRPr="002D1DD7">
              <w:rPr>
                <w:rFonts w:ascii="Arial" w:hAnsi="Arial" w:cs="Arial"/>
                <w:sz w:val="12"/>
                <w:szCs w:val="12"/>
              </w:rPr>
              <w:t xml:space="preserve">ed </w:t>
            </w:r>
          </w:p>
          <w:p w14:paraId="647E584A"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March 2016</w:t>
            </w:r>
          </w:p>
          <w:p w14:paraId="5E0DF84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December 2021</w:t>
            </w:r>
          </w:p>
          <w:p w14:paraId="58FBB7FA" w14:textId="77777777" w:rsidR="002A7DD7" w:rsidRPr="002D1DD7" w:rsidRDefault="002A7DD7" w:rsidP="002A7DD7">
            <w:pPr>
              <w:rPr>
                <w:rFonts w:ascii="Arial" w:hAnsi="Arial" w:cs="Arial"/>
                <w:sz w:val="12"/>
                <w:szCs w:val="12"/>
              </w:rPr>
            </w:pPr>
          </w:p>
          <w:p w14:paraId="4BCDE463" w14:textId="77777777" w:rsidR="002A7DD7" w:rsidRPr="002D1DD7" w:rsidRDefault="002A7DD7" w:rsidP="002A7DD7">
            <w:pPr>
              <w:rPr>
                <w:rFonts w:ascii="Arial" w:hAnsi="Arial" w:cs="Arial"/>
                <w:sz w:val="12"/>
                <w:szCs w:val="12"/>
              </w:rPr>
            </w:pPr>
          </w:p>
        </w:tc>
        <w:tc>
          <w:tcPr>
            <w:tcW w:w="2642" w:type="dxa"/>
            <w:tcBorders>
              <w:top w:val="single" w:sz="12" w:space="0" w:color="auto"/>
              <w:bottom w:val="single" w:sz="12" w:space="0" w:color="auto"/>
            </w:tcBorders>
          </w:tcPr>
          <w:p w14:paraId="34BF7964" w14:textId="6D31B74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=12 years with Histologically-proven locally advanced or metastatic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multiple myeloma or B cell non-Hodgkin lymphoma who is no longer benefiting from standard anti-cancer treatment or for whom, in the opinion of the treating physician, no such treatment is available or indicated</w:t>
            </w:r>
          </w:p>
        </w:tc>
        <w:tc>
          <w:tcPr>
            <w:tcW w:w="2114" w:type="dxa"/>
            <w:tcBorders>
              <w:top w:val="single" w:sz="12" w:space="0" w:color="auto"/>
              <w:bottom w:val="single" w:sz="12" w:space="0" w:color="auto"/>
              <w:right w:val="single" w:sz="12" w:space="0" w:color="auto"/>
            </w:tcBorders>
          </w:tcPr>
          <w:p w14:paraId="30A0B97C" w14:textId="14A8328A"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 xml:space="preserve">Results must be available from a genomic test or immunohistochemistry (IHC) test for protein expression performed in a Clinical Laboratory Improvement Amendments (CLIA)-certified, College of American Pathologists (CAP) -accredited, New York State accredited (for labs offering services to residents of NY) laboratory that has registered the test with the National Institutes of Health (NIH) Genetic Test Registry or has established an integration with the TAPUR platform. The genomic or IHC test used to qualify a patient for participation in TAPUR may have been performed on any specimen of the patient's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obtained at any point during the patient's care at the discretion of the patient's treating physician. Genomic assays performed on cell-free DNA in plasma ("liquid biopsies") will also be acceptable if the genomic analysis is performed in a laboratory that meets the criteria described above.</w:t>
            </w:r>
          </w:p>
        </w:tc>
      </w:tr>
      <w:tr w:rsidR="002A7DD7" w:rsidRPr="002D1DD7" w14:paraId="1F324C23" w14:textId="77777777" w:rsidTr="009126F0">
        <w:trPr>
          <w:trHeight w:val="1079"/>
        </w:trPr>
        <w:tc>
          <w:tcPr>
            <w:tcW w:w="1103" w:type="dxa"/>
            <w:vMerge/>
            <w:tcBorders>
              <w:left w:val="single" w:sz="12" w:space="0" w:color="auto"/>
            </w:tcBorders>
          </w:tcPr>
          <w:p w14:paraId="7D3E3270"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5621DB96" w14:textId="2080B05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Relapsed or Refractory 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Non-Hodgkin Lymphomas, or Histiocytic Disorders</w:t>
            </w:r>
          </w:p>
        </w:tc>
        <w:tc>
          <w:tcPr>
            <w:tcW w:w="1717" w:type="dxa"/>
            <w:tcBorders>
              <w:top w:val="single" w:sz="12" w:space="0" w:color="auto"/>
              <w:bottom w:val="single" w:sz="12" w:space="0" w:color="auto"/>
            </w:tcBorders>
          </w:tcPr>
          <w:p w14:paraId="6BF1EEB8"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NCT03155620</w:t>
            </w:r>
          </w:p>
        </w:tc>
        <w:tc>
          <w:tcPr>
            <w:tcW w:w="2166" w:type="dxa"/>
            <w:tcBorders>
              <w:top w:val="single" w:sz="12" w:space="0" w:color="auto"/>
              <w:bottom w:val="single" w:sz="12" w:space="0" w:color="auto"/>
            </w:tcBorders>
          </w:tcPr>
          <w:p w14:paraId="3B5FF1E5"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6ACFAB24" w14:textId="77777777" w:rsidR="002A7DD7" w:rsidRPr="002D1DD7" w:rsidRDefault="002A7DD7" w:rsidP="009A66EC">
            <w:pPr>
              <w:pStyle w:val="ListParagraph"/>
              <w:numPr>
                <w:ilvl w:val="0"/>
                <w:numId w:val="39"/>
              </w:numPr>
              <w:spacing w:before="0" w:after="0"/>
              <w:rPr>
                <w:rFonts w:ascii="Arial" w:hAnsi="Arial" w:cs="Arial"/>
                <w:sz w:val="12"/>
                <w:szCs w:val="12"/>
              </w:rPr>
            </w:pPr>
            <w:r w:rsidRPr="002D1DD7">
              <w:rPr>
                <w:rFonts w:ascii="Arial" w:hAnsi="Arial" w:cs="Arial"/>
                <w:sz w:val="12"/>
                <w:szCs w:val="12"/>
              </w:rPr>
              <w:t>ORR (up to 4 years)</w:t>
            </w:r>
          </w:p>
          <w:p w14:paraId="3BE572D3" w14:textId="77777777" w:rsidR="002A7DD7" w:rsidRPr="002D1DD7" w:rsidRDefault="002A7DD7" w:rsidP="002A7DD7">
            <w:pPr>
              <w:rPr>
                <w:rFonts w:ascii="Arial" w:hAnsi="Arial" w:cs="Arial"/>
                <w:sz w:val="12"/>
                <w:szCs w:val="12"/>
              </w:rPr>
            </w:pPr>
          </w:p>
          <w:p w14:paraId="6C72CE1C"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0B59F0A0" w14:textId="77777777" w:rsidR="002A7DD7" w:rsidRPr="002D1DD7" w:rsidRDefault="002A7DD7" w:rsidP="009A66EC">
            <w:pPr>
              <w:pStyle w:val="ListParagraph"/>
              <w:numPr>
                <w:ilvl w:val="0"/>
                <w:numId w:val="40"/>
              </w:numPr>
              <w:spacing w:before="0" w:after="0"/>
              <w:rPr>
                <w:rFonts w:ascii="Arial" w:hAnsi="Arial" w:cs="Arial"/>
                <w:b/>
                <w:sz w:val="12"/>
                <w:szCs w:val="12"/>
              </w:rPr>
            </w:pPr>
            <w:r w:rsidRPr="002D1DD7">
              <w:rPr>
                <w:rFonts w:ascii="Arial" w:hAnsi="Arial" w:cs="Arial"/>
                <w:sz w:val="12"/>
                <w:szCs w:val="12"/>
              </w:rPr>
              <w:t>Safety (up to 4 years)</w:t>
            </w:r>
          </w:p>
          <w:p w14:paraId="1470E5B2" w14:textId="77777777" w:rsidR="002A7DD7" w:rsidRPr="002D1DD7" w:rsidRDefault="002A7DD7" w:rsidP="009A66EC">
            <w:pPr>
              <w:pStyle w:val="ListParagraph"/>
              <w:numPr>
                <w:ilvl w:val="0"/>
                <w:numId w:val="40"/>
              </w:numPr>
              <w:spacing w:before="0" w:after="0"/>
              <w:rPr>
                <w:rFonts w:ascii="Arial" w:hAnsi="Arial" w:cs="Arial"/>
                <w:b/>
                <w:sz w:val="12"/>
                <w:szCs w:val="12"/>
              </w:rPr>
            </w:pPr>
            <w:r w:rsidRPr="002D1DD7">
              <w:rPr>
                <w:rFonts w:ascii="Arial" w:hAnsi="Arial" w:cs="Arial"/>
                <w:sz w:val="12"/>
                <w:szCs w:val="12"/>
              </w:rPr>
              <w:t>PFS (up to 4 years)</w:t>
            </w:r>
          </w:p>
          <w:p w14:paraId="4A28A0A6" w14:textId="77777777" w:rsidR="002A7DD7" w:rsidRPr="002D1DD7" w:rsidRDefault="002A7DD7" w:rsidP="009A66EC">
            <w:pPr>
              <w:pStyle w:val="ListParagraph"/>
              <w:numPr>
                <w:ilvl w:val="0"/>
                <w:numId w:val="40"/>
              </w:numPr>
              <w:spacing w:before="0" w:after="0"/>
              <w:rPr>
                <w:rFonts w:ascii="Arial" w:hAnsi="Arial" w:cs="Arial"/>
                <w:b/>
                <w:sz w:val="12"/>
                <w:szCs w:val="12"/>
              </w:rPr>
            </w:pPr>
            <w:r w:rsidRPr="002D1DD7">
              <w:rPr>
                <w:rFonts w:ascii="Arial" w:hAnsi="Arial" w:cs="Arial"/>
                <w:sz w:val="12"/>
                <w:szCs w:val="12"/>
              </w:rPr>
              <w:t>PK (up to 4 years)</w:t>
            </w:r>
          </w:p>
          <w:p w14:paraId="13A7E8FC" w14:textId="77777777" w:rsidR="002A7DD7" w:rsidRPr="002D1DD7" w:rsidRDefault="002A7DD7" w:rsidP="002A7DD7">
            <w:pPr>
              <w:rPr>
                <w:rFonts w:ascii="Arial" w:hAnsi="Arial" w:cs="Arial"/>
                <w:b/>
                <w:sz w:val="12"/>
                <w:szCs w:val="12"/>
              </w:rPr>
            </w:pPr>
          </w:p>
          <w:p w14:paraId="2BA1B582" w14:textId="77777777" w:rsidR="002A7DD7" w:rsidRPr="002D1DD7" w:rsidRDefault="002A7DD7" w:rsidP="002A7DD7">
            <w:pPr>
              <w:rPr>
                <w:rFonts w:ascii="Arial" w:hAnsi="Arial" w:cs="Arial"/>
                <w:b/>
                <w:sz w:val="12"/>
                <w:szCs w:val="12"/>
              </w:rPr>
            </w:pPr>
            <w:r w:rsidRPr="002D1DD7">
              <w:rPr>
                <w:rFonts w:ascii="Arial" w:hAnsi="Arial" w:cs="Arial"/>
                <w:b/>
                <w:sz w:val="12"/>
                <w:szCs w:val="12"/>
              </w:rPr>
              <w:t>Other</w:t>
            </w:r>
          </w:p>
          <w:p w14:paraId="75BD0B46" w14:textId="77777777" w:rsidR="002A7DD7" w:rsidRPr="002D1DD7" w:rsidRDefault="002A7DD7" w:rsidP="009A66EC">
            <w:pPr>
              <w:pStyle w:val="ListParagraph"/>
              <w:numPr>
                <w:ilvl w:val="0"/>
                <w:numId w:val="41"/>
              </w:numPr>
              <w:spacing w:before="0" w:after="0"/>
              <w:rPr>
                <w:rFonts w:ascii="Arial" w:hAnsi="Arial" w:cs="Arial"/>
                <w:sz w:val="12"/>
                <w:szCs w:val="12"/>
              </w:rPr>
            </w:pPr>
            <w:r w:rsidRPr="002D1DD7">
              <w:rPr>
                <w:rFonts w:ascii="Arial" w:hAnsi="Arial" w:cs="Arial"/>
                <w:sz w:val="12"/>
                <w:szCs w:val="12"/>
              </w:rPr>
              <w:t>Genomics (up to 4 years)</w:t>
            </w:r>
          </w:p>
        </w:tc>
        <w:tc>
          <w:tcPr>
            <w:tcW w:w="2213" w:type="dxa"/>
            <w:tcBorders>
              <w:top w:val="single" w:sz="12" w:space="0" w:color="auto"/>
              <w:bottom w:val="single" w:sz="12" w:space="0" w:color="auto"/>
            </w:tcBorders>
          </w:tcPr>
          <w:p w14:paraId="70666E78" w14:textId="7C7918DF"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w:t>
            </w:r>
            <w:r w:rsidR="005075FF" w:rsidRPr="002D1DD7">
              <w:rPr>
                <w:rFonts w:ascii="Arial" w:hAnsi="Arial" w:cs="Arial"/>
                <w:sz w:val="12"/>
                <w:szCs w:val="12"/>
              </w:rPr>
              <w:t>II</w:t>
            </w:r>
            <w:r w:rsidR="00787BBC" w:rsidRPr="002D1DD7">
              <w:rPr>
                <w:rFonts w:ascii="Arial" w:hAnsi="Arial" w:cs="Arial"/>
                <w:sz w:val="12"/>
                <w:szCs w:val="12"/>
              </w:rPr>
              <w:t xml:space="preserve"> </w:t>
            </w:r>
            <w:r w:rsidR="00050D88" w:rsidRPr="002D1DD7">
              <w:rPr>
                <w:rFonts w:ascii="Arial" w:hAnsi="Arial" w:cs="Arial"/>
                <w:sz w:val="12"/>
                <w:szCs w:val="12"/>
              </w:rPr>
              <w:t>(separate cohorts specified)</w:t>
            </w:r>
          </w:p>
          <w:p w14:paraId="24A8DD1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1000 participants</w:t>
            </w:r>
          </w:p>
          <w:p w14:paraId="458546A9" w14:textId="31AE6F26"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787BBC" w:rsidRPr="002D1DD7">
              <w:rPr>
                <w:rFonts w:ascii="Arial" w:hAnsi="Arial" w:cs="Arial"/>
                <w:sz w:val="12"/>
                <w:szCs w:val="12"/>
              </w:rPr>
              <w:t>N</w:t>
            </w:r>
            <w:r w:rsidRPr="002D1DD7">
              <w:rPr>
                <w:rFonts w:ascii="Arial" w:hAnsi="Arial" w:cs="Arial"/>
                <w:sz w:val="12"/>
                <w:szCs w:val="12"/>
              </w:rPr>
              <w:t>on-</w:t>
            </w:r>
            <w:r w:rsidR="00787BBC" w:rsidRPr="002D1DD7">
              <w:rPr>
                <w:rFonts w:ascii="Arial" w:hAnsi="Arial" w:cs="Arial"/>
                <w:sz w:val="12"/>
                <w:szCs w:val="12"/>
              </w:rPr>
              <w:t>R</w:t>
            </w:r>
            <w:r w:rsidRPr="002D1DD7">
              <w:rPr>
                <w:rFonts w:ascii="Arial" w:hAnsi="Arial" w:cs="Arial"/>
                <w:sz w:val="12"/>
                <w:szCs w:val="12"/>
              </w:rPr>
              <w:t>andomi</w:t>
            </w:r>
            <w:r w:rsidR="00787BBC" w:rsidRPr="002D1DD7">
              <w:rPr>
                <w:rFonts w:ascii="Arial" w:hAnsi="Arial" w:cs="Arial"/>
                <w:sz w:val="12"/>
                <w:szCs w:val="12"/>
              </w:rPr>
              <w:t>s</w:t>
            </w:r>
            <w:r w:rsidRPr="002D1DD7">
              <w:rPr>
                <w:rFonts w:ascii="Arial" w:hAnsi="Arial" w:cs="Arial"/>
                <w:sz w:val="12"/>
                <w:szCs w:val="12"/>
              </w:rPr>
              <w:t xml:space="preserve">ed </w:t>
            </w:r>
          </w:p>
          <w:p w14:paraId="24F4A859"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24 July 2017</w:t>
            </w:r>
          </w:p>
          <w:p w14:paraId="58EB27D6"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date: 30 September 2027</w:t>
            </w:r>
          </w:p>
          <w:p w14:paraId="50641DD9"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30 September 2027</w:t>
            </w:r>
          </w:p>
          <w:p w14:paraId="2BD9F742" w14:textId="77777777" w:rsidR="002A7DD7" w:rsidRPr="002D1DD7" w:rsidRDefault="002A7DD7" w:rsidP="002A7DD7">
            <w:pPr>
              <w:rPr>
                <w:rFonts w:ascii="Arial" w:hAnsi="Arial" w:cs="Arial"/>
                <w:sz w:val="12"/>
                <w:szCs w:val="12"/>
              </w:rPr>
            </w:pPr>
          </w:p>
        </w:tc>
        <w:tc>
          <w:tcPr>
            <w:tcW w:w="2642" w:type="dxa"/>
            <w:tcBorders>
              <w:top w:val="single" w:sz="12" w:space="0" w:color="auto"/>
              <w:bottom w:val="single" w:sz="12" w:space="0" w:color="auto"/>
            </w:tcBorders>
          </w:tcPr>
          <w:p w14:paraId="63EF6841" w14:textId="481CB95A"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Paediatric patients with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non-Hodgkin lymphomas, or histiocytic disorders that have progressed following at least one line of standard systemic therapy and/or for which no standard treatment exists that has been shown to prolong survival</w:t>
            </w:r>
          </w:p>
        </w:tc>
        <w:tc>
          <w:tcPr>
            <w:tcW w:w="2114" w:type="dxa"/>
            <w:tcBorders>
              <w:top w:val="single" w:sz="12" w:space="0" w:color="auto"/>
              <w:bottom w:val="single" w:sz="12" w:space="0" w:color="auto"/>
              <w:right w:val="single" w:sz="12" w:space="0" w:color="auto"/>
            </w:tcBorders>
          </w:tcPr>
          <w:p w14:paraId="727F782D"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2729058A" w14:textId="77777777" w:rsidTr="009126F0">
        <w:trPr>
          <w:trHeight w:val="1079"/>
        </w:trPr>
        <w:tc>
          <w:tcPr>
            <w:tcW w:w="1103" w:type="dxa"/>
            <w:vMerge/>
            <w:tcBorders>
              <w:left w:val="single" w:sz="12" w:space="0" w:color="auto"/>
            </w:tcBorders>
          </w:tcPr>
          <w:p w14:paraId="679FA2DE"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72381BC7"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Cancers of unknown primary site.</w:t>
            </w:r>
          </w:p>
        </w:tc>
        <w:tc>
          <w:tcPr>
            <w:tcW w:w="1717" w:type="dxa"/>
            <w:tcBorders>
              <w:top w:val="single" w:sz="12" w:space="0" w:color="auto"/>
              <w:bottom w:val="single" w:sz="12" w:space="0" w:color="auto"/>
            </w:tcBorders>
          </w:tcPr>
          <w:p w14:paraId="6D8E882B"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NCT03498521</w:t>
            </w:r>
          </w:p>
        </w:tc>
        <w:tc>
          <w:tcPr>
            <w:tcW w:w="2166" w:type="dxa"/>
            <w:tcBorders>
              <w:top w:val="single" w:sz="12" w:space="0" w:color="auto"/>
              <w:bottom w:val="single" w:sz="12" w:space="0" w:color="auto"/>
            </w:tcBorders>
          </w:tcPr>
          <w:p w14:paraId="100AC299"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7D82D7E" w14:textId="77777777" w:rsidR="002A7DD7" w:rsidRPr="002D1DD7" w:rsidRDefault="002A7DD7" w:rsidP="009A66EC">
            <w:pPr>
              <w:pStyle w:val="ListParagraph"/>
              <w:numPr>
                <w:ilvl w:val="0"/>
                <w:numId w:val="42"/>
              </w:numPr>
              <w:spacing w:before="0" w:after="0"/>
              <w:rPr>
                <w:rFonts w:ascii="Arial" w:hAnsi="Arial" w:cs="Arial"/>
                <w:sz w:val="12"/>
                <w:szCs w:val="12"/>
              </w:rPr>
            </w:pPr>
            <w:r w:rsidRPr="002D1DD7">
              <w:rPr>
                <w:rFonts w:ascii="Arial" w:hAnsi="Arial" w:cs="Arial"/>
                <w:sz w:val="12"/>
                <w:szCs w:val="12"/>
              </w:rPr>
              <w:t>PFS (up to 48 months)</w:t>
            </w:r>
          </w:p>
          <w:p w14:paraId="0B56004F" w14:textId="77777777" w:rsidR="002A7DD7" w:rsidRPr="002D1DD7" w:rsidRDefault="002A7DD7" w:rsidP="002A7DD7">
            <w:pPr>
              <w:rPr>
                <w:rFonts w:ascii="Arial" w:hAnsi="Arial" w:cs="Arial"/>
                <w:sz w:val="12"/>
                <w:szCs w:val="12"/>
              </w:rPr>
            </w:pPr>
          </w:p>
          <w:p w14:paraId="7D569FC0"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7F3B8CC5" w14:textId="77777777" w:rsidR="002A7DD7" w:rsidRPr="002D1DD7" w:rsidRDefault="002A7DD7" w:rsidP="009A66EC">
            <w:pPr>
              <w:pStyle w:val="ListParagraph"/>
              <w:numPr>
                <w:ilvl w:val="0"/>
                <w:numId w:val="43"/>
              </w:numPr>
              <w:spacing w:before="0" w:after="0"/>
              <w:rPr>
                <w:rFonts w:ascii="Arial" w:hAnsi="Arial" w:cs="Arial"/>
                <w:sz w:val="12"/>
                <w:szCs w:val="12"/>
              </w:rPr>
            </w:pPr>
            <w:r w:rsidRPr="002D1DD7">
              <w:rPr>
                <w:rFonts w:ascii="Arial" w:hAnsi="Arial" w:cs="Arial"/>
                <w:sz w:val="12"/>
                <w:szCs w:val="12"/>
              </w:rPr>
              <w:t>OS (up to 48 months)</w:t>
            </w:r>
          </w:p>
          <w:p w14:paraId="2A9463DE" w14:textId="77777777" w:rsidR="002A7DD7" w:rsidRPr="002D1DD7" w:rsidRDefault="002A7DD7" w:rsidP="009A66EC">
            <w:pPr>
              <w:pStyle w:val="ListParagraph"/>
              <w:numPr>
                <w:ilvl w:val="0"/>
                <w:numId w:val="43"/>
              </w:numPr>
              <w:spacing w:before="0" w:after="0"/>
              <w:rPr>
                <w:rFonts w:ascii="Arial" w:hAnsi="Arial" w:cs="Arial"/>
                <w:sz w:val="12"/>
                <w:szCs w:val="12"/>
              </w:rPr>
            </w:pPr>
            <w:r w:rsidRPr="002D1DD7">
              <w:rPr>
                <w:rFonts w:ascii="Arial" w:hAnsi="Arial" w:cs="Arial"/>
                <w:sz w:val="12"/>
                <w:szCs w:val="12"/>
              </w:rPr>
              <w:t xml:space="preserve">ORR </w:t>
            </w:r>
          </w:p>
          <w:p w14:paraId="19C810B2" w14:textId="77777777" w:rsidR="002A7DD7" w:rsidRPr="002D1DD7" w:rsidRDefault="002A7DD7" w:rsidP="009A66EC">
            <w:pPr>
              <w:pStyle w:val="ListParagraph"/>
              <w:numPr>
                <w:ilvl w:val="0"/>
                <w:numId w:val="43"/>
              </w:numPr>
              <w:spacing w:before="0" w:after="0"/>
              <w:rPr>
                <w:rFonts w:ascii="Arial" w:hAnsi="Arial" w:cs="Arial"/>
                <w:sz w:val="12"/>
                <w:szCs w:val="12"/>
              </w:rPr>
            </w:pPr>
            <w:r w:rsidRPr="002D1DD7">
              <w:rPr>
                <w:rFonts w:ascii="Arial" w:hAnsi="Arial" w:cs="Arial"/>
                <w:sz w:val="12"/>
                <w:szCs w:val="12"/>
              </w:rPr>
              <w:t>Duration of benefit (up to 48 months)</w:t>
            </w:r>
          </w:p>
          <w:p w14:paraId="2B35365C" w14:textId="77777777" w:rsidR="002A7DD7" w:rsidRPr="002D1DD7" w:rsidRDefault="002A7DD7" w:rsidP="009A66EC">
            <w:pPr>
              <w:pStyle w:val="ListParagraph"/>
              <w:numPr>
                <w:ilvl w:val="0"/>
                <w:numId w:val="43"/>
              </w:numPr>
              <w:spacing w:before="0" w:after="0"/>
              <w:rPr>
                <w:rFonts w:ascii="Arial" w:hAnsi="Arial" w:cs="Arial"/>
                <w:sz w:val="12"/>
                <w:szCs w:val="12"/>
              </w:rPr>
            </w:pPr>
            <w:r w:rsidRPr="002D1DD7">
              <w:rPr>
                <w:rFonts w:ascii="Arial" w:hAnsi="Arial" w:cs="Arial"/>
                <w:sz w:val="12"/>
                <w:szCs w:val="12"/>
              </w:rPr>
              <w:t>AE (up to 48 months)</w:t>
            </w:r>
          </w:p>
        </w:tc>
        <w:tc>
          <w:tcPr>
            <w:tcW w:w="2213" w:type="dxa"/>
            <w:tcBorders>
              <w:top w:val="single" w:sz="12" w:space="0" w:color="auto"/>
              <w:bottom w:val="single" w:sz="12" w:space="0" w:color="auto"/>
            </w:tcBorders>
          </w:tcPr>
          <w:p w14:paraId="33733C04" w14:textId="3475DA41"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w:t>
            </w:r>
            <w:r w:rsidR="005075FF" w:rsidRPr="002D1DD7">
              <w:rPr>
                <w:rFonts w:ascii="Arial" w:hAnsi="Arial" w:cs="Arial"/>
                <w:sz w:val="12"/>
                <w:szCs w:val="12"/>
              </w:rPr>
              <w:t>II</w:t>
            </w:r>
            <w:r w:rsidR="00050D88" w:rsidRPr="002D1DD7">
              <w:rPr>
                <w:rFonts w:ascii="Arial" w:hAnsi="Arial" w:cs="Arial"/>
                <w:sz w:val="12"/>
                <w:szCs w:val="12"/>
              </w:rPr>
              <w:t xml:space="preserve"> (separate cohorts specified)</w:t>
            </w:r>
          </w:p>
          <w:p w14:paraId="66D24210"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790 participants</w:t>
            </w:r>
          </w:p>
          <w:p w14:paraId="4293A791" w14:textId="3D3F4D48"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787BBC" w:rsidRPr="002D1DD7">
              <w:rPr>
                <w:rFonts w:ascii="Arial" w:hAnsi="Arial" w:cs="Arial"/>
                <w:sz w:val="12"/>
                <w:szCs w:val="12"/>
              </w:rPr>
              <w:t>R</w:t>
            </w:r>
            <w:r w:rsidRPr="002D1DD7">
              <w:rPr>
                <w:rFonts w:ascii="Arial" w:hAnsi="Arial" w:cs="Arial"/>
                <w:sz w:val="12"/>
                <w:szCs w:val="12"/>
              </w:rPr>
              <w:t>andomi</w:t>
            </w:r>
            <w:r w:rsidR="00787BBC" w:rsidRPr="002D1DD7">
              <w:rPr>
                <w:rFonts w:ascii="Arial" w:hAnsi="Arial" w:cs="Arial"/>
                <w:sz w:val="12"/>
                <w:szCs w:val="12"/>
              </w:rPr>
              <w:t>s</w:t>
            </w:r>
            <w:r w:rsidRPr="002D1DD7">
              <w:rPr>
                <w:rFonts w:ascii="Arial" w:hAnsi="Arial" w:cs="Arial"/>
                <w:sz w:val="12"/>
                <w:szCs w:val="12"/>
              </w:rPr>
              <w:t>ed</w:t>
            </w:r>
          </w:p>
          <w:p w14:paraId="35904895"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10 July 2018</w:t>
            </w:r>
          </w:p>
          <w:p w14:paraId="7B3D4CF9"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25 June 2021</w:t>
            </w:r>
          </w:p>
          <w:p w14:paraId="79BEEC48"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25 June 2022</w:t>
            </w:r>
          </w:p>
        </w:tc>
        <w:tc>
          <w:tcPr>
            <w:tcW w:w="2642" w:type="dxa"/>
            <w:tcBorders>
              <w:top w:val="single" w:sz="12" w:space="0" w:color="auto"/>
              <w:bottom w:val="single" w:sz="12" w:space="0" w:color="auto"/>
            </w:tcBorders>
          </w:tcPr>
          <w:p w14:paraId="2C7B81DD" w14:textId="047C6E5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with </w:t>
            </w:r>
            <w:r w:rsidR="009C3A69" w:rsidRPr="002D1DD7">
              <w:rPr>
                <w:rFonts w:ascii="Arial" w:hAnsi="Arial" w:cs="Arial"/>
                <w:color w:val="000000"/>
                <w:sz w:val="12"/>
                <w:szCs w:val="12"/>
                <w:shd w:val="clear" w:color="auto" w:fill="FFFFFF"/>
              </w:rPr>
              <w:t>h</w:t>
            </w:r>
            <w:r w:rsidRPr="002D1DD7">
              <w:rPr>
                <w:rFonts w:ascii="Arial" w:hAnsi="Arial" w:cs="Arial"/>
                <w:color w:val="000000"/>
                <w:sz w:val="12"/>
                <w:szCs w:val="12"/>
                <w:shd w:val="clear" w:color="auto" w:fill="FFFFFF"/>
              </w:rPr>
              <w:t>istologically-confirmed cancer of unknown primary site (CUP)(non-specific subset) according to criteria from the European Society for Medical Oncology, version 1 (ESMO v1), who have achieved disease control after 3 cycles of first-line platinum doublet induction chemotherapy.</w:t>
            </w:r>
          </w:p>
        </w:tc>
        <w:tc>
          <w:tcPr>
            <w:tcW w:w="2114" w:type="dxa"/>
            <w:tcBorders>
              <w:top w:val="single" w:sz="12" w:space="0" w:color="auto"/>
              <w:bottom w:val="single" w:sz="12" w:space="0" w:color="auto"/>
              <w:right w:val="single" w:sz="12" w:space="0" w:color="auto"/>
            </w:tcBorders>
          </w:tcPr>
          <w:p w14:paraId="1931D0EE"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26E780E0" w14:textId="77777777" w:rsidTr="009126F0">
        <w:trPr>
          <w:trHeight w:val="1079"/>
        </w:trPr>
        <w:tc>
          <w:tcPr>
            <w:tcW w:w="1103" w:type="dxa"/>
            <w:vMerge/>
            <w:tcBorders>
              <w:left w:val="single" w:sz="12" w:space="0" w:color="auto"/>
            </w:tcBorders>
          </w:tcPr>
          <w:p w14:paraId="6BC6591F"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3355D9DF" w14:textId="37E36992"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Non-Hodgkin lymphopma, multiple myeloma, 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w:t>
            </w:r>
          </w:p>
        </w:tc>
        <w:tc>
          <w:tcPr>
            <w:tcW w:w="1717" w:type="dxa"/>
            <w:tcBorders>
              <w:top w:val="single" w:sz="12" w:space="0" w:color="auto"/>
              <w:bottom w:val="single" w:sz="12" w:space="0" w:color="auto"/>
            </w:tcBorders>
          </w:tcPr>
          <w:p w14:paraId="7F941128"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NCT03297606</w:t>
            </w:r>
          </w:p>
        </w:tc>
        <w:tc>
          <w:tcPr>
            <w:tcW w:w="2166" w:type="dxa"/>
            <w:tcBorders>
              <w:top w:val="single" w:sz="12" w:space="0" w:color="auto"/>
              <w:bottom w:val="single" w:sz="12" w:space="0" w:color="auto"/>
            </w:tcBorders>
          </w:tcPr>
          <w:p w14:paraId="6E6320DE"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6BF0CFDE" w14:textId="77777777" w:rsidR="002A7DD7" w:rsidRPr="002D1DD7" w:rsidRDefault="002A7DD7" w:rsidP="009A66EC">
            <w:pPr>
              <w:pStyle w:val="ListParagraph"/>
              <w:numPr>
                <w:ilvl w:val="0"/>
                <w:numId w:val="44"/>
              </w:numPr>
              <w:spacing w:before="0" w:after="0"/>
              <w:rPr>
                <w:rFonts w:ascii="Arial" w:hAnsi="Arial" w:cs="Arial"/>
                <w:sz w:val="12"/>
                <w:szCs w:val="12"/>
              </w:rPr>
            </w:pPr>
            <w:r w:rsidRPr="002D1DD7">
              <w:rPr>
                <w:rFonts w:ascii="Arial" w:hAnsi="Arial" w:cs="Arial"/>
                <w:sz w:val="12"/>
                <w:szCs w:val="12"/>
              </w:rPr>
              <w:t>ORR (4 years)</w:t>
            </w:r>
          </w:p>
          <w:p w14:paraId="10637528" w14:textId="77777777" w:rsidR="002A7DD7" w:rsidRPr="002D1DD7" w:rsidRDefault="002A7DD7" w:rsidP="002A7DD7">
            <w:pPr>
              <w:rPr>
                <w:rFonts w:ascii="Arial" w:hAnsi="Arial" w:cs="Arial"/>
                <w:sz w:val="12"/>
                <w:szCs w:val="12"/>
              </w:rPr>
            </w:pPr>
          </w:p>
          <w:p w14:paraId="52923C99"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4F2B94D8" w14:textId="77777777" w:rsidR="002A7DD7" w:rsidRPr="002D1DD7" w:rsidRDefault="002A7DD7" w:rsidP="009A66EC">
            <w:pPr>
              <w:pStyle w:val="ListParagraph"/>
              <w:numPr>
                <w:ilvl w:val="0"/>
                <w:numId w:val="45"/>
              </w:numPr>
              <w:spacing w:before="0" w:after="0"/>
              <w:rPr>
                <w:rFonts w:ascii="Arial" w:hAnsi="Arial" w:cs="Arial"/>
                <w:b/>
                <w:sz w:val="12"/>
                <w:szCs w:val="12"/>
              </w:rPr>
            </w:pPr>
            <w:r w:rsidRPr="002D1DD7">
              <w:rPr>
                <w:rFonts w:ascii="Arial" w:hAnsi="Arial" w:cs="Arial"/>
                <w:sz w:val="12"/>
                <w:szCs w:val="12"/>
              </w:rPr>
              <w:t>AE (up to 4 years)</w:t>
            </w:r>
          </w:p>
          <w:p w14:paraId="55FA0573" w14:textId="77777777" w:rsidR="002A7DD7" w:rsidRPr="002D1DD7" w:rsidRDefault="002A7DD7" w:rsidP="009A66EC">
            <w:pPr>
              <w:pStyle w:val="ListParagraph"/>
              <w:numPr>
                <w:ilvl w:val="0"/>
                <w:numId w:val="45"/>
              </w:numPr>
              <w:spacing w:before="0" w:after="0"/>
              <w:rPr>
                <w:rFonts w:ascii="Arial" w:hAnsi="Arial" w:cs="Arial"/>
                <w:b/>
                <w:sz w:val="12"/>
                <w:szCs w:val="12"/>
              </w:rPr>
            </w:pPr>
            <w:r w:rsidRPr="002D1DD7">
              <w:rPr>
                <w:rFonts w:ascii="Arial" w:hAnsi="Arial" w:cs="Arial"/>
                <w:sz w:val="12"/>
                <w:szCs w:val="12"/>
              </w:rPr>
              <w:t>PFS (up to 4 years)</w:t>
            </w:r>
          </w:p>
        </w:tc>
        <w:tc>
          <w:tcPr>
            <w:tcW w:w="2213" w:type="dxa"/>
            <w:tcBorders>
              <w:top w:val="single" w:sz="12" w:space="0" w:color="auto"/>
              <w:bottom w:val="single" w:sz="12" w:space="0" w:color="auto"/>
            </w:tcBorders>
          </w:tcPr>
          <w:p w14:paraId="73AFE497" w14:textId="528D3077" w:rsidR="002A7DD7" w:rsidRPr="002D1DD7" w:rsidRDefault="002A7DD7" w:rsidP="002A7DD7">
            <w:pPr>
              <w:rPr>
                <w:rFonts w:ascii="Arial" w:hAnsi="Arial" w:cs="Arial"/>
                <w:sz w:val="12"/>
                <w:szCs w:val="12"/>
              </w:rPr>
            </w:pPr>
            <w:r w:rsidRPr="002D1DD7">
              <w:rPr>
                <w:rFonts w:ascii="Arial" w:hAnsi="Arial" w:cs="Arial"/>
                <w:sz w:val="12"/>
                <w:szCs w:val="12"/>
              </w:rPr>
              <w:t>Design: Phase II</w:t>
            </w:r>
            <w:r w:rsidR="00752426" w:rsidRPr="002D1DD7">
              <w:rPr>
                <w:rFonts w:ascii="Arial" w:hAnsi="Arial" w:cs="Arial"/>
                <w:sz w:val="12"/>
                <w:szCs w:val="12"/>
              </w:rPr>
              <w:t xml:space="preserve"> basket</w:t>
            </w:r>
          </w:p>
          <w:p w14:paraId="3DE17090"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720 participants</w:t>
            </w:r>
          </w:p>
          <w:p w14:paraId="0CA819F6" w14:textId="0D892CB6"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FE3A73" w:rsidRPr="002D1DD7">
              <w:rPr>
                <w:rFonts w:ascii="Arial" w:hAnsi="Arial" w:cs="Arial"/>
                <w:sz w:val="12"/>
                <w:szCs w:val="12"/>
              </w:rPr>
              <w:t>N</w:t>
            </w:r>
            <w:r w:rsidRPr="002D1DD7">
              <w:rPr>
                <w:rFonts w:ascii="Arial" w:hAnsi="Arial" w:cs="Arial"/>
                <w:sz w:val="12"/>
                <w:szCs w:val="12"/>
              </w:rPr>
              <w:t>on-</w:t>
            </w:r>
            <w:r w:rsidR="00FE3A73" w:rsidRPr="002D1DD7">
              <w:rPr>
                <w:rFonts w:ascii="Arial" w:hAnsi="Arial" w:cs="Arial"/>
                <w:sz w:val="12"/>
                <w:szCs w:val="12"/>
              </w:rPr>
              <w:t>R</w:t>
            </w:r>
            <w:r w:rsidRPr="002D1DD7">
              <w:rPr>
                <w:rFonts w:ascii="Arial" w:hAnsi="Arial" w:cs="Arial"/>
                <w:sz w:val="12"/>
                <w:szCs w:val="12"/>
              </w:rPr>
              <w:t>andomi</w:t>
            </w:r>
            <w:r w:rsidR="00FE3A73" w:rsidRPr="002D1DD7">
              <w:rPr>
                <w:rFonts w:ascii="Arial" w:hAnsi="Arial" w:cs="Arial"/>
                <w:sz w:val="12"/>
                <w:szCs w:val="12"/>
              </w:rPr>
              <w:t>s</w:t>
            </w:r>
            <w:r w:rsidRPr="002D1DD7">
              <w:rPr>
                <w:rFonts w:ascii="Arial" w:hAnsi="Arial" w:cs="Arial"/>
                <w:sz w:val="12"/>
                <w:szCs w:val="12"/>
              </w:rPr>
              <w:t xml:space="preserve">ed </w:t>
            </w:r>
          </w:p>
          <w:p w14:paraId="27F89715" w14:textId="59B2D939" w:rsidR="002A7DD7" w:rsidRPr="002D1DD7" w:rsidRDefault="002A7DD7" w:rsidP="002A7DD7">
            <w:pPr>
              <w:rPr>
                <w:rFonts w:ascii="Arial" w:hAnsi="Arial" w:cs="Arial"/>
                <w:sz w:val="12"/>
                <w:szCs w:val="12"/>
              </w:rPr>
            </w:pPr>
          </w:p>
        </w:tc>
        <w:tc>
          <w:tcPr>
            <w:tcW w:w="2642" w:type="dxa"/>
            <w:tcBorders>
              <w:top w:val="single" w:sz="12" w:space="0" w:color="auto"/>
              <w:bottom w:val="single" w:sz="12" w:space="0" w:color="auto"/>
            </w:tcBorders>
          </w:tcPr>
          <w:p w14:paraId="06C8DA9F"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Patients &gt;=18 years with a histologically</w:t>
            </w:r>
            <w:r w:rsidRPr="002D1DD7">
              <w:rPr>
                <w:rFonts w:ascii="Cambria Math" w:hAnsi="Cambria Math" w:cs="Cambria Math"/>
                <w:color w:val="000000"/>
                <w:sz w:val="12"/>
                <w:szCs w:val="12"/>
                <w:shd w:val="clear" w:color="auto" w:fill="FFFFFF"/>
              </w:rPr>
              <w:t>‐</w:t>
            </w:r>
            <w:r w:rsidRPr="002D1DD7">
              <w:rPr>
                <w:rFonts w:ascii="Arial" w:hAnsi="Arial" w:cs="Arial"/>
                <w:color w:val="000000"/>
                <w:sz w:val="12"/>
                <w:szCs w:val="12"/>
                <w:shd w:val="clear" w:color="auto" w:fill="FFFFFF"/>
              </w:rPr>
              <w:t>proven incurable metastatic solid tumour (excluding primary brain tumours), multiple myeloma or B cell non</w:t>
            </w:r>
            <w:r w:rsidRPr="002D1DD7">
              <w:rPr>
                <w:rFonts w:ascii="Cambria Math" w:hAnsi="Cambria Math" w:cs="Cambria Math"/>
                <w:color w:val="000000"/>
                <w:sz w:val="12"/>
                <w:szCs w:val="12"/>
                <w:shd w:val="clear" w:color="auto" w:fill="FFFFFF"/>
              </w:rPr>
              <w:t>‐</w:t>
            </w:r>
            <w:r w:rsidRPr="002D1DD7">
              <w:rPr>
                <w:rFonts w:ascii="Arial" w:hAnsi="Arial" w:cs="Arial"/>
                <w:color w:val="000000"/>
                <w:sz w:val="12"/>
                <w:szCs w:val="12"/>
                <w:shd w:val="clear" w:color="auto" w:fill="FFFFFF"/>
              </w:rPr>
              <w:t xml:space="preserve"> Hodgkin lymphoma (excluding CLL, SLL and HCL), for whom there is no standard treatment known to prolong life, or who has refused such treatment</w:t>
            </w:r>
          </w:p>
        </w:tc>
        <w:tc>
          <w:tcPr>
            <w:tcW w:w="2114" w:type="dxa"/>
            <w:tcBorders>
              <w:top w:val="single" w:sz="12" w:space="0" w:color="auto"/>
              <w:bottom w:val="single" w:sz="12" w:space="0" w:color="auto"/>
              <w:right w:val="single" w:sz="12" w:space="0" w:color="auto"/>
            </w:tcBorders>
          </w:tcPr>
          <w:p w14:paraId="6277BF01"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60B5FBFC" w14:textId="77777777" w:rsidTr="009126F0">
        <w:trPr>
          <w:trHeight w:val="1079"/>
        </w:trPr>
        <w:tc>
          <w:tcPr>
            <w:tcW w:w="1103" w:type="dxa"/>
            <w:vMerge/>
            <w:tcBorders>
              <w:left w:val="single" w:sz="12" w:space="0" w:color="auto"/>
            </w:tcBorders>
          </w:tcPr>
          <w:p w14:paraId="1A47E05A"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5276A167"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Refractory solid tumours</w:t>
            </w:r>
          </w:p>
        </w:tc>
        <w:tc>
          <w:tcPr>
            <w:tcW w:w="1717" w:type="dxa"/>
            <w:tcBorders>
              <w:top w:val="single" w:sz="12" w:space="0" w:color="auto"/>
              <w:bottom w:val="single" w:sz="12" w:space="0" w:color="auto"/>
            </w:tcBorders>
          </w:tcPr>
          <w:p w14:paraId="2C1ADBEA"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NCT03239015  </w:t>
            </w:r>
          </w:p>
        </w:tc>
        <w:tc>
          <w:tcPr>
            <w:tcW w:w="2166" w:type="dxa"/>
            <w:tcBorders>
              <w:top w:val="single" w:sz="12" w:space="0" w:color="auto"/>
              <w:bottom w:val="single" w:sz="12" w:space="0" w:color="auto"/>
            </w:tcBorders>
          </w:tcPr>
          <w:p w14:paraId="1D735E47"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6DF47B18" w14:textId="77777777" w:rsidR="002A7DD7" w:rsidRPr="002D1DD7" w:rsidRDefault="002A7DD7" w:rsidP="009A66EC">
            <w:pPr>
              <w:pStyle w:val="ListParagraph"/>
              <w:numPr>
                <w:ilvl w:val="0"/>
                <w:numId w:val="46"/>
              </w:numPr>
              <w:spacing w:before="0" w:after="0"/>
              <w:rPr>
                <w:rFonts w:ascii="Arial" w:hAnsi="Arial" w:cs="Arial"/>
                <w:sz w:val="12"/>
                <w:szCs w:val="12"/>
              </w:rPr>
            </w:pPr>
            <w:r w:rsidRPr="002D1DD7">
              <w:rPr>
                <w:rFonts w:ascii="Arial" w:hAnsi="Arial" w:cs="Arial"/>
                <w:sz w:val="12"/>
                <w:szCs w:val="12"/>
              </w:rPr>
              <w:t>ORR (2 months)</w:t>
            </w:r>
          </w:p>
          <w:p w14:paraId="5723357D" w14:textId="77777777" w:rsidR="002A7DD7" w:rsidRPr="002D1DD7" w:rsidRDefault="002A7DD7" w:rsidP="002A7DD7">
            <w:pPr>
              <w:rPr>
                <w:rFonts w:ascii="Arial" w:hAnsi="Arial" w:cs="Arial"/>
                <w:sz w:val="12"/>
                <w:szCs w:val="12"/>
              </w:rPr>
            </w:pPr>
          </w:p>
          <w:p w14:paraId="7CC7DA4B"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1A0E5FF1" w14:textId="77777777" w:rsidR="002A7DD7" w:rsidRPr="002D1DD7" w:rsidRDefault="002A7DD7" w:rsidP="009A66EC">
            <w:pPr>
              <w:pStyle w:val="ListParagraph"/>
              <w:numPr>
                <w:ilvl w:val="0"/>
                <w:numId w:val="47"/>
              </w:numPr>
              <w:spacing w:before="0" w:after="0"/>
              <w:rPr>
                <w:rFonts w:ascii="Arial" w:hAnsi="Arial" w:cs="Arial"/>
                <w:sz w:val="12"/>
                <w:szCs w:val="12"/>
              </w:rPr>
            </w:pPr>
            <w:r w:rsidRPr="002D1DD7">
              <w:rPr>
                <w:rFonts w:ascii="Arial" w:hAnsi="Arial" w:cs="Arial"/>
                <w:sz w:val="12"/>
                <w:szCs w:val="12"/>
              </w:rPr>
              <w:t>PFS (2 months)</w:t>
            </w:r>
          </w:p>
          <w:p w14:paraId="34835B38" w14:textId="77777777" w:rsidR="002A7DD7" w:rsidRPr="002D1DD7" w:rsidRDefault="002A7DD7" w:rsidP="009A66EC">
            <w:pPr>
              <w:pStyle w:val="ListParagraph"/>
              <w:numPr>
                <w:ilvl w:val="0"/>
                <w:numId w:val="47"/>
              </w:numPr>
              <w:spacing w:before="0" w:after="0"/>
              <w:rPr>
                <w:rFonts w:ascii="Arial" w:hAnsi="Arial" w:cs="Arial"/>
                <w:sz w:val="12"/>
                <w:szCs w:val="12"/>
              </w:rPr>
            </w:pPr>
            <w:r w:rsidRPr="002D1DD7">
              <w:rPr>
                <w:rFonts w:ascii="Arial" w:hAnsi="Arial" w:cs="Arial"/>
                <w:sz w:val="12"/>
                <w:szCs w:val="12"/>
              </w:rPr>
              <w:t>OS (1 month)</w:t>
            </w:r>
          </w:p>
          <w:p w14:paraId="2E4F55CD" w14:textId="77777777" w:rsidR="002A7DD7" w:rsidRPr="002D1DD7" w:rsidRDefault="002A7DD7" w:rsidP="009A66EC">
            <w:pPr>
              <w:pStyle w:val="ListParagraph"/>
              <w:numPr>
                <w:ilvl w:val="0"/>
                <w:numId w:val="47"/>
              </w:numPr>
              <w:spacing w:before="0" w:after="0"/>
              <w:rPr>
                <w:rFonts w:ascii="Arial" w:hAnsi="Arial" w:cs="Arial"/>
                <w:sz w:val="12"/>
                <w:szCs w:val="12"/>
              </w:rPr>
            </w:pPr>
            <w:r w:rsidRPr="002D1DD7">
              <w:rPr>
                <w:rFonts w:ascii="Arial" w:hAnsi="Arial" w:cs="Arial"/>
                <w:sz w:val="12"/>
                <w:szCs w:val="12"/>
              </w:rPr>
              <w:t>AE (1 month)</w:t>
            </w:r>
          </w:p>
        </w:tc>
        <w:tc>
          <w:tcPr>
            <w:tcW w:w="2213" w:type="dxa"/>
            <w:tcBorders>
              <w:top w:val="single" w:sz="12" w:space="0" w:color="auto"/>
              <w:bottom w:val="single" w:sz="12" w:space="0" w:color="auto"/>
            </w:tcBorders>
          </w:tcPr>
          <w:p w14:paraId="349B66E0" w14:textId="69E6FEAA"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w:t>
            </w:r>
            <w:r w:rsidR="005075FF" w:rsidRPr="002D1DD7">
              <w:rPr>
                <w:rFonts w:ascii="Arial" w:hAnsi="Arial" w:cs="Arial"/>
                <w:sz w:val="12"/>
                <w:szCs w:val="12"/>
              </w:rPr>
              <w:t>II</w:t>
            </w:r>
            <w:r w:rsidR="009C3A69" w:rsidRPr="002D1DD7">
              <w:rPr>
                <w:rFonts w:ascii="Arial" w:hAnsi="Arial" w:cs="Arial"/>
                <w:sz w:val="12"/>
                <w:szCs w:val="12"/>
              </w:rPr>
              <w:t xml:space="preserve"> (separate cohorts specified)</w:t>
            </w:r>
          </w:p>
          <w:p w14:paraId="48C66B34"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60 participants</w:t>
            </w:r>
          </w:p>
          <w:p w14:paraId="780AD369" w14:textId="3126B5B2"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FE3A73" w:rsidRPr="002D1DD7">
              <w:rPr>
                <w:rFonts w:ascii="Arial" w:hAnsi="Arial" w:cs="Arial"/>
                <w:sz w:val="12"/>
                <w:szCs w:val="12"/>
              </w:rPr>
              <w:t>N</w:t>
            </w:r>
            <w:r w:rsidRPr="002D1DD7">
              <w:rPr>
                <w:rFonts w:ascii="Arial" w:hAnsi="Arial" w:cs="Arial"/>
                <w:sz w:val="12"/>
                <w:szCs w:val="12"/>
              </w:rPr>
              <w:t>on-</w:t>
            </w:r>
            <w:r w:rsidR="00FE3A73" w:rsidRPr="002D1DD7">
              <w:rPr>
                <w:rFonts w:ascii="Arial" w:hAnsi="Arial" w:cs="Arial"/>
                <w:sz w:val="12"/>
                <w:szCs w:val="12"/>
              </w:rPr>
              <w:t>R</w:t>
            </w:r>
            <w:r w:rsidRPr="002D1DD7">
              <w:rPr>
                <w:rFonts w:ascii="Arial" w:hAnsi="Arial" w:cs="Arial"/>
                <w:sz w:val="12"/>
                <w:szCs w:val="12"/>
              </w:rPr>
              <w:t>andomi</w:t>
            </w:r>
            <w:r w:rsidR="00FE3A73" w:rsidRPr="002D1DD7">
              <w:rPr>
                <w:rFonts w:ascii="Arial" w:hAnsi="Arial" w:cs="Arial"/>
                <w:sz w:val="12"/>
                <w:szCs w:val="12"/>
              </w:rPr>
              <w:t>s</w:t>
            </w:r>
            <w:r w:rsidRPr="002D1DD7">
              <w:rPr>
                <w:rFonts w:ascii="Arial" w:hAnsi="Arial" w:cs="Arial"/>
                <w:sz w:val="12"/>
                <w:szCs w:val="12"/>
              </w:rPr>
              <w:t>ed</w:t>
            </w:r>
            <w:r w:rsidR="00FE3A73" w:rsidRPr="002D1DD7">
              <w:rPr>
                <w:rFonts w:ascii="Arial" w:hAnsi="Arial" w:cs="Arial"/>
                <w:sz w:val="12"/>
                <w:szCs w:val="12"/>
              </w:rPr>
              <w:t xml:space="preserve"> </w:t>
            </w:r>
          </w:p>
          <w:p w14:paraId="525D6512"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1 January 2017</w:t>
            </w:r>
          </w:p>
          <w:p w14:paraId="63FB3C2D"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30 June 2018</w:t>
            </w:r>
          </w:p>
          <w:p w14:paraId="384085FB"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31 December 2019</w:t>
            </w:r>
          </w:p>
        </w:tc>
        <w:tc>
          <w:tcPr>
            <w:tcW w:w="2642" w:type="dxa"/>
            <w:tcBorders>
              <w:top w:val="single" w:sz="12" w:space="0" w:color="auto"/>
              <w:bottom w:val="single" w:sz="12" w:space="0" w:color="auto"/>
            </w:tcBorders>
          </w:tcPr>
          <w:p w14:paraId="1E60BCC9" w14:textId="088094C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18-75 years with Malignant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diagnosed histologically. Common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patients have no any standard choice after multiple line of therapy; Rare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did not have any standard recommended treatment</w:t>
            </w:r>
          </w:p>
        </w:tc>
        <w:tc>
          <w:tcPr>
            <w:tcW w:w="2114" w:type="dxa"/>
            <w:tcBorders>
              <w:top w:val="single" w:sz="12" w:space="0" w:color="auto"/>
              <w:bottom w:val="single" w:sz="12" w:space="0" w:color="auto"/>
              <w:right w:val="single" w:sz="12" w:space="0" w:color="auto"/>
            </w:tcBorders>
          </w:tcPr>
          <w:p w14:paraId="00373341"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NGS</w:t>
            </w:r>
          </w:p>
        </w:tc>
      </w:tr>
      <w:tr w:rsidR="002A7DD7" w:rsidRPr="002D1DD7" w14:paraId="2C54CFEF" w14:textId="77777777" w:rsidTr="009126F0">
        <w:trPr>
          <w:trHeight w:val="1079"/>
        </w:trPr>
        <w:tc>
          <w:tcPr>
            <w:tcW w:w="1103" w:type="dxa"/>
            <w:vMerge/>
            <w:tcBorders>
              <w:left w:val="single" w:sz="12" w:space="0" w:color="auto"/>
            </w:tcBorders>
          </w:tcPr>
          <w:p w14:paraId="4090D54E"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0F53E2A3"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Advanced solid tumours </w:t>
            </w:r>
          </w:p>
        </w:tc>
        <w:tc>
          <w:tcPr>
            <w:tcW w:w="1717" w:type="dxa"/>
            <w:tcBorders>
              <w:top w:val="single" w:sz="12" w:space="0" w:color="auto"/>
              <w:bottom w:val="single" w:sz="12" w:space="0" w:color="auto"/>
            </w:tcBorders>
          </w:tcPr>
          <w:p w14:paraId="202A3DC4"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NCT02029001  </w:t>
            </w:r>
          </w:p>
        </w:tc>
        <w:tc>
          <w:tcPr>
            <w:tcW w:w="2166" w:type="dxa"/>
            <w:tcBorders>
              <w:top w:val="single" w:sz="12" w:space="0" w:color="auto"/>
              <w:bottom w:val="single" w:sz="12" w:space="0" w:color="auto"/>
            </w:tcBorders>
          </w:tcPr>
          <w:p w14:paraId="0F9044AC"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2CA7445D" w14:textId="77777777" w:rsidR="002A7DD7" w:rsidRPr="002D1DD7" w:rsidRDefault="002A7DD7" w:rsidP="009A66EC">
            <w:pPr>
              <w:pStyle w:val="ListParagraph"/>
              <w:numPr>
                <w:ilvl w:val="0"/>
                <w:numId w:val="48"/>
              </w:numPr>
              <w:spacing w:before="0" w:after="0"/>
              <w:rPr>
                <w:rFonts w:ascii="Arial" w:hAnsi="Arial" w:cs="Arial"/>
                <w:sz w:val="12"/>
                <w:szCs w:val="12"/>
              </w:rPr>
            </w:pPr>
            <w:r w:rsidRPr="002D1DD7">
              <w:rPr>
                <w:rFonts w:ascii="Arial" w:hAnsi="Arial" w:cs="Arial"/>
                <w:sz w:val="12"/>
                <w:szCs w:val="12"/>
              </w:rPr>
              <w:t xml:space="preserve">Induction progression-free rate </w:t>
            </w:r>
          </w:p>
          <w:p w14:paraId="27F6815F" w14:textId="77777777" w:rsidR="002A7DD7" w:rsidRPr="002D1DD7" w:rsidRDefault="002A7DD7" w:rsidP="009A66EC">
            <w:pPr>
              <w:pStyle w:val="ListParagraph"/>
              <w:numPr>
                <w:ilvl w:val="0"/>
                <w:numId w:val="48"/>
              </w:numPr>
              <w:spacing w:before="0" w:after="0"/>
              <w:rPr>
                <w:rFonts w:ascii="Arial" w:hAnsi="Arial" w:cs="Arial"/>
                <w:sz w:val="12"/>
                <w:szCs w:val="12"/>
              </w:rPr>
            </w:pPr>
            <w:r w:rsidRPr="002D1DD7">
              <w:rPr>
                <w:rFonts w:ascii="Arial" w:hAnsi="Arial" w:cs="Arial"/>
                <w:sz w:val="12"/>
                <w:szCs w:val="12"/>
              </w:rPr>
              <w:t>PFS (up to 36 months)</w:t>
            </w:r>
          </w:p>
          <w:p w14:paraId="36CDEE55" w14:textId="77777777" w:rsidR="002A7DD7" w:rsidRPr="002D1DD7" w:rsidRDefault="002A7DD7" w:rsidP="002A7DD7">
            <w:pPr>
              <w:rPr>
                <w:rFonts w:ascii="Arial" w:hAnsi="Arial" w:cs="Arial"/>
                <w:sz w:val="12"/>
                <w:szCs w:val="12"/>
              </w:rPr>
            </w:pPr>
          </w:p>
          <w:p w14:paraId="153CFE09"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5FEA59DD" w14:textId="77777777" w:rsidR="002A7DD7" w:rsidRPr="002D1DD7" w:rsidRDefault="002A7DD7" w:rsidP="009A66EC">
            <w:pPr>
              <w:pStyle w:val="ListParagraph"/>
              <w:numPr>
                <w:ilvl w:val="0"/>
                <w:numId w:val="49"/>
              </w:numPr>
              <w:spacing w:before="0" w:after="0"/>
              <w:rPr>
                <w:rFonts w:ascii="Arial" w:hAnsi="Arial" w:cs="Arial"/>
                <w:sz w:val="12"/>
                <w:szCs w:val="12"/>
              </w:rPr>
            </w:pPr>
            <w:r w:rsidRPr="002D1DD7">
              <w:rPr>
                <w:rFonts w:ascii="Arial" w:hAnsi="Arial" w:cs="Arial"/>
                <w:sz w:val="12"/>
                <w:szCs w:val="12"/>
              </w:rPr>
              <w:t>ORR (over induction period)</w:t>
            </w:r>
          </w:p>
          <w:p w14:paraId="3C864EC6" w14:textId="77777777" w:rsidR="002A7DD7" w:rsidRPr="002D1DD7" w:rsidRDefault="002A7DD7" w:rsidP="009A66EC">
            <w:pPr>
              <w:pStyle w:val="ListParagraph"/>
              <w:numPr>
                <w:ilvl w:val="0"/>
                <w:numId w:val="49"/>
              </w:numPr>
              <w:spacing w:before="0" w:after="0"/>
              <w:rPr>
                <w:rFonts w:ascii="Arial" w:hAnsi="Arial" w:cs="Arial"/>
                <w:sz w:val="12"/>
                <w:szCs w:val="12"/>
              </w:rPr>
            </w:pPr>
            <w:r w:rsidRPr="002D1DD7">
              <w:rPr>
                <w:rFonts w:ascii="Arial" w:hAnsi="Arial" w:cs="Arial"/>
                <w:sz w:val="12"/>
                <w:szCs w:val="12"/>
              </w:rPr>
              <w:t xml:space="preserve">OS </w:t>
            </w:r>
          </w:p>
          <w:p w14:paraId="0788D375" w14:textId="77777777" w:rsidR="002A7DD7" w:rsidRPr="002D1DD7" w:rsidRDefault="002A7DD7" w:rsidP="009A66EC">
            <w:pPr>
              <w:pStyle w:val="ListParagraph"/>
              <w:numPr>
                <w:ilvl w:val="0"/>
                <w:numId w:val="49"/>
              </w:numPr>
              <w:spacing w:before="0" w:after="0"/>
              <w:rPr>
                <w:rFonts w:ascii="Arial" w:hAnsi="Arial" w:cs="Arial"/>
                <w:sz w:val="12"/>
                <w:szCs w:val="12"/>
              </w:rPr>
            </w:pPr>
            <w:r w:rsidRPr="002D1DD7">
              <w:rPr>
                <w:rFonts w:ascii="Arial" w:hAnsi="Arial" w:cs="Arial"/>
                <w:sz w:val="12"/>
                <w:szCs w:val="12"/>
              </w:rPr>
              <w:t xml:space="preserve">QoL (QLQ-C30) </w:t>
            </w:r>
          </w:p>
          <w:p w14:paraId="2724D498" w14:textId="77777777" w:rsidR="002A7DD7" w:rsidRPr="002D1DD7" w:rsidRDefault="002A7DD7" w:rsidP="009A66EC">
            <w:pPr>
              <w:pStyle w:val="ListParagraph"/>
              <w:numPr>
                <w:ilvl w:val="0"/>
                <w:numId w:val="49"/>
              </w:numPr>
              <w:spacing w:before="0" w:after="0"/>
              <w:rPr>
                <w:rFonts w:ascii="Arial" w:hAnsi="Arial" w:cs="Arial"/>
                <w:sz w:val="12"/>
                <w:szCs w:val="12"/>
              </w:rPr>
            </w:pPr>
            <w:r w:rsidRPr="002D1DD7">
              <w:rPr>
                <w:rFonts w:ascii="Arial" w:hAnsi="Arial" w:cs="Arial"/>
                <w:sz w:val="12"/>
                <w:szCs w:val="12"/>
              </w:rPr>
              <w:t>Safety</w:t>
            </w:r>
          </w:p>
          <w:p w14:paraId="4AFCA1B0" w14:textId="77777777" w:rsidR="002A7DD7" w:rsidRPr="002D1DD7" w:rsidRDefault="002A7DD7" w:rsidP="002A7DD7">
            <w:pPr>
              <w:rPr>
                <w:rFonts w:ascii="Arial" w:hAnsi="Arial" w:cs="Arial"/>
                <w:b/>
                <w:sz w:val="12"/>
                <w:szCs w:val="12"/>
              </w:rPr>
            </w:pPr>
          </w:p>
          <w:p w14:paraId="58D3A7F1" w14:textId="77777777" w:rsidR="002A7DD7" w:rsidRPr="002D1DD7" w:rsidRDefault="002A7DD7" w:rsidP="002A7DD7">
            <w:pPr>
              <w:rPr>
                <w:rFonts w:ascii="Arial" w:hAnsi="Arial" w:cs="Arial"/>
                <w:b/>
                <w:sz w:val="12"/>
                <w:szCs w:val="12"/>
              </w:rPr>
            </w:pPr>
            <w:r w:rsidRPr="002D1DD7">
              <w:rPr>
                <w:rFonts w:ascii="Arial" w:hAnsi="Arial" w:cs="Arial"/>
                <w:b/>
                <w:sz w:val="12"/>
                <w:szCs w:val="12"/>
              </w:rPr>
              <w:t>Other</w:t>
            </w:r>
          </w:p>
          <w:p w14:paraId="4ADE9B92" w14:textId="77777777" w:rsidR="002A7DD7" w:rsidRPr="002D1DD7" w:rsidRDefault="002A7DD7" w:rsidP="009A66EC">
            <w:pPr>
              <w:pStyle w:val="ListParagraph"/>
              <w:numPr>
                <w:ilvl w:val="0"/>
                <w:numId w:val="50"/>
              </w:numPr>
              <w:spacing w:before="0" w:after="0"/>
              <w:rPr>
                <w:rFonts w:ascii="Arial" w:hAnsi="Arial" w:cs="Arial"/>
                <w:sz w:val="12"/>
                <w:szCs w:val="12"/>
              </w:rPr>
            </w:pPr>
            <w:r w:rsidRPr="002D1DD7">
              <w:rPr>
                <w:rFonts w:ascii="Arial" w:hAnsi="Arial" w:cs="Arial"/>
                <w:sz w:val="12"/>
                <w:szCs w:val="12"/>
              </w:rPr>
              <w:t xml:space="preserve">DoR </w:t>
            </w:r>
          </w:p>
          <w:p w14:paraId="590313C4" w14:textId="77777777" w:rsidR="002A7DD7" w:rsidRPr="002D1DD7" w:rsidRDefault="002A7DD7" w:rsidP="009A66EC">
            <w:pPr>
              <w:pStyle w:val="ListParagraph"/>
              <w:numPr>
                <w:ilvl w:val="0"/>
                <w:numId w:val="50"/>
              </w:numPr>
              <w:spacing w:before="0" w:after="0"/>
              <w:rPr>
                <w:rFonts w:ascii="Arial" w:hAnsi="Arial" w:cs="Arial"/>
                <w:sz w:val="12"/>
                <w:szCs w:val="12"/>
              </w:rPr>
            </w:pPr>
            <w:r w:rsidRPr="002D1DD7">
              <w:rPr>
                <w:rFonts w:ascii="Arial" w:hAnsi="Arial" w:cs="Arial"/>
                <w:sz w:val="12"/>
                <w:szCs w:val="12"/>
              </w:rPr>
              <w:t>Cost-effectiveness</w:t>
            </w:r>
          </w:p>
        </w:tc>
        <w:tc>
          <w:tcPr>
            <w:tcW w:w="2213" w:type="dxa"/>
            <w:tcBorders>
              <w:top w:val="single" w:sz="12" w:space="0" w:color="auto"/>
              <w:bottom w:val="single" w:sz="12" w:space="0" w:color="auto"/>
            </w:tcBorders>
          </w:tcPr>
          <w:p w14:paraId="661A3D56" w14:textId="01E6D3CC" w:rsidR="002A7DD7" w:rsidRPr="002D1DD7" w:rsidRDefault="002A7DD7" w:rsidP="002A7DD7">
            <w:pPr>
              <w:rPr>
                <w:rFonts w:ascii="Arial" w:hAnsi="Arial" w:cs="Arial"/>
                <w:sz w:val="12"/>
                <w:szCs w:val="12"/>
              </w:rPr>
            </w:pPr>
            <w:r w:rsidRPr="002D1DD7">
              <w:rPr>
                <w:rFonts w:ascii="Arial" w:hAnsi="Arial" w:cs="Arial"/>
                <w:sz w:val="12"/>
                <w:szCs w:val="12"/>
              </w:rPr>
              <w:t>Design: Phase II</w:t>
            </w:r>
            <w:r w:rsidR="009C3A69" w:rsidRPr="002D1DD7">
              <w:rPr>
                <w:rFonts w:ascii="Arial" w:hAnsi="Arial" w:cs="Arial"/>
                <w:sz w:val="12"/>
                <w:szCs w:val="12"/>
              </w:rPr>
              <w:t xml:space="preserve"> (separate cohorts specified)</w:t>
            </w:r>
          </w:p>
          <w:p w14:paraId="17B0051B"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560 participants</w:t>
            </w:r>
          </w:p>
          <w:p w14:paraId="3457F319" w14:textId="440D0769"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787BBC" w:rsidRPr="002D1DD7">
              <w:rPr>
                <w:rFonts w:ascii="Arial" w:hAnsi="Arial" w:cs="Arial"/>
                <w:sz w:val="12"/>
                <w:szCs w:val="12"/>
              </w:rPr>
              <w:t>R</w:t>
            </w:r>
            <w:r w:rsidRPr="002D1DD7">
              <w:rPr>
                <w:rFonts w:ascii="Arial" w:hAnsi="Arial" w:cs="Arial"/>
                <w:sz w:val="12"/>
                <w:szCs w:val="12"/>
              </w:rPr>
              <w:t>andomi</w:t>
            </w:r>
            <w:r w:rsidR="00787BBC" w:rsidRPr="002D1DD7">
              <w:rPr>
                <w:rFonts w:ascii="Arial" w:hAnsi="Arial" w:cs="Arial"/>
                <w:sz w:val="12"/>
                <w:szCs w:val="12"/>
              </w:rPr>
              <w:t>s</w:t>
            </w:r>
            <w:r w:rsidRPr="002D1DD7">
              <w:rPr>
                <w:rFonts w:ascii="Arial" w:hAnsi="Arial" w:cs="Arial"/>
                <w:sz w:val="12"/>
                <w:szCs w:val="12"/>
              </w:rPr>
              <w:t xml:space="preserve">ed </w:t>
            </w:r>
          </w:p>
          <w:p w14:paraId="2D15D5F5"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March 2014</w:t>
            </w:r>
          </w:p>
          <w:p w14:paraId="39BDE39B" w14:textId="77777777" w:rsidR="002A7DD7" w:rsidRPr="002D1DD7" w:rsidRDefault="002A7DD7" w:rsidP="002A7DD7">
            <w:pPr>
              <w:rPr>
                <w:rFonts w:ascii="Arial" w:hAnsi="Arial" w:cs="Arial"/>
                <w:sz w:val="12"/>
                <w:szCs w:val="12"/>
              </w:rPr>
            </w:pPr>
            <w:r w:rsidRPr="002D1DD7">
              <w:rPr>
                <w:rFonts w:ascii="Arial" w:hAnsi="Arial" w:cs="Arial"/>
                <w:sz w:val="12"/>
                <w:szCs w:val="12"/>
              </w:rPr>
              <w:t>Primary completion date: January 2020</w:t>
            </w:r>
          </w:p>
          <w:p w14:paraId="44D195B6" w14:textId="77777777" w:rsidR="002A7DD7" w:rsidRPr="002D1DD7" w:rsidRDefault="002A7DD7" w:rsidP="002A7DD7">
            <w:pPr>
              <w:rPr>
                <w:rFonts w:ascii="Arial" w:hAnsi="Arial" w:cs="Arial"/>
                <w:sz w:val="12"/>
                <w:szCs w:val="12"/>
              </w:rPr>
            </w:pPr>
            <w:r w:rsidRPr="002D1DD7">
              <w:rPr>
                <w:rFonts w:ascii="Arial" w:hAnsi="Arial" w:cs="Arial"/>
                <w:sz w:val="12"/>
                <w:szCs w:val="12"/>
              </w:rPr>
              <w:t>Study completion date: October 2022</w:t>
            </w:r>
          </w:p>
        </w:tc>
        <w:tc>
          <w:tcPr>
            <w:tcW w:w="2642" w:type="dxa"/>
            <w:tcBorders>
              <w:top w:val="single" w:sz="12" w:space="0" w:color="auto"/>
              <w:bottom w:val="single" w:sz="12" w:space="0" w:color="auto"/>
            </w:tcBorders>
          </w:tcPr>
          <w:p w14:paraId="3769503E" w14:textId="29F189B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with histologically or cytologically confirmed diagnosis of metastatic or locally advanced and unresectable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of any type, not amenable to curative treatment. Concerning primitive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of the central nervous system (CNS), all histological types of malignant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(including parenchymal and meningeal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are eligible.</w:t>
            </w:r>
          </w:p>
        </w:tc>
        <w:tc>
          <w:tcPr>
            <w:tcW w:w="2114" w:type="dxa"/>
            <w:tcBorders>
              <w:top w:val="single" w:sz="12" w:space="0" w:color="auto"/>
              <w:bottom w:val="single" w:sz="12" w:space="0" w:color="auto"/>
              <w:right w:val="single" w:sz="12" w:space="0" w:color="auto"/>
            </w:tcBorders>
          </w:tcPr>
          <w:p w14:paraId="5E382E4B"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3EC6DA98" w14:textId="77777777" w:rsidTr="009126F0">
        <w:trPr>
          <w:trHeight w:val="1079"/>
        </w:trPr>
        <w:tc>
          <w:tcPr>
            <w:tcW w:w="1103" w:type="dxa"/>
            <w:vMerge/>
            <w:tcBorders>
              <w:left w:val="single" w:sz="12" w:space="0" w:color="auto"/>
            </w:tcBorders>
          </w:tcPr>
          <w:p w14:paraId="4CB9D1C0"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0FB088FF" w14:textId="5FC49AC0"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multiple myeloma, or non-Hodgkin lymphoma</w:t>
            </w:r>
          </w:p>
        </w:tc>
        <w:tc>
          <w:tcPr>
            <w:tcW w:w="1717" w:type="dxa"/>
            <w:tcBorders>
              <w:top w:val="single" w:sz="12" w:space="0" w:color="auto"/>
              <w:bottom w:val="single" w:sz="12" w:space="0" w:color="auto"/>
            </w:tcBorders>
          </w:tcPr>
          <w:p w14:paraId="028454BD"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NCT02925234  </w:t>
            </w:r>
          </w:p>
        </w:tc>
        <w:tc>
          <w:tcPr>
            <w:tcW w:w="2166" w:type="dxa"/>
            <w:tcBorders>
              <w:top w:val="single" w:sz="12" w:space="0" w:color="auto"/>
              <w:bottom w:val="single" w:sz="12" w:space="0" w:color="auto"/>
            </w:tcBorders>
          </w:tcPr>
          <w:p w14:paraId="29B38FAF"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689BE8D1" w14:textId="77777777" w:rsidR="002A7DD7" w:rsidRPr="002D1DD7" w:rsidRDefault="002A7DD7" w:rsidP="009A66EC">
            <w:pPr>
              <w:pStyle w:val="ListParagraph"/>
              <w:numPr>
                <w:ilvl w:val="0"/>
                <w:numId w:val="51"/>
              </w:numPr>
              <w:spacing w:before="0" w:after="0"/>
              <w:rPr>
                <w:rFonts w:ascii="Arial" w:hAnsi="Arial" w:cs="Arial"/>
                <w:sz w:val="12"/>
                <w:szCs w:val="12"/>
              </w:rPr>
            </w:pPr>
            <w:r w:rsidRPr="002D1DD7">
              <w:rPr>
                <w:rFonts w:ascii="Arial" w:hAnsi="Arial" w:cs="Arial"/>
                <w:sz w:val="12"/>
                <w:szCs w:val="12"/>
              </w:rPr>
              <w:t>% Patients treated based on molecular profile (6 months after treatment initiation)</w:t>
            </w:r>
          </w:p>
          <w:p w14:paraId="403F8C44" w14:textId="6715BB0E" w:rsidR="002A7DD7" w:rsidRPr="002D1DD7" w:rsidRDefault="002A7DD7" w:rsidP="009A66EC">
            <w:pPr>
              <w:pStyle w:val="ListParagraph"/>
              <w:numPr>
                <w:ilvl w:val="0"/>
                <w:numId w:val="51"/>
              </w:numPr>
              <w:spacing w:before="0" w:after="0"/>
              <w:rPr>
                <w:rFonts w:ascii="Arial" w:hAnsi="Arial" w:cs="Arial"/>
                <w:sz w:val="12"/>
                <w:szCs w:val="12"/>
              </w:rPr>
            </w:pPr>
            <w:r w:rsidRPr="002D1DD7">
              <w:rPr>
                <w:rFonts w:ascii="Arial" w:hAnsi="Arial" w:cs="Arial"/>
                <w:sz w:val="12"/>
                <w:szCs w:val="12"/>
              </w:rPr>
              <w:t xml:space="preserve">Objective </w:t>
            </w:r>
            <w:r w:rsidR="00787BBC" w:rsidRPr="002D1DD7">
              <w:rPr>
                <w:rFonts w:ascii="Arial" w:hAnsi="Arial" w:cs="Arial"/>
                <w:sz w:val="12"/>
                <w:szCs w:val="12"/>
              </w:rPr>
              <w:t>tumour</w:t>
            </w:r>
            <w:r w:rsidRPr="002D1DD7">
              <w:rPr>
                <w:rFonts w:ascii="Arial" w:hAnsi="Arial" w:cs="Arial"/>
                <w:sz w:val="12"/>
                <w:szCs w:val="12"/>
              </w:rPr>
              <w:t xml:space="preserve"> response (6 months)</w:t>
            </w:r>
          </w:p>
          <w:p w14:paraId="60F4ED95" w14:textId="77777777" w:rsidR="002A7DD7" w:rsidRPr="002D1DD7" w:rsidRDefault="002A7DD7" w:rsidP="009A66EC">
            <w:pPr>
              <w:pStyle w:val="ListParagraph"/>
              <w:numPr>
                <w:ilvl w:val="0"/>
                <w:numId w:val="51"/>
              </w:numPr>
              <w:spacing w:before="0" w:after="0"/>
              <w:rPr>
                <w:rFonts w:ascii="Arial" w:hAnsi="Arial" w:cs="Arial"/>
                <w:sz w:val="12"/>
                <w:szCs w:val="12"/>
              </w:rPr>
            </w:pPr>
            <w:r w:rsidRPr="002D1DD7">
              <w:rPr>
                <w:rFonts w:ascii="Arial" w:hAnsi="Arial" w:cs="Arial"/>
                <w:sz w:val="12"/>
                <w:szCs w:val="12"/>
              </w:rPr>
              <w:t>Stable disease (6 months)</w:t>
            </w:r>
          </w:p>
          <w:p w14:paraId="2F4B6803" w14:textId="77777777" w:rsidR="002A7DD7" w:rsidRPr="002D1DD7" w:rsidRDefault="002A7DD7" w:rsidP="009A66EC">
            <w:pPr>
              <w:pStyle w:val="ListParagraph"/>
              <w:numPr>
                <w:ilvl w:val="0"/>
                <w:numId w:val="51"/>
              </w:numPr>
              <w:spacing w:before="0" w:after="0"/>
              <w:rPr>
                <w:rFonts w:ascii="Arial" w:hAnsi="Arial" w:cs="Arial"/>
                <w:sz w:val="12"/>
                <w:szCs w:val="12"/>
              </w:rPr>
            </w:pPr>
            <w:r w:rsidRPr="002D1DD7">
              <w:rPr>
                <w:rFonts w:ascii="Arial" w:hAnsi="Arial" w:cs="Arial"/>
                <w:sz w:val="12"/>
                <w:szCs w:val="12"/>
              </w:rPr>
              <w:t>AE &gt;=G3 (6 months)</w:t>
            </w:r>
          </w:p>
          <w:p w14:paraId="7AE210BB" w14:textId="77777777" w:rsidR="002A7DD7" w:rsidRPr="002D1DD7" w:rsidRDefault="002A7DD7" w:rsidP="002A7DD7">
            <w:pPr>
              <w:rPr>
                <w:rFonts w:ascii="Arial" w:hAnsi="Arial" w:cs="Arial"/>
                <w:sz w:val="12"/>
                <w:szCs w:val="12"/>
              </w:rPr>
            </w:pPr>
          </w:p>
          <w:p w14:paraId="4DA8C760"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5EF58803" w14:textId="77777777" w:rsidR="002A7DD7" w:rsidRPr="002D1DD7" w:rsidRDefault="002A7DD7" w:rsidP="009A66EC">
            <w:pPr>
              <w:pStyle w:val="ListParagraph"/>
              <w:numPr>
                <w:ilvl w:val="0"/>
                <w:numId w:val="52"/>
              </w:numPr>
              <w:spacing w:before="0" w:after="0"/>
              <w:rPr>
                <w:rFonts w:ascii="Arial" w:hAnsi="Arial" w:cs="Arial"/>
                <w:sz w:val="12"/>
                <w:szCs w:val="12"/>
              </w:rPr>
            </w:pPr>
            <w:r w:rsidRPr="002D1DD7">
              <w:rPr>
                <w:rFonts w:ascii="Arial" w:hAnsi="Arial" w:cs="Arial"/>
                <w:sz w:val="12"/>
                <w:szCs w:val="12"/>
              </w:rPr>
              <w:t>PFS (up to 1 year)</w:t>
            </w:r>
          </w:p>
          <w:p w14:paraId="0C6FC8A3" w14:textId="77777777" w:rsidR="002A7DD7" w:rsidRPr="002D1DD7" w:rsidRDefault="002A7DD7" w:rsidP="009A66EC">
            <w:pPr>
              <w:pStyle w:val="ListParagraph"/>
              <w:numPr>
                <w:ilvl w:val="0"/>
                <w:numId w:val="52"/>
              </w:numPr>
              <w:spacing w:before="0" w:after="0"/>
              <w:rPr>
                <w:rFonts w:ascii="Arial" w:hAnsi="Arial" w:cs="Arial"/>
                <w:sz w:val="12"/>
                <w:szCs w:val="12"/>
              </w:rPr>
            </w:pPr>
            <w:r w:rsidRPr="002D1DD7">
              <w:rPr>
                <w:rFonts w:ascii="Arial" w:hAnsi="Arial" w:cs="Arial"/>
                <w:sz w:val="12"/>
                <w:szCs w:val="12"/>
              </w:rPr>
              <w:t>OS (up to 1 year)</w:t>
            </w:r>
          </w:p>
          <w:p w14:paraId="6D50090C" w14:textId="412DFE65" w:rsidR="002A7DD7" w:rsidRPr="002D1DD7" w:rsidRDefault="002A7DD7" w:rsidP="009A66EC">
            <w:pPr>
              <w:pStyle w:val="ListParagraph"/>
              <w:numPr>
                <w:ilvl w:val="0"/>
                <w:numId w:val="52"/>
              </w:numPr>
              <w:spacing w:before="0" w:after="0"/>
              <w:rPr>
                <w:rFonts w:ascii="Arial" w:hAnsi="Arial" w:cs="Arial"/>
                <w:sz w:val="12"/>
                <w:szCs w:val="12"/>
              </w:rPr>
            </w:pPr>
            <w:r w:rsidRPr="002D1DD7">
              <w:rPr>
                <w:rFonts w:ascii="Arial" w:hAnsi="Arial" w:cs="Arial"/>
                <w:sz w:val="12"/>
                <w:szCs w:val="12"/>
              </w:rPr>
              <w:t>Duration of treatment (6 months)</w:t>
            </w:r>
          </w:p>
        </w:tc>
        <w:tc>
          <w:tcPr>
            <w:tcW w:w="2213" w:type="dxa"/>
            <w:tcBorders>
              <w:top w:val="single" w:sz="12" w:space="0" w:color="auto"/>
              <w:bottom w:val="single" w:sz="12" w:space="0" w:color="auto"/>
            </w:tcBorders>
          </w:tcPr>
          <w:p w14:paraId="32780764" w14:textId="189E7356" w:rsidR="002A7DD7" w:rsidRPr="002D1DD7" w:rsidRDefault="002A7DD7" w:rsidP="002A7DD7">
            <w:pPr>
              <w:rPr>
                <w:rFonts w:ascii="Arial" w:hAnsi="Arial" w:cs="Arial"/>
                <w:sz w:val="12"/>
                <w:szCs w:val="12"/>
              </w:rPr>
            </w:pPr>
            <w:r w:rsidRPr="002D1DD7">
              <w:rPr>
                <w:rFonts w:ascii="Arial" w:hAnsi="Arial" w:cs="Arial"/>
                <w:sz w:val="12"/>
                <w:szCs w:val="12"/>
              </w:rPr>
              <w:t>Design: Phase II</w:t>
            </w:r>
            <w:r w:rsidR="00787BBC" w:rsidRPr="002D1DD7">
              <w:rPr>
                <w:rFonts w:ascii="Arial" w:hAnsi="Arial" w:cs="Arial"/>
                <w:sz w:val="12"/>
                <w:szCs w:val="12"/>
              </w:rPr>
              <w:t xml:space="preserve"> </w:t>
            </w:r>
            <w:r w:rsidR="009C3A69" w:rsidRPr="002D1DD7">
              <w:rPr>
                <w:rFonts w:ascii="Arial" w:hAnsi="Arial" w:cs="Arial"/>
                <w:sz w:val="12"/>
                <w:szCs w:val="12"/>
              </w:rPr>
              <w:t>(separate cohorts specified)</w:t>
            </w:r>
          </w:p>
          <w:p w14:paraId="41C05CAC"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400 participants</w:t>
            </w:r>
          </w:p>
          <w:p w14:paraId="3F66ED46" w14:textId="42E21957"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FE3A73" w:rsidRPr="002D1DD7">
              <w:rPr>
                <w:rFonts w:ascii="Arial" w:hAnsi="Arial" w:cs="Arial"/>
                <w:sz w:val="12"/>
                <w:szCs w:val="12"/>
              </w:rPr>
              <w:t>N</w:t>
            </w:r>
            <w:r w:rsidRPr="002D1DD7">
              <w:rPr>
                <w:rFonts w:ascii="Arial" w:hAnsi="Arial" w:cs="Arial"/>
                <w:sz w:val="12"/>
                <w:szCs w:val="12"/>
              </w:rPr>
              <w:t>on</w:t>
            </w:r>
            <w:r w:rsidR="00FE3A73" w:rsidRPr="002D1DD7">
              <w:rPr>
                <w:rFonts w:ascii="Arial" w:hAnsi="Arial" w:cs="Arial"/>
                <w:sz w:val="12"/>
                <w:szCs w:val="12"/>
              </w:rPr>
              <w:t>-R</w:t>
            </w:r>
            <w:r w:rsidRPr="002D1DD7">
              <w:rPr>
                <w:rFonts w:ascii="Arial" w:hAnsi="Arial" w:cs="Arial"/>
                <w:sz w:val="12"/>
                <w:szCs w:val="12"/>
              </w:rPr>
              <w:t>andomi</w:t>
            </w:r>
            <w:r w:rsidR="00FE3A73" w:rsidRPr="002D1DD7">
              <w:rPr>
                <w:rFonts w:ascii="Arial" w:hAnsi="Arial" w:cs="Arial"/>
                <w:sz w:val="12"/>
                <w:szCs w:val="12"/>
              </w:rPr>
              <w:t>s</w:t>
            </w:r>
            <w:r w:rsidRPr="002D1DD7">
              <w:rPr>
                <w:rFonts w:ascii="Arial" w:hAnsi="Arial" w:cs="Arial"/>
                <w:sz w:val="12"/>
                <w:szCs w:val="12"/>
              </w:rPr>
              <w:t xml:space="preserve">ed </w:t>
            </w:r>
          </w:p>
          <w:p w14:paraId="6AA975A9"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August 2016</w:t>
            </w:r>
          </w:p>
          <w:p w14:paraId="0213CF6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August 2019</w:t>
            </w:r>
          </w:p>
          <w:p w14:paraId="4D096C2D"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December 2019</w:t>
            </w:r>
          </w:p>
        </w:tc>
        <w:tc>
          <w:tcPr>
            <w:tcW w:w="2642" w:type="dxa"/>
            <w:tcBorders>
              <w:top w:val="single" w:sz="12" w:space="0" w:color="auto"/>
              <w:bottom w:val="single" w:sz="12" w:space="0" w:color="auto"/>
            </w:tcBorders>
          </w:tcPr>
          <w:p w14:paraId="7D87E38C" w14:textId="3DB2556A"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with a histologically-proven locally advanced or metastatic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multiple myeloma or B cell non-Hodgkin lymphoma who is no longer benefitting from standard anti-cancer treatment or for whom no such treatment is available or indicated.</w:t>
            </w:r>
          </w:p>
        </w:tc>
        <w:tc>
          <w:tcPr>
            <w:tcW w:w="2114" w:type="dxa"/>
            <w:tcBorders>
              <w:top w:val="single" w:sz="12" w:space="0" w:color="auto"/>
              <w:bottom w:val="single" w:sz="12" w:space="0" w:color="auto"/>
              <w:right w:val="single" w:sz="12" w:space="0" w:color="auto"/>
            </w:tcBorders>
          </w:tcPr>
          <w:p w14:paraId="61316399" w14:textId="29E6113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 xml:space="preserve">Results must be available from a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genomic or protein expression test. Eligible tests may include any of the following technologies: fluorescence in situ hybridization (FISH), polymerase chain reaction (PCR), comparative genomic hybridization (CGH), next generation sequencing (NGS) or immunohistochemistry (IHC). The test may have been performed on the primary </w:t>
            </w:r>
            <w:r w:rsidR="00787BBC" w:rsidRPr="002D1DD7">
              <w:rPr>
                <w:rFonts w:ascii="Arial" w:eastAsia="Times New Roman" w:hAnsi="Arial" w:cs="Arial"/>
                <w:color w:val="000000"/>
                <w:sz w:val="12"/>
                <w:szCs w:val="12"/>
                <w:lang w:eastAsia="en-GB"/>
              </w:rPr>
              <w:t>tumour</w:t>
            </w:r>
            <w:r w:rsidRPr="002D1DD7">
              <w:rPr>
                <w:rFonts w:ascii="Arial" w:eastAsia="Times New Roman" w:hAnsi="Arial" w:cs="Arial"/>
                <w:color w:val="000000"/>
                <w:sz w:val="12"/>
                <w:szCs w:val="12"/>
                <w:lang w:eastAsia="en-GB"/>
              </w:rPr>
              <w:t xml:space="preserve"> or a metastatic deposit, in a diagnostic laboratory or within the context of another CPCT study, and must reveal a potentially actionable variant.</w:t>
            </w:r>
          </w:p>
        </w:tc>
      </w:tr>
      <w:tr w:rsidR="002A7DD7" w:rsidRPr="002D1DD7" w14:paraId="4B8F8D06" w14:textId="77777777" w:rsidTr="009126F0">
        <w:trPr>
          <w:trHeight w:val="1079"/>
        </w:trPr>
        <w:tc>
          <w:tcPr>
            <w:tcW w:w="1103" w:type="dxa"/>
            <w:tcBorders>
              <w:top w:val="single" w:sz="12" w:space="0" w:color="auto"/>
              <w:left w:val="single" w:sz="12" w:space="0" w:color="auto"/>
              <w:bottom w:val="single" w:sz="12" w:space="0" w:color="auto"/>
            </w:tcBorders>
          </w:tcPr>
          <w:p w14:paraId="7EF0937F" w14:textId="77777777" w:rsidR="002A7DD7" w:rsidRPr="002D1DD7" w:rsidRDefault="002A7DD7" w:rsidP="002A7DD7">
            <w:pPr>
              <w:rPr>
                <w:rFonts w:ascii="Arial" w:hAnsi="Arial" w:cs="Arial"/>
                <w:b/>
                <w:color w:val="000000"/>
                <w:sz w:val="12"/>
                <w:szCs w:val="12"/>
                <w:shd w:val="clear" w:color="auto" w:fill="FFFFFF"/>
              </w:rPr>
            </w:pPr>
            <w:r w:rsidRPr="002D1DD7">
              <w:rPr>
                <w:rFonts w:ascii="Arial" w:hAnsi="Arial" w:cs="Arial"/>
                <w:b/>
                <w:color w:val="000000"/>
                <w:sz w:val="12"/>
                <w:szCs w:val="12"/>
                <w:shd w:val="clear" w:color="auto" w:fill="FFFFFF"/>
              </w:rPr>
              <w:t>LOXO-292</w:t>
            </w:r>
          </w:p>
        </w:tc>
        <w:tc>
          <w:tcPr>
            <w:tcW w:w="1497" w:type="dxa"/>
            <w:tcBorders>
              <w:top w:val="single" w:sz="12" w:space="0" w:color="auto"/>
              <w:bottom w:val="single" w:sz="12" w:space="0" w:color="auto"/>
            </w:tcBorders>
          </w:tcPr>
          <w:p w14:paraId="6E575C14" w14:textId="6F0DBAB9"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RET Fusion-Positive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and Medullary Thyroid Cancer</w:t>
            </w:r>
          </w:p>
        </w:tc>
        <w:tc>
          <w:tcPr>
            <w:tcW w:w="1717" w:type="dxa"/>
            <w:tcBorders>
              <w:top w:val="single" w:sz="12" w:space="0" w:color="auto"/>
              <w:bottom w:val="single" w:sz="12" w:space="0" w:color="auto"/>
            </w:tcBorders>
          </w:tcPr>
          <w:p w14:paraId="28746FAA"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NCT03157128</w:t>
            </w:r>
          </w:p>
        </w:tc>
        <w:tc>
          <w:tcPr>
            <w:tcW w:w="2166" w:type="dxa"/>
            <w:tcBorders>
              <w:top w:val="single" w:sz="12" w:space="0" w:color="auto"/>
              <w:bottom w:val="single" w:sz="12" w:space="0" w:color="auto"/>
            </w:tcBorders>
          </w:tcPr>
          <w:p w14:paraId="15ECA51A"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32868FD7" w14:textId="77777777" w:rsidR="002A7DD7" w:rsidRPr="002D1DD7" w:rsidRDefault="002A7DD7" w:rsidP="009A66EC">
            <w:pPr>
              <w:pStyle w:val="ListParagraph"/>
              <w:numPr>
                <w:ilvl w:val="0"/>
                <w:numId w:val="53"/>
              </w:numPr>
              <w:spacing w:before="0" w:after="0"/>
              <w:rPr>
                <w:rFonts w:ascii="Arial" w:hAnsi="Arial" w:cs="Arial"/>
                <w:sz w:val="12"/>
                <w:szCs w:val="12"/>
              </w:rPr>
            </w:pPr>
            <w:r w:rsidRPr="002D1DD7">
              <w:rPr>
                <w:rFonts w:ascii="Arial" w:hAnsi="Arial" w:cs="Arial"/>
                <w:sz w:val="12"/>
                <w:szCs w:val="12"/>
              </w:rPr>
              <w:t>Dosage</w:t>
            </w:r>
          </w:p>
          <w:p w14:paraId="6F490A30" w14:textId="77777777" w:rsidR="002A7DD7" w:rsidRPr="002D1DD7" w:rsidRDefault="002A7DD7" w:rsidP="009A66EC">
            <w:pPr>
              <w:pStyle w:val="ListParagraph"/>
              <w:numPr>
                <w:ilvl w:val="0"/>
                <w:numId w:val="53"/>
              </w:numPr>
              <w:spacing w:before="0" w:after="0"/>
              <w:rPr>
                <w:rFonts w:ascii="Arial" w:hAnsi="Arial" w:cs="Arial"/>
                <w:sz w:val="12"/>
                <w:szCs w:val="12"/>
              </w:rPr>
            </w:pPr>
            <w:r w:rsidRPr="002D1DD7">
              <w:rPr>
                <w:rFonts w:ascii="Arial" w:hAnsi="Arial" w:cs="Arial"/>
                <w:sz w:val="12"/>
                <w:szCs w:val="12"/>
              </w:rPr>
              <w:t>ORR (up to 2 years)</w:t>
            </w:r>
          </w:p>
          <w:p w14:paraId="6018C088" w14:textId="77777777" w:rsidR="002A7DD7" w:rsidRPr="002D1DD7" w:rsidRDefault="002A7DD7" w:rsidP="002A7DD7">
            <w:pPr>
              <w:rPr>
                <w:rFonts w:ascii="Arial" w:hAnsi="Arial" w:cs="Arial"/>
                <w:sz w:val="12"/>
                <w:szCs w:val="12"/>
              </w:rPr>
            </w:pPr>
          </w:p>
          <w:p w14:paraId="309F0D3B"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60CB5285" w14:textId="77777777" w:rsidR="002A7DD7" w:rsidRPr="002D1DD7" w:rsidRDefault="002A7DD7" w:rsidP="009A66EC">
            <w:pPr>
              <w:pStyle w:val="ListParagraph"/>
              <w:numPr>
                <w:ilvl w:val="0"/>
                <w:numId w:val="54"/>
              </w:numPr>
              <w:spacing w:before="0" w:after="0"/>
              <w:rPr>
                <w:rFonts w:ascii="Arial" w:hAnsi="Arial" w:cs="Arial"/>
                <w:b/>
                <w:sz w:val="12"/>
                <w:szCs w:val="12"/>
              </w:rPr>
            </w:pPr>
            <w:r w:rsidRPr="002D1DD7">
              <w:rPr>
                <w:rFonts w:ascii="Arial" w:hAnsi="Arial" w:cs="Arial"/>
                <w:sz w:val="12"/>
                <w:szCs w:val="12"/>
              </w:rPr>
              <w:t>AE (2 years)</w:t>
            </w:r>
          </w:p>
          <w:p w14:paraId="73299A18" w14:textId="77777777" w:rsidR="002A7DD7" w:rsidRPr="002D1DD7" w:rsidRDefault="002A7DD7" w:rsidP="009A66EC">
            <w:pPr>
              <w:pStyle w:val="ListParagraph"/>
              <w:numPr>
                <w:ilvl w:val="0"/>
                <w:numId w:val="54"/>
              </w:numPr>
              <w:spacing w:before="0" w:after="0"/>
              <w:rPr>
                <w:rFonts w:ascii="Arial" w:hAnsi="Arial" w:cs="Arial"/>
                <w:b/>
                <w:sz w:val="12"/>
                <w:szCs w:val="12"/>
              </w:rPr>
            </w:pPr>
            <w:r w:rsidRPr="002D1DD7">
              <w:rPr>
                <w:rFonts w:ascii="Arial" w:hAnsi="Arial" w:cs="Arial"/>
                <w:sz w:val="12"/>
                <w:szCs w:val="12"/>
              </w:rPr>
              <w:t>ORR (2 years)</w:t>
            </w:r>
          </w:p>
          <w:p w14:paraId="1E098C7F" w14:textId="77777777" w:rsidR="002A7DD7" w:rsidRPr="003A7BD0" w:rsidRDefault="002A7DD7" w:rsidP="009A66EC">
            <w:pPr>
              <w:pStyle w:val="ListParagraph"/>
              <w:numPr>
                <w:ilvl w:val="0"/>
                <w:numId w:val="54"/>
              </w:numPr>
              <w:spacing w:before="0" w:after="0"/>
              <w:rPr>
                <w:rFonts w:ascii="Arial" w:hAnsi="Arial" w:cs="Arial"/>
                <w:b/>
                <w:sz w:val="12"/>
                <w:szCs w:val="12"/>
              </w:rPr>
            </w:pPr>
            <w:r w:rsidRPr="003A7BD0">
              <w:rPr>
                <w:rFonts w:ascii="Arial" w:hAnsi="Arial" w:cs="Arial"/>
                <w:sz w:val="12"/>
                <w:szCs w:val="12"/>
              </w:rPr>
              <w:lastRenderedPageBreak/>
              <w:t>ORR/DOR/CBR/PFS/OS (2 years)</w:t>
            </w:r>
          </w:p>
          <w:p w14:paraId="6F5FAEB0"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Other</w:t>
            </w:r>
          </w:p>
          <w:p w14:paraId="44BD8BE0" w14:textId="77777777" w:rsidR="002A7DD7" w:rsidRPr="002D1DD7" w:rsidRDefault="002A7DD7" w:rsidP="009A66EC">
            <w:pPr>
              <w:pStyle w:val="ListParagraph"/>
              <w:numPr>
                <w:ilvl w:val="0"/>
                <w:numId w:val="55"/>
              </w:numPr>
              <w:spacing w:before="0" w:after="0"/>
              <w:rPr>
                <w:rFonts w:ascii="Arial" w:hAnsi="Arial" w:cs="Arial"/>
                <w:sz w:val="12"/>
                <w:szCs w:val="12"/>
              </w:rPr>
            </w:pPr>
            <w:r w:rsidRPr="002D1DD7">
              <w:rPr>
                <w:rFonts w:ascii="Arial" w:hAnsi="Arial" w:cs="Arial"/>
                <w:sz w:val="12"/>
                <w:szCs w:val="12"/>
              </w:rPr>
              <w:t>Genomics</w:t>
            </w:r>
          </w:p>
          <w:p w14:paraId="36ABE69E" w14:textId="77777777" w:rsidR="002A7DD7" w:rsidRPr="002D1DD7" w:rsidRDefault="002A7DD7" w:rsidP="009A66EC">
            <w:pPr>
              <w:pStyle w:val="ListParagraph"/>
              <w:numPr>
                <w:ilvl w:val="0"/>
                <w:numId w:val="55"/>
              </w:numPr>
              <w:spacing w:before="0" w:after="0"/>
              <w:rPr>
                <w:rFonts w:ascii="Arial" w:hAnsi="Arial" w:cs="Arial"/>
                <w:sz w:val="12"/>
                <w:szCs w:val="12"/>
              </w:rPr>
            </w:pPr>
            <w:r w:rsidRPr="002D1DD7">
              <w:rPr>
                <w:rFonts w:ascii="Arial" w:hAnsi="Arial" w:cs="Arial"/>
                <w:sz w:val="12"/>
                <w:szCs w:val="12"/>
              </w:rPr>
              <w:t>HRQoL (QLQ-C30)</w:t>
            </w:r>
          </w:p>
        </w:tc>
        <w:tc>
          <w:tcPr>
            <w:tcW w:w="2213" w:type="dxa"/>
            <w:tcBorders>
              <w:top w:val="single" w:sz="12" w:space="0" w:color="auto"/>
              <w:bottom w:val="single" w:sz="12" w:space="0" w:color="auto"/>
            </w:tcBorders>
          </w:tcPr>
          <w:p w14:paraId="7BBB17DB" w14:textId="77777777" w:rsidR="002A7DD7" w:rsidRPr="002D1DD7" w:rsidRDefault="002A7DD7" w:rsidP="002A7DD7">
            <w:pPr>
              <w:rPr>
                <w:rFonts w:ascii="Arial" w:hAnsi="Arial" w:cs="Arial"/>
                <w:sz w:val="12"/>
                <w:szCs w:val="12"/>
              </w:rPr>
            </w:pPr>
            <w:r w:rsidRPr="002D1DD7">
              <w:rPr>
                <w:rFonts w:ascii="Arial" w:hAnsi="Arial" w:cs="Arial"/>
                <w:sz w:val="12"/>
                <w:szCs w:val="12"/>
              </w:rPr>
              <w:lastRenderedPageBreak/>
              <w:t>Design: Phase I/II</w:t>
            </w:r>
          </w:p>
          <w:p w14:paraId="538F324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870</w:t>
            </w:r>
          </w:p>
          <w:p w14:paraId="3A2524C2" w14:textId="67B8C24E"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787BBC" w:rsidRPr="002D1DD7">
              <w:rPr>
                <w:rFonts w:ascii="Arial" w:hAnsi="Arial" w:cs="Arial"/>
                <w:sz w:val="12"/>
                <w:szCs w:val="12"/>
              </w:rPr>
              <w:t>N</w:t>
            </w:r>
            <w:r w:rsidRPr="002D1DD7">
              <w:rPr>
                <w:rFonts w:ascii="Arial" w:hAnsi="Arial" w:cs="Arial"/>
                <w:sz w:val="12"/>
                <w:szCs w:val="12"/>
              </w:rPr>
              <w:t>on-</w:t>
            </w:r>
            <w:r w:rsidR="00787BBC" w:rsidRPr="002D1DD7">
              <w:rPr>
                <w:rFonts w:ascii="Arial" w:hAnsi="Arial" w:cs="Arial"/>
                <w:sz w:val="12"/>
                <w:szCs w:val="12"/>
              </w:rPr>
              <w:t>r</w:t>
            </w:r>
            <w:r w:rsidRPr="002D1DD7">
              <w:rPr>
                <w:rFonts w:ascii="Arial" w:hAnsi="Arial" w:cs="Arial"/>
                <w:sz w:val="12"/>
                <w:szCs w:val="12"/>
              </w:rPr>
              <w:t>andomi</w:t>
            </w:r>
            <w:r w:rsidR="00787BBC" w:rsidRPr="002D1DD7">
              <w:rPr>
                <w:rFonts w:ascii="Arial" w:hAnsi="Arial" w:cs="Arial"/>
                <w:sz w:val="12"/>
                <w:szCs w:val="12"/>
              </w:rPr>
              <w:t>s</w:t>
            </w:r>
            <w:r w:rsidRPr="002D1DD7">
              <w:rPr>
                <w:rFonts w:ascii="Arial" w:hAnsi="Arial" w:cs="Arial"/>
                <w:sz w:val="12"/>
                <w:szCs w:val="12"/>
              </w:rPr>
              <w:t>ed</w:t>
            </w:r>
          </w:p>
          <w:p w14:paraId="7BDA6F4D" w14:textId="77777777" w:rsidR="005D2293" w:rsidRPr="002D1DD7" w:rsidRDefault="002A7DD7" w:rsidP="002A7DD7">
            <w:pPr>
              <w:rPr>
                <w:rFonts w:ascii="Arial" w:hAnsi="Arial" w:cs="Arial"/>
                <w:sz w:val="12"/>
                <w:szCs w:val="12"/>
              </w:rPr>
            </w:pPr>
            <w:r w:rsidRPr="002D1DD7">
              <w:rPr>
                <w:rFonts w:ascii="Arial" w:hAnsi="Arial" w:cs="Arial"/>
                <w:sz w:val="12"/>
                <w:szCs w:val="12"/>
              </w:rPr>
              <w:t>Study start date: 9 May 2017</w:t>
            </w:r>
          </w:p>
          <w:p w14:paraId="22E4E068" w14:textId="0D4DC710" w:rsidR="002A7DD7" w:rsidRPr="002D1DD7" w:rsidRDefault="002A7DD7" w:rsidP="002A7DD7">
            <w:pPr>
              <w:rPr>
                <w:rFonts w:ascii="Arial" w:hAnsi="Arial" w:cs="Arial"/>
                <w:sz w:val="12"/>
                <w:szCs w:val="12"/>
              </w:rPr>
            </w:pPr>
            <w:r w:rsidRPr="002D1DD7">
              <w:rPr>
                <w:rFonts w:ascii="Arial" w:hAnsi="Arial" w:cs="Arial"/>
                <w:sz w:val="12"/>
                <w:szCs w:val="12"/>
              </w:rPr>
              <w:lastRenderedPageBreak/>
              <w:t>Estimated primary completion date: August 2019</w:t>
            </w:r>
          </w:p>
          <w:p w14:paraId="4181C7FA"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December 2019</w:t>
            </w:r>
          </w:p>
        </w:tc>
        <w:tc>
          <w:tcPr>
            <w:tcW w:w="2642" w:type="dxa"/>
            <w:tcBorders>
              <w:top w:val="single" w:sz="12" w:space="0" w:color="auto"/>
              <w:bottom w:val="single" w:sz="12" w:space="0" w:color="auto"/>
            </w:tcBorders>
          </w:tcPr>
          <w:p w14:paraId="2AE1A5A0" w14:textId="69C0BAC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lastRenderedPageBreak/>
              <w:t xml:space="preserve">Patients &gt;=12 years with advanced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including RET fusion-positive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s, </w:t>
            </w:r>
            <w:r w:rsidR="005D2293" w:rsidRPr="002D1DD7">
              <w:rPr>
                <w:rFonts w:ascii="Arial" w:hAnsi="Arial" w:cs="Arial"/>
                <w:color w:val="000000"/>
                <w:sz w:val="12"/>
                <w:szCs w:val="12"/>
                <w:shd w:val="clear" w:color="auto" w:fill="FFFFFF"/>
              </w:rPr>
              <w:t>Medullary Thyroid Cancer</w:t>
            </w:r>
            <w:r w:rsidRPr="002D1DD7">
              <w:rPr>
                <w:rFonts w:ascii="Arial" w:hAnsi="Arial" w:cs="Arial"/>
                <w:color w:val="000000"/>
                <w:sz w:val="12"/>
                <w:szCs w:val="12"/>
                <w:shd w:val="clear" w:color="auto" w:fill="FFFFFF"/>
              </w:rPr>
              <w:t xml:space="preserve">, and other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with RET activation.</w:t>
            </w:r>
          </w:p>
        </w:tc>
        <w:tc>
          <w:tcPr>
            <w:tcW w:w="2114" w:type="dxa"/>
            <w:tcBorders>
              <w:top w:val="single" w:sz="12" w:space="0" w:color="auto"/>
              <w:bottom w:val="single" w:sz="12" w:space="0" w:color="auto"/>
              <w:right w:val="single" w:sz="12" w:space="0" w:color="auto"/>
            </w:tcBorders>
          </w:tcPr>
          <w:p w14:paraId="2D9BC2DE"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FE5598" w:rsidRPr="002D1DD7" w14:paraId="5B4B1B31" w14:textId="77777777" w:rsidTr="004F034A">
        <w:trPr>
          <w:trHeight w:val="1079"/>
        </w:trPr>
        <w:tc>
          <w:tcPr>
            <w:tcW w:w="1103" w:type="dxa"/>
            <w:vMerge w:val="restart"/>
            <w:tcBorders>
              <w:top w:val="single" w:sz="12" w:space="0" w:color="auto"/>
              <w:left w:val="single" w:sz="12" w:space="0" w:color="auto"/>
            </w:tcBorders>
          </w:tcPr>
          <w:p w14:paraId="5D21F8DE" w14:textId="77777777" w:rsidR="00FE5598" w:rsidRPr="002D1DD7" w:rsidRDefault="00FE5598" w:rsidP="002A7DD7">
            <w:pPr>
              <w:rPr>
                <w:rFonts w:ascii="Arial" w:hAnsi="Arial" w:cs="Arial"/>
                <w:b/>
                <w:color w:val="000000"/>
                <w:sz w:val="12"/>
                <w:szCs w:val="12"/>
                <w:shd w:val="clear" w:color="auto" w:fill="FFFFFF"/>
              </w:rPr>
            </w:pPr>
            <w:r w:rsidRPr="002D1DD7">
              <w:rPr>
                <w:rFonts w:ascii="Arial" w:hAnsi="Arial" w:cs="Arial"/>
                <w:b/>
                <w:color w:val="000000"/>
                <w:sz w:val="12"/>
                <w:szCs w:val="12"/>
                <w:shd w:val="clear" w:color="auto" w:fill="FFFFFF"/>
              </w:rPr>
              <w:t>Epacadostat with pembrolizumab</w:t>
            </w:r>
          </w:p>
        </w:tc>
        <w:tc>
          <w:tcPr>
            <w:tcW w:w="1497" w:type="dxa"/>
            <w:tcBorders>
              <w:top w:val="single" w:sz="12" w:space="0" w:color="auto"/>
              <w:bottom w:val="single" w:sz="12" w:space="0" w:color="auto"/>
            </w:tcBorders>
          </w:tcPr>
          <w:p w14:paraId="7B5546BE" w14:textId="77777777" w:rsidR="00FE5598" w:rsidRPr="002D1DD7" w:rsidRDefault="00FE5598"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or metastatic solid tumours</w:t>
            </w:r>
          </w:p>
        </w:tc>
        <w:tc>
          <w:tcPr>
            <w:tcW w:w="1717" w:type="dxa"/>
            <w:tcBorders>
              <w:top w:val="single" w:sz="12" w:space="0" w:color="auto"/>
              <w:bottom w:val="single" w:sz="12" w:space="0" w:color="auto"/>
            </w:tcBorders>
          </w:tcPr>
          <w:p w14:paraId="1187EF05" w14:textId="77777777" w:rsidR="00FE5598" w:rsidRPr="002D1DD7" w:rsidRDefault="00FE5598"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NCT03085914</w:t>
            </w:r>
          </w:p>
        </w:tc>
        <w:tc>
          <w:tcPr>
            <w:tcW w:w="2166" w:type="dxa"/>
            <w:tcBorders>
              <w:top w:val="single" w:sz="12" w:space="0" w:color="auto"/>
              <w:bottom w:val="single" w:sz="12" w:space="0" w:color="auto"/>
            </w:tcBorders>
          </w:tcPr>
          <w:p w14:paraId="26E9605E" w14:textId="77777777" w:rsidR="00FE5598" w:rsidRPr="002D1DD7" w:rsidRDefault="00FE5598" w:rsidP="002A7DD7">
            <w:pPr>
              <w:pStyle w:val="ListParagraph"/>
              <w:ind w:left="0"/>
              <w:rPr>
                <w:rFonts w:ascii="Arial" w:hAnsi="Arial" w:cs="Arial"/>
                <w:b/>
                <w:sz w:val="12"/>
                <w:szCs w:val="12"/>
              </w:rPr>
            </w:pPr>
            <w:r w:rsidRPr="002D1DD7">
              <w:rPr>
                <w:rFonts w:ascii="Arial" w:hAnsi="Arial" w:cs="Arial"/>
                <w:b/>
                <w:sz w:val="12"/>
                <w:szCs w:val="12"/>
              </w:rPr>
              <w:t>Primary:</w:t>
            </w:r>
          </w:p>
          <w:p w14:paraId="6222CFE9" w14:textId="77777777" w:rsidR="00FE5598" w:rsidRPr="002D1DD7" w:rsidRDefault="00FE5598" w:rsidP="009A66EC">
            <w:pPr>
              <w:pStyle w:val="ListParagraph"/>
              <w:numPr>
                <w:ilvl w:val="0"/>
                <w:numId w:val="56"/>
              </w:numPr>
              <w:spacing w:before="0" w:after="0"/>
              <w:rPr>
                <w:rFonts w:ascii="Arial" w:hAnsi="Arial" w:cs="Arial"/>
                <w:sz w:val="12"/>
                <w:szCs w:val="12"/>
              </w:rPr>
            </w:pPr>
            <w:r w:rsidRPr="002D1DD7">
              <w:rPr>
                <w:rFonts w:ascii="Arial" w:hAnsi="Arial" w:cs="Arial"/>
                <w:sz w:val="12"/>
                <w:szCs w:val="12"/>
              </w:rPr>
              <w:t>Phase 1: Safety and tolerability (up to 27 months)</w:t>
            </w:r>
          </w:p>
          <w:p w14:paraId="6C8F0EB5" w14:textId="77777777" w:rsidR="00FE5598" w:rsidRPr="002D1DD7" w:rsidRDefault="00FE5598" w:rsidP="009A66EC">
            <w:pPr>
              <w:pStyle w:val="ListParagraph"/>
              <w:numPr>
                <w:ilvl w:val="0"/>
                <w:numId w:val="56"/>
              </w:numPr>
              <w:spacing w:before="0" w:after="0"/>
              <w:rPr>
                <w:rFonts w:ascii="Arial" w:hAnsi="Arial" w:cs="Arial"/>
                <w:sz w:val="12"/>
                <w:szCs w:val="12"/>
              </w:rPr>
            </w:pPr>
            <w:r w:rsidRPr="002D1DD7">
              <w:rPr>
                <w:rFonts w:ascii="Arial" w:hAnsi="Arial" w:cs="Arial"/>
                <w:sz w:val="12"/>
                <w:szCs w:val="12"/>
              </w:rPr>
              <w:t>Phase 2: ORR (up to 24 months)</w:t>
            </w:r>
          </w:p>
          <w:p w14:paraId="473439A1" w14:textId="77777777" w:rsidR="00FE5598" w:rsidRPr="002D1DD7" w:rsidRDefault="00FE5598" w:rsidP="002A7DD7">
            <w:pPr>
              <w:rPr>
                <w:rFonts w:ascii="Arial" w:hAnsi="Arial" w:cs="Arial"/>
                <w:sz w:val="12"/>
                <w:szCs w:val="12"/>
              </w:rPr>
            </w:pPr>
          </w:p>
          <w:p w14:paraId="3993A357" w14:textId="77777777" w:rsidR="00FE5598" w:rsidRPr="002D1DD7" w:rsidRDefault="00FE5598" w:rsidP="002A7DD7">
            <w:pPr>
              <w:rPr>
                <w:rFonts w:ascii="Arial" w:hAnsi="Arial" w:cs="Arial"/>
                <w:b/>
                <w:sz w:val="12"/>
                <w:szCs w:val="12"/>
              </w:rPr>
            </w:pPr>
            <w:r w:rsidRPr="002D1DD7">
              <w:rPr>
                <w:rFonts w:ascii="Arial" w:hAnsi="Arial" w:cs="Arial"/>
                <w:b/>
                <w:sz w:val="12"/>
                <w:szCs w:val="12"/>
              </w:rPr>
              <w:t>Secondary</w:t>
            </w:r>
          </w:p>
          <w:p w14:paraId="6FEE0FE1" w14:textId="77777777" w:rsidR="00FE5598" w:rsidRPr="002D1DD7" w:rsidRDefault="00FE5598" w:rsidP="009A66EC">
            <w:pPr>
              <w:pStyle w:val="ListParagraph"/>
              <w:numPr>
                <w:ilvl w:val="0"/>
                <w:numId w:val="57"/>
              </w:numPr>
              <w:spacing w:before="0" w:after="0"/>
              <w:rPr>
                <w:rFonts w:ascii="Arial" w:hAnsi="Arial" w:cs="Arial"/>
                <w:sz w:val="12"/>
                <w:szCs w:val="12"/>
              </w:rPr>
            </w:pPr>
            <w:r w:rsidRPr="002D1DD7">
              <w:rPr>
                <w:rFonts w:ascii="Arial" w:hAnsi="Arial" w:cs="Arial"/>
                <w:sz w:val="12"/>
                <w:szCs w:val="12"/>
              </w:rPr>
              <w:t>Phase 1: ORR (up to 24 months)</w:t>
            </w:r>
          </w:p>
          <w:p w14:paraId="1AE40B53" w14:textId="77777777" w:rsidR="00FE5598" w:rsidRPr="002D1DD7" w:rsidRDefault="00FE5598" w:rsidP="009A66EC">
            <w:pPr>
              <w:pStyle w:val="ListParagraph"/>
              <w:numPr>
                <w:ilvl w:val="0"/>
                <w:numId w:val="57"/>
              </w:numPr>
              <w:spacing w:before="0" w:after="0"/>
              <w:rPr>
                <w:rFonts w:ascii="Arial" w:hAnsi="Arial" w:cs="Arial"/>
                <w:sz w:val="12"/>
                <w:szCs w:val="12"/>
              </w:rPr>
            </w:pPr>
            <w:r w:rsidRPr="002D1DD7">
              <w:rPr>
                <w:rFonts w:ascii="Arial" w:hAnsi="Arial" w:cs="Arial"/>
                <w:sz w:val="12"/>
                <w:szCs w:val="12"/>
              </w:rPr>
              <w:t>Phase 2: safety and tolerability (up to 27 months)</w:t>
            </w:r>
          </w:p>
          <w:p w14:paraId="399327E0" w14:textId="77777777" w:rsidR="00FE5598" w:rsidRPr="002D1DD7" w:rsidRDefault="00FE5598" w:rsidP="009A66EC">
            <w:pPr>
              <w:pStyle w:val="ListParagraph"/>
              <w:numPr>
                <w:ilvl w:val="0"/>
                <w:numId w:val="57"/>
              </w:numPr>
              <w:spacing w:before="0" w:after="0"/>
              <w:rPr>
                <w:rFonts w:ascii="Arial" w:hAnsi="Arial" w:cs="Arial"/>
                <w:sz w:val="12"/>
                <w:szCs w:val="12"/>
              </w:rPr>
            </w:pPr>
            <w:r w:rsidRPr="002D1DD7">
              <w:rPr>
                <w:rFonts w:ascii="Arial" w:hAnsi="Arial" w:cs="Arial"/>
                <w:sz w:val="12"/>
                <w:szCs w:val="12"/>
              </w:rPr>
              <w:t>DOR (up to 24 months)</w:t>
            </w:r>
          </w:p>
          <w:p w14:paraId="5D6D831B" w14:textId="77777777" w:rsidR="00FE5598" w:rsidRPr="002D1DD7" w:rsidRDefault="00FE5598" w:rsidP="009A66EC">
            <w:pPr>
              <w:pStyle w:val="ListParagraph"/>
              <w:numPr>
                <w:ilvl w:val="0"/>
                <w:numId w:val="57"/>
              </w:numPr>
              <w:spacing w:before="0" w:after="0"/>
              <w:rPr>
                <w:rFonts w:ascii="Arial" w:hAnsi="Arial" w:cs="Arial"/>
                <w:sz w:val="12"/>
                <w:szCs w:val="12"/>
              </w:rPr>
            </w:pPr>
            <w:r w:rsidRPr="002D1DD7">
              <w:rPr>
                <w:rFonts w:ascii="Arial" w:hAnsi="Arial" w:cs="Arial"/>
                <w:sz w:val="12"/>
                <w:szCs w:val="12"/>
              </w:rPr>
              <w:t xml:space="preserve">PFS (up to 24 months) </w:t>
            </w:r>
          </w:p>
        </w:tc>
        <w:tc>
          <w:tcPr>
            <w:tcW w:w="2213" w:type="dxa"/>
            <w:tcBorders>
              <w:top w:val="single" w:sz="12" w:space="0" w:color="auto"/>
              <w:bottom w:val="single" w:sz="12" w:space="0" w:color="auto"/>
            </w:tcBorders>
          </w:tcPr>
          <w:p w14:paraId="4D4B8EA1" w14:textId="5CD2CC0B" w:rsidR="00FE5598" w:rsidRPr="002D1DD7" w:rsidRDefault="00FE5598" w:rsidP="002A7DD7">
            <w:pPr>
              <w:rPr>
                <w:rFonts w:ascii="Arial" w:hAnsi="Arial" w:cs="Arial"/>
                <w:sz w:val="12"/>
                <w:szCs w:val="12"/>
              </w:rPr>
            </w:pPr>
            <w:r w:rsidRPr="002D1DD7">
              <w:rPr>
                <w:rFonts w:ascii="Arial" w:hAnsi="Arial" w:cs="Arial"/>
                <w:sz w:val="12"/>
                <w:szCs w:val="12"/>
              </w:rPr>
              <w:t>Design: Phase I/II</w:t>
            </w:r>
            <w:r w:rsidR="009C3A69" w:rsidRPr="002D1DD7">
              <w:rPr>
                <w:rFonts w:ascii="Arial" w:hAnsi="Arial" w:cs="Arial"/>
                <w:sz w:val="12"/>
                <w:szCs w:val="12"/>
              </w:rPr>
              <w:t xml:space="preserve"> (separate cohorts specified)</w:t>
            </w:r>
          </w:p>
          <w:p w14:paraId="66AB9EF0" w14:textId="77777777" w:rsidR="00FE5598" w:rsidRPr="002D1DD7" w:rsidRDefault="00FE5598" w:rsidP="002A7DD7">
            <w:pPr>
              <w:rPr>
                <w:rFonts w:ascii="Arial" w:hAnsi="Arial" w:cs="Arial"/>
                <w:sz w:val="12"/>
                <w:szCs w:val="12"/>
              </w:rPr>
            </w:pPr>
            <w:r w:rsidRPr="002D1DD7">
              <w:rPr>
                <w:rFonts w:ascii="Arial" w:hAnsi="Arial" w:cs="Arial"/>
                <w:sz w:val="12"/>
                <w:szCs w:val="12"/>
              </w:rPr>
              <w:t>Estimated enrolment: 70 participants</w:t>
            </w:r>
          </w:p>
          <w:p w14:paraId="48A5C4C8" w14:textId="2B69C97F" w:rsidR="00FE5598" w:rsidRPr="002D1DD7" w:rsidRDefault="00FE5598" w:rsidP="002A7DD7">
            <w:pPr>
              <w:rPr>
                <w:rFonts w:ascii="Arial" w:hAnsi="Arial" w:cs="Arial"/>
                <w:sz w:val="12"/>
                <w:szCs w:val="12"/>
              </w:rPr>
            </w:pPr>
            <w:r w:rsidRPr="002D1DD7">
              <w:rPr>
                <w:rFonts w:ascii="Arial" w:hAnsi="Arial" w:cs="Arial"/>
                <w:sz w:val="12"/>
                <w:szCs w:val="12"/>
              </w:rPr>
              <w:t>Allocation approach: Non-Randomised</w:t>
            </w:r>
          </w:p>
          <w:p w14:paraId="1A7AFC4F" w14:textId="77777777" w:rsidR="00FE5598" w:rsidRPr="002D1DD7" w:rsidRDefault="00FE5598" w:rsidP="002A7DD7">
            <w:pPr>
              <w:rPr>
                <w:rFonts w:ascii="Arial" w:hAnsi="Arial" w:cs="Arial"/>
                <w:sz w:val="12"/>
                <w:szCs w:val="12"/>
              </w:rPr>
            </w:pPr>
            <w:r w:rsidRPr="002D1DD7">
              <w:rPr>
                <w:rFonts w:ascii="Arial" w:hAnsi="Arial" w:cs="Arial"/>
                <w:sz w:val="12"/>
                <w:szCs w:val="12"/>
              </w:rPr>
              <w:t>Study start date: 2 May 2017</w:t>
            </w:r>
          </w:p>
          <w:p w14:paraId="7B2E1965" w14:textId="77777777" w:rsidR="00FE5598" w:rsidRPr="002D1DD7" w:rsidRDefault="00FE5598" w:rsidP="002A7DD7">
            <w:pPr>
              <w:rPr>
                <w:rFonts w:ascii="Arial" w:hAnsi="Arial" w:cs="Arial"/>
                <w:sz w:val="12"/>
                <w:szCs w:val="12"/>
              </w:rPr>
            </w:pPr>
            <w:r w:rsidRPr="002D1DD7">
              <w:rPr>
                <w:rFonts w:ascii="Arial" w:hAnsi="Arial" w:cs="Arial"/>
                <w:sz w:val="12"/>
                <w:szCs w:val="12"/>
              </w:rPr>
              <w:t>Estimated primary completion date: October 2019</w:t>
            </w:r>
          </w:p>
          <w:p w14:paraId="32912876" w14:textId="77777777" w:rsidR="00FE5598" w:rsidRPr="002D1DD7" w:rsidRDefault="00FE5598" w:rsidP="002A7DD7">
            <w:pPr>
              <w:rPr>
                <w:rFonts w:ascii="Arial" w:hAnsi="Arial" w:cs="Arial"/>
                <w:sz w:val="12"/>
                <w:szCs w:val="12"/>
              </w:rPr>
            </w:pPr>
            <w:r w:rsidRPr="002D1DD7">
              <w:rPr>
                <w:rFonts w:ascii="Arial" w:hAnsi="Arial" w:cs="Arial"/>
                <w:sz w:val="12"/>
                <w:szCs w:val="12"/>
              </w:rPr>
              <w:t>Estimated study completion date: January 2020</w:t>
            </w:r>
          </w:p>
        </w:tc>
        <w:tc>
          <w:tcPr>
            <w:tcW w:w="2642" w:type="dxa"/>
            <w:tcBorders>
              <w:top w:val="single" w:sz="12" w:space="0" w:color="auto"/>
              <w:bottom w:val="single" w:sz="12" w:space="0" w:color="auto"/>
            </w:tcBorders>
          </w:tcPr>
          <w:p w14:paraId="05C9F895" w14:textId="244CFFBE" w:rsidR="00FE5598" w:rsidRPr="002D1DD7" w:rsidRDefault="00FE5598"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Patients &gt;= 18 years of age histologically or cytologically confirmed diagnosis of selected advanced or metastatic solid tumours.</w:t>
            </w:r>
          </w:p>
        </w:tc>
        <w:tc>
          <w:tcPr>
            <w:tcW w:w="2114" w:type="dxa"/>
            <w:tcBorders>
              <w:top w:val="single" w:sz="12" w:space="0" w:color="auto"/>
              <w:bottom w:val="single" w:sz="12" w:space="0" w:color="auto"/>
              <w:right w:val="single" w:sz="12" w:space="0" w:color="auto"/>
            </w:tcBorders>
          </w:tcPr>
          <w:p w14:paraId="30522B12" w14:textId="77777777" w:rsidR="00FE5598" w:rsidRPr="002D1DD7" w:rsidRDefault="00FE5598"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FE5598" w:rsidRPr="002D1DD7" w14:paraId="5164803E" w14:textId="77777777" w:rsidTr="004F034A">
        <w:trPr>
          <w:trHeight w:val="1079"/>
        </w:trPr>
        <w:tc>
          <w:tcPr>
            <w:tcW w:w="1103" w:type="dxa"/>
            <w:vMerge/>
            <w:tcBorders>
              <w:left w:val="single" w:sz="12" w:space="0" w:color="auto"/>
              <w:bottom w:val="single" w:sz="12" w:space="0" w:color="auto"/>
            </w:tcBorders>
          </w:tcPr>
          <w:p w14:paraId="6B5F15D8" w14:textId="77777777" w:rsidR="00FE5598" w:rsidRPr="002D1DD7" w:rsidRDefault="00FE5598"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39D5E0A7" w14:textId="77777777" w:rsidR="00FE5598" w:rsidRPr="002D1DD7" w:rsidRDefault="00FE5598"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or metastatic malignancies</w:t>
            </w:r>
          </w:p>
        </w:tc>
        <w:tc>
          <w:tcPr>
            <w:tcW w:w="1717" w:type="dxa"/>
            <w:tcBorders>
              <w:top w:val="single" w:sz="12" w:space="0" w:color="auto"/>
              <w:bottom w:val="single" w:sz="12" w:space="0" w:color="auto"/>
            </w:tcBorders>
          </w:tcPr>
          <w:p w14:paraId="5D1830C5" w14:textId="77777777" w:rsidR="00FE5598" w:rsidRPr="002D1DD7" w:rsidRDefault="00FE5598"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NCT03277352  </w:t>
            </w:r>
          </w:p>
        </w:tc>
        <w:tc>
          <w:tcPr>
            <w:tcW w:w="2166" w:type="dxa"/>
            <w:tcBorders>
              <w:top w:val="single" w:sz="12" w:space="0" w:color="auto"/>
              <w:bottom w:val="single" w:sz="12" w:space="0" w:color="auto"/>
            </w:tcBorders>
          </w:tcPr>
          <w:p w14:paraId="0413E810" w14:textId="77777777" w:rsidR="00FE5598" w:rsidRPr="002D1DD7" w:rsidRDefault="00FE5598" w:rsidP="002A7DD7">
            <w:pPr>
              <w:pStyle w:val="ListParagraph"/>
              <w:ind w:left="0"/>
              <w:rPr>
                <w:rFonts w:ascii="Arial" w:hAnsi="Arial" w:cs="Arial"/>
                <w:b/>
                <w:sz w:val="12"/>
                <w:szCs w:val="12"/>
              </w:rPr>
            </w:pPr>
            <w:r w:rsidRPr="002D1DD7">
              <w:rPr>
                <w:rFonts w:ascii="Arial" w:hAnsi="Arial" w:cs="Arial"/>
                <w:b/>
                <w:sz w:val="12"/>
                <w:szCs w:val="12"/>
              </w:rPr>
              <w:t>Primary:</w:t>
            </w:r>
          </w:p>
          <w:p w14:paraId="0ABA4FE9" w14:textId="77777777" w:rsidR="00FE5598" w:rsidRPr="002D1DD7" w:rsidRDefault="00FE5598" w:rsidP="009A66EC">
            <w:pPr>
              <w:pStyle w:val="ListParagraph"/>
              <w:numPr>
                <w:ilvl w:val="0"/>
                <w:numId w:val="58"/>
              </w:numPr>
              <w:spacing w:before="0" w:after="0"/>
              <w:rPr>
                <w:rFonts w:ascii="Arial" w:hAnsi="Arial" w:cs="Arial"/>
                <w:b/>
                <w:sz w:val="12"/>
                <w:szCs w:val="12"/>
              </w:rPr>
            </w:pPr>
            <w:r w:rsidRPr="002D1DD7">
              <w:rPr>
                <w:rFonts w:ascii="Arial" w:hAnsi="Arial" w:cs="Arial"/>
                <w:sz w:val="12"/>
                <w:szCs w:val="12"/>
              </w:rPr>
              <w:t>Phase 1: AE (up to 18 months)</w:t>
            </w:r>
          </w:p>
          <w:p w14:paraId="2898438F" w14:textId="77777777" w:rsidR="00FE5598" w:rsidRPr="002D1DD7" w:rsidRDefault="00FE5598" w:rsidP="009A66EC">
            <w:pPr>
              <w:pStyle w:val="ListParagraph"/>
              <w:numPr>
                <w:ilvl w:val="0"/>
                <w:numId w:val="58"/>
              </w:numPr>
              <w:spacing w:before="0" w:after="0"/>
              <w:rPr>
                <w:rFonts w:ascii="Arial" w:hAnsi="Arial" w:cs="Arial"/>
                <w:b/>
                <w:sz w:val="12"/>
                <w:szCs w:val="12"/>
              </w:rPr>
            </w:pPr>
            <w:r w:rsidRPr="002D1DD7">
              <w:rPr>
                <w:rFonts w:ascii="Arial" w:hAnsi="Arial" w:cs="Arial"/>
                <w:sz w:val="12"/>
                <w:szCs w:val="12"/>
              </w:rPr>
              <w:t>Phase 2: ORR/CRR (up to 18 months)</w:t>
            </w:r>
          </w:p>
          <w:p w14:paraId="74649B57" w14:textId="77777777" w:rsidR="00FE5598" w:rsidRPr="002D1DD7" w:rsidRDefault="00FE5598" w:rsidP="002A7DD7">
            <w:pPr>
              <w:rPr>
                <w:rFonts w:ascii="Arial" w:hAnsi="Arial" w:cs="Arial"/>
                <w:b/>
                <w:sz w:val="12"/>
                <w:szCs w:val="12"/>
              </w:rPr>
            </w:pPr>
          </w:p>
          <w:p w14:paraId="52A84301" w14:textId="77777777" w:rsidR="00FE5598" w:rsidRPr="002D1DD7" w:rsidRDefault="00FE5598" w:rsidP="002A7DD7">
            <w:pPr>
              <w:rPr>
                <w:rFonts w:ascii="Arial" w:hAnsi="Arial" w:cs="Arial"/>
                <w:b/>
                <w:sz w:val="12"/>
                <w:szCs w:val="12"/>
              </w:rPr>
            </w:pPr>
            <w:r w:rsidRPr="002D1DD7">
              <w:rPr>
                <w:rFonts w:ascii="Arial" w:hAnsi="Arial" w:cs="Arial"/>
                <w:b/>
                <w:sz w:val="12"/>
                <w:szCs w:val="12"/>
              </w:rPr>
              <w:t>Secondary</w:t>
            </w:r>
          </w:p>
          <w:p w14:paraId="1C1F5482" w14:textId="77777777" w:rsidR="00FE5598" w:rsidRPr="002D1DD7" w:rsidRDefault="00FE5598" w:rsidP="009A66EC">
            <w:pPr>
              <w:pStyle w:val="ListParagraph"/>
              <w:numPr>
                <w:ilvl w:val="0"/>
                <w:numId w:val="59"/>
              </w:numPr>
              <w:spacing w:before="0" w:after="0"/>
              <w:rPr>
                <w:rFonts w:ascii="Arial" w:hAnsi="Arial" w:cs="Arial"/>
                <w:sz w:val="12"/>
                <w:szCs w:val="12"/>
              </w:rPr>
            </w:pPr>
            <w:r w:rsidRPr="002D1DD7">
              <w:rPr>
                <w:rFonts w:ascii="Arial" w:hAnsi="Arial" w:cs="Arial"/>
                <w:sz w:val="12"/>
                <w:szCs w:val="12"/>
              </w:rPr>
              <w:t>Disease Control Rate (18 months)</w:t>
            </w:r>
          </w:p>
          <w:p w14:paraId="78F9BC37" w14:textId="77777777" w:rsidR="00FE5598" w:rsidRPr="002D1DD7" w:rsidRDefault="00FE5598" w:rsidP="009A66EC">
            <w:pPr>
              <w:pStyle w:val="ListParagraph"/>
              <w:numPr>
                <w:ilvl w:val="0"/>
                <w:numId w:val="59"/>
              </w:numPr>
              <w:spacing w:before="0" w:after="0"/>
              <w:rPr>
                <w:rFonts w:ascii="Arial" w:hAnsi="Arial" w:cs="Arial"/>
                <w:sz w:val="12"/>
                <w:szCs w:val="12"/>
              </w:rPr>
            </w:pPr>
            <w:r w:rsidRPr="002D1DD7">
              <w:rPr>
                <w:rFonts w:ascii="Arial" w:hAnsi="Arial" w:cs="Arial"/>
                <w:sz w:val="12"/>
                <w:szCs w:val="12"/>
              </w:rPr>
              <w:t>DOR (18 months)</w:t>
            </w:r>
          </w:p>
          <w:p w14:paraId="1FB684A4" w14:textId="77777777" w:rsidR="00FE5598" w:rsidRPr="002D1DD7" w:rsidRDefault="00FE5598" w:rsidP="009A66EC">
            <w:pPr>
              <w:pStyle w:val="ListParagraph"/>
              <w:numPr>
                <w:ilvl w:val="0"/>
                <w:numId w:val="59"/>
              </w:numPr>
              <w:spacing w:before="0" w:after="0"/>
              <w:rPr>
                <w:rFonts w:ascii="Arial" w:hAnsi="Arial" w:cs="Arial"/>
                <w:sz w:val="12"/>
                <w:szCs w:val="12"/>
              </w:rPr>
            </w:pPr>
            <w:r w:rsidRPr="002D1DD7">
              <w:rPr>
                <w:rFonts w:ascii="Arial" w:hAnsi="Arial" w:cs="Arial"/>
                <w:sz w:val="12"/>
                <w:szCs w:val="12"/>
              </w:rPr>
              <w:t>Duration of disease control (18 months)</w:t>
            </w:r>
          </w:p>
          <w:p w14:paraId="380B4864" w14:textId="77777777" w:rsidR="00FE5598" w:rsidRPr="002D1DD7" w:rsidRDefault="00FE5598" w:rsidP="009A66EC">
            <w:pPr>
              <w:pStyle w:val="ListParagraph"/>
              <w:numPr>
                <w:ilvl w:val="0"/>
                <w:numId w:val="59"/>
              </w:numPr>
              <w:spacing w:before="0" w:after="0"/>
              <w:rPr>
                <w:rFonts w:ascii="Arial" w:hAnsi="Arial" w:cs="Arial"/>
                <w:sz w:val="12"/>
                <w:szCs w:val="12"/>
              </w:rPr>
            </w:pPr>
            <w:r w:rsidRPr="002D1DD7">
              <w:rPr>
                <w:rFonts w:ascii="Arial" w:hAnsi="Arial" w:cs="Arial"/>
                <w:sz w:val="12"/>
                <w:szCs w:val="12"/>
              </w:rPr>
              <w:t>PFS (18 months)</w:t>
            </w:r>
          </w:p>
          <w:p w14:paraId="23E502BD" w14:textId="77777777" w:rsidR="00FE5598" w:rsidRPr="002D1DD7" w:rsidRDefault="00FE5598" w:rsidP="009A66EC">
            <w:pPr>
              <w:pStyle w:val="ListParagraph"/>
              <w:numPr>
                <w:ilvl w:val="0"/>
                <w:numId w:val="59"/>
              </w:numPr>
              <w:spacing w:before="0" w:after="0"/>
              <w:rPr>
                <w:rFonts w:ascii="Arial" w:hAnsi="Arial" w:cs="Arial"/>
                <w:sz w:val="12"/>
                <w:szCs w:val="12"/>
              </w:rPr>
            </w:pPr>
            <w:r w:rsidRPr="002D1DD7">
              <w:rPr>
                <w:rFonts w:ascii="Arial" w:hAnsi="Arial" w:cs="Arial"/>
                <w:sz w:val="12"/>
                <w:szCs w:val="12"/>
              </w:rPr>
              <w:t>OS (at 1 and 2 years)</w:t>
            </w:r>
          </w:p>
        </w:tc>
        <w:tc>
          <w:tcPr>
            <w:tcW w:w="2213" w:type="dxa"/>
            <w:tcBorders>
              <w:top w:val="single" w:sz="12" w:space="0" w:color="auto"/>
              <w:bottom w:val="single" w:sz="12" w:space="0" w:color="auto"/>
            </w:tcBorders>
          </w:tcPr>
          <w:p w14:paraId="23A6E168" w14:textId="77777777" w:rsidR="00FE5598" w:rsidRPr="002D1DD7" w:rsidRDefault="00FE5598" w:rsidP="002A7DD7">
            <w:pPr>
              <w:rPr>
                <w:rFonts w:ascii="Arial" w:hAnsi="Arial" w:cs="Arial"/>
                <w:sz w:val="12"/>
                <w:szCs w:val="12"/>
              </w:rPr>
            </w:pPr>
            <w:r w:rsidRPr="002D1DD7">
              <w:rPr>
                <w:rFonts w:ascii="Arial" w:hAnsi="Arial" w:cs="Arial"/>
                <w:sz w:val="12"/>
                <w:szCs w:val="12"/>
              </w:rPr>
              <w:t>Design: Phase I/II</w:t>
            </w:r>
          </w:p>
          <w:p w14:paraId="542216F7" w14:textId="77777777" w:rsidR="00FE5598" w:rsidRPr="002D1DD7" w:rsidRDefault="00FE5598" w:rsidP="002A7DD7">
            <w:pPr>
              <w:rPr>
                <w:rFonts w:ascii="Arial" w:hAnsi="Arial" w:cs="Arial"/>
                <w:sz w:val="12"/>
                <w:szCs w:val="12"/>
              </w:rPr>
            </w:pPr>
            <w:r w:rsidRPr="002D1DD7">
              <w:rPr>
                <w:rFonts w:ascii="Arial" w:hAnsi="Arial" w:cs="Arial"/>
                <w:sz w:val="12"/>
                <w:szCs w:val="12"/>
              </w:rPr>
              <w:t>Estimated enrolment: 10 participants</w:t>
            </w:r>
          </w:p>
          <w:p w14:paraId="3AD7E6CF" w14:textId="6284EFAC" w:rsidR="00FE5598" w:rsidRPr="002D1DD7" w:rsidRDefault="00FE5598" w:rsidP="002A7DD7">
            <w:pPr>
              <w:rPr>
                <w:rFonts w:ascii="Arial" w:hAnsi="Arial" w:cs="Arial"/>
                <w:sz w:val="12"/>
                <w:szCs w:val="12"/>
              </w:rPr>
            </w:pPr>
            <w:r w:rsidRPr="002D1DD7">
              <w:rPr>
                <w:rFonts w:ascii="Arial" w:hAnsi="Arial" w:cs="Arial"/>
                <w:sz w:val="12"/>
                <w:szCs w:val="12"/>
              </w:rPr>
              <w:t>Allocation approach: Non-randomised</w:t>
            </w:r>
          </w:p>
          <w:p w14:paraId="2CD72A71" w14:textId="020D37EA" w:rsidR="00FE5598" w:rsidRPr="002D1DD7" w:rsidRDefault="00FE5598" w:rsidP="00752426">
            <w:pPr>
              <w:rPr>
                <w:rFonts w:ascii="Arial" w:hAnsi="Arial" w:cs="Arial"/>
                <w:sz w:val="12"/>
                <w:szCs w:val="12"/>
              </w:rPr>
            </w:pPr>
            <w:r w:rsidRPr="002D1DD7">
              <w:rPr>
                <w:rFonts w:ascii="Arial" w:hAnsi="Arial" w:cs="Arial"/>
                <w:sz w:val="12"/>
                <w:szCs w:val="12"/>
              </w:rPr>
              <w:t>Study start date: 21 November 2017</w:t>
            </w:r>
          </w:p>
          <w:p w14:paraId="05EF9553" w14:textId="00C17DFB" w:rsidR="00FE5598" w:rsidRPr="002D1DD7" w:rsidRDefault="00FE5598" w:rsidP="00752426">
            <w:pPr>
              <w:rPr>
                <w:rFonts w:ascii="Arial" w:hAnsi="Arial" w:cs="Arial"/>
                <w:sz w:val="12"/>
                <w:szCs w:val="12"/>
              </w:rPr>
            </w:pPr>
            <w:r w:rsidRPr="002D1DD7">
              <w:rPr>
                <w:rFonts w:ascii="Arial" w:hAnsi="Arial" w:cs="Arial"/>
                <w:sz w:val="12"/>
                <w:szCs w:val="12"/>
              </w:rPr>
              <w:t>Estimated primary completion date: March 2020</w:t>
            </w:r>
          </w:p>
          <w:p w14:paraId="07BE6E51" w14:textId="740C85CE" w:rsidR="00FE5598" w:rsidRPr="002D1DD7" w:rsidRDefault="00FE5598" w:rsidP="00752426">
            <w:pPr>
              <w:rPr>
                <w:rFonts w:ascii="Arial" w:hAnsi="Arial" w:cs="Arial"/>
                <w:sz w:val="12"/>
                <w:szCs w:val="12"/>
              </w:rPr>
            </w:pPr>
            <w:r w:rsidRPr="002D1DD7">
              <w:rPr>
                <w:rFonts w:ascii="Arial" w:hAnsi="Arial" w:cs="Arial"/>
                <w:sz w:val="12"/>
                <w:szCs w:val="12"/>
              </w:rPr>
              <w:t>Estimated study completion date: May 2020</w:t>
            </w:r>
          </w:p>
        </w:tc>
        <w:tc>
          <w:tcPr>
            <w:tcW w:w="2642" w:type="dxa"/>
            <w:tcBorders>
              <w:top w:val="single" w:sz="12" w:space="0" w:color="auto"/>
              <w:bottom w:val="single" w:sz="12" w:space="0" w:color="auto"/>
            </w:tcBorders>
          </w:tcPr>
          <w:p w14:paraId="2F9AC81C" w14:textId="77777777" w:rsidR="00FE5598" w:rsidRPr="002D1DD7" w:rsidRDefault="00FE5598"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Patients &gt;= 18 years with locally advanced or metastatic disease; locally advanced disease must not be amenable to resection with curative intent.</w:t>
            </w:r>
          </w:p>
        </w:tc>
        <w:tc>
          <w:tcPr>
            <w:tcW w:w="2114" w:type="dxa"/>
            <w:tcBorders>
              <w:top w:val="single" w:sz="12" w:space="0" w:color="auto"/>
              <w:bottom w:val="single" w:sz="12" w:space="0" w:color="auto"/>
              <w:right w:val="single" w:sz="12" w:space="0" w:color="auto"/>
            </w:tcBorders>
          </w:tcPr>
          <w:p w14:paraId="5FFB93DD" w14:textId="77777777" w:rsidR="00FE5598" w:rsidRPr="002D1DD7" w:rsidRDefault="00FE5598"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242092BF" w14:textId="77777777" w:rsidTr="009126F0">
        <w:trPr>
          <w:trHeight w:val="1079"/>
        </w:trPr>
        <w:tc>
          <w:tcPr>
            <w:tcW w:w="1103" w:type="dxa"/>
            <w:tcBorders>
              <w:top w:val="single" w:sz="12" w:space="0" w:color="auto"/>
              <w:left w:val="single" w:sz="12" w:space="0" w:color="auto"/>
              <w:bottom w:val="single" w:sz="12" w:space="0" w:color="auto"/>
            </w:tcBorders>
          </w:tcPr>
          <w:p w14:paraId="149C854C"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53B2610A"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solid tumours</w:t>
            </w:r>
          </w:p>
        </w:tc>
        <w:tc>
          <w:tcPr>
            <w:tcW w:w="1717" w:type="dxa"/>
            <w:tcBorders>
              <w:top w:val="single" w:sz="12" w:space="0" w:color="auto"/>
              <w:bottom w:val="single" w:sz="12" w:space="0" w:color="auto"/>
            </w:tcBorders>
          </w:tcPr>
          <w:p w14:paraId="7D41B1D1"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NCT02959437  </w:t>
            </w:r>
          </w:p>
        </w:tc>
        <w:tc>
          <w:tcPr>
            <w:tcW w:w="2166" w:type="dxa"/>
            <w:tcBorders>
              <w:top w:val="single" w:sz="12" w:space="0" w:color="auto"/>
              <w:bottom w:val="single" w:sz="12" w:space="0" w:color="auto"/>
            </w:tcBorders>
          </w:tcPr>
          <w:p w14:paraId="5C4FA26C"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7617010B" w14:textId="77777777" w:rsidR="002A7DD7" w:rsidRPr="002D1DD7" w:rsidRDefault="002A7DD7" w:rsidP="009A66EC">
            <w:pPr>
              <w:pStyle w:val="ListParagraph"/>
              <w:numPr>
                <w:ilvl w:val="0"/>
                <w:numId w:val="60"/>
              </w:numPr>
              <w:spacing w:before="0" w:after="0"/>
              <w:rPr>
                <w:rFonts w:ascii="Arial" w:hAnsi="Arial" w:cs="Arial"/>
                <w:sz w:val="12"/>
                <w:szCs w:val="12"/>
              </w:rPr>
            </w:pPr>
            <w:r w:rsidRPr="002D1DD7">
              <w:rPr>
                <w:rFonts w:ascii="Arial" w:hAnsi="Arial" w:cs="Arial"/>
                <w:sz w:val="12"/>
                <w:szCs w:val="12"/>
              </w:rPr>
              <w:t>Phase I: AE (up to 18 months)</w:t>
            </w:r>
          </w:p>
          <w:p w14:paraId="6B8FEDD7" w14:textId="77777777" w:rsidR="002A7DD7" w:rsidRPr="002D1DD7" w:rsidRDefault="002A7DD7" w:rsidP="009A66EC">
            <w:pPr>
              <w:pStyle w:val="ListParagraph"/>
              <w:numPr>
                <w:ilvl w:val="0"/>
                <w:numId w:val="60"/>
              </w:numPr>
              <w:spacing w:before="0" w:after="0"/>
              <w:rPr>
                <w:rFonts w:ascii="Arial" w:hAnsi="Arial" w:cs="Arial"/>
                <w:sz w:val="12"/>
                <w:szCs w:val="12"/>
              </w:rPr>
            </w:pPr>
            <w:r w:rsidRPr="002D1DD7">
              <w:rPr>
                <w:rFonts w:ascii="Arial" w:hAnsi="Arial" w:cs="Arial"/>
                <w:sz w:val="12"/>
                <w:szCs w:val="12"/>
              </w:rPr>
              <w:t>Phase II: ORR (up to 18 months)</w:t>
            </w:r>
          </w:p>
          <w:p w14:paraId="0BA45236" w14:textId="77777777" w:rsidR="002A7DD7" w:rsidRPr="002D1DD7" w:rsidRDefault="002A7DD7" w:rsidP="002A7DD7">
            <w:pPr>
              <w:rPr>
                <w:rFonts w:ascii="Arial" w:hAnsi="Arial" w:cs="Arial"/>
                <w:sz w:val="12"/>
                <w:szCs w:val="12"/>
              </w:rPr>
            </w:pPr>
          </w:p>
          <w:p w14:paraId="39F293E5"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2A208D76" w14:textId="77777777" w:rsidR="002A7DD7" w:rsidRPr="002D1DD7" w:rsidRDefault="002A7DD7" w:rsidP="009A66EC">
            <w:pPr>
              <w:pStyle w:val="ListParagraph"/>
              <w:numPr>
                <w:ilvl w:val="0"/>
                <w:numId w:val="61"/>
              </w:numPr>
              <w:spacing w:before="0" w:after="0"/>
              <w:rPr>
                <w:rFonts w:ascii="Arial" w:hAnsi="Arial" w:cs="Arial"/>
                <w:sz w:val="12"/>
                <w:szCs w:val="12"/>
              </w:rPr>
            </w:pPr>
            <w:r w:rsidRPr="002D1DD7">
              <w:rPr>
                <w:rFonts w:ascii="Arial" w:hAnsi="Arial" w:cs="Arial"/>
                <w:sz w:val="12"/>
                <w:szCs w:val="12"/>
              </w:rPr>
              <w:t>Phase I ORR</w:t>
            </w:r>
          </w:p>
          <w:p w14:paraId="3DDFB678" w14:textId="77777777" w:rsidR="002A7DD7" w:rsidRPr="002D1DD7" w:rsidRDefault="002A7DD7" w:rsidP="009A66EC">
            <w:pPr>
              <w:pStyle w:val="ListParagraph"/>
              <w:numPr>
                <w:ilvl w:val="0"/>
                <w:numId w:val="61"/>
              </w:numPr>
              <w:spacing w:before="0" w:after="0"/>
              <w:rPr>
                <w:rFonts w:ascii="Arial" w:hAnsi="Arial" w:cs="Arial"/>
                <w:sz w:val="12"/>
                <w:szCs w:val="12"/>
              </w:rPr>
            </w:pPr>
            <w:r w:rsidRPr="002D1DD7">
              <w:rPr>
                <w:rFonts w:ascii="Arial" w:hAnsi="Arial" w:cs="Arial"/>
                <w:sz w:val="12"/>
                <w:szCs w:val="12"/>
              </w:rPr>
              <w:t>Phase II AE</w:t>
            </w:r>
          </w:p>
          <w:p w14:paraId="4A67E1D3" w14:textId="77777777" w:rsidR="002A7DD7" w:rsidRPr="002D1DD7" w:rsidRDefault="002A7DD7" w:rsidP="009A66EC">
            <w:pPr>
              <w:pStyle w:val="ListParagraph"/>
              <w:numPr>
                <w:ilvl w:val="0"/>
                <w:numId w:val="61"/>
              </w:numPr>
              <w:spacing w:before="0" w:after="0"/>
              <w:rPr>
                <w:rFonts w:ascii="Arial" w:hAnsi="Arial" w:cs="Arial"/>
                <w:sz w:val="12"/>
                <w:szCs w:val="12"/>
              </w:rPr>
            </w:pPr>
            <w:r w:rsidRPr="002D1DD7">
              <w:rPr>
                <w:rFonts w:ascii="Arial" w:hAnsi="Arial" w:cs="Arial"/>
                <w:sz w:val="12"/>
                <w:szCs w:val="12"/>
              </w:rPr>
              <w:t>PFS (up to 18 months)</w:t>
            </w:r>
          </w:p>
          <w:p w14:paraId="0E4F3964" w14:textId="77777777" w:rsidR="002A7DD7" w:rsidRPr="002D1DD7" w:rsidRDefault="002A7DD7" w:rsidP="009A66EC">
            <w:pPr>
              <w:pStyle w:val="ListParagraph"/>
              <w:numPr>
                <w:ilvl w:val="0"/>
                <w:numId w:val="61"/>
              </w:numPr>
              <w:spacing w:before="0" w:after="0"/>
              <w:rPr>
                <w:rFonts w:ascii="Arial" w:hAnsi="Arial" w:cs="Arial"/>
                <w:sz w:val="12"/>
                <w:szCs w:val="12"/>
              </w:rPr>
            </w:pPr>
            <w:r w:rsidRPr="002D1DD7">
              <w:rPr>
                <w:rFonts w:ascii="Arial" w:hAnsi="Arial" w:cs="Arial"/>
                <w:sz w:val="12"/>
                <w:szCs w:val="12"/>
              </w:rPr>
              <w:t>DOR (up to 18 months)</w:t>
            </w:r>
          </w:p>
        </w:tc>
        <w:tc>
          <w:tcPr>
            <w:tcW w:w="2213" w:type="dxa"/>
            <w:tcBorders>
              <w:top w:val="single" w:sz="12" w:space="0" w:color="auto"/>
              <w:bottom w:val="single" w:sz="12" w:space="0" w:color="auto"/>
            </w:tcBorders>
          </w:tcPr>
          <w:p w14:paraId="10596DB9" w14:textId="694B955F" w:rsidR="002A7DD7" w:rsidRPr="002D1DD7" w:rsidRDefault="002A7DD7" w:rsidP="002A7DD7">
            <w:pPr>
              <w:rPr>
                <w:rFonts w:ascii="Arial" w:hAnsi="Arial" w:cs="Arial"/>
                <w:sz w:val="12"/>
                <w:szCs w:val="12"/>
              </w:rPr>
            </w:pPr>
            <w:r w:rsidRPr="002D1DD7">
              <w:rPr>
                <w:rFonts w:ascii="Arial" w:hAnsi="Arial" w:cs="Arial"/>
                <w:sz w:val="12"/>
                <w:szCs w:val="12"/>
              </w:rPr>
              <w:t>Design: Phase I/II</w:t>
            </w:r>
            <w:r w:rsidR="005D2293" w:rsidRPr="002D1DD7">
              <w:rPr>
                <w:rFonts w:ascii="Arial" w:hAnsi="Arial" w:cs="Arial"/>
                <w:sz w:val="12"/>
                <w:szCs w:val="12"/>
              </w:rPr>
              <w:t xml:space="preserve"> </w:t>
            </w:r>
            <w:r w:rsidR="009C3A69" w:rsidRPr="002D1DD7">
              <w:rPr>
                <w:rFonts w:ascii="Arial" w:hAnsi="Arial" w:cs="Arial"/>
                <w:sz w:val="12"/>
                <w:szCs w:val="12"/>
              </w:rPr>
              <w:t>(separate cohorts specified)</w:t>
            </w:r>
          </w:p>
          <w:p w14:paraId="51D3151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70 participants</w:t>
            </w:r>
          </w:p>
          <w:p w14:paraId="76153BCF" w14:textId="77777777" w:rsidR="000C2BF4" w:rsidRPr="002D1DD7" w:rsidRDefault="002A7DD7" w:rsidP="000C2BF4">
            <w:pPr>
              <w:rPr>
                <w:rFonts w:ascii="Arial" w:hAnsi="Arial" w:cs="Arial"/>
                <w:sz w:val="12"/>
                <w:szCs w:val="12"/>
              </w:rPr>
            </w:pPr>
            <w:r w:rsidRPr="002D1DD7">
              <w:rPr>
                <w:rFonts w:ascii="Arial" w:hAnsi="Arial" w:cs="Arial"/>
                <w:sz w:val="12"/>
                <w:szCs w:val="12"/>
              </w:rPr>
              <w:t xml:space="preserve">Allocation approach: </w:t>
            </w:r>
            <w:r w:rsidR="000C2BF4" w:rsidRPr="002D1DD7">
              <w:rPr>
                <w:rFonts w:ascii="Arial" w:hAnsi="Arial" w:cs="Arial"/>
                <w:sz w:val="12"/>
                <w:szCs w:val="12"/>
              </w:rPr>
              <w:t>N</w:t>
            </w:r>
            <w:r w:rsidRPr="002D1DD7">
              <w:rPr>
                <w:rFonts w:ascii="Arial" w:hAnsi="Arial" w:cs="Arial"/>
                <w:sz w:val="12"/>
                <w:szCs w:val="12"/>
              </w:rPr>
              <w:t>on-</w:t>
            </w:r>
            <w:r w:rsidR="000C2BF4" w:rsidRPr="002D1DD7">
              <w:rPr>
                <w:rFonts w:ascii="Arial" w:hAnsi="Arial" w:cs="Arial"/>
                <w:sz w:val="12"/>
                <w:szCs w:val="12"/>
              </w:rPr>
              <w:t>R</w:t>
            </w:r>
            <w:r w:rsidRPr="002D1DD7">
              <w:rPr>
                <w:rFonts w:ascii="Arial" w:hAnsi="Arial" w:cs="Arial"/>
                <w:sz w:val="12"/>
                <w:szCs w:val="12"/>
              </w:rPr>
              <w:t>andomi</w:t>
            </w:r>
            <w:r w:rsidR="000C2BF4" w:rsidRPr="002D1DD7">
              <w:rPr>
                <w:rFonts w:ascii="Arial" w:hAnsi="Arial" w:cs="Arial"/>
                <w:sz w:val="12"/>
                <w:szCs w:val="12"/>
              </w:rPr>
              <w:t>sed</w:t>
            </w:r>
          </w:p>
          <w:p w14:paraId="47189555" w14:textId="04DD37A5" w:rsidR="000C2BF4" w:rsidRPr="002D1DD7" w:rsidRDefault="000C2BF4" w:rsidP="000C2BF4">
            <w:pPr>
              <w:rPr>
                <w:rFonts w:ascii="Arial" w:hAnsi="Arial" w:cs="Arial"/>
                <w:sz w:val="12"/>
                <w:szCs w:val="12"/>
              </w:rPr>
            </w:pPr>
            <w:r w:rsidRPr="002D1DD7">
              <w:rPr>
                <w:rFonts w:ascii="Arial" w:hAnsi="Arial" w:cs="Arial"/>
                <w:sz w:val="12"/>
                <w:szCs w:val="12"/>
              </w:rPr>
              <w:t>Study start date: 26 January 2017</w:t>
            </w:r>
          </w:p>
          <w:p w14:paraId="1525BB8B" w14:textId="12A4BA7B" w:rsidR="000C2BF4" w:rsidRPr="002D1DD7" w:rsidRDefault="000C2BF4" w:rsidP="000C2BF4">
            <w:pPr>
              <w:rPr>
                <w:rFonts w:ascii="Arial" w:hAnsi="Arial" w:cs="Arial"/>
                <w:sz w:val="12"/>
                <w:szCs w:val="12"/>
              </w:rPr>
            </w:pPr>
            <w:r w:rsidRPr="002D1DD7">
              <w:rPr>
                <w:rFonts w:ascii="Arial" w:hAnsi="Arial" w:cs="Arial"/>
                <w:sz w:val="12"/>
                <w:szCs w:val="12"/>
              </w:rPr>
              <w:t>Estimated primary completion date:15 February 2019</w:t>
            </w:r>
          </w:p>
          <w:p w14:paraId="74950F18" w14:textId="3682786F" w:rsidR="000C2BF4" w:rsidRPr="002D1DD7" w:rsidRDefault="000C2BF4" w:rsidP="000C2BF4">
            <w:pPr>
              <w:rPr>
                <w:rFonts w:ascii="Arial" w:hAnsi="Arial" w:cs="Arial"/>
                <w:sz w:val="12"/>
                <w:szCs w:val="12"/>
              </w:rPr>
            </w:pPr>
            <w:r w:rsidRPr="002D1DD7">
              <w:rPr>
                <w:rFonts w:ascii="Arial" w:hAnsi="Arial" w:cs="Arial"/>
                <w:sz w:val="12"/>
                <w:szCs w:val="12"/>
              </w:rPr>
              <w:t>Estimated study completion date: 9 July 2020</w:t>
            </w:r>
          </w:p>
          <w:p w14:paraId="44F06BC1" w14:textId="3C12EC1C" w:rsidR="002A7DD7" w:rsidRPr="002D1DD7" w:rsidRDefault="002A7DD7" w:rsidP="002A7DD7">
            <w:pPr>
              <w:rPr>
                <w:rFonts w:ascii="Arial" w:hAnsi="Arial" w:cs="Arial"/>
                <w:sz w:val="12"/>
                <w:szCs w:val="12"/>
              </w:rPr>
            </w:pPr>
          </w:p>
        </w:tc>
        <w:tc>
          <w:tcPr>
            <w:tcW w:w="2642" w:type="dxa"/>
            <w:tcBorders>
              <w:top w:val="single" w:sz="12" w:space="0" w:color="auto"/>
              <w:bottom w:val="single" w:sz="12" w:space="0" w:color="auto"/>
            </w:tcBorders>
          </w:tcPr>
          <w:p w14:paraId="566299C9" w14:textId="3253B0A5"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Patients &gt;=18 years with histologically or cytologically confirmed advanced or metastatic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that have failed prior standard therapy (disease progression; subject refusal or intolerance is also allowable).</w:t>
            </w:r>
            <w:r w:rsidRPr="002D1DD7">
              <w:t xml:space="preserve"> </w:t>
            </w:r>
            <w:r w:rsidRPr="002D1DD7">
              <w:rPr>
                <w:rFonts w:ascii="Arial" w:hAnsi="Arial" w:cs="Arial"/>
                <w:color w:val="000000"/>
                <w:sz w:val="12"/>
                <w:szCs w:val="12"/>
                <w:shd w:val="clear" w:color="auto" w:fill="FFFFFF"/>
              </w:rPr>
              <w:t>Part 1 is a dose-escalation assessment to evaluate the safety and tolerability of the combination therapies.  Once the recommended doses have been determined, subjects with previously treated NSCLC, microsatellite-stable colorectal cancer (CRC), head and neck squamous cell carcinoma, urothelial carcinoma, and melanoma will be enrolled into expansion cohorts in Part 2</w:t>
            </w:r>
          </w:p>
        </w:tc>
        <w:tc>
          <w:tcPr>
            <w:tcW w:w="2114" w:type="dxa"/>
            <w:tcBorders>
              <w:top w:val="single" w:sz="12" w:space="0" w:color="auto"/>
              <w:bottom w:val="single" w:sz="12" w:space="0" w:color="auto"/>
              <w:right w:val="single" w:sz="12" w:space="0" w:color="auto"/>
            </w:tcBorders>
          </w:tcPr>
          <w:p w14:paraId="1FB2A996"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0A06F7" w:rsidRPr="002D1DD7" w14:paraId="1D61C0ED" w14:textId="77777777" w:rsidTr="009126F0">
        <w:trPr>
          <w:trHeight w:val="1079"/>
        </w:trPr>
        <w:tc>
          <w:tcPr>
            <w:tcW w:w="1103" w:type="dxa"/>
            <w:vMerge w:val="restart"/>
            <w:tcBorders>
              <w:top w:val="single" w:sz="12" w:space="0" w:color="auto"/>
              <w:left w:val="single" w:sz="12" w:space="0" w:color="auto"/>
            </w:tcBorders>
          </w:tcPr>
          <w:p w14:paraId="21EB9D53" w14:textId="77777777" w:rsidR="000A06F7" w:rsidRPr="002D1DD7" w:rsidRDefault="000A06F7" w:rsidP="000A06F7">
            <w:pPr>
              <w:rPr>
                <w:rFonts w:ascii="Arial" w:hAnsi="Arial" w:cs="Arial"/>
                <w:b/>
                <w:color w:val="000000"/>
                <w:sz w:val="12"/>
                <w:szCs w:val="12"/>
                <w:shd w:val="clear" w:color="auto" w:fill="FFFFFF"/>
              </w:rPr>
            </w:pPr>
            <w:r w:rsidRPr="002D1DD7">
              <w:rPr>
                <w:rFonts w:ascii="Arial" w:hAnsi="Arial" w:cs="Arial"/>
                <w:b/>
                <w:color w:val="000000"/>
                <w:sz w:val="12"/>
                <w:szCs w:val="12"/>
                <w:shd w:val="clear" w:color="auto" w:fill="FFFFFF"/>
              </w:rPr>
              <w:t>Durvalumab with Tremelimumab</w:t>
            </w:r>
          </w:p>
        </w:tc>
        <w:tc>
          <w:tcPr>
            <w:tcW w:w="1497" w:type="dxa"/>
            <w:tcBorders>
              <w:top w:val="single" w:sz="12" w:space="0" w:color="auto"/>
              <w:bottom w:val="single" w:sz="12" w:space="0" w:color="auto"/>
            </w:tcBorders>
          </w:tcPr>
          <w:p w14:paraId="66FF2CED" w14:textId="43D5D5B1" w:rsidR="000A06F7" w:rsidRPr="002D1DD7" w:rsidRDefault="000A06F7" w:rsidP="000A06F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solid and haematological cancers</w:t>
            </w:r>
          </w:p>
        </w:tc>
        <w:tc>
          <w:tcPr>
            <w:tcW w:w="1717" w:type="dxa"/>
            <w:tcBorders>
              <w:top w:val="single" w:sz="12" w:space="0" w:color="auto"/>
              <w:bottom w:val="single" w:sz="12" w:space="0" w:color="auto"/>
            </w:tcBorders>
          </w:tcPr>
          <w:p w14:paraId="666B6DA4" w14:textId="5B63C3A8" w:rsidR="000A06F7" w:rsidRPr="002D1DD7" w:rsidRDefault="000A06F7" w:rsidP="000C2BF4">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NCT03837899</w:t>
            </w:r>
          </w:p>
        </w:tc>
        <w:tc>
          <w:tcPr>
            <w:tcW w:w="2166" w:type="dxa"/>
            <w:tcBorders>
              <w:top w:val="single" w:sz="12" w:space="0" w:color="auto"/>
              <w:bottom w:val="single" w:sz="12" w:space="0" w:color="auto"/>
            </w:tcBorders>
          </w:tcPr>
          <w:p w14:paraId="0358783D" w14:textId="77777777" w:rsidR="000A06F7" w:rsidRPr="002D1DD7" w:rsidRDefault="000A06F7" w:rsidP="000A06F7">
            <w:pPr>
              <w:pStyle w:val="ListParagraph"/>
              <w:ind w:left="0"/>
              <w:rPr>
                <w:rFonts w:ascii="Arial" w:hAnsi="Arial" w:cs="Arial"/>
                <w:b/>
                <w:sz w:val="12"/>
                <w:szCs w:val="12"/>
              </w:rPr>
            </w:pPr>
            <w:r w:rsidRPr="002D1DD7">
              <w:rPr>
                <w:rFonts w:ascii="Arial" w:hAnsi="Arial" w:cs="Arial"/>
                <w:b/>
                <w:sz w:val="12"/>
                <w:szCs w:val="12"/>
              </w:rPr>
              <w:t>Primary:</w:t>
            </w:r>
          </w:p>
          <w:p w14:paraId="74096897" w14:textId="77777777" w:rsidR="000A06F7" w:rsidRPr="002D1DD7" w:rsidRDefault="000A06F7" w:rsidP="009A66EC">
            <w:pPr>
              <w:pStyle w:val="ListParagraph"/>
              <w:numPr>
                <w:ilvl w:val="0"/>
                <w:numId w:val="63"/>
              </w:numPr>
              <w:spacing w:before="0" w:after="0"/>
              <w:rPr>
                <w:rFonts w:ascii="Arial" w:hAnsi="Arial" w:cs="Arial"/>
                <w:sz w:val="12"/>
                <w:szCs w:val="12"/>
              </w:rPr>
            </w:pPr>
            <w:r w:rsidRPr="002D1DD7">
              <w:rPr>
                <w:rFonts w:ascii="Arial" w:hAnsi="Arial" w:cs="Arial"/>
                <w:sz w:val="12"/>
                <w:szCs w:val="12"/>
              </w:rPr>
              <w:t>Recommended Phase II dose in patients receiving chemotherapy (15 months)</w:t>
            </w:r>
          </w:p>
          <w:p w14:paraId="27FE5E0C" w14:textId="77777777" w:rsidR="000A06F7" w:rsidRPr="002D1DD7" w:rsidRDefault="000A06F7" w:rsidP="009A66EC">
            <w:pPr>
              <w:pStyle w:val="ListParagraph"/>
              <w:numPr>
                <w:ilvl w:val="0"/>
                <w:numId w:val="63"/>
              </w:numPr>
              <w:spacing w:before="0" w:after="0"/>
              <w:rPr>
                <w:rFonts w:ascii="Arial" w:hAnsi="Arial" w:cs="Arial"/>
                <w:sz w:val="12"/>
                <w:szCs w:val="12"/>
              </w:rPr>
            </w:pPr>
            <w:r w:rsidRPr="002D1DD7">
              <w:rPr>
                <w:rFonts w:ascii="Arial" w:hAnsi="Arial" w:cs="Arial"/>
                <w:sz w:val="12"/>
                <w:szCs w:val="12"/>
              </w:rPr>
              <w:t>Safety and tolerability (up to 4 years)</w:t>
            </w:r>
          </w:p>
          <w:p w14:paraId="646AA921" w14:textId="77777777" w:rsidR="000A06F7" w:rsidRPr="002D1DD7" w:rsidRDefault="000A06F7" w:rsidP="009A66EC">
            <w:pPr>
              <w:pStyle w:val="ListParagraph"/>
              <w:numPr>
                <w:ilvl w:val="0"/>
                <w:numId w:val="63"/>
              </w:numPr>
              <w:spacing w:before="0" w:after="0"/>
              <w:rPr>
                <w:rFonts w:ascii="Arial" w:hAnsi="Arial" w:cs="Arial"/>
                <w:sz w:val="12"/>
                <w:szCs w:val="12"/>
              </w:rPr>
            </w:pPr>
            <w:r w:rsidRPr="002D1DD7">
              <w:rPr>
                <w:rFonts w:ascii="Arial" w:hAnsi="Arial" w:cs="Arial"/>
                <w:sz w:val="12"/>
                <w:szCs w:val="12"/>
              </w:rPr>
              <w:t>ORR (up to 4 years)</w:t>
            </w:r>
          </w:p>
          <w:p w14:paraId="6AE74EB9" w14:textId="77777777" w:rsidR="000A06F7" w:rsidRPr="002D1DD7" w:rsidRDefault="000A06F7" w:rsidP="000A06F7">
            <w:pPr>
              <w:rPr>
                <w:rFonts w:ascii="Arial" w:hAnsi="Arial" w:cs="Arial"/>
                <w:b/>
                <w:sz w:val="12"/>
                <w:szCs w:val="12"/>
              </w:rPr>
            </w:pPr>
            <w:r w:rsidRPr="002D1DD7">
              <w:rPr>
                <w:rFonts w:ascii="Arial" w:hAnsi="Arial" w:cs="Arial"/>
                <w:b/>
                <w:sz w:val="12"/>
                <w:szCs w:val="12"/>
              </w:rPr>
              <w:t>Secondary:</w:t>
            </w:r>
          </w:p>
          <w:p w14:paraId="5168F91F" w14:textId="46C3F316" w:rsidR="000A06F7" w:rsidRPr="002D1DD7" w:rsidRDefault="000A06F7" w:rsidP="009A66EC">
            <w:pPr>
              <w:pStyle w:val="ListParagraph"/>
              <w:numPr>
                <w:ilvl w:val="0"/>
                <w:numId w:val="62"/>
              </w:numPr>
              <w:spacing w:before="0" w:after="0"/>
              <w:rPr>
                <w:rFonts w:ascii="Arial" w:hAnsi="Arial" w:cs="Arial"/>
                <w:b/>
                <w:sz w:val="12"/>
                <w:szCs w:val="12"/>
              </w:rPr>
            </w:pPr>
            <w:r w:rsidRPr="002D1DD7">
              <w:rPr>
                <w:rFonts w:ascii="Arial" w:hAnsi="Arial" w:cs="Arial"/>
                <w:sz w:val="12"/>
                <w:szCs w:val="12"/>
              </w:rPr>
              <w:lastRenderedPageBreak/>
              <w:t>PK (15 months)</w:t>
            </w:r>
          </w:p>
        </w:tc>
        <w:tc>
          <w:tcPr>
            <w:tcW w:w="2213" w:type="dxa"/>
            <w:tcBorders>
              <w:top w:val="single" w:sz="12" w:space="0" w:color="auto"/>
              <w:bottom w:val="single" w:sz="12" w:space="0" w:color="auto"/>
            </w:tcBorders>
          </w:tcPr>
          <w:p w14:paraId="5D86B084" w14:textId="77777777" w:rsidR="000A06F7" w:rsidRPr="002D1DD7" w:rsidRDefault="000A06F7" w:rsidP="000A06F7">
            <w:pPr>
              <w:rPr>
                <w:rFonts w:ascii="Arial" w:hAnsi="Arial" w:cs="Arial"/>
                <w:sz w:val="12"/>
                <w:szCs w:val="12"/>
              </w:rPr>
            </w:pPr>
            <w:r w:rsidRPr="002D1DD7">
              <w:rPr>
                <w:rFonts w:ascii="Arial" w:hAnsi="Arial" w:cs="Arial"/>
                <w:sz w:val="12"/>
                <w:szCs w:val="12"/>
              </w:rPr>
              <w:lastRenderedPageBreak/>
              <w:t>Design: Phase I/II</w:t>
            </w:r>
          </w:p>
          <w:p w14:paraId="7C067124" w14:textId="77777777" w:rsidR="000A06F7" w:rsidRPr="002D1DD7" w:rsidRDefault="000A06F7" w:rsidP="000A06F7">
            <w:pPr>
              <w:rPr>
                <w:rFonts w:ascii="Arial" w:hAnsi="Arial" w:cs="Arial"/>
                <w:sz w:val="12"/>
                <w:szCs w:val="12"/>
              </w:rPr>
            </w:pPr>
            <w:r w:rsidRPr="002D1DD7">
              <w:rPr>
                <w:rFonts w:ascii="Arial" w:hAnsi="Arial" w:cs="Arial"/>
                <w:sz w:val="12"/>
                <w:szCs w:val="12"/>
              </w:rPr>
              <w:t>Estimated enrolment: 158 participants</w:t>
            </w:r>
          </w:p>
          <w:p w14:paraId="1E2F61F3" w14:textId="073ED8EC" w:rsidR="000A06F7" w:rsidRPr="002D1DD7" w:rsidRDefault="000A06F7" w:rsidP="000A06F7">
            <w:pPr>
              <w:rPr>
                <w:rFonts w:ascii="Arial" w:hAnsi="Arial" w:cs="Arial"/>
                <w:sz w:val="12"/>
                <w:szCs w:val="12"/>
              </w:rPr>
            </w:pPr>
            <w:r w:rsidRPr="002D1DD7">
              <w:rPr>
                <w:rFonts w:ascii="Arial" w:hAnsi="Arial" w:cs="Arial"/>
                <w:sz w:val="12"/>
                <w:szCs w:val="12"/>
              </w:rPr>
              <w:t xml:space="preserve">Allocation approach: </w:t>
            </w:r>
            <w:r w:rsidR="005D2293" w:rsidRPr="002D1DD7">
              <w:rPr>
                <w:rFonts w:ascii="Arial" w:hAnsi="Arial" w:cs="Arial"/>
                <w:sz w:val="12"/>
                <w:szCs w:val="12"/>
              </w:rPr>
              <w:t>N</w:t>
            </w:r>
            <w:r w:rsidRPr="002D1DD7">
              <w:rPr>
                <w:rFonts w:ascii="Arial" w:hAnsi="Arial" w:cs="Arial"/>
                <w:sz w:val="12"/>
                <w:szCs w:val="12"/>
              </w:rPr>
              <w:t>on-</w:t>
            </w:r>
            <w:r w:rsidR="005D2293" w:rsidRPr="002D1DD7">
              <w:rPr>
                <w:rFonts w:ascii="Arial" w:hAnsi="Arial" w:cs="Arial"/>
                <w:sz w:val="12"/>
                <w:szCs w:val="12"/>
              </w:rPr>
              <w:t>R</w:t>
            </w:r>
            <w:r w:rsidRPr="002D1DD7">
              <w:rPr>
                <w:rFonts w:ascii="Arial" w:hAnsi="Arial" w:cs="Arial"/>
                <w:sz w:val="12"/>
                <w:szCs w:val="12"/>
              </w:rPr>
              <w:t>andomised</w:t>
            </w:r>
          </w:p>
          <w:p w14:paraId="284933C3" w14:textId="05BA71AA" w:rsidR="000C2BF4" w:rsidRPr="002D1DD7" w:rsidRDefault="000C2BF4" w:rsidP="000C2BF4">
            <w:pPr>
              <w:rPr>
                <w:rFonts w:ascii="Arial" w:hAnsi="Arial" w:cs="Arial"/>
                <w:sz w:val="12"/>
                <w:szCs w:val="12"/>
              </w:rPr>
            </w:pPr>
            <w:r w:rsidRPr="002D1DD7">
              <w:rPr>
                <w:rFonts w:ascii="Arial" w:hAnsi="Arial" w:cs="Arial"/>
                <w:sz w:val="12"/>
                <w:szCs w:val="12"/>
              </w:rPr>
              <w:t>Study start date: 7 March 2019</w:t>
            </w:r>
          </w:p>
          <w:p w14:paraId="1B538706" w14:textId="1742B217" w:rsidR="000C2BF4" w:rsidRPr="002D1DD7" w:rsidRDefault="000C2BF4" w:rsidP="000C2BF4">
            <w:pPr>
              <w:rPr>
                <w:rFonts w:ascii="Arial" w:hAnsi="Arial" w:cs="Arial"/>
                <w:sz w:val="12"/>
                <w:szCs w:val="12"/>
              </w:rPr>
            </w:pPr>
            <w:r w:rsidRPr="002D1DD7">
              <w:rPr>
                <w:rFonts w:ascii="Arial" w:hAnsi="Arial" w:cs="Arial"/>
                <w:sz w:val="12"/>
                <w:szCs w:val="12"/>
              </w:rPr>
              <w:lastRenderedPageBreak/>
              <w:t>Estimated primary completion date:18 October 2021</w:t>
            </w:r>
          </w:p>
          <w:p w14:paraId="1C041C47" w14:textId="02B85570" w:rsidR="000A06F7" w:rsidRPr="002D1DD7" w:rsidRDefault="000C2BF4" w:rsidP="000A06F7">
            <w:pPr>
              <w:rPr>
                <w:rFonts w:ascii="Arial" w:hAnsi="Arial" w:cs="Arial"/>
                <w:sz w:val="12"/>
                <w:szCs w:val="12"/>
              </w:rPr>
            </w:pPr>
            <w:r w:rsidRPr="002D1DD7">
              <w:rPr>
                <w:rFonts w:ascii="Arial" w:hAnsi="Arial" w:cs="Arial"/>
                <w:sz w:val="12"/>
                <w:szCs w:val="12"/>
              </w:rPr>
              <w:t>Estimated study completion date: 20 March 2023</w:t>
            </w:r>
          </w:p>
        </w:tc>
        <w:tc>
          <w:tcPr>
            <w:tcW w:w="2642" w:type="dxa"/>
            <w:tcBorders>
              <w:top w:val="single" w:sz="12" w:space="0" w:color="auto"/>
              <w:bottom w:val="single" w:sz="12" w:space="0" w:color="auto"/>
            </w:tcBorders>
          </w:tcPr>
          <w:p w14:paraId="5619B776" w14:textId="44FA0D60" w:rsidR="000A06F7" w:rsidRPr="002D1DD7" w:rsidRDefault="000A06F7" w:rsidP="000A06F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lastRenderedPageBreak/>
              <w:t xml:space="preserve">Paediatric patients (up to 17 years) with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which must have progressed or be refractory to standard therapies.</w:t>
            </w:r>
          </w:p>
        </w:tc>
        <w:tc>
          <w:tcPr>
            <w:tcW w:w="2114" w:type="dxa"/>
            <w:tcBorders>
              <w:top w:val="single" w:sz="12" w:space="0" w:color="auto"/>
              <w:bottom w:val="single" w:sz="12" w:space="0" w:color="auto"/>
              <w:right w:val="single" w:sz="12" w:space="0" w:color="auto"/>
            </w:tcBorders>
          </w:tcPr>
          <w:p w14:paraId="33A0080E" w14:textId="2F04D4B2" w:rsidR="000A06F7" w:rsidRPr="002D1DD7" w:rsidRDefault="000A06F7" w:rsidP="000A06F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0A06F7" w:rsidRPr="002D1DD7" w14:paraId="35559110" w14:textId="77777777" w:rsidTr="009126F0">
        <w:trPr>
          <w:trHeight w:val="1079"/>
        </w:trPr>
        <w:tc>
          <w:tcPr>
            <w:tcW w:w="1103" w:type="dxa"/>
            <w:vMerge/>
            <w:tcBorders>
              <w:left w:val="single" w:sz="12" w:space="0" w:color="auto"/>
            </w:tcBorders>
          </w:tcPr>
          <w:p w14:paraId="4A3314A5" w14:textId="77777777" w:rsidR="000A06F7" w:rsidRPr="002D1DD7" w:rsidRDefault="000A06F7" w:rsidP="000A06F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24ABE1E6" w14:textId="0B1A8596" w:rsidR="000A06F7" w:rsidRPr="002D1DD7" w:rsidRDefault="000A06F7" w:rsidP="000A06F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rare solid tumours</w:t>
            </w:r>
          </w:p>
        </w:tc>
        <w:tc>
          <w:tcPr>
            <w:tcW w:w="1717" w:type="dxa"/>
            <w:tcBorders>
              <w:top w:val="single" w:sz="12" w:space="0" w:color="auto"/>
              <w:bottom w:val="single" w:sz="12" w:space="0" w:color="auto"/>
            </w:tcBorders>
          </w:tcPr>
          <w:p w14:paraId="7105F3DE" w14:textId="1383726C" w:rsidR="000A06F7" w:rsidRPr="002D1DD7" w:rsidRDefault="000A06F7" w:rsidP="000C2BF4">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NCT02938793</w:t>
            </w:r>
          </w:p>
        </w:tc>
        <w:tc>
          <w:tcPr>
            <w:tcW w:w="2166" w:type="dxa"/>
            <w:tcBorders>
              <w:top w:val="single" w:sz="12" w:space="0" w:color="auto"/>
              <w:bottom w:val="single" w:sz="12" w:space="0" w:color="auto"/>
            </w:tcBorders>
          </w:tcPr>
          <w:p w14:paraId="34C9476E" w14:textId="77777777" w:rsidR="000A06F7" w:rsidRPr="002D1DD7" w:rsidRDefault="000A06F7" w:rsidP="000A06F7">
            <w:pPr>
              <w:pStyle w:val="ListParagraph"/>
              <w:ind w:left="0"/>
              <w:rPr>
                <w:rFonts w:ascii="Arial" w:hAnsi="Arial" w:cs="Arial"/>
                <w:b/>
                <w:sz w:val="12"/>
                <w:szCs w:val="12"/>
              </w:rPr>
            </w:pPr>
            <w:r w:rsidRPr="002D1DD7">
              <w:rPr>
                <w:rFonts w:ascii="Arial" w:hAnsi="Arial" w:cs="Arial"/>
                <w:b/>
                <w:sz w:val="12"/>
                <w:szCs w:val="12"/>
              </w:rPr>
              <w:t>Primary:</w:t>
            </w:r>
          </w:p>
          <w:p w14:paraId="28C60CE9" w14:textId="7504F492" w:rsidR="000A06F7" w:rsidRPr="002D1DD7" w:rsidRDefault="000A06F7" w:rsidP="009A66EC">
            <w:pPr>
              <w:pStyle w:val="ListParagraph"/>
              <w:numPr>
                <w:ilvl w:val="0"/>
                <w:numId w:val="65"/>
              </w:numPr>
              <w:spacing w:before="0" w:after="0"/>
              <w:rPr>
                <w:rFonts w:ascii="Arial" w:hAnsi="Arial" w:cs="Arial"/>
                <w:sz w:val="12"/>
                <w:szCs w:val="12"/>
              </w:rPr>
            </w:pPr>
            <w:r w:rsidRPr="002D1DD7">
              <w:rPr>
                <w:rFonts w:ascii="Arial" w:hAnsi="Arial" w:cs="Arial"/>
                <w:sz w:val="12"/>
                <w:szCs w:val="12"/>
              </w:rPr>
              <w:t>Anti</w:t>
            </w:r>
            <w:r w:rsidR="00787BBC" w:rsidRPr="002D1DD7">
              <w:rPr>
                <w:rFonts w:ascii="Arial" w:hAnsi="Arial" w:cs="Arial"/>
                <w:sz w:val="12"/>
                <w:szCs w:val="12"/>
              </w:rPr>
              <w:t>tumour</w:t>
            </w:r>
            <w:r w:rsidRPr="002D1DD7">
              <w:rPr>
                <w:rFonts w:ascii="Arial" w:hAnsi="Arial" w:cs="Arial"/>
                <w:sz w:val="12"/>
                <w:szCs w:val="12"/>
              </w:rPr>
              <w:t xml:space="preserve"> Activity (24 months)</w:t>
            </w:r>
          </w:p>
          <w:p w14:paraId="50E9FC7B" w14:textId="77777777" w:rsidR="000A06F7" w:rsidRPr="002D1DD7" w:rsidRDefault="000A06F7" w:rsidP="009A66EC">
            <w:pPr>
              <w:pStyle w:val="ListParagraph"/>
              <w:numPr>
                <w:ilvl w:val="0"/>
                <w:numId w:val="65"/>
              </w:numPr>
              <w:spacing w:before="0" w:after="160"/>
              <w:rPr>
                <w:rFonts w:ascii="Arial" w:hAnsi="Arial" w:cs="Arial"/>
                <w:sz w:val="12"/>
                <w:szCs w:val="12"/>
              </w:rPr>
            </w:pPr>
            <w:r w:rsidRPr="002D1DD7">
              <w:rPr>
                <w:rFonts w:ascii="Arial" w:hAnsi="Arial" w:cs="Arial"/>
                <w:sz w:val="12"/>
                <w:szCs w:val="12"/>
              </w:rPr>
              <w:t>AEs (24 months)</w:t>
            </w:r>
          </w:p>
          <w:p w14:paraId="3B87D4DC" w14:textId="77777777" w:rsidR="000A06F7" w:rsidRPr="002D1DD7" w:rsidRDefault="000A06F7" w:rsidP="000A06F7">
            <w:pPr>
              <w:rPr>
                <w:rFonts w:ascii="Arial" w:hAnsi="Arial" w:cs="Arial"/>
                <w:b/>
                <w:sz w:val="12"/>
                <w:szCs w:val="12"/>
              </w:rPr>
            </w:pPr>
            <w:r w:rsidRPr="002D1DD7">
              <w:rPr>
                <w:rFonts w:ascii="Arial" w:hAnsi="Arial" w:cs="Arial"/>
                <w:b/>
                <w:sz w:val="12"/>
                <w:szCs w:val="12"/>
              </w:rPr>
              <w:t>Secondary:</w:t>
            </w:r>
          </w:p>
          <w:p w14:paraId="64E3C96E" w14:textId="64FDD9BB" w:rsidR="000A06F7" w:rsidRPr="002D1DD7" w:rsidRDefault="000A06F7" w:rsidP="009A66EC">
            <w:pPr>
              <w:pStyle w:val="ListParagraph"/>
              <w:numPr>
                <w:ilvl w:val="0"/>
                <w:numId w:val="64"/>
              </w:numPr>
              <w:spacing w:before="0" w:after="0"/>
              <w:rPr>
                <w:rFonts w:ascii="Arial" w:hAnsi="Arial" w:cs="Arial"/>
                <w:sz w:val="12"/>
                <w:szCs w:val="12"/>
              </w:rPr>
            </w:pPr>
            <w:r w:rsidRPr="002D1DD7">
              <w:rPr>
                <w:rFonts w:ascii="Arial" w:hAnsi="Arial" w:cs="Arial"/>
                <w:sz w:val="12"/>
                <w:szCs w:val="12"/>
              </w:rPr>
              <w:t>Expression of PD-1</w:t>
            </w:r>
          </w:p>
        </w:tc>
        <w:tc>
          <w:tcPr>
            <w:tcW w:w="2213" w:type="dxa"/>
            <w:tcBorders>
              <w:top w:val="single" w:sz="12" w:space="0" w:color="auto"/>
              <w:bottom w:val="single" w:sz="12" w:space="0" w:color="auto"/>
            </w:tcBorders>
          </w:tcPr>
          <w:p w14:paraId="7996C4A7" w14:textId="77777777" w:rsidR="000A06F7" w:rsidRPr="002D1DD7" w:rsidRDefault="000A06F7" w:rsidP="000A06F7">
            <w:pPr>
              <w:rPr>
                <w:rFonts w:ascii="Arial" w:hAnsi="Arial" w:cs="Arial"/>
                <w:sz w:val="12"/>
                <w:szCs w:val="12"/>
              </w:rPr>
            </w:pPr>
            <w:r w:rsidRPr="002D1DD7">
              <w:rPr>
                <w:rFonts w:ascii="Arial" w:hAnsi="Arial" w:cs="Arial"/>
                <w:sz w:val="12"/>
                <w:szCs w:val="12"/>
              </w:rPr>
              <w:t>Design: Phase II</w:t>
            </w:r>
          </w:p>
          <w:p w14:paraId="20A85B4F" w14:textId="77777777" w:rsidR="000A06F7" w:rsidRPr="002D1DD7" w:rsidRDefault="000A06F7" w:rsidP="000A06F7">
            <w:pPr>
              <w:rPr>
                <w:rFonts w:ascii="Arial" w:hAnsi="Arial" w:cs="Arial"/>
                <w:sz w:val="12"/>
                <w:szCs w:val="12"/>
              </w:rPr>
            </w:pPr>
            <w:r w:rsidRPr="002D1DD7">
              <w:rPr>
                <w:rFonts w:ascii="Arial" w:hAnsi="Arial" w:cs="Arial"/>
                <w:sz w:val="12"/>
                <w:szCs w:val="12"/>
              </w:rPr>
              <w:t>Estimated enrolment: 50 participants</w:t>
            </w:r>
          </w:p>
          <w:p w14:paraId="6C98BC5A" w14:textId="65042375" w:rsidR="000A06F7" w:rsidRPr="002D1DD7" w:rsidRDefault="000A06F7" w:rsidP="000A06F7">
            <w:pPr>
              <w:rPr>
                <w:rFonts w:ascii="Arial" w:hAnsi="Arial" w:cs="Arial"/>
                <w:sz w:val="12"/>
                <w:szCs w:val="12"/>
              </w:rPr>
            </w:pPr>
            <w:r w:rsidRPr="002D1DD7">
              <w:rPr>
                <w:rFonts w:ascii="Arial" w:hAnsi="Arial" w:cs="Arial"/>
                <w:sz w:val="12"/>
                <w:szCs w:val="12"/>
              </w:rPr>
              <w:t xml:space="preserve">Allocation approach: </w:t>
            </w:r>
            <w:r w:rsidR="008E0C09" w:rsidRPr="002D1DD7">
              <w:rPr>
                <w:rFonts w:ascii="Arial" w:hAnsi="Arial" w:cs="Arial"/>
                <w:sz w:val="12"/>
                <w:szCs w:val="12"/>
              </w:rPr>
              <w:t>N</w:t>
            </w:r>
            <w:r w:rsidRPr="002D1DD7">
              <w:rPr>
                <w:rFonts w:ascii="Arial" w:hAnsi="Arial" w:cs="Arial"/>
                <w:sz w:val="12"/>
                <w:szCs w:val="12"/>
              </w:rPr>
              <w:t>on-</w:t>
            </w:r>
            <w:r w:rsidR="008E0C09" w:rsidRPr="002D1DD7">
              <w:rPr>
                <w:rFonts w:ascii="Arial" w:hAnsi="Arial" w:cs="Arial"/>
                <w:sz w:val="12"/>
                <w:szCs w:val="12"/>
              </w:rPr>
              <w:t>R</w:t>
            </w:r>
            <w:r w:rsidRPr="002D1DD7">
              <w:rPr>
                <w:rFonts w:ascii="Arial" w:hAnsi="Arial" w:cs="Arial"/>
                <w:sz w:val="12"/>
                <w:szCs w:val="12"/>
              </w:rPr>
              <w:t>andomized</w:t>
            </w:r>
          </w:p>
          <w:p w14:paraId="3A7EC0F5" w14:textId="77777777" w:rsidR="000A06F7" w:rsidRPr="002D1DD7" w:rsidRDefault="000A06F7" w:rsidP="000A06F7">
            <w:pPr>
              <w:rPr>
                <w:rFonts w:ascii="Arial" w:hAnsi="Arial" w:cs="Arial"/>
                <w:sz w:val="12"/>
                <w:szCs w:val="12"/>
              </w:rPr>
            </w:pPr>
            <w:r w:rsidRPr="002D1DD7">
              <w:rPr>
                <w:rFonts w:ascii="Arial" w:hAnsi="Arial" w:cs="Arial"/>
                <w:sz w:val="12"/>
                <w:szCs w:val="12"/>
              </w:rPr>
              <w:t>Study start date: 1 December, 2016</w:t>
            </w:r>
          </w:p>
          <w:p w14:paraId="2BBD3F03" w14:textId="77777777" w:rsidR="000A06F7" w:rsidRPr="002D1DD7" w:rsidRDefault="000A06F7" w:rsidP="000A06F7">
            <w:pPr>
              <w:rPr>
                <w:rFonts w:ascii="Arial" w:hAnsi="Arial" w:cs="Arial"/>
                <w:sz w:val="12"/>
                <w:szCs w:val="12"/>
              </w:rPr>
            </w:pPr>
            <w:r w:rsidRPr="002D1DD7">
              <w:rPr>
                <w:rFonts w:ascii="Arial" w:hAnsi="Arial" w:cs="Arial"/>
                <w:sz w:val="12"/>
                <w:szCs w:val="12"/>
              </w:rPr>
              <w:t>Estimated primary completion date: 28 February 2020</w:t>
            </w:r>
          </w:p>
          <w:p w14:paraId="3D5D24A3" w14:textId="16271EEC" w:rsidR="000A06F7" w:rsidRPr="002D1DD7" w:rsidRDefault="000A06F7" w:rsidP="000A06F7">
            <w:pPr>
              <w:rPr>
                <w:rFonts w:ascii="Arial" w:hAnsi="Arial" w:cs="Arial"/>
                <w:sz w:val="12"/>
                <w:szCs w:val="12"/>
              </w:rPr>
            </w:pPr>
            <w:r w:rsidRPr="002D1DD7">
              <w:rPr>
                <w:rFonts w:ascii="Arial" w:hAnsi="Arial" w:cs="Arial"/>
                <w:sz w:val="12"/>
                <w:szCs w:val="12"/>
              </w:rPr>
              <w:t>Estimated study completion date: 31 December 2021</w:t>
            </w:r>
          </w:p>
        </w:tc>
        <w:tc>
          <w:tcPr>
            <w:tcW w:w="2642" w:type="dxa"/>
            <w:tcBorders>
              <w:top w:val="single" w:sz="12" w:space="0" w:color="auto"/>
              <w:bottom w:val="single" w:sz="12" w:space="0" w:color="auto"/>
            </w:tcBorders>
          </w:tcPr>
          <w:p w14:paraId="39534D6C" w14:textId="75DA0C7D" w:rsidR="000A06F7" w:rsidRPr="002D1DD7" w:rsidRDefault="000A06F7" w:rsidP="000A06F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Adult patients with diagnosis of a rare advanced solid malignancy meeting EORTC criteria. Subjects must have failed or been ineligible for standard treatment options, if available</w:t>
            </w:r>
          </w:p>
        </w:tc>
        <w:tc>
          <w:tcPr>
            <w:tcW w:w="2114" w:type="dxa"/>
            <w:tcBorders>
              <w:top w:val="single" w:sz="12" w:space="0" w:color="auto"/>
              <w:bottom w:val="single" w:sz="12" w:space="0" w:color="auto"/>
              <w:right w:val="single" w:sz="12" w:space="0" w:color="auto"/>
            </w:tcBorders>
          </w:tcPr>
          <w:p w14:paraId="4BCDE84C" w14:textId="491DFF8F" w:rsidR="000A06F7" w:rsidRPr="002D1DD7" w:rsidRDefault="000A06F7" w:rsidP="000A06F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0A06F7" w:rsidRPr="002D1DD7" w14:paraId="7603B178" w14:textId="77777777" w:rsidTr="009126F0">
        <w:trPr>
          <w:trHeight w:val="1079"/>
        </w:trPr>
        <w:tc>
          <w:tcPr>
            <w:tcW w:w="1103" w:type="dxa"/>
            <w:vMerge/>
            <w:tcBorders>
              <w:left w:val="single" w:sz="12" w:space="0" w:color="auto"/>
            </w:tcBorders>
          </w:tcPr>
          <w:p w14:paraId="2EAAEA68" w14:textId="77777777" w:rsidR="000A06F7" w:rsidRPr="002D1DD7" w:rsidRDefault="000A06F7" w:rsidP="000A06F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6DEF5838" w14:textId="1EE1FD5F" w:rsidR="000A06F7" w:rsidRPr="002D1DD7" w:rsidRDefault="000A06F7" w:rsidP="000A06F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malignancies</w:t>
            </w:r>
          </w:p>
        </w:tc>
        <w:tc>
          <w:tcPr>
            <w:tcW w:w="1717" w:type="dxa"/>
            <w:tcBorders>
              <w:top w:val="single" w:sz="12" w:space="0" w:color="auto"/>
              <w:bottom w:val="single" w:sz="12" w:space="0" w:color="auto"/>
            </w:tcBorders>
          </w:tcPr>
          <w:p w14:paraId="12183E47" w14:textId="5EC1F8FB" w:rsidR="000A06F7" w:rsidRPr="002D1DD7" w:rsidRDefault="000A06F7" w:rsidP="00FE5598">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NCT02978482   </w:t>
            </w:r>
          </w:p>
        </w:tc>
        <w:tc>
          <w:tcPr>
            <w:tcW w:w="2166" w:type="dxa"/>
            <w:tcBorders>
              <w:top w:val="single" w:sz="12" w:space="0" w:color="auto"/>
              <w:bottom w:val="single" w:sz="12" w:space="0" w:color="auto"/>
            </w:tcBorders>
          </w:tcPr>
          <w:p w14:paraId="52799C5C" w14:textId="77777777" w:rsidR="000A06F7" w:rsidRPr="002D1DD7" w:rsidRDefault="000A06F7" w:rsidP="000A06F7">
            <w:pPr>
              <w:pStyle w:val="ListParagraph"/>
              <w:ind w:left="0"/>
              <w:rPr>
                <w:rFonts w:ascii="Arial" w:hAnsi="Arial" w:cs="Arial"/>
                <w:b/>
                <w:sz w:val="12"/>
                <w:szCs w:val="12"/>
              </w:rPr>
            </w:pPr>
            <w:r w:rsidRPr="002D1DD7">
              <w:rPr>
                <w:rFonts w:ascii="Arial" w:hAnsi="Arial" w:cs="Arial"/>
                <w:b/>
                <w:sz w:val="12"/>
                <w:szCs w:val="12"/>
              </w:rPr>
              <w:t>Primary:</w:t>
            </w:r>
          </w:p>
          <w:p w14:paraId="1E7053D5" w14:textId="77777777" w:rsidR="000A06F7" w:rsidRPr="002D1DD7" w:rsidRDefault="000A06F7" w:rsidP="009A66EC">
            <w:pPr>
              <w:pStyle w:val="ListParagraph"/>
              <w:numPr>
                <w:ilvl w:val="0"/>
                <w:numId w:val="67"/>
              </w:numPr>
              <w:spacing w:before="0" w:after="0"/>
              <w:rPr>
                <w:rFonts w:ascii="Arial" w:hAnsi="Arial" w:cs="Arial"/>
                <w:sz w:val="12"/>
                <w:szCs w:val="12"/>
              </w:rPr>
            </w:pPr>
            <w:r w:rsidRPr="002D1DD7">
              <w:rPr>
                <w:rFonts w:ascii="Arial" w:hAnsi="Arial" w:cs="Arial"/>
                <w:sz w:val="12"/>
                <w:szCs w:val="12"/>
              </w:rPr>
              <w:t>Plasma concentration</w:t>
            </w:r>
          </w:p>
          <w:p w14:paraId="564CE71F" w14:textId="77777777" w:rsidR="000A06F7" w:rsidRPr="002D1DD7" w:rsidRDefault="000A06F7" w:rsidP="009A66EC">
            <w:pPr>
              <w:pStyle w:val="ListParagraph"/>
              <w:numPr>
                <w:ilvl w:val="0"/>
                <w:numId w:val="67"/>
              </w:numPr>
              <w:spacing w:before="0" w:after="0"/>
              <w:rPr>
                <w:rFonts w:ascii="Arial" w:hAnsi="Arial" w:cs="Arial"/>
                <w:sz w:val="12"/>
                <w:szCs w:val="12"/>
              </w:rPr>
            </w:pPr>
            <w:r w:rsidRPr="002D1DD7">
              <w:rPr>
                <w:rFonts w:ascii="Arial" w:hAnsi="Arial" w:cs="Arial"/>
                <w:sz w:val="12"/>
                <w:szCs w:val="12"/>
              </w:rPr>
              <w:t>AEs</w:t>
            </w:r>
          </w:p>
          <w:p w14:paraId="5F4B7ACF" w14:textId="77777777" w:rsidR="000A06F7" w:rsidRPr="002D1DD7" w:rsidRDefault="000A06F7" w:rsidP="009A66EC">
            <w:pPr>
              <w:pStyle w:val="ListParagraph"/>
              <w:numPr>
                <w:ilvl w:val="0"/>
                <w:numId w:val="67"/>
              </w:numPr>
              <w:spacing w:before="0" w:after="0"/>
              <w:rPr>
                <w:rFonts w:ascii="Arial" w:hAnsi="Arial" w:cs="Arial"/>
                <w:sz w:val="12"/>
                <w:szCs w:val="12"/>
              </w:rPr>
            </w:pPr>
            <w:r w:rsidRPr="002D1DD7">
              <w:rPr>
                <w:rFonts w:ascii="Arial" w:hAnsi="Arial" w:cs="Arial"/>
                <w:sz w:val="12"/>
                <w:szCs w:val="12"/>
              </w:rPr>
              <w:t>ORR (12 months after last patient is dosed or withdrawn, or study is discontinued)</w:t>
            </w:r>
          </w:p>
          <w:p w14:paraId="6DB33C46" w14:textId="77777777" w:rsidR="000A06F7" w:rsidRPr="002D1DD7" w:rsidRDefault="000A06F7" w:rsidP="000A06F7">
            <w:pPr>
              <w:rPr>
                <w:rFonts w:ascii="Arial" w:hAnsi="Arial" w:cs="Arial"/>
                <w:sz w:val="12"/>
                <w:szCs w:val="12"/>
              </w:rPr>
            </w:pPr>
          </w:p>
          <w:p w14:paraId="101C4AE9" w14:textId="77777777" w:rsidR="000A06F7" w:rsidRPr="002D1DD7" w:rsidRDefault="000A06F7" w:rsidP="000A06F7">
            <w:pPr>
              <w:rPr>
                <w:rFonts w:ascii="Arial" w:hAnsi="Arial" w:cs="Arial"/>
                <w:sz w:val="12"/>
                <w:szCs w:val="12"/>
              </w:rPr>
            </w:pPr>
            <w:r w:rsidRPr="002D1DD7">
              <w:rPr>
                <w:rFonts w:ascii="Arial" w:hAnsi="Arial" w:cs="Arial"/>
                <w:sz w:val="12"/>
                <w:szCs w:val="12"/>
              </w:rPr>
              <w:t>Secondary</w:t>
            </w:r>
          </w:p>
          <w:p w14:paraId="28727B54" w14:textId="77777777" w:rsidR="000A06F7" w:rsidRPr="002D1DD7" w:rsidRDefault="000A06F7" w:rsidP="009A66EC">
            <w:pPr>
              <w:pStyle w:val="ListParagraph"/>
              <w:numPr>
                <w:ilvl w:val="0"/>
                <w:numId w:val="68"/>
              </w:numPr>
              <w:spacing w:before="0" w:after="0"/>
              <w:rPr>
                <w:rFonts w:ascii="Arial" w:hAnsi="Arial" w:cs="Arial"/>
                <w:sz w:val="12"/>
                <w:szCs w:val="12"/>
              </w:rPr>
            </w:pPr>
            <w:r w:rsidRPr="002D1DD7">
              <w:rPr>
                <w:rFonts w:ascii="Arial" w:hAnsi="Arial" w:cs="Arial"/>
                <w:sz w:val="12"/>
                <w:szCs w:val="12"/>
              </w:rPr>
              <w:t>Anti-drug antibody</w:t>
            </w:r>
          </w:p>
          <w:p w14:paraId="4AF1FF36" w14:textId="77777777" w:rsidR="000A06F7" w:rsidRPr="002D1DD7" w:rsidRDefault="000A06F7" w:rsidP="009A66EC">
            <w:pPr>
              <w:pStyle w:val="ListParagraph"/>
              <w:numPr>
                <w:ilvl w:val="0"/>
                <w:numId w:val="68"/>
              </w:numPr>
              <w:spacing w:before="0" w:after="0"/>
              <w:rPr>
                <w:rFonts w:ascii="Arial" w:hAnsi="Arial" w:cs="Arial"/>
                <w:sz w:val="12"/>
                <w:szCs w:val="12"/>
              </w:rPr>
            </w:pPr>
            <w:r w:rsidRPr="002D1DD7">
              <w:rPr>
                <w:rFonts w:ascii="Arial" w:hAnsi="Arial" w:cs="Arial"/>
                <w:sz w:val="12"/>
                <w:szCs w:val="12"/>
              </w:rPr>
              <w:t>CR/PR/Stable disease/Progressive disease (6 months after last patient is dosed)</w:t>
            </w:r>
          </w:p>
          <w:p w14:paraId="3A47B3C8" w14:textId="40D88F36" w:rsidR="000A06F7" w:rsidRPr="002D1DD7" w:rsidRDefault="000A06F7" w:rsidP="009A66EC">
            <w:pPr>
              <w:pStyle w:val="ListParagraph"/>
              <w:numPr>
                <w:ilvl w:val="0"/>
                <w:numId w:val="66"/>
              </w:numPr>
              <w:spacing w:before="0" w:after="0"/>
              <w:rPr>
                <w:rFonts w:ascii="Arial" w:hAnsi="Arial" w:cs="Arial"/>
                <w:b/>
                <w:sz w:val="12"/>
                <w:szCs w:val="12"/>
              </w:rPr>
            </w:pPr>
            <w:r w:rsidRPr="002D1DD7">
              <w:rPr>
                <w:rFonts w:ascii="Arial" w:hAnsi="Arial" w:cs="Arial"/>
                <w:sz w:val="12"/>
                <w:szCs w:val="12"/>
              </w:rPr>
              <w:t>OS (12 months after last evaluable patient is first dosed)</w:t>
            </w:r>
          </w:p>
        </w:tc>
        <w:tc>
          <w:tcPr>
            <w:tcW w:w="2213" w:type="dxa"/>
            <w:tcBorders>
              <w:top w:val="single" w:sz="12" w:space="0" w:color="auto"/>
              <w:bottom w:val="single" w:sz="12" w:space="0" w:color="auto"/>
            </w:tcBorders>
          </w:tcPr>
          <w:p w14:paraId="4EFAE73A" w14:textId="175F5A48" w:rsidR="000A06F7" w:rsidRPr="002D1DD7" w:rsidRDefault="000A06F7" w:rsidP="000A06F7">
            <w:pPr>
              <w:rPr>
                <w:rFonts w:ascii="Arial" w:hAnsi="Arial" w:cs="Arial"/>
                <w:sz w:val="12"/>
                <w:szCs w:val="12"/>
              </w:rPr>
            </w:pPr>
            <w:r w:rsidRPr="002D1DD7">
              <w:rPr>
                <w:rFonts w:ascii="Arial" w:hAnsi="Arial" w:cs="Arial"/>
                <w:sz w:val="12"/>
                <w:szCs w:val="12"/>
              </w:rPr>
              <w:t>Phase I/II</w:t>
            </w:r>
            <w:r w:rsidR="009C3A69" w:rsidRPr="002D1DD7">
              <w:rPr>
                <w:rFonts w:ascii="Arial" w:hAnsi="Arial" w:cs="Arial"/>
                <w:sz w:val="12"/>
                <w:szCs w:val="12"/>
              </w:rPr>
              <w:t xml:space="preserve"> (separate cohorts specified)</w:t>
            </w:r>
          </w:p>
          <w:p w14:paraId="3FF49BB1" w14:textId="77777777" w:rsidR="000A06F7" w:rsidRPr="002D1DD7" w:rsidRDefault="000A06F7" w:rsidP="000A06F7">
            <w:pPr>
              <w:rPr>
                <w:rFonts w:ascii="Arial" w:hAnsi="Arial" w:cs="Arial"/>
                <w:sz w:val="12"/>
                <w:szCs w:val="12"/>
              </w:rPr>
            </w:pPr>
            <w:r w:rsidRPr="002D1DD7">
              <w:rPr>
                <w:rFonts w:ascii="Arial" w:hAnsi="Arial" w:cs="Arial"/>
                <w:sz w:val="12"/>
                <w:szCs w:val="12"/>
              </w:rPr>
              <w:t>Estimated enrolment: 26 participants</w:t>
            </w:r>
          </w:p>
          <w:p w14:paraId="437305DF" w14:textId="284F8FAA" w:rsidR="000A06F7" w:rsidRPr="002D1DD7" w:rsidRDefault="000A06F7" w:rsidP="000A06F7">
            <w:pPr>
              <w:rPr>
                <w:rFonts w:ascii="Arial" w:hAnsi="Arial" w:cs="Arial"/>
                <w:sz w:val="12"/>
                <w:szCs w:val="12"/>
              </w:rPr>
            </w:pPr>
            <w:r w:rsidRPr="002D1DD7">
              <w:rPr>
                <w:rFonts w:ascii="Arial" w:hAnsi="Arial" w:cs="Arial"/>
                <w:sz w:val="12"/>
                <w:szCs w:val="12"/>
              </w:rPr>
              <w:t xml:space="preserve">Allocation approach: </w:t>
            </w:r>
            <w:r w:rsidR="005D2293" w:rsidRPr="002D1DD7">
              <w:rPr>
                <w:rFonts w:ascii="Arial" w:hAnsi="Arial" w:cs="Arial"/>
                <w:sz w:val="12"/>
                <w:szCs w:val="12"/>
              </w:rPr>
              <w:t>N</w:t>
            </w:r>
            <w:r w:rsidRPr="002D1DD7">
              <w:rPr>
                <w:rFonts w:ascii="Arial" w:hAnsi="Arial" w:cs="Arial"/>
                <w:sz w:val="12"/>
                <w:szCs w:val="12"/>
              </w:rPr>
              <w:t>on-</w:t>
            </w:r>
            <w:r w:rsidR="005D2293" w:rsidRPr="002D1DD7">
              <w:rPr>
                <w:rFonts w:ascii="Arial" w:hAnsi="Arial" w:cs="Arial"/>
                <w:sz w:val="12"/>
                <w:szCs w:val="12"/>
              </w:rPr>
              <w:t>R</w:t>
            </w:r>
            <w:r w:rsidRPr="002D1DD7">
              <w:rPr>
                <w:rFonts w:ascii="Arial" w:hAnsi="Arial" w:cs="Arial"/>
                <w:sz w:val="12"/>
                <w:szCs w:val="12"/>
              </w:rPr>
              <w:t>andomi</w:t>
            </w:r>
            <w:r w:rsidR="005D2293" w:rsidRPr="002D1DD7">
              <w:rPr>
                <w:rFonts w:ascii="Arial" w:hAnsi="Arial" w:cs="Arial"/>
                <w:sz w:val="12"/>
                <w:szCs w:val="12"/>
              </w:rPr>
              <w:t>s</w:t>
            </w:r>
            <w:r w:rsidRPr="002D1DD7">
              <w:rPr>
                <w:rFonts w:ascii="Arial" w:hAnsi="Arial" w:cs="Arial"/>
                <w:sz w:val="12"/>
                <w:szCs w:val="12"/>
              </w:rPr>
              <w:t>ed</w:t>
            </w:r>
          </w:p>
          <w:p w14:paraId="2EB50CDC" w14:textId="77777777" w:rsidR="000A06F7" w:rsidRPr="002D1DD7" w:rsidRDefault="000A06F7" w:rsidP="000A06F7">
            <w:pPr>
              <w:rPr>
                <w:rFonts w:ascii="Arial" w:hAnsi="Arial" w:cs="Arial"/>
                <w:sz w:val="12"/>
                <w:szCs w:val="12"/>
              </w:rPr>
            </w:pPr>
            <w:r w:rsidRPr="002D1DD7">
              <w:rPr>
                <w:rFonts w:ascii="Arial" w:hAnsi="Arial" w:cs="Arial"/>
                <w:sz w:val="12"/>
                <w:szCs w:val="12"/>
              </w:rPr>
              <w:t>Study start date: 1 December 2016</w:t>
            </w:r>
          </w:p>
          <w:p w14:paraId="72BB2D62" w14:textId="77777777" w:rsidR="000A06F7" w:rsidRPr="002D1DD7" w:rsidRDefault="000A06F7" w:rsidP="000A06F7">
            <w:pPr>
              <w:rPr>
                <w:rFonts w:ascii="Arial" w:hAnsi="Arial" w:cs="Arial"/>
                <w:sz w:val="12"/>
                <w:szCs w:val="12"/>
              </w:rPr>
            </w:pPr>
            <w:r w:rsidRPr="002D1DD7">
              <w:rPr>
                <w:rFonts w:ascii="Arial" w:hAnsi="Arial" w:cs="Arial"/>
                <w:sz w:val="12"/>
                <w:szCs w:val="12"/>
              </w:rPr>
              <w:t>Primary completion date: 28 July 2018</w:t>
            </w:r>
          </w:p>
          <w:p w14:paraId="05EBC6E3" w14:textId="11C90429" w:rsidR="000A06F7" w:rsidRPr="002D1DD7" w:rsidRDefault="000A06F7" w:rsidP="000A06F7">
            <w:pPr>
              <w:rPr>
                <w:rFonts w:ascii="Arial" w:hAnsi="Arial" w:cs="Arial"/>
                <w:sz w:val="12"/>
                <w:szCs w:val="12"/>
              </w:rPr>
            </w:pPr>
            <w:r w:rsidRPr="002D1DD7">
              <w:rPr>
                <w:rFonts w:ascii="Arial" w:hAnsi="Arial" w:cs="Arial"/>
                <w:sz w:val="12"/>
                <w:szCs w:val="12"/>
              </w:rPr>
              <w:t>Study completion date: 13 May 2019</w:t>
            </w:r>
          </w:p>
        </w:tc>
        <w:tc>
          <w:tcPr>
            <w:tcW w:w="2642" w:type="dxa"/>
            <w:tcBorders>
              <w:top w:val="single" w:sz="12" w:space="0" w:color="auto"/>
              <w:bottom w:val="single" w:sz="12" w:space="0" w:color="auto"/>
            </w:tcBorders>
          </w:tcPr>
          <w:p w14:paraId="4139A7BD" w14:textId="397A29E9" w:rsidR="000A06F7" w:rsidRPr="002D1DD7" w:rsidRDefault="000A06F7" w:rsidP="000A06F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Chinese adult patients with histologically or cytologically confirmed advanced and/or metastatic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s other than HCC refractory or intolerable to existing standard of treatment.</w:t>
            </w:r>
          </w:p>
        </w:tc>
        <w:tc>
          <w:tcPr>
            <w:tcW w:w="2114" w:type="dxa"/>
            <w:tcBorders>
              <w:top w:val="single" w:sz="12" w:space="0" w:color="auto"/>
              <w:bottom w:val="single" w:sz="12" w:space="0" w:color="auto"/>
              <w:right w:val="single" w:sz="12" w:space="0" w:color="auto"/>
            </w:tcBorders>
          </w:tcPr>
          <w:p w14:paraId="5BE4DD1E" w14:textId="1AD3C745" w:rsidR="000A06F7" w:rsidRPr="002D1DD7" w:rsidRDefault="000A06F7" w:rsidP="000A06F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5C920997" w14:textId="77777777" w:rsidTr="009126F0">
        <w:trPr>
          <w:trHeight w:val="1079"/>
        </w:trPr>
        <w:tc>
          <w:tcPr>
            <w:tcW w:w="1103" w:type="dxa"/>
            <w:vMerge/>
            <w:tcBorders>
              <w:left w:val="single" w:sz="12" w:space="0" w:color="auto"/>
            </w:tcBorders>
          </w:tcPr>
          <w:p w14:paraId="2B40503C"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5D52DF3E"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solid malignancies</w:t>
            </w:r>
          </w:p>
        </w:tc>
        <w:tc>
          <w:tcPr>
            <w:tcW w:w="1717" w:type="dxa"/>
            <w:tcBorders>
              <w:top w:val="single" w:sz="12" w:space="0" w:color="auto"/>
              <w:bottom w:val="single" w:sz="12" w:space="0" w:color="auto"/>
            </w:tcBorders>
          </w:tcPr>
          <w:p w14:paraId="4F4B385F" w14:textId="77777777" w:rsidR="002A7DD7" w:rsidRPr="002D1DD7" w:rsidRDefault="002A7DD7" w:rsidP="00FE5598">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NCT03084471</w:t>
            </w:r>
          </w:p>
        </w:tc>
        <w:tc>
          <w:tcPr>
            <w:tcW w:w="2166" w:type="dxa"/>
            <w:tcBorders>
              <w:top w:val="single" w:sz="12" w:space="0" w:color="auto"/>
              <w:bottom w:val="single" w:sz="12" w:space="0" w:color="auto"/>
            </w:tcBorders>
          </w:tcPr>
          <w:p w14:paraId="13BE6F1A"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0BB90314" w14:textId="77777777" w:rsidR="002A7DD7" w:rsidRPr="002D1DD7" w:rsidRDefault="002A7DD7" w:rsidP="009A66EC">
            <w:pPr>
              <w:pStyle w:val="ListParagraph"/>
              <w:numPr>
                <w:ilvl w:val="0"/>
                <w:numId w:val="69"/>
              </w:numPr>
              <w:spacing w:before="0" w:after="0"/>
              <w:rPr>
                <w:rFonts w:ascii="Arial" w:hAnsi="Arial" w:cs="Arial"/>
                <w:sz w:val="12"/>
                <w:szCs w:val="12"/>
              </w:rPr>
            </w:pPr>
            <w:r w:rsidRPr="002D1DD7">
              <w:rPr>
                <w:rFonts w:ascii="Arial" w:hAnsi="Arial" w:cs="Arial"/>
                <w:sz w:val="12"/>
                <w:szCs w:val="12"/>
              </w:rPr>
              <w:t>Safety: AEs</w:t>
            </w:r>
          </w:p>
          <w:p w14:paraId="53B7C672" w14:textId="77777777" w:rsidR="002A7DD7" w:rsidRPr="002D1DD7" w:rsidRDefault="002A7DD7" w:rsidP="002A7DD7">
            <w:pPr>
              <w:rPr>
                <w:rFonts w:ascii="Arial" w:hAnsi="Arial" w:cs="Arial"/>
                <w:sz w:val="12"/>
                <w:szCs w:val="12"/>
              </w:rPr>
            </w:pPr>
          </w:p>
          <w:p w14:paraId="4C44D563"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07BB05DE" w14:textId="77777777" w:rsidR="002A7DD7" w:rsidRPr="002D1DD7" w:rsidRDefault="002A7DD7" w:rsidP="009A66EC">
            <w:pPr>
              <w:pStyle w:val="ListParagraph"/>
              <w:numPr>
                <w:ilvl w:val="0"/>
                <w:numId w:val="70"/>
              </w:numPr>
              <w:spacing w:before="0" w:after="0"/>
              <w:rPr>
                <w:rFonts w:ascii="Arial" w:hAnsi="Arial" w:cs="Arial"/>
                <w:b/>
                <w:sz w:val="12"/>
                <w:szCs w:val="12"/>
              </w:rPr>
            </w:pPr>
            <w:r w:rsidRPr="002D1DD7">
              <w:rPr>
                <w:rFonts w:ascii="Arial" w:hAnsi="Arial" w:cs="Arial"/>
                <w:sz w:val="12"/>
                <w:szCs w:val="12"/>
              </w:rPr>
              <w:t>Safety: treatment-related adverse events and treatment discontinued/interrupted</w:t>
            </w:r>
          </w:p>
          <w:p w14:paraId="2CDCD364" w14:textId="77777777" w:rsidR="002A7DD7" w:rsidRPr="002D1DD7" w:rsidRDefault="002A7DD7" w:rsidP="009A66EC">
            <w:pPr>
              <w:pStyle w:val="ListParagraph"/>
              <w:numPr>
                <w:ilvl w:val="0"/>
                <w:numId w:val="70"/>
              </w:numPr>
              <w:spacing w:before="0" w:after="0"/>
              <w:rPr>
                <w:rFonts w:ascii="Arial" w:hAnsi="Arial" w:cs="Arial"/>
                <w:b/>
                <w:sz w:val="12"/>
                <w:szCs w:val="12"/>
              </w:rPr>
            </w:pPr>
            <w:r w:rsidRPr="002D1DD7">
              <w:rPr>
                <w:rFonts w:ascii="Arial" w:hAnsi="Arial" w:cs="Arial"/>
                <w:sz w:val="12"/>
                <w:szCs w:val="12"/>
              </w:rPr>
              <w:t>OS (up to 5 years following date of first patient initiation)</w:t>
            </w:r>
          </w:p>
        </w:tc>
        <w:tc>
          <w:tcPr>
            <w:tcW w:w="2213" w:type="dxa"/>
            <w:tcBorders>
              <w:top w:val="single" w:sz="12" w:space="0" w:color="auto"/>
              <w:bottom w:val="single" w:sz="12" w:space="0" w:color="auto"/>
            </w:tcBorders>
          </w:tcPr>
          <w:p w14:paraId="2EA67095" w14:textId="77777777" w:rsidR="002A7DD7" w:rsidRPr="002D1DD7" w:rsidRDefault="002A7DD7" w:rsidP="002A7DD7">
            <w:pPr>
              <w:rPr>
                <w:rFonts w:ascii="Arial" w:hAnsi="Arial" w:cs="Arial"/>
                <w:sz w:val="12"/>
                <w:szCs w:val="12"/>
              </w:rPr>
            </w:pPr>
            <w:r w:rsidRPr="002D1DD7">
              <w:rPr>
                <w:rFonts w:ascii="Arial" w:hAnsi="Arial" w:cs="Arial"/>
                <w:sz w:val="12"/>
                <w:szCs w:val="12"/>
              </w:rPr>
              <w:t>Phase I/II</w:t>
            </w:r>
          </w:p>
          <w:p w14:paraId="3CD51501"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1,200 participants</w:t>
            </w:r>
          </w:p>
          <w:p w14:paraId="5593A360" w14:textId="5434B6EB"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8E0C09" w:rsidRPr="002D1DD7">
              <w:rPr>
                <w:rFonts w:ascii="Arial" w:hAnsi="Arial" w:cs="Arial"/>
                <w:sz w:val="12"/>
                <w:szCs w:val="12"/>
              </w:rPr>
              <w:t>N</w:t>
            </w:r>
            <w:r w:rsidRPr="002D1DD7">
              <w:rPr>
                <w:rFonts w:ascii="Arial" w:hAnsi="Arial" w:cs="Arial"/>
                <w:sz w:val="12"/>
                <w:szCs w:val="12"/>
              </w:rPr>
              <w:t>on-</w:t>
            </w:r>
            <w:r w:rsidR="008E0C09" w:rsidRPr="002D1DD7">
              <w:rPr>
                <w:rFonts w:ascii="Arial" w:hAnsi="Arial" w:cs="Arial"/>
                <w:sz w:val="12"/>
                <w:szCs w:val="12"/>
              </w:rPr>
              <w:t>R</w:t>
            </w:r>
            <w:r w:rsidRPr="002D1DD7">
              <w:rPr>
                <w:rFonts w:ascii="Arial" w:hAnsi="Arial" w:cs="Arial"/>
                <w:sz w:val="12"/>
                <w:szCs w:val="12"/>
              </w:rPr>
              <w:t>andomi</w:t>
            </w:r>
            <w:r w:rsidR="008E0C09" w:rsidRPr="002D1DD7">
              <w:rPr>
                <w:rFonts w:ascii="Arial" w:hAnsi="Arial" w:cs="Arial"/>
                <w:sz w:val="12"/>
                <w:szCs w:val="12"/>
              </w:rPr>
              <w:t>s</w:t>
            </w:r>
            <w:r w:rsidRPr="002D1DD7">
              <w:rPr>
                <w:rFonts w:ascii="Arial" w:hAnsi="Arial" w:cs="Arial"/>
                <w:sz w:val="12"/>
                <w:szCs w:val="12"/>
              </w:rPr>
              <w:t>ed</w:t>
            </w:r>
          </w:p>
          <w:p w14:paraId="4C878188"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17 April 2017</w:t>
            </w:r>
          </w:p>
          <w:p w14:paraId="05811780"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date: 26 March 2023</w:t>
            </w:r>
          </w:p>
          <w:p w14:paraId="446F3BDA"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26 March 2023</w:t>
            </w:r>
          </w:p>
        </w:tc>
        <w:tc>
          <w:tcPr>
            <w:tcW w:w="2642" w:type="dxa"/>
            <w:tcBorders>
              <w:top w:val="single" w:sz="12" w:space="0" w:color="auto"/>
              <w:bottom w:val="single" w:sz="12" w:space="0" w:color="auto"/>
            </w:tcBorders>
          </w:tcPr>
          <w:p w14:paraId="7A57F66E"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Adult patients with a life expectancy of at least 12 weeks and no prior exposure to anti PD-1 or anti PD-L-1. </w:t>
            </w:r>
          </w:p>
        </w:tc>
        <w:tc>
          <w:tcPr>
            <w:tcW w:w="2114" w:type="dxa"/>
            <w:tcBorders>
              <w:top w:val="single" w:sz="12" w:space="0" w:color="auto"/>
              <w:bottom w:val="single" w:sz="12" w:space="0" w:color="auto"/>
              <w:right w:val="single" w:sz="12" w:space="0" w:color="auto"/>
            </w:tcBorders>
          </w:tcPr>
          <w:p w14:paraId="1B95CACE"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4622E9C9" w14:textId="77777777" w:rsidTr="009126F0">
        <w:trPr>
          <w:trHeight w:val="1079"/>
        </w:trPr>
        <w:tc>
          <w:tcPr>
            <w:tcW w:w="1103" w:type="dxa"/>
            <w:vMerge/>
            <w:tcBorders>
              <w:left w:val="single" w:sz="12" w:space="0" w:color="auto"/>
            </w:tcBorders>
          </w:tcPr>
          <w:p w14:paraId="6986CE01"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7399E8A2"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Somatically hyper mutated recurrent solid tumours</w:t>
            </w:r>
          </w:p>
        </w:tc>
        <w:tc>
          <w:tcPr>
            <w:tcW w:w="1717" w:type="dxa"/>
            <w:tcBorders>
              <w:top w:val="single" w:sz="12" w:space="0" w:color="auto"/>
              <w:bottom w:val="single" w:sz="12" w:space="0" w:color="auto"/>
            </w:tcBorders>
          </w:tcPr>
          <w:p w14:paraId="727E7ABF" w14:textId="77777777" w:rsidR="002A7DD7" w:rsidRPr="002D1DD7" w:rsidRDefault="002A7DD7" w:rsidP="00FE5598">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NCT03911557</w:t>
            </w:r>
          </w:p>
        </w:tc>
        <w:tc>
          <w:tcPr>
            <w:tcW w:w="2166" w:type="dxa"/>
            <w:tcBorders>
              <w:top w:val="single" w:sz="12" w:space="0" w:color="auto"/>
              <w:bottom w:val="single" w:sz="12" w:space="0" w:color="auto"/>
            </w:tcBorders>
          </w:tcPr>
          <w:p w14:paraId="7937E0CD"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6FB81C92" w14:textId="77777777" w:rsidR="002A7DD7" w:rsidRPr="002D1DD7" w:rsidRDefault="002A7DD7" w:rsidP="009A66EC">
            <w:pPr>
              <w:pStyle w:val="ListParagraph"/>
              <w:numPr>
                <w:ilvl w:val="0"/>
                <w:numId w:val="71"/>
              </w:numPr>
              <w:spacing w:before="0" w:after="0"/>
              <w:rPr>
                <w:rFonts w:ascii="Arial" w:hAnsi="Arial" w:cs="Arial"/>
                <w:b/>
                <w:sz w:val="12"/>
                <w:szCs w:val="12"/>
              </w:rPr>
            </w:pPr>
            <w:r w:rsidRPr="002D1DD7">
              <w:rPr>
                <w:rFonts w:ascii="Arial" w:hAnsi="Arial" w:cs="Arial"/>
                <w:sz w:val="12"/>
                <w:szCs w:val="12"/>
              </w:rPr>
              <w:t>Time-to-progression ratio (2 years)</w:t>
            </w:r>
          </w:p>
          <w:p w14:paraId="052CEFE0" w14:textId="77777777" w:rsidR="002A7DD7" w:rsidRPr="002D1DD7" w:rsidRDefault="002A7DD7" w:rsidP="002A7DD7">
            <w:pPr>
              <w:rPr>
                <w:rFonts w:ascii="Arial" w:hAnsi="Arial" w:cs="Arial"/>
                <w:b/>
                <w:sz w:val="12"/>
                <w:szCs w:val="12"/>
              </w:rPr>
            </w:pPr>
          </w:p>
          <w:p w14:paraId="27FB07F8"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646D7348" w14:textId="77777777" w:rsidR="002A7DD7" w:rsidRPr="002D1DD7" w:rsidRDefault="002A7DD7" w:rsidP="009A66EC">
            <w:pPr>
              <w:pStyle w:val="ListParagraph"/>
              <w:numPr>
                <w:ilvl w:val="0"/>
                <w:numId w:val="72"/>
              </w:numPr>
              <w:spacing w:before="0" w:after="0"/>
              <w:rPr>
                <w:rFonts w:ascii="Arial" w:hAnsi="Arial" w:cs="Arial"/>
                <w:b/>
                <w:sz w:val="12"/>
                <w:szCs w:val="12"/>
              </w:rPr>
            </w:pPr>
            <w:r w:rsidRPr="002D1DD7">
              <w:rPr>
                <w:rFonts w:ascii="Arial" w:hAnsi="Arial" w:cs="Arial"/>
                <w:sz w:val="12"/>
                <w:szCs w:val="12"/>
              </w:rPr>
              <w:t>PFS (2 years)</w:t>
            </w:r>
          </w:p>
        </w:tc>
        <w:tc>
          <w:tcPr>
            <w:tcW w:w="2213" w:type="dxa"/>
            <w:tcBorders>
              <w:top w:val="single" w:sz="12" w:space="0" w:color="auto"/>
              <w:bottom w:val="single" w:sz="12" w:space="0" w:color="auto"/>
            </w:tcBorders>
          </w:tcPr>
          <w:p w14:paraId="55EC8837" w14:textId="3A398C53" w:rsidR="002A7DD7" w:rsidRPr="002D1DD7" w:rsidRDefault="002A7DD7" w:rsidP="002A7DD7">
            <w:pPr>
              <w:rPr>
                <w:rFonts w:ascii="Arial" w:hAnsi="Arial" w:cs="Arial"/>
                <w:sz w:val="12"/>
                <w:szCs w:val="12"/>
              </w:rPr>
            </w:pPr>
            <w:r w:rsidRPr="002D1DD7">
              <w:rPr>
                <w:rFonts w:ascii="Arial" w:hAnsi="Arial" w:cs="Arial"/>
                <w:sz w:val="12"/>
                <w:szCs w:val="12"/>
              </w:rPr>
              <w:t>Phase II</w:t>
            </w:r>
            <w:r w:rsidR="005D2293" w:rsidRPr="002D1DD7">
              <w:rPr>
                <w:rFonts w:ascii="Arial" w:hAnsi="Arial" w:cs="Arial"/>
                <w:sz w:val="12"/>
                <w:szCs w:val="12"/>
              </w:rPr>
              <w:t xml:space="preserve"> basket</w:t>
            </w:r>
          </w:p>
          <w:p w14:paraId="25F92373"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48 participants</w:t>
            </w:r>
          </w:p>
          <w:p w14:paraId="61D1B9BC" w14:textId="740F8420"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5D2293" w:rsidRPr="002D1DD7">
              <w:rPr>
                <w:rFonts w:ascii="Arial" w:hAnsi="Arial" w:cs="Arial"/>
                <w:sz w:val="12"/>
                <w:szCs w:val="12"/>
              </w:rPr>
              <w:t>N</w:t>
            </w:r>
            <w:r w:rsidRPr="002D1DD7">
              <w:rPr>
                <w:rFonts w:ascii="Arial" w:hAnsi="Arial" w:cs="Arial"/>
                <w:sz w:val="12"/>
                <w:szCs w:val="12"/>
              </w:rPr>
              <w:t>on-</w:t>
            </w:r>
            <w:r w:rsidR="00FC3668" w:rsidRPr="002D1DD7">
              <w:rPr>
                <w:rFonts w:ascii="Arial" w:hAnsi="Arial" w:cs="Arial"/>
                <w:sz w:val="12"/>
                <w:szCs w:val="12"/>
              </w:rPr>
              <w:t>R</w:t>
            </w:r>
            <w:r w:rsidRPr="002D1DD7">
              <w:rPr>
                <w:rFonts w:ascii="Arial" w:hAnsi="Arial" w:cs="Arial"/>
                <w:sz w:val="12"/>
                <w:szCs w:val="12"/>
              </w:rPr>
              <w:t xml:space="preserve">andomised </w:t>
            </w:r>
          </w:p>
          <w:p w14:paraId="3A309E7B"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start date: May 2019</w:t>
            </w:r>
          </w:p>
          <w:p w14:paraId="763CB796"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date: June 2023</w:t>
            </w:r>
          </w:p>
          <w:p w14:paraId="125BECB5"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June 2024</w:t>
            </w:r>
          </w:p>
        </w:tc>
        <w:tc>
          <w:tcPr>
            <w:tcW w:w="2642" w:type="dxa"/>
            <w:tcBorders>
              <w:top w:val="single" w:sz="12" w:space="0" w:color="auto"/>
              <w:bottom w:val="single" w:sz="12" w:space="0" w:color="auto"/>
            </w:tcBorders>
          </w:tcPr>
          <w:p w14:paraId="6B948EED" w14:textId="08F37A7E"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Adult patients with relapsed/refractory solid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patients (not previously treated with anti-PD-1/PD-L1 or anti-CTLA-4 immunotherapy), whose tumours expressed a high </w:t>
            </w:r>
            <w:r w:rsidR="00787BBC" w:rsidRPr="002D1DD7">
              <w:rPr>
                <w:rFonts w:ascii="Arial" w:hAnsi="Arial" w:cs="Arial"/>
                <w:color w:val="000000"/>
                <w:sz w:val="12"/>
                <w:szCs w:val="12"/>
                <w:shd w:val="clear" w:color="auto" w:fill="FFFFFF"/>
              </w:rPr>
              <w:t>tumour</w:t>
            </w:r>
            <w:r w:rsidRPr="002D1DD7">
              <w:rPr>
                <w:rFonts w:ascii="Arial" w:hAnsi="Arial" w:cs="Arial"/>
                <w:color w:val="000000"/>
                <w:sz w:val="12"/>
                <w:szCs w:val="12"/>
                <w:shd w:val="clear" w:color="auto" w:fill="FFFFFF"/>
              </w:rPr>
              <w:t xml:space="preserve"> mutational burden (TMB) or moderate TMB.</w:t>
            </w:r>
          </w:p>
        </w:tc>
        <w:tc>
          <w:tcPr>
            <w:tcW w:w="2114" w:type="dxa"/>
            <w:tcBorders>
              <w:top w:val="single" w:sz="12" w:space="0" w:color="auto"/>
              <w:bottom w:val="single" w:sz="12" w:space="0" w:color="auto"/>
              <w:right w:val="single" w:sz="12" w:space="0" w:color="auto"/>
            </w:tcBorders>
          </w:tcPr>
          <w:p w14:paraId="3D3C1CA0"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Next generation sequencing</w:t>
            </w:r>
          </w:p>
        </w:tc>
      </w:tr>
      <w:tr w:rsidR="002A7DD7" w:rsidRPr="002D1DD7" w14:paraId="18691FC5" w14:textId="77777777" w:rsidTr="009126F0">
        <w:trPr>
          <w:trHeight w:val="1079"/>
        </w:trPr>
        <w:tc>
          <w:tcPr>
            <w:tcW w:w="1103" w:type="dxa"/>
            <w:vMerge/>
            <w:tcBorders>
              <w:left w:val="single" w:sz="12" w:space="0" w:color="auto"/>
            </w:tcBorders>
          </w:tcPr>
          <w:p w14:paraId="446F9EAF" w14:textId="77777777" w:rsidR="002A7DD7" w:rsidRPr="002D1DD7" w:rsidRDefault="002A7DD7" w:rsidP="002A7DD7">
            <w:pPr>
              <w:rPr>
                <w:rFonts w:ascii="Arial" w:hAnsi="Arial" w:cs="Arial"/>
                <w:b/>
                <w:color w:val="000000"/>
                <w:sz w:val="12"/>
                <w:szCs w:val="12"/>
                <w:shd w:val="clear" w:color="auto" w:fill="FFFFFF"/>
              </w:rPr>
            </w:pPr>
          </w:p>
        </w:tc>
        <w:tc>
          <w:tcPr>
            <w:tcW w:w="1497" w:type="dxa"/>
            <w:tcBorders>
              <w:top w:val="single" w:sz="12" w:space="0" w:color="auto"/>
              <w:bottom w:val="single" w:sz="12" w:space="0" w:color="auto"/>
            </w:tcBorders>
          </w:tcPr>
          <w:p w14:paraId="0927712D"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Advanced rare tumours</w:t>
            </w:r>
          </w:p>
        </w:tc>
        <w:tc>
          <w:tcPr>
            <w:tcW w:w="1717" w:type="dxa"/>
            <w:tcBorders>
              <w:top w:val="single" w:sz="12" w:space="0" w:color="auto"/>
              <w:bottom w:val="single" w:sz="12" w:space="0" w:color="auto"/>
            </w:tcBorders>
          </w:tcPr>
          <w:p w14:paraId="492D7768" w14:textId="77777777" w:rsidR="002A7DD7" w:rsidRPr="002D1DD7" w:rsidRDefault="002A7DD7" w:rsidP="00FE5598">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NCT02879162</w:t>
            </w:r>
          </w:p>
        </w:tc>
        <w:tc>
          <w:tcPr>
            <w:tcW w:w="2166" w:type="dxa"/>
            <w:tcBorders>
              <w:top w:val="single" w:sz="12" w:space="0" w:color="auto"/>
              <w:bottom w:val="single" w:sz="12" w:space="0" w:color="auto"/>
            </w:tcBorders>
          </w:tcPr>
          <w:p w14:paraId="704AA320" w14:textId="77777777" w:rsidR="002A7DD7" w:rsidRPr="002D1DD7" w:rsidRDefault="002A7DD7" w:rsidP="002A7DD7">
            <w:pPr>
              <w:pStyle w:val="ListParagraph"/>
              <w:ind w:left="0"/>
              <w:rPr>
                <w:rFonts w:ascii="Arial" w:hAnsi="Arial" w:cs="Arial"/>
                <w:b/>
                <w:sz w:val="12"/>
                <w:szCs w:val="12"/>
              </w:rPr>
            </w:pPr>
            <w:r w:rsidRPr="002D1DD7">
              <w:rPr>
                <w:rFonts w:ascii="Arial" w:hAnsi="Arial" w:cs="Arial"/>
                <w:b/>
                <w:sz w:val="12"/>
                <w:szCs w:val="12"/>
              </w:rPr>
              <w:t>Primary</w:t>
            </w:r>
          </w:p>
          <w:p w14:paraId="7A60F45D" w14:textId="77777777" w:rsidR="002A7DD7" w:rsidRPr="002D1DD7" w:rsidRDefault="002A7DD7" w:rsidP="009A66EC">
            <w:pPr>
              <w:pStyle w:val="ListParagraph"/>
              <w:numPr>
                <w:ilvl w:val="0"/>
                <w:numId w:val="73"/>
              </w:numPr>
              <w:spacing w:before="0" w:after="0"/>
              <w:rPr>
                <w:rFonts w:ascii="Arial" w:hAnsi="Arial" w:cs="Arial"/>
                <w:sz w:val="12"/>
                <w:szCs w:val="12"/>
              </w:rPr>
            </w:pPr>
            <w:r w:rsidRPr="002D1DD7">
              <w:rPr>
                <w:rFonts w:ascii="Arial" w:hAnsi="Arial" w:cs="Arial"/>
                <w:sz w:val="12"/>
                <w:szCs w:val="12"/>
              </w:rPr>
              <w:t>ORR (48 months)</w:t>
            </w:r>
          </w:p>
          <w:p w14:paraId="748B89CB" w14:textId="77777777" w:rsidR="002A7DD7" w:rsidRPr="002D1DD7" w:rsidRDefault="002A7DD7" w:rsidP="002A7DD7">
            <w:pPr>
              <w:rPr>
                <w:rFonts w:ascii="Arial" w:hAnsi="Arial" w:cs="Arial"/>
                <w:sz w:val="12"/>
                <w:szCs w:val="12"/>
              </w:rPr>
            </w:pPr>
          </w:p>
          <w:p w14:paraId="2832343F" w14:textId="77777777" w:rsidR="002A7DD7" w:rsidRPr="002D1DD7" w:rsidRDefault="002A7DD7" w:rsidP="002A7DD7">
            <w:pPr>
              <w:rPr>
                <w:rFonts w:ascii="Arial" w:hAnsi="Arial" w:cs="Arial"/>
                <w:b/>
                <w:sz w:val="12"/>
                <w:szCs w:val="12"/>
              </w:rPr>
            </w:pPr>
            <w:r w:rsidRPr="002D1DD7">
              <w:rPr>
                <w:rFonts w:ascii="Arial" w:hAnsi="Arial" w:cs="Arial"/>
                <w:b/>
                <w:sz w:val="12"/>
                <w:szCs w:val="12"/>
              </w:rPr>
              <w:t>Secondary</w:t>
            </w:r>
          </w:p>
          <w:p w14:paraId="290B2656" w14:textId="77777777" w:rsidR="002A7DD7" w:rsidRPr="002D1DD7" w:rsidRDefault="002A7DD7" w:rsidP="009A66EC">
            <w:pPr>
              <w:pStyle w:val="ListParagraph"/>
              <w:numPr>
                <w:ilvl w:val="0"/>
                <w:numId w:val="74"/>
              </w:numPr>
              <w:spacing w:before="0" w:after="0"/>
              <w:rPr>
                <w:rFonts w:ascii="Arial" w:hAnsi="Arial" w:cs="Arial"/>
                <w:sz w:val="12"/>
                <w:szCs w:val="12"/>
              </w:rPr>
            </w:pPr>
            <w:r w:rsidRPr="002D1DD7">
              <w:rPr>
                <w:rFonts w:ascii="Arial" w:hAnsi="Arial" w:cs="Arial"/>
                <w:sz w:val="12"/>
                <w:szCs w:val="12"/>
              </w:rPr>
              <w:t>AEs</w:t>
            </w:r>
          </w:p>
          <w:p w14:paraId="2BCA75BA" w14:textId="77777777" w:rsidR="002A7DD7" w:rsidRPr="002D1DD7" w:rsidRDefault="002A7DD7" w:rsidP="009A66EC">
            <w:pPr>
              <w:pStyle w:val="ListParagraph"/>
              <w:numPr>
                <w:ilvl w:val="0"/>
                <w:numId w:val="74"/>
              </w:numPr>
              <w:spacing w:before="0" w:after="0"/>
              <w:rPr>
                <w:rFonts w:ascii="Arial" w:hAnsi="Arial" w:cs="Arial"/>
                <w:sz w:val="12"/>
                <w:szCs w:val="12"/>
              </w:rPr>
            </w:pPr>
            <w:r w:rsidRPr="002D1DD7">
              <w:rPr>
                <w:rFonts w:ascii="Arial" w:hAnsi="Arial" w:cs="Arial"/>
                <w:sz w:val="12"/>
                <w:szCs w:val="12"/>
              </w:rPr>
              <w:t>Time-to-progression (48 months)</w:t>
            </w:r>
          </w:p>
          <w:p w14:paraId="11133B29" w14:textId="77777777" w:rsidR="002A7DD7" w:rsidRPr="002D1DD7" w:rsidRDefault="002A7DD7" w:rsidP="009A66EC">
            <w:pPr>
              <w:pStyle w:val="ListParagraph"/>
              <w:numPr>
                <w:ilvl w:val="0"/>
                <w:numId w:val="74"/>
              </w:numPr>
              <w:spacing w:before="0" w:after="0"/>
              <w:rPr>
                <w:rFonts w:ascii="Arial" w:hAnsi="Arial" w:cs="Arial"/>
                <w:sz w:val="12"/>
                <w:szCs w:val="12"/>
              </w:rPr>
            </w:pPr>
            <w:r w:rsidRPr="002D1DD7">
              <w:rPr>
                <w:rFonts w:ascii="Arial" w:hAnsi="Arial" w:cs="Arial"/>
                <w:sz w:val="12"/>
                <w:szCs w:val="12"/>
              </w:rPr>
              <w:t>PFS (38 months)</w:t>
            </w:r>
          </w:p>
          <w:p w14:paraId="29D15E86" w14:textId="77777777" w:rsidR="002A7DD7" w:rsidRPr="002D1DD7" w:rsidRDefault="002A7DD7" w:rsidP="009A66EC">
            <w:pPr>
              <w:pStyle w:val="ListParagraph"/>
              <w:numPr>
                <w:ilvl w:val="0"/>
                <w:numId w:val="74"/>
              </w:numPr>
              <w:spacing w:before="0" w:after="0"/>
              <w:rPr>
                <w:rFonts w:ascii="Arial" w:hAnsi="Arial" w:cs="Arial"/>
                <w:sz w:val="12"/>
                <w:szCs w:val="12"/>
              </w:rPr>
            </w:pPr>
            <w:r w:rsidRPr="002D1DD7">
              <w:rPr>
                <w:rFonts w:ascii="Arial" w:hAnsi="Arial" w:cs="Arial"/>
                <w:sz w:val="12"/>
                <w:szCs w:val="12"/>
              </w:rPr>
              <w:t>Response duration (48 months)</w:t>
            </w:r>
          </w:p>
        </w:tc>
        <w:tc>
          <w:tcPr>
            <w:tcW w:w="2213" w:type="dxa"/>
            <w:tcBorders>
              <w:top w:val="single" w:sz="12" w:space="0" w:color="auto"/>
              <w:bottom w:val="single" w:sz="12" w:space="0" w:color="auto"/>
            </w:tcBorders>
          </w:tcPr>
          <w:p w14:paraId="60241138" w14:textId="7D0A1169" w:rsidR="002A7DD7" w:rsidRPr="002D1DD7" w:rsidRDefault="00FE5598" w:rsidP="002A7DD7">
            <w:pPr>
              <w:rPr>
                <w:rFonts w:ascii="Arial" w:hAnsi="Arial" w:cs="Arial"/>
                <w:sz w:val="12"/>
                <w:szCs w:val="12"/>
              </w:rPr>
            </w:pPr>
            <w:r w:rsidRPr="002D1DD7">
              <w:rPr>
                <w:rFonts w:ascii="Arial" w:hAnsi="Arial" w:cs="Arial"/>
                <w:sz w:val="12"/>
                <w:szCs w:val="12"/>
              </w:rPr>
              <w:t xml:space="preserve">Design: </w:t>
            </w:r>
            <w:r w:rsidR="002A7DD7" w:rsidRPr="002D1DD7">
              <w:rPr>
                <w:rFonts w:ascii="Arial" w:hAnsi="Arial" w:cs="Arial"/>
                <w:sz w:val="12"/>
                <w:szCs w:val="12"/>
              </w:rPr>
              <w:t>Phase II</w:t>
            </w:r>
          </w:p>
          <w:p w14:paraId="696FA71C"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160 participants</w:t>
            </w:r>
          </w:p>
          <w:p w14:paraId="49858E0B" w14:textId="62F1212A"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FC3668" w:rsidRPr="002D1DD7">
              <w:rPr>
                <w:rFonts w:ascii="Arial" w:hAnsi="Arial" w:cs="Arial"/>
                <w:sz w:val="12"/>
                <w:szCs w:val="12"/>
              </w:rPr>
              <w:t>N</w:t>
            </w:r>
            <w:r w:rsidRPr="002D1DD7">
              <w:rPr>
                <w:rFonts w:ascii="Arial" w:hAnsi="Arial" w:cs="Arial"/>
                <w:sz w:val="12"/>
                <w:szCs w:val="12"/>
              </w:rPr>
              <w:t>on-</w:t>
            </w:r>
            <w:r w:rsidR="00FC3668" w:rsidRPr="002D1DD7">
              <w:rPr>
                <w:rFonts w:ascii="Arial" w:hAnsi="Arial" w:cs="Arial"/>
                <w:sz w:val="12"/>
                <w:szCs w:val="12"/>
              </w:rPr>
              <w:t>R</w:t>
            </w:r>
            <w:r w:rsidRPr="002D1DD7">
              <w:rPr>
                <w:rFonts w:ascii="Arial" w:hAnsi="Arial" w:cs="Arial"/>
                <w:sz w:val="12"/>
                <w:szCs w:val="12"/>
              </w:rPr>
              <w:t>andomi</w:t>
            </w:r>
            <w:r w:rsidR="00FC3668" w:rsidRPr="002D1DD7">
              <w:rPr>
                <w:rFonts w:ascii="Arial" w:hAnsi="Arial" w:cs="Arial"/>
                <w:sz w:val="12"/>
                <w:szCs w:val="12"/>
              </w:rPr>
              <w:t>s</w:t>
            </w:r>
            <w:r w:rsidRPr="002D1DD7">
              <w:rPr>
                <w:rFonts w:ascii="Arial" w:hAnsi="Arial" w:cs="Arial"/>
                <w:sz w:val="12"/>
                <w:szCs w:val="12"/>
              </w:rPr>
              <w:t>ed</w:t>
            </w:r>
          </w:p>
          <w:p w14:paraId="23A72054"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date: 19 October 2016</w:t>
            </w:r>
          </w:p>
          <w:p w14:paraId="5D8FF24F"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date: August 2020</w:t>
            </w:r>
          </w:p>
          <w:p w14:paraId="764F9896"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date: December 2020</w:t>
            </w:r>
          </w:p>
          <w:p w14:paraId="669DB52A" w14:textId="77777777" w:rsidR="002A7DD7" w:rsidRPr="002D1DD7" w:rsidRDefault="002A7DD7" w:rsidP="002A7DD7">
            <w:pPr>
              <w:rPr>
                <w:rFonts w:ascii="Arial" w:hAnsi="Arial" w:cs="Arial"/>
                <w:sz w:val="12"/>
                <w:szCs w:val="12"/>
              </w:rPr>
            </w:pPr>
          </w:p>
        </w:tc>
        <w:tc>
          <w:tcPr>
            <w:tcW w:w="2642" w:type="dxa"/>
            <w:tcBorders>
              <w:top w:val="single" w:sz="12" w:space="0" w:color="auto"/>
              <w:bottom w:val="single" w:sz="12" w:space="0" w:color="auto"/>
            </w:tcBorders>
          </w:tcPr>
          <w:p w14:paraId="4B3C0411"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Patients 16 years and older with histologically and/or cytologically confirmed cancer that advanced/metastatic/recurrent or unresectable and for which no curative therapy exists. The list includes: salivary carcinoma, carcinoma of unknown primary site with tumour infiltrating lymphocytes and/or expressing PD-L1, mucosal melanoma, acral melanoma, osteosarcoma, undifferentiated pleomotphic sarcoma, clear cell carcinoma of the ovary, squamous cell carcinoma of the anal canal.</w:t>
            </w:r>
          </w:p>
        </w:tc>
        <w:tc>
          <w:tcPr>
            <w:tcW w:w="2114" w:type="dxa"/>
            <w:tcBorders>
              <w:top w:val="single" w:sz="12" w:space="0" w:color="auto"/>
              <w:bottom w:val="single" w:sz="12" w:space="0" w:color="auto"/>
              <w:right w:val="single" w:sz="12" w:space="0" w:color="auto"/>
            </w:tcBorders>
          </w:tcPr>
          <w:p w14:paraId="5874EB06" w14:textId="77777777" w:rsidR="002A7DD7" w:rsidRPr="002D1DD7" w:rsidRDefault="002A7DD7" w:rsidP="002A7DD7">
            <w:pPr>
              <w:shd w:val="clear" w:color="auto" w:fill="FFFFFF"/>
              <w:spacing w:before="84" w:after="60"/>
              <w:rPr>
                <w:rFonts w:ascii="Arial" w:eastAsia="Times New Roman" w:hAnsi="Arial" w:cs="Arial"/>
                <w:color w:val="000000"/>
                <w:sz w:val="12"/>
                <w:szCs w:val="12"/>
                <w:lang w:eastAsia="en-GB"/>
              </w:rPr>
            </w:pPr>
            <w:r w:rsidRPr="002D1DD7">
              <w:rPr>
                <w:rFonts w:ascii="Arial" w:eastAsia="Times New Roman" w:hAnsi="Arial" w:cs="Arial"/>
                <w:color w:val="000000"/>
                <w:sz w:val="12"/>
                <w:szCs w:val="12"/>
                <w:lang w:eastAsia="en-GB"/>
              </w:rPr>
              <w:t>Not given</w:t>
            </w:r>
          </w:p>
        </w:tc>
      </w:tr>
      <w:tr w:rsidR="002A7DD7" w:rsidRPr="002D1DD7" w14:paraId="23594F23" w14:textId="77777777" w:rsidTr="009126F0">
        <w:trPr>
          <w:trHeight w:val="1079"/>
        </w:trPr>
        <w:tc>
          <w:tcPr>
            <w:tcW w:w="1103" w:type="dxa"/>
            <w:tcBorders>
              <w:top w:val="single" w:sz="12" w:space="0" w:color="auto"/>
              <w:left w:val="single" w:sz="12" w:space="0" w:color="auto"/>
              <w:bottom w:val="single" w:sz="12" w:space="0" w:color="auto"/>
            </w:tcBorders>
          </w:tcPr>
          <w:p w14:paraId="51B74E56" w14:textId="77777777" w:rsidR="002A7DD7" w:rsidRPr="002D1DD7" w:rsidRDefault="002A7DD7" w:rsidP="002A7DD7">
            <w:pPr>
              <w:rPr>
                <w:rFonts w:ascii="Arial" w:hAnsi="Arial" w:cs="Arial"/>
                <w:b/>
                <w:color w:val="222222"/>
                <w:sz w:val="12"/>
                <w:szCs w:val="12"/>
                <w:shd w:val="clear" w:color="auto" w:fill="FFFFFF"/>
              </w:rPr>
            </w:pPr>
            <w:r w:rsidRPr="002D1DD7">
              <w:rPr>
                <w:rFonts w:ascii="Arial" w:hAnsi="Arial" w:cs="Arial"/>
                <w:b/>
                <w:color w:val="222222"/>
                <w:sz w:val="12"/>
                <w:szCs w:val="12"/>
                <w:shd w:val="clear" w:color="auto" w:fill="FFFFFF"/>
              </w:rPr>
              <w:t>BLU-667</w:t>
            </w:r>
          </w:p>
        </w:tc>
        <w:tc>
          <w:tcPr>
            <w:tcW w:w="1497" w:type="dxa"/>
            <w:tcBorders>
              <w:top w:val="single" w:sz="8" w:space="0" w:color="auto"/>
              <w:bottom w:val="single" w:sz="12" w:space="0" w:color="auto"/>
            </w:tcBorders>
          </w:tcPr>
          <w:p w14:paraId="0045218C" w14:textId="77777777" w:rsidR="002A7DD7" w:rsidRPr="002D1DD7" w:rsidRDefault="002A7DD7" w:rsidP="002A7DD7">
            <w:pPr>
              <w:rPr>
                <w:rFonts w:ascii="Arial" w:hAnsi="Arial" w:cs="Arial"/>
                <w:color w:val="222222"/>
                <w:spacing w:val="3"/>
                <w:sz w:val="12"/>
                <w:szCs w:val="12"/>
                <w:shd w:val="clear" w:color="auto" w:fill="FFFFFF"/>
              </w:rPr>
            </w:pPr>
            <w:r w:rsidRPr="002D1DD7">
              <w:rPr>
                <w:rFonts w:ascii="Arial" w:hAnsi="Arial" w:cs="Arial"/>
                <w:color w:val="222222"/>
                <w:spacing w:val="3"/>
                <w:sz w:val="12"/>
                <w:szCs w:val="12"/>
                <w:shd w:val="clear" w:color="auto" w:fill="FFFFFF"/>
              </w:rPr>
              <w:t>Solid tumours</w:t>
            </w:r>
          </w:p>
        </w:tc>
        <w:tc>
          <w:tcPr>
            <w:tcW w:w="1717" w:type="dxa"/>
            <w:tcBorders>
              <w:top w:val="single" w:sz="12" w:space="0" w:color="auto"/>
              <w:bottom w:val="single" w:sz="12" w:space="0" w:color="auto"/>
            </w:tcBorders>
          </w:tcPr>
          <w:p w14:paraId="7724A55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NCT03037385</w:t>
            </w:r>
          </w:p>
          <w:p w14:paraId="53E7DE43" w14:textId="77777777" w:rsidR="002A7DD7" w:rsidRPr="002D1DD7" w:rsidRDefault="002A7DD7" w:rsidP="002A7DD7">
            <w:pPr>
              <w:rPr>
                <w:rFonts w:ascii="Arial" w:hAnsi="Arial" w:cs="Arial"/>
                <w:sz w:val="12"/>
                <w:szCs w:val="12"/>
              </w:rPr>
            </w:pPr>
            <w:r w:rsidRPr="002D1DD7">
              <w:rPr>
                <w:rFonts w:ascii="Arial" w:hAnsi="Arial" w:cs="Arial"/>
                <w:color w:val="000000"/>
                <w:sz w:val="12"/>
                <w:szCs w:val="12"/>
                <w:shd w:val="clear" w:color="auto" w:fill="FFFFFF"/>
              </w:rPr>
              <w:t>(EudraCT Number 2016-004390-41)</w:t>
            </w:r>
          </w:p>
        </w:tc>
        <w:tc>
          <w:tcPr>
            <w:tcW w:w="2166" w:type="dxa"/>
            <w:tcBorders>
              <w:top w:val="single" w:sz="12" w:space="0" w:color="auto"/>
              <w:bottom w:val="single" w:sz="12" w:space="0" w:color="auto"/>
            </w:tcBorders>
          </w:tcPr>
          <w:p w14:paraId="01468889"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 xml:space="preserve">: </w:t>
            </w:r>
          </w:p>
          <w:p w14:paraId="09F09B3B" w14:textId="77777777" w:rsidR="002A7DD7" w:rsidRPr="002D1DD7" w:rsidRDefault="002A7DD7" w:rsidP="009A66EC">
            <w:pPr>
              <w:pStyle w:val="ListParagraph"/>
              <w:numPr>
                <w:ilvl w:val="0"/>
                <w:numId w:val="75"/>
              </w:numPr>
              <w:spacing w:before="0" w:after="0"/>
              <w:rPr>
                <w:rFonts w:ascii="Arial" w:hAnsi="Arial" w:cs="Arial"/>
                <w:sz w:val="12"/>
                <w:szCs w:val="12"/>
              </w:rPr>
            </w:pPr>
            <w:r w:rsidRPr="002D1DD7">
              <w:rPr>
                <w:rFonts w:ascii="Arial" w:hAnsi="Arial" w:cs="Arial"/>
                <w:sz w:val="12"/>
                <w:szCs w:val="12"/>
              </w:rPr>
              <w:t>Tolerability (12 months)</w:t>
            </w:r>
          </w:p>
          <w:p w14:paraId="6E7FE765" w14:textId="77777777" w:rsidR="002A7DD7" w:rsidRPr="002D1DD7" w:rsidRDefault="002A7DD7" w:rsidP="009A66EC">
            <w:pPr>
              <w:pStyle w:val="ListParagraph"/>
              <w:numPr>
                <w:ilvl w:val="0"/>
                <w:numId w:val="75"/>
              </w:numPr>
              <w:spacing w:before="0" w:after="0"/>
              <w:rPr>
                <w:rFonts w:ascii="Arial" w:hAnsi="Arial" w:cs="Arial"/>
                <w:sz w:val="12"/>
                <w:szCs w:val="12"/>
              </w:rPr>
            </w:pPr>
            <w:r w:rsidRPr="002D1DD7">
              <w:rPr>
                <w:rFonts w:ascii="Arial" w:hAnsi="Arial" w:cs="Arial"/>
                <w:sz w:val="12"/>
                <w:szCs w:val="12"/>
              </w:rPr>
              <w:t>Safety (24 months)</w:t>
            </w:r>
          </w:p>
          <w:p w14:paraId="3BDD058A" w14:textId="77777777" w:rsidR="002A7DD7" w:rsidRPr="002D1DD7" w:rsidRDefault="002A7DD7" w:rsidP="009A66EC">
            <w:pPr>
              <w:pStyle w:val="ListParagraph"/>
              <w:numPr>
                <w:ilvl w:val="0"/>
                <w:numId w:val="75"/>
              </w:numPr>
              <w:spacing w:before="0" w:after="0"/>
              <w:rPr>
                <w:rFonts w:ascii="Arial" w:hAnsi="Arial" w:cs="Arial"/>
                <w:sz w:val="12"/>
                <w:szCs w:val="12"/>
              </w:rPr>
            </w:pPr>
            <w:r w:rsidRPr="002D1DD7">
              <w:rPr>
                <w:rFonts w:ascii="Arial" w:hAnsi="Arial" w:cs="Arial"/>
                <w:sz w:val="12"/>
                <w:szCs w:val="12"/>
              </w:rPr>
              <w:t>ORR (up to 2 years)</w:t>
            </w:r>
          </w:p>
          <w:p w14:paraId="292A5A52" w14:textId="77777777" w:rsidR="002A7DD7" w:rsidRPr="002D1DD7" w:rsidRDefault="002A7DD7" w:rsidP="002A7DD7">
            <w:pPr>
              <w:rPr>
                <w:rFonts w:ascii="Arial" w:hAnsi="Arial" w:cs="Arial"/>
                <w:b/>
                <w:sz w:val="12"/>
                <w:szCs w:val="12"/>
              </w:rPr>
            </w:pPr>
          </w:p>
          <w:p w14:paraId="58D7D7CD"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p>
          <w:p w14:paraId="6B7EAF68" w14:textId="77777777" w:rsidR="002A7DD7" w:rsidRPr="002D1DD7" w:rsidRDefault="002A7DD7" w:rsidP="009A66EC">
            <w:pPr>
              <w:pStyle w:val="ListParagraph"/>
              <w:numPr>
                <w:ilvl w:val="0"/>
                <w:numId w:val="76"/>
              </w:numPr>
              <w:spacing w:before="0" w:after="0"/>
              <w:rPr>
                <w:rFonts w:ascii="Arial" w:hAnsi="Arial" w:cs="Arial"/>
                <w:b/>
                <w:sz w:val="12"/>
                <w:szCs w:val="12"/>
                <w:shd w:val="clear" w:color="auto" w:fill="FFFFFF"/>
              </w:rPr>
            </w:pPr>
            <w:r w:rsidRPr="002D1DD7">
              <w:rPr>
                <w:rFonts w:ascii="Arial" w:hAnsi="Arial" w:cs="Arial"/>
                <w:sz w:val="12"/>
                <w:szCs w:val="12"/>
              </w:rPr>
              <w:t>DOR, PFS, OS (up to 2 years)</w:t>
            </w:r>
          </w:p>
          <w:p w14:paraId="761C241C" w14:textId="77777777" w:rsidR="002A7DD7" w:rsidRPr="002D1DD7" w:rsidRDefault="002A7DD7" w:rsidP="009A66EC">
            <w:pPr>
              <w:pStyle w:val="ListParagraph"/>
              <w:numPr>
                <w:ilvl w:val="0"/>
                <w:numId w:val="76"/>
              </w:numPr>
              <w:spacing w:before="0" w:after="0"/>
              <w:rPr>
                <w:rFonts w:ascii="Arial" w:hAnsi="Arial" w:cs="Arial"/>
                <w:b/>
                <w:sz w:val="12"/>
                <w:szCs w:val="12"/>
                <w:shd w:val="clear" w:color="auto" w:fill="FFFFFF"/>
              </w:rPr>
            </w:pPr>
            <w:r w:rsidRPr="002D1DD7">
              <w:rPr>
                <w:rFonts w:ascii="Arial" w:hAnsi="Arial" w:cs="Arial"/>
                <w:sz w:val="12"/>
                <w:szCs w:val="12"/>
              </w:rPr>
              <w:t>RET gene status and correlation between RET gene status and ORR, DOR and DCR (up to 2 years)</w:t>
            </w:r>
          </w:p>
          <w:p w14:paraId="30A245C7" w14:textId="77777777" w:rsidR="002A7DD7" w:rsidRPr="002D1DD7" w:rsidRDefault="002A7DD7" w:rsidP="009A66EC">
            <w:pPr>
              <w:pStyle w:val="ListParagraph"/>
              <w:numPr>
                <w:ilvl w:val="0"/>
                <w:numId w:val="76"/>
              </w:numPr>
              <w:spacing w:before="0" w:after="0"/>
              <w:rPr>
                <w:rFonts w:ascii="Arial" w:hAnsi="Arial" w:cs="Arial"/>
                <w:b/>
                <w:sz w:val="12"/>
                <w:szCs w:val="12"/>
                <w:shd w:val="clear" w:color="auto" w:fill="FFFFFF"/>
              </w:rPr>
            </w:pPr>
            <w:r w:rsidRPr="002D1DD7">
              <w:rPr>
                <w:rFonts w:ascii="Arial" w:hAnsi="Arial" w:cs="Arial"/>
                <w:sz w:val="12"/>
                <w:szCs w:val="12"/>
              </w:rPr>
              <w:t>Pharmacokinetics (4 months)</w:t>
            </w:r>
          </w:p>
          <w:p w14:paraId="5C5BA3A8" w14:textId="77777777" w:rsidR="002A7DD7" w:rsidRPr="002D1DD7" w:rsidRDefault="002A7DD7" w:rsidP="009A66EC">
            <w:pPr>
              <w:pStyle w:val="ListParagraph"/>
              <w:numPr>
                <w:ilvl w:val="0"/>
                <w:numId w:val="76"/>
              </w:numPr>
              <w:spacing w:before="0" w:after="0"/>
              <w:rPr>
                <w:rFonts w:ascii="Arial" w:hAnsi="Arial" w:cs="Arial"/>
                <w:b/>
                <w:sz w:val="12"/>
                <w:szCs w:val="12"/>
                <w:shd w:val="clear" w:color="auto" w:fill="FFFFFF"/>
              </w:rPr>
            </w:pPr>
            <w:r w:rsidRPr="002D1DD7">
              <w:rPr>
                <w:rFonts w:ascii="Arial" w:hAnsi="Arial" w:cs="Arial"/>
                <w:sz w:val="12"/>
                <w:szCs w:val="12"/>
              </w:rPr>
              <w:t>Pharmacodynamics (12 months)</w:t>
            </w:r>
          </w:p>
        </w:tc>
        <w:tc>
          <w:tcPr>
            <w:tcW w:w="2213" w:type="dxa"/>
            <w:tcBorders>
              <w:top w:val="single" w:sz="12" w:space="0" w:color="auto"/>
              <w:bottom w:val="single" w:sz="12" w:space="0" w:color="auto"/>
            </w:tcBorders>
          </w:tcPr>
          <w:p w14:paraId="42A23EFF" w14:textId="6A6AE504" w:rsidR="002A7DD7" w:rsidRPr="002D1DD7" w:rsidRDefault="002A7DD7" w:rsidP="002A7DD7">
            <w:pPr>
              <w:rPr>
                <w:rFonts w:ascii="Arial" w:hAnsi="Arial" w:cs="Arial"/>
                <w:sz w:val="12"/>
                <w:szCs w:val="12"/>
              </w:rPr>
            </w:pPr>
            <w:r w:rsidRPr="002D1DD7">
              <w:rPr>
                <w:rFonts w:ascii="Arial" w:hAnsi="Arial" w:cs="Arial"/>
                <w:sz w:val="12"/>
                <w:szCs w:val="12"/>
              </w:rPr>
              <w:t>Design: Phase I</w:t>
            </w:r>
            <w:r w:rsidR="000A06F7" w:rsidRPr="002D1DD7">
              <w:rPr>
                <w:rFonts w:ascii="Arial" w:hAnsi="Arial" w:cs="Arial"/>
                <w:sz w:val="12"/>
                <w:szCs w:val="12"/>
              </w:rPr>
              <w:t>/II</w:t>
            </w:r>
            <w:r w:rsidRPr="002D1DD7">
              <w:rPr>
                <w:rFonts w:ascii="Arial" w:hAnsi="Arial" w:cs="Arial"/>
                <w:sz w:val="12"/>
                <w:szCs w:val="12"/>
              </w:rPr>
              <w:t xml:space="preserve"> </w:t>
            </w:r>
            <w:r w:rsidR="009C3A69" w:rsidRPr="002D1DD7">
              <w:rPr>
                <w:rFonts w:ascii="Arial" w:hAnsi="Arial" w:cs="Arial"/>
                <w:sz w:val="12"/>
                <w:szCs w:val="12"/>
              </w:rPr>
              <w:t>(separate cohorts specified)</w:t>
            </w:r>
          </w:p>
          <w:p w14:paraId="655783B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n=360</w:t>
            </w:r>
          </w:p>
          <w:p w14:paraId="447A294B" w14:textId="4782C9FF"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0A06F7" w:rsidRPr="002D1DD7">
              <w:rPr>
                <w:rFonts w:ascii="Arial" w:hAnsi="Arial" w:cs="Arial"/>
                <w:sz w:val="12"/>
                <w:szCs w:val="12"/>
              </w:rPr>
              <w:t>Non-Randomised</w:t>
            </w:r>
          </w:p>
          <w:p w14:paraId="1D8EEC0E"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15 December 2015</w:t>
            </w:r>
          </w:p>
          <w:p w14:paraId="0F028558"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28  August 2023</w:t>
            </w:r>
          </w:p>
          <w:p w14:paraId="6EC2338B"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28 August 2023</w:t>
            </w:r>
          </w:p>
        </w:tc>
        <w:tc>
          <w:tcPr>
            <w:tcW w:w="2642" w:type="dxa"/>
            <w:tcBorders>
              <w:top w:val="single" w:sz="12" w:space="0" w:color="auto"/>
              <w:bottom w:val="single" w:sz="12" w:space="0" w:color="auto"/>
            </w:tcBorders>
          </w:tcPr>
          <w:p w14:paraId="2B404CA4"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Enrolling patients with medullary thyroid cancer, RET-altered NSCLC and other RET-altered solid tumours</w:t>
            </w:r>
          </w:p>
        </w:tc>
        <w:tc>
          <w:tcPr>
            <w:tcW w:w="2114" w:type="dxa"/>
            <w:tcBorders>
              <w:top w:val="single" w:sz="12" w:space="0" w:color="auto"/>
              <w:bottom w:val="single" w:sz="12" w:space="0" w:color="auto"/>
              <w:right w:val="single" w:sz="12" w:space="0" w:color="auto"/>
            </w:tcBorders>
          </w:tcPr>
          <w:p w14:paraId="5CC8EDD8" w14:textId="77777777" w:rsidR="002A7DD7" w:rsidRPr="002D1DD7" w:rsidRDefault="002A7DD7" w:rsidP="002A7DD7">
            <w:pPr>
              <w:shd w:val="clear" w:color="auto" w:fill="FFFFFF"/>
              <w:spacing w:before="84" w:after="60"/>
              <w:rPr>
                <w:rFonts w:ascii="Helvetica" w:hAnsi="Helvetica" w:cs="Helvetica"/>
                <w:color w:val="000000"/>
                <w:sz w:val="12"/>
                <w:szCs w:val="12"/>
                <w:shd w:val="clear" w:color="auto" w:fill="FFFFFF"/>
              </w:rPr>
            </w:pPr>
            <w:r w:rsidRPr="002D1DD7">
              <w:rPr>
                <w:rFonts w:ascii="Helvetica" w:hAnsi="Helvetica" w:cs="Helvetica"/>
                <w:color w:val="000000"/>
                <w:sz w:val="12"/>
                <w:szCs w:val="12"/>
                <w:shd w:val="clear" w:color="auto" w:fill="FFFFFF"/>
              </w:rPr>
              <w:t>Not given</w:t>
            </w:r>
          </w:p>
        </w:tc>
      </w:tr>
      <w:tr w:rsidR="002A7DD7" w:rsidRPr="002D1DD7" w14:paraId="389B57A4" w14:textId="77777777" w:rsidTr="009126F0">
        <w:trPr>
          <w:trHeight w:val="1079"/>
        </w:trPr>
        <w:tc>
          <w:tcPr>
            <w:tcW w:w="1103" w:type="dxa"/>
            <w:tcBorders>
              <w:top w:val="single" w:sz="12" w:space="0" w:color="auto"/>
              <w:left w:val="single" w:sz="12" w:space="0" w:color="auto"/>
              <w:bottom w:val="single" w:sz="12" w:space="0" w:color="auto"/>
            </w:tcBorders>
          </w:tcPr>
          <w:p w14:paraId="343DB91F" w14:textId="77777777" w:rsidR="002A7DD7" w:rsidRPr="002D1DD7" w:rsidRDefault="002A7DD7" w:rsidP="002A7DD7">
            <w:pPr>
              <w:rPr>
                <w:rFonts w:ascii="Arial" w:hAnsi="Arial" w:cs="Arial"/>
                <w:b/>
                <w:color w:val="222222"/>
                <w:sz w:val="12"/>
                <w:szCs w:val="12"/>
                <w:shd w:val="clear" w:color="auto" w:fill="FFFFFF"/>
              </w:rPr>
            </w:pPr>
            <w:r w:rsidRPr="002D1DD7">
              <w:rPr>
                <w:rFonts w:ascii="Arial" w:hAnsi="Arial" w:cs="Arial"/>
                <w:b/>
                <w:color w:val="222222"/>
                <w:sz w:val="12"/>
                <w:szCs w:val="12"/>
                <w:shd w:val="clear" w:color="auto" w:fill="FFFFFF"/>
              </w:rPr>
              <w:t>Atezolizumab</w:t>
            </w:r>
          </w:p>
        </w:tc>
        <w:tc>
          <w:tcPr>
            <w:tcW w:w="1497" w:type="dxa"/>
            <w:tcBorders>
              <w:top w:val="single" w:sz="12" w:space="0" w:color="auto"/>
              <w:bottom w:val="single" w:sz="12" w:space="0" w:color="auto"/>
            </w:tcBorders>
          </w:tcPr>
          <w:p w14:paraId="3EF3B813" w14:textId="77777777" w:rsidR="002A7DD7" w:rsidRPr="002D1DD7" w:rsidRDefault="002A7DD7" w:rsidP="002A7DD7">
            <w:pPr>
              <w:rPr>
                <w:rFonts w:ascii="Arial" w:hAnsi="Arial" w:cs="Arial"/>
                <w:color w:val="222222"/>
                <w:spacing w:val="3"/>
                <w:sz w:val="12"/>
                <w:szCs w:val="12"/>
                <w:shd w:val="clear" w:color="auto" w:fill="FFFFFF"/>
              </w:rPr>
            </w:pPr>
            <w:r w:rsidRPr="002D1DD7">
              <w:rPr>
                <w:rFonts w:ascii="Arial" w:hAnsi="Arial" w:cs="Arial"/>
                <w:color w:val="222222"/>
                <w:spacing w:val="3"/>
                <w:sz w:val="12"/>
                <w:szCs w:val="12"/>
                <w:shd w:val="clear" w:color="auto" w:fill="FFFFFF"/>
              </w:rPr>
              <w:t>Solid tumours</w:t>
            </w:r>
          </w:p>
        </w:tc>
        <w:tc>
          <w:tcPr>
            <w:tcW w:w="1717" w:type="dxa"/>
            <w:tcBorders>
              <w:top w:val="single" w:sz="12" w:space="0" w:color="auto"/>
              <w:bottom w:val="single" w:sz="12" w:space="0" w:color="auto"/>
            </w:tcBorders>
          </w:tcPr>
          <w:p w14:paraId="26E97444"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NCT02458638</w:t>
            </w:r>
          </w:p>
        </w:tc>
        <w:tc>
          <w:tcPr>
            <w:tcW w:w="2166" w:type="dxa"/>
            <w:tcBorders>
              <w:top w:val="single" w:sz="12" w:space="0" w:color="auto"/>
              <w:bottom w:val="single" w:sz="12" w:space="0" w:color="auto"/>
            </w:tcBorders>
          </w:tcPr>
          <w:p w14:paraId="651E137E" w14:textId="77777777" w:rsidR="002A7DD7" w:rsidRPr="002D1DD7" w:rsidRDefault="002A7DD7" w:rsidP="002A7DD7">
            <w:pPr>
              <w:rPr>
                <w:rFonts w:ascii="Arial" w:hAnsi="Arial" w:cs="Arial"/>
                <w:b/>
                <w:sz w:val="12"/>
                <w:szCs w:val="12"/>
              </w:rPr>
            </w:pPr>
            <w:r w:rsidRPr="002D1DD7">
              <w:rPr>
                <w:rFonts w:ascii="Arial" w:hAnsi="Arial" w:cs="Arial"/>
                <w:b/>
                <w:sz w:val="12"/>
                <w:szCs w:val="12"/>
              </w:rPr>
              <w:t>Primary:</w:t>
            </w:r>
          </w:p>
          <w:p w14:paraId="4DDEAADB" w14:textId="77777777" w:rsidR="002A7DD7" w:rsidRPr="002D1DD7" w:rsidRDefault="002A7DD7" w:rsidP="009A66EC">
            <w:pPr>
              <w:pStyle w:val="ListParagraph"/>
              <w:numPr>
                <w:ilvl w:val="0"/>
                <w:numId w:val="77"/>
              </w:numPr>
              <w:spacing w:before="0" w:after="0"/>
              <w:rPr>
                <w:rFonts w:ascii="Arial" w:hAnsi="Arial" w:cs="Arial"/>
                <w:b/>
                <w:sz w:val="12"/>
                <w:szCs w:val="12"/>
              </w:rPr>
            </w:pPr>
            <w:r w:rsidRPr="002D1DD7">
              <w:rPr>
                <w:rFonts w:ascii="Arial" w:hAnsi="Arial" w:cs="Arial"/>
                <w:color w:val="000000"/>
                <w:sz w:val="12"/>
                <w:szCs w:val="12"/>
                <w:shd w:val="clear" w:color="auto" w:fill="FFFFFF"/>
              </w:rPr>
              <w:t>NPR (18 weeks)</w:t>
            </w:r>
          </w:p>
          <w:p w14:paraId="724D647A" w14:textId="77777777" w:rsidR="002A7DD7" w:rsidRPr="002D1DD7" w:rsidRDefault="002A7DD7" w:rsidP="002A7DD7">
            <w:pPr>
              <w:rPr>
                <w:rFonts w:ascii="Arial" w:hAnsi="Arial" w:cs="Arial"/>
                <w:b/>
                <w:sz w:val="12"/>
                <w:szCs w:val="12"/>
              </w:rPr>
            </w:pPr>
          </w:p>
          <w:p w14:paraId="1E14A31E"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p>
          <w:p w14:paraId="18C2870C"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NPR (24 weeks)</w:t>
            </w:r>
          </w:p>
          <w:p w14:paraId="79C3A655"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ORR (24 weeks)</w:t>
            </w:r>
          </w:p>
          <w:p w14:paraId="61D0F5F3"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BOR (24 weeks)</w:t>
            </w:r>
          </w:p>
          <w:p w14:paraId="28785AD9"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DoR (24 weeks)</w:t>
            </w:r>
          </w:p>
          <w:p w14:paraId="2C41FC11"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PFS (24 weeks)</w:t>
            </w:r>
          </w:p>
          <w:p w14:paraId="7A6FEBB8"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TTP (24 weeks)</w:t>
            </w:r>
          </w:p>
          <w:p w14:paraId="32B2DFFD"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OS (24 weeks)</w:t>
            </w:r>
          </w:p>
          <w:p w14:paraId="1347C75A" w14:textId="77777777" w:rsidR="002A7DD7" w:rsidRPr="002D1DD7" w:rsidRDefault="002A7DD7" w:rsidP="009A66EC">
            <w:pPr>
              <w:pStyle w:val="ListParagraph"/>
              <w:numPr>
                <w:ilvl w:val="0"/>
                <w:numId w:val="78"/>
              </w:numPr>
              <w:spacing w:before="0" w:after="0"/>
              <w:rPr>
                <w:rFonts w:ascii="Arial" w:hAnsi="Arial" w:cs="Arial"/>
                <w:sz w:val="12"/>
                <w:szCs w:val="12"/>
              </w:rPr>
            </w:pPr>
            <w:r w:rsidRPr="002D1DD7">
              <w:rPr>
                <w:rFonts w:ascii="Arial" w:hAnsi="Arial" w:cs="Arial"/>
                <w:sz w:val="12"/>
                <w:szCs w:val="12"/>
              </w:rPr>
              <w:t>Safety (24 weeks)</w:t>
            </w:r>
          </w:p>
        </w:tc>
        <w:tc>
          <w:tcPr>
            <w:tcW w:w="2213" w:type="dxa"/>
            <w:tcBorders>
              <w:top w:val="single" w:sz="12" w:space="0" w:color="auto"/>
              <w:bottom w:val="single" w:sz="12" w:space="0" w:color="auto"/>
            </w:tcBorders>
          </w:tcPr>
          <w:p w14:paraId="43B78463" w14:textId="7E266432"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 </w:t>
            </w:r>
          </w:p>
          <w:p w14:paraId="725EA8BF"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n=477</w:t>
            </w:r>
          </w:p>
          <w:p w14:paraId="06760C03" w14:textId="393382BD"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0A06F7" w:rsidRPr="002D1DD7">
              <w:rPr>
                <w:rFonts w:ascii="Arial" w:hAnsi="Arial" w:cs="Arial"/>
                <w:sz w:val="12"/>
                <w:szCs w:val="12"/>
              </w:rPr>
              <w:t>Non-Randomised</w:t>
            </w:r>
          </w:p>
          <w:p w14:paraId="79B7723A"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15 December 2015</w:t>
            </w:r>
          </w:p>
          <w:p w14:paraId="0DA6228B"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14  April 2018</w:t>
            </w:r>
          </w:p>
          <w:p w14:paraId="3987F18F"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13  December 2019</w:t>
            </w:r>
          </w:p>
        </w:tc>
        <w:tc>
          <w:tcPr>
            <w:tcW w:w="2642" w:type="dxa"/>
            <w:tcBorders>
              <w:top w:val="single" w:sz="12" w:space="0" w:color="auto"/>
              <w:bottom w:val="single" w:sz="12" w:space="0" w:color="auto"/>
            </w:tcBorders>
          </w:tcPr>
          <w:p w14:paraId="2F4AC43B"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 xml:space="preserve">Enrolling adults patients with advanced solid tumours who have received at least one line of prior systemic therapy or for which no alternative therapy to prolong survival exists. </w:t>
            </w:r>
          </w:p>
        </w:tc>
        <w:tc>
          <w:tcPr>
            <w:tcW w:w="2114" w:type="dxa"/>
            <w:tcBorders>
              <w:top w:val="single" w:sz="12" w:space="0" w:color="auto"/>
              <w:bottom w:val="single" w:sz="12" w:space="0" w:color="auto"/>
              <w:right w:val="single" w:sz="12" w:space="0" w:color="auto"/>
            </w:tcBorders>
          </w:tcPr>
          <w:p w14:paraId="6256D7A2" w14:textId="77777777" w:rsidR="002A7DD7" w:rsidRPr="002D1DD7" w:rsidRDefault="002A7DD7" w:rsidP="002A7DD7">
            <w:pPr>
              <w:shd w:val="clear" w:color="auto" w:fill="FFFFFF"/>
              <w:spacing w:before="84" w:after="60"/>
              <w:rPr>
                <w:rFonts w:ascii="Helvetica" w:hAnsi="Helvetica" w:cs="Helvetica"/>
                <w:color w:val="000000"/>
                <w:sz w:val="12"/>
                <w:szCs w:val="12"/>
                <w:shd w:val="clear" w:color="auto" w:fill="FFFFFF"/>
              </w:rPr>
            </w:pPr>
            <w:r w:rsidRPr="002D1DD7">
              <w:rPr>
                <w:rFonts w:ascii="Helvetica" w:hAnsi="Helvetica" w:cs="Helvetica"/>
                <w:color w:val="000000"/>
                <w:sz w:val="12"/>
                <w:szCs w:val="12"/>
                <w:shd w:val="clear" w:color="auto" w:fill="FFFFFF"/>
              </w:rPr>
              <w:t>N/A</w:t>
            </w:r>
          </w:p>
        </w:tc>
      </w:tr>
      <w:tr w:rsidR="002A7DD7" w:rsidRPr="002D1DD7" w14:paraId="47632DD0" w14:textId="77777777" w:rsidTr="009126F0">
        <w:trPr>
          <w:trHeight w:val="1079"/>
        </w:trPr>
        <w:tc>
          <w:tcPr>
            <w:tcW w:w="1103" w:type="dxa"/>
            <w:tcBorders>
              <w:top w:val="single" w:sz="12" w:space="0" w:color="auto"/>
              <w:left w:val="single" w:sz="12" w:space="0" w:color="auto"/>
              <w:bottom w:val="single" w:sz="12" w:space="0" w:color="auto"/>
            </w:tcBorders>
          </w:tcPr>
          <w:p w14:paraId="3A7DF6BC" w14:textId="77777777" w:rsidR="002A7DD7" w:rsidRPr="002D1DD7" w:rsidRDefault="002A7DD7" w:rsidP="002A7DD7">
            <w:pPr>
              <w:rPr>
                <w:rFonts w:ascii="Arial" w:hAnsi="Arial" w:cs="Arial"/>
                <w:b/>
                <w:color w:val="222222"/>
                <w:sz w:val="12"/>
                <w:szCs w:val="12"/>
                <w:shd w:val="clear" w:color="auto" w:fill="FFFFFF"/>
              </w:rPr>
            </w:pPr>
            <w:r w:rsidRPr="002D1DD7">
              <w:rPr>
                <w:rFonts w:ascii="Arial" w:hAnsi="Arial" w:cs="Arial"/>
                <w:b/>
                <w:color w:val="222222"/>
                <w:sz w:val="12"/>
                <w:szCs w:val="12"/>
                <w:shd w:val="clear" w:color="auto" w:fill="FFFFFF"/>
              </w:rPr>
              <w:t>Cobimetinib</w:t>
            </w:r>
          </w:p>
        </w:tc>
        <w:tc>
          <w:tcPr>
            <w:tcW w:w="1497" w:type="dxa"/>
            <w:tcBorders>
              <w:top w:val="single" w:sz="12" w:space="0" w:color="auto"/>
              <w:bottom w:val="single" w:sz="8" w:space="0" w:color="auto"/>
            </w:tcBorders>
          </w:tcPr>
          <w:p w14:paraId="0D6F6111" w14:textId="77777777" w:rsidR="002A7DD7" w:rsidRPr="002D1DD7" w:rsidRDefault="002A7DD7" w:rsidP="002A7DD7">
            <w:pPr>
              <w:rPr>
                <w:rFonts w:ascii="Arial" w:hAnsi="Arial" w:cs="Arial"/>
                <w:color w:val="222222"/>
                <w:spacing w:val="3"/>
                <w:sz w:val="12"/>
                <w:szCs w:val="12"/>
                <w:shd w:val="clear" w:color="auto" w:fill="FFFFFF"/>
              </w:rPr>
            </w:pPr>
            <w:r w:rsidRPr="002D1DD7">
              <w:rPr>
                <w:rFonts w:ascii="Arial" w:hAnsi="Arial" w:cs="Arial"/>
                <w:color w:val="222222"/>
                <w:spacing w:val="3"/>
                <w:sz w:val="12"/>
                <w:szCs w:val="12"/>
                <w:shd w:val="clear" w:color="auto" w:fill="FFFFFF"/>
              </w:rPr>
              <w:t>Solid tumours</w:t>
            </w:r>
          </w:p>
        </w:tc>
        <w:tc>
          <w:tcPr>
            <w:tcW w:w="1717" w:type="dxa"/>
            <w:tcBorders>
              <w:top w:val="single" w:sz="12" w:space="0" w:color="auto"/>
              <w:bottom w:val="single" w:sz="12" w:space="0" w:color="auto"/>
            </w:tcBorders>
          </w:tcPr>
          <w:p w14:paraId="04EB89B1"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NCT02639546</w:t>
            </w:r>
          </w:p>
        </w:tc>
        <w:tc>
          <w:tcPr>
            <w:tcW w:w="2166" w:type="dxa"/>
            <w:tcBorders>
              <w:top w:val="single" w:sz="12" w:space="0" w:color="auto"/>
              <w:bottom w:val="single" w:sz="12" w:space="0" w:color="auto"/>
            </w:tcBorders>
          </w:tcPr>
          <w:p w14:paraId="5B0E0DD6"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 xml:space="preserve">: </w:t>
            </w:r>
          </w:p>
          <w:p w14:paraId="4535AFF8" w14:textId="77777777" w:rsidR="002A7DD7" w:rsidRPr="002D1DD7" w:rsidRDefault="002A7DD7" w:rsidP="009A66EC">
            <w:pPr>
              <w:pStyle w:val="ListParagraph"/>
              <w:numPr>
                <w:ilvl w:val="0"/>
                <w:numId w:val="79"/>
              </w:numPr>
              <w:spacing w:before="0" w:after="0"/>
              <w:rPr>
                <w:rFonts w:ascii="Arial" w:hAnsi="Arial" w:cs="Arial"/>
                <w:sz w:val="12"/>
                <w:szCs w:val="12"/>
              </w:rPr>
            </w:pPr>
            <w:r w:rsidRPr="002D1DD7">
              <w:rPr>
                <w:rFonts w:ascii="Arial" w:hAnsi="Arial" w:cs="Arial"/>
                <w:sz w:val="12"/>
                <w:szCs w:val="12"/>
              </w:rPr>
              <w:t>Safety (1 month)</w:t>
            </w:r>
          </w:p>
          <w:p w14:paraId="37ACA625" w14:textId="77777777" w:rsidR="002A7DD7" w:rsidRPr="002D1DD7" w:rsidRDefault="002A7DD7" w:rsidP="009A66EC">
            <w:pPr>
              <w:pStyle w:val="ListParagraph"/>
              <w:numPr>
                <w:ilvl w:val="0"/>
                <w:numId w:val="79"/>
              </w:numPr>
              <w:spacing w:before="0" w:after="0"/>
              <w:rPr>
                <w:rFonts w:ascii="Arial" w:hAnsi="Arial" w:cs="Arial"/>
                <w:sz w:val="12"/>
                <w:szCs w:val="12"/>
              </w:rPr>
            </w:pPr>
            <w:r w:rsidRPr="002D1DD7">
              <w:rPr>
                <w:rFonts w:ascii="Arial" w:hAnsi="Arial" w:cs="Arial"/>
                <w:sz w:val="12"/>
                <w:szCs w:val="12"/>
              </w:rPr>
              <w:t>Dosing (1 month)</w:t>
            </w:r>
          </w:p>
          <w:p w14:paraId="756EA63D" w14:textId="77777777" w:rsidR="002A7DD7" w:rsidRPr="002D1DD7" w:rsidRDefault="002A7DD7" w:rsidP="009A66EC">
            <w:pPr>
              <w:pStyle w:val="ListParagraph"/>
              <w:numPr>
                <w:ilvl w:val="0"/>
                <w:numId w:val="79"/>
              </w:numPr>
              <w:spacing w:before="0" w:after="0"/>
              <w:rPr>
                <w:rFonts w:ascii="Arial" w:hAnsi="Arial" w:cs="Arial"/>
                <w:sz w:val="12"/>
                <w:szCs w:val="12"/>
              </w:rPr>
            </w:pPr>
            <w:r w:rsidRPr="002D1DD7">
              <w:rPr>
                <w:rFonts w:ascii="Arial" w:hAnsi="Arial" w:cs="Arial"/>
                <w:sz w:val="12"/>
                <w:szCs w:val="12"/>
              </w:rPr>
              <w:t>Pharmacokinetics (12 months)</w:t>
            </w:r>
          </w:p>
          <w:p w14:paraId="30EC7955" w14:textId="77777777" w:rsidR="002A7DD7" w:rsidRPr="002D1DD7" w:rsidRDefault="002A7DD7" w:rsidP="009A66EC">
            <w:pPr>
              <w:pStyle w:val="ListParagraph"/>
              <w:numPr>
                <w:ilvl w:val="0"/>
                <w:numId w:val="79"/>
              </w:numPr>
              <w:spacing w:before="0" w:after="0"/>
              <w:rPr>
                <w:rFonts w:ascii="Arial" w:hAnsi="Arial" w:cs="Arial"/>
                <w:sz w:val="12"/>
                <w:szCs w:val="12"/>
              </w:rPr>
            </w:pPr>
            <w:r w:rsidRPr="002D1DD7">
              <w:rPr>
                <w:rFonts w:ascii="Arial" w:hAnsi="Arial" w:cs="Arial"/>
                <w:sz w:val="12"/>
                <w:szCs w:val="12"/>
              </w:rPr>
              <w:t>Percentage of patients with OR (6.75 years)</w:t>
            </w:r>
          </w:p>
          <w:p w14:paraId="7AF77F6D" w14:textId="77777777" w:rsidR="002A7DD7" w:rsidRPr="002D1DD7" w:rsidRDefault="002A7DD7" w:rsidP="009A66EC">
            <w:pPr>
              <w:pStyle w:val="ListParagraph"/>
              <w:numPr>
                <w:ilvl w:val="0"/>
                <w:numId w:val="79"/>
              </w:numPr>
              <w:spacing w:before="0" w:after="0"/>
              <w:rPr>
                <w:rFonts w:ascii="Arial" w:hAnsi="Arial" w:cs="Arial"/>
                <w:sz w:val="12"/>
                <w:szCs w:val="12"/>
              </w:rPr>
            </w:pPr>
            <w:r w:rsidRPr="002D1DD7">
              <w:rPr>
                <w:rFonts w:ascii="Arial" w:hAnsi="Arial" w:cs="Arial"/>
                <w:sz w:val="12"/>
                <w:szCs w:val="12"/>
              </w:rPr>
              <w:t>PFS (6.75 years)</w:t>
            </w:r>
          </w:p>
          <w:p w14:paraId="03E078BB" w14:textId="77777777" w:rsidR="002A7DD7" w:rsidRPr="002D1DD7" w:rsidRDefault="002A7DD7" w:rsidP="002A7DD7">
            <w:pPr>
              <w:rPr>
                <w:rFonts w:ascii="Arial" w:hAnsi="Arial" w:cs="Arial"/>
                <w:b/>
                <w:sz w:val="12"/>
                <w:szCs w:val="12"/>
              </w:rPr>
            </w:pPr>
          </w:p>
          <w:p w14:paraId="5584426C"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p>
          <w:p w14:paraId="4DF514AE" w14:textId="77777777" w:rsidR="002A7DD7" w:rsidRPr="002D1DD7" w:rsidRDefault="002A7DD7" w:rsidP="009A66EC">
            <w:pPr>
              <w:pStyle w:val="ListParagraph"/>
              <w:numPr>
                <w:ilvl w:val="0"/>
                <w:numId w:val="80"/>
              </w:numPr>
              <w:spacing w:before="0" w:after="0"/>
              <w:rPr>
                <w:rFonts w:ascii="Arial" w:hAnsi="Arial" w:cs="Arial"/>
                <w:b/>
                <w:sz w:val="12"/>
                <w:szCs w:val="12"/>
                <w:shd w:val="clear" w:color="auto" w:fill="FFFFFF"/>
              </w:rPr>
            </w:pPr>
            <w:r w:rsidRPr="002D1DD7">
              <w:rPr>
                <w:rFonts w:ascii="Arial" w:hAnsi="Arial" w:cs="Arial"/>
                <w:sz w:val="12"/>
                <w:szCs w:val="12"/>
              </w:rPr>
              <w:t>DOR (up to 6.75 years)</w:t>
            </w:r>
          </w:p>
          <w:p w14:paraId="4E27432F" w14:textId="77777777" w:rsidR="002A7DD7" w:rsidRPr="002D1DD7" w:rsidRDefault="002A7DD7" w:rsidP="009A66EC">
            <w:pPr>
              <w:pStyle w:val="ListParagraph"/>
              <w:numPr>
                <w:ilvl w:val="0"/>
                <w:numId w:val="80"/>
              </w:numPr>
              <w:spacing w:before="0" w:after="0"/>
              <w:rPr>
                <w:rFonts w:ascii="Arial" w:hAnsi="Arial" w:cs="Arial"/>
                <w:b/>
                <w:sz w:val="12"/>
                <w:szCs w:val="12"/>
                <w:shd w:val="clear" w:color="auto" w:fill="FFFFFF"/>
              </w:rPr>
            </w:pPr>
            <w:r w:rsidRPr="002D1DD7">
              <w:rPr>
                <w:rFonts w:ascii="Arial" w:hAnsi="Arial" w:cs="Arial"/>
                <w:sz w:val="12"/>
                <w:szCs w:val="12"/>
              </w:rPr>
              <w:t>OS (up to 6.75 years)</w:t>
            </w:r>
          </w:p>
          <w:p w14:paraId="53493219" w14:textId="77777777" w:rsidR="002A7DD7" w:rsidRPr="002D1DD7" w:rsidRDefault="002A7DD7" w:rsidP="002A7DD7">
            <w:pPr>
              <w:rPr>
                <w:rFonts w:ascii="Arial" w:hAnsi="Arial" w:cs="Arial"/>
                <w:b/>
                <w:sz w:val="12"/>
                <w:szCs w:val="12"/>
              </w:rPr>
            </w:pPr>
          </w:p>
        </w:tc>
        <w:tc>
          <w:tcPr>
            <w:tcW w:w="2213" w:type="dxa"/>
            <w:tcBorders>
              <w:top w:val="single" w:sz="12" w:space="0" w:color="auto"/>
              <w:bottom w:val="single" w:sz="12" w:space="0" w:color="auto"/>
            </w:tcBorders>
          </w:tcPr>
          <w:p w14:paraId="3A13C29F" w14:textId="7583CFD2"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I/II </w:t>
            </w:r>
          </w:p>
          <w:p w14:paraId="231E29ED"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n=50</w:t>
            </w:r>
          </w:p>
          <w:p w14:paraId="56E007E5" w14:textId="236BD109"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0A06F7" w:rsidRPr="002D1DD7">
              <w:rPr>
                <w:rFonts w:ascii="Arial" w:hAnsi="Arial" w:cs="Arial"/>
                <w:sz w:val="12"/>
                <w:szCs w:val="12"/>
              </w:rPr>
              <w:t>N</w:t>
            </w:r>
            <w:r w:rsidRPr="002D1DD7">
              <w:rPr>
                <w:rFonts w:ascii="Arial" w:hAnsi="Arial" w:cs="Arial"/>
                <w:sz w:val="12"/>
                <w:szCs w:val="12"/>
              </w:rPr>
              <w:t>on</w:t>
            </w:r>
            <w:r w:rsidR="000A06F7" w:rsidRPr="002D1DD7">
              <w:rPr>
                <w:rFonts w:ascii="Arial" w:hAnsi="Arial" w:cs="Arial"/>
                <w:sz w:val="12"/>
                <w:szCs w:val="12"/>
              </w:rPr>
              <w:t>-</w:t>
            </w:r>
            <w:r w:rsidRPr="002D1DD7">
              <w:rPr>
                <w:rFonts w:ascii="Arial" w:hAnsi="Arial" w:cs="Arial"/>
                <w:sz w:val="12"/>
                <w:szCs w:val="12"/>
              </w:rPr>
              <w:t xml:space="preserve"> </w:t>
            </w:r>
            <w:r w:rsidR="000A06F7" w:rsidRPr="002D1DD7">
              <w:rPr>
                <w:rFonts w:ascii="Arial" w:hAnsi="Arial" w:cs="Arial"/>
                <w:sz w:val="12"/>
                <w:szCs w:val="12"/>
              </w:rPr>
              <w:t>R</w:t>
            </w:r>
            <w:r w:rsidRPr="002D1DD7">
              <w:rPr>
                <w:rFonts w:ascii="Arial" w:hAnsi="Arial" w:cs="Arial"/>
                <w:sz w:val="12"/>
                <w:szCs w:val="12"/>
              </w:rPr>
              <w:t>andomised</w:t>
            </w:r>
          </w:p>
          <w:p w14:paraId="6B9BADDC"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20 May 2016</w:t>
            </w:r>
          </w:p>
          <w:p w14:paraId="4E69D0AD"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21  February 2023</w:t>
            </w:r>
          </w:p>
          <w:p w14:paraId="4C774B26"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21 February 2023</w:t>
            </w:r>
          </w:p>
        </w:tc>
        <w:tc>
          <w:tcPr>
            <w:tcW w:w="2642" w:type="dxa"/>
            <w:tcBorders>
              <w:top w:val="single" w:sz="12" w:space="0" w:color="auto"/>
              <w:bottom w:val="single" w:sz="12" w:space="0" w:color="auto"/>
            </w:tcBorders>
          </w:tcPr>
          <w:p w14:paraId="178AC387"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Enrolling paediatric and young adult participants with solid tumours with known or potential kinase pathway activation (RAS/RAF/MEK/ERK pathway involvement) for which standard therapy has proven to be ineffective or intolerable or for which no curative standard-of-care treatment options exist.</w:t>
            </w:r>
          </w:p>
        </w:tc>
        <w:tc>
          <w:tcPr>
            <w:tcW w:w="2114" w:type="dxa"/>
            <w:tcBorders>
              <w:top w:val="single" w:sz="12" w:space="0" w:color="auto"/>
              <w:bottom w:val="single" w:sz="12" w:space="0" w:color="auto"/>
              <w:right w:val="single" w:sz="12" w:space="0" w:color="auto"/>
            </w:tcBorders>
          </w:tcPr>
          <w:p w14:paraId="417BD9E6" w14:textId="77777777" w:rsidR="002A7DD7" w:rsidRPr="002D1DD7" w:rsidRDefault="002A7DD7" w:rsidP="002A7DD7">
            <w:pPr>
              <w:shd w:val="clear" w:color="auto" w:fill="FFFFFF"/>
              <w:spacing w:before="84" w:after="60"/>
              <w:rPr>
                <w:rFonts w:ascii="Helvetica" w:hAnsi="Helvetica" w:cs="Helvetica"/>
                <w:color w:val="000000"/>
                <w:sz w:val="12"/>
                <w:szCs w:val="12"/>
                <w:shd w:val="clear" w:color="auto" w:fill="FFFFFF"/>
              </w:rPr>
            </w:pPr>
            <w:r w:rsidRPr="002D1DD7">
              <w:rPr>
                <w:rFonts w:ascii="Helvetica" w:hAnsi="Helvetica" w:cs="Helvetica"/>
                <w:color w:val="000000"/>
                <w:sz w:val="12"/>
                <w:szCs w:val="12"/>
                <w:shd w:val="clear" w:color="auto" w:fill="FFFFFF"/>
              </w:rPr>
              <w:t>N/A</w:t>
            </w:r>
          </w:p>
        </w:tc>
      </w:tr>
      <w:tr w:rsidR="002A7DD7" w:rsidRPr="002D1DD7" w14:paraId="155150AD" w14:textId="77777777" w:rsidTr="009126F0">
        <w:trPr>
          <w:trHeight w:val="1079"/>
        </w:trPr>
        <w:tc>
          <w:tcPr>
            <w:tcW w:w="1103" w:type="dxa"/>
            <w:vMerge w:val="restart"/>
            <w:tcBorders>
              <w:top w:val="single" w:sz="12" w:space="0" w:color="auto"/>
              <w:left w:val="single" w:sz="12" w:space="0" w:color="auto"/>
            </w:tcBorders>
          </w:tcPr>
          <w:p w14:paraId="42E1558F" w14:textId="77777777" w:rsidR="002A7DD7" w:rsidRPr="002D1DD7" w:rsidRDefault="002A7DD7" w:rsidP="002A7DD7">
            <w:pPr>
              <w:rPr>
                <w:rFonts w:ascii="Arial" w:hAnsi="Arial" w:cs="Arial"/>
                <w:b/>
                <w:color w:val="222222"/>
                <w:sz w:val="12"/>
                <w:szCs w:val="12"/>
                <w:shd w:val="clear" w:color="auto" w:fill="FFFFFF"/>
              </w:rPr>
            </w:pPr>
            <w:r w:rsidRPr="002D1DD7">
              <w:rPr>
                <w:rFonts w:ascii="Arial" w:hAnsi="Arial" w:cs="Arial"/>
                <w:b/>
                <w:color w:val="222222"/>
                <w:sz w:val="12"/>
                <w:szCs w:val="12"/>
                <w:shd w:val="clear" w:color="auto" w:fill="FFFFFF"/>
              </w:rPr>
              <w:lastRenderedPageBreak/>
              <w:t>Crizotinib</w:t>
            </w:r>
          </w:p>
        </w:tc>
        <w:tc>
          <w:tcPr>
            <w:tcW w:w="1497" w:type="dxa"/>
            <w:tcBorders>
              <w:top w:val="single" w:sz="12" w:space="0" w:color="auto"/>
              <w:bottom w:val="single" w:sz="8" w:space="0" w:color="auto"/>
            </w:tcBorders>
          </w:tcPr>
          <w:p w14:paraId="599C3659" w14:textId="77777777" w:rsidR="002A7DD7" w:rsidRPr="002D1DD7" w:rsidRDefault="002A7DD7" w:rsidP="002A7DD7">
            <w:pPr>
              <w:rPr>
                <w:rFonts w:ascii="Arial" w:hAnsi="Arial" w:cs="Arial"/>
                <w:color w:val="222222"/>
                <w:spacing w:val="3"/>
                <w:sz w:val="12"/>
                <w:szCs w:val="12"/>
                <w:shd w:val="clear" w:color="auto" w:fill="FFFFFF"/>
              </w:rPr>
            </w:pPr>
            <w:r w:rsidRPr="002D1DD7">
              <w:rPr>
                <w:rFonts w:ascii="Arial" w:hAnsi="Arial" w:cs="Arial"/>
                <w:color w:val="222222"/>
                <w:spacing w:val="3"/>
                <w:sz w:val="12"/>
                <w:szCs w:val="12"/>
                <w:shd w:val="clear" w:color="auto" w:fill="FFFFFF"/>
              </w:rPr>
              <w:t>Solid and liquid tumours</w:t>
            </w:r>
          </w:p>
        </w:tc>
        <w:tc>
          <w:tcPr>
            <w:tcW w:w="1717" w:type="dxa"/>
            <w:tcBorders>
              <w:top w:val="single" w:sz="12" w:space="0" w:color="auto"/>
              <w:bottom w:val="single" w:sz="8" w:space="0" w:color="auto"/>
            </w:tcBorders>
          </w:tcPr>
          <w:p w14:paraId="58DDE7A5"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NCT01524926</w:t>
            </w:r>
          </w:p>
          <w:p w14:paraId="540C93AF"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(CREATE)</w:t>
            </w:r>
          </w:p>
        </w:tc>
        <w:tc>
          <w:tcPr>
            <w:tcW w:w="2166" w:type="dxa"/>
            <w:tcBorders>
              <w:top w:val="single" w:sz="12" w:space="0" w:color="auto"/>
              <w:bottom w:val="single" w:sz="8" w:space="0" w:color="auto"/>
            </w:tcBorders>
          </w:tcPr>
          <w:p w14:paraId="018A8C40"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 xml:space="preserve">: </w:t>
            </w:r>
          </w:p>
          <w:p w14:paraId="3B332767" w14:textId="77777777" w:rsidR="002A7DD7" w:rsidRPr="002D1DD7" w:rsidRDefault="002A7DD7" w:rsidP="009A66EC">
            <w:pPr>
              <w:pStyle w:val="ListParagraph"/>
              <w:numPr>
                <w:ilvl w:val="0"/>
                <w:numId w:val="81"/>
              </w:numPr>
              <w:spacing w:before="0" w:after="0"/>
              <w:rPr>
                <w:rFonts w:ascii="Arial" w:hAnsi="Arial" w:cs="Arial"/>
                <w:sz w:val="12"/>
                <w:szCs w:val="12"/>
              </w:rPr>
            </w:pPr>
            <w:r w:rsidRPr="002D1DD7">
              <w:rPr>
                <w:rFonts w:ascii="Arial" w:hAnsi="Arial" w:cs="Arial"/>
                <w:sz w:val="12"/>
                <w:szCs w:val="12"/>
              </w:rPr>
              <w:t>Antitumour activity</w:t>
            </w:r>
          </w:p>
          <w:p w14:paraId="347B5E15" w14:textId="77777777" w:rsidR="002A7DD7" w:rsidRPr="002D1DD7" w:rsidRDefault="002A7DD7" w:rsidP="002A7DD7">
            <w:pPr>
              <w:rPr>
                <w:rFonts w:ascii="Arial" w:hAnsi="Arial" w:cs="Arial"/>
                <w:b/>
                <w:sz w:val="12"/>
                <w:szCs w:val="12"/>
              </w:rPr>
            </w:pPr>
          </w:p>
          <w:p w14:paraId="7BD50B64"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p>
          <w:p w14:paraId="3722EB46" w14:textId="77777777" w:rsidR="002A7DD7" w:rsidRPr="002D1DD7" w:rsidRDefault="002A7DD7" w:rsidP="009A66EC">
            <w:pPr>
              <w:pStyle w:val="ListParagraph"/>
              <w:numPr>
                <w:ilvl w:val="0"/>
                <w:numId w:val="82"/>
              </w:numPr>
              <w:spacing w:before="0" w:after="0"/>
              <w:rPr>
                <w:rFonts w:ascii="Arial" w:hAnsi="Arial" w:cs="Arial"/>
                <w:b/>
                <w:sz w:val="12"/>
                <w:szCs w:val="12"/>
              </w:rPr>
            </w:pPr>
            <w:r w:rsidRPr="002D1DD7">
              <w:rPr>
                <w:rFonts w:ascii="Arial" w:hAnsi="Arial" w:cs="Arial"/>
                <w:sz w:val="12"/>
                <w:szCs w:val="12"/>
              </w:rPr>
              <w:t>Safety</w:t>
            </w:r>
          </w:p>
          <w:p w14:paraId="51A89E4A" w14:textId="77777777" w:rsidR="002A7DD7" w:rsidRPr="002D1DD7" w:rsidRDefault="002A7DD7" w:rsidP="009A66EC">
            <w:pPr>
              <w:pStyle w:val="ListParagraph"/>
              <w:numPr>
                <w:ilvl w:val="0"/>
                <w:numId w:val="82"/>
              </w:numPr>
              <w:spacing w:before="0" w:after="0"/>
              <w:rPr>
                <w:rFonts w:ascii="Arial" w:hAnsi="Arial" w:cs="Arial"/>
                <w:b/>
                <w:sz w:val="12"/>
                <w:szCs w:val="12"/>
              </w:rPr>
            </w:pPr>
            <w:r w:rsidRPr="002D1DD7">
              <w:rPr>
                <w:rFonts w:ascii="Arial" w:hAnsi="Arial" w:cs="Arial"/>
                <w:sz w:val="12"/>
                <w:szCs w:val="12"/>
              </w:rPr>
              <w:t>PFS</w:t>
            </w:r>
          </w:p>
          <w:p w14:paraId="4CCD701F" w14:textId="77777777" w:rsidR="002A7DD7" w:rsidRPr="002D1DD7" w:rsidRDefault="002A7DD7" w:rsidP="009A66EC">
            <w:pPr>
              <w:pStyle w:val="ListParagraph"/>
              <w:numPr>
                <w:ilvl w:val="0"/>
                <w:numId w:val="82"/>
              </w:numPr>
              <w:spacing w:before="0" w:after="0"/>
              <w:rPr>
                <w:rFonts w:ascii="Arial" w:hAnsi="Arial" w:cs="Arial"/>
                <w:b/>
                <w:sz w:val="12"/>
                <w:szCs w:val="12"/>
              </w:rPr>
            </w:pPr>
            <w:r w:rsidRPr="002D1DD7">
              <w:rPr>
                <w:rFonts w:ascii="Arial" w:hAnsi="Arial" w:cs="Arial"/>
                <w:sz w:val="12"/>
                <w:szCs w:val="12"/>
              </w:rPr>
              <w:t>DCR</w:t>
            </w:r>
          </w:p>
          <w:p w14:paraId="00533D0B" w14:textId="77777777" w:rsidR="002A7DD7" w:rsidRPr="002D1DD7" w:rsidRDefault="002A7DD7" w:rsidP="009A66EC">
            <w:pPr>
              <w:pStyle w:val="ListParagraph"/>
              <w:numPr>
                <w:ilvl w:val="0"/>
                <w:numId w:val="82"/>
              </w:numPr>
              <w:spacing w:before="0" w:after="0"/>
              <w:rPr>
                <w:rFonts w:ascii="Arial" w:hAnsi="Arial" w:cs="Arial"/>
                <w:b/>
                <w:sz w:val="12"/>
                <w:szCs w:val="12"/>
              </w:rPr>
            </w:pPr>
            <w:r w:rsidRPr="002D1DD7">
              <w:rPr>
                <w:rFonts w:ascii="Arial" w:hAnsi="Arial" w:cs="Arial"/>
                <w:sz w:val="12"/>
                <w:szCs w:val="12"/>
              </w:rPr>
              <w:t>OS</w:t>
            </w:r>
          </w:p>
          <w:p w14:paraId="4679A9F4" w14:textId="352845C4" w:rsidR="002A7DD7" w:rsidRPr="002D1DD7" w:rsidRDefault="002A7DD7" w:rsidP="009A66EC">
            <w:pPr>
              <w:pStyle w:val="ListParagraph"/>
              <w:numPr>
                <w:ilvl w:val="0"/>
                <w:numId w:val="82"/>
              </w:numPr>
              <w:spacing w:before="0" w:after="0"/>
              <w:rPr>
                <w:rFonts w:ascii="Arial" w:hAnsi="Arial" w:cs="Arial"/>
                <w:b/>
                <w:sz w:val="12"/>
                <w:szCs w:val="12"/>
              </w:rPr>
            </w:pPr>
            <w:r w:rsidRPr="002D1DD7">
              <w:rPr>
                <w:rFonts w:ascii="Arial" w:hAnsi="Arial" w:cs="Arial"/>
                <w:sz w:val="12"/>
                <w:szCs w:val="12"/>
              </w:rPr>
              <w:t>DOR</w:t>
            </w:r>
          </w:p>
        </w:tc>
        <w:tc>
          <w:tcPr>
            <w:tcW w:w="2213" w:type="dxa"/>
            <w:tcBorders>
              <w:top w:val="single" w:sz="12" w:space="0" w:color="auto"/>
              <w:bottom w:val="single" w:sz="8" w:space="0" w:color="auto"/>
            </w:tcBorders>
          </w:tcPr>
          <w:p w14:paraId="4479CB31" w14:textId="42B4DCBF"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 </w:t>
            </w:r>
            <w:r w:rsidR="009271E5" w:rsidRPr="002D1DD7">
              <w:rPr>
                <w:rFonts w:ascii="Arial" w:hAnsi="Arial" w:cs="Arial"/>
                <w:sz w:val="12"/>
                <w:szCs w:val="12"/>
              </w:rPr>
              <w:t>(separate cohorts specified)</w:t>
            </w:r>
          </w:p>
          <w:p w14:paraId="0F74E2C8"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n=582</w:t>
            </w:r>
          </w:p>
          <w:p w14:paraId="247C194B" w14:textId="461E8B54"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8E0C09" w:rsidRPr="002D1DD7">
              <w:rPr>
                <w:rFonts w:ascii="Arial" w:hAnsi="Arial" w:cs="Arial"/>
                <w:sz w:val="12"/>
                <w:szCs w:val="12"/>
              </w:rPr>
              <w:t>N</w:t>
            </w:r>
            <w:r w:rsidRPr="002D1DD7">
              <w:rPr>
                <w:rFonts w:ascii="Arial" w:hAnsi="Arial" w:cs="Arial"/>
                <w:sz w:val="12"/>
                <w:szCs w:val="12"/>
              </w:rPr>
              <w:t>on</w:t>
            </w:r>
            <w:r w:rsidR="008E0C09" w:rsidRPr="002D1DD7">
              <w:rPr>
                <w:rFonts w:ascii="Arial" w:hAnsi="Arial" w:cs="Arial"/>
                <w:sz w:val="12"/>
                <w:szCs w:val="12"/>
              </w:rPr>
              <w:t>-R</w:t>
            </w:r>
            <w:r w:rsidRPr="002D1DD7">
              <w:rPr>
                <w:rFonts w:ascii="Arial" w:hAnsi="Arial" w:cs="Arial"/>
                <w:sz w:val="12"/>
                <w:szCs w:val="12"/>
              </w:rPr>
              <w:t>andomised</w:t>
            </w:r>
          </w:p>
          <w:p w14:paraId="47E31D53"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September 2012</w:t>
            </w:r>
          </w:p>
          <w:p w14:paraId="6EE8D324"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December 2017</w:t>
            </w:r>
          </w:p>
          <w:p w14:paraId="74F8EBAF"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December 2018</w:t>
            </w:r>
          </w:p>
        </w:tc>
        <w:tc>
          <w:tcPr>
            <w:tcW w:w="2642" w:type="dxa"/>
            <w:tcBorders>
              <w:top w:val="single" w:sz="12" w:space="0" w:color="auto"/>
              <w:bottom w:val="single" w:sz="8" w:space="0" w:color="auto"/>
            </w:tcBorders>
          </w:tcPr>
          <w:p w14:paraId="0C769017"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Enrolling patients with advanced tumours induced by causal alterations of ALK and/or MET</w:t>
            </w:r>
          </w:p>
        </w:tc>
        <w:tc>
          <w:tcPr>
            <w:tcW w:w="2114" w:type="dxa"/>
            <w:tcBorders>
              <w:top w:val="single" w:sz="12" w:space="0" w:color="auto"/>
              <w:bottom w:val="single" w:sz="8" w:space="0" w:color="auto"/>
              <w:right w:val="single" w:sz="12" w:space="0" w:color="auto"/>
            </w:tcBorders>
          </w:tcPr>
          <w:p w14:paraId="3B826B0B" w14:textId="77777777" w:rsidR="002A7DD7" w:rsidRPr="002D1DD7" w:rsidRDefault="002A7DD7" w:rsidP="002A7DD7">
            <w:pPr>
              <w:shd w:val="clear" w:color="auto" w:fill="FFFFFF"/>
              <w:spacing w:before="84" w:after="60"/>
              <w:rPr>
                <w:rFonts w:ascii="Helvetica" w:hAnsi="Helvetica" w:cs="Helvetica"/>
                <w:color w:val="000000"/>
                <w:sz w:val="12"/>
                <w:szCs w:val="12"/>
                <w:shd w:val="clear" w:color="auto" w:fill="FFFFFF"/>
              </w:rPr>
            </w:pPr>
            <w:r w:rsidRPr="002D1DD7">
              <w:rPr>
                <w:rFonts w:ascii="Helvetica" w:hAnsi="Helvetica" w:cs="Helvetica"/>
                <w:color w:val="000000"/>
                <w:sz w:val="12"/>
                <w:szCs w:val="12"/>
                <w:shd w:val="clear" w:color="auto" w:fill="FFFFFF"/>
              </w:rPr>
              <w:t>Not given</w:t>
            </w:r>
          </w:p>
        </w:tc>
      </w:tr>
      <w:tr w:rsidR="002A7DD7" w:rsidRPr="002D1DD7" w14:paraId="7209BC9D" w14:textId="77777777" w:rsidTr="009126F0">
        <w:trPr>
          <w:trHeight w:val="1079"/>
        </w:trPr>
        <w:tc>
          <w:tcPr>
            <w:tcW w:w="1103" w:type="dxa"/>
            <w:vMerge/>
            <w:tcBorders>
              <w:left w:val="single" w:sz="12" w:space="0" w:color="auto"/>
              <w:bottom w:val="single" w:sz="12" w:space="0" w:color="auto"/>
            </w:tcBorders>
          </w:tcPr>
          <w:p w14:paraId="6B90C1DB" w14:textId="77777777" w:rsidR="002A7DD7" w:rsidRPr="002D1DD7" w:rsidRDefault="002A7DD7" w:rsidP="002A7DD7">
            <w:pPr>
              <w:rPr>
                <w:rFonts w:ascii="Arial" w:hAnsi="Arial" w:cs="Arial"/>
                <w:b/>
                <w:color w:val="222222"/>
                <w:sz w:val="12"/>
                <w:szCs w:val="12"/>
                <w:shd w:val="clear" w:color="auto" w:fill="FFFFFF"/>
              </w:rPr>
            </w:pPr>
          </w:p>
        </w:tc>
        <w:tc>
          <w:tcPr>
            <w:tcW w:w="1497" w:type="dxa"/>
            <w:tcBorders>
              <w:top w:val="single" w:sz="8" w:space="0" w:color="auto"/>
              <w:bottom w:val="single" w:sz="12" w:space="0" w:color="auto"/>
            </w:tcBorders>
          </w:tcPr>
          <w:p w14:paraId="2B69D390" w14:textId="77777777" w:rsidR="002A7DD7" w:rsidRPr="002D1DD7" w:rsidRDefault="002A7DD7" w:rsidP="002A7DD7">
            <w:pPr>
              <w:rPr>
                <w:rFonts w:ascii="Arial" w:hAnsi="Arial" w:cs="Arial"/>
                <w:color w:val="222222"/>
                <w:spacing w:val="3"/>
                <w:sz w:val="12"/>
                <w:szCs w:val="12"/>
                <w:shd w:val="clear" w:color="auto" w:fill="FFFFFF"/>
              </w:rPr>
            </w:pPr>
            <w:r w:rsidRPr="002D1DD7">
              <w:rPr>
                <w:rFonts w:ascii="Arial" w:hAnsi="Arial" w:cs="Arial"/>
                <w:color w:val="222222"/>
                <w:spacing w:val="3"/>
                <w:sz w:val="12"/>
                <w:szCs w:val="12"/>
                <w:shd w:val="clear" w:color="auto" w:fill="FFFFFF"/>
              </w:rPr>
              <w:t>Solid tumours</w:t>
            </w:r>
          </w:p>
        </w:tc>
        <w:tc>
          <w:tcPr>
            <w:tcW w:w="1717" w:type="dxa"/>
            <w:tcBorders>
              <w:top w:val="single" w:sz="8" w:space="0" w:color="auto"/>
              <w:bottom w:val="single" w:sz="12" w:space="0" w:color="auto"/>
            </w:tcBorders>
          </w:tcPr>
          <w:p w14:paraId="15E60F7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NCT02034981</w:t>
            </w:r>
          </w:p>
        </w:tc>
        <w:tc>
          <w:tcPr>
            <w:tcW w:w="2166" w:type="dxa"/>
            <w:tcBorders>
              <w:top w:val="single" w:sz="8" w:space="0" w:color="auto"/>
              <w:bottom w:val="single" w:sz="12" w:space="0" w:color="auto"/>
            </w:tcBorders>
          </w:tcPr>
          <w:p w14:paraId="35EBD4AB" w14:textId="77777777" w:rsidR="002A7DD7" w:rsidRPr="002D1DD7" w:rsidRDefault="002A7DD7" w:rsidP="002A7DD7">
            <w:pPr>
              <w:rPr>
                <w:rFonts w:ascii="Arial" w:hAnsi="Arial" w:cs="Arial"/>
                <w:sz w:val="12"/>
                <w:szCs w:val="12"/>
              </w:rPr>
            </w:pPr>
            <w:r w:rsidRPr="002D1DD7">
              <w:rPr>
                <w:rFonts w:ascii="Arial" w:hAnsi="Arial" w:cs="Arial"/>
                <w:b/>
                <w:sz w:val="12"/>
                <w:szCs w:val="12"/>
              </w:rPr>
              <w:t>Primary</w:t>
            </w:r>
            <w:r w:rsidRPr="002D1DD7">
              <w:rPr>
                <w:rFonts w:ascii="Arial" w:hAnsi="Arial" w:cs="Arial"/>
                <w:sz w:val="12"/>
                <w:szCs w:val="12"/>
              </w:rPr>
              <w:t xml:space="preserve">: </w:t>
            </w:r>
          </w:p>
          <w:p w14:paraId="334A83CE" w14:textId="77777777" w:rsidR="002A7DD7" w:rsidRPr="002D1DD7" w:rsidRDefault="002A7DD7" w:rsidP="009A66EC">
            <w:pPr>
              <w:pStyle w:val="ListParagraph"/>
              <w:numPr>
                <w:ilvl w:val="0"/>
                <w:numId w:val="83"/>
              </w:numPr>
              <w:spacing w:before="0" w:after="0"/>
              <w:rPr>
                <w:rFonts w:ascii="Arial" w:hAnsi="Arial" w:cs="Arial"/>
                <w:sz w:val="12"/>
                <w:szCs w:val="12"/>
              </w:rPr>
            </w:pPr>
            <w:r w:rsidRPr="002D1DD7">
              <w:rPr>
                <w:rFonts w:ascii="Arial" w:hAnsi="Arial" w:cs="Arial"/>
                <w:sz w:val="12"/>
                <w:szCs w:val="12"/>
              </w:rPr>
              <w:t>ORR (8 weeks)</w:t>
            </w:r>
          </w:p>
          <w:p w14:paraId="4CAF4DF3" w14:textId="77777777" w:rsidR="002A7DD7" w:rsidRPr="002D1DD7" w:rsidRDefault="002A7DD7" w:rsidP="002A7DD7">
            <w:pPr>
              <w:pStyle w:val="ListParagraph"/>
              <w:ind w:left="360"/>
              <w:rPr>
                <w:rFonts w:ascii="Arial" w:hAnsi="Arial" w:cs="Arial"/>
                <w:sz w:val="12"/>
                <w:szCs w:val="12"/>
              </w:rPr>
            </w:pPr>
          </w:p>
          <w:p w14:paraId="7C4E547E" w14:textId="77777777" w:rsidR="002A7DD7" w:rsidRPr="002D1DD7" w:rsidRDefault="002A7DD7" w:rsidP="002A7DD7">
            <w:pPr>
              <w:rPr>
                <w:rFonts w:ascii="Arial" w:hAnsi="Arial" w:cs="Arial"/>
                <w:sz w:val="12"/>
                <w:szCs w:val="12"/>
              </w:rPr>
            </w:pPr>
            <w:r w:rsidRPr="002D1DD7">
              <w:rPr>
                <w:rFonts w:ascii="Arial" w:hAnsi="Arial" w:cs="Arial"/>
                <w:b/>
                <w:sz w:val="12"/>
                <w:szCs w:val="12"/>
              </w:rPr>
              <w:t>Secondary</w:t>
            </w:r>
          </w:p>
          <w:p w14:paraId="640C5138" w14:textId="77777777" w:rsidR="002A7DD7" w:rsidRPr="002D1DD7" w:rsidRDefault="002A7DD7" w:rsidP="009A66EC">
            <w:pPr>
              <w:pStyle w:val="ListParagraph"/>
              <w:numPr>
                <w:ilvl w:val="0"/>
                <w:numId w:val="83"/>
              </w:numPr>
              <w:spacing w:before="0" w:after="0"/>
              <w:rPr>
                <w:rFonts w:ascii="Arial" w:hAnsi="Arial" w:cs="Arial"/>
                <w:sz w:val="12"/>
                <w:szCs w:val="12"/>
              </w:rPr>
            </w:pPr>
            <w:r w:rsidRPr="002D1DD7">
              <w:rPr>
                <w:rFonts w:ascii="Arial" w:hAnsi="Arial" w:cs="Arial"/>
                <w:sz w:val="12"/>
                <w:szCs w:val="12"/>
              </w:rPr>
              <w:t>Safety (up to 2.5 years)</w:t>
            </w:r>
          </w:p>
          <w:p w14:paraId="4794BD77" w14:textId="77777777" w:rsidR="002A7DD7" w:rsidRPr="002D1DD7" w:rsidRDefault="002A7DD7" w:rsidP="009A66EC">
            <w:pPr>
              <w:pStyle w:val="ListParagraph"/>
              <w:numPr>
                <w:ilvl w:val="0"/>
                <w:numId w:val="83"/>
              </w:numPr>
              <w:spacing w:before="0" w:after="0"/>
              <w:rPr>
                <w:rFonts w:ascii="Arial" w:hAnsi="Arial" w:cs="Arial"/>
                <w:b/>
                <w:sz w:val="12"/>
                <w:szCs w:val="12"/>
                <w:shd w:val="clear" w:color="auto" w:fill="FFFFFF"/>
              </w:rPr>
            </w:pPr>
            <w:r w:rsidRPr="002D1DD7">
              <w:rPr>
                <w:rFonts w:ascii="Arial" w:hAnsi="Arial" w:cs="Arial"/>
                <w:sz w:val="12"/>
                <w:szCs w:val="12"/>
              </w:rPr>
              <w:t>DCR (4 months)</w:t>
            </w:r>
          </w:p>
          <w:p w14:paraId="30355C31" w14:textId="77777777" w:rsidR="002A7DD7" w:rsidRPr="002D1DD7" w:rsidRDefault="002A7DD7" w:rsidP="009A66EC">
            <w:pPr>
              <w:pStyle w:val="ListParagraph"/>
              <w:numPr>
                <w:ilvl w:val="0"/>
                <w:numId w:val="83"/>
              </w:numPr>
              <w:spacing w:before="0" w:after="0"/>
              <w:rPr>
                <w:rFonts w:ascii="Arial" w:hAnsi="Arial" w:cs="Arial"/>
                <w:b/>
                <w:sz w:val="12"/>
                <w:szCs w:val="12"/>
                <w:shd w:val="clear" w:color="auto" w:fill="FFFFFF"/>
              </w:rPr>
            </w:pPr>
            <w:r w:rsidRPr="002D1DD7">
              <w:rPr>
                <w:rFonts w:ascii="Arial" w:hAnsi="Arial" w:cs="Arial"/>
                <w:sz w:val="12"/>
                <w:szCs w:val="12"/>
              </w:rPr>
              <w:t>DOR</w:t>
            </w:r>
          </w:p>
          <w:p w14:paraId="0A1E951A" w14:textId="77777777" w:rsidR="002A7DD7" w:rsidRPr="002D1DD7" w:rsidRDefault="002A7DD7" w:rsidP="009A66EC">
            <w:pPr>
              <w:pStyle w:val="ListParagraph"/>
              <w:numPr>
                <w:ilvl w:val="0"/>
                <w:numId w:val="83"/>
              </w:numPr>
              <w:spacing w:before="0" w:after="0"/>
              <w:rPr>
                <w:rFonts w:ascii="Arial" w:hAnsi="Arial" w:cs="Arial"/>
                <w:b/>
                <w:sz w:val="12"/>
                <w:szCs w:val="12"/>
                <w:shd w:val="clear" w:color="auto" w:fill="FFFFFF"/>
              </w:rPr>
            </w:pPr>
            <w:r w:rsidRPr="002D1DD7">
              <w:rPr>
                <w:rFonts w:ascii="Arial" w:hAnsi="Arial" w:cs="Arial"/>
                <w:sz w:val="12"/>
                <w:szCs w:val="12"/>
              </w:rPr>
              <w:t>PFS</w:t>
            </w:r>
          </w:p>
          <w:p w14:paraId="524ABCFE" w14:textId="77777777" w:rsidR="002A7DD7" w:rsidRPr="002D1DD7" w:rsidRDefault="002A7DD7" w:rsidP="009A66EC">
            <w:pPr>
              <w:pStyle w:val="ListParagraph"/>
              <w:numPr>
                <w:ilvl w:val="0"/>
                <w:numId w:val="83"/>
              </w:numPr>
              <w:spacing w:before="0" w:after="0"/>
              <w:rPr>
                <w:rFonts w:ascii="Arial" w:hAnsi="Arial" w:cs="Arial"/>
                <w:b/>
                <w:sz w:val="12"/>
                <w:szCs w:val="12"/>
              </w:rPr>
            </w:pPr>
            <w:r w:rsidRPr="002D1DD7">
              <w:rPr>
                <w:rFonts w:ascii="Arial" w:hAnsi="Arial" w:cs="Arial"/>
                <w:sz w:val="12"/>
                <w:szCs w:val="12"/>
              </w:rPr>
              <w:t xml:space="preserve">OS </w:t>
            </w:r>
          </w:p>
        </w:tc>
        <w:tc>
          <w:tcPr>
            <w:tcW w:w="2213" w:type="dxa"/>
            <w:tcBorders>
              <w:top w:val="single" w:sz="8" w:space="0" w:color="auto"/>
              <w:bottom w:val="single" w:sz="12" w:space="0" w:color="auto"/>
            </w:tcBorders>
          </w:tcPr>
          <w:p w14:paraId="18413F1B" w14:textId="7E9E0449" w:rsidR="002A7DD7" w:rsidRPr="002D1DD7" w:rsidRDefault="002A7DD7" w:rsidP="002A7DD7">
            <w:pPr>
              <w:rPr>
                <w:rFonts w:ascii="Arial" w:hAnsi="Arial" w:cs="Arial"/>
                <w:sz w:val="12"/>
                <w:szCs w:val="12"/>
              </w:rPr>
            </w:pPr>
            <w:r w:rsidRPr="002D1DD7">
              <w:rPr>
                <w:rFonts w:ascii="Arial" w:hAnsi="Arial" w:cs="Arial"/>
                <w:sz w:val="12"/>
                <w:szCs w:val="12"/>
              </w:rPr>
              <w:t xml:space="preserve">Design: Phase II </w:t>
            </w:r>
            <w:r w:rsidR="009271E5" w:rsidRPr="002D1DD7">
              <w:rPr>
                <w:rFonts w:ascii="Arial" w:hAnsi="Arial" w:cs="Arial"/>
                <w:sz w:val="12"/>
                <w:szCs w:val="12"/>
              </w:rPr>
              <w:t>(separate cohorts specified)</w:t>
            </w:r>
          </w:p>
          <w:p w14:paraId="1A1EB8B1"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enrolment: n=246</w:t>
            </w:r>
          </w:p>
          <w:p w14:paraId="4FDC1BA7" w14:textId="66652739" w:rsidR="002A7DD7" w:rsidRPr="002D1DD7" w:rsidRDefault="002A7DD7" w:rsidP="002A7DD7">
            <w:pPr>
              <w:rPr>
                <w:rFonts w:ascii="Arial" w:hAnsi="Arial" w:cs="Arial"/>
                <w:sz w:val="12"/>
                <w:szCs w:val="12"/>
              </w:rPr>
            </w:pPr>
            <w:r w:rsidRPr="002D1DD7">
              <w:rPr>
                <w:rFonts w:ascii="Arial" w:hAnsi="Arial" w:cs="Arial"/>
                <w:sz w:val="12"/>
                <w:szCs w:val="12"/>
              </w:rPr>
              <w:t xml:space="preserve">Allocation approach: </w:t>
            </w:r>
            <w:r w:rsidR="000A06F7" w:rsidRPr="002D1DD7">
              <w:rPr>
                <w:rFonts w:ascii="Arial" w:hAnsi="Arial" w:cs="Arial"/>
                <w:sz w:val="12"/>
                <w:szCs w:val="12"/>
              </w:rPr>
              <w:t>N</w:t>
            </w:r>
            <w:r w:rsidRPr="002D1DD7">
              <w:rPr>
                <w:rFonts w:ascii="Arial" w:hAnsi="Arial" w:cs="Arial"/>
                <w:sz w:val="12"/>
                <w:szCs w:val="12"/>
              </w:rPr>
              <w:t>on</w:t>
            </w:r>
            <w:r w:rsidR="000A06F7" w:rsidRPr="002D1DD7">
              <w:rPr>
                <w:rFonts w:ascii="Arial" w:hAnsi="Arial" w:cs="Arial"/>
                <w:sz w:val="12"/>
                <w:szCs w:val="12"/>
              </w:rPr>
              <w:t>-</w:t>
            </w:r>
            <w:r w:rsidRPr="002D1DD7">
              <w:rPr>
                <w:rFonts w:ascii="Arial" w:hAnsi="Arial" w:cs="Arial"/>
                <w:sz w:val="12"/>
                <w:szCs w:val="12"/>
              </w:rPr>
              <w:t xml:space="preserve"> </w:t>
            </w:r>
            <w:r w:rsidR="000A06F7" w:rsidRPr="002D1DD7">
              <w:rPr>
                <w:rFonts w:ascii="Arial" w:hAnsi="Arial" w:cs="Arial"/>
                <w:sz w:val="12"/>
                <w:szCs w:val="12"/>
              </w:rPr>
              <w:t>R</w:t>
            </w:r>
            <w:r w:rsidRPr="002D1DD7">
              <w:rPr>
                <w:rFonts w:ascii="Arial" w:hAnsi="Arial" w:cs="Arial"/>
                <w:sz w:val="12"/>
                <w:szCs w:val="12"/>
              </w:rPr>
              <w:t>andomised</w:t>
            </w:r>
          </w:p>
          <w:p w14:paraId="4A1DB6A0" w14:textId="77777777" w:rsidR="002A7DD7" w:rsidRPr="002D1DD7" w:rsidRDefault="002A7DD7" w:rsidP="002A7DD7">
            <w:pPr>
              <w:rPr>
                <w:rFonts w:ascii="Arial" w:hAnsi="Arial" w:cs="Arial"/>
                <w:sz w:val="12"/>
                <w:szCs w:val="12"/>
              </w:rPr>
            </w:pPr>
            <w:r w:rsidRPr="002D1DD7">
              <w:rPr>
                <w:rFonts w:ascii="Arial" w:hAnsi="Arial" w:cs="Arial"/>
                <w:sz w:val="12"/>
                <w:szCs w:val="12"/>
              </w:rPr>
              <w:t>Study start: August 2013</w:t>
            </w:r>
          </w:p>
          <w:p w14:paraId="70F3F39C"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primary completion:  June 2018</w:t>
            </w:r>
          </w:p>
          <w:p w14:paraId="59D59F8E" w14:textId="77777777" w:rsidR="002A7DD7" w:rsidRPr="002D1DD7" w:rsidRDefault="002A7DD7" w:rsidP="002A7DD7">
            <w:pPr>
              <w:rPr>
                <w:rFonts w:ascii="Arial" w:hAnsi="Arial" w:cs="Arial"/>
                <w:sz w:val="12"/>
                <w:szCs w:val="12"/>
              </w:rPr>
            </w:pPr>
            <w:r w:rsidRPr="002D1DD7">
              <w:rPr>
                <w:rFonts w:ascii="Arial" w:hAnsi="Arial" w:cs="Arial"/>
                <w:sz w:val="12"/>
                <w:szCs w:val="12"/>
              </w:rPr>
              <w:t>Estimated study completion: July 2022</w:t>
            </w:r>
          </w:p>
        </w:tc>
        <w:tc>
          <w:tcPr>
            <w:tcW w:w="2642" w:type="dxa"/>
            <w:tcBorders>
              <w:top w:val="single" w:sz="8" w:space="0" w:color="auto"/>
              <w:bottom w:val="single" w:sz="12" w:space="0" w:color="auto"/>
            </w:tcBorders>
          </w:tcPr>
          <w:p w14:paraId="7356FC66" w14:textId="77777777" w:rsidR="002A7DD7" w:rsidRPr="002D1DD7" w:rsidRDefault="002A7DD7" w:rsidP="002A7DD7">
            <w:pPr>
              <w:rPr>
                <w:rFonts w:ascii="Arial" w:hAnsi="Arial" w:cs="Arial"/>
                <w:color w:val="000000"/>
                <w:sz w:val="12"/>
                <w:szCs w:val="12"/>
                <w:shd w:val="clear" w:color="auto" w:fill="FFFFFF"/>
              </w:rPr>
            </w:pPr>
            <w:r w:rsidRPr="002D1DD7">
              <w:rPr>
                <w:rFonts w:ascii="Arial" w:hAnsi="Arial" w:cs="Arial"/>
                <w:color w:val="000000"/>
                <w:sz w:val="12"/>
                <w:szCs w:val="12"/>
                <w:shd w:val="clear" w:color="auto" w:fill="FFFFFF"/>
              </w:rPr>
              <w:t>Enrolling patients harbouring an alteration on ALK, MET or ROS1</w:t>
            </w:r>
          </w:p>
        </w:tc>
        <w:tc>
          <w:tcPr>
            <w:tcW w:w="2114" w:type="dxa"/>
            <w:tcBorders>
              <w:top w:val="single" w:sz="8" w:space="0" w:color="auto"/>
              <w:bottom w:val="single" w:sz="12" w:space="0" w:color="auto"/>
              <w:right w:val="single" w:sz="12" w:space="0" w:color="auto"/>
            </w:tcBorders>
          </w:tcPr>
          <w:p w14:paraId="6B1DD1E2" w14:textId="77777777" w:rsidR="002A7DD7" w:rsidRPr="002D1DD7" w:rsidRDefault="002A7DD7" w:rsidP="002A7DD7">
            <w:pPr>
              <w:shd w:val="clear" w:color="auto" w:fill="FFFFFF"/>
              <w:spacing w:before="84" w:after="60"/>
              <w:rPr>
                <w:rFonts w:ascii="Helvetica" w:hAnsi="Helvetica" w:cs="Helvetica"/>
                <w:color w:val="000000"/>
                <w:sz w:val="12"/>
                <w:szCs w:val="12"/>
                <w:shd w:val="clear" w:color="auto" w:fill="FFFFFF"/>
              </w:rPr>
            </w:pPr>
            <w:r w:rsidRPr="002D1DD7">
              <w:rPr>
                <w:rFonts w:ascii="Helvetica" w:hAnsi="Helvetica" w:cs="Helvetica"/>
                <w:color w:val="000000"/>
                <w:sz w:val="12"/>
                <w:szCs w:val="12"/>
                <w:shd w:val="clear" w:color="auto" w:fill="FFFFFF"/>
              </w:rPr>
              <w:t>Not given</w:t>
            </w:r>
          </w:p>
        </w:tc>
      </w:tr>
    </w:tbl>
    <w:p w14:paraId="728A5601" w14:textId="3D1C92E3" w:rsidR="009126F0" w:rsidRPr="002D1DD7" w:rsidRDefault="00BF13DF" w:rsidP="00555827">
      <w:pPr>
        <w:rPr>
          <w:rFonts w:eastAsia="DengXian Light"/>
        </w:rPr>
        <w:sectPr w:rsidR="009126F0" w:rsidRPr="002D1DD7" w:rsidSect="009126F0">
          <w:pgSz w:w="16838" w:h="11906" w:orient="landscape"/>
          <w:pgMar w:top="1440" w:right="1440" w:bottom="1440" w:left="1440" w:header="708" w:footer="708" w:gutter="0"/>
          <w:cols w:space="708"/>
          <w:docGrid w:linePitch="360"/>
        </w:sectPr>
      </w:pPr>
      <w:r w:rsidRPr="00555827">
        <w:rPr>
          <w:rFonts w:eastAsia="DengXian Light"/>
          <w:sz w:val="18"/>
        </w:rPr>
        <w:t xml:space="preserve">AEs, adverse events; BOR, best overall response; DCR, disease control rate; DOR, duration of response; HRQoL, health-related quality of life; NPR, non-progression rate; </w:t>
      </w:r>
      <w:r w:rsidR="000A06F7" w:rsidRPr="00555827">
        <w:rPr>
          <w:rFonts w:eastAsia="DengXian Light"/>
          <w:sz w:val="18"/>
        </w:rPr>
        <w:t xml:space="preserve">ORR, objective response rate; </w:t>
      </w:r>
      <w:r w:rsidRPr="00555827">
        <w:rPr>
          <w:rFonts w:eastAsia="DengXian Light"/>
          <w:sz w:val="18"/>
        </w:rPr>
        <w:t xml:space="preserve">OS, overall survival; </w:t>
      </w:r>
      <w:r w:rsidR="000A06F7" w:rsidRPr="00555827">
        <w:rPr>
          <w:rFonts w:eastAsia="DengXian Light"/>
          <w:sz w:val="18"/>
        </w:rPr>
        <w:t xml:space="preserve">PFS, progression-free survival; </w:t>
      </w:r>
      <w:r w:rsidR="00FC3668" w:rsidRPr="00555827">
        <w:rPr>
          <w:rFonts w:eastAsia="DengXian Light"/>
          <w:sz w:val="18"/>
        </w:rPr>
        <w:t>PK/PD, pharmacokinetics/pharmacodynamics</w:t>
      </w:r>
      <w:r w:rsidRPr="00555827">
        <w:rPr>
          <w:rFonts w:eastAsia="DengXian Light"/>
          <w:sz w:val="18"/>
        </w:rPr>
        <w:t>; TTP, time to progression</w:t>
      </w:r>
    </w:p>
    <w:p w14:paraId="717ABDCE" w14:textId="4A94B5B3" w:rsidR="00057280" w:rsidRPr="002D1DD7" w:rsidRDefault="00057280" w:rsidP="00EC11CD">
      <w:pPr>
        <w:pStyle w:val="NonnumberedH2"/>
      </w:pPr>
      <w:bookmarkStart w:id="294" w:name="_Toc33776253"/>
      <w:r w:rsidRPr="002D1DD7">
        <w:lastRenderedPageBreak/>
        <w:t xml:space="preserve">Appendix </w:t>
      </w:r>
      <w:r w:rsidR="000205E8" w:rsidRPr="002D1DD7">
        <w:t>3</w:t>
      </w:r>
      <w:r w:rsidRPr="002D1DD7">
        <w:t>: MEDLINE search strategy</w:t>
      </w:r>
      <w:bookmarkEnd w:id="294"/>
    </w:p>
    <w:p w14:paraId="0CD069C5" w14:textId="77777777" w:rsidR="00057280" w:rsidRPr="002D1DD7" w:rsidRDefault="00057280" w:rsidP="00057280">
      <w:pPr>
        <w:spacing w:before="0" w:after="160" w:line="259" w:lineRule="auto"/>
        <w:jc w:val="both"/>
        <w:rPr>
          <w:rFonts w:eastAsia="Times New Roman" w:cs="Times New Roman"/>
          <w:lang w:eastAsia="en-GB"/>
        </w:rPr>
      </w:pPr>
      <w:r w:rsidRPr="002D1DD7">
        <w:rPr>
          <w:rFonts w:eastAsia="Times New Roman" w:cs="Times New Roman"/>
          <w:lang w:eastAsia="en-GB"/>
        </w:rPr>
        <w:t>Search Strategy (March 2019):</w:t>
      </w:r>
    </w:p>
    <w:p w14:paraId="32766DA1"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     *Neoplasms/</w:t>
      </w:r>
    </w:p>
    <w:p w14:paraId="045882C6" w14:textId="7585616D"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 xml:space="preserve">2     (cancer$ or neoplasm$ or tumour$ or </w:t>
      </w:r>
      <w:r w:rsidR="00787BBC" w:rsidRPr="002D1DD7">
        <w:rPr>
          <w:rFonts w:eastAsia="Times New Roman" w:cs="Times New Roman"/>
          <w:lang w:eastAsia="en-GB"/>
        </w:rPr>
        <w:t>tumour</w:t>
      </w:r>
      <w:r w:rsidRPr="002D1DD7">
        <w:rPr>
          <w:rFonts w:eastAsia="Times New Roman" w:cs="Times New Roman"/>
          <w:lang w:eastAsia="en-GB"/>
        </w:rPr>
        <w:t>$ or malignan$ or oncology or lymphoma$ or sarcoma$ or melanoma$ or myeloma$ or carcinoma$).tw.</w:t>
      </w:r>
    </w:p>
    <w:p w14:paraId="529D8BC5"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     1 or 2</w:t>
      </w:r>
    </w:p>
    <w:p w14:paraId="0107D3FF"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4     tumour response$.tw.</w:t>
      </w:r>
    </w:p>
    <w:p w14:paraId="245C7F6E" w14:textId="6AA56CCA"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 xml:space="preserve">5     </w:t>
      </w:r>
      <w:r w:rsidR="00787BBC" w:rsidRPr="002D1DD7">
        <w:rPr>
          <w:rFonts w:eastAsia="Times New Roman" w:cs="Times New Roman"/>
          <w:lang w:eastAsia="en-GB"/>
        </w:rPr>
        <w:t>tumour</w:t>
      </w:r>
      <w:r w:rsidRPr="002D1DD7">
        <w:rPr>
          <w:rFonts w:eastAsia="Times New Roman" w:cs="Times New Roman"/>
          <w:lang w:eastAsia="en-GB"/>
        </w:rPr>
        <w:t xml:space="preserve"> response$.tw.</w:t>
      </w:r>
    </w:p>
    <w:p w14:paraId="0B9175BC"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6     objective response$.tw.</w:t>
      </w:r>
    </w:p>
    <w:p w14:paraId="665E52F2"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7     ORR.tw.</w:t>
      </w:r>
    </w:p>
    <w:p w14:paraId="4BA10576"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8     "duration of response$".tw.</w:t>
      </w:r>
    </w:p>
    <w:p w14:paraId="7B5B6577"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9     dor.tw.</w:t>
      </w:r>
    </w:p>
    <w:p w14:paraId="7C50921E"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10     response rate$.tw.</w:t>
      </w:r>
    </w:p>
    <w:p w14:paraId="3A028DE6"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11     complete response$.tw</w:t>
      </w:r>
    </w:p>
    <w:p w14:paraId="0F0A73EB"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12     overall response$.tw</w:t>
      </w:r>
    </w:p>
    <w:p w14:paraId="1F0DBD2A"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13     4 or 5 or 6 or 7 or 8 or 9 or 10 or 11 or 12</w:t>
      </w:r>
    </w:p>
    <w:p w14:paraId="6D1EAFF9"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14     3 and 13</w:t>
      </w:r>
    </w:p>
    <w:p w14:paraId="4D51DABE"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15     Regression analysis/</w:t>
      </w:r>
    </w:p>
    <w:p w14:paraId="58418B74"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16     regression.tw.</w:t>
      </w:r>
    </w:p>
    <w:p w14:paraId="658FD893"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17     relationship.tw.</w:t>
      </w:r>
    </w:p>
    <w:p w14:paraId="5A746DC5"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18     correlation.tw.</w:t>
      </w:r>
    </w:p>
    <w:p w14:paraId="3FA40DC3"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19     prediction.tw.</w:t>
      </w:r>
    </w:p>
    <w:p w14:paraId="13B0BA99"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20     association.tw.</w:t>
      </w:r>
    </w:p>
    <w:p w14:paraId="7DF3415E"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21     15 or 16 or 17 or 18 or 19 or 20</w:t>
      </w:r>
    </w:p>
    <w:p w14:paraId="781F9F6B"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22     14 and 21</w:t>
      </w:r>
    </w:p>
    <w:p w14:paraId="7033B7D7"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23     endpoint$.tw.</w:t>
      </w:r>
    </w:p>
    <w:p w14:paraId="0B20A992"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24     end point$.tw.</w:t>
      </w:r>
    </w:p>
    <w:p w14:paraId="7F160041"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25     (surrogate or surrogacy).tw.</w:t>
      </w:r>
    </w:p>
    <w:p w14:paraId="0A14C2FD"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26     23 or 24 or 25</w:t>
      </w:r>
    </w:p>
    <w:p w14:paraId="598923AC"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27     22 and 26</w:t>
      </w:r>
    </w:p>
    <w:p w14:paraId="7D2A6D6D"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28     progression-free survival/</w:t>
      </w:r>
    </w:p>
    <w:p w14:paraId="5FB4D6AC"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29     "progression free survival".tw.</w:t>
      </w:r>
    </w:p>
    <w:p w14:paraId="379C69DD"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30     "overall survival".tw.</w:t>
      </w:r>
    </w:p>
    <w:p w14:paraId="069613E9"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31     (pfs or os).tw.</w:t>
      </w:r>
    </w:p>
    <w:p w14:paraId="46869634"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32     "time to progression".tw.</w:t>
      </w:r>
    </w:p>
    <w:p w14:paraId="343D2A73"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33     ttp.tw.</w:t>
      </w:r>
    </w:p>
    <w:p w14:paraId="29924449"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34     28 or 29 or 30 or 31 or 32 or 33</w:t>
      </w:r>
    </w:p>
    <w:p w14:paraId="6B527B6F"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35     27 and 34</w:t>
      </w:r>
    </w:p>
    <w:p w14:paraId="56564623" w14:textId="77777777" w:rsidR="00057280" w:rsidRPr="002D1DD7" w:rsidRDefault="00057280" w:rsidP="00057280">
      <w:pPr>
        <w:spacing w:before="0" w:after="0" w:line="240" w:lineRule="auto"/>
        <w:jc w:val="both"/>
        <w:rPr>
          <w:rFonts w:eastAsia="Times New Roman" w:cs="Times New Roman"/>
          <w:lang w:eastAsia="en-GB"/>
        </w:rPr>
      </w:pPr>
      <w:r w:rsidRPr="002D1DD7">
        <w:rPr>
          <w:rFonts w:eastAsia="Times New Roman" w:cs="Times New Roman"/>
          <w:lang w:eastAsia="en-GB"/>
        </w:rPr>
        <w:t>36     limit 35 to (english language and humans)</w:t>
      </w:r>
    </w:p>
    <w:p w14:paraId="46CD8D72" w14:textId="77777777" w:rsidR="00057280" w:rsidRPr="002D1DD7" w:rsidRDefault="00057280" w:rsidP="00057280">
      <w:pPr>
        <w:spacing w:before="0" w:after="160" w:line="259" w:lineRule="auto"/>
        <w:jc w:val="both"/>
        <w:rPr>
          <w:rFonts w:eastAsia="Times New Roman" w:cs="Times New Roman"/>
          <w:lang w:eastAsia="en-GB"/>
        </w:rPr>
      </w:pPr>
    </w:p>
    <w:p w14:paraId="56B83B5C" w14:textId="77777777" w:rsidR="00057280" w:rsidRPr="002D1DD7" w:rsidRDefault="00057280" w:rsidP="00057280">
      <w:pPr>
        <w:spacing w:before="0" w:after="160" w:line="259" w:lineRule="auto"/>
        <w:jc w:val="both"/>
        <w:rPr>
          <w:rFonts w:eastAsia="Times New Roman" w:cs="Times New Roman"/>
          <w:lang w:eastAsia="en-GB"/>
        </w:rPr>
        <w:sectPr w:rsidR="00057280" w:rsidRPr="002D1DD7" w:rsidSect="009126F0">
          <w:pgSz w:w="11906" w:h="16838"/>
          <w:pgMar w:top="1440" w:right="1440" w:bottom="1440" w:left="1440" w:header="708" w:footer="708" w:gutter="0"/>
          <w:cols w:space="708"/>
          <w:docGrid w:linePitch="360"/>
        </w:sectPr>
      </w:pPr>
    </w:p>
    <w:p w14:paraId="74CA164E" w14:textId="140FA064" w:rsidR="00057280" w:rsidRPr="002D1DD7" w:rsidRDefault="00057280" w:rsidP="00EC11CD">
      <w:pPr>
        <w:pStyle w:val="NonnumberedH2"/>
      </w:pPr>
      <w:bookmarkStart w:id="295" w:name="_Toc33776254"/>
      <w:r w:rsidRPr="002D1DD7">
        <w:lastRenderedPageBreak/>
        <w:t xml:space="preserve">Appendix </w:t>
      </w:r>
      <w:r w:rsidR="000205E8" w:rsidRPr="002D1DD7">
        <w:t>4</w:t>
      </w:r>
      <w:r w:rsidRPr="002D1DD7">
        <w:t>: Table of study characteristics</w:t>
      </w:r>
      <w:r w:rsidR="00456444">
        <w:t xml:space="preserve"> (ordered by cancer type then author)</w:t>
      </w:r>
      <w:bookmarkEnd w:id="295"/>
    </w:p>
    <w:tbl>
      <w:tblPr>
        <w:tblW w:w="149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44"/>
        <w:gridCol w:w="829"/>
        <w:gridCol w:w="1062"/>
        <w:gridCol w:w="992"/>
        <w:gridCol w:w="1280"/>
        <w:gridCol w:w="752"/>
        <w:gridCol w:w="755"/>
        <w:gridCol w:w="581"/>
        <w:gridCol w:w="1168"/>
        <w:gridCol w:w="466"/>
        <w:gridCol w:w="1321"/>
        <w:gridCol w:w="976"/>
        <w:gridCol w:w="910"/>
        <w:gridCol w:w="742"/>
      </w:tblGrid>
      <w:tr w:rsidR="002E26FD" w:rsidRPr="002D1DD7" w14:paraId="45253620" w14:textId="77777777" w:rsidTr="003117A9">
        <w:trPr>
          <w:cantSplit/>
          <w:tblHeader/>
        </w:trPr>
        <w:tc>
          <w:tcPr>
            <w:tcW w:w="993" w:type="dxa"/>
            <w:tcBorders>
              <w:top w:val="single" w:sz="12" w:space="0" w:color="auto"/>
              <w:left w:val="single" w:sz="12" w:space="0" w:color="auto"/>
              <w:bottom w:val="single" w:sz="12" w:space="0" w:color="auto"/>
              <w:right w:val="single" w:sz="12" w:space="0" w:color="auto"/>
            </w:tcBorders>
            <w:shd w:val="clear" w:color="auto" w:fill="BFBFBF"/>
            <w:tcMar>
              <w:left w:w="28" w:type="dxa"/>
              <w:right w:w="28" w:type="dxa"/>
            </w:tcMar>
            <w:hideMark/>
          </w:tcPr>
          <w:p w14:paraId="79B0C384"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Reference</w:t>
            </w:r>
          </w:p>
        </w:tc>
        <w:tc>
          <w:tcPr>
            <w:tcW w:w="1134" w:type="dxa"/>
            <w:tcBorders>
              <w:top w:val="single" w:sz="12" w:space="0" w:color="auto"/>
              <w:left w:val="single" w:sz="12" w:space="0" w:color="auto"/>
              <w:bottom w:val="single" w:sz="12" w:space="0" w:color="auto"/>
              <w:right w:val="single" w:sz="12" w:space="0" w:color="auto"/>
            </w:tcBorders>
            <w:shd w:val="clear" w:color="auto" w:fill="BFBFBF"/>
            <w:tcMar>
              <w:left w:w="28" w:type="dxa"/>
              <w:right w:w="28" w:type="dxa"/>
            </w:tcMar>
          </w:tcPr>
          <w:p w14:paraId="0D499694"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Cancer</w:t>
            </w:r>
          </w:p>
        </w:tc>
        <w:tc>
          <w:tcPr>
            <w:tcW w:w="944" w:type="dxa"/>
            <w:tcBorders>
              <w:top w:val="single" w:sz="12" w:space="0" w:color="auto"/>
              <w:left w:val="single" w:sz="12" w:space="0" w:color="auto"/>
              <w:bottom w:val="single" w:sz="12" w:space="0" w:color="auto"/>
            </w:tcBorders>
            <w:shd w:val="clear" w:color="auto" w:fill="BFBFBF"/>
            <w:tcMar>
              <w:left w:w="28" w:type="dxa"/>
              <w:right w:w="28" w:type="dxa"/>
            </w:tcMar>
            <w:hideMark/>
          </w:tcPr>
          <w:p w14:paraId="5B22721F"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Surrogate outcome</w:t>
            </w:r>
          </w:p>
        </w:tc>
        <w:tc>
          <w:tcPr>
            <w:tcW w:w="829" w:type="dxa"/>
            <w:tcBorders>
              <w:top w:val="single" w:sz="12" w:space="0" w:color="auto"/>
              <w:bottom w:val="single" w:sz="12" w:space="0" w:color="auto"/>
              <w:right w:val="single" w:sz="12" w:space="0" w:color="auto"/>
            </w:tcBorders>
            <w:shd w:val="clear" w:color="auto" w:fill="BFBFBF"/>
            <w:tcMar>
              <w:left w:w="28" w:type="dxa"/>
              <w:right w:w="28" w:type="dxa"/>
            </w:tcMar>
            <w:hideMark/>
          </w:tcPr>
          <w:p w14:paraId="5380FE9B"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Final outcome</w:t>
            </w:r>
          </w:p>
        </w:tc>
        <w:tc>
          <w:tcPr>
            <w:tcW w:w="1062" w:type="dxa"/>
            <w:tcBorders>
              <w:top w:val="single" w:sz="12" w:space="0" w:color="auto"/>
              <w:left w:val="single" w:sz="12" w:space="0" w:color="auto"/>
              <w:bottom w:val="single" w:sz="12" w:space="0" w:color="auto"/>
            </w:tcBorders>
            <w:shd w:val="clear" w:color="auto" w:fill="BFBFBF"/>
            <w:tcMar>
              <w:left w:w="28" w:type="dxa"/>
              <w:right w:w="28" w:type="dxa"/>
            </w:tcMar>
            <w:hideMark/>
          </w:tcPr>
          <w:p w14:paraId="16B45701"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Stage</w:t>
            </w:r>
          </w:p>
        </w:tc>
        <w:tc>
          <w:tcPr>
            <w:tcW w:w="992" w:type="dxa"/>
            <w:tcBorders>
              <w:top w:val="single" w:sz="12" w:space="0" w:color="auto"/>
              <w:bottom w:val="single" w:sz="12" w:space="0" w:color="auto"/>
            </w:tcBorders>
            <w:shd w:val="clear" w:color="auto" w:fill="BFBFBF"/>
            <w:tcMar>
              <w:left w:w="28" w:type="dxa"/>
              <w:right w:w="28" w:type="dxa"/>
            </w:tcMar>
            <w:hideMark/>
          </w:tcPr>
          <w:p w14:paraId="1F7A7AE9"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Line</w:t>
            </w:r>
          </w:p>
        </w:tc>
        <w:tc>
          <w:tcPr>
            <w:tcW w:w="1280" w:type="dxa"/>
            <w:tcBorders>
              <w:top w:val="single" w:sz="12" w:space="0" w:color="auto"/>
              <w:bottom w:val="single" w:sz="12" w:space="0" w:color="auto"/>
              <w:right w:val="single" w:sz="12" w:space="0" w:color="auto"/>
            </w:tcBorders>
            <w:shd w:val="clear" w:color="auto" w:fill="BFBFBF"/>
            <w:tcMar>
              <w:left w:w="28" w:type="dxa"/>
              <w:right w:w="28" w:type="dxa"/>
            </w:tcMar>
            <w:hideMark/>
          </w:tcPr>
          <w:p w14:paraId="38CA034D"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Treatment</w:t>
            </w:r>
          </w:p>
        </w:tc>
        <w:tc>
          <w:tcPr>
            <w:tcW w:w="752" w:type="dxa"/>
            <w:tcBorders>
              <w:top w:val="single" w:sz="12" w:space="0" w:color="auto"/>
              <w:left w:val="single" w:sz="12" w:space="0" w:color="auto"/>
              <w:bottom w:val="single" w:sz="12" w:space="0" w:color="auto"/>
            </w:tcBorders>
            <w:shd w:val="clear" w:color="auto" w:fill="BFBFBF"/>
            <w:tcMar>
              <w:left w:w="28" w:type="dxa"/>
              <w:right w:w="28" w:type="dxa"/>
            </w:tcMar>
            <w:hideMark/>
          </w:tcPr>
          <w:p w14:paraId="38ED85D4"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N studies</w:t>
            </w:r>
          </w:p>
        </w:tc>
        <w:tc>
          <w:tcPr>
            <w:tcW w:w="755" w:type="dxa"/>
            <w:tcBorders>
              <w:top w:val="single" w:sz="12" w:space="0" w:color="auto"/>
              <w:bottom w:val="single" w:sz="12" w:space="0" w:color="auto"/>
              <w:right w:val="single" w:sz="12" w:space="0" w:color="auto"/>
            </w:tcBorders>
            <w:shd w:val="clear" w:color="auto" w:fill="BFBFBF"/>
            <w:tcMar>
              <w:left w:w="28" w:type="dxa"/>
              <w:right w:w="28" w:type="dxa"/>
            </w:tcMar>
            <w:hideMark/>
          </w:tcPr>
          <w:p w14:paraId="0B33DC3A"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N patients</w:t>
            </w:r>
          </w:p>
        </w:tc>
        <w:tc>
          <w:tcPr>
            <w:tcW w:w="581" w:type="dxa"/>
            <w:tcBorders>
              <w:top w:val="single" w:sz="12" w:space="0" w:color="auto"/>
              <w:left w:val="single" w:sz="12" w:space="0" w:color="auto"/>
              <w:bottom w:val="single" w:sz="12" w:space="0" w:color="auto"/>
            </w:tcBorders>
            <w:shd w:val="clear" w:color="auto" w:fill="BFBFBF"/>
            <w:tcMar>
              <w:left w:w="28" w:type="dxa"/>
              <w:right w:w="28" w:type="dxa"/>
            </w:tcMar>
            <w:hideMark/>
          </w:tcPr>
          <w:p w14:paraId="5F94581D"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 xml:space="preserve">Study types </w:t>
            </w:r>
          </w:p>
        </w:tc>
        <w:tc>
          <w:tcPr>
            <w:tcW w:w="1168" w:type="dxa"/>
            <w:tcBorders>
              <w:top w:val="single" w:sz="12" w:space="0" w:color="auto"/>
              <w:bottom w:val="single" w:sz="12" w:space="0" w:color="auto"/>
            </w:tcBorders>
            <w:shd w:val="clear" w:color="auto" w:fill="BFBFBF"/>
            <w:tcMar>
              <w:left w:w="28" w:type="dxa"/>
              <w:right w:w="28" w:type="dxa"/>
            </w:tcMar>
            <w:hideMark/>
          </w:tcPr>
          <w:p w14:paraId="59052F78"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Publication/ search years</w:t>
            </w:r>
          </w:p>
        </w:tc>
        <w:tc>
          <w:tcPr>
            <w:tcW w:w="466" w:type="dxa"/>
            <w:tcBorders>
              <w:top w:val="single" w:sz="12" w:space="0" w:color="auto"/>
              <w:bottom w:val="single" w:sz="12" w:space="0" w:color="auto"/>
            </w:tcBorders>
            <w:shd w:val="clear" w:color="auto" w:fill="BFBFBF"/>
            <w:tcMar>
              <w:left w:w="28" w:type="dxa"/>
              <w:right w:w="28" w:type="dxa"/>
            </w:tcMar>
            <w:hideMark/>
          </w:tcPr>
          <w:p w14:paraId="36FAEDC1"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Data type</w:t>
            </w:r>
          </w:p>
        </w:tc>
        <w:tc>
          <w:tcPr>
            <w:tcW w:w="1321" w:type="dxa"/>
            <w:tcBorders>
              <w:top w:val="single" w:sz="12" w:space="0" w:color="auto"/>
              <w:bottom w:val="single" w:sz="12" w:space="0" w:color="auto"/>
              <w:right w:val="single" w:sz="12" w:space="0" w:color="auto"/>
            </w:tcBorders>
            <w:shd w:val="clear" w:color="auto" w:fill="BFBFBF"/>
            <w:tcMar>
              <w:left w:w="28" w:type="dxa"/>
              <w:right w:w="28" w:type="dxa"/>
            </w:tcMar>
            <w:hideMark/>
          </w:tcPr>
          <w:p w14:paraId="537FD2D0"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Response criteria</w:t>
            </w:r>
          </w:p>
        </w:tc>
        <w:tc>
          <w:tcPr>
            <w:tcW w:w="976" w:type="dxa"/>
            <w:tcBorders>
              <w:top w:val="single" w:sz="12" w:space="0" w:color="auto"/>
              <w:left w:val="single" w:sz="12" w:space="0" w:color="auto"/>
              <w:bottom w:val="single" w:sz="12" w:space="0" w:color="auto"/>
              <w:right w:val="single" w:sz="6" w:space="0" w:color="auto"/>
            </w:tcBorders>
            <w:shd w:val="clear" w:color="auto" w:fill="BFBFBF"/>
            <w:tcMar>
              <w:left w:w="28" w:type="dxa"/>
              <w:right w:w="28" w:type="dxa"/>
            </w:tcMar>
          </w:tcPr>
          <w:p w14:paraId="69C75D43"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Absolute association</w:t>
            </w:r>
          </w:p>
        </w:tc>
        <w:tc>
          <w:tcPr>
            <w:tcW w:w="910" w:type="dxa"/>
            <w:tcBorders>
              <w:top w:val="single" w:sz="12" w:space="0" w:color="auto"/>
              <w:left w:val="single" w:sz="6" w:space="0" w:color="auto"/>
              <w:bottom w:val="single" w:sz="12" w:space="0" w:color="auto"/>
            </w:tcBorders>
            <w:shd w:val="clear" w:color="auto" w:fill="BFBFBF"/>
            <w:tcMar>
              <w:left w:w="28" w:type="dxa"/>
              <w:right w:w="28" w:type="dxa"/>
            </w:tcMar>
          </w:tcPr>
          <w:p w14:paraId="2051BC2B"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Treatment effect association</w:t>
            </w:r>
          </w:p>
        </w:tc>
        <w:tc>
          <w:tcPr>
            <w:tcW w:w="742" w:type="dxa"/>
            <w:tcBorders>
              <w:top w:val="single" w:sz="12" w:space="0" w:color="auto"/>
              <w:bottom w:val="single" w:sz="12" w:space="0" w:color="auto"/>
              <w:right w:val="single" w:sz="12" w:space="0" w:color="auto"/>
            </w:tcBorders>
            <w:shd w:val="clear" w:color="auto" w:fill="BFBFBF"/>
            <w:tcMar>
              <w:left w:w="28" w:type="dxa"/>
              <w:right w:w="28" w:type="dxa"/>
            </w:tcMar>
          </w:tcPr>
          <w:p w14:paraId="7AAC7584" w14:textId="77777777" w:rsidR="002E26FD" w:rsidRPr="002D1DD7" w:rsidRDefault="002E26FD" w:rsidP="003117A9">
            <w:pPr>
              <w:spacing w:before="0" w:after="0" w:line="240" w:lineRule="auto"/>
              <w:rPr>
                <w:rFonts w:eastAsia="Times New Roman" w:cs="Times New Roman"/>
                <w:b/>
                <w:bCs/>
                <w:sz w:val="18"/>
                <w:szCs w:val="18"/>
                <w:lang w:eastAsia="zh-CN"/>
              </w:rPr>
            </w:pPr>
            <w:r w:rsidRPr="002D1DD7">
              <w:rPr>
                <w:rFonts w:eastAsia="Times New Roman" w:cs="Times New Roman"/>
                <w:b/>
                <w:bCs/>
                <w:sz w:val="18"/>
                <w:szCs w:val="18"/>
                <w:lang w:eastAsia="zh-CN"/>
              </w:rPr>
              <w:t>STE reported</w:t>
            </w:r>
          </w:p>
        </w:tc>
      </w:tr>
      <w:tr w:rsidR="002E26FD" w:rsidRPr="002D1DD7" w14:paraId="5EDA4446"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F9A3621" w14:textId="7800F40A"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Agarwal 2017</w:t>
            </w:r>
            <w:r w:rsidRPr="002D1DD7">
              <w:rPr>
                <w:rFonts w:eastAsia="Times New Roman" w:cs="Times New Roman"/>
                <w:sz w:val="18"/>
                <w:szCs w:val="18"/>
                <w:lang w:eastAsia="zh-CN"/>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80</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A1B54E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color w:val="000000"/>
                <w:sz w:val="18"/>
                <w:szCs w:val="18"/>
                <w:lang w:eastAsia="zh-CN"/>
              </w:rPr>
              <w:t>Acute myeloid leukemia</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2595BFC5"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7CEAC0D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4F4842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437F48E7" w14:textId="77777777" w:rsidR="002E26FD" w:rsidRPr="002D1DD7" w:rsidRDefault="002E26FD" w:rsidP="003117A9">
            <w:pPr>
              <w:spacing w:before="0" w:after="0" w:line="240" w:lineRule="auto"/>
              <w:rPr>
                <w:rFonts w:eastAsia="Times New Roman" w:cs="Times New Roman"/>
                <w:color w:val="FF0000"/>
                <w:sz w:val="18"/>
                <w:szCs w:val="18"/>
                <w:lang w:eastAsia="zh-CN"/>
              </w:rPr>
            </w:pPr>
            <w:r w:rsidRPr="002D1DD7">
              <w:rPr>
                <w:rFonts w:eastAsia="Times New Roman" w:cs="Times New Roman"/>
                <w:sz w:val="18"/>
                <w:szCs w:val="18"/>
                <w:lang w:eastAsia="zh-CN"/>
              </w:rPr>
              <w:t>Various</w:t>
            </w:r>
          </w:p>
        </w:tc>
        <w:tc>
          <w:tcPr>
            <w:tcW w:w="992" w:type="dxa"/>
            <w:tcBorders>
              <w:top w:val="single" w:sz="12" w:space="0" w:color="auto"/>
              <w:bottom w:val="single" w:sz="12" w:space="0" w:color="auto"/>
            </w:tcBorders>
            <w:shd w:val="clear" w:color="auto" w:fill="auto"/>
            <w:tcMar>
              <w:left w:w="28" w:type="dxa"/>
              <w:right w:w="28" w:type="dxa"/>
            </w:tcMar>
            <w:hideMark/>
          </w:tcPr>
          <w:p w14:paraId="051C933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4499CB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Systemic</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070F227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w:t>
            </w:r>
            <w:r w:rsidRPr="002D1DD7">
              <w:rPr>
                <w:rFonts w:eastAsia="Times New Roman" w:cs="Times New Roman"/>
                <w:sz w:val="18"/>
                <w:szCs w:val="18"/>
                <w:vertAlign w:val="superscript"/>
                <w:lang w:eastAsia="zh-CN"/>
              </w:rPr>
              <w:t>†</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AA9988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074D4B7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top w:val="single" w:sz="12" w:space="0" w:color="auto"/>
              <w:bottom w:val="single" w:sz="12" w:space="0" w:color="auto"/>
            </w:tcBorders>
            <w:shd w:val="clear" w:color="auto" w:fill="auto"/>
            <w:tcMar>
              <w:left w:w="28" w:type="dxa"/>
              <w:right w:w="28" w:type="dxa"/>
            </w:tcMar>
            <w:hideMark/>
          </w:tcPr>
          <w:p w14:paraId="3B54AE3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2004-2016</w:t>
            </w:r>
          </w:p>
        </w:tc>
        <w:tc>
          <w:tcPr>
            <w:tcW w:w="466" w:type="dxa"/>
            <w:tcBorders>
              <w:top w:val="single" w:sz="12" w:space="0" w:color="auto"/>
              <w:bottom w:val="single" w:sz="12" w:space="0" w:color="auto"/>
            </w:tcBorders>
            <w:shd w:val="clear" w:color="auto" w:fill="auto"/>
            <w:tcMar>
              <w:left w:w="28" w:type="dxa"/>
              <w:right w:w="28" w:type="dxa"/>
            </w:tcMar>
            <w:hideMark/>
          </w:tcPr>
          <w:p w14:paraId="3AACE86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65C582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6FAF053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910" w:type="dxa"/>
            <w:tcBorders>
              <w:top w:val="single" w:sz="12" w:space="0" w:color="auto"/>
              <w:left w:val="single" w:sz="6" w:space="0" w:color="auto"/>
              <w:bottom w:val="single" w:sz="12" w:space="0" w:color="auto"/>
            </w:tcBorders>
            <w:tcMar>
              <w:left w:w="28" w:type="dxa"/>
              <w:right w:w="28" w:type="dxa"/>
            </w:tcMar>
          </w:tcPr>
          <w:p w14:paraId="28672303" w14:textId="77777777" w:rsidR="002E26FD" w:rsidRPr="002D1DD7" w:rsidRDefault="002E26FD" w:rsidP="003117A9">
            <w:pPr>
              <w:spacing w:before="0" w:after="0" w:line="240" w:lineRule="auto"/>
              <w:rPr>
                <w:rFonts w:eastAsia="Times New Roman" w:cs="Times New Roman"/>
                <w:sz w:val="18"/>
                <w:szCs w:val="18"/>
                <w:lang w:eastAsia="zh-CN"/>
              </w:rPr>
            </w:pPr>
          </w:p>
        </w:tc>
        <w:tc>
          <w:tcPr>
            <w:tcW w:w="742" w:type="dxa"/>
            <w:tcBorders>
              <w:top w:val="single" w:sz="12" w:space="0" w:color="auto"/>
              <w:bottom w:val="single" w:sz="12" w:space="0" w:color="auto"/>
              <w:right w:val="single" w:sz="12" w:space="0" w:color="auto"/>
            </w:tcBorders>
            <w:tcMar>
              <w:left w:w="28" w:type="dxa"/>
              <w:right w:w="28" w:type="dxa"/>
            </w:tcMar>
          </w:tcPr>
          <w:p w14:paraId="17B6E775"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4176993E"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67A2A49" w14:textId="6E08C52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Moriwaki 2016</w:t>
            </w:r>
            <w:r w:rsidRPr="002D1DD7">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116</w:t>
            </w:r>
            <w:r w:rsidRPr="002D1DD7">
              <w:rPr>
                <w:rFonts w:eastAsia="Times New Roman" w:cs="Times New Roman"/>
                <w:color w:val="000000"/>
                <w:sz w:val="18"/>
                <w:szCs w:val="18"/>
                <w:lang w:eastAsia="zh-CN"/>
              </w:rPr>
              <w:fldChar w:fldCharType="end"/>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47B532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Biliary tract</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0D5395CA"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AA60FE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2FBC8F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tcBorders>
              <w:top w:val="single" w:sz="12" w:space="0" w:color="auto"/>
              <w:bottom w:val="single" w:sz="12" w:space="0" w:color="auto"/>
            </w:tcBorders>
            <w:shd w:val="clear" w:color="auto" w:fill="auto"/>
            <w:tcMar>
              <w:left w:w="28" w:type="dxa"/>
              <w:right w:w="28" w:type="dxa"/>
            </w:tcMar>
            <w:hideMark/>
          </w:tcPr>
          <w:p w14:paraId="6FE5432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94DF1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4E470B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68992F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2040</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36D8E4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top w:val="single" w:sz="12" w:space="0" w:color="auto"/>
              <w:bottom w:val="single" w:sz="12" w:space="0" w:color="auto"/>
            </w:tcBorders>
            <w:shd w:val="clear" w:color="auto" w:fill="auto"/>
            <w:tcMar>
              <w:left w:w="28" w:type="dxa"/>
              <w:right w:w="28" w:type="dxa"/>
            </w:tcMar>
            <w:hideMark/>
          </w:tcPr>
          <w:p w14:paraId="39B2A9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2015</w:t>
            </w:r>
          </w:p>
        </w:tc>
        <w:tc>
          <w:tcPr>
            <w:tcW w:w="466" w:type="dxa"/>
            <w:tcBorders>
              <w:top w:val="single" w:sz="12" w:space="0" w:color="auto"/>
              <w:bottom w:val="single" w:sz="12" w:space="0" w:color="auto"/>
            </w:tcBorders>
            <w:shd w:val="clear" w:color="auto" w:fill="auto"/>
            <w:tcMar>
              <w:left w:w="28" w:type="dxa"/>
              <w:right w:w="28" w:type="dxa"/>
            </w:tcMar>
            <w:hideMark/>
          </w:tcPr>
          <w:p w14:paraId="162C1C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53C9C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71573C6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top w:val="single" w:sz="12" w:space="0" w:color="auto"/>
              <w:left w:val="single" w:sz="6" w:space="0" w:color="auto"/>
              <w:bottom w:val="single" w:sz="12" w:space="0" w:color="auto"/>
            </w:tcBorders>
            <w:tcMar>
              <w:left w:w="28" w:type="dxa"/>
              <w:right w:w="28" w:type="dxa"/>
            </w:tcMar>
          </w:tcPr>
          <w:p w14:paraId="3AB551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top w:val="single" w:sz="12" w:space="0" w:color="auto"/>
              <w:bottom w:val="single" w:sz="12" w:space="0" w:color="auto"/>
              <w:right w:val="single" w:sz="12" w:space="0" w:color="auto"/>
            </w:tcBorders>
            <w:tcMar>
              <w:left w:w="28" w:type="dxa"/>
              <w:right w:w="28" w:type="dxa"/>
            </w:tcMar>
          </w:tcPr>
          <w:p w14:paraId="5912CE06"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26C895FD"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7DE1A9EC" w14:textId="5BCEA064"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Bruzzi 2005</w:t>
            </w:r>
            <w:r w:rsidRPr="002D1DD7">
              <w:rPr>
                <w:rFonts w:eastAsia="Times New Roman" w:cs="Times New Roman"/>
                <w:sz w:val="18"/>
                <w:szCs w:val="18"/>
                <w:lang w:eastAsia="zh-CN"/>
              </w:rPr>
              <w:fldChar w:fldCharType="begin">
                <w:fldData xml:space="preserve">PEVuZE5vdGU+PENpdGU+PEF1dGhvcj5CcnV6emk8L0F1dGhvcj48WWVhcj4yMDA1PC9ZZWFyPjxS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PEVuZE5vdGU+PENpdGU+PEF1dGhvcj5CcnV6emk8L0F1dGhvcj48WWVhcj4yMDA1PC9ZZWFyPjxS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83</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5540D11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Breast</w:t>
            </w:r>
          </w:p>
        </w:tc>
        <w:tc>
          <w:tcPr>
            <w:tcW w:w="944" w:type="dxa"/>
            <w:tcBorders>
              <w:top w:val="single" w:sz="12" w:space="0" w:color="auto"/>
              <w:left w:val="single" w:sz="12" w:space="0" w:color="auto"/>
            </w:tcBorders>
            <w:shd w:val="clear" w:color="auto" w:fill="auto"/>
            <w:tcMar>
              <w:left w:w="28" w:type="dxa"/>
              <w:right w:w="28" w:type="dxa"/>
            </w:tcMar>
            <w:hideMark/>
          </w:tcPr>
          <w:p w14:paraId="32A28A6B"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20A4F8A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73E3C09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tcBorders>
              <w:top w:val="single" w:sz="12" w:space="0" w:color="auto"/>
            </w:tcBorders>
            <w:shd w:val="clear" w:color="auto" w:fill="auto"/>
            <w:tcMar>
              <w:left w:w="28" w:type="dxa"/>
              <w:right w:w="28" w:type="dxa"/>
            </w:tcMar>
            <w:hideMark/>
          </w:tcPr>
          <w:p w14:paraId="0361056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All</w:t>
            </w:r>
          </w:p>
        </w:tc>
        <w:tc>
          <w:tcPr>
            <w:tcW w:w="1280" w:type="dxa"/>
            <w:tcBorders>
              <w:top w:val="single" w:sz="12" w:space="0" w:color="auto"/>
              <w:right w:val="single" w:sz="12" w:space="0" w:color="auto"/>
            </w:tcBorders>
            <w:shd w:val="clear" w:color="auto" w:fill="auto"/>
            <w:tcMar>
              <w:left w:w="28" w:type="dxa"/>
              <w:right w:w="28" w:type="dxa"/>
            </w:tcMar>
            <w:hideMark/>
          </w:tcPr>
          <w:p w14:paraId="3C1812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028AEEE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10</w:t>
            </w:r>
          </w:p>
        </w:tc>
        <w:tc>
          <w:tcPr>
            <w:tcW w:w="755" w:type="dxa"/>
            <w:tcBorders>
              <w:top w:val="single" w:sz="12" w:space="0" w:color="auto"/>
              <w:right w:val="single" w:sz="12" w:space="0" w:color="auto"/>
            </w:tcBorders>
            <w:shd w:val="clear" w:color="auto" w:fill="auto"/>
            <w:tcMar>
              <w:left w:w="28" w:type="dxa"/>
              <w:right w:w="28" w:type="dxa"/>
            </w:tcMar>
            <w:hideMark/>
          </w:tcPr>
          <w:p w14:paraId="26FAE59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2126</w:t>
            </w:r>
          </w:p>
        </w:tc>
        <w:tc>
          <w:tcPr>
            <w:tcW w:w="581" w:type="dxa"/>
            <w:tcBorders>
              <w:top w:val="single" w:sz="12" w:space="0" w:color="auto"/>
              <w:left w:val="single" w:sz="12" w:space="0" w:color="auto"/>
            </w:tcBorders>
            <w:shd w:val="clear" w:color="auto" w:fill="auto"/>
            <w:tcMar>
              <w:left w:w="28" w:type="dxa"/>
              <w:right w:w="28" w:type="dxa"/>
            </w:tcMar>
            <w:hideMark/>
          </w:tcPr>
          <w:p w14:paraId="0245852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401210B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1991-2001</w:t>
            </w:r>
          </w:p>
        </w:tc>
        <w:tc>
          <w:tcPr>
            <w:tcW w:w="466" w:type="dxa"/>
            <w:tcBorders>
              <w:top w:val="single" w:sz="12" w:space="0" w:color="auto"/>
            </w:tcBorders>
            <w:shd w:val="clear" w:color="auto" w:fill="auto"/>
            <w:tcMar>
              <w:left w:w="28" w:type="dxa"/>
              <w:right w:w="28" w:type="dxa"/>
            </w:tcMar>
            <w:hideMark/>
          </w:tcPr>
          <w:p w14:paraId="10183DB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IPD</w:t>
            </w:r>
          </w:p>
        </w:tc>
        <w:tc>
          <w:tcPr>
            <w:tcW w:w="1321" w:type="dxa"/>
            <w:tcBorders>
              <w:top w:val="single" w:sz="12" w:space="0" w:color="auto"/>
              <w:right w:val="single" w:sz="12" w:space="0" w:color="auto"/>
            </w:tcBorders>
            <w:shd w:val="clear" w:color="auto" w:fill="auto"/>
            <w:tcMar>
              <w:left w:w="28" w:type="dxa"/>
              <w:right w:w="28" w:type="dxa"/>
            </w:tcMar>
            <w:hideMark/>
          </w:tcPr>
          <w:p w14:paraId="0D052C7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WHO (8), ECOG (1), NR (1)</w:t>
            </w:r>
          </w:p>
        </w:tc>
        <w:tc>
          <w:tcPr>
            <w:tcW w:w="976" w:type="dxa"/>
            <w:tcBorders>
              <w:top w:val="single" w:sz="12" w:space="0" w:color="auto"/>
              <w:left w:val="single" w:sz="12" w:space="0" w:color="auto"/>
              <w:right w:val="single" w:sz="6" w:space="0" w:color="auto"/>
            </w:tcBorders>
            <w:tcMar>
              <w:left w:w="28" w:type="dxa"/>
              <w:right w:w="28" w:type="dxa"/>
            </w:tcMar>
          </w:tcPr>
          <w:p w14:paraId="1A86A80C"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top w:val="single" w:sz="12" w:space="0" w:color="auto"/>
              <w:left w:val="single" w:sz="6" w:space="0" w:color="auto"/>
            </w:tcBorders>
            <w:tcMar>
              <w:left w:w="28" w:type="dxa"/>
              <w:right w:w="28" w:type="dxa"/>
            </w:tcMar>
          </w:tcPr>
          <w:p w14:paraId="3AE9824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top w:val="single" w:sz="12" w:space="0" w:color="auto"/>
              <w:right w:val="single" w:sz="12" w:space="0" w:color="auto"/>
            </w:tcBorders>
            <w:tcMar>
              <w:left w:w="28" w:type="dxa"/>
              <w:right w:w="28" w:type="dxa"/>
            </w:tcMar>
          </w:tcPr>
          <w:p w14:paraId="2B3837FC"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239C6917"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82EE3C6" w14:textId="049F88F6"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Burzykowski 2008</w:t>
            </w:r>
            <w:r w:rsidRPr="002D1DD7">
              <w:rPr>
                <w:rFonts w:eastAsia="Times New Roman" w:cs="Times New Roman"/>
                <w:sz w:val="18"/>
                <w:szCs w:val="18"/>
                <w:lang w:eastAsia="zh-CN"/>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84</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39E50D1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Breast</w:t>
            </w:r>
          </w:p>
        </w:tc>
        <w:tc>
          <w:tcPr>
            <w:tcW w:w="944" w:type="dxa"/>
            <w:tcBorders>
              <w:left w:val="single" w:sz="12" w:space="0" w:color="auto"/>
            </w:tcBorders>
            <w:shd w:val="clear" w:color="auto" w:fill="auto"/>
            <w:tcMar>
              <w:left w:w="28" w:type="dxa"/>
              <w:right w:w="28" w:type="dxa"/>
            </w:tcMar>
            <w:hideMark/>
          </w:tcPr>
          <w:p w14:paraId="2334871F"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3130809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2CC1C98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15DA52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2096745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46FAAC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19A7B5F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11</w:t>
            </w:r>
          </w:p>
        </w:tc>
        <w:tc>
          <w:tcPr>
            <w:tcW w:w="755" w:type="dxa"/>
            <w:tcBorders>
              <w:right w:val="single" w:sz="12" w:space="0" w:color="auto"/>
            </w:tcBorders>
            <w:shd w:val="clear" w:color="auto" w:fill="auto"/>
            <w:tcMar>
              <w:left w:w="28" w:type="dxa"/>
              <w:right w:w="28" w:type="dxa"/>
            </w:tcMar>
            <w:hideMark/>
          </w:tcPr>
          <w:p w14:paraId="51FC512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3953</w:t>
            </w:r>
          </w:p>
        </w:tc>
        <w:tc>
          <w:tcPr>
            <w:tcW w:w="581" w:type="dxa"/>
            <w:tcBorders>
              <w:left w:val="single" w:sz="12" w:space="0" w:color="auto"/>
            </w:tcBorders>
            <w:shd w:val="clear" w:color="auto" w:fill="auto"/>
            <w:tcMar>
              <w:left w:w="28" w:type="dxa"/>
              <w:right w:w="28" w:type="dxa"/>
            </w:tcMar>
            <w:hideMark/>
          </w:tcPr>
          <w:p w14:paraId="57C2BE4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650B8E7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1999-2008</w:t>
            </w:r>
          </w:p>
        </w:tc>
        <w:tc>
          <w:tcPr>
            <w:tcW w:w="466" w:type="dxa"/>
            <w:shd w:val="clear" w:color="auto" w:fill="auto"/>
            <w:tcMar>
              <w:left w:w="28" w:type="dxa"/>
              <w:right w:w="28" w:type="dxa"/>
            </w:tcMar>
            <w:hideMark/>
          </w:tcPr>
          <w:p w14:paraId="0764C2F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IPD</w:t>
            </w:r>
          </w:p>
        </w:tc>
        <w:tc>
          <w:tcPr>
            <w:tcW w:w="1321" w:type="dxa"/>
            <w:tcBorders>
              <w:right w:val="single" w:sz="12" w:space="0" w:color="auto"/>
            </w:tcBorders>
            <w:shd w:val="clear" w:color="auto" w:fill="auto"/>
            <w:tcMar>
              <w:left w:w="28" w:type="dxa"/>
              <w:right w:w="28" w:type="dxa"/>
            </w:tcMar>
            <w:hideMark/>
          </w:tcPr>
          <w:p w14:paraId="3F9975B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WHO</w:t>
            </w:r>
          </w:p>
        </w:tc>
        <w:tc>
          <w:tcPr>
            <w:tcW w:w="976" w:type="dxa"/>
            <w:tcBorders>
              <w:left w:val="single" w:sz="12" w:space="0" w:color="auto"/>
              <w:right w:val="single" w:sz="6" w:space="0" w:color="auto"/>
            </w:tcBorders>
            <w:tcMar>
              <w:left w:w="28" w:type="dxa"/>
              <w:right w:w="28" w:type="dxa"/>
            </w:tcMar>
          </w:tcPr>
          <w:p w14:paraId="7D45FFD0"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left w:val="single" w:sz="6" w:space="0" w:color="auto"/>
            </w:tcBorders>
            <w:tcMar>
              <w:left w:w="28" w:type="dxa"/>
              <w:right w:w="28" w:type="dxa"/>
            </w:tcMar>
          </w:tcPr>
          <w:p w14:paraId="0173C4F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right w:val="single" w:sz="12" w:space="0" w:color="auto"/>
            </w:tcBorders>
            <w:tcMar>
              <w:left w:w="28" w:type="dxa"/>
              <w:right w:w="28" w:type="dxa"/>
            </w:tcMar>
          </w:tcPr>
          <w:p w14:paraId="515777D1"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4356E7E6"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42786654" w14:textId="5C8B0FEF"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FFA8F9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Breast</w:t>
            </w:r>
          </w:p>
        </w:tc>
        <w:tc>
          <w:tcPr>
            <w:tcW w:w="944" w:type="dxa"/>
            <w:tcBorders>
              <w:left w:val="single" w:sz="12" w:space="0" w:color="auto"/>
            </w:tcBorders>
            <w:shd w:val="clear" w:color="auto" w:fill="auto"/>
            <w:tcMar>
              <w:left w:w="28" w:type="dxa"/>
              <w:right w:w="28" w:type="dxa"/>
            </w:tcMar>
            <w:hideMark/>
          </w:tcPr>
          <w:p w14:paraId="6A635CFC"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00F3142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right w:val="single" w:sz="12" w:space="0" w:color="auto"/>
            </w:tcBorders>
            <w:shd w:val="clear" w:color="auto" w:fill="auto"/>
            <w:tcMar>
              <w:left w:w="28" w:type="dxa"/>
              <w:right w:w="28" w:type="dxa"/>
            </w:tcMar>
            <w:hideMark/>
          </w:tcPr>
          <w:p w14:paraId="0859DA0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7A0D92D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75C7EB3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11982ED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1649EA6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42*</w:t>
            </w:r>
          </w:p>
        </w:tc>
        <w:tc>
          <w:tcPr>
            <w:tcW w:w="755" w:type="dxa"/>
            <w:tcBorders>
              <w:right w:val="single" w:sz="12" w:space="0" w:color="auto"/>
            </w:tcBorders>
            <w:shd w:val="clear" w:color="auto" w:fill="auto"/>
            <w:tcMar>
              <w:left w:w="28" w:type="dxa"/>
              <w:right w:w="28" w:type="dxa"/>
            </w:tcMar>
            <w:hideMark/>
          </w:tcPr>
          <w:p w14:paraId="2CB2A51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9163</w:t>
            </w:r>
          </w:p>
        </w:tc>
        <w:tc>
          <w:tcPr>
            <w:tcW w:w="581" w:type="dxa"/>
            <w:tcBorders>
              <w:left w:val="single" w:sz="12" w:space="0" w:color="auto"/>
            </w:tcBorders>
            <w:shd w:val="clear" w:color="auto" w:fill="auto"/>
            <w:tcMar>
              <w:left w:w="28" w:type="dxa"/>
              <w:right w:w="28" w:type="dxa"/>
            </w:tcMar>
            <w:hideMark/>
          </w:tcPr>
          <w:p w14:paraId="5C74799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7B69509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1966-2005</w:t>
            </w:r>
          </w:p>
        </w:tc>
        <w:tc>
          <w:tcPr>
            <w:tcW w:w="466" w:type="dxa"/>
            <w:shd w:val="clear" w:color="auto" w:fill="auto"/>
            <w:tcMar>
              <w:left w:w="28" w:type="dxa"/>
              <w:right w:w="28" w:type="dxa"/>
            </w:tcMar>
            <w:hideMark/>
          </w:tcPr>
          <w:p w14:paraId="1245E70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1EBC01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2D8255C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7C2264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4E80EED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1B287F52"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80B34D3" w14:textId="562B47C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0F66D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944" w:type="dxa"/>
            <w:tcBorders>
              <w:left w:val="single" w:sz="12" w:space="0" w:color="auto"/>
            </w:tcBorders>
            <w:shd w:val="clear" w:color="auto" w:fill="auto"/>
            <w:tcMar>
              <w:left w:w="28" w:type="dxa"/>
              <w:right w:w="28" w:type="dxa"/>
            </w:tcMar>
            <w:hideMark/>
          </w:tcPr>
          <w:p w14:paraId="68D0C24A"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2BBA8CF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EBEB1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Metastatic</w:t>
            </w:r>
          </w:p>
        </w:tc>
        <w:tc>
          <w:tcPr>
            <w:tcW w:w="992" w:type="dxa"/>
            <w:shd w:val="clear" w:color="auto" w:fill="auto"/>
            <w:tcMar>
              <w:left w:w="28" w:type="dxa"/>
              <w:right w:w="28" w:type="dxa"/>
            </w:tcMar>
            <w:hideMark/>
          </w:tcPr>
          <w:p w14:paraId="64B6F5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+ 3rd</w:t>
            </w:r>
          </w:p>
        </w:tc>
        <w:tc>
          <w:tcPr>
            <w:tcW w:w="1280" w:type="dxa"/>
            <w:tcBorders>
              <w:right w:val="single" w:sz="12" w:space="0" w:color="auto"/>
            </w:tcBorders>
            <w:shd w:val="clear" w:color="auto" w:fill="auto"/>
            <w:tcMar>
              <w:left w:w="28" w:type="dxa"/>
              <w:right w:w="28" w:type="dxa"/>
            </w:tcMar>
            <w:hideMark/>
          </w:tcPr>
          <w:p w14:paraId="59E805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3536565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24</w:t>
            </w:r>
          </w:p>
        </w:tc>
        <w:tc>
          <w:tcPr>
            <w:tcW w:w="755" w:type="dxa"/>
            <w:tcBorders>
              <w:right w:val="single" w:sz="12" w:space="0" w:color="auto"/>
            </w:tcBorders>
            <w:shd w:val="clear" w:color="auto" w:fill="auto"/>
            <w:tcMar>
              <w:left w:w="28" w:type="dxa"/>
              <w:right w:w="28" w:type="dxa"/>
            </w:tcMar>
            <w:hideMark/>
          </w:tcPr>
          <w:p w14:paraId="009C0E8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8617</w:t>
            </w:r>
          </w:p>
        </w:tc>
        <w:tc>
          <w:tcPr>
            <w:tcW w:w="581" w:type="dxa"/>
            <w:tcBorders>
              <w:left w:val="single" w:sz="12" w:space="0" w:color="auto"/>
            </w:tcBorders>
            <w:shd w:val="clear" w:color="auto" w:fill="auto"/>
            <w:tcMar>
              <w:left w:w="28" w:type="dxa"/>
              <w:right w:w="28" w:type="dxa"/>
            </w:tcMar>
            <w:hideMark/>
          </w:tcPr>
          <w:p w14:paraId="7DE5CA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73A5B7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1999 to 2014</w:t>
            </w:r>
          </w:p>
        </w:tc>
        <w:tc>
          <w:tcPr>
            <w:tcW w:w="466" w:type="dxa"/>
            <w:shd w:val="clear" w:color="auto" w:fill="auto"/>
            <w:tcMar>
              <w:left w:w="28" w:type="dxa"/>
              <w:right w:w="28" w:type="dxa"/>
            </w:tcMar>
            <w:hideMark/>
          </w:tcPr>
          <w:p w14:paraId="377B3FF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0E52DA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1B8D8C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2051CE6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7D6808DA"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9C32817"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7BA92475" w14:textId="1687B00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Petrelli 2014</w:t>
            </w:r>
            <w:r w:rsidRPr="002D1DD7">
              <w:rPr>
                <w:rFonts w:eastAsia="Times New Roman" w:cs="Times New Roman"/>
                <w:color w:val="000000"/>
                <w:sz w:val="18"/>
                <w:szCs w:val="18"/>
                <w:lang w:eastAsia="zh-CN"/>
              </w:rPr>
              <w:fldChar w:fldCharType="begin">
                <w:fldData xml:space="preserve">PEVuZE5vdGU+PENpdGU+PEF1dGhvcj5QZXRyZWxsaTwvQXV0aG9yPjxZZWFyPjIwMTQ8L1llYXI+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PWZ1bGx0ZXh0JmFtcDtEPW1lZDEwJmFtcDtBTj0yNDI3MTMxMzwvc3R5bGU+PHN0eWxlIGZhY2U9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c2VydmljZXNfcGFnZT9zaWQ9T1ZJRDptZWRsaW5lJmFtcDtpZD1wbWlkOjI0MjcxMzEzJmFtcDtp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PEVuZE5vdGU+PENpdGU+PEF1dGhvcj5QZXRyZWxsaTwvQXV0aG9yPjxZZWFyPjIwMTQ8L1llYXI+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PWZ1bGx0ZXh0JmFtcDtEPW1lZDEwJmFtcDtBTj0yNDI3MTMxMzwvc3R5bGU+PHN0eWxlIGZhY2U9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c2VydmljZXNfcGFnZT9zaWQ9T1ZJRDptZWRsaW5lJmFtcDtpZD1wbWlkOjI0MjcxMzEzJmFtcDtp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124</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22E89B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944" w:type="dxa"/>
            <w:tcBorders>
              <w:left w:val="single" w:sz="12" w:space="0" w:color="auto"/>
              <w:bottom w:val="single" w:sz="12" w:space="0" w:color="auto"/>
            </w:tcBorders>
            <w:shd w:val="clear" w:color="auto" w:fill="auto"/>
            <w:tcMar>
              <w:left w:w="28" w:type="dxa"/>
              <w:right w:w="28" w:type="dxa"/>
            </w:tcMar>
            <w:hideMark/>
          </w:tcPr>
          <w:p w14:paraId="5094404A"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6273480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7B9EF2A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 or advanced</w:t>
            </w:r>
          </w:p>
        </w:tc>
        <w:tc>
          <w:tcPr>
            <w:tcW w:w="992" w:type="dxa"/>
            <w:tcBorders>
              <w:bottom w:val="single" w:sz="12" w:space="0" w:color="auto"/>
            </w:tcBorders>
            <w:shd w:val="clear" w:color="auto" w:fill="auto"/>
            <w:tcMar>
              <w:left w:w="28" w:type="dxa"/>
              <w:right w:w="28" w:type="dxa"/>
            </w:tcMar>
            <w:hideMark/>
          </w:tcPr>
          <w:p w14:paraId="1BD007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280" w:type="dxa"/>
            <w:tcBorders>
              <w:bottom w:val="single" w:sz="12" w:space="0" w:color="auto"/>
              <w:right w:val="single" w:sz="12" w:space="0" w:color="auto"/>
            </w:tcBorders>
            <w:shd w:val="clear" w:color="auto" w:fill="auto"/>
            <w:tcMar>
              <w:left w:w="28" w:type="dxa"/>
              <w:right w:w="28" w:type="dxa"/>
            </w:tcMar>
            <w:hideMark/>
          </w:tcPr>
          <w:p w14:paraId="16AE26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 chemo</w:t>
            </w:r>
          </w:p>
        </w:tc>
        <w:tc>
          <w:tcPr>
            <w:tcW w:w="752" w:type="dxa"/>
            <w:tcBorders>
              <w:left w:val="single" w:sz="12" w:space="0" w:color="auto"/>
              <w:bottom w:val="single" w:sz="12" w:space="0" w:color="auto"/>
            </w:tcBorders>
            <w:shd w:val="clear" w:color="auto" w:fill="auto"/>
            <w:tcMar>
              <w:left w:w="28" w:type="dxa"/>
              <w:right w:w="28" w:type="dxa"/>
            </w:tcMar>
            <w:hideMark/>
          </w:tcPr>
          <w:p w14:paraId="31FF28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55" w:type="dxa"/>
            <w:tcBorders>
              <w:bottom w:val="single" w:sz="12" w:space="0" w:color="auto"/>
              <w:right w:val="single" w:sz="12" w:space="0" w:color="auto"/>
            </w:tcBorders>
            <w:shd w:val="clear" w:color="auto" w:fill="auto"/>
            <w:tcMar>
              <w:left w:w="28" w:type="dxa"/>
              <w:right w:w="28" w:type="dxa"/>
            </w:tcMar>
            <w:hideMark/>
          </w:tcPr>
          <w:p w14:paraId="24C134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10138</w:t>
            </w:r>
            <w:r w:rsidRPr="002D1DD7">
              <w:rPr>
                <w:rFonts w:eastAsia="Times New Roman" w:cs="Times New Roman"/>
                <w:color w:val="000000"/>
                <w:sz w:val="18"/>
                <w:szCs w:val="18"/>
                <w:vertAlign w:val="superscript"/>
                <w:lang w:eastAsia="zh-CN"/>
              </w:rPr>
              <w:t>†</w:t>
            </w:r>
          </w:p>
        </w:tc>
        <w:tc>
          <w:tcPr>
            <w:tcW w:w="581" w:type="dxa"/>
            <w:tcBorders>
              <w:left w:val="single" w:sz="12" w:space="0" w:color="auto"/>
              <w:bottom w:val="single" w:sz="12" w:space="0" w:color="auto"/>
            </w:tcBorders>
            <w:shd w:val="clear" w:color="auto" w:fill="auto"/>
            <w:tcMar>
              <w:left w:w="28" w:type="dxa"/>
              <w:right w:w="28" w:type="dxa"/>
            </w:tcMar>
            <w:hideMark/>
          </w:tcPr>
          <w:p w14:paraId="22FB8A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26F756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2000 to 2012</w:t>
            </w:r>
          </w:p>
        </w:tc>
        <w:tc>
          <w:tcPr>
            <w:tcW w:w="466" w:type="dxa"/>
            <w:tcBorders>
              <w:bottom w:val="single" w:sz="12" w:space="0" w:color="auto"/>
            </w:tcBorders>
            <w:shd w:val="clear" w:color="auto" w:fill="auto"/>
            <w:tcMar>
              <w:left w:w="28" w:type="dxa"/>
              <w:right w:w="28" w:type="dxa"/>
            </w:tcMar>
            <w:hideMark/>
          </w:tcPr>
          <w:p w14:paraId="79C4ABE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09035E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615B02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7B8372A0"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bottom w:val="single" w:sz="12" w:space="0" w:color="auto"/>
              <w:right w:val="single" w:sz="12" w:space="0" w:color="auto"/>
            </w:tcBorders>
            <w:tcMar>
              <w:left w:w="28" w:type="dxa"/>
              <w:right w:w="28" w:type="dxa"/>
            </w:tcMar>
          </w:tcPr>
          <w:p w14:paraId="7CD1700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4A6B1E0"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1EE5BDB8" w14:textId="498804A5" w:rsidR="002E26FD" w:rsidRPr="002D1DD7" w:rsidRDefault="002E26FD" w:rsidP="00054FE8">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Buyse 2000</w:t>
            </w:r>
            <w:r w:rsidRPr="002D1DD7">
              <w:rPr>
                <w:rFonts w:eastAsia="Times New Roman" w:cs="Times New Roman"/>
                <w:sz w:val="18"/>
                <w:szCs w:val="18"/>
                <w:lang w:eastAsia="zh-CN"/>
              </w:rPr>
              <w:fldChar w:fldCharType="begin"/>
            </w:r>
            <w:r w:rsidR="00054FE8">
              <w:rPr>
                <w:rFonts w:eastAsia="Times New Roman" w:cs="Times New Roman"/>
                <w:sz w:val="18"/>
                <w:szCs w:val="18"/>
                <w:lang w:eastAsia="zh-CN"/>
              </w:rPr>
              <w:instrText xml:space="preserve"> ADDIN EN.CITE &lt;EndNote&gt;&lt;Cite&gt;&lt;Author&gt;Buyse&lt;/Author&gt;&lt;Year&gt;2000&lt;/Year&gt;&lt;RecNum&gt;3579&lt;/RecNum&gt;&lt;IDText&gt;$$include full text KC&amp;#xD;$$From Savina&amp;#xD;$$From Haslam (ref 43)&lt;/IDText&gt;&lt;DisplayText&gt;&lt;style face="superscript"&gt;85&lt;/style&gt;&lt;/DisplayText&gt;&lt;record&gt;&lt;rec-number&gt;3579&lt;/rec-number&gt;&lt;foreign-keys&gt;&lt;key app="EN" db-id="dwaevxvazfs2f3ewvzmxrd0k0wasw55p2z2w" timestamp="1580715967"&gt;3579&lt;/key&gt;&lt;/foreign-keys&gt;&lt;ref-type name="Journal Article"&gt;17&lt;/ref-type&gt;&lt;contributors&gt;&lt;authors&gt;&lt;author&gt;Buyse, M.&lt;/author&gt;&lt;author&gt;Thirion, P.&lt;/author&gt;&lt;author&gt;Carlson, R. W.&lt;/author&gt;&lt;author&gt;Burzykowski, T.&lt;/author&gt;&lt;author&gt;Molenberghs, G.&lt;/author&gt;&lt;author&gt;Piedbois, P.&lt;/author&gt;&lt;/authors&gt;&lt;/contributors&gt;&lt;titles&gt;&lt;title&gt;Relation between tumour response to first-line chemotherapy and survival in advanced colorectal cancer: A meta-analysis&lt;/title&gt;&lt;secondary-title&gt;Lancet&lt;/secondary-title&gt;&lt;/titles&gt;&lt;pages&gt;373-378&lt;/pages&gt;&lt;volume&gt;356&lt;/volume&gt;&lt;number&gt;9227&lt;/number&gt;&lt;keywords&gt;&lt;keyword&gt;$$include abstract KC&lt;/keyword&gt;&lt;keyword&gt;$$Broad search&lt;/keyword&gt;&lt;keyword&gt;$$include full text KC&lt;/keyword&gt;&lt;keyword&gt;$$From Savina&lt;/keyword&gt;&lt;keyword&gt;$$From Haslam (ref 43)&lt;/keyword&gt;&lt;/keywords&gt;&lt;dates&gt;&lt;year&gt;2000&lt;/year&gt;&lt;pub-dates&gt;&lt;date&gt;29 Jul&lt;/date&gt;&lt;/pub-dates&gt;&lt;/dates&gt;&lt;urls&gt;&lt;/urls&gt;&lt;remote-database-name&gt;Embase&lt;/remote-database-name&gt;&lt;remote-database-provider&gt;Ovid Technologies&lt;/remote-database-provider&gt;&lt;research-notes&gt;http://ovidsp.ovid.com/ovidweb.cgi?T=JS&amp;amp;CSC=Y&amp;amp;NEWS=N&amp;amp;PAGE=fulltext&amp;amp;D=emed7&amp;amp;AN=30487493&lt;/research-notes&gt;&lt;/record&gt;&lt;/Cite&gt;&lt;/EndNote&gt;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85</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6EABFAA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Colorectal</w:t>
            </w:r>
          </w:p>
        </w:tc>
        <w:tc>
          <w:tcPr>
            <w:tcW w:w="944" w:type="dxa"/>
            <w:tcBorders>
              <w:top w:val="single" w:sz="12" w:space="0" w:color="auto"/>
              <w:left w:val="single" w:sz="12" w:space="0" w:color="auto"/>
            </w:tcBorders>
            <w:shd w:val="clear" w:color="auto" w:fill="auto"/>
            <w:tcMar>
              <w:left w:w="28" w:type="dxa"/>
              <w:right w:w="28" w:type="dxa"/>
            </w:tcMar>
            <w:hideMark/>
          </w:tcPr>
          <w:p w14:paraId="56BAFAEF"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5E3973D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5D1D26B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4262214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49A282F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7A8835F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25</w:t>
            </w:r>
          </w:p>
        </w:tc>
        <w:tc>
          <w:tcPr>
            <w:tcW w:w="755" w:type="dxa"/>
            <w:tcBorders>
              <w:top w:val="single" w:sz="12" w:space="0" w:color="auto"/>
              <w:right w:val="single" w:sz="12" w:space="0" w:color="auto"/>
            </w:tcBorders>
            <w:shd w:val="clear" w:color="auto" w:fill="auto"/>
            <w:tcMar>
              <w:left w:w="28" w:type="dxa"/>
              <w:right w:w="28" w:type="dxa"/>
            </w:tcMar>
            <w:hideMark/>
          </w:tcPr>
          <w:p w14:paraId="568A5F6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3791</w:t>
            </w:r>
          </w:p>
        </w:tc>
        <w:tc>
          <w:tcPr>
            <w:tcW w:w="581" w:type="dxa"/>
            <w:tcBorders>
              <w:top w:val="single" w:sz="12" w:space="0" w:color="auto"/>
              <w:left w:val="single" w:sz="12" w:space="0" w:color="auto"/>
            </w:tcBorders>
            <w:shd w:val="clear" w:color="auto" w:fill="auto"/>
            <w:tcMar>
              <w:left w:w="28" w:type="dxa"/>
              <w:right w:w="28" w:type="dxa"/>
            </w:tcMar>
            <w:hideMark/>
          </w:tcPr>
          <w:p w14:paraId="157BC2A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47E6286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Collected 1990-1996</w:t>
            </w:r>
          </w:p>
        </w:tc>
        <w:tc>
          <w:tcPr>
            <w:tcW w:w="466" w:type="dxa"/>
            <w:tcBorders>
              <w:top w:val="single" w:sz="12" w:space="0" w:color="auto"/>
            </w:tcBorders>
            <w:shd w:val="clear" w:color="auto" w:fill="auto"/>
            <w:tcMar>
              <w:left w:w="28" w:type="dxa"/>
              <w:right w:w="28" w:type="dxa"/>
            </w:tcMar>
            <w:hideMark/>
          </w:tcPr>
          <w:p w14:paraId="63A9AF3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IPD</w:t>
            </w:r>
          </w:p>
        </w:tc>
        <w:tc>
          <w:tcPr>
            <w:tcW w:w="1321" w:type="dxa"/>
            <w:tcBorders>
              <w:top w:val="single" w:sz="12" w:space="0" w:color="auto"/>
              <w:right w:val="single" w:sz="12" w:space="0" w:color="auto"/>
            </w:tcBorders>
            <w:shd w:val="clear" w:color="auto" w:fill="auto"/>
            <w:tcMar>
              <w:left w:w="28" w:type="dxa"/>
              <w:right w:w="28" w:type="dxa"/>
            </w:tcMar>
            <w:hideMark/>
          </w:tcPr>
          <w:p w14:paraId="7FB2E39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WHO</w:t>
            </w:r>
          </w:p>
        </w:tc>
        <w:tc>
          <w:tcPr>
            <w:tcW w:w="976" w:type="dxa"/>
            <w:tcBorders>
              <w:top w:val="single" w:sz="12" w:space="0" w:color="auto"/>
              <w:left w:val="single" w:sz="12" w:space="0" w:color="auto"/>
              <w:right w:val="single" w:sz="6" w:space="0" w:color="auto"/>
            </w:tcBorders>
            <w:tcMar>
              <w:left w:w="28" w:type="dxa"/>
              <w:right w:w="28" w:type="dxa"/>
            </w:tcMar>
          </w:tcPr>
          <w:p w14:paraId="0CD1C3D8"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top w:val="single" w:sz="12" w:space="0" w:color="auto"/>
              <w:left w:val="single" w:sz="6" w:space="0" w:color="auto"/>
            </w:tcBorders>
            <w:tcMar>
              <w:left w:w="28" w:type="dxa"/>
              <w:right w:w="28" w:type="dxa"/>
            </w:tcMar>
          </w:tcPr>
          <w:p w14:paraId="6652DA8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top w:val="single" w:sz="12" w:space="0" w:color="auto"/>
              <w:right w:val="single" w:sz="12" w:space="0" w:color="auto"/>
            </w:tcBorders>
            <w:tcMar>
              <w:left w:w="28" w:type="dxa"/>
              <w:right w:w="28" w:type="dxa"/>
            </w:tcMar>
          </w:tcPr>
          <w:p w14:paraId="1397766B"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15C177AE"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A02B164" w14:textId="778654D0"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Ciani 2015</w:t>
            </w:r>
            <w:r w:rsidRPr="002D1DD7">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86</w:t>
            </w:r>
            <w:r w:rsidRPr="002D1DD7">
              <w:rPr>
                <w:rFonts w:eastAsia="Times New Roman" w:cs="Times New Roman"/>
                <w:sz w:val="18"/>
                <w:szCs w:val="18"/>
                <w:lang w:eastAsia="zh-CN"/>
              </w:rPr>
              <w:fldChar w:fldCharType="end"/>
            </w:r>
            <w:r w:rsidRPr="002D1DD7">
              <w:rPr>
                <w:rFonts w:eastAsia="Times New Roman" w:cs="Times New Roman"/>
                <w:sz w:val="18"/>
                <w:szCs w:val="18"/>
                <w:lang w:eastAsia="zh-CN"/>
              </w:rPr>
              <w:br/>
              <w:t>Elia 2018</w:t>
            </w:r>
            <w:r w:rsidRPr="002D1DD7">
              <w:rPr>
                <w:rFonts w:eastAsia="Times New Roman" w:cs="Times New Roman"/>
                <w:sz w:val="18"/>
                <w:szCs w:val="18"/>
                <w:lang w:eastAsia="zh-CN"/>
              </w:rPr>
              <w:fldChar w:fldCharType="begin"/>
            </w:r>
            <w:r w:rsidR="003117A9">
              <w:rPr>
                <w:rFonts w:eastAsia="Times New Roman" w:cs="Times New Roman"/>
                <w:sz w:val="18"/>
                <w:szCs w:val="18"/>
                <w:lang w:eastAsia="zh-CN"/>
              </w:rPr>
              <w:instrText xml:space="preserve"> ADDIN EN.CITE &lt;EndNote&gt;&lt;Cite&gt;&lt;Author&gt;Elia&lt;/Author&gt;&lt;Year&gt;2018&lt;/Year&gt;&lt;RecNum&gt;749&lt;/RecNum&gt;&lt;IDText&gt;$$include full text KC&amp;#xD;Same dataset as Ciani 2015&lt;/IDText&gt;&lt;DisplayText&gt;&lt;style face="superscript"&gt;93&lt;/style&gt;&lt;/DisplayText&gt;&lt;record&gt;&lt;rec-number&gt;749&lt;/rec-number&gt;&lt;foreign-keys&gt;&lt;key app="EN" db-id="dwaevxvazfs2f3ewvzmxrd0k0wasw55p2z2w" timestamp="1557310654"&gt;749&lt;/key&gt;&lt;/foreign-keys&gt;&lt;ref-type name="Journal Article"&gt;17&lt;/ref-type&gt;&lt;contributors&gt;&lt;authors&gt;&lt;author&gt;Elia, Eleni G&lt;/author&gt;&lt;author&gt;Städler, Nicolas&lt;/author&gt;&lt;author&gt;Ciani, Oriana&lt;/author&gt;&lt;author&gt;Taylor, Rod S&lt;/author&gt;&lt;author&gt;Bujkiewicz, Sylwia&lt;/author&gt;&lt;/authors&gt;&lt;/contributors&gt;&lt;titles&gt;&lt;title&gt;Combining tumour response and progression free survival as surrogate endpoints for overall survival in advanced colorectal cancer&lt;/title&gt;&lt;secondary-title&gt;arXiv preprint arXiv:1809.02935&lt;/secondary-title&gt;&lt;short-title&gt;Combining tumour response and progression free survival as surrogate endpoints for overall survival in advanced colorectal cancer&lt;/short-title&gt;&lt;/titles&gt;&lt;periodical&gt;&lt;full-title&gt;arXiv preprint arXiv:1809.02935&lt;/full-title&gt;&lt;/periodical&gt;&lt;keywords&gt;&lt;keyword&gt;$$include abstract KC&lt;/keyword&gt;&lt;keyword&gt;$$Citation search&lt;/keyword&gt;&lt;/keywords&gt;&lt;dates&gt;&lt;year&gt;2018&lt;/year&gt;&lt;/dates&gt;&lt;label&gt;$$include full text KC&amp;#xD;Same dataset as Ciani 2015&lt;/label&gt;&lt;urls&gt;&lt;/urls&gt;&lt;/record&gt;&lt;/Cite&gt;&lt;/EndNote&gt;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93</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545C536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74F92714"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155D2A1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224B01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4832B6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 or metastatic</w:t>
            </w:r>
          </w:p>
        </w:tc>
        <w:tc>
          <w:tcPr>
            <w:tcW w:w="992" w:type="dxa"/>
            <w:shd w:val="clear" w:color="auto" w:fill="auto"/>
            <w:tcMar>
              <w:left w:w="28" w:type="dxa"/>
              <w:right w:w="28" w:type="dxa"/>
            </w:tcMar>
            <w:hideMark/>
          </w:tcPr>
          <w:p w14:paraId="772412B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All</w:t>
            </w:r>
          </w:p>
        </w:tc>
        <w:tc>
          <w:tcPr>
            <w:tcW w:w="1280" w:type="dxa"/>
            <w:tcBorders>
              <w:right w:val="single" w:sz="12" w:space="0" w:color="auto"/>
            </w:tcBorders>
            <w:shd w:val="clear" w:color="auto" w:fill="auto"/>
            <w:tcMar>
              <w:left w:w="28" w:type="dxa"/>
              <w:right w:w="28" w:type="dxa"/>
            </w:tcMar>
            <w:hideMark/>
          </w:tcPr>
          <w:p w14:paraId="3DEEAE3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Systemic</w:t>
            </w:r>
          </w:p>
        </w:tc>
        <w:tc>
          <w:tcPr>
            <w:tcW w:w="752" w:type="dxa"/>
            <w:tcBorders>
              <w:left w:val="single" w:sz="12" w:space="0" w:color="auto"/>
            </w:tcBorders>
            <w:shd w:val="clear" w:color="auto" w:fill="auto"/>
            <w:tcMar>
              <w:left w:w="28" w:type="dxa"/>
              <w:right w:w="28" w:type="dxa"/>
            </w:tcMar>
            <w:hideMark/>
          </w:tcPr>
          <w:p w14:paraId="089EC64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33</w:t>
            </w:r>
          </w:p>
        </w:tc>
        <w:tc>
          <w:tcPr>
            <w:tcW w:w="755" w:type="dxa"/>
            <w:tcBorders>
              <w:right w:val="single" w:sz="12" w:space="0" w:color="auto"/>
            </w:tcBorders>
            <w:shd w:val="clear" w:color="auto" w:fill="auto"/>
            <w:tcMar>
              <w:left w:w="28" w:type="dxa"/>
              <w:right w:w="28" w:type="dxa"/>
            </w:tcMar>
            <w:hideMark/>
          </w:tcPr>
          <w:p w14:paraId="4E2A730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4D8AD0F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617E96C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2003-2013</w:t>
            </w:r>
          </w:p>
        </w:tc>
        <w:tc>
          <w:tcPr>
            <w:tcW w:w="466" w:type="dxa"/>
            <w:shd w:val="clear" w:color="auto" w:fill="auto"/>
            <w:tcMar>
              <w:left w:w="28" w:type="dxa"/>
              <w:right w:w="28" w:type="dxa"/>
            </w:tcMar>
            <w:hideMark/>
          </w:tcPr>
          <w:p w14:paraId="506A1E7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122079F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 or WHO</w:t>
            </w:r>
          </w:p>
        </w:tc>
        <w:tc>
          <w:tcPr>
            <w:tcW w:w="976" w:type="dxa"/>
            <w:tcBorders>
              <w:left w:val="single" w:sz="12" w:space="0" w:color="auto"/>
              <w:right w:val="single" w:sz="6" w:space="0" w:color="auto"/>
            </w:tcBorders>
            <w:tcMar>
              <w:left w:w="28" w:type="dxa"/>
              <w:right w:w="28" w:type="dxa"/>
            </w:tcMar>
          </w:tcPr>
          <w:p w14:paraId="02F43A20"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left w:val="single" w:sz="6" w:space="0" w:color="auto"/>
            </w:tcBorders>
            <w:tcMar>
              <w:left w:w="28" w:type="dxa"/>
              <w:right w:w="28" w:type="dxa"/>
            </w:tcMar>
          </w:tcPr>
          <w:p w14:paraId="6E6689F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right w:val="single" w:sz="12" w:space="0" w:color="auto"/>
            </w:tcBorders>
            <w:tcMar>
              <w:left w:w="28" w:type="dxa"/>
              <w:right w:w="28" w:type="dxa"/>
            </w:tcMar>
          </w:tcPr>
          <w:p w14:paraId="6EC8506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r>
      <w:tr w:rsidR="002E26FD" w:rsidRPr="002D1DD7" w14:paraId="1E9C95BC"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A191638" w14:textId="1A396A60"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Colloca 2016b</w:t>
            </w:r>
            <w:r w:rsidRPr="002D1DD7">
              <w:rPr>
                <w:rFonts w:eastAsia="Times New Roman" w:cs="Times New Roman"/>
                <w:sz w:val="18"/>
                <w:szCs w:val="18"/>
                <w:lang w:eastAsia="zh-CN"/>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89</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F762B2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2363261B"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2DB99BA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DoR</w:t>
            </w:r>
          </w:p>
        </w:tc>
        <w:tc>
          <w:tcPr>
            <w:tcW w:w="829" w:type="dxa"/>
            <w:tcBorders>
              <w:right w:val="single" w:sz="12" w:space="0" w:color="auto"/>
            </w:tcBorders>
            <w:shd w:val="clear" w:color="auto" w:fill="auto"/>
            <w:tcMar>
              <w:left w:w="28" w:type="dxa"/>
              <w:right w:w="28" w:type="dxa"/>
            </w:tcMar>
            <w:hideMark/>
          </w:tcPr>
          <w:p w14:paraId="4495E25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519CB3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09952CF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3AEA8D2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Bevacizumab + chemo</w:t>
            </w:r>
          </w:p>
        </w:tc>
        <w:tc>
          <w:tcPr>
            <w:tcW w:w="752" w:type="dxa"/>
            <w:tcBorders>
              <w:left w:val="single" w:sz="12" w:space="0" w:color="auto"/>
            </w:tcBorders>
            <w:shd w:val="clear" w:color="auto" w:fill="auto"/>
            <w:tcMar>
              <w:left w:w="28" w:type="dxa"/>
              <w:right w:w="28" w:type="dxa"/>
            </w:tcMar>
            <w:hideMark/>
          </w:tcPr>
          <w:p w14:paraId="53358B9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11</w:t>
            </w:r>
          </w:p>
        </w:tc>
        <w:tc>
          <w:tcPr>
            <w:tcW w:w="755" w:type="dxa"/>
            <w:tcBorders>
              <w:right w:val="single" w:sz="12" w:space="0" w:color="auto"/>
            </w:tcBorders>
            <w:shd w:val="clear" w:color="auto" w:fill="auto"/>
            <w:tcMar>
              <w:left w:w="28" w:type="dxa"/>
              <w:right w:w="28" w:type="dxa"/>
            </w:tcMar>
            <w:hideMark/>
          </w:tcPr>
          <w:p w14:paraId="483A420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7E03FCA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79FF908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2000-2014</w:t>
            </w:r>
          </w:p>
        </w:tc>
        <w:tc>
          <w:tcPr>
            <w:tcW w:w="466" w:type="dxa"/>
            <w:shd w:val="clear" w:color="auto" w:fill="auto"/>
            <w:tcMar>
              <w:left w:w="28" w:type="dxa"/>
              <w:right w:w="28" w:type="dxa"/>
            </w:tcMar>
            <w:hideMark/>
          </w:tcPr>
          <w:p w14:paraId="5C5804A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7B829E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w:t>
            </w:r>
          </w:p>
        </w:tc>
        <w:tc>
          <w:tcPr>
            <w:tcW w:w="976" w:type="dxa"/>
            <w:tcBorders>
              <w:left w:val="single" w:sz="12" w:space="0" w:color="auto"/>
              <w:right w:val="single" w:sz="6" w:space="0" w:color="auto"/>
            </w:tcBorders>
            <w:tcMar>
              <w:left w:w="28" w:type="dxa"/>
              <w:right w:w="28" w:type="dxa"/>
            </w:tcMar>
          </w:tcPr>
          <w:p w14:paraId="2F2C6094"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left w:val="single" w:sz="6" w:space="0" w:color="auto"/>
            </w:tcBorders>
            <w:tcMar>
              <w:left w:w="28" w:type="dxa"/>
              <w:right w:w="28" w:type="dxa"/>
            </w:tcMar>
          </w:tcPr>
          <w:p w14:paraId="5481E98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right w:val="single" w:sz="12" w:space="0" w:color="auto"/>
            </w:tcBorders>
            <w:tcMar>
              <w:left w:w="28" w:type="dxa"/>
              <w:right w:w="28" w:type="dxa"/>
            </w:tcMar>
          </w:tcPr>
          <w:p w14:paraId="16E9B39F"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47F0A7C1"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828FEE5" w14:textId="7019AECC" w:rsidR="002E26FD" w:rsidRPr="002D1DD7" w:rsidRDefault="002E26FD" w:rsidP="00054FE8">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Giessen 2015</w:t>
            </w:r>
            <w:r w:rsidRPr="002D1DD7">
              <w:rPr>
                <w:rFonts w:eastAsia="Times New Roman" w:cs="Times New Roman"/>
                <w:sz w:val="18"/>
                <w:szCs w:val="18"/>
                <w:lang w:eastAsia="zh-CN"/>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ZXJzY3JpcHQiPjk1PC9zdHlsZT48L0Rpc3BsYXlUZXh0PjxyZWNvcmQ+PHJlYy1udW1iZXI+OTQ2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</w:fldData>
              </w:fldChar>
            </w:r>
            <w:r w:rsidR="00054FE8">
              <w:rPr>
                <w:rFonts w:eastAsia="Times New Roman" w:cs="Times New Roman"/>
                <w:sz w:val="18"/>
                <w:szCs w:val="18"/>
                <w:lang w:eastAsia="zh-CN"/>
              </w:rPr>
              <w:instrText xml:space="preserve"> ADDIN EN.CITE </w:instrText>
            </w:r>
            <w:r w:rsidR="00054FE8">
              <w:rPr>
                <w:rFonts w:eastAsia="Times New Roman" w:cs="Times New Roman"/>
                <w:sz w:val="18"/>
                <w:szCs w:val="18"/>
                <w:lang w:eastAsia="zh-CN"/>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ZXJzY3JpcHQiPjk1PC9zdHlsZT48L0Rpc3BsYXlUZXh0PjxyZWNvcmQ+PHJlYy1udW1iZXI+OTQ2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</w:fldData>
              </w:fldChar>
            </w:r>
            <w:r w:rsidR="00054FE8">
              <w:rPr>
                <w:rFonts w:eastAsia="Times New Roman" w:cs="Times New Roman"/>
                <w:sz w:val="18"/>
                <w:szCs w:val="18"/>
                <w:lang w:eastAsia="zh-CN"/>
              </w:rPr>
              <w:instrText xml:space="preserve"> ADDIN EN.CITE.DATA </w:instrText>
            </w:r>
            <w:r w:rsidR="00054FE8">
              <w:rPr>
                <w:rFonts w:eastAsia="Times New Roman" w:cs="Times New Roman"/>
                <w:sz w:val="18"/>
                <w:szCs w:val="18"/>
                <w:lang w:eastAsia="zh-CN"/>
              </w:rPr>
            </w:r>
            <w:r w:rsidR="00054FE8">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95</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57C7A0D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2071FF25"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5055FA4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0D6EFC0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75C6DBD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2nd</w:t>
            </w:r>
          </w:p>
        </w:tc>
        <w:tc>
          <w:tcPr>
            <w:tcW w:w="1280" w:type="dxa"/>
            <w:tcBorders>
              <w:right w:val="single" w:sz="12" w:space="0" w:color="auto"/>
            </w:tcBorders>
            <w:shd w:val="clear" w:color="auto" w:fill="auto"/>
            <w:tcMar>
              <w:left w:w="28" w:type="dxa"/>
              <w:right w:w="28" w:type="dxa"/>
            </w:tcMar>
            <w:hideMark/>
          </w:tcPr>
          <w:p w14:paraId="68ED0F1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6968B7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55" w:type="dxa"/>
            <w:tcBorders>
              <w:right w:val="single" w:sz="12" w:space="0" w:color="auto"/>
            </w:tcBorders>
            <w:shd w:val="clear" w:color="auto" w:fill="auto"/>
            <w:tcMar>
              <w:left w:w="28" w:type="dxa"/>
              <w:right w:w="28" w:type="dxa"/>
            </w:tcMar>
            <w:hideMark/>
          </w:tcPr>
          <w:p w14:paraId="7156800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10509</w:t>
            </w:r>
          </w:p>
        </w:tc>
        <w:tc>
          <w:tcPr>
            <w:tcW w:w="581" w:type="dxa"/>
            <w:tcBorders>
              <w:left w:val="single" w:sz="12" w:space="0" w:color="auto"/>
            </w:tcBorders>
            <w:shd w:val="clear" w:color="auto" w:fill="auto"/>
            <w:tcMar>
              <w:left w:w="28" w:type="dxa"/>
              <w:right w:w="28" w:type="dxa"/>
            </w:tcMar>
            <w:hideMark/>
          </w:tcPr>
          <w:p w14:paraId="1E7A644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586612F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2000-2013</w:t>
            </w:r>
          </w:p>
        </w:tc>
        <w:tc>
          <w:tcPr>
            <w:tcW w:w="466" w:type="dxa"/>
            <w:shd w:val="clear" w:color="auto" w:fill="auto"/>
            <w:tcMar>
              <w:left w:w="28" w:type="dxa"/>
              <w:right w:w="28" w:type="dxa"/>
            </w:tcMar>
            <w:hideMark/>
          </w:tcPr>
          <w:p w14:paraId="5EF294C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1B416F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(17), WHO (5)</w:t>
            </w:r>
          </w:p>
        </w:tc>
        <w:tc>
          <w:tcPr>
            <w:tcW w:w="976" w:type="dxa"/>
            <w:tcBorders>
              <w:left w:val="single" w:sz="12" w:space="0" w:color="auto"/>
              <w:right w:val="single" w:sz="6" w:space="0" w:color="auto"/>
            </w:tcBorders>
            <w:tcMar>
              <w:left w:w="28" w:type="dxa"/>
              <w:right w:w="28" w:type="dxa"/>
            </w:tcMar>
          </w:tcPr>
          <w:p w14:paraId="386814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0BEA3BB9"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3401E666"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2C34A33"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66062A3" w14:textId="64F19A0C"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Cremolini 2017</w:t>
            </w:r>
            <w:r w:rsidRPr="002D1DD7">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91</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AB50B0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3E745F6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117D198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07486C5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00701BF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2nd</w:t>
            </w:r>
          </w:p>
        </w:tc>
        <w:tc>
          <w:tcPr>
            <w:tcW w:w="1280" w:type="dxa"/>
            <w:tcBorders>
              <w:right w:val="single" w:sz="12" w:space="0" w:color="auto"/>
            </w:tcBorders>
            <w:shd w:val="clear" w:color="auto" w:fill="auto"/>
            <w:tcMar>
              <w:left w:w="28" w:type="dxa"/>
              <w:right w:w="28" w:type="dxa"/>
            </w:tcMar>
            <w:hideMark/>
          </w:tcPr>
          <w:p w14:paraId="67EDC9F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Targeted</w:t>
            </w:r>
          </w:p>
        </w:tc>
        <w:tc>
          <w:tcPr>
            <w:tcW w:w="752" w:type="dxa"/>
            <w:tcBorders>
              <w:left w:val="single" w:sz="12" w:space="0" w:color="auto"/>
            </w:tcBorders>
            <w:shd w:val="clear" w:color="auto" w:fill="auto"/>
            <w:tcMar>
              <w:left w:w="28" w:type="dxa"/>
              <w:right w:w="28" w:type="dxa"/>
            </w:tcMar>
            <w:hideMark/>
          </w:tcPr>
          <w:p w14:paraId="2868FC0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w:t>
            </w:r>
          </w:p>
        </w:tc>
        <w:tc>
          <w:tcPr>
            <w:tcW w:w="755" w:type="dxa"/>
            <w:tcBorders>
              <w:right w:val="single" w:sz="12" w:space="0" w:color="auto"/>
            </w:tcBorders>
            <w:shd w:val="clear" w:color="auto" w:fill="auto"/>
            <w:tcMar>
              <w:left w:w="28" w:type="dxa"/>
              <w:right w:w="28" w:type="dxa"/>
            </w:tcMar>
            <w:hideMark/>
          </w:tcPr>
          <w:p w14:paraId="5E99061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7571</w:t>
            </w:r>
          </w:p>
        </w:tc>
        <w:tc>
          <w:tcPr>
            <w:tcW w:w="581" w:type="dxa"/>
            <w:tcBorders>
              <w:left w:val="single" w:sz="12" w:space="0" w:color="auto"/>
            </w:tcBorders>
            <w:shd w:val="clear" w:color="auto" w:fill="auto"/>
            <w:tcMar>
              <w:left w:w="28" w:type="dxa"/>
              <w:right w:w="28" w:type="dxa"/>
            </w:tcMar>
            <w:hideMark/>
          </w:tcPr>
          <w:p w14:paraId="2F8C462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336C01D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2015</w:t>
            </w:r>
          </w:p>
        </w:tc>
        <w:tc>
          <w:tcPr>
            <w:tcW w:w="466" w:type="dxa"/>
            <w:shd w:val="clear" w:color="auto" w:fill="auto"/>
            <w:tcMar>
              <w:left w:w="28" w:type="dxa"/>
              <w:right w:w="28" w:type="dxa"/>
            </w:tcMar>
            <w:hideMark/>
          </w:tcPr>
          <w:p w14:paraId="518E528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C0076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18CF29E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5E8834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2A57BB90"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F992867"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19023390" w14:textId="6FD3E62E"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Johnson 2006</w:t>
            </w:r>
            <w:r w:rsidRPr="002D1DD7">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106</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0480D52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5D7E5910"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532BAC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D84B33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76DC183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749A3B5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5BE3638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146</w:t>
            </w:r>
            <w:r w:rsidRPr="002D1DD7">
              <w:rPr>
                <w:rFonts w:eastAsia="Times New Roman" w:cs="Times New Roman"/>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3D6E13A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35337</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42F5A15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643ABFF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2005</w:t>
            </w:r>
          </w:p>
        </w:tc>
        <w:tc>
          <w:tcPr>
            <w:tcW w:w="466" w:type="dxa"/>
            <w:shd w:val="clear" w:color="auto" w:fill="auto"/>
            <w:tcMar>
              <w:left w:w="28" w:type="dxa"/>
              <w:right w:w="28" w:type="dxa"/>
            </w:tcMar>
            <w:hideMark/>
          </w:tcPr>
          <w:p w14:paraId="3CE29C1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C8B6E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 (very few RECIST)</w:t>
            </w:r>
          </w:p>
        </w:tc>
        <w:tc>
          <w:tcPr>
            <w:tcW w:w="976" w:type="dxa"/>
            <w:tcBorders>
              <w:left w:val="single" w:sz="12" w:space="0" w:color="auto"/>
              <w:right w:val="single" w:sz="6" w:space="0" w:color="auto"/>
            </w:tcBorders>
            <w:tcMar>
              <w:left w:w="28" w:type="dxa"/>
              <w:right w:w="28" w:type="dxa"/>
            </w:tcMar>
          </w:tcPr>
          <w:p w14:paraId="6C1E1B80"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5A11E1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7B00250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14C095A8"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41AFCD5C" w14:textId="65576CCF"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Louvet 2001</w:t>
            </w:r>
            <w:r w:rsidRPr="002D1DD7">
              <w:rPr>
                <w:rFonts w:eastAsia="Times New Roman" w:cs="Times New Roman"/>
                <w:color w:val="000000"/>
                <w:sz w:val="18"/>
                <w:szCs w:val="18"/>
                <w:lang w:eastAsia="zh-CN"/>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eastAsia="Times New Roman" w:cs="Times New Roman"/>
                <w:color w:val="000000"/>
                <w:sz w:val="18"/>
                <w:szCs w:val="18"/>
                <w:lang w:eastAsia="zh-CN"/>
              </w:rPr>
              <w:instrText xml:space="preserve"> ADDIN EN.CITE </w:instrText>
            </w:r>
            <w:r w:rsidR="00054FE8">
              <w:rPr>
                <w:rFonts w:eastAsia="Times New Roman" w:cs="Times New Roman"/>
                <w:color w:val="000000"/>
                <w:sz w:val="18"/>
                <w:szCs w:val="18"/>
                <w:lang w:eastAsia="zh-CN"/>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eastAsia="Times New Roman" w:cs="Times New Roman"/>
                <w:color w:val="000000"/>
                <w:sz w:val="18"/>
                <w:szCs w:val="18"/>
                <w:lang w:eastAsia="zh-CN"/>
              </w:rPr>
              <w:instrText xml:space="preserve"> ADDIN EN.CITE.DATA </w:instrText>
            </w:r>
            <w:r w:rsidR="00054FE8">
              <w:rPr>
                <w:rFonts w:eastAsia="Times New Roman" w:cs="Times New Roman"/>
                <w:color w:val="000000"/>
                <w:sz w:val="18"/>
                <w:szCs w:val="18"/>
                <w:lang w:eastAsia="zh-CN"/>
              </w:rPr>
            </w:r>
            <w:r w:rsidR="00054FE8">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112</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06629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3A4E116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5FFD975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1EA3F46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12E38F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Metastatic</w:t>
            </w:r>
          </w:p>
        </w:tc>
        <w:tc>
          <w:tcPr>
            <w:tcW w:w="992" w:type="dxa"/>
            <w:shd w:val="clear" w:color="auto" w:fill="auto"/>
            <w:tcMar>
              <w:left w:w="28" w:type="dxa"/>
              <w:right w:w="28" w:type="dxa"/>
            </w:tcMar>
            <w:hideMark/>
          </w:tcPr>
          <w:p w14:paraId="3F170FA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72C095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752" w:type="dxa"/>
            <w:tcBorders>
              <w:left w:val="single" w:sz="12" w:space="0" w:color="auto"/>
            </w:tcBorders>
            <w:shd w:val="clear" w:color="auto" w:fill="auto"/>
            <w:tcMar>
              <w:left w:w="28" w:type="dxa"/>
              <w:right w:w="28" w:type="dxa"/>
            </w:tcMar>
            <w:hideMark/>
          </w:tcPr>
          <w:p w14:paraId="614061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29</w:t>
            </w:r>
          </w:p>
        </w:tc>
        <w:tc>
          <w:tcPr>
            <w:tcW w:w="755" w:type="dxa"/>
            <w:tcBorders>
              <w:right w:val="single" w:sz="12" w:space="0" w:color="auto"/>
            </w:tcBorders>
            <w:shd w:val="clear" w:color="auto" w:fill="auto"/>
            <w:tcMar>
              <w:left w:w="28" w:type="dxa"/>
              <w:right w:w="28" w:type="dxa"/>
            </w:tcMar>
            <w:hideMark/>
          </w:tcPr>
          <w:p w14:paraId="7DE729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13498</w:t>
            </w:r>
          </w:p>
        </w:tc>
        <w:tc>
          <w:tcPr>
            <w:tcW w:w="581" w:type="dxa"/>
            <w:tcBorders>
              <w:left w:val="single" w:sz="12" w:space="0" w:color="auto"/>
            </w:tcBorders>
            <w:shd w:val="clear" w:color="auto" w:fill="auto"/>
            <w:tcMar>
              <w:left w:w="28" w:type="dxa"/>
              <w:right w:w="28" w:type="dxa"/>
            </w:tcMar>
            <w:hideMark/>
          </w:tcPr>
          <w:p w14:paraId="282690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6A80BD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1990 to 2000</w:t>
            </w:r>
          </w:p>
        </w:tc>
        <w:tc>
          <w:tcPr>
            <w:tcW w:w="466" w:type="dxa"/>
            <w:shd w:val="clear" w:color="auto" w:fill="auto"/>
            <w:tcMar>
              <w:left w:w="28" w:type="dxa"/>
              <w:right w:w="28" w:type="dxa"/>
            </w:tcMar>
            <w:hideMark/>
          </w:tcPr>
          <w:p w14:paraId="67F0188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00E8C3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7CABD5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6723D32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64686A3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BD58777"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B3A0C4C" w14:textId="248DE19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Sidhu 2013</w:t>
            </w:r>
            <w:r w:rsidRPr="002D1DD7">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133</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3CF697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5B164633"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008FF05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D03FC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Metastatic</w:t>
            </w:r>
          </w:p>
        </w:tc>
        <w:tc>
          <w:tcPr>
            <w:tcW w:w="992" w:type="dxa"/>
            <w:shd w:val="clear" w:color="auto" w:fill="auto"/>
            <w:tcMar>
              <w:left w:w="28" w:type="dxa"/>
              <w:right w:w="28" w:type="dxa"/>
            </w:tcMar>
            <w:hideMark/>
          </w:tcPr>
          <w:p w14:paraId="0D0C74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(most)</w:t>
            </w:r>
          </w:p>
        </w:tc>
        <w:tc>
          <w:tcPr>
            <w:tcW w:w="1280" w:type="dxa"/>
            <w:tcBorders>
              <w:right w:val="single" w:sz="12" w:space="0" w:color="auto"/>
            </w:tcBorders>
            <w:shd w:val="clear" w:color="auto" w:fill="auto"/>
            <w:tcMar>
              <w:left w:w="28" w:type="dxa"/>
              <w:right w:w="28" w:type="dxa"/>
            </w:tcMar>
            <w:hideMark/>
          </w:tcPr>
          <w:p w14:paraId="31ECEF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 targeted</w:t>
            </w:r>
          </w:p>
        </w:tc>
        <w:tc>
          <w:tcPr>
            <w:tcW w:w="752" w:type="dxa"/>
            <w:tcBorders>
              <w:left w:val="single" w:sz="12" w:space="0" w:color="auto"/>
            </w:tcBorders>
            <w:shd w:val="clear" w:color="auto" w:fill="auto"/>
            <w:tcMar>
              <w:left w:w="28" w:type="dxa"/>
              <w:right w:w="28" w:type="dxa"/>
            </w:tcMar>
            <w:hideMark/>
          </w:tcPr>
          <w:p w14:paraId="69B3EC2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24</w:t>
            </w:r>
            <w:r w:rsidRPr="002D1DD7">
              <w:rPr>
                <w:rFonts w:eastAsia="Times New Roman" w:cs="Times New Roman"/>
                <w:color w:val="000000"/>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3677284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20438</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14515C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1060F3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2000 to 2011</w:t>
            </w:r>
          </w:p>
        </w:tc>
        <w:tc>
          <w:tcPr>
            <w:tcW w:w="466" w:type="dxa"/>
            <w:shd w:val="clear" w:color="auto" w:fill="auto"/>
            <w:tcMar>
              <w:left w:w="28" w:type="dxa"/>
              <w:right w:w="28" w:type="dxa"/>
            </w:tcMar>
            <w:hideMark/>
          </w:tcPr>
          <w:p w14:paraId="725BA1E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405F43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21B0802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0B31F8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1705929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DD9B4C3"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59BACD8D" w14:textId="61C6227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Tang 2007</w:t>
            </w:r>
            <w:r w:rsidRPr="002D1DD7">
              <w:rPr>
                <w:rFonts w:eastAsia="Times New Roman" w:cs="Times New Roman"/>
                <w:color w:val="000000"/>
                <w:sz w:val="18"/>
                <w:szCs w:val="18"/>
                <w:lang w:eastAsia="zh-CN"/>
              </w:rPr>
              <w:fldChar w:fldCharType="begin">
                <w:fldData xml:space="preserve">PEVuZE5vdGU+PENpdGU+PEF1dGhvcj5UYW5nPC9BdXRob3I+PFllYXI+MjAwNzwvWWVhcj48UmVj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bXA7TkVXUz1OJmFtcDtQQUdFPWZ1bGx0ZXh0JmFtcDtEPW1lZDUmYW1wO0FOPTE3ODc2MDEwPC9z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aWQ6MTc4NzYwMTAmYW1wO2lkPWRvaToxMC4xMjAwJTJGSkNPLjIwMDYuMDguMTkzNSZhbXA7aXNz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PEVuZE5vdGU+PENpdGU+PEF1dGhvcj5UYW5nPC9BdXRob3I+PFllYXI+MjAwNzwvWWVhcj48UmVj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bXA7TkVXUz1OJmFtcDtQQUdFPWZ1bGx0ZXh0JmFtcDtEPW1lZDUmYW1wO0FOPTE3ODc2MDEwPC9z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aWQ6MTc4NzYwMTAmYW1wO2lkPWRvaToxMC4xMjAwJTJGSkNPLjIwMDYuMDguMTkzNSZhbXA7aXNz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135</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E6C74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944" w:type="dxa"/>
            <w:tcBorders>
              <w:left w:val="single" w:sz="12" w:space="0" w:color="auto"/>
            </w:tcBorders>
            <w:shd w:val="clear" w:color="auto" w:fill="auto"/>
            <w:tcMar>
              <w:left w:w="28" w:type="dxa"/>
              <w:right w:w="28" w:type="dxa"/>
            </w:tcMar>
            <w:hideMark/>
          </w:tcPr>
          <w:p w14:paraId="51C17A94"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068862C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394111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Metastatic</w:t>
            </w:r>
          </w:p>
        </w:tc>
        <w:tc>
          <w:tcPr>
            <w:tcW w:w="992" w:type="dxa"/>
            <w:shd w:val="clear" w:color="auto" w:fill="auto"/>
            <w:tcMar>
              <w:left w:w="28" w:type="dxa"/>
              <w:right w:w="28" w:type="dxa"/>
            </w:tcMar>
            <w:hideMark/>
          </w:tcPr>
          <w:p w14:paraId="103DCD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2DF74C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033976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w:t>
            </w:r>
          </w:p>
        </w:tc>
        <w:tc>
          <w:tcPr>
            <w:tcW w:w="755" w:type="dxa"/>
            <w:tcBorders>
              <w:right w:val="single" w:sz="12" w:space="0" w:color="auto"/>
            </w:tcBorders>
            <w:shd w:val="clear" w:color="auto" w:fill="auto"/>
            <w:tcMar>
              <w:left w:w="28" w:type="dxa"/>
              <w:right w:w="28" w:type="dxa"/>
            </w:tcMar>
            <w:hideMark/>
          </w:tcPr>
          <w:p w14:paraId="4E7AA0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18668</w:t>
            </w:r>
          </w:p>
        </w:tc>
        <w:tc>
          <w:tcPr>
            <w:tcW w:w="581" w:type="dxa"/>
            <w:tcBorders>
              <w:left w:val="single" w:sz="12" w:space="0" w:color="auto"/>
            </w:tcBorders>
            <w:shd w:val="clear" w:color="auto" w:fill="auto"/>
            <w:tcMar>
              <w:left w:w="28" w:type="dxa"/>
              <w:right w:w="28" w:type="dxa"/>
            </w:tcMar>
            <w:hideMark/>
          </w:tcPr>
          <w:p w14:paraId="515C4B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5CBEDB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1990 to 2005</w:t>
            </w:r>
          </w:p>
        </w:tc>
        <w:tc>
          <w:tcPr>
            <w:tcW w:w="466" w:type="dxa"/>
            <w:shd w:val="clear" w:color="auto" w:fill="auto"/>
            <w:tcMar>
              <w:left w:w="28" w:type="dxa"/>
              <w:right w:w="28" w:type="dxa"/>
            </w:tcMar>
            <w:hideMark/>
          </w:tcPr>
          <w:p w14:paraId="2100E28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9FF8B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1BA2C5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4E7C1E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0AB4317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5B216088"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63F86837" w14:textId="4E891F6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4BC2FB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944" w:type="dxa"/>
            <w:tcBorders>
              <w:left w:val="single" w:sz="12" w:space="0" w:color="auto"/>
              <w:bottom w:val="single" w:sz="12" w:space="0" w:color="auto"/>
            </w:tcBorders>
            <w:shd w:val="clear" w:color="auto" w:fill="auto"/>
            <w:tcMar>
              <w:left w:w="28" w:type="dxa"/>
              <w:right w:w="28" w:type="dxa"/>
            </w:tcMar>
            <w:hideMark/>
          </w:tcPr>
          <w:p w14:paraId="12445C9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63A105D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36AD68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24B52B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tcBorders>
              <w:bottom w:val="single" w:sz="12" w:space="0" w:color="auto"/>
            </w:tcBorders>
            <w:shd w:val="clear" w:color="auto" w:fill="auto"/>
            <w:tcMar>
              <w:left w:w="28" w:type="dxa"/>
              <w:right w:w="28" w:type="dxa"/>
            </w:tcMar>
            <w:hideMark/>
          </w:tcPr>
          <w:p w14:paraId="554521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bottom w:val="single" w:sz="12" w:space="0" w:color="auto"/>
              <w:right w:val="single" w:sz="12" w:space="0" w:color="auto"/>
            </w:tcBorders>
            <w:shd w:val="clear" w:color="auto" w:fill="auto"/>
            <w:tcMar>
              <w:left w:w="28" w:type="dxa"/>
              <w:right w:w="28" w:type="dxa"/>
            </w:tcMar>
            <w:hideMark/>
          </w:tcPr>
          <w:p w14:paraId="58203D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752" w:type="dxa"/>
            <w:tcBorders>
              <w:left w:val="single" w:sz="12" w:space="0" w:color="auto"/>
              <w:bottom w:val="single" w:sz="12" w:space="0" w:color="auto"/>
            </w:tcBorders>
            <w:shd w:val="clear" w:color="auto" w:fill="auto"/>
            <w:tcMar>
              <w:left w:w="28" w:type="dxa"/>
              <w:right w:w="28" w:type="dxa"/>
            </w:tcMar>
            <w:hideMark/>
          </w:tcPr>
          <w:p w14:paraId="67E4F8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55" w:type="dxa"/>
            <w:tcBorders>
              <w:bottom w:val="single" w:sz="12" w:space="0" w:color="auto"/>
              <w:right w:val="single" w:sz="12" w:space="0" w:color="auto"/>
            </w:tcBorders>
            <w:shd w:val="clear" w:color="auto" w:fill="auto"/>
            <w:tcMar>
              <w:left w:w="28" w:type="dxa"/>
              <w:right w:w="28" w:type="dxa"/>
            </w:tcMar>
            <w:hideMark/>
          </w:tcPr>
          <w:p w14:paraId="562C6FE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bottom w:val="single" w:sz="12" w:space="0" w:color="auto"/>
            </w:tcBorders>
            <w:shd w:val="clear" w:color="auto" w:fill="auto"/>
            <w:tcMar>
              <w:left w:w="28" w:type="dxa"/>
              <w:right w:w="28" w:type="dxa"/>
            </w:tcMar>
            <w:hideMark/>
          </w:tcPr>
          <w:p w14:paraId="01CD08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31B976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2009</w:t>
            </w:r>
          </w:p>
        </w:tc>
        <w:tc>
          <w:tcPr>
            <w:tcW w:w="466" w:type="dxa"/>
            <w:tcBorders>
              <w:bottom w:val="single" w:sz="12" w:space="0" w:color="auto"/>
            </w:tcBorders>
            <w:shd w:val="clear" w:color="auto" w:fill="auto"/>
            <w:tcMar>
              <w:left w:w="28" w:type="dxa"/>
              <w:right w:w="28" w:type="dxa"/>
            </w:tcMar>
            <w:hideMark/>
          </w:tcPr>
          <w:p w14:paraId="32FAEF5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5FBD99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07B2DD5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bottom w:val="single" w:sz="12" w:space="0" w:color="auto"/>
            </w:tcBorders>
            <w:tcMar>
              <w:left w:w="28" w:type="dxa"/>
              <w:right w:w="28" w:type="dxa"/>
            </w:tcMar>
          </w:tcPr>
          <w:p w14:paraId="73E2DD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bottom w:val="single" w:sz="12" w:space="0" w:color="auto"/>
              <w:right w:val="single" w:sz="12" w:space="0" w:color="auto"/>
            </w:tcBorders>
            <w:tcMar>
              <w:left w:w="28" w:type="dxa"/>
              <w:right w:w="28" w:type="dxa"/>
            </w:tcMar>
          </w:tcPr>
          <w:p w14:paraId="614CD201"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74700C6"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2A811806" w14:textId="44D5899A"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Ichikawa 2006</w:t>
            </w:r>
            <w:r w:rsidRPr="002D1DD7">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102</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3583771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Gastric</w:t>
            </w:r>
          </w:p>
        </w:tc>
        <w:tc>
          <w:tcPr>
            <w:tcW w:w="944" w:type="dxa"/>
            <w:tcBorders>
              <w:top w:val="single" w:sz="12" w:space="0" w:color="auto"/>
              <w:left w:val="single" w:sz="12" w:space="0" w:color="auto"/>
            </w:tcBorders>
            <w:shd w:val="clear" w:color="auto" w:fill="auto"/>
            <w:tcMar>
              <w:left w:w="28" w:type="dxa"/>
              <w:right w:w="28" w:type="dxa"/>
            </w:tcMar>
            <w:hideMark/>
          </w:tcPr>
          <w:p w14:paraId="0F7DAB0B"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6317831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TTP</w:t>
            </w:r>
          </w:p>
          <w:p w14:paraId="180DB94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6189355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67D09AC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48CDCEE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1A8675B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25</w:t>
            </w:r>
          </w:p>
        </w:tc>
        <w:tc>
          <w:tcPr>
            <w:tcW w:w="755" w:type="dxa"/>
            <w:tcBorders>
              <w:top w:val="single" w:sz="12" w:space="0" w:color="auto"/>
              <w:right w:val="single" w:sz="12" w:space="0" w:color="auto"/>
            </w:tcBorders>
            <w:shd w:val="clear" w:color="auto" w:fill="auto"/>
            <w:tcMar>
              <w:left w:w="28" w:type="dxa"/>
              <w:right w:w="28" w:type="dxa"/>
            </w:tcMar>
            <w:hideMark/>
          </w:tcPr>
          <w:p w14:paraId="335FB1F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4593</w:t>
            </w:r>
          </w:p>
        </w:tc>
        <w:tc>
          <w:tcPr>
            <w:tcW w:w="581" w:type="dxa"/>
            <w:tcBorders>
              <w:top w:val="single" w:sz="12" w:space="0" w:color="auto"/>
              <w:left w:val="single" w:sz="12" w:space="0" w:color="auto"/>
            </w:tcBorders>
            <w:shd w:val="clear" w:color="auto" w:fill="auto"/>
            <w:tcMar>
              <w:left w:w="28" w:type="dxa"/>
              <w:right w:w="28" w:type="dxa"/>
            </w:tcMar>
            <w:hideMark/>
          </w:tcPr>
          <w:p w14:paraId="793C516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1A0C17D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466" w:type="dxa"/>
            <w:tcBorders>
              <w:top w:val="single" w:sz="12" w:space="0" w:color="auto"/>
            </w:tcBorders>
            <w:shd w:val="clear" w:color="auto" w:fill="auto"/>
            <w:tcMar>
              <w:left w:w="28" w:type="dxa"/>
              <w:right w:w="28" w:type="dxa"/>
            </w:tcMar>
            <w:hideMark/>
          </w:tcPr>
          <w:p w14:paraId="5CFA6B5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0DF4CE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WHO, SWOG, RECIST, Japan</w:t>
            </w:r>
          </w:p>
        </w:tc>
        <w:tc>
          <w:tcPr>
            <w:tcW w:w="976" w:type="dxa"/>
            <w:tcBorders>
              <w:top w:val="single" w:sz="12" w:space="0" w:color="auto"/>
              <w:left w:val="single" w:sz="12" w:space="0" w:color="auto"/>
              <w:right w:val="single" w:sz="6" w:space="0" w:color="auto"/>
            </w:tcBorders>
            <w:tcMar>
              <w:left w:w="28" w:type="dxa"/>
              <w:right w:w="28" w:type="dxa"/>
            </w:tcMar>
          </w:tcPr>
          <w:p w14:paraId="0397AC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top w:val="single" w:sz="12" w:space="0" w:color="auto"/>
              <w:left w:val="single" w:sz="6" w:space="0" w:color="auto"/>
            </w:tcBorders>
            <w:tcMar>
              <w:left w:w="28" w:type="dxa"/>
              <w:right w:w="28" w:type="dxa"/>
            </w:tcMar>
          </w:tcPr>
          <w:p w14:paraId="6CCC533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top w:val="single" w:sz="12" w:space="0" w:color="auto"/>
              <w:right w:val="single" w:sz="12" w:space="0" w:color="auto"/>
            </w:tcBorders>
            <w:tcMar>
              <w:left w:w="28" w:type="dxa"/>
              <w:right w:w="28" w:type="dxa"/>
            </w:tcMar>
          </w:tcPr>
          <w:p w14:paraId="75A147A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2DC08BAA"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09F598CE" w14:textId="1267F00D"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Shitara 2014</w:t>
            </w:r>
            <w:r w:rsidRPr="002D1DD7">
              <w:rPr>
                <w:rFonts w:eastAsia="Times New Roman" w:cs="Times New Roman"/>
                <w:color w:val="000000"/>
                <w:sz w:val="18"/>
                <w:szCs w:val="18"/>
                <w:lang w:eastAsia="zh-CN"/>
              </w:rPr>
              <w:fldChar w:fldCharType="begin">
                <w:fldData xml:space="preserve">PEVuZE5vdGU+PENpdGU+PEF1dGhvcj5TaGl0YXJhPC9BdXRob3I+PFllYXI+MjAxNDwvWWVhcj48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ZnVsbHRleHQmYW1wO0Q9bWVkMTAmYW1wO0FOPTIzNzM2NzQyPC9zdHlsZT48c3R5bGUgZmFjZT0i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</w:fldData>
              </w:fldChar>
            </w:r>
            <w:r w:rsidR="00054FE8">
              <w:rPr>
                <w:rFonts w:eastAsia="Times New Roman" w:cs="Times New Roman"/>
                <w:color w:val="000000"/>
                <w:sz w:val="18"/>
                <w:szCs w:val="18"/>
                <w:lang w:eastAsia="zh-CN"/>
              </w:rPr>
              <w:instrText xml:space="preserve"> ADDIN EN.CITE </w:instrText>
            </w:r>
            <w:r w:rsidR="00054FE8">
              <w:rPr>
                <w:rFonts w:eastAsia="Times New Roman" w:cs="Times New Roman"/>
                <w:color w:val="000000"/>
                <w:sz w:val="18"/>
                <w:szCs w:val="18"/>
                <w:lang w:eastAsia="zh-CN"/>
              </w:rPr>
              <w:fldChar w:fldCharType="begin">
                <w:fldData xml:space="preserve">PEVuZE5vdGU+PENpdGU+PEF1dGhvcj5TaGl0YXJhPC9BdXRob3I+PFllYXI+MjAxNDwvWWVhcj48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ZnVsbHRleHQmYW1wO0Q9bWVkMTAmYW1wO0FOPTIzNzM2NzQyPC9zdHlsZT48c3R5bGUgZmFjZT0i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</w:fldData>
              </w:fldChar>
            </w:r>
            <w:r w:rsidR="00054FE8">
              <w:rPr>
                <w:rFonts w:eastAsia="Times New Roman" w:cs="Times New Roman"/>
                <w:color w:val="000000"/>
                <w:sz w:val="18"/>
                <w:szCs w:val="18"/>
                <w:lang w:eastAsia="zh-CN"/>
              </w:rPr>
              <w:instrText xml:space="preserve"> ADDIN EN.CITE.DATA </w:instrText>
            </w:r>
            <w:r w:rsidR="00054FE8">
              <w:rPr>
                <w:rFonts w:eastAsia="Times New Roman" w:cs="Times New Roman"/>
                <w:color w:val="000000"/>
                <w:sz w:val="18"/>
                <w:szCs w:val="18"/>
                <w:lang w:eastAsia="zh-CN"/>
              </w:rPr>
            </w:r>
            <w:r w:rsidR="00054FE8">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130</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2DF3C7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944" w:type="dxa"/>
            <w:tcBorders>
              <w:left w:val="single" w:sz="12" w:space="0" w:color="auto"/>
              <w:bottom w:val="single" w:sz="12" w:space="0" w:color="auto"/>
            </w:tcBorders>
            <w:shd w:val="clear" w:color="auto" w:fill="auto"/>
            <w:tcMar>
              <w:left w:w="28" w:type="dxa"/>
              <w:right w:w="28" w:type="dxa"/>
            </w:tcMar>
            <w:hideMark/>
          </w:tcPr>
          <w:p w14:paraId="7C3515C6"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1B9153F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314E77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tcBorders>
              <w:bottom w:val="single" w:sz="12" w:space="0" w:color="auto"/>
            </w:tcBorders>
            <w:shd w:val="clear" w:color="auto" w:fill="auto"/>
            <w:tcMar>
              <w:left w:w="28" w:type="dxa"/>
              <w:right w:w="28" w:type="dxa"/>
            </w:tcMar>
            <w:hideMark/>
          </w:tcPr>
          <w:p w14:paraId="2A479A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+ 3rd</w:t>
            </w:r>
          </w:p>
        </w:tc>
        <w:tc>
          <w:tcPr>
            <w:tcW w:w="1280" w:type="dxa"/>
            <w:tcBorders>
              <w:bottom w:val="single" w:sz="12" w:space="0" w:color="auto"/>
              <w:right w:val="single" w:sz="12" w:space="0" w:color="auto"/>
            </w:tcBorders>
            <w:shd w:val="clear" w:color="auto" w:fill="auto"/>
            <w:tcMar>
              <w:left w:w="28" w:type="dxa"/>
              <w:right w:w="28" w:type="dxa"/>
            </w:tcMar>
            <w:hideMark/>
          </w:tcPr>
          <w:p w14:paraId="17F9A3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left w:val="single" w:sz="12" w:space="0" w:color="auto"/>
              <w:bottom w:val="single" w:sz="12" w:space="0" w:color="auto"/>
            </w:tcBorders>
            <w:shd w:val="clear" w:color="auto" w:fill="auto"/>
            <w:tcMar>
              <w:left w:w="28" w:type="dxa"/>
              <w:right w:w="28" w:type="dxa"/>
            </w:tcMar>
            <w:hideMark/>
          </w:tcPr>
          <w:p w14:paraId="5F0224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64</w:t>
            </w:r>
          </w:p>
        </w:tc>
        <w:tc>
          <w:tcPr>
            <w:tcW w:w="755" w:type="dxa"/>
            <w:tcBorders>
              <w:bottom w:val="single" w:sz="12" w:space="0" w:color="auto"/>
              <w:right w:val="single" w:sz="12" w:space="0" w:color="auto"/>
            </w:tcBorders>
            <w:shd w:val="clear" w:color="auto" w:fill="auto"/>
            <w:tcMar>
              <w:left w:w="28" w:type="dxa"/>
              <w:right w:w="28" w:type="dxa"/>
            </w:tcMar>
            <w:hideMark/>
          </w:tcPr>
          <w:p w14:paraId="703CCC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4286</w:t>
            </w:r>
          </w:p>
        </w:tc>
        <w:tc>
          <w:tcPr>
            <w:tcW w:w="581" w:type="dxa"/>
            <w:tcBorders>
              <w:left w:val="single" w:sz="12" w:space="0" w:color="auto"/>
              <w:bottom w:val="single" w:sz="12" w:space="0" w:color="auto"/>
            </w:tcBorders>
            <w:shd w:val="clear" w:color="auto" w:fill="auto"/>
            <w:tcMar>
              <w:left w:w="28" w:type="dxa"/>
              <w:right w:w="28" w:type="dxa"/>
            </w:tcMar>
            <w:hideMark/>
          </w:tcPr>
          <w:p w14:paraId="678604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tcBorders>
              <w:bottom w:val="single" w:sz="12" w:space="0" w:color="auto"/>
            </w:tcBorders>
            <w:shd w:val="clear" w:color="auto" w:fill="auto"/>
            <w:tcMar>
              <w:left w:w="28" w:type="dxa"/>
              <w:right w:w="28" w:type="dxa"/>
            </w:tcMar>
            <w:hideMark/>
          </w:tcPr>
          <w:p w14:paraId="1B64F7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2002 to 2012/2013</w:t>
            </w:r>
          </w:p>
        </w:tc>
        <w:tc>
          <w:tcPr>
            <w:tcW w:w="466" w:type="dxa"/>
            <w:tcBorders>
              <w:bottom w:val="single" w:sz="12" w:space="0" w:color="auto"/>
            </w:tcBorders>
            <w:shd w:val="clear" w:color="auto" w:fill="auto"/>
            <w:tcMar>
              <w:left w:w="28" w:type="dxa"/>
              <w:right w:w="28" w:type="dxa"/>
            </w:tcMar>
            <w:hideMark/>
          </w:tcPr>
          <w:p w14:paraId="0B7DC00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723B7C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6F3410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3B7167E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bottom w:val="single" w:sz="12" w:space="0" w:color="auto"/>
              <w:right w:val="single" w:sz="12" w:space="0" w:color="auto"/>
            </w:tcBorders>
            <w:tcMar>
              <w:left w:w="28" w:type="dxa"/>
              <w:right w:w="28" w:type="dxa"/>
            </w:tcMar>
          </w:tcPr>
          <w:p w14:paraId="08AB469C"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7BCE4336"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4EBACD0D" w14:textId="190A5A0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Pang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121</w:t>
            </w:r>
            <w:r w:rsidRPr="002D1DD7">
              <w:rPr>
                <w:rFonts w:eastAsia="Times New Roman" w:cs="Times New Roman"/>
                <w:color w:val="000000"/>
                <w:sz w:val="18"/>
                <w:szCs w:val="18"/>
                <w:lang w:eastAsia="zh-CN"/>
              </w:rPr>
              <w:fldChar w:fldCharType="end"/>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6F5952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Gastroesophageal</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50CB4018"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2066B1A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EBA6B2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70AE5B7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bottom w:val="single" w:sz="12" w:space="0" w:color="auto"/>
            </w:tcBorders>
            <w:shd w:val="clear" w:color="auto" w:fill="auto"/>
            <w:tcMar>
              <w:left w:w="28" w:type="dxa"/>
              <w:right w:w="28" w:type="dxa"/>
            </w:tcMar>
            <w:hideMark/>
          </w:tcPr>
          <w:p w14:paraId="6BF7ADF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 + 2nd</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7D986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0EF724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A4386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7892</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4B8142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top w:val="single" w:sz="12" w:space="0" w:color="auto"/>
              <w:bottom w:val="single" w:sz="12" w:space="0" w:color="auto"/>
            </w:tcBorders>
            <w:shd w:val="clear" w:color="auto" w:fill="auto"/>
            <w:tcMar>
              <w:left w:w="28" w:type="dxa"/>
              <w:right w:w="28" w:type="dxa"/>
            </w:tcMar>
            <w:hideMark/>
          </w:tcPr>
          <w:p w14:paraId="38F242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2018</w:t>
            </w:r>
          </w:p>
        </w:tc>
        <w:tc>
          <w:tcPr>
            <w:tcW w:w="466" w:type="dxa"/>
            <w:tcBorders>
              <w:top w:val="single" w:sz="12" w:space="0" w:color="auto"/>
              <w:bottom w:val="single" w:sz="12" w:space="0" w:color="auto"/>
            </w:tcBorders>
            <w:shd w:val="clear" w:color="auto" w:fill="auto"/>
            <w:tcMar>
              <w:left w:w="28" w:type="dxa"/>
              <w:right w:w="28" w:type="dxa"/>
            </w:tcMar>
            <w:hideMark/>
          </w:tcPr>
          <w:p w14:paraId="4100AE2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2265B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248A3F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top w:val="single" w:sz="12" w:space="0" w:color="auto"/>
              <w:left w:val="single" w:sz="6" w:space="0" w:color="auto"/>
              <w:bottom w:val="single" w:sz="12" w:space="0" w:color="auto"/>
            </w:tcBorders>
            <w:tcMar>
              <w:left w:w="28" w:type="dxa"/>
              <w:right w:w="28" w:type="dxa"/>
            </w:tcMar>
          </w:tcPr>
          <w:p w14:paraId="66ADC62C"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top w:val="single" w:sz="12" w:space="0" w:color="auto"/>
              <w:bottom w:val="single" w:sz="12" w:space="0" w:color="auto"/>
              <w:right w:val="single" w:sz="12" w:space="0" w:color="auto"/>
            </w:tcBorders>
            <w:tcMar>
              <w:left w:w="28" w:type="dxa"/>
              <w:right w:w="28" w:type="dxa"/>
            </w:tcMar>
          </w:tcPr>
          <w:p w14:paraId="33987BB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5811C65"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2F56FDF" w14:textId="616824C0"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Han 2014</w:t>
            </w:r>
            <w:r w:rsidRPr="002D1DD7">
              <w:rPr>
                <w:rFonts w:eastAsia="Times New Roman" w:cs="Times New Roman"/>
                <w:sz w:val="18"/>
                <w:szCs w:val="18"/>
                <w:lang w:eastAsia="zh-CN"/>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eastAsia="Times New Roman" w:cs="Times New Roman"/>
                <w:sz w:val="18"/>
                <w:szCs w:val="18"/>
                <w:lang w:eastAsia="zh-CN"/>
              </w:rPr>
              <w:instrText xml:space="preserve"> ADDIN EN.CITE </w:instrText>
            </w:r>
            <w:r w:rsidR="003117A9">
              <w:rPr>
                <w:rFonts w:eastAsia="Times New Roman" w:cs="Times New Roman"/>
                <w:sz w:val="18"/>
                <w:szCs w:val="18"/>
                <w:lang w:eastAsia="zh-CN"/>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eastAsia="Times New Roman" w:cs="Times New Roman"/>
                <w:sz w:val="18"/>
                <w:szCs w:val="18"/>
                <w:lang w:eastAsia="zh-CN"/>
              </w:rPr>
              <w:instrText xml:space="preserve"> ADDIN EN.CITE.DATA </w:instrText>
            </w:r>
            <w:r w:rsidR="003117A9">
              <w:rPr>
                <w:rFonts w:eastAsia="Times New Roman" w:cs="Times New Roman"/>
                <w:sz w:val="18"/>
                <w:szCs w:val="18"/>
                <w:lang w:eastAsia="zh-CN"/>
              </w:rPr>
            </w:r>
            <w:r w:rsidR="003117A9">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98</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0CD17E3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Glioblastoma</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5BE44418"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F15426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4DA25D83" w14:textId="77777777" w:rsidR="002E26FD" w:rsidRPr="002D1DD7" w:rsidRDefault="002E26FD" w:rsidP="003117A9">
            <w:pPr>
              <w:spacing w:before="0" w:after="0" w:line="240" w:lineRule="auto"/>
              <w:rPr>
                <w:rFonts w:eastAsia="Times New Roman" w:cs="Times New Roman"/>
                <w:color w:val="FF0000"/>
                <w:sz w:val="18"/>
                <w:szCs w:val="18"/>
                <w:lang w:eastAsia="zh-CN"/>
              </w:rPr>
            </w:pPr>
            <w:r w:rsidRPr="002D1DD7">
              <w:rPr>
                <w:rFonts w:eastAsia="Times New Roman" w:cs="Times New Roman"/>
                <w:sz w:val="18"/>
                <w:szCs w:val="18"/>
                <w:lang w:eastAsia="zh-CN"/>
              </w:rPr>
              <w:t>Unclear</w:t>
            </w:r>
          </w:p>
        </w:tc>
        <w:tc>
          <w:tcPr>
            <w:tcW w:w="992" w:type="dxa"/>
            <w:tcBorders>
              <w:top w:val="single" w:sz="12" w:space="0" w:color="auto"/>
              <w:bottom w:val="single" w:sz="12" w:space="0" w:color="auto"/>
            </w:tcBorders>
            <w:shd w:val="clear" w:color="auto" w:fill="auto"/>
            <w:tcMar>
              <w:left w:w="28" w:type="dxa"/>
              <w:right w:w="28" w:type="dxa"/>
            </w:tcMar>
            <w:hideMark/>
          </w:tcPr>
          <w:p w14:paraId="68EA45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7E783FD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663547B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91</w:t>
            </w:r>
            <w:r w:rsidRPr="002D1DD7">
              <w:rPr>
                <w:rFonts w:eastAsia="Times New Roman" w:cs="Times New Roman"/>
                <w:sz w:val="18"/>
                <w:szCs w:val="18"/>
                <w:vertAlign w:val="superscript"/>
                <w:lang w:eastAsia="zh-CN"/>
              </w:rPr>
              <w:t>†</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50CE4A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7125†</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7AAD158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top w:val="single" w:sz="12" w:space="0" w:color="auto"/>
              <w:bottom w:val="single" w:sz="12" w:space="0" w:color="auto"/>
            </w:tcBorders>
            <w:shd w:val="clear" w:color="auto" w:fill="auto"/>
            <w:tcMar>
              <w:left w:w="28" w:type="dxa"/>
              <w:right w:w="28" w:type="dxa"/>
            </w:tcMar>
            <w:hideMark/>
          </w:tcPr>
          <w:p w14:paraId="5D20296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1991-2012</w:t>
            </w:r>
          </w:p>
        </w:tc>
        <w:tc>
          <w:tcPr>
            <w:tcW w:w="466" w:type="dxa"/>
            <w:tcBorders>
              <w:top w:val="single" w:sz="12" w:space="0" w:color="auto"/>
              <w:bottom w:val="single" w:sz="12" w:space="0" w:color="auto"/>
            </w:tcBorders>
            <w:shd w:val="clear" w:color="auto" w:fill="auto"/>
            <w:tcMar>
              <w:left w:w="28" w:type="dxa"/>
              <w:right w:w="28" w:type="dxa"/>
            </w:tcMar>
            <w:hideMark/>
          </w:tcPr>
          <w:p w14:paraId="35E1E96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6C4E8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 ("standard criteria")</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3B1BDB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top w:val="single" w:sz="12" w:space="0" w:color="auto"/>
              <w:left w:val="single" w:sz="6" w:space="0" w:color="auto"/>
              <w:bottom w:val="single" w:sz="12" w:space="0" w:color="auto"/>
            </w:tcBorders>
            <w:tcMar>
              <w:left w:w="28" w:type="dxa"/>
              <w:right w:w="28" w:type="dxa"/>
            </w:tcMar>
          </w:tcPr>
          <w:p w14:paraId="36C34D6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top w:val="single" w:sz="12" w:space="0" w:color="auto"/>
              <w:bottom w:val="single" w:sz="12" w:space="0" w:color="auto"/>
              <w:right w:val="single" w:sz="12" w:space="0" w:color="auto"/>
            </w:tcBorders>
            <w:tcMar>
              <w:left w:w="28" w:type="dxa"/>
              <w:right w:w="28" w:type="dxa"/>
            </w:tcMar>
          </w:tcPr>
          <w:p w14:paraId="7D7D285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819E748"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052B2E87" w14:textId="313B942F"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Blumenthal 2017</w:t>
            </w:r>
            <w:r w:rsidRPr="002D1DD7">
              <w:rPr>
                <w:rFonts w:eastAsia="Times New Roman" w:cs="Times New Roman"/>
                <w:sz w:val="18"/>
                <w:szCs w:val="18"/>
                <w:lang w:eastAsia="zh-CN"/>
              </w:rPr>
              <w:fldChar w:fldCharType="begin">
                <w:fldData xml:space="preserve">PEVuZE5vdGU+PENpdGU+PEF1dGhvcj5CbHVtZW50aGFsPC9BdXRob3I+PFllYXI+MjAxNzwvWWVh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TiZhbXA7UEFHRT1mdWxsdGV4dCZhbXA7RD1tZWQxMyZhbXA7QU49Mjg2MTc5MjAmI3hEO2h0dHA6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PEVuZE5vdGU+PENpdGU+PEF1dGhvcj5CbHVtZW50aGFsPC9BdXRob3I+PFllYXI+MjAxNzwvWWVh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TiZhbXA7UEFHRT1mdWxsdGV4dCZhbXA7RD1tZWQxMyZhbXA7QU49Mjg2MTc5MjAmI3hEO2h0dHA6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82</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64A4B0B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top w:val="single" w:sz="12" w:space="0" w:color="auto"/>
              <w:left w:val="single" w:sz="12" w:space="0" w:color="auto"/>
            </w:tcBorders>
            <w:shd w:val="clear" w:color="auto" w:fill="auto"/>
            <w:tcMar>
              <w:left w:w="28" w:type="dxa"/>
              <w:right w:w="28" w:type="dxa"/>
            </w:tcMar>
            <w:hideMark/>
          </w:tcPr>
          <w:p w14:paraId="1D1CDEE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77A056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5D226B3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0C79438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tcBorders>
              <w:top w:val="single" w:sz="12" w:space="0" w:color="auto"/>
            </w:tcBorders>
            <w:shd w:val="clear" w:color="auto" w:fill="auto"/>
            <w:tcMar>
              <w:left w:w="28" w:type="dxa"/>
              <w:right w:w="28" w:type="dxa"/>
            </w:tcMar>
            <w:hideMark/>
          </w:tcPr>
          <w:p w14:paraId="231F69C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top w:val="single" w:sz="12" w:space="0" w:color="auto"/>
              <w:right w:val="single" w:sz="12" w:space="0" w:color="auto"/>
            </w:tcBorders>
            <w:shd w:val="clear" w:color="auto" w:fill="auto"/>
            <w:tcMar>
              <w:left w:w="28" w:type="dxa"/>
              <w:right w:w="28" w:type="dxa"/>
            </w:tcMar>
            <w:hideMark/>
          </w:tcPr>
          <w:p w14:paraId="0728EC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752" w:type="dxa"/>
            <w:tcBorders>
              <w:top w:val="single" w:sz="12" w:space="0" w:color="auto"/>
              <w:left w:val="single" w:sz="12" w:space="0" w:color="auto"/>
            </w:tcBorders>
            <w:shd w:val="clear" w:color="auto" w:fill="auto"/>
            <w:tcMar>
              <w:left w:w="28" w:type="dxa"/>
              <w:right w:w="28" w:type="dxa"/>
            </w:tcMar>
            <w:hideMark/>
          </w:tcPr>
          <w:p w14:paraId="47FE21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w:t>
            </w:r>
          </w:p>
        </w:tc>
        <w:tc>
          <w:tcPr>
            <w:tcW w:w="755" w:type="dxa"/>
            <w:tcBorders>
              <w:top w:val="single" w:sz="12" w:space="0" w:color="auto"/>
              <w:right w:val="single" w:sz="12" w:space="0" w:color="auto"/>
            </w:tcBorders>
            <w:shd w:val="clear" w:color="auto" w:fill="auto"/>
            <w:tcMar>
              <w:left w:w="28" w:type="dxa"/>
              <w:right w:w="28" w:type="dxa"/>
            </w:tcMar>
            <w:hideMark/>
          </w:tcPr>
          <w:p w14:paraId="7B6A9C7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20013</w:t>
            </w:r>
            <w:r w:rsidRPr="002D1DD7">
              <w:rPr>
                <w:rFonts w:eastAsia="Times New Roman" w:cs="Times New Roman"/>
                <w:sz w:val="18"/>
                <w:szCs w:val="18"/>
                <w:vertAlign w:val="superscript"/>
                <w:lang w:eastAsia="zh-CN"/>
              </w:rPr>
              <w:t>†</w:t>
            </w:r>
          </w:p>
        </w:tc>
        <w:tc>
          <w:tcPr>
            <w:tcW w:w="581" w:type="dxa"/>
            <w:tcBorders>
              <w:top w:val="single" w:sz="12" w:space="0" w:color="auto"/>
              <w:left w:val="single" w:sz="12" w:space="0" w:color="auto"/>
            </w:tcBorders>
            <w:shd w:val="clear" w:color="auto" w:fill="auto"/>
            <w:tcMar>
              <w:left w:w="28" w:type="dxa"/>
              <w:right w:w="28" w:type="dxa"/>
            </w:tcMar>
            <w:hideMark/>
          </w:tcPr>
          <w:p w14:paraId="4402160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1F1370B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2003-2016</w:t>
            </w:r>
          </w:p>
        </w:tc>
        <w:tc>
          <w:tcPr>
            <w:tcW w:w="466" w:type="dxa"/>
            <w:tcBorders>
              <w:top w:val="single" w:sz="12" w:space="0" w:color="auto"/>
            </w:tcBorders>
            <w:shd w:val="clear" w:color="auto" w:fill="auto"/>
            <w:tcMar>
              <w:left w:w="28" w:type="dxa"/>
              <w:right w:w="28" w:type="dxa"/>
            </w:tcMar>
            <w:hideMark/>
          </w:tcPr>
          <w:p w14:paraId="47D71CF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227E90A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 or WHO</w:t>
            </w:r>
          </w:p>
        </w:tc>
        <w:tc>
          <w:tcPr>
            <w:tcW w:w="976" w:type="dxa"/>
            <w:tcBorders>
              <w:top w:val="single" w:sz="12" w:space="0" w:color="auto"/>
              <w:left w:val="single" w:sz="12" w:space="0" w:color="auto"/>
              <w:right w:val="single" w:sz="6" w:space="0" w:color="auto"/>
            </w:tcBorders>
            <w:tcMar>
              <w:left w:w="28" w:type="dxa"/>
              <w:right w:w="28" w:type="dxa"/>
            </w:tcMar>
          </w:tcPr>
          <w:p w14:paraId="6C7F8871"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top w:val="single" w:sz="12" w:space="0" w:color="auto"/>
              <w:left w:val="single" w:sz="6" w:space="0" w:color="auto"/>
            </w:tcBorders>
            <w:tcMar>
              <w:left w:w="28" w:type="dxa"/>
              <w:right w:w="28" w:type="dxa"/>
            </w:tcMar>
          </w:tcPr>
          <w:p w14:paraId="73A23EF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top w:val="single" w:sz="12" w:space="0" w:color="auto"/>
              <w:right w:val="single" w:sz="12" w:space="0" w:color="auto"/>
            </w:tcBorders>
            <w:tcMar>
              <w:left w:w="28" w:type="dxa"/>
              <w:right w:w="28" w:type="dxa"/>
            </w:tcMar>
          </w:tcPr>
          <w:p w14:paraId="3256D443"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01B6E43A"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4CA7FF0" w14:textId="7764606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Blumenthal 2015</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&lt;EndNote&gt;&lt;Cite&gt;&lt;Author&gt;Blumenthal&lt;/Author&gt;&lt;Year&gt;2015&lt;/Year&gt;&lt;RecNum&gt;244&lt;/RecNum&gt;&lt;IDText&gt;$$include full text KC&lt;/IDText&gt;&lt;DisplayText&gt;&lt;style face="superscript"&gt;81&lt;/style&gt;&lt;/DisplayText&gt;&lt;record&gt;&lt;rec-number&gt;244&lt;/rec-number&gt;&lt;foreign-keys&gt;&lt;key app="EN" db-id="dwaevxvazfs2f3ewvzmxrd0k0wasw55p2z2w" timestamp="1557310550"&gt;244&lt;/key&gt;&lt;/foreign-keys&gt;&lt;ref-type name="Journal Article"&gt;17&lt;/ref-type&gt;&lt;contributors&gt;&lt;authors&gt;&lt;author&gt;Blumenthal, G. M.&lt;/author&gt;&lt;author&gt;Karuri, S. W.&lt;/author&gt;&lt;author&gt;Zhang, H.&lt;/author&gt;&lt;author&gt;Zhang, L. J.&lt;/author&gt;&lt;author&gt;Khozin, S.&lt;/author&gt;&lt;author&gt;Kazandjian, D.&lt;/author&gt;&lt;author&gt;Tang, S.&lt;/author&gt;&lt;author&gt;Sridhara, R.&lt;/author&gt;&lt;author&gt;Keegan, P.&lt;/author&gt;&lt;author&gt;Pazdur, R.&lt;/author&gt;&lt;/authors&gt;&lt;/contributors&gt;&lt;titles&gt;&lt;title&gt;Overall response rate, progression-free survival, and overall survival with targeted and standard therapies in advanced non-small-cell lung cancer: Us food and drug administration trial-level and patient-level analyses&lt;/title&gt;&lt;secondary-title&gt;Journal of Clinical Oncology&lt;/secondary-title&gt;&lt;/titles&gt;&lt;periodical&gt;&lt;full-title&gt;Journal of Clinical Oncology&lt;/full-title&gt;&lt;abbr-1&gt;J Clin Oncol&lt;/abbr-1&gt;&lt;/periodical&gt;&lt;pages&gt;1008-+&lt;/pages&gt;&lt;volume&gt;33&lt;/volume&gt;&lt;number&gt;9&lt;/number&gt;&lt;keywords&gt;&lt;keyword&gt;$$include abstract KC&lt;/keyword&gt;&lt;keyword&gt;$$Broad search&lt;/keyword&gt;&lt;/keywords&gt;&lt;dates&gt;&lt;year&gt;2015&lt;/year&gt;&lt;pub-dates&gt;&lt;date&gt;Mar&lt;/date&gt;&lt;/pub-dates&gt;&lt;/dates&gt;&lt;isbn&gt;0732-183X&lt;/isbn&gt;&lt;accession-num&gt;WOS:000356056400010&lt;/accession-num&gt;&lt;label&gt;$$include full text KC&lt;/label&gt;&lt;urls&gt;&lt;/urls&gt;&lt;electronic-resource-num&gt;10.1200/jco.2014.59.0489&lt;/electronic-resource-num&gt;&lt;research-notes&gt;&lt;style face="underline" font="default" size="100%"&gt;&amp;lt;Go to ISI&amp;gt;://WOS:000356056400010&lt;/style&gt;&lt;/research-notes&gt;&lt;/record&gt;&lt;/Cite&gt;&lt;/EndNote&gt;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81</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079AD84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5A68F210"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071B45D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C528CB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5ED12E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32FA501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47DFD3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752" w:type="dxa"/>
            <w:tcBorders>
              <w:left w:val="single" w:sz="12" w:space="0" w:color="auto"/>
            </w:tcBorders>
            <w:shd w:val="clear" w:color="auto" w:fill="auto"/>
            <w:tcMar>
              <w:left w:w="28" w:type="dxa"/>
              <w:right w:w="28" w:type="dxa"/>
            </w:tcMar>
            <w:hideMark/>
          </w:tcPr>
          <w:p w14:paraId="70CC6D6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14</w:t>
            </w:r>
          </w:p>
        </w:tc>
        <w:tc>
          <w:tcPr>
            <w:tcW w:w="755" w:type="dxa"/>
            <w:tcBorders>
              <w:right w:val="single" w:sz="12" w:space="0" w:color="auto"/>
            </w:tcBorders>
            <w:shd w:val="clear" w:color="auto" w:fill="auto"/>
            <w:tcMar>
              <w:left w:w="28" w:type="dxa"/>
              <w:right w:w="28" w:type="dxa"/>
            </w:tcMar>
            <w:hideMark/>
          </w:tcPr>
          <w:p w14:paraId="6D8F03A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12567</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228B1C4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4DC8426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2003-2013</w:t>
            </w:r>
          </w:p>
        </w:tc>
        <w:tc>
          <w:tcPr>
            <w:tcW w:w="466" w:type="dxa"/>
            <w:shd w:val="clear" w:color="auto" w:fill="auto"/>
            <w:tcMar>
              <w:left w:w="28" w:type="dxa"/>
              <w:right w:w="28" w:type="dxa"/>
            </w:tcMar>
            <w:hideMark/>
          </w:tcPr>
          <w:p w14:paraId="16A76FB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07659B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 (11) or WHO (3)</w:t>
            </w:r>
          </w:p>
        </w:tc>
        <w:tc>
          <w:tcPr>
            <w:tcW w:w="976" w:type="dxa"/>
            <w:tcBorders>
              <w:left w:val="single" w:sz="12" w:space="0" w:color="auto"/>
              <w:right w:val="single" w:sz="6" w:space="0" w:color="auto"/>
            </w:tcBorders>
            <w:tcMar>
              <w:left w:w="28" w:type="dxa"/>
              <w:right w:w="28" w:type="dxa"/>
            </w:tcMar>
          </w:tcPr>
          <w:p w14:paraId="475D645A"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left w:val="single" w:sz="6" w:space="0" w:color="auto"/>
            </w:tcBorders>
            <w:tcMar>
              <w:left w:w="28" w:type="dxa"/>
              <w:right w:w="28" w:type="dxa"/>
            </w:tcMar>
          </w:tcPr>
          <w:p w14:paraId="64DFAF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right w:val="single" w:sz="12" w:space="0" w:color="auto"/>
            </w:tcBorders>
            <w:tcMar>
              <w:left w:w="28" w:type="dxa"/>
              <w:right w:w="28" w:type="dxa"/>
            </w:tcMar>
          </w:tcPr>
          <w:p w14:paraId="745BD2E7"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3C25E347"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605E45BB" w14:textId="01AF3ECA"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Hashim 2018</w:t>
            </w:r>
            <w:r w:rsidRPr="002D1DD7">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99</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BA60DC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4C6B328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477F525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7A85DA5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7C174C6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2nd + subsequent</w:t>
            </w:r>
          </w:p>
        </w:tc>
        <w:tc>
          <w:tcPr>
            <w:tcW w:w="1280" w:type="dxa"/>
            <w:tcBorders>
              <w:right w:val="single" w:sz="12" w:space="0" w:color="auto"/>
            </w:tcBorders>
            <w:shd w:val="clear" w:color="auto" w:fill="auto"/>
            <w:tcMar>
              <w:left w:w="28" w:type="dxa"/>
              <w:right w:w="28" w:type="dxa"/>
            </w:tcMar>
            <w:hideMark/>
          </w:tcPr>
          <w:p w14:paraId="24DAAF7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752" w:type="dxa"/>
            <w:tcBorders>
              <w:left w:val="single" w:sz="12" w:space="0" w:color="auto"/>
            </w:tcBorders>
            <w:shd w:val="clear" w:color="auto" w:fill="auto"/>
            <w:tcMar>
              <w:left w:w="28" w:type="dxa"/>
              <w:right w:w="28" w:type="dxa"/>
            </w:tcMar>
            <w:hideMark/>
          </w:tcPr>
          <w:p w14:paraId="748A039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140</w:t>
            </w:r>
          </w:p>
        </w:tc>
        <w:tc>
          <w:tcPr>
            <w:tcW w:w="755" w:type="dxa"/>
            <w:tcBorders>
              <w:right w:val="single" w:sz="12" w:space="0" w:color="auto"/>
            </w:tcBorders>
            <w:shd w:val="clear" w:color="auto" w:fill="auto"/>
            <w:tcMar>
              <w:left w:w="28" w:type="dxa"/>
              <w:right w:w="28" w:type="dxa"/>
            </w:tcMar>
            <w:hideMark/>
          </w:tcPr>
          <w:p w14:paraId="6DB82A1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41725</w:t>
            </w:r>
          </w:p>
        </w:tc>
        <w:tc>
          <w:tcPr>
            <w:tcW w:w="581" w:type="dxa"/>
            <w:tcBorders>
              <w:left w:val="single" w:sz="12" w:space="0" w:color="auto"/>
            </w:tcBorders>
            <w:shd w:val="clear" w:color="auto" w:fill="auto"/>
            <w:tcMar>
              <w:left w:w="28" w:type="dxa"/>
              <w:right w:w="28" w:type="dxa"/>
            </w:tcMar>
            <w:hideMark/>
          </w:tcPr>
          <w:p w14:paraId="4D32BE3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2EB74CE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2016</w:t>
            </w:r>
          </w:p>
        </w:tc>
        <w:tc>
          <w:tcPr>
            <w:tcW w:w="466" w:type="dxa"/>
            <w:shd w:val="clear" w:color="auto" w:fill="auto"/>
            <w:tcMar>
              <w:left w:w="28" w:type="dxa"/>
              <w:right w:w="28" w:type="dxa"/>
            </w:tcMar>
            <w:hideMark/>
          </w:tcPr>
          <w:p w14:paraId="490EBB8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53CC9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180E6B6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7C3AA4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70C121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r>
      <w:tr w:rsidR="002E26FD" w:rsidRPr="002D1DD7" w14:paraId="63684BD8"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148CEFD7" w14:textId="484EBDD7"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Hotta 2015</w:t>
            </w:r>
            <w:r w:rsidRPr="002D1DD7">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100</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7DD9C4C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265FC112"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427E85D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0AE23D3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245316D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22A0D26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Targeted</w:t>
            </w:r>
          </w:p>
        </w:tc>
        <w:tc>
          <w:tcPr>
            <w:tcW w:w="752" w:type="dxa"/>
            <w:tcBorders>
              <w:left w:val="single" w:sz="12" w:space="0" w:color="auto"/>
            </w:tcBorders>
            <w:shd w:val="clear" w:color="auto" w:fill="auto"/>
            <w:tcMar>
              <w:left w:w="28" w:type="dxa"/>
              <w:right w:w="28" w:type="dxa"/>
            </w:tcMar>
            <w:hideMark/>
          </w:tcPr>
          <w:p w14:paraId="0EB3D8F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18</w:t>
            </w:r>
          </w:p>
        </w:tc>
        <w:tc>
          <w:tcPr>
            <w:tcW w:w="755" w:type="dxa"/>
            <w:tcBorders>
              <w:right w:val="single" w:sz="12" w:space="0" w:color="auto"/>
            </w:tcBorders>
            <w:shd w:val="clear" w:color="auto" w:fill="auto"/>
            <w:tcMar>
              <w:left w:w="28" w:type="dxa"/>
              <w:right w:w="28" w:type="dxa"/>
            </w:tcMar>
            <w:hideMark/>
          </w:tcPr>
          <w:p w14:paraId="24981E2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7633</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7AC9998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2312D3D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2003-2014</w:t>
            </w:r>
          </w:p>
        </w:tc>
        <w:tc>
          <w:tcPr>
            <w:tcW w:w="466" w:type="dxa"/>
            <w:shd w:val="clear" w:color="auto" w:fill="auto"/>
            <w:tcMar>
              <w:left w:w="28" w:type="dxa"/>
              <w:right w:w="28" w:type="dxa"/>
            </w:tcMar>
            <w:hideMark/>
          </w:tcPr>
          <w:p w14:paraId="2454A66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E80C7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0D6FDD7F"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179101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30EF324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34D2A81"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33281F3" w14:textId="5C72D1A3"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33B0110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0489496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21D0C4F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611FF59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21D89D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623E74E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111742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752" w:type="dxa"/>
            <w:tcBorders>
              <w:left w:val="single" w:sz="12" w:space="0" w:color="auto"/>
            </w:tcBorders>
            <w:shd w:val="clear" w:color="auto" w:fill="auto"/>
            <w:tcMar>
              <w:left w:w="28" w:type="dxa"/>
              <w:right w:w="28" w:type="dxa"/>
            </w:tcMar>
            <w:hideMark/>
          </w:tcPr>
          <w:p w14:paraId="4470EC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55" w:type="dxa"/>
            <w:tcBorders>
              <w:right w:val="single" w:sz="12" w:space="0" w:color="auto"/>
            </w:tcBorders>
            <w:shd w:val="clear" w:color="auto" w:fill="auto"/>
            <w:tcMar>
              <w:left w:w="28" w:type="dxa"/>
              <w:right w:w="28" w:type="dxa"/>
            </w:tcMar>
            <w:hideMark/>
          </w:tcPr>
          <w:p w14:paraId="3B29E9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3752</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51F9961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6F0099D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466" w:type="dxa"/>
            <w:shd w:val="clear" w:color="auto" w:fill="auto"/>
            <w:tcMar>
              <w:left w:w="28" w:type="dxa"/>
              <w:right w:w="28" w:type="dxa"/>
            </w:tcMar>
            <w:hideMark/>
          </w:tcPr>
          <w:p w14:paraId="0519EB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4E6B67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096440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66041C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46D5633E"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5A85DAD"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42643655" w14:textId="175842DC"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Johnson 2006</w:t>
            </w:r>
            <w:r w:rsidRPr="002D1DD7">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106</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9853FD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27EDCC6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68C6797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12E5DA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0ACB11C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2B75D7C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62E4015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191</w:t>
            </w:r>
            <w:r w:rsidRPr="002D1DD7">
              <w:rPr>
                <w:rFonts w:eastAsia="Times New Roman" w:cs="Times New Roman"/>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6014B08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44125</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14C5659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73D81CD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2005</w:t>
            </w:r>
          </w:p>
        </w:tc>
        <w:tc>
          <w:tcPr>
            <w:tcW w:w="466" w:type="dxa"/>
            <w:shd w:val="clear" w:color="auto" w:fill="auto"/>
            <w:tcMar>
              <w:left w:w="28" w:type="dxa"/>
              <w:right w:w="28" w:type="dxa"/>
            </w:tcMar>
            <w:hideMark/>
          </w:tcPr>
          <w:p w14:paraId="44D63D2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69F559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 (very few RECIST)</w:t>
            </w:r>
          </w:p>
        </w:tc>
        <w:tc>
          <w:tcPr>
            <w:tcW w:w="976" w:type="dxa"/>
            <w:tcBorders>
              <w:left w:val="single" w:sz="12" w:space="0" w:color="auto"/>
              <w:right w:val="single" w:sz="6" w:space="0" w:color="auto"/>
            </w:tcBorders>
            <w:tcMar>
              <w:left w:w="28" w:type="dxa"/>
              <w:right w:w="28" w:type="dxa"/>
            </w:tcMar>
          </w:tcPr>
          <w:p w14:paraId="0482529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16A6DA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1A1729B9"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21ACBA92"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71E638E" w14:textId="1D95101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109</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53DE10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0936AC77"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1183029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right w:val="single" w:sz="12" w:space="0" w:color="auto"/>
            </w:tcBorders>
            <w:shd w:val="clear" w:color="auto" w:fill="auto"/>
            <w:tcMar>
              <w:left w:w="28" w:type="dxa"/>
              <w:right w:w="28" w:type="dxa"/>
            </w:tcMar>
            <w:hideMark/>
          </w:tcPr>
          <w:p w14:paraId="6A07E9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C844B0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0A3FF57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 + 2nd</w:t>
            </w:r>
          </w:p>
        </w:tc>
        <w:tc>
          <w:tcPr>
            <w:tcW w:w="1280" w:type="dxa"/>
            <w:tcBorders>
              <w:right w:val="single" w:sz="12" w:space="0" w:color="auto"/>
            </w:tcBorders>
            <w:shd w:val="clear" w:color="auto" w:fill="auto"/>
            <w:tcMar>
              <w:left w:w="28" w:type="dxa"/>
              <w:right w:w="28" w:type="dxa"/>
            </w:tcMar>
            <w:hideMark/>
          </w:tcPr>
          <w:p w14:paraId="52B86B2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Immune checkpoint inhibitors</w:t>
            </w:r>
          </w:p>
        </w:tc>
        <w:tc>
          <w:tcPr>
            <w:tcW w:w="752" w:type="dxa"/>
            <w:tcBorders>
              <w:left w:val="single" w:sz="12" w:space="0" w:color="auto"/>
            </w:tcBorders>
            <w:shd w:val="clear" w:color="auto" w:fill="auto"/>
            <w:tcMar>
              <w:left w:w="28" w:type="dxa"/>
              <w:right w:w="28" w:type="dxa"/>
            </w:tcMar>
            <w:hideMark/>
          </w:tcPr>
          <w:p w14:paraId="07F2EB3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5</w:t>
            </w:r>
            <w:r w:rsidRPr="002D1DD7">
              <w:rPr>
                <w:rFonts w:eastAsia="Times New Roman" w:cs="Times New Roman"/>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0D3589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4803</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59EC81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612D4F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2018</w:t>
            </w:r>
          </w:p>
        </w:tc>
        <w:tc>
          <w:tcPr>
            <w:tcW w:w="466" w:type="dxa"/>
            <w:shd w:val="clear" w:color="auto" w:fill="auto"/>
            <w:tcMar>
              <w:left w:w="28" w:type="dxa"/>
              <w:right w:w="28" w:type="dxa"/>
            </w:tcMar>
            <w:hideMark/>
          </w:tcPr>
          <w:p w14:paraId="225FBBB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4DB24B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w:t>
            </w:r>
          </w:p>
        </w:tc>
        <w:tc>
          <w:tcPr>
            <w:tcW w:w="976" w:type="dxa"/>
            <w:tcBorders>
              <w:left w:val="single" w:sz="12" w:space="0" w:color="auto"/>
              <w:right w:val="single" w:sz="6" w:space="0" w:color="auto"/>
            </w:tcBorders>
            <w:tcMar>
              <w:left w:w="28" w:type="dxa"/>
              <w:right w:w="28" w:type="dxa"/>
            </w:tcMar>
          </w:tcPr>
          <w:p w14:paraId="4C16BB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1F28D9BF"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7D36281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001C075"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A7E4023" w14:textId="203CC55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 2012</w:t>
            </w:r>
            <w:r w:rsidRPr="002D1DD7">
              <w:rPr>
                <w:rFonts w:eastAsia="Times New Roman" w:cs="Times New Roman"/>
                <w:color w:val="000000"/>
                <w:sz w:val="18"/>
                <w:szCs w:val="18"/>
                <w:lang w:eastAsia="zh-CN"/>
              </w:rPr>
              <w:fldChar w:fldCharType="begin">
                <w:fldData xml:space="preserve">PEVuZE5vdGU+PENpdGU+PEF1dGhvcj5MaTwvQXV0aG9yPjxZZWFyPjIwMTI8L1llYXI+PFJlY051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PVkmYW1wO05FV1M9TiZhbXA7UEFHRT1mdWxsdGV4dCZhbXA7RD1tZWQ4JmFtcDtBTj0yMjc2MzY0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ZD1wbWlkOjIyNzYzNjQ2JmFtcDtpZD1kb2k6MTAuMTAwNyUyRnMwMDQzMi0wMTItMTI3OC16JmFt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PEVuZE5vdGU+PENpdGU+PEF1dGhvcj5MaTwvQXV0aG9yPjxZZWFyPjIwMTI8L1llYXI+PFJlY051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PVkmYW1wO05FV1M9TiZhbXA7UEFHRT1mdWxsdGV4dCZhbXA7RD1tZWQ4JmFtcDtBTj0yMjc2MzY0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ZD1wbWlkOjIyNzYzNjQ2JmFtcDtpZD1kb2k6MTAuMTAwNyUyRnMwMDQzMi0wMTItMTI3OC16JmFt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110</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586F7B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47DDB51F"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1F7A418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303094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shd w:val="clear" w:color="auto" w:fill="auto"/>
            <w:tcMar>
              <w:left w:w="28" w:type="dxa"/>
              <w:right w:w="28" w:type="dxa"/>
            </w:tcMar>
            <w:hideMark/>
          </w:tcPr>
          <w:p w14:paraId="52C3EF3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 + 2nd</w:t>
            </w:r>
          </w:p>
        </w:tc>
        <w:tc>
          <w:tcPr>
            <w:tcW w:w="1280" w:type="dxa"/>
            <w:tcBorders>
              <w:right w:val="single" w:sz="12" w:space="0" w:color="auto"/>
            </w:tcBorders>
            <w:shd w:val="clear" w:color="auto" w:fill="auto"/>
            <w:tcMar>
              <w:left w:w="28" w:type="dxa"/>
              <w:right w:w="28" w:type="dxa"/>
            </w:tcMar>
            <w:hideMark/>
          </w:tcPr>
          <w:p w14:paraId="41BCBFF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Targeted</w:t>
            </w:r>
          </w:p>
        </w:tc>
        <w:tc>
          <w:tcPr>
            <w:tcW w:w="752" w:type="dxa"/>
            <w:tcBorders>
              <w:left w:val="single" w:sz="12" w:space="0" w:color="auto"/>
            </w:tcBorders>
            <w:shd w:val="clear" w:color="auto" w:fill="auto"/>
            <w:tcMar>
              <w:left w:w="28" w:type="dxa"/>
              <w:right w:w="28" w:type="dxa"/>
            </w:tcMar>
            <w:hideMark/>
          </w:tcPr>
          <w:p w14:paraId="011D15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60</w:t>
            </w:r>
          </w:p>
        </w:tc>
        <w:tc>
          <w:tcPr>
            <w:tcW w:w="755" w:type="dxa"/>
            <w:tcBorders>
              <w:right w:val="single" w:sz="12" w:space="0" w:color="auto"/>
            </w:tcBorders>
            <w:shd w:val="clear" w:color="auto" w:fill="auto"/>
            <w:tcMar>
              <w:left w:w="28" w:type="dxa"/>
              <w:right w:w="28" w:type="dxa"/>
            </w:tcMar>
            <w:hideMark/>
          </w:tcPr>
          <w:p w14:paraId="53DF5C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9903</w:t>
            </w:r>
          </w:p>
        </w:tc>
        <w:tc>
          <w:tcPr>
            <w:tcW w:w="581" w:type="dxa"/>
            <w:tcBorders>
              <w:left w:val="single" w:sz="12" w:space="0" w:color="auto"/>
            </w:tcBorders>
            <w:shd w:val="clear" w:color="auto" w:fill="auto"/>
            <w:tcMar>
              <w:left w:w="28" w:type="dxa"/>
              <w:right w:w="28" w:type="dxa"/>
            </w:tcMar>
            <w:hideMark/>
          </w:tcPr>
          <w:p w14:paraId="3AE4ADB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shd w:val="clear" w:color="auto" w:fill="auto"/>
            <w:tcMar>
              <w:left w:w="28" w:type="dxa"/>
              <w:right w:w="28" w:type="dxa"/>
            </w:tcMar>
            <w:hideMark/>
          </w:tcPr>
          <w:p w14:paraId="71E956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2011</w:t>
            </w:r>
          </w:p>
        </w:tc>
        <w:tc>
          <w:tcPr>
            <w:tcW w:w="466" w:type="dxa"/>
            <w:shd w:val="clear" w:color="auto" w:fill="auto"/>
            <w:tcMar>
              <w:left w:w="28" w:type="dxa"/>
              <w:right w:w="28" w:type="dxa"/>
            </w:tcMar>
            <w:hideMark/>
          </w:tcPr>
          <w:p w14:paraId="1FA9DF2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2E287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(52), WHO (10)</w:t>
            </w:r>
          </w:p>
        </w:tc>
        <w:tc>
          <w:tcPr>
            <w:tcW w:w="976" w:type="dxa"/>
            <w:tcBorders>
              <w:left w:val="single" w:sz="12" w:space="0" w:color="auto"/>
              <w:right w:val="single" w:sz="6" w:space="0" w:color="auto"/>
            </w:tcBorders>
            <w:tcMar>
              <w:left w:w="28" w:type="dxa"/>
              <w:right w:w="28" w:type="dxa"/>
            </w:tcMar>
          </w:tcPr>
          <w:p w14:paraId="577EAD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31D34F7C"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129D1A2C"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F26F293"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4E41245E" w14:textId="7862CBB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Nakashima 2016</w:t>
            </w:r>
            <w:r w:rsidRPr="002D1DD7">
              <w:rPr>
                <w:rFonts w:eastAsia="Times New Roman" w:cs="Times New Roman"/>
                <w:color w:val="000000"/>
                <w:sz w:val="18"/>
                <w:szCs w:val="18"/>
                <w:lang w:eastAsia="zh-CN"/>
              </w:rPr>
              <w:fldChar w:fldCharType="begin">
                <w:fldData xml:space="preserve">PEVuZE5vdGU+PENpdGU+PEF1dGhvcj5OYWthc2hpbWE8L0F1dGhvcj48WWVhcj4yMDE2PC9ZZWFy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dGV4dCZhbXA7RD1tZWQxMiZhbXA7QU49MjcxNzg5ODM8L3N0eWxlPjxzdHlsZSBmYWNlPSJub3Jt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Y2VzX3BhZ2U/c2lkPU9WSUQ6bWVkbGluZSZhbXA7aWQ9cG1pZDoyNzE3ODk4MyZhbXA7aWQ9ZG9p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=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PEVuZE5vdGU+PENpdGU+PEF1dGhvcj5OYWthc2hpbWE8L0F1dGhvcj48WWVhcj4yMDE2PC9ZZWFy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dGV4dCZhbXA7RD1tZWQxMiZhbXA7QU49MjcxNzg5ODM8L3N0eWxlPjxzdHlsZSBmYWNlPSJub3Jt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Y2VzX3BhZ2U/c2lkPU9WSUQ6bWVkbGluZSZhbXA7aWQ9cG1pZDoyNzE3ODk4MyZhbXA7aWQ9ZG9p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=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118</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341CF8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5668A704"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07DC1CC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249778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 locally advanced and recurrent</w:t>
            </w:r>
          </w:p>
        </w:tc>
        <w:tc>
          <w:tcPr>
            <w:tcW w:w="992" w:type="dxa"/>
            <w:shd w:val="clear" w:color="auto" w:fill="auto"/>
            <w:tcMar>
              <w:left w:w="28" w:type="dxa"/>
              <w:right w:w="28" w:type="dxa"/>
            </w:tcMar>
            <w:hideMark/>
          </w:tcPr>
          <w:p w14:paraId="777A6EF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2EFF27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0D8863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44</w:t>
            </w:r>
          </w:p>
        </w:tc>
        <w:tc>
          <w:tcPr>
            <w:tcW w:w="755" w:type="dxa"/>
            <w:tcBorders>
              <w:right w:val="single" w:sz="12" w:space="0" w:color="auto"/>
            </w:tcBorders>
            <w:shd w:val="clear" w:color="auto" w:fill="auto"/>
            <w:tcMar>
              <w:left w:w="28" w:type="dxa"/>
              <w:right w:w="28" w:type="dxa"/>
            </w:tcMar>
            <w:hideMark/>
          </w:tcPr>
          <w:p w14:paraId="445FDA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22709</w:t>
            </w:r>
          </w:p>
        </w:tc>
        <w:tc>
          <w:tcPr>
            <w:tcW w:w="581" w:type="dxa"/>
            <w:tcBorders>
              <w:left w:val="single" w:sz="12" w:space="0" w:color="auto"/>
            </w:tcBorders>
            <w:shd w:val="clear" w:color="auto" w:fill="auto"/>
            <w:tcMar>
              <w:left w:w="28" w:type="dxa"/>
              <w:right w:w="28" w:type="dxa"/>
            </w:tcMar>
            <w:hideMark/>
          </w:tcPr>
          <w:p w14:paraId="2C46EA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379E4C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2005 to 2015</w:t>
            </w:r>
          </w:p>
        </w:tc>
        <w:tc>
          <w:tcPr>
            <w:tcW w:w="466" w:type="dxa"/>
            <w:shd w:val="clear" w:color="auto" w:fill="auto"/>
            <w:tcMar>
              <w:left w:w="28" w:type="dxa"/>
              <w:right w:w="28" w:type="dxa"/>
            </w:tcMar>
            <w:hideMark/>
          </w:tcPr>
          <w:p w14:paraId="4EDA25A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21E2AD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w:t>
            </w:r>
          </w:p>
        </w:tc>
        <w:tc>
          <w:tcPr>
            <w:tcW w:w="976" w:type="dxa"/>
            <w:tcBorders>
              <w:left w:val="single" w:sz="12" w:space="0" w:color="auto"/>
              <w:right w:val="single" w:sz="6" w:space="0" w:color="auto"/>
            </w:tcBorders>
            <w:tcMar>
              <w:left w:w="28" w:type="dxa"/>
              <w:right w:w="28" w:type="dxa"/>
            </w:tcMar>
          </w:tcPr>
          <w:p w14:paraId="1031F47B"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677CBA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3718D81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137893E"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434D3C9" w14:textId="448C225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9AD8C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31F20E17"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2E135AE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794166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72B70B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6890D2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280" w:type="dxa"/>
            <w:tcBorders>
              <w:right w:val="single" w:sz="12" w:space="0" w:color="auto"/>
            </w:tcBorders>
            <w:shd w:val="clear" w:color="auto" w:fill="auto"/>
            <w:tcMar>
              <w:left w:w="28" w:type="dxa"/>
              <w:right w:w="28" w:type="dxa"/>
            </w:tcMar>
            <w:hideMark/>
          </w:tcPr>
          <w:p w14:paraId="16F7FC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752" w:type="dxa"/>
            <w:tcBorders>
              <w:left w:val="single" w:sz="12" w:space="0" w:color="auto"/>
            </w:tcBorders>
            <w:shd w:val="clear" w:color="auto" w:fill="auto"/>
            <w:tcMar>
              <w:left w:w="28" w:type="dxa"/>
              <w:right w:w="28" w:type="dxa"/>
            </w:tcMar>
            <w:hideMark/>
          </w:tcPr>
          <w:p w14:paraId="42A73B5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8</w:t>
            </w:r>
          </w:p>
        </w:tc>
        <w:tc>
          <w:tcPr>
            <w:tcW w:w="755" w:type="dxa"/>
            <w:tcBorders>
              <w:right w:val="single" w:sz="12" w:space="0" w:color="auto"/>
            </w:tcBorders>
            <w:shd w:val="clear" w:color="auto" w:fill="auto"/>
            <w:tcMar>
              <w:left w:w="28" w:type="dxa"/>
              <w:right w:w="28" w:type="dxa"/>
            </w:tcMar>
            <w:hideMark/>
          </w:tcPr>
          <w:p w14:paraId="249D702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46E423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3944A3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2000 to 2017</w:t>
            </w:r>
          </w:p>
        </w:tc>
        <w:tc>
          <w:tcPr>
            <w:tcW w:w="466" w:type="dxa"/>
            <w:shd w:val="clear" w:color="auto" w:fill="auto"/>
            <w:tcMar>
              <w:left w:w="28" w:type="dxa"/>
              <w:right w:w="28" w:type="dxa"/>
            </w:tcMar>
            <w:hideMark/>
          </w:tcPr>
          <w:p w14:paraId="19407CF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A074D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653E8A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2B5FC2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13AEBA8E"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713BF295"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A98D715" w14:textId="0989D9D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48006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0E738293"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006500F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DE1F89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10A86E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2BE74B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63361A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752" w:type="dxa"/>
            <w:tcBorders>
              <w:left w:val="single" w:sz="12" w:space="0" w:color="auto"/>
            </w:tcBorders>
            <w:shd w:val="clear" w:color="auto" w:fill="auto"/>
            <w:tcMar>
              <w:left w:w="28" w:type="dxa"/>
              <w:right w:w="28" w:type="dxa"/>
            </w:tcMar>
            <w:hideMark/>
          </w:tcPr>
          <w:p w14:paraId="2DB5644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7*</w:t>
            </w:r>
          </w:p>
        </w:tc>
        <w:tc>
          <w:tcPr>
            <w:tcW w:w="755" w:type="dxa"/>
            <w:tcBorders>
              <w:right w:val="single" w:sz="12" w:space="0" w:color="auto"/>
            </w:tcBorders>
            <w:shd w:val="clear" w:color="auto" w:fill="auto"/>
            <w:tcMar>
              <w:left w:w="28" w:type="dxa"/>
              <w:right w:w="28" w:type="dxa"/>
            </w:tcMar>
            <w:hideMark/>
          </w:tcPr>
          <w:p w14:paraId="22D3C20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3369*</w:t>
            </w:r>
          </w:p>
        </w:tc>
        <w:tc>
          <w:tcPr>
            <w:tcW w:w="581" w:type="dxa"/>
            <w:tcBorders>
              <w:left w:val="single" w:sz="12" w:space="0" w:color="auto"/>
            </w:tcBorders>
            <w:shd w:val="clear" w:color="auto" w:fill="auto"/>
            <w:tcMar>
              <w:left w:w="28" w:type="dxa"/>
              <w:right w:w="28" w:type="dxa"/>
            </w:tcMar>
            <w:hideMark/>
          </w:tcPr>
          <w:p w14:paraId="30C6FA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5C7E51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2017</w:t>
            </w:r>
          </w:p>
        </w:tc>
        <w:tc>
          <w:tcPr>
            <w:tcW w:w="466" w:type="dxa"/>
            <w:shd w:val="clear" w:color="auto" w:fill="auto"/>
            <w:tcMar>
              <w:left w:w="28" w:type="dxa"/>
              <w:right w:w="28" w:type="dxa"/>
            </w:tcMar>
            <w:hideMark/>
          </w:tcPr>
          <w:p w14:paraId="750634B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0A21F9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or mWHO</w:t>
            </w:r>
          </w:p>
        </w:tc>
        <w:tc>
          <w:tcPr>
            <w:tcW w:w="976" w:type="dxa"/>
            <w:tcBorders>
              <w:left w:val="single" w:sz="12" w:space="0" w:color="auto"/>
              <w:right w:val="single" w:sz="6" w:space="0" w:color="auto"/>
            </w:tcBorders>
            <w:tcMar>
              <w:left w:w="28" w:type="dxa"/>
              <w:right w:w="28" w:type="dxa"/>
            </w:tcMar>
          </w:tcPr>
          <w:p w14:paraId="5467984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2549F0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20AB933B"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51F184EA"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3D62828" w14:textId="439DA24E"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Sekine 1999</w:t>
            </w:r>
            <w:r w:rsidRPr="002D1DD7">
              <w:rPr>
                <w:rFonts w:eastAsia="Times New Roman" w:cs="Times New Roman"/>
                <w:sz w:val="18"/>
                <w:szCs w:val="18"/>
                <w:lang w:eastAsia="zh-CN"/>
              </w:rPr>
              <w:fldChar w:fldCharType="begin">
                <w:fldData xml:space="preserve">PEVuZE5vdGU+PENpdGU+PEF1dGhvcj5TZWtpbmU8L0F1dGhvcj48WWVhcj4xOTk5PC9ZZWFyPjxS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==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PEVuZE5vdGU+PENpdGU+PEF1dGhvcj5TZWtpbmU8L0F1dGhvcj48WWVhcj4xOTk5PC9ZZWFyPjxS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==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128</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9CF3AE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4E13AED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6427892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5BC4B01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23A390C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54F543B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6034544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42</w:t>
            </w:r>
          </w:p>
        </w:tc>
        <w:tc>
          <w:tcPr>
            <w:tcW w:w="755" w:type="dxa"/>
            <w:tcBorders>
              <w:right w:val="single" w:sz="12" w:space="0" w:color="auto"/>
            </w:tcBorders>
            <w:shd w:val="clear" w:color="auto" w:fill="auto"/>
            <w:tcMar>
              <w:left w:w="28" w:type="dxa"/>
              <w:right w:w="28" w:type="dxa"/>
            </w:tcMar>
            <w:hideMark/>
          </w:tcPr>
          <w:p w14:paraId="5292A8A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1935</w:t>
            </w:r>
          </w:p>
        </w:tc>
        <w:tc>
          <w:tcPr>
            <w:tcW w:w="581" w:type="dxa"/>
            <w:tcBorders>
              <w:left w:val="single" w:sz="12" w:space="0" w:color="auto"/>
            </w:tcBorders>
            <w:shd w:val="clear" w:color="auto" w:fill="auto"/>
            <w:tcMar>
              <w:left w:w="28" w:type="dxa"/>
              <w:right w:w="28" w:type="dxa"/>
            </w:tcMar>
            <w:hideMark/>
          </w:tcPr>
          <w:p w14:paraId="5F5CB5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SA +1 RCT</w:t>
            </w:r>
          </w:p>
        </w:tc>
        <w:tc>
          <w:tcPr>
            <w:tcW w:w="1168" w:type="dxa"/>
            <w:shd w:val="clear" w:color="auto" w:fill="auto"/>
            <w:tcMar>
              <w:left w:w="28" w:type="dxa"/>
              <w:right w:w="28" w:type="dxa"/>
            </w:tcMar>
            <w:hideMark/>
          </w:tcPr>
          <w:p w14:paraId="02A26D5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1988-1997</w:t>
            </w:r>
          </w:p>
        </w:tc>
        <w:tc>
          <w:tcPr>
            <w:tcW w:w="466" w:type="dxa"/>
            <w:shd w:val="clear" w:color="auto" w:fill="auto"/>
            <w:tcMar>
              <w:left w:w="28" w:type="dxa"/>
              <w:right w:w="28" w:type="dxa"/>
            </w:tcMar>
            <w:hideMark/>
          </w:tcPr>
          <w:p w14:paraId="2C4A27B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3E30B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WHO</w:t>
            </w:r>
          </w:p>
        </w:tc>
        <w:tc>
          <w:tcPr>
            <w:tcW w:w="976" w:type="dxa"/>
            <w:tcBorders>
              <w:left w:val="single" w:sz="12" w:space="0" w:color="auto"/>
              <w:right w:val="single" w:sz="6" w:space="0" w:color="auto"/>
            </w:tcBorders>
            <w:tcMar>
              <w:left w:w="28" w:type="dxa"/>
              <w:right w:w="28" w:type="dxa"/>
            </w:tcMar>
          </w:tcPr>
          <w:p w14:paraId="283B15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7DB261A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3F58EFBA"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871BF62"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984F6C0" w14:textId="58B44A1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Shukuya 2016</w:t>
            </w:r>
            <w:r w:rsidRPr="002D1DD7">
              <w:rPr>
                <w:rFonts w:eastAsia="Times New Roman" w:cs="Times New Roman"/>
                <w:color w:val="000000"/>
                <w:sz w:val="18"/>
                <w:szCs w:val="18"/>
                <w:lang w:eastAsia="zh-CN"/>
              </w:rPr>
              <w:fldChar w:fldCharType="begin">
                <w:fldData xml:space="preserve">PEVuZE5vdGU+PENpdGU+PEF1dGhvcj5TaHVrdXlhPC9BdXRob3I+PFllYXI+MjAxNjwvWWVhcj48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PEVuZE5vdGU+PENpdGU+PEF1dGhvcj5TaHVrdXlhPC9BdXRob3I+PFllYXI+MjAxNjwvWWVhcj48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131</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3CFAF3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0252AD6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38D20E8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6D83EB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shd w:val="clear" w:color="auto" w:fill="auto"/>
            <w:tcMar>
              <w:left w:w="28" w:type="dxa"/>
              <w:right w:w="28" w:type="dxa"/>
            </w:tcMar>
            <w:hideMark/>
          </w:tcPr>
          <w:p w14:paraId="78F116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280" w:type="dxa"/>
            <w:tcBorders>
              <w:right w:val="single" w:sz="12" w:space="0" w:color="auto"/>
            </w:tcBorders>
            <w:shd w:val="clear" w:color="auto" w:fill="auto"/>
            <w:tcMar>
              <w:left w:w="28" w:type="dxa"/>
              <w:right w:w="28" w:type="dxa"/>
            </w:tcMar>
            <w:hideMark/>
          </w:tcPr>
          <w:p w14:paraId="53E805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Immune checkpoint inhibitors (PD-(L)1)</w:t>
            </w:r>
          </w:p>
          <w:p w14:paraId="0714E3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 Chemo (docetaxel)</w:t>
            </w:r>
          </w:p>
        </w:tc>
        <w:tc>
          <w:tcPr>
            <w:tcW w:w="752" w:type="dxa"/>
            <w:tcBorders>
              <w:left w:val="single" w:sz="12" w:space="0" w:color="auto"/>
            </w:tcBorders>
            <w:shd w:val="clear" w:color="auto" w:fill="auto"/>
            <w:tcMar>
              <w:left w:w="28" w:type="dxa"/>
              <w:right w:w="28" w:type="dxa"/>
            </w:tcMar>
            <w:hideMark/>
          </w:tcPr>
          <w:p w14:paraId="475C6A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10</w:t>
            </w:r>
            <w:r w:rsidRPr="002D1DD7">
              <w:rPr>
                <w:rFonts w:eastAsia="Times New Roman" w:cs="Times New Roman"/>
                <w:color w:val="000000"/>
                <w:sz w:val="18"/>
                <w:szCs w:val="18"/>
                <w:vertAlign w:val="superscript"/>
                <w:lang w:eastAsia="zh-CN"/>
              </w:rPr>
              <w:t>†</w:t>
            </w:r>
          </w:p>
          <w:p w14:paraId="3F6F78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 22</w:t>
            </w:r>
            <w:r w:rsidRPr="002D1DD7">
              <w:rPr>
                <w:rFonts w:eastAsia="Times New Roman" w:cs="Times New Roman"/>
                <w:color w:val="000000"/>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326D224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1FC8EE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shd w:val="clear" w:color="auto" w:fill="auto"/>
            <w:tcMar>
              <w:left w:w="28" w:type="dxa"/>
              <w:right w:w="28" w:type="dxa"/>
            </w:tcMar>
            <w:hideMark/>
          </w:tcPr>
          <w:p w14:paraId="7A7A8B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2012 to 2016</w:t>
            </w:r>
          </w:p>
        </w:tc>
        <w:tc>
          <w:tcPr>
            <w:tcW w:w="466" w:type="dxa"/>
            <w:shd w:val="clear" w:color="auto" w:fill="auto"/>
            <w:tcMar>
              <w:left w:w="28" w:type="dxa"/>
              <w:right w:w="28" w:type="dxa"/>
            </w:tcMar>
            <w:hideMark/>
          </w:tcPr>
          <w:p w14:paraId="4A4DDB6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27E680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(most)</w:t>
            </w:r>
          </w:p>
        </w:tc>
        <w:tc>
          <w:tcPr>
            <w:tcW w:w="976" w:type="dxa"/>
            <w:tcBorders>
              <w:left w:val="single" w:sz="12" w:space="0" w:color="auto"/>
              <w:right w:val="single" w:sz="6" w:space="0" w:color="auto"/>
            </w:tcBorders>
            <w:tcMar>
              <w:left w:w="28" w:type="dxa"/>
              <w:right w:w="28" w:type="dxa"/>
            </w:tcMar>
          </w:tcPr>
          <w:p w14:paraId="50D485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0411770F"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2D1136D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673FAFC2"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0EC7CDF3" w14:textId="6558D69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223491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55B94518"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3F9C9F4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769766C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94E76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shd w:val="clear" w:color="auto" w:fill="auto"/>
            <w:tcMar>
              <w:left w:w="28" w:type="dxa"/>
              <w:right w:w="28" w:type="dxa"/>
            </w:tcMar>
            <w:hideMark/>
          </w:tcPr>
          <w:p w14:paraId="422C70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3DE465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752" w:type="dxa"/>
            <w:tcBorders>
              <w:left w:val="single" w:sz="12" w:space="0" w:color="auto"/>
            </w:tcBorders>
            <w:shd w:val="clear" w:color="auto" w:fill="auto"/>
            <w:tcMar>
              <w:left w:w="28" w:type="dxa"/>
              <w:right w:w="28" w:type="dxa"/>
            </w:tcMar>
            <w:hideMark/>
          </w:tcPr>
          <w:p w14:paraId="7E23E1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55" w:type="dxa"/>
            <w:tcBorders>
              <w:right w:val="single" w:sz="12" w:space="0" w:color="auto"/>
            </w:tcBorders>
            <w:shd w:val="clear" w:color="auto" w:fill="auto"/>
            <w:tcMar>
              <w:left w:w="28" w:type="dxa"/>
              <w:right w:w="28" w:type="dxa"/>
            </w:tcMar>
            <w:hideMark/>
          </w:tcPr>
          <w:p w14:paraId="41951A9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1028DE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0ADB8D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2009</w:t>
            </w:r>
          </w:p>
        </w:tc>
        <w:tc>
          <w:tcPr>
            <w:tcW w:w="466" w:type="dxa"/>
            <w:shd w:val="clear" w:color="auto" w:fill="auto"/>
            <w:tcMar>
              <w:left w:w="28" w:type="dxa"/>
              <w:right w:w="28" w:type="dxa"/>
            </w:tcMar>
            <w:hideMark/>
          </w:tcPr>
          <w:p w14:paraId="23CEC18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4DE44E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4AAB713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2E22CB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07EE97BC"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FE7C562"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1146829E" w14:textId="4A560BE3"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Tsujino 2009</w:t>
            </w:r>
            <w:r w:rsidRPr="002D1DD7">
              <w:rPr>
                <w:rFonts w:eastAsia="Times New Roman" w:cs="Times New Roman"/>
                <w:sz w:val="18"/>
                <w:szCs w:val="18"/>
                <w:lang w:eastAsia="zh-CN"/>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136</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590D926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(NSCLC)</w:t>
            </w:r>
          </w:p>
        </w:tc>
        <w:tc>
          <w:tcPr>
            <w:tcW w:w="944" w:type="dxa"/>
            <w:tcBorders>
              <w:left w:val="single" w:sz="12" w:space="0" w:color="auto"/>
            </w:tcBorders>
            <w:shd w:val="clear" w:color="auto" w:fill="auto"/>
            <w:tcMar>
              <w:left w:w="28" w:type="dxa"/>
              <w:right w:w="28" w:type="dxa"/>
            </w:tcMar>
            <w:hideMark/>
          </w:tcPr>
          <w:p w14:paraId="78B683A8"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0CE5C91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6660DB0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2CC0CEE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7BCD4DF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0E3456A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Targeted</w:t>
            </w:r>
          </w:p>
        </w:tc>
        <w:tc>
          <w:tcPr>
            <w:tcW w:w="752" w:type="dxa"/>
            <w:tcBorders>
              <w:left w:val="single" w:sz="12" w:space="0" w:color="auto"/>
            </w:tcBorders>
            <w:shd w:val="clear" w:color="auto" w:fill="auto"/>
            <w:tcMar>
              <w:left w:w="28" w:type="dxa"/>
              <w:right w:w="28" w:type="dxa"/>
            </w:tcMar>
            <w:hideMark/>
          </w:tcPr>
          <w:p w14:paraId="08EDAD7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28</w:t>
            </w:r>
          </w:p>
        </w:tc>
        <w:tc>
          <w:tcPr>
            <w:tcW w:w="755" w:type="dxa"/>
            <w:tcBorders>
              <w:right w:val="single" w:sz="12" w:space="0" w:color="auto"/>
            </w:tcBorders>
            <w:shd w:val="clear" w:color="auto" w:fill="auto"/>
            <w:tcMar>
              <w:left w:w="28" w:type="dxa"/>
              <w:right w:w="28" w:type="dxa"/>
            </w:tcMar>
            <w:hideMark/>
          </w:tcPr>
          <w:p w14:paraId="2124BC2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6171</w:t>
            </w:r>
          </w:p>
        </w:tc>
        <w:tc>
          <w:tcPr>
            <w:tcW w:w="581" w:type="dxa"/>
            <w:tcBorders>
              <w:left w:val="single" w:sz="12" w:space="0" w:color="auto"/>
            </w:tcBorders>
            <w:shd w:val="clear" w:color="auto" w:fill="auto"/>
            <w:tcMar>
              <w:left w:w="28" w:type="dxa"/>
              <w:right w:w="28" w:type="dxa"/>
            </w:tcMar>
            <w:hideMark/>
          </w:tcPr>
          <w:p w14:paraId="1952B25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shd w:val="clear" w:color="auto" w:fill="auto"/>
            <w:tcMar>
              <w:left w:w="28" w:type="dxa"/>
              <w:right w:w="28" w:type="dxa"/>
            </w:tcMar>
            <w:hideMark/>
          </w:tcPr>
          <w:p w14:paraId="1490270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2007</w:t>
            </w:r>
          </w:p>
        </w:tc>
        <w:tc>
          <w:tcPr>
            <w:tcW w:w="466" w:type="dxa"/>
            <w:shd w:val="clear" w:color="auto" w:fill="auto"/>
            <w:tcMar>
              <w:left w:w="28" w:type="dxa"/>
              <w:right w:w="28" w:type="dxa"/>
            </w:tcMar>
            <w:hideMark/>
          </w:tcPr>
          <w:p w14:paraId="7935B0D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1BCF54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(21), WHO (9)</w:t>
            </w:r>
          </w:p>
        </w:tc>
        <w:tc>
          <w:tcPr>
            <w:tcW w:w="976" w:type="dxa"/>
            <w:tcBorders>
              <w:left w:val="single" w:sz="12" w:space="0" w:color="auto"/>
              <w:right w:val="single" w:sz="6" w:space="0" w:color="auto"/>
            </w:tcBorders>
            <w:tcMar>
              <w:left w:w="28" w:type="dxa"/>
              <w:right w:w="28" w:type="dxa"/>
            </w:tcMar>
          </w:tcPr>
          <w:p w14:paraId="7BF6C9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45A85D1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67082E5E"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70449A60"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398C1665" w14:textId="112C9E0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4E43F9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944" w:type="dxa"/>
            <w:tcBorders>
              <w:left w:val="single" w:sz="12" w:space="0" w:color="auto"/>
              <w:bottom w:val="single" w:sz="12" w:space="0" w:color="auto"/>
            </w:tcBorders>
            <w:shd w:val="clear" w:color="auto" w:fill="auto"/>
            <w:tcMar>
              <w:left w:w="28" w:type="dxa"/>
              <w:right w:w="28" w:type="dxa"/>
            </w:tcMar>
            <w:hideMark/>
          </w:tcPr>
          <w:p w14:paraId="20CF668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4F9C1CD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30BEE0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6BB74E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 locally advanced, unresectable or metastatic</w:t>
            </w:r>
          </w:p>
        </w:tc>
        <w:tc>
          <w:tcPr>
            <w:tcW w:w="992" w:type="dxa"/>
            <w:tcBorders>
              <w:bottom w:val="single" w:sz="12" w:space="0" w:color="auto"/>
            </w:tcBorders>
            <w:shd w:val="clear" w:color="auto" w:fill="auto"/>
            <w:tcMar>
              <w:left w:w="28" w:type="dxa"/>
              <w:right w:w="28" w:type="dxa"/>
            </w:tcMar>
            <w:hideMark/>
          </w:tcPr>
          <w:p w14:paraId="7251E4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bottom w:val="single" w:sz="12" w:space="0" w:color="auto"/>
              <w:right w:val="single" w:sz="12" w:space="0" w:color="auto"/>
            </w:tcBorders>
            <w:shd w:val="clear" w:color="auto" w:fill="auto"/>
            <w:tcMar>
              <w:left w:w="28" w:type="dxa"/>
              <w:right w:w="28" w:type="dxa"/>
            </w:tcMar>
            <w:hideMark/>
          </w:tcPr>
          <w:p w14:paraId="4AC8BD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752" w:type="dxa"/>
            <w:tcBorders>
              <w:left w:val="single" w:sz="12" w:space="0" w:color="auto"/>
              <w:bottom w:val="single" w:sz="12" w:space="0" w:color="auto"/>
            </w:tcBorders>
            <w:shd w:val="clear" w:color="auto" w:fill="auto"/>
            <w:tcMar>
              <w:left w:w="28" w:type="dxa"/>
              <w:right w:w="28" w:type="dxa"/>
            </w:tcMar>
            <w:hideMark/>
          </w:tcPr>
          <w:p w14:paraId="122A245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35</w:t>
            </w:r>
          </w:p>
        </w:tc>
        <w:tc>
          <w:tcPr>
            <w:tcW w:w="755" w:type="dxa"/>
            <w:tcBorders>
              <w:bottom w:val="single" w:sz="12" w:space="0" w:color="auto"/>
              <w:right w:val="single" w:sz="12" w:space="0" w:color="auto"/>
            </w:tcBorders>
            <w:shd w:val="clear" w:color="auto" w:fill="auto"/>
            <w:tcMar>
              <w:left w:w="28" w:type="dxa"/>
              <w:right w:w="28" w:type="dxa"/>
            </w:tcMar>
            <w:hideMark/>
          </w:tcPr>
          <w:p w14:paraId="75C17DF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bottom w:val="single" w:sz="12" w:space="0" w:color="auto"/>
            </w:tcBorders>
            <w:shd w:val="clear" w:color="auto" w:fill="auto"/>
            <w:tcMar>
              <w:left w:w="28" w:type="dxa"/>
              <w:right w:w="28" w:type="dxa"/>
            </w:tcMar>
            <w:hideMark/>
          </w:tcPr>
          <w:p w14:paraId="1B0959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tcBorders>
              <w:bottom w:val="single" w:sz="12" w:space="0" w:color="auto"/>
            </w:tcBorders>
            <w:shd w:val="clear" w:color="auto" w:fill="auto"/>
            <w:tcMar>
              <w:left w:w="28" w:type="dxa"/>
              <w:right w:w="28" w:type="dxa"/>
            </w:tcMar>
            <w:hideMark/>
          </w:tcPr>
          <w:p w14:paraId="50CC79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2006 to 2008</w:t>
            </w:r>
          </w:p>
        </w:tc>
        <w:tc>
          <w:tcPr>
            <w:tcW w:w="466" w:type="dxa"/>
            <w:tcBorders>
              <w:bottom w:val="single" w:sz="12" w:space="0" w:color="auto"/>
            </w:tcBorders>
            <w:shd w:val="clear" w:color="auto" w:fill="auto"/>
            <w:tcMar>
              <w:left w:w="28" w:type="dxa"/>
              <w:right w:w="28" w:type="dxa"/>
            </w:tcMar>
            <w:hideMark/>
          </w:tcPr>
          <w:p w14:paraId="4F525CA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25B9B6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608832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6411FEFF"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bottom w:val="single" w:sz="12" w:space="0" w:color="auto"/>
              <w:right w:val="single" w:sz="12" w:space="0" w:color="auto"/>
            </w:tcBorders>
            <w:tcMar>
              <w:left w:w="28" w:type="dxa"/>
              <w:right w:w="28" w:type="dxa"/>
            </w:tcMar>
          </w:tcPr>
          <w:p w14:paraId="217067A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5C5A5847"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12E33DA1" w14:textId="240A2AC2" w:rsidR="002E26FD" w:rsidRPr="002D1DD7" w:rsidRDefault="002E26FD" w:rsidP="00054FE8">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Foster 2011</w:t>
            </w:r>
            <w:r w:rsidRPr="002D1DD7">
              <w:rPr>
                <w:rFonts w:eastAsia="Times New Roman" w:cs="Times New Roman"/>
                <w:sz w:val="18"/>
                <w:szCs w:val="18"/>
                <w:lang w:eastAsia="zh-CN"/>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eastAsia="Times New Roman" w:cs="Times New Roman"/>
                <w:sz w:val="18"/>
                <w:szCs w:val="18"/>
                <w:lang w:eastAsia="zh-CN"/>
              </w:rPr>
              <w:instrText xml:space="preserve"> ADDIN EN.CITE </w:instrText>
            </w:r>
            <w:r w:rsidR="00054FE8">
              <w:rPr>
                <w:rFonts w:eastAsia="Times New Roman" w:cs="Times New Roman"/>
                <w:sz w:val="18"/>
                <w:szCs w:val="18"/>
                <w:lang w:eastAsia="zh-CN"/>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eastAsia="Times New Roman" w:cs="Times New Roman"/>
                <w:sz w:val="18"/>
                <w:szCs w:val="18"/>
                <w:lang w:eastAsia="zh-CN"/>
              </w:rPr>
              <w:instrText xml:space="preserve"> ADDIN EN.CITE.DATA </w:instrText>
            </w:r>
            <w:r w:rsidR="00054FE8">
              <w:rPr>
                <w:rFonts w:eastAsia="Times New Roman" w:cs="Times New Roman"/>
                <w:sz w:val="18"/>
                <w:szCs w:val="18"/>
                <w:lang w:eastAsia="zh-CN"/>
              </w:rPr>
            </w:r>
            <w:r w:rsidR="00054FE8">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94</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32BFFA9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(SCLC)</w:t>
            </w:r>
          </w:p>
        </w:tc>
        <w:tc>
          <w:tcPr>
            <w:tcW w:w="944" w:type="dxa"/>
            <w:tcBorders>
              <w:top w:val="single" w:sz="12" w:space="0" w:color="auto"/>
              <w:left w:val="single" w:sz="12" w:space="0" w:color="auto"/>
            </w:tcBorders>
            <w:shd w:val="clear" w:color="auto" w:fill="auto"/>
            <w:tcMar>
              <w:left w:w="28" w:type="dxa"/>
              <w:right w:w="28" w:type="dxa"/>
            </w:tcMar>
            <w:hideMark/>
          </w:tcPr>
          <w:p w14:paraId="09FC658B"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32D0494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top w:val="single" w:sz="12" w:space="0" w:color="auto"/>
              <w:right w:val="single" w:sz="12" w:space="0" w:color="auto"/>
            </w:tcBorders>
            <w:shd w:val="clear" w:color="auto" w:fill="auto"/>
            <w:tcMar>
              <w:left w:w="28" w:type="dxa"/>
              <w:right w:w="28" w:type="dxa"/>
            </w:tcMar>
            <w:hideMark/>
          </w:tcPr>
          <w:p w14:paraId="7B991DE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3C1E498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Extensive-stage</w:t>
            </w:r>
          </w:p>
        </w:tc>
        <w:tc>
          <w:tcPr>
            <w:tcW w:w="992" w:type="dxa"/>
            <w:tcBorders>
              <w:top w:val="single" w:sz="12" w:space="0" w:color="auto"/>
            </w:tcBorders>
            <w:shd w:val="clear" w:color="auto" w:fill="auto"/>
            <w:tcMar>
              <w:left w:w="28" w:type="dxa"/>
              <w:right w:w="28" w:type="dxa"/>
            </w:tcMar>
            <w:hideMark/>
          </w:tcPr>
          <w:p w14:paraId="70F82CB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7BD9474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5990F3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 RCTs (32 centres)</w:t>
            </w:r>
          </w:p>
        </w:tc>
        <w:tc>
          <w:tcPr>
            <w:tcW w:w="755" w:type="dxa"/>
            <w:tcBorders>
              <w:top w:val="single" w:sz="12" w:space="0" w:color="auto"/>
              <w:right w:val="single" w:sz="12" w:space="0" w:color="auto"/>
            </w:tcBorders>
            <w:shd w:val="clear" w:color="auto" w:fill="auto"/>
            <w:tcMar>
              <w:left w:w="28" w:type="dxa"/>
              <w:right w:w="28" w:type="dxa"/>
            </w:tcMar>
            <w:hideMark/>
          </w:tcPr>
          <w:p w14:paraId="28CD9A4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596</w:t>
            </w:r>
            <w:r w:rsidRPr="002D1DD7">
              <w:rPr>
                <w:rFonts w:eastAsia="Times New Roman" w:cs="Times New Roman"/>
                <w:color w:val="000000"/>
                <w:sz w:val="18"/>
                <w:szCs w:val="18"/>
                <w:vertAlign w:val="superscript"/>
                <w:lang w:eastAsia="zh-CN"/>
              </w:rPr>
              <w:t>†</w:t>
            </w:r>
          </w:p>
        </w:tc>
        <w:tc>
          <w:tcPr>
            <w:tcW w:w="581" w:type="dxa"/>
            <w:tcBorders>
              <w:top w:val="single" w:sz="12" w:space="0" w:color="auto"/>
              <w:left w:val="single" w:sz="12" w:space="0" w:color="auto"/>
            </w:tcBorders>
            <w:shd w:val="clear" w:color="auto" w:fill="auto"/>
            <w:tcMar>
              <w:left w:w="28" w:type="dxa"/>
              <w:right w:w="28" w:type="dxa"/>
            </w:tcMar>
            <w:hideMark/>
          </w:tcPr>
          <w:p w14:paraId="72A37D1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0502AE2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Trials initiated 1987-1999</w:t>
            </w:r>
          </w:p>
        </w:tc>
        <w:tc>
          <w:tcPr>
            <w:tcW w:w="466" w:type="dxa"/>
            <w:tcBorders>
              <w:top w:val="single" w:sz="12" w:space="0" w:color="auto"/>
            </w:tcBorders>
            <w:shd w:val="clear" w:color="auto" w:fill="auto"/>
            <w:tcMar>
              <w:left w:w="28" w:type="dxa"/>
              <w:right w:w="28" w:type="dxa"/>
            </w:tcMar>
            <w:hideMark/>
          </w:tcPr>
          <w:p w14:paraId="52DFDD1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7130B9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 (CR=disappearance; PR ≥50% reduction</w:t>
            </w:r>
          </w:p>
        </w:tc>
        <w:tc>
          <w:tcPr>
            <w:tcW w:w="976" w:type="dxa"/>
            <w:tcBorders>
              <w:top w:val="single" w:sz="12" w:space="0" w:color="auto"/>
              <w:left w:val="single" w:sz="12" w:space="0" w:color="auto"/>
              <w:right w:val="single" w:sz="6" w:space="0" w:color="auto"/>
            </w:tcBorders>
            <w:tcMar>
              <w:left w:w="28" w:type="dxa"/>
              <w:right w:w="28" w:type="dxa"/>
            </w:tcMar>
          </w:tcPr>
          <w:p w14:paraId="7540CC6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top w:val="single" w:sz="12" w:space="0" w:color="auto"/>
              <w:left w:val="single" w:sz="6" w:space="0" w:color="auto"/>
            </w:tcBorders>
            <w:tcMar>
              <w:left w:w="28" w:type="dxa"/>
              <w:right w:w="28" w:type="dxa"/>
            </w:tcMar>
          </w:tcPr>
          <w:p w14:paraId="51EE96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top w:val="single" w:sz="12" w:space="0" w:color="auto"/>
              <w:right w:val="single" w:sz="12" w:space="0" w:color="auto"/>
            </w:tcBorders>
            <w:tcMar>
              <w:left w:w="28" w:type="dxa"/>
              <w:right w:w="28" w:type="dxa"/>
            </w:tcMar>
          </w:tcPr>
          <w:p w14:paraId="4901926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153317F"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10F973FD" w14:textId="2FA9C6FB"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4CE35C5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Lung (SCLC)</w:t>
            </w:r>
          </w:p>
        </w:tc>
        <w:tc>
          <w:tcPr>
            <w:tcW w:w="944" w:type="dxa"/>
            <w:tcBorders>
              <w:left w:val="single" w:sz="12" w:space="0" w:color="auto"/>
            </w:tcBorders>
            <w:shd w:val="clear" w:color="auto" w:fill="auto"/>
            <w:tcMar>
              <w:left w:w="28" w:type="dxa"/>
              <w:right w:w="28" w:type="dxa"/>
            </w:tcMar>
            <w:hideMark/>
          </w:tcPr>
          <w:p w14:paraId="495B697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52EA334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7DBF03D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Extensive disease</w:t>
            </w:r>
          </w:p>
        </w:tc>
        <w:tc>
          <w:tcPr>
            <w:tcW w:w="992" w:type="dxa"/>
            <w:shd w:val="clear" w:color="auto" w:fill="auto"/>
            <w:tcMar>
              <w:left w:w="28" w:type="dxa"/>
              <w:right w:w="28" w:type="dxa"/>
            </w:tcMar>
            <w:hideMark/>
          </w:tcPr>
          <w:p w14:paraId="240314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2524A1A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095AF56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48</w:t>
            </w:r>
          </w:p>
        </w:tc>
        <w:tc>
          <w:tcPr>
            <w:tcW w:w="755" w:type="dxa"/>
            <w:tcBorders>
              <w:right w:val="single" w:sz="12" w:space="0" w:color="auto"/>
            </w:tcBorders>
            <w:shd w:val="clear" w:color="auto" w:fill="auto"/>
            <w:tcMar>
              <w:left w:w="28" w:type="dxa"/>
              <w:right w:w="28" w:type="dxa"/>
            </w:tcMar>
            <w:hideMark/>
          </w:tcPr>
          <w:p w14:paraId="0184AFC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8779</w:t>
            </w:r>
          </w:p>
        </w:tc>
        <w:tc>
          <w:tcPr>
            <w:tcW w:w="581" w:type="dxa"/>
            <w:tcBorders>
              <w:left w:val="single" w:sz="12" w:space="0" w:color="auto"/>
            </w:tcBorders>
            <w:shd w:val="clear" w:color="auto" w:fill="auto"/>
            <w:tcMar>
              <w:left w:w="28" w:type="dxa"/>
              <w:right w:w="28" w:type="dxa"/>
            </w:tcMar>
            <w:hideMark/>
          </w:tcPr>
          <w:p w14:paraId="5A57625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6563AA2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1990-2008</w:t>
            </w:r>
          </w:p>
        </w:tc>
        <w:tc>
          <w:tcPr>
            <w:tcW w:w="466" w:type="dxa"/>
            <w:shd w:val="clear" w:color="auto" w:fill="auto"/>
            <w:tcMar>
              <w:left w:w="28" w:type="dxa"/>
              <w:right w:w="28" w:type="dxa"/>
            </w:tcMar>
            <w:hideMark/>
          </w:tcPr>
          <w:p w14:paraId="3B83484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6778D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WHO (23), ECOG (2), RECIST (1), Japan (1), or NR</w:t>
            </w:r>
          </w:p>
        </w:tc>
        <w:tc>
          <w:tcPr>
            <w:tcW w:w="976" w:type="dxa"/>
            <w:tcBorders>
              <w:left w:val="single" w:sz="12" w:space="0" w:color="auto"/>
              <w:right w:val="single" w:sz="6" w:space="0" w:color="auto"/>
            </w:tcBorders>
            <w:tcMar>
              <w:left w:w="28" w:type="dxa"/>
              <w:right w:w="28" w:type="dxa"/>
            </w:tcMar>
          </w:tcPr>
          <w:p w14:paraId="238C8C4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61EF19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2CA782D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93DAB4E"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5F9EA23D" w14:textId="3E8EAAC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63C2D4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(SCLC)</w:t>
            </w:r>
          </w:p>
        </w:tc>
        <w:tc>
          <w:tcPr>
            <w:tcW w:w="944" w:type="dxa"/>
            <w:tcBorders>
              <w:left w:val="single" w:sz="12" w:space="0" w:color="auto"/>
              <w:bottom w:val="single" w:sz="12" w:space="0" w:color="auto"/>
            </w:tcBorders>
            <w:shd w:val="clear" w:color="auto" w:fill="auto"/>
            <w:tcMar>
              <w:left w:w="28" w:type="dxa"/>
              <w:right w:w="28" w:type="dxa"/>
            </w:tcMar>
            <w:hideMark/>
          </w:tcPr>
          <w:p w14:paraId="445E2FC0"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6C5AB40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p w14:paraId="6EB8BA1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PR</w:t>
            </w:r>
          </w:p>
        </w:tc>
        <w:tc>
          <w:tcPr>
            <w:tcW w:w="829" w:type="dxa"/>
            <w:tcBorders>
              <w:bottom w:val="single" w:sz="12" w:space="0" w:color="auto"/>
              <w:right w:val="single" w:sz="12" w:space="0" w:color="auto"/>
            </w:tcBorders>
            <w:shd w:val="clear" w:color="auto" w:fill="auto"/>
            <w:tcMar>
              <w:left w:w="28" w:type="dxa"/>
              <w:right w:w="28" w:type="dxa"/>
            </w:tcMar>
            <w:hideMark/>
          </w:tcPr>
          <w:p w14:paraId="3FC71C6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549A845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46D422B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Limited or extensive disease</w:t>
            </w:r>
          </w:p>
        </w:tc>
        <w:tc>
          <w:tcPr>
            <w:tcW w:w="992" w:type="dxa"/>
            <w:tcBorders>
              <w:bottom w:val="single" w:sz="12" w:space="0" w:color="auto"/>
            </w:tcBorders>
            <w:shd w:val="clear" w:color="auto" w:fill="auto"/>
            <w:tcMar>
              <w:left w:w="28" w:type="dxa"/>
              <w:right w:w="28" w:type="dxa"/>
            </w:tcMar>
            <w:hideMark/>
          </w:tcPr>
          <w:p w14:paraId="5345E0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 + maintenance</w:t>
            </w:r>
          </w:p>
        </w:tc>
        <w:tc>
          <w:tcPr>
            <w:tcW w:w="1280" w:type="dxa"/>
            <w:tcBorders>
              <w:bottom w:val="single" w:sz="12" w:space="0" w:color="auto"/>
              <w:right w:val="single" w:sz="12" w:space="0" w:color="auto"/>
            </w:tcBorders>
            <w:shd w:val="clear" w:color="auto" w:fill="auto"/>
            <w:tcMar>
              <w:left w:w="28" w:type="dxa"/>
              <w:right w:w="28" w:type="dxa"/>
            </w:tcMar>
            <w:hideMark/>
          </w:tcPr>
          <w:p w14:paraId="3AB393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752" w:type="dxa"/>
            <w:tcBorders>
              <w:left w:val="single" w:sz="12" w:space="0" w:color="auto"/>
              <w:bottom w:val="single" w:sz="12" w:space="0" w:color="auto"/>
            </w:tcBorders>
            <w:shd w:val="clear" w:color="auto" w:fill="auto"/>
            <w:tcMar>
              <w:left w:w="28" w:type="dxa"/>
              <w:right w:w="28" w:type="dxa"/>
            </w:tcMar>
            <w:hideMark/>
          </w:tcPr>
          <w:p w14:paraId="162E5C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55" w:type="dxa"/>
            <w:tcBorders>
              <w:bottom w:val="single" w:sz="12" w:space="0" w:color="auto"/>
              <w:right w:val="single" w:sz="12" w:space="0" w:color="auto"/>
            </w:tcBorders>
            <w:shd w:val="clear" w:color="auto" w:fill="auto"/>
            <w:tcMar>
              <w:left w:w="28" w:type="dxa"/>
              <w:right w:w="28" w:type="dxa"/>
            </w:tcMar>
            <w:hideMark/>
          </w:tcPr>
          <w:p w14:paraId="0BA38E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581" w:type="dxa"/>
            <w:tcBorders>
              <w:left w:val="single" w:sz="12" w:space="0" w:color="auto"/>
              <w:bottom w:val="single" w:sz="12" w:space="0" w:color="auto"/>
            </w:tcBorders>
            <w:shd w:val="clear" w:color="auto" w:fill="auto"/>
            <w:tcMar>
              <w:left w:w="28" w:type="dxa"/>
              <w:right w:w="28" w:type="dxa"/>
            </w:tcMar>
            <w:hideMark/>
          </w:tcPr>
          <w:p w14:paraId="1CA2CA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tcBorders>
              <w:bottom w:val="single" w:sz="12" w:space="0" w:color="auto"/>
            </w:tcBorders>
            <w:shd w:val="clear" w:color="auto" w:fill="auto"/>
            <w:tcMar>
              <w:left w:w="28" w:type="dxa"/>
              <w:right w:w="28" w:type="dxa"/>
            </w:tcMar>
            <w:hideMark/>
          </w:tcPr>
          <w:p w14:paraId="2C400D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1983 to 2010</w:t>
            </w:r>
          </w:p>
        </w:tc>
        <w:tc>
          <w:tcPr>
            <w:tcW w:w="466" w:type="dxa"/>
            <w:tcBorders>
              <w:bottom w:val="single" w:sz="12" w:space="0" w:color="auto"/>
            </w:tcBorders>
            <w:shd w:val="clear" w:color="auto" w:fill="auto"/>
            <w:tcMar>
              <w:left w:w="28" w:type="dxa"/>
              <w:right w:w="28" w:type="dxa"/>
            </w:tcMar>
            <w:hideMark/>
          </w:tcPr>
          <w:p w14:paraId="3056E3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106195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0AC1F1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4D4C49C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bottom w:val="single" w:sz="12" w:space="0" w:color="auto"/>
              <w:right w:val="single" w:sz="12" w:space="0" w:color="auto"/>
            </w:tcBorders>
            <w:tcMar>
              <w:left w:w="28" w:type="dxa"/>
              <w:right w:w="28" w:type="dxa"/>
            </w:tcMar>
          </w:tcPr>
          <w:p w14:paraId="02B6C8B0"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8427BCB"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DE19EFE" w14:textId="5B45747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Mangal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115</w:t>
            </w:r>
            <w:r w:rsidRPr="002D1DD7">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t xml:space="preserve"> (myeloma)</w:t>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239D1D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Multiple myeloma </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5D85D15F"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71BE125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p w14:paraId="23D24B8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VGPR or CR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5A75AD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105404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Relapsed / refractory</w:t>
            </w:r>
          </w:p>
        </w:tc>
        <w:tc>
          <w:tcPr>
            <w:tcW w:w="992" w:type="dxa"/>
            <w:tcBorders>
              <w:top w:val="single" w:sz="12" w:space="0" w:color="auto"/>
              <w:bottom w:val="single" w:sz="12" w:space="0" w:color="auto"/>
            </w:tcBorders>
            <w:shd w:val="clear" w:color="auto" w:fill="auto"/>
            <w:tcMar>
              <w:left w:w="28" w:type="dxa"/>
              <w:right w:w="28" w:type="dxa"/>
            </w:tcMar>
            <w:hideMark/>
          </w:tcPr>
          <w:p w14:paraId="024356C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2nd + subsequent</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C640D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555449A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79</w:t>
            </w:r>
            <w:r w:rsidRPr="002D1DD7">
              <w:rPr>
                <w:rFonts w:eastAsia="Times New Roman" w:cs="Times New Roman"/>
                <w:sz w:val="18"/>
                <w:szCs w:val="18"/>
                <w:vertAlign w:val="superscript"/>
                <w:lang w:eastAsia="zh-CN"/>
              </w:rPr>
              <w:t>†</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D9AEF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13322</w:t>
            </w:r>
            <w:r w:rsidRPr="002D1DD7">
              <w:rPr>
                <w:rFonts w:eastAsia="Times New Roman" w:cs="Times New Roman"/>
                <w:color w:val="000000"/>
                <w:sz w:val="18"/>
                <w:szCs w:val="18"/>
                <w:vertAlign w:val="superscript"/>
                <w:lang w:eastAsia="zh-CN"/>
              </w:rPr>
              <w:t>†</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5BD850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tcBorders>
              <w:top w:val="single" w:sz="12" w:space="0" w:color="auto"/>
              <w:bottom w:val="single" w:sz="12" w:space="0" w:color="auto"/>
            </w:tcBorders>
            <w:shd w:val="clear" w:color="auto" w:fill="auto"/>
            <w:tcMar>
              <w:left w:w="28" w:type="dxa"/>
              <w:right w:w="28" w:type="dxa"/>
            </w:tcMar>
            <w:hideMark/>
          </w:tcPr>
          <w:p w14:paraId="14897C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1999 to 2016</w:t>
            </w:r>
          </w:p>
        </w:tc>
        <w:tc>
          <w:tcPr>
            <w:tcW w:w="466" w:type="dxa"/>
            <w:tcBorders>
              <w:top w:val="single" w:sz="12" w:space="0" w:color="auto"/>
              <w:bottom w:val="single" w:sz="12" w:space="0" w:color="auto"/>
            </w:tcBorders>
            <w:shd w:val="clear" w:color="auto" w:fill="auto"/>
            <w:tcMar>
              <w:left w:w="28" w:type="dxa"/>
              <w:right w:w="28" w:type="dxa"/>
            </w:tcMar>
            <w:hideMark/>
          </w:tcPr>
          <w:p w14:paraId="798C9BD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242C4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IMWG</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7667C4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top w:val="single" w:sz="12" w:space="0" w:color="auto"/>
              <w:left w:val="single" w:sz="6" w:space="0" w:color="auto"/>
              <w:bottom w:val="single" w:sz="12" w:space="0" w:color="auto"/>
            </w:tcBorders>
            <w:tcMar>
              <w:left w:w="28" w:type="dxa"/>
              <w:right w:w="28" w:type="dxa"/>
            </w:tcMar>
          </w:tcPr>
          <w:p w14:paraId="05E90DB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top w:val="single" w:sz="12" w:space="0" w:color="auto"/>
              <w:bottom w:val="single" w:sz="12" w:space="0" w:color="auto"/>
              <w:right w:val="single" w:sz="12" w:space="0" w:color="auto"/>
            </w:tcBorders>
            <w:tcMar>
              <w:left w:w="28" w:type="dxa"/>
              <w:right w:w="28" w:type="dxa"/>
            </w:tcMar>
          </w:tcPr>
          <w:p w14:paraId="58BF91A0"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8A11D0C"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3993FE54" w14:textId="7D56B4F6"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7D909F5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Neuroendocrine</w:t>
            </w:r>
          </w:p>
        </w:tc>
        <w:tc>
          <w:tcPr>
            <w:tcW w:w="944" w:type="dxa"/>
            <w:tcBorders>
              <w:top w:val="single" w:sz="12" w:space="0" w:color="auto"/>
              <w:left w:val="single" w:sz="12" w:space="0" w:color="auto"/>
            </w:tcBorders>
            <w:shd w:val="clear" w:color="auto" w:fill="auto"/>
            <w:tcMar>
              <w:left w:w="28" w:type="dxa"/>
              <w:right w:w="28" w:type="dxa"/>
            </w:tcMar>
            <w:hideMark/>
          </w:tcPr>
          <w:p w14:paraId="303E1A6F"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5988ECF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tc>
        <w:tc>
          <w:tcPr>
            <w:tcW w:w="1062" w:type="dxa"/>
            <w:tcBorders>
              <w:top w:val="single" w:sz="12" w:space="0" w:color="auto"/>
              <w:left w:val="single" w:sz="12" w:space="0" w:color="auto"/>
            </w:tcBorders>
            <w:shd w:val="clear" w:color="auto" w:fill="auto"/>
            <w:tcMar>
              <w:left w:w="28" w:type="dxa"/>
              <w:right w:w="28" w:type="dxa"/>
            </w:tcMar>
            <w:hideMark/>
          </w:tcPr>
          <w:p w14:paraId="74F794F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591BEF9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top w:val="single" w:sz="12" w:space="0" w:color="auto"/>
              <w:right w:val="single" w:sz="12" w:space="0" w:color="auto"/>
            </w:tcBorders>
            <w:shd w:val="clear" w:color="auto" w:fill="auto"/>
            <w:tcMar>
              <w:left w:w="28" w:type="dxa"/>
              <w:right w:w="28" w:type="dxa"/>
            </w:tcMar>
            <w:hideMark/>
          </w:tcPr>
          <w:p w14:paraId="1FC3AF4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Systemic</w:t>
            </w:r>
          </w:p>
        </w:tc>
        <w:tc>
          <w:tcPr>
            <w:tcW w:w="752" w:type="dxa"/>
            <w:tcBorders>
              <w:top w:val="single" w:sz="12" w:space="0" w:color="auto"/>
              <w:left w:val="single" w:sz="12" w:space="0" w:color="auto"/>
            </w:tcBorders>
            <w:shd w:val="clear" w:color="auto" w:fill="auto"/>
            <w:tcMar>
              <w:left w:w="28" w:type="dxa"/>
              <w:right w:w="28" w:type="dxa"/>
            </w:tcMar>
            <w:hideMark/>
          </w:tcPr>
          <w:p w14:paraId="31270EF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22</w:t>
            </w:r>
          </w:p>
        </w:tc>
        <w:tc>
          <w:tcPr>
            <w:tcW w:w="755" w:type="dxa"/>
            <w:tcBorders>
              <w:top w:val="single" w:sz="12" w:space="0" w:color="auto"/>
              <w:right w:val="single" w:sz="12" w:space="0" w:color="auto"/>
            </w:tcBorders>
            <w:shd w:val="clear" w:color="auto" w:fill="auto"/>
            <w:tcMar>
              <w:left w:w="28" w:type="dxa"/>
              <w:right w:w="28" w:type="dxa"/>
            </w:tcMar>
            <w:hideMark/>
          </w:tcPr>
          <w:p w14:paraId="4275854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1310</w:t>
            </w:r>
          </w:p>
        </w:tc>
        <w:tc>
          <w:tcPr>
            <w:tcW w:w="581" w:type="dxa"/>
            <w:tcBorders>
              <w:top w:val="single" w:sz="12" w:space="0" w:color="auto"/>
              <w:left w:val="single" w:sz="12" w:space="0" w:color="auto"/>
            </w:tcBorders>
            <w:shd w:val="clear" w:color="auto" w:fill="auto"/>
            <w:tcMar>
              <w:left w:w="28" w:type="dxa"/>
              <w:right w:w="28" w:type="dxa"/>
            </w:tcMar>
            <w:hideMark/>
          </w:tcPr>
          <w:p w14:paraId="3186B81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top w:val="single" w:sz="12" w:space="0" w:color="auto"/>
            </w:tcBorders>
            <w:shd w:val="clear" w:color="auto" w:fill="auto"/>
            <w:tcMar>
              <w:left w:w="28" w:type="dxa"/>
              <w:right w:w="28" w:type="dxa"/>
            </w:tcMar>
            <w:hideMark/>
          </w:tcPr>
          <w:p w14:paraId="1850B57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1996-2016</w:t>
            </w:r>
          </w:p>
        </w:tc>
        <w:tc>
          <w:tcPr>
            <w:tcW w:w="466" w:type="dxa"/>
            <w:tcBorders>
              <w:top w:val="single" w:sz="12" w:space="0" w:color="auto"/>
            </w:tcBorders>
            <w:shd w:val="clear" w:color="auto" w:fill="auto"/>
            <w:tcMar>
              <w:left w:w="28" w:type="dxa"/>
              <w:right w:w="28" w:type="dxa"/>
            </w:tcMar>
            <w:hideMark/>
          </w:tcPr>
          <w:p w14:paraId="6B4DE2F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260987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(20), WHO (2)</w:t>
            </w:r>
          </w:p>
        </w:tc>
        <w:tc>
          <w:tcPr>
            <w:tcW w:w="976" w:type="dxa"/>
            <w:tcBorders>
              <w:top w:val="single" w:sz="12" w:space="0" w:color="auto"/>
              <w:left w:val="single" w:sz="12" w:space="0" w:color="auto"/>
              <w:right w:val="single" w:sz="6" w:space="0" w:color="auto"/>
            </w:tcBorders>
            <w:tcMar>
              <w:left w:w="28" w:type="dxa"/>
              <w:right w:w="28" w:type="dxa"/>
            </w:tcMar>
          </w:tcPr>
          <w:p w14:paraId="56A8F4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top w:val="single" w:sz="12" w:space="0" w:color="auto"/>
              <w:left w:val="single" w:sz="6" w:space="0" w:color="auto"/>
            </w:tcBorders>
            <w:tcMar>
              <w:left w:w="28" w:type="dxa"/>
              <w:right w:w="28" w:type="dxa"/>
            </w:tcMar>
          </w:tcPr>
          <w:p w14:paraId="2ACA6E0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top w:val="single" w:sz="12" w:space="0" w:color="auto"/>
              <w:right w:val="single" w:sz="12" w:space="0" w:color="auto"/>
            </w:tcBorders>
            <w:tcMar>
              <w:left w:w="28" w:type="dxa"/>
              <w:right w:w="28" w:type="dxa"/>
            </w:tcMar>
          </w:tcPr>
          <w:p w14:paraId="32EB517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20C6810A"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27E40E88" w14:textId="62481BFE"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Imaoka 2017</w:t>
            </w:r>
            <w:r w:rsidRPr="002D1DD7">
              <w:rPr>
                <w:rFonts w:eastAsia="Times New Roman" w:cs="Times New Roman"/>
                <w:sz w:val="18"/>
                <w:szCs w:val="18"/>
                <w:lang w:eastAsia="zh-CN"/>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103</w:t>
            </w:r>
            <w:r w:rsidRPr="002D1DD7">
              <w:rPr>
                <w:rFonts w:eastAsia="Times New Roman" w:cs="Times New Roman"/>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730E419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Neuroendocrine</w:t>
            </w:r>
          </w:p>
        </w:tc>
        <w:tc>
          <w:tcPr>
            <w:tcW w:w="944" w:type="dxa"/>
            <w:tcBorders>
              <w:left w:val="single" w:sz="12" w:space="0" w:color="auto"/>
              <w:bottom w:val="single" w:sz="12" w:space="0" w:color="auto"/>
            </w:tcBorders>
            <w:shd w:val="clear" w:color="auto" w:fill="auto"/>
            <w:tcMar>
              <w:left w:w="28" w:type="dxa"/>
              <w:right w:w="28" w:type="dxa"/>
            </w:tcMar>
            <w:hideMark/>
          </w:tcPr>
          <w:p w14:paraId="04F6EA97"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0F92674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7E906F5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bottom w:val="single" w:sz="12" w:space="0" w:color="auto"/>
            </w:tcBorders>
            <w:shd w:val="clear" w:color="auto" w:fill="auto"/>
            <w:tcMar>
              <w:left w:w="28" w:type="dxa"/>
              <w:right w:w="28" w:type="dxa"/>
            </w:tcMar>
            <w:hideMark/>
          </w:tcPr>
          <w:p w14:paraId="060B91E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bottom w:val="single" w:sz="12" w:space="0" w:color="auto"/>
              <w:right w:val="single" w:sz="12" w:space="0" w:color="auto"/>
            </w:tcBorders>
            <w:shd w:val="clear" w:color="auto" w:fill="auto"/>
            <w:tcMar>
              <w:left w:w="28" w:type="dxa"/>
              <w:right w:w="28" w:type="dxa"/>
            </w:tcMar>
            <w:hideMark/>
          </w:tcPr>
          <w:p w14:paraId="04E9212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Systemic</w:t>
            </w:r>
          </w:p>
        </w:tc>
        <w:tc>
          <w:tcPr>
            <w:tcW w:w="752" w:type="dxa"/>
            <w:tcBorders>
              <w:left w:val="single" w:sz="12" w:space="0" w:color="auto"/>
              <w:bottom w:val="single" w:sz="12" w:space="0" w:color="auto"/>
            </w:tcBorders>
            <w:shd w:val="clear" w:color="auto" w:fill="auto"/>
            <w:tcMar>
              <w:left w:w="28" w:type="dxa"/>
              <w:right w:w="28" w:type="dxa"/>
            </w:tcMar>
            <w:hideMark/>
          </w:tcPr>
          <w:p w14:paraId="7EA9FE5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w:t>
            </w:r>
          </w:p>
        </w:tc>
        <w:tc>
          <w:tcPr>
            <w:tcW w:w="755" w:type="dxa"/>
            <w:tcBorders>
              <w:bottom w:val="single" w:sz="12" w:space="0" w:color="auto"/>
              <w:right w:val="single" w:sz="12" w:space="0" w:color="auto"/>
            </w:tcBorders>
            <w:shd w:val="clear" w:color="auto" w:fill="auto"/>
            <w:tcMar>
              <w:left w:w="28" w:type="dxa"/>
              <w:right w:w="28" w:type="dxa"/>
            </w:tcMar>
            <w:hideMark/>
          </w:tcPr>
          <w:p w14:paraId="5A8FC87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2530</w:t>
            </w:r>
          </w:p>
        </w:tc>
        <w:tc>
          <w:tcPr>
            <w:tcW w:w="581" w:type="dxa"/>
            <w:tcBorders>
              <w:left w:val="single" w:sz="12" w:space="0" w:color="auto"/>
              <w:bottom w:val="single" w:sz="12" w:space="0" w:color="auto"/>
            </w:tcBorders>
            <w:shd w:val="clear" w:color="auto" w:fill="auto"/>
            <w:tcMar>
              <w:left w:w="28" w:type="dxa"/>
              <w:right w:w="28" w:type="dxa"/>
            </w:tcMar>
            <w:hideMark/>
          </w:tcPr>
          <w:p w14:paraId="590979B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bottom w:val="single" w:sz="12" w:space="0" w:color="auto"/>
            </w:tcBorders>
            <w:shd w:val="clear" w:color="auto" w:fill="auto"/>
            <w:tcMar>
              <w:left w:w="28" w:type="dxa"/>
              <w:right w:w="28" w:type="dxa"/>
            </w:tcMar>
            <w:hideMark/>
          </w:tcPr>
          <w:p w14:paraId="5B8FDD3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1996-2016</w:t>
            </w:r>
          </w:p>
        </w:tc>
        <w:tc>
          <w:tcPr>
            <w:tcW w:w="466" w:type="dxa"/>
            <w:tcBorders>
              <w:bottom w:val="single" w:sz="12" w:space="0" w:color="auto"/>
            </w:tcBorders>
            <w:shd w:val="clear" w:color="auto" w:fill="auto"/>
            <w:tcMar>
              <w:left w:w="28" w:type="dxa"/>
              <w:right w:w="28" w:type="dxa"/>
            </w:tcMar>
            <w:hideMark/>
          </w:tcPr>
          <w:p w14:paraId="392752F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34A787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1A187A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381BBF0B"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bottom w:val="single" w:sz="12" w:space="0" w:color="auto"/>
              <w:right w:val="single" w:sz="12" w:space="0" w:color="auto"/>
            </w:tcBorders>
            <w:tcMar>
              <w:left w:w="28" w:type="dxa"/>
              <w:right w:w="28" w:type="dxa"/>
            </w:tcMar>
          </w:tcPr>
          <w:p w14:paraId="1B7CE0B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8431C90"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7A510FF5" w14:textId="41F3D0C3"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Lee 2011</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&lt;EndNote&gt;&lt;Cite&gt;&lt;Author&gt;Lee&lt;/Author&gt;&lt;Year&gt;2011&lt;/Year&gt;&lt;RecNum&gt;1713&lt;/RecNum&gt;&lt;IDText&gt;$$include full text KC&amp;#xD;$$not advanced/metastatic/palliative (but keep in for now)&amp;#xD;$$From Haslam (ref 65)&amp;#xD;$$From Savina&lt;/IDText&gt;&lt;DisplayText&gt;&lt;style face="superscript"&gt;108&lt;/style&gt;&lt;/DisplayText&gt;&lt;record&gt;&lt;rec-number&gt;1713&lt;/rec-number&gt;&lt;foreign-keys&gt;&lt;key app="EN" db-id="dwaevxvazfs2f3ewvzmxrd0k0wasw55p2z2w" timestamp="1557310838"&gt;1713&lt;/key&gt;&lt;/foreign-keys&gt;&lt;ref-type name="Journal Article"&gt;17&lt;/ref-type&gt;&lt;contributors&gt;&lt;authors&gt;&lt;author&gt;Lee, L.&lt;/author&gt;&lt;author&gt;Wang, L.&lt;/author&gt;&lt;author&gt;Crump, M.&lt;/author&gt;&lt;/authors&gt;&lt;/contributors&gt;&lt;auth-address&gt;Lee, L. Division of Medical Oncology and Hematology, Princess Margaret Hospital, Toronto, Canada.&lt;/auth-address&gt;&lt;titles&gt;&lt;title&gt;Identification of potential surrogate end points in randomized clinical trials of aggressive and indolent non-Hodgkin&amp;apos;s lymphoma: correlation of complete response, time-to-event and overall survival end points&lt;/title&gt;&lt;secondary-title&gt;Annals of Oncology&lt;/secondary-title&gt;&lt;/titles&gt;&lt;periodical&gt;&lt;full-title&gt;Annals of Oncology&lt;/full-title&gt;&lt;abbr-1&gt;Ann Oncol&lt;/abbr-1&gt;&lt;/periodical&gt;&lt;pages&gt;1392-403&lt;/pages&gt;&lt;volume&gt;22&lt;/volume&gt;&lt;number&gt;6&lt;/number&gt;&lt;keywords&gt;&lt;keyword&gt;$$include abstract KC&lt;/keyword&gt;&lt;keyword&gt;$$Extra response terms&lt;/keyword&gt;&lt;keyword&gt;$$Broad search&lt;/keyword&gt;&lt;/keywords&gt;&lt;dates&gt;&lt;year&gt;2011&lt;/year&gt;&lt;/dates&gt;&lt;accession-num&gt;21266519&lt;/accession-num&gt;&lt;label&gt;$$include full text KC&amp;#xD;$$not advanced/metastatic/palliative (but keep in for now)&amp;#xD;$$From Haslam (ref 65)&amp;#xD;$$From Savina&lt;/label&gt;&lt;urls&gt;&lt;/urls&gt;&lt;remote-database-name&gt;MEDLINE&lt;/remote-database-name&gt;&lt;remote-database-provider&gt;Ovid Technologies&lt;/remote-database-provider&gt;&lt;research-notes&gt;http://ovidsp.ovid.com/ovidweb.cgi?T=JS&amp;amp;CSC=Y&amp;amp;NEWS=N&amp;amp;PAGE=fulltext&amp;amp;D=med7&amp;amp;AN=21266519&lt;/research-notes&gt;&lt;/record&gt;&lt;/Cite&gt;&lt;/EndNote&gt;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108</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12DE141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NHL (aggressive)</w:t>
            </w:r>
          </w:p>
        </w:tc>
        <w:tc>
          <w:tcPr>
            <w:tcW w:w="944" w:type="dxa"/>
            <w:tcBorders>
              <w:top w:val="single" w:sz="12" w:space="0" w:color="auto"/>
              <w:left w:val="single" w:sz="12" w:space="0" w:color="auto"/>
            </w:tcBorders>
            <w:shd w:val="clear" w:color="auto" w:fill="auto"/>
            <w:tcMar>
              <w:left w:w="28" w:type="dxa"/>
              <w:right w:w="28" w:type="dxa"/>
            </w:tcMar>
            <w:hideMark/>
          </w:tcPr>
          <w:p w14:paraId="6CB60B1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top w:val="single" w:sz="12" w:space="0" w:color="auto"/>
              <w:right w:val="single" w:sz="12" w:space="0" w:color="auto"/>
            </w:tcBorders>
            <w:shd w:val="clear" w:color="auto" w:fill="auto"/>
            <w:tcMar>
              <w:left w:w="28" w:type="dxa"/>
              <w:right w:w="28" w:type="dxa"/>
            </w:tcMar>
            <w:hideMark/>
          </w:tcPr>
          <w:p w14:paraId="1ED3CBB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E3C0AF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207DA8D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tcBorders>
              <w:top w:val="single" w:sz="12" w:space="0" w:color="auto"/>
            </w:tcBorders>
            <w:shd w:val="clear" w:color="auto" w:fill="auto"/>
            <w:tcMar>
              <w:left w:w="28" w:type="dxa"/>
              <w:right w:w="28" w:type="dxa"/>
            </w:tcMar>
            <w:hideMark/>
          </w:tcPr>
          <w:p w14:paraId="0FC3AE7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61086A4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1AE1692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36</w:t>
            </w:r>
            <w:r w:rsidRPr="002D1DD7">
              <w:rPr>
                <w:rFonts w:eastAsia="Times New Roman" w:cs="Times New Roman"/>
                <w:sz w:val="18"/>
                <w:szCs w:val="18"/>
                <w:vertAlign w:val="superscript"/>
                <w:lang w:eastAsia="zh-CN"/>
              </w:rPr>
              <w:t>†</w:t>
            </w:r>
          </w:p>
        </w:tc>
        <w:tc>
          <w:tcPr>
            <w:tcW w:w="755" w:type="dxa"/>
            <w:tcBorders>
              <w:top w:val="single" w:sz="12" w:space="0" w:color="auto"/>
              <w:right w:val="single" w:sz="12" w:space="0" w:color="auto"/>
            </w:tcBorders>
            <w:shd w:val="clear" w:color="auto" w:fill="auto"/>
            <w:tcMar>
              <w:left w:w="28" w:type="dxa"/>
              <w:right w:w="28" w:type="dxa"/>
            </w:tcMar>
            <w:hideMark/>
          </w:tcPr>
          <w:p w14:paraId="548CBF3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16103</w:t>
            </w:r>
            <w:r w:rsidRPr="002D1DD7">
              <w:rPr>
                <w:rFonts w:eastAsia="Times New Roman" w:cs="Times New Roman"/>
                <w:color w:val="000000"/>
                <w:sz w:val="18"/>
                <w:szCs w:val="18"/>
                <w:vertAlign w:val="superscript"/>
                <w:lang w:eastAsia="zh-CN"/>
              </w:rPr>
              <w:t>†</w:t>
            </w:r>
          </w:p>
        </w:tc>
        <w:tc>
          <w:tcPr>
            <w:tcW w:w="581" w:type="dxa"/>
            <w:tcBorders>
              <w:top w:val="single" w:sz="12" w:space="0" w:color="auto"/>
              <w:left w:val="single" w:sz="12" w:space="0" w:color="auto"/>
            </w:tcBorders>
            <w:shd w:val="clear" w:color="auto" w:fill="auto"/>
            <w:tcMar>
              <w:left w:w="28" w:type="dxa"/>
              <w:right w:w="28" w:type="dxa"/>
            </w:tcMar>
            <w:hideMark/>
          </w:tcPr>
          <w:p w14:paraId="3690489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583EB29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1990-2009</w:t>
            </w:r>
          </w:p>
        </w:tc>
        <w:tc>
          <w:tcPr>
            <w:tcW w:w="466" w:type="dxa"/>
            <w:tcBorders>
              <w:top w:val="single" w:sz="12" w:space="0" w:color="auto"/>
            </w:tcBorders>
            <w:shd w:val="clear" w:color="auto" w:fill="auto"/>
            <w:tcMar>
              <w:left w:w="28" w:type="dxa"/>
              <w:right w:w="28" w:type="dxa"/>
            </w:tcMar>
            <w:hideMark/>
          </w:tcPr>
          <w:p w14:paraId="7856E30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384FC9D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976" w:type="dxa"/>
            <w:tcBorders>
              <w:top w:val="single" w:sz="12" w:space="0" w:color="auto"/>
              <w:left w:val="single" w:sz="12" w:space="0" w:color="auto"/>
              <w:right w:val="single" w:sz="6" w:space="0" w:color="auto"/>
            </w:tcBorders>
            <w:tcMar>
              <w:left w:w="28" w:type="dxa"/>
              <w:right w:w="28" w:type="dxa"/>
            </w:tcMar>
          </w:tcPr>
          <w:p w14:paraId="67FF6910"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top w:val="single" w:sz="12" w:space="0" w:color="auto"/>
              <w:left w:val="single" w:sz="6" w:space="0" w:color="auto"/>
            </w:tcBorders>
            <w:tcMar>
              <w:left w:w="28" w:type="dxa"/>
              <w:right w:w="28" w:type="dxa"/>
            </w:tcMar>
          </w:tcPr>
          <w:p w14:paraId="4C6E85D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top w:val="single" w:sz="12" w:space="0" w:color="auto"/>
              <w:right w:val="single" w:sz="12" w:space="0" w:color="auto"/>
            </w:tcBorders>
            <w:tcMar>
              <w:left w:w="28" w:type="dxa"/>
              <w:right w:w="28" w:type="dxa"/>
            </w:tcMar>
          </w:tcPr>
          <w:p w14:paraId="4711930C"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085BE563"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11AB74B1" w14:textId="6F9E935B"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Lee 2011</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&lt;EndNote&gt;&lt;Cite&gt;&lt;Author&gt;Lee&lt;/Author&gt;&lt;Year&gt;2011&lt;/Year&gt;&lt;RecNum&gt;1713&lt;/RecNum&gt;&lt;IDText&gt;$$include full text KC&amp;#xD;$$not advanced/metastatic/palliative (but keep in for now)&amp;#xD;$$From Haslam (ref 65)&amp;#xD;$$From Savina&lt;/IDText&gt;&lt;DisplayText&gt;&lt;style face="superscript"&gt;108&lt;/style&gt;&lt;/DisplayText&gt;&lt;record&gt;&lt;rec-number&gt;1713&lt;/rec-number&gt;&lt;foreign-keys&gt;&lt;key app="EN" db-id="dwaevxvazfs2f3ewvzmxrd0k0wasw55p2z2w" timestamp="1557310838"&gt;1713&lt;/key&gt;&lt;/foreign-keys&gt;&lt;ref-type name="Journal Article"&gt;17&lt;/ref-type&gt;&lt;contributors&gt;&lt;authors&gt;&lt;author&gt;Lee, L.&lt;/author&gt;&lt;author&gt;Wang, L.&lt;/author&gt;&lt;author&gt;Crump, M.&lt;/author&gt;&lt;/authors&gt;&lt;/contributors&gt;&lt;auth-address&gt;Lee, L. Division of Medical Oncology and Hematology, Princess Margaret Hospital, Toronto, Canada.&lt;/auth-address&gt;&lt;titles&gt;&lt;title&gt;Identification of potential surrogate end points in randomized clinical trials of aggressive and indolent non-Hodgkin&amp;apos;s lymphoma: correlation of complete response, time-to-event and overall survival end points&lt;/title&gt;&lt;secondary-title&gt;Annals of Oncology&lt;/secondary-title&gt;&lt;/titles&gt;&lt;periodical&gt;&lt;full-title&gt;Annals of Oncology&lt;/full-title&gt;&lt;abbr-1&gt;Ann Oncol&lt;/abbr-1&gt;&lt;/periodical&gt;&lt;pages&gt;1392-403&lt;/pages&gt;&lt;volume&gt;22&lt;/volume&gt;&lt;number&gt;6&lt;/number&gt;&lt;keywords&gt;&lt;keyword&gt;$$include abstract KC&lt;/keyword&gt;&lt;keyword&gt;$$Extra response terms&lt;/keyword&gt;&lt;keyword&gt;$$Broad search&lt;/keyword&gt;&lt;/keywords&gt;&lt;dates&gt;&lt;year&gt;2011&lt;/year&gt;&lt;/dates&gt;&lt;accession-num&gt;21266519&lt;/accession-num&gt;&lt;label&gt;$$include full text KC&amp;#xD;$$not advanced/metastatic/palliative (but keep in for now)&amp;#xD;$$From Haslam (ref 65)&amp;#xD;$$From Savina&lt;/label&gt;&lt;urls&gt;&lt;/urls&gt;&lt;remote-database-name&gt;MEDLINE&lt;/remote-database-name&gt;&lt;remote-database-provider&gt;Ovid Technologies&lt;/remote-database-provider&gt;&lt;research-notes&gt;http://ovidsp.ovid.com/ovidweb.cgi?T=JS&amp;amp;CSC=Y&amp;amp;NEWS=N&amp;amp;PAGE=fulltext&amp;amp;D=med7&amp;amp;AN=21266519&lt;/research-notes&gt;&lt;/record&gt;&lt;/Cite&gt;&lt;/EndNote&gt;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108</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79A85C8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NHL (indolent)</w:t>
            </w:r>
          </w:p>
        </w:tc>
        <w:tc>
          <w:tcPr>
            <w:tcW w:w="944" w:type="dxa"/>
            <w:tcBorders>
              <w:left w:val="single" w:sz="12" w:space="0" w:color="auto"/>
            </w:tcBorders>
            <w:shd w:val="clear" w:color="auto" w:fill="auto"/>
            <w:tcMar>
              <w:left w:w="28" w:type="dxa"/>
              <w:right w:w="28" w:type="dxa"/>
            </w:tcMar>
            <w:hideMark/>
          </w:tcPr>
          <w:p w14:paraId="4AF18F2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right w:val="single" w:sz="12" w:space="0" w:color="auto"/>
            </w:tcBorders>
            <w:shd w:val="clear" w:color="auto" w:fill="auto"/>
            <w:tcMar>
              <w:left w:w="28" w:type="dxa"/>
              <w:right w:w="28" w:type="dxa"/>
            </w:tcMar>
            <w:hideMark/>
          </w:tcPr>
          <w:p w14:paraId="300E110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26B114E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727C0BC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1BDCC90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0018F59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5891CEA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15</w:t>
            </w:r>
            <w:r w:rsidRPr="002D1DD7">
              <w:rPr>
                <w:rFonts w:eastAsia="Times New Roman" w:cs="Times New Roman"/>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6CB2F7F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5128</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28DF0DB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101E7A8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1990-2009</w:t>
            </w:r>
          </w:p>
        </w:tc>
        <w:tc>
          <w:tcPr>
            <w:tcW w:w="466" w:type="dxa"/>
            <w:shd w:val="clear" w:color="auto" w:fill="auto"/>
            <w:tcMar>
              <w:left w:w="28" w:type="dxa"/>
              <w:right w:w="28" w:type="dxa"/>
            </w:tcMar>
            <w:hideMark/>
          </w:tcPr>
          <w:p w14:paraId="7C4E69D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673F928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976" w:type="dxa"/>
            <w:tcBorders>
              <w:left w:val="single" w:sz="12" w:space="0" w:color="auto"/>
              <w:right w:val="single" w:sz="6" w:space="0" w:color="auto"/>
            </w:tcBorders>
            <w:tcMar>
              <w:left w:w="28" w:type="dxa"/>
              <w:right w:w="28" w:type="dxa"/>
            </w:tcMar>
          </w:tcPr>
          <w:p w14:paraId="0CE455A1"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left w:val="single" w:sz="6" w:space="0" w:color="auto"/>
            </w:tcBorders>
            <w:tcMar>
              <w:left w:w="28" w:type="dxa"/>
              <w:right w:w="28" w:type="dxa"/>
            </w:tcMar>
          </w:tcPr>
          <w:p w14:paraId="2EB5B12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right w:val="single" w:sz="12" w:space="0" w:color="auto"/>
            </w:tcBorders>
            <w:tcMar>
              <w:left w:w="28" w:type="dxa"/>
              <w:right w:w="28" w:type="dxa"/>
            </w:tcMar>
          </w:tcPr>
          <w:p w14:paraId="0B59A000"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72DC065A"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487BC215" w14:textId="26CA341E"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lastRenderedPageBreak/>
              <w:t>Mangal 2018</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114</w:t>
            </w:r>
            <w:r w:rsidRPr="002D1DD7">
              <w:rPr>
                <w:rFonts w:eastAsia="Times New Roman" w:cs="Times New Roman"/>
                <w:sz w:val="18"/>
                <w:szCs w:val="18"/>
                <w:lang w:eastAsia="zh-CN"/>
              </w:rPr>
              <w:fldChar w:fldCharType="end"/>
            </w:r>
            <w:r w:rsidRPr="002D1DD7">
              <w:rPr>
                <w:rFonts w:eastAsia="Times New Roman" w:cs="Times New Roman"/>
                <w:sz w:val="18"/>
                <w:szCs w:val="18"/>
                <w:lang w:eastAsia="zh-CN"/>
              </w:rPr>
              <w:t xml:space="preserve"> (NHL)</w:t>
            </w:r>
          </w:p>
        </w:tc>
        <w:tc>
          <w:tcPr>
            <w:tcW w:w="1134" w:type="dxa"/>
            <w:tcBorders>
              <w:left w:val="single" w:sz="12" w:space="0" w:color="auto"/>
              <w:right w:val="single" w:sz="12" w:space="0" w:color="auto"/>
            </w:tcBorders>
            <w:shd w:val="clear" w:color="auto" w:fill="auto"/>
            <w:tcMar>
              <w:left w:w="28" w:type="dxa"/>
              <w:right w:w="28" w:type="dxa"/>
            </w:tcMar>
          </w:tcPr>
          <w:p w14:paraId="4ED185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w:t>
            </w:r>
          </w:p>
        </w:tc>
        <w:tc>
          <w:tcPr>
            <w:tcW w:w="944" w:type="dxa"/>
            <w:tcBorders>
              <w:left w:val="single" w:sz="12" w:space="0" w:color="auto"/>
            </w:tcBorders>
            <w:shd w:val="clear" w:color="auto" w:fill="auto"/>
            <w:tcMar>
              <w:left w:w="28" w:type="dxa"/>
              <w:right w:w="28" w:type="dxa"/>
            </w:tcMar>
            <w:hideMark/>
          </w:tcPr>
          <w:p w14:paraId="56FC8D7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31CB1C7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right w:val="single" w:sz="12" w:space="0" w:color="auto"/>
            </w:tcBorders>
            <w:shd w:val="clear" w:color="auto" w:fill="auto"/>
            <w:tcMar>
              <w:left w:w="28" w:type="dxa"/>
              <w:right w:w="28" w:type="dxa"/>
            </w:tcMar>
            <w:hideMark/>
          </w:tcPr>
          <w:p w14:paraId="5810CB9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tc>
        <w:tc>
          <w:tcPr>
            <w:tcW w:w="1062" w:type="dxa"/>
            <w:tcBorders>
              <w:left w:val="single" w:sz="12" w:space="0" w:color="auto"/>
            </w:tcBorders>
            <w:shd w:val="clear" w:color="auto" w:fill="auto"/>
            <w:tcMar>
              <w:left w:w="28" w:type="dxa"/>
              <w:right w:w="28" w:type="dxa"/>
            </w:tcMar>
            <w:hideMark/>
          </w:tcPr>
          <w:p w14:paraId="175F34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Stage III/IV &gt;75% in most cohorts</w:t>
            </w:r>
          </w:p>
        </w:tc>
        <w:tc>
          <w:tcPr>
            <w:tcW w:w="992" w:type="dxa"/>
            <w:shd w:val="clear" w:color="auto" w:fill="auto"/>
            <w:tcMar>
              <w:left w:w="28" w:type="dxa"/>
              <w:right w:w="28" w:type="dxa"/>
            </w:tcMar>
            <w:hideMark/>
          </w:tcPr>
          <w:p w14:paraId="3A5D9D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345E3D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752" w:type="dxa"/>
            <w:tcBorders>
              <w:left w:val="single" w:sz="12" w:space="0" w:color="auto"/>
            </w:tcBorders>
            <w:shd w:val="clear" w:color="auto" w:fill="auto"/>
            <w:tcMar>
              <w:left w:w="28" w:type="dxa"/>
              <w:right w:w="28" w:type="dxa"/>
            </w:tcMar>
            <w:hideMark/>
          </w:tcPr>
          <w:p w14:paraId="1E76EC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73</w:t>
            </w:r>
          </w:p>
        </w:tc>
        <w:tc>
          <w:tcPr>
            <w:tcW w:w="755" w:type="dxa"/>
            <w:tcBorders>
              <w:right w:val="single" w:sz="12" w:space="0" w:color="auto"/>
            </w:tcBorders>
            <w:shd w:val="clear" w:color="auto" w:fill="auto"/>
            <w:tcMar>
              <w:left w:w="28" w:type="dxa"/>
              <w:right w:w="28" w:type="dxa"/>
            </w:tcMar>
            <w:hideMark/>
          </w:tcPr>
          <w:p w14:paraId="5369EE5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6071</w:t>
            </w:r>
          </w:p>
        </w:tc>
        <w:tc>
          <w:tcPr>
            <w:tcW w:w="581" w:type="dxa"/>
            <w:tcBorders>
              <w:left w:val="single" w:sz="12" w:space="0" w:color="auto"/>
            </w:tcBorders>
            <w:shd w:val="clear" w:color="auto" w:fill="auto"/>
            <w:tcMar>
              <w:left w:w="28" w:type="dxa"/>
              <w:right w:w="28" w:type="dxa"/>
            </w:tcMar>
            <w:hideMark/>
          </w:tcPr>
          <w:p w14:paraId="21E97C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shd w:val="clear" w:color="auto" w:fill="auto"/>
            <w:tcMar>
              <w:left w:w="28" w:type="dxa"/>
              <w:right w:w="28" w:type="dxa"/>
            </w:tcMar>
            <w:hideMark/>
          </w:tcPr>
          <w:p w14:paraId="1565FF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1996 to 2015</w:t>
            </w:r>
          </w:p>
        </w:tc>
        <w:tc>
          <w:tcPr>
            <w:tcW w:w="466" w:type="dxa"/>
            <w:shd w:val="clear" w:color="auto" w:fill="auto"/>
            <w:tcMar>
              <w:left w:w="28" w:type="dxa"/>
              <w:right w:w="28" w:type="dxa"/>
            </w:tcMar>
            <w:hideMark/>
          </w:tcPr>
          <w:p w14:paraId="04F62DC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7346EA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02A048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5A1AD77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52C88D2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35167B8"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DECAE31" w14:textId="591F1CC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7BE385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944" w:type="dxa"/>
            <w:tcBorders>
              <w:left w:val="single" w:sz="12" w:space="0" w:color="auto"/>
            </w:tcBorders>
            <w:shd w:val="clear" w:color="auto" w:fill="auto"/>
            <w:tcMar>
              <w:left w:w="28" w:type="dxa"/>
              <w:right w:w="28" w:type="dxa"/>
            </w:tcMar>
            <w:hideMark/>
          </w:tcPr>
          <w:p w14:paraId="62899C9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 30mo</w:t>
            </w:r>
          </w:p>
          <w:p w14:paraId="544954D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 24mo</w:t>
            </w:r>
          </w:p>
        </w:tc>
        <w:tc>
          <w:tcPr>
            <w:tcW w:w="829" w:type="dxa"/>
            <w:tcBorders>
              <w:right w:val="single" w:sz="12" w:space="0" w:color="auto"/>
            </w:tcBorders>
            <w:shd w:val="clear" w:color="auto" w:fill="auto"/>
            <w:tcMar>
              <w:left w:w="28" w:type="dxa"/>
              <w:right w:w="28" w:type="dxa"/>
            </w:tcMar>
            <w:hideMark/>
          </w:tcPr>
          <w:p w14:paraId="1C48FCA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tc>
        <w:tc>
          <w:tcPr>
            <w:tcW w:w="1062" w:type="dxa"/>
            <w:tcBorders>
              <w:left w:val="single" w:sz="12" w:space="0" w:color="auto"/>
            </w:tcBorders>
            <w:shd w:val="clear" w:color="auto" w:fill="auto"/>
            <w:tcMar>
              <w:left w:w="28" w:type="dxa"/>
              <w:right w:w="28" w:type="dxa"/>
            </w:tcMar>
            <w:hideMark/>
          </w:tcPr>
          <w:p w14:paraId="3712254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4E2D09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30E4BF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immuno (induction or maintenance)</w:t>
            </w:r>
          </w:p>
        </w:tc>
        <w:tc>
          <w:tcPr>
            <w:tcW w:w="752" w:type="dxa"/>
            <w:tcBorders>
              <w:left w:val="single" w:sz="12" w:space="0" w:color="auto"/>
            </w:tcBorders>
            <w:shd w:val="clear" w:color="auto" w:fill="auto"/>
            <w:tcMar>
              <w:left w:w="28" w:type="dxa"/>
              <w:right w:w="28" w:type="dxa"/>
            </w:tcMar>
            <w:hideMark/>
          </w:tcPr>
          <w:p w14:paraId="528C7E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55" w:type="dxa"/>
            <w:tcBorders>
              <w:right w:val="single" w:sz="12" w:space="0" w:color="auto"/>
            </w:tcBorders>
            <w:shd w:val="clear" w:color="auto" w:fill="auto"/>
            <w:tcMar>
              <w:left w:w="28" w:type="dxa"/>
              <w:right w:w="28" w:type="dxa"/>
            </w:tcMar>
            <w:hideMark/>
          </w:tcPr>
          <w:p w14:paraId="72D0CE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3837</w:t>
            </w:r>
          </w:p>
        </w:tc>
        <w:tc>
          <w:tcPr>
            <w:tcW w:w="581" w:type="dxa"/>
            <w:tcBorders>
              <w:left w:val="single" w:sz="12" w:space="0" w:color="auto"/>
            </w:tcBorders>
            <w:shd w:val="clear" w:color="auto" w:fill="auto"/>
            <w:tcMar>
              <w:left w:w="28" w:type="dxa"/>
              <w:right w:w="28" w:type="dxa"/>
            </w:tcMar>
            <w:hideMark/>
          </w:tcPr>
          <w:p w14:paraId="4F9960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4A1D3D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1990 to 2011</w:t>
            </w:r>
          </w:p>
        </w:tc>
        <w:tc>
          <w:tcPr>
            <w:tcW w:w="466" w:type="dxa"/>
            <w:shd w:val="clear" w:color="auto" w:fill="auto"/>
            <w:tcMar>
              <w:left w:w="28" w:type="dxa"/>
              <w:right w:w="28" w:type="dxa"/>
            </w:tcMar>
            <w:hideMark/>
          </w:tcPr>
          <w:p w14:paraId="5ED9EE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IPD</w:t>
            </w:r>
          </w:p>
        </w:tc>
        <w:tc>
          <w:tcPr>
            <w:tcW w:w="1321" w:type="dxa"/>
            <w:tcBorders>
              <w:right w:val="single" w:sz="12" w:space="0" w:color="auto"/>
            </w:tcBorders>
            <w:shd w:val="clear" w:color="auto" w:fill="auto"/>
            <w:tcMar>
              <w:left w:w="28" w:type="dxa"/>
              <w:right w:w="28" w:type="dxa"/>
            </w:tcMar>
            <w:hideMark/>
          </w:tcPr>
          <w:p w14:paraId="699D4B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 (CR= disappearance)</w:t>
            </w:r>
          </w:p>
        </w:tc>
        <w:tc>
          <w:tcPr>
            <w:tcW w:w="976" w:type="dxa"/>
            <w:tcBorders>
              <w:left w:val="single" w:sz="12" w:space="0" w:color="auto"/>
              <w:right w:val="single" w:sz="6" w:space="0" w:color="auto"/>
            </w:tcBorders>
            <w:tcMar>
              <w:left w:w="28" w:type="dxa"/>
              <w:right w:w="28" w:type="dxa"/>
            </w:tcMar>
          </w:tcPr>
          <w:p w14:paraId="526B2C8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749793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75FAD8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r>
      <w:tr w:rsidR="002E26FD" w:rsidRPr="002D1DD7" w14:paraId="622B0445"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5504CBFE" w14:textId="7EF3D7D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Zhu 2017</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141</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3412BA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944" w:type="dxa"/>
            <w:tcBorders>
              <w:left w:val="single" w:sz="12" w:space="0" w:color="auto"/>
            </w:tcBorders>
            <w:shd w:val="clear" w:color="auto" w:fill="auto"/>
            <w:tcMar>
              <w:left w:w="28" w:type="dxa"/>
              <w:right w:w="28" w:type="dxa"/>
            </w:tcMar>
            <w:hideMark/>
          </w:tcPr>
          <w:p w14:paraId="4D86915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right w:val="single" w:sz="12" w:space="0" w:color="auto"/>
            </w:tcBorders>
            <w:shd w:val="clear" w:color="auto" w:fill="auto"/>
            <w:tcMar>
              <w:left w:w="28" w:type="dxa"/>
              <w:right w:w="28" w:type="dxa"/>
            </w:tcMar>
            <w:hideMark/>
          </w:tcPr>
          <w:p w14:paraId="3E824A6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tc>
        <w:tc>
          <w:tcPr>
            <w:tcW w:w="1062" w:type="dxa"/>
            <w:tcBorders>
              <w:left w:val="single" w:sz="12" w:space="0" w:color="auto"/>
            </w:tcBorders>
            <w:shd w:val="clear" w:color="auto" w:fill="auto"/>
            <w:tcMar>
              <w:left w:w="28" w:type="dxa"/>
              <w:right w:w="28" w:type="dxa"/>
            </w:tcMar>
            <w:hideMark/>
          </w:tcPr>
          <w:p w14:paraId="276C900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0ADD60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69D030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752" w:type="dxa"/>
            <w:tcBorders>
              <w:left w:val="single" w:sz="12" w:space="0" w:color="auto"/>
            </w:tcBorders>
            <w:shd w:val="clear" w:color="auto" w:fill="auto"/>
            <w:tcMar>
              <w:left w:w="28" w:type="dxa"/>
              <w:right w:w="28" w:type="dxa"/>
            </w:tcMar>
            <w:hideMark/>
          </w:tcPr>
          <w:p w14:paraId="72D77F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55" w:type="dxa"/>
            <w:tcBorders>
              <w:right w:val="single" w:sz="12" w:space="0" w:color="auto"/>
            </w:tcBorders>
            <w:shd w:val="clear" w:color="auto" w:fill="auto"/>
            <w:tcMar>
              <w:left w:w="28" w:type="dxa"/>
              <w:right w:w="28" w:type="dxa"/>
            </w:tcMar>
            <w:hideMark/>
          </w:tcPr>
          <w:p w14:paraId="504D090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365FF3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shd w:val="clear" w:color="auto" w:fill="auto"/>
            <w:tcMar>
              <w:left w:w="28" w:type="dxa"/>
              <w:right w:w="28" w:type="dxa"/>
            </w:tcMar>
            <w:hideMark/>
          </w:tcPr>
          <w:p w14:paraId="19FB81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1993 to 2013</w:t>
            </w:r>
          </w:p>
        </w:tc>
        <w:tc>
          <w:tcPr>
            <w:tcW w:w="466" w:type="dxa"/>
            <w:shd w:val="clear" w:color="auto" w:fill="auto"/>
            <w:tcMar>
              <w:left w:w="28" w:type="dxa"/>
              <w:right w:w="28" w:type="dxa"/>
            </w:tcMar>
            <w:hideMark/>
          </w:tcPr>
          <w:p w14:paraId="60A4E90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18D0C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0B1382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06778D1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336C70AA"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680F2E90"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274FB517" w14:textId="7371D8E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Zhu 2017</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141</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37E30E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(mantle cell)</w:t>
            </w:r>
          </w:p>
        </w:tc>
        <w:tc>
          <w:tcPr>
            <w:tcW w:w="944" w:type="dxa"/>
            <w:tcBorders>
              <w:left w:val="single" w:sz="12" w:space="0" w:color="auto"/>
              <w:bottom w:val="single" w:sz="12" w:space="0" w:color="auto"/>
            </w:tcBorders>
            <w:shd w:val="clear" w:color="auto" w:fill="auto"/>
            <w:tcMar>
              <w:left w:w="28" w:type="dxa"/>
              <w:right w:w="28" w:type="dxa"/>
            </w:tcMar>
            <w:hideMark/>
          </w:tcPr>
          <w:p w14:paraId="1C9DA76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bottom w:val="single" w:sz="12" w:space="0" w:color="auto"/>
              <w:right w:val="single" w:sz="12" w:space="0" w:color="auto"/>
            </w:tcBorders>
            <w:shd w:val="clear" w:color="auto" w:fill="auto"/>
            <w:tcMar>
              <w:left w:w="28" w:type="dxa"/>
              <w:right w:w="28" w:type="dxa"/>
            </w:tcMar>
            <w:hideMark/>
          </w:tcPr>
          <w:p w14:paraId="672C5FE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tc>
        <w:tc>
          <w:tcPr>
            <w:tcW w:w="1062" w:type="dxa"/>
            <w:tcBorders>
              <w:left w:val="single" w:sz="12" w:space="0" w:color="auto"/>
              <w:bottom w:val="single" w:sz="12" w:space="0" w:color="auto"/>
            </w:tcBorders>
            <w:shd w:val="clear" w:color="auto" w:fill="auto"/>
            <w:tcMar>
              <w:left w:w="28" w:type="dxa"/>
              <w:right w:w="28" w:type="dxa"/>
            </w:tcMar>
            <w:hideMark/>
          </w:tcPr>
          <w:p w14:paraId="2C68FFC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tcBorders>
              <w:bottom w:val="single" w:sz="12" w:space="0" w:color="auto"/>
            </w:tcBorders>
            <w:shd w:val="clear" w:color="auto" w:fill="auto"/>
            <w:tcMar>
              <w:left w:w="28" w:type="dxa"/>
              <w:right w:w="28" w:type="dxa"/>
            </w:tcMar>
            <w:hideMark/>
          </w:tcPr>
          <w:p w14:paraId="532A73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bottom w:val="single" w:sz="12" w:space="0" w:color="auto"/>
              <w:right w:val="single" w:sz="12" w:space="0" w:color="auto"/>
            </w:tcBorders>
            <w:shd w:val="clear" w:color="auto" w:fill="auto"/>
            <w:tcMar>
              <w:left w:w="28" w:type="dxa"/>
              <w:right w:w="28" w:type="dxa"/>
            </w:tcMar>
            <w:hideMark/>
          </w:tcPr>
          <w:p w14:paraId="1EA0C4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752" w:type="dxa"/>
            <w:tcBorders>
              <w:left w:val="single" w:sz="12" w:space="0" w:color="auto"/>
              <w:bottom w:val="single" w:sz="12" w:space="0" w:color="auto"/>
            </w:tcBorders>
            <w:shd w:val="clear" w:color="auto" w:fill="auto"/>
            <w:tcMar>
              <w:left w:w="28" w:type="dxa"/>
              <w:right w:w="28" w:type="dxa"/>
            </w:tcMar>
            <w:hideMark/>
          </w:tcPr>
          <w:p w14:paraId="189633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55" w:type="dxa"/>
            <w:tcBorders>
              <w:bottom w:val="single" w:sz="12" w:space="0" w:color="auto"/>
              <w:right w:val="single" w:sz="12" w:space="0" w:color="auto"/>
            </w:tcBorders>
            <w:shd w:val="clear" w:color="auto" w:fill="auto"/>
            <w:tcMar>
              <w:left w:w="28" w:type="dxa"/>
              <w:right w:w="28" w:type="dxa"/>
            </w:tcMar>
            <w:hideMark/>
          </w:tcPr>
          <w:p w14:paraId="554F1EA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bottom w:val="single" w:sz="12" w:space="0" w:color="auto"/>
            </w:tcBorders>
            <w:shd w:val="clear" w:color="auto" w:fill="auto"/>
            <w:tcMar>
              <w:left w:w="28" w:type="dxa"/>
              <w:right w:w="28" w:type="dxa"/>
            </w:tcMar>
            <w:hideMark/>
          </w:tcPr>
          <w:p w14:paraId="575820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tcBorders>
              <w:bottom w:val="single" w:sz="12" w:space="0" w:color="auto"/>
            </w:tcBorders>
            <w:shd w:val="clear" w:color="auto" w:fill="auto"/>
            <w:tcMar>
              <w:left w:w="28" w:type="dxa"/>
              <w:right w:w="28" w:type="dxa"/>
            </w:tcMar>
            <w:hideMark/>
          </w:tcPr>
          <w:p w14:paraId="6AE93F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1993 to 2013</w:t>
            </w:r>
          </w:p>
        </w:tc>
        <w:tc>
          <w:tcPr>
            <w:tcW w:w="466" w:type="dxa"/>
            <w:tcBorders>
              <w:bottom w:val="single" w:sz="12" w:space="0" w:color="auto"/>
            </w:tcBorders>
            <w:shd w:val="clear" w:color="auto" w:fill="auto"/>
            <w:tcMar>
              <w:left w:w="28" w:type="dxa"/>
              <w:right w:w="28" w:type="dxa"/>
            </w:tcMar>
            <w:hideMark/>
          </w:tcPr>
          <w:p w14:paraId="112EFD6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52BC90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26EFBD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564E9BCE"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bottom w:val="single" w:sz="12" w:space="0" w:color="auto"/>
              <w:right w:val="single" w:sz="12" w:space="0" w:color="auto"/>
            </w:tcBorders>
            <w:tcMar>
              <w:left w:w="28" w:type="dxa"/>
              <w:right w:w="28" w:type="dxa"/>
            </w:tcMar>
          </w:tcPr>
          <w:p w14:paraId="20BC04C1"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A0563E9"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297A2AF9" w14:textId="6D751C4A"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4ECF521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Ovarian</w:t>
            </w:r>
          </w:p>
        </w:tc>
        <w:tc>
          <w:tcPr>
            <w:tcW w:w="944" w:type="dxa"/>
            <w:tcBorders>
              <w:top w:val="single" w:sz="12" w:space="0" w:color="auto"/>
              <w:left w:val="single" w:sz="12" w:space="0" w:color="auto"/>
            </w:tcBorders>
            <w:shd w:val="clear" w:color="auto" w:fill="auto"/>
            <w:tcMar>
              <w:left w:w="28" w:type="dxa"/>
              <w:right w:w="28" w:type="dxa"/>
            </w:tcMar>
            <w:hideMark/>
          </w:tcPr>
          <w:p w14:paraId="028C5E8D"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5E13EAD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CR</w:t>
            </w:r>
          </w:p>
        </w:tc>
        <w:tc>
          <w:tcPr>
            <w:tcW w:w="829" w:type="dxa"/>
            <w:tcBorders>
              <w:top w:val="single" w:sz="12" w:space="0" w:color="auto"/>
              <w:right w:val="single" w:sz="12" w:space="0" w:color="auto"/>
            </w:tcBorders>
            <w:shd w:val="clear" w:color="auto" w:fill="auto"/>
            <w:tcMar>
              <w:left w:w="28" w:type="dxa"/>
              <w:right w:w="28" w:type="dxa"/>
            </w:tcMar>
            <w:hideMark/>
          </w:tcPr>
          <w:p w14:paraId="3D24121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2BD7F09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1636066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31A0A2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7A7546C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002A194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29</w:t>
            </w:r>
          </w:p>
        </w:tc>
        <w:tc>
          <w:tcPr>
            <w:tcW w:w="755" w:type="dxa"/>
            <w:tcBorders>
              <w:top w:val="single" w:sz="12" w:space="0" w:color="auto"/>
              <w:right w:val="single" w:sz="12" w:space="0" w:color="auto"/>
            </w:tcBorders>
            <w:shd w:val="clear" w:color="auto" w:fill="auto"/>
            <w:tcMar>
              <w:left w:w="28" w:type="dxa"/>
              <w:right w:w="28" w:type="dxa"/>
            </w:tcMar>
            <w:hideMark/>
          </w:tcPr>
          <w:p w14:paraId="6A1803A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top w:val="single" w:sz="12" w:space="0" w:color="auto"/>
              <w:left w:val="single" w:sz="12" w:space="0" w:color="auto"/>
            </w:tcBorders>
            <w:shd w:val="clear" w:color="auto" w:fill="auto"/>
            <w:tcMar>
              <w:left w:w="28" w:type="dxa"/>
              <w:right w:w="28" w:type="dxa"/>
            </w:tcMar>
            <w:hideMark/>
          </w:tcPr>
          <w:p w14:paraId="3651994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73721F1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1990-2016</w:t>
            </w:r>
          </w:p>
        </w:tc>
        <w:tc>
          <w:tcPr>
            <w:tcW w:w="466" w:type="dxa"/>
            <w:tcBorders>
              <w:top w:val="single" w:sz="12" w:space="0" w:color="auto"/>
            </w:tcBorders>
            <w:shd w:val="clear" w:color="auto" w:fill="auto"/>
            <w:tcMar>
              <w:left w:w="28" w:type="dxa"/>
              <w:right w:w="28" w:type="dxa"/>
            </w:tcMar>
            <w:hideMark/>
          </w:tcPr>
          <w:p w14:paraId="7C1ECD0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44AD71E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WHO (24), RECIST (8)</w:t>
            </w:r>
          </w:p>
        </w:tc>
        <w:tc>
          <w:tcPr>
            <w:tcW w:w="976" w:type="dxa"/>
            <w:tcBorders>
              <w:top w:val="single" w:sz="12" w:space="0" w:color="auto"/>
              <w:left w:val="single" w:sz="12" w:space="0" w:color="auto"/>
              <w:right w:val="single" w:sz="6" w:space="0" w:color="auto"/>
            </w:tcBorders>
            <w:tcMar>
              <w:left w:w="28" w:type="dxa"/>
              <w:right w:w="28" w:type="dxa"/>
            </w:tcMar>
          </w:tcPr>
          <w:p w14:paraId="4CF82A7F"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top w:val="single" w:sz="12" w:space="0" w:color="auto"/>
              <w:left w:val="single" w:sz="6" w:space="0" w:color="auto"/>
            </w:tcBorders>
            <w:tcMar>
              <w:left w:w="28" w:type="dxa"/>
              <w:right w:w="28" w:type="dxa"/>
            </w:tcMar>
          </w:tcPr>
          <w:p w14:paraId="67833A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top w:val="single" w:sz="12" w:space="0" w:color="auto"/>
              <w:right w:val="single" w:sz="12" w:space="0" w:color="auto"/>
            </w:tcBorders>
            <w:tcMar>
              <w:left w:w="28" w:type="dxa"/>
              <w:right w:w="28" w:type="dxa"/>
            </w:tcMar>
          </w:tcPr>
          <w:p w14:paraId="3057F958"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4D398443"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7BD6AB4C" w14:textId="5CF14D4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Rose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&lt;EndNote&gt;&lt;Cite&gt;&lt;Author&gt;Rose&lt;/Author&gt;&lt;Year&gt;2010&lt;/Year&gt;&lt;RecNum&gt;2561&lt;/RecNum&gt;&lt;IDText&gt;$$include full text PT&lt;/IDText&gt;&lt;DisplayText&gt;&lt;style face="superscript"&gt;126&lt;/style&gt;&lt;/DisplayText&gt;&lt;record&gt;&lt;rec-number&gt;2561&lt;/rec-number&gt;&lt;foreign-keys&gt;&lt;key app="EN" db-id="dwaevxvazfs2f3ewvzmxrd0k0wasw55p2z2w" timestamp="1557311001"&gt;2561&lt;/key&gt;&lt;/foreign-keys&gt;&lt;ref-type name="Journal Article"&gt;17&lt;/ref-type&gt;&lt;contributors&gt;&lt;authors&gt;&lt;author&gt;Rose, P. G.&lt;/author&gt;&lt;author&gt;Tian, C. Q.&lt;/author&gt;&lt;author&gt;Bookman, M. A.&lt;/author&gt;&lt;/authors&gt;&lt;/contributors&gt;&lt;titles&gt;&lt;title&gt;Assessment of tumor response as a surrogate endpoint of survival in recurrent/platinum-resistant ovarian carcinoma: A Gynecologic Oncology Group study&lt;/title&gt;&lt;secondary-title&gt;Gynecologic Oncology&lt;/secondary-title&gt;&lt;/titles&gt;&lt;periodical&gt;&lt;full-title&gt;Gynecologic Oncology&lt;/full-title&gt;&lt;abbr-1&gt;Gynecol Oncol&lt;/abbr-1&gt;&lt;/periodical&gt;&lt;pages&gt;324-329&lt;/pages&gt;&lt;volume&gt;117&lt;/volume&gt;&lt;number&gt;2&lt;/number&gt;&lt;keywords&gt;&lt;keyword&gt;$$include abstract PT&lt;/keyword&gt;&lt;keyword&gt;$$Broad search&lt;/keyword&gt;&lt;/keywords&gt;&lt;dates&gt;&lt;year&gt;2010&lt;/year&gt;&lt;pub-dates&gt;&lt;date&gt;May&lt;/date&gt;&lt;/pub-dates&gt;&lt;/dates&gt;&lt;isbn&gt;0090-8258&lt;/isbn&gt;&lt;accession-num&gt;WOS:000277538600030&lt;/accession-num&gt;&lt;label&gt;$$include full text PT&lt;/label&gt;&lt;urls&gt;&lt;/urls&gt;&lt;electronic-resource-num&gt;10.1016/j.ygyno.2010.01.040&lt;/electronic-resource-num&gt;&lt;research-notes&gt;&lt;style face="underline" font="default" size="100%"&gt;&amp;lt;Go to ISI&amp;gt;://WOS:000277538600030&lt;/style&gt;&lt;/research-notes&gt;&lt;/record&gt;&lt;/Cite&gt;&lt;/EndNote&gt;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126</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757671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944" w:type="dxa"/>
            <w:tcBorders>
              <w:left w:val="single" w:sz="12" w:space="0" w:color="auto"/>
            </w:tcBorders>
            <w:shd w:val="clear" w:color="auto" w:fill="auto"/>
            <w:tcMar>
              <w:left w:w="28" w:type="dxa"/>
              <w:right w:w="28" w:type="dxa"/>
            </w:tcMar>
            <w:hideMark/>
          </w:tcPr>
          <w:p w14:paraId="5BF2F500"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12ADD9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26C3EE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7DB52D4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Recurrent / platinum-resistant</w:t>
            </w:r>
          </w:p>
        </w:tc>
        <w:tc>
          <w:tcPr>
            <w:tcW w:w="992" w:type="dxa"/>
            <w:shd w:val="clear" w:color="auto" w:fill="auto"/>
            <w:tcMar>
              <w:left w:w="28" w:type="dxa"/>
              <w:right w:w="28" w:type="dxa"/>
            </w:tcMar>
            <w:hideMark/>
          </w:tcPr>
          <w:p w14:paraId="2A97F4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1280" w:type="dxa"/>
            <w:tcBorders>
              <w:right w:val="single" w:sz="12" w:space="0" w:color="auto"/>
            </w:tcBorders>
            <w:shd w:val="clear" w:color="auto" w:fill="auto"/>
            <w:tcMar>
              <w:left w:w="28" w:type="dxa"/>
              <w:right w:w="28" w:type="dxa"/>
            </w:tcMar>
            <w:hideMark/>
          </w:tcPr>
          <w:p w14:paraId="229C48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752" w:type="dxa"/>
            <w:tcBorders>
              <w:left w:val="single" w:sz="12" w:space="0" w:color="auto"/>
            </w:tcBorders>
            <w:shd w:val="clear" w:color="auto" w:fill="auto"/>
            <w:tcMar>
              <w:left w:w="28" w:type="dxa"/>
              <w:right w:w="28" w:type="dxa"/>
            </w:tcMar>
            <w:hideMark/>
          </w:tcPr>
          <w:p w14:paraId="60912C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55" w:type="dxa"/>
            <w:tcBorders>
              <w:right w:val="single" w:sz="12" w:space="0" w:color="auto"/>
            </w:tcBorders>
            <w:shd w:val="clear" w:color="auto" w:fill="auto"/>
            <w:tcMar>
              <w:left w:w="28" w:type="dxa"/>
              <w:right w:w="28" w:type="dxa"/>
            </w:tcMar>
            <w:hideMark/>
          </w:tcPr>
          <w:p w14:paraId="3C5D13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407</w:t>
            </w:r>
          </w:p>
        </w:tc>
        <w:tc>
          <w:tcPr>
            <w:tcW w:w="581" w:type="dxa"/>
            <w:tcBorders>
              <w:left w:val="single" w:sz="12" w:space="0" w:color="auto"/>
            </w:tcBorders>
            <w:shd w:val="clear" w:color="auto" w:fill="auto"/>
            <w:tcMar>
              <w:left w:w="28" w:type="dxa"/>
              <w:right w:w="28" w:type="dxa"/>
            </w:tcMar>
            <w:hideMark/>
          </w:tcPr>
          <w:p w14:paraId="59C343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SA</w:t>
            </w:r>
          </w:p>
        </w:tc>
        <w:tc>
          <w:tcPr>
            <w:tcW w:w="1168" w:type="dxa"/>
            <w:shd w:val="clear" w:color="auto" w:fill="auto"/>
            <w:tcMar>
              <w:left w:w="28" w:type="dxa"/>
              <w:right w:w="28" w:type="dxa"/>
            </w:tcMar>
            <w:hideMark/>
          </w:tcPr>
          <w:p w14:paraId="331042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1994 to 2004</w:t>
            </w:r>
          </w:p>
        </w:tc>
        <w:tc>
          <w:tcPr>
            <w:tcW w:w="466" w:type="dxa"/>
            <w:shd w:val="clear" w:color="auto" w:fill="auto"/>
            <w:tcMar>
              <w:left w:w="28" w:type="dxa"/>
              <w:right w:w="28" w:type="dxa"/>
            </w:tcMar>
            <w:hideMark/>
          </w:tcPr>
          <w:p w14:paraId="11D3AC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IPD</w:t>
            </w:r>
          </w:p>
        </w:tc>
        <w:tc>
          <w:tcPr>
            <w:tcW w:w="1321" w:type="dxa"/>
            <w:tcBorders>
              <w:right w:val="single" w:sz="12" w:space="0" w:color="auto"/>
            </w:tcBorders>
            <w:shd w:val="clear" w:color="auto" w:fill="auto"/>
            <w:tcMar>
              <w:left w:w="28" w:type="dxa"/>
              <w:right w:w="28" w:type="dxa"/>
            </w:tcMar>
            <w:hideMark/>
          </w:tcPr>
          <w:p w14:paraId="0083C9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WHO (10), RECIST (1)</w:t>
            </w:r>
          </w:p>
        </w:tc>
        <w:tc>
          <w:tcPr>
            <w:tcW w:w="976" w:type="dxa"/>
            <w:tcBorders>
              <w:left w:val="single" w:sz="12" w:space="0" w:color="auto"/>
              <w:right w:val="single" w:sz="6" w:space="0" w:color="auto"/>
            </w:tcBorders>
            <w:tcMar>
              <w:left w:w="28" w:type="dxa"/>
              <w:right w:w="28" w:type="dxa"/>
            </w:tcMar>
          </w:tcPr>
          <w:p w14:paraId="5AE459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0556465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59D4A136"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78B25F99"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3293CA8B" w14:textId="698865C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Siddiqui 2017</w:t>
            </w:r>
            <w:r w:rsidRPr="002D1DD7">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132</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6ACE05E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944" w:type="dxa"/>
            <w:tcBorders>
              <w:left w:val="single" w:sz="12" w:space="0" w:color="auto"/>
              <w:bottom w:val="single" w:sz="12" w:space="0" w:color="auto"/>
            </w:tcBorders>
            <w:shd w:val="clear" w:color="auto" w:fill="auto"/>
            <w:tcMar>
              <w:left w:w="28" w:type="dxa"/>
              <w:right w:w="28" w:type="dxa"/>
            </w:tcMar>
            <w:hideMark/>
          </w:tcPr>
          <w:p w14:paraId="7CC5F6E3"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519D5FA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1D6C11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55D698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 recurrent</w:t>
            </w:r>
          </w:p>
        </w:tc>
        <w:tc>
          <w:tcPr>
            <w:tcW w:w="992" w:type="dxa"/>
            <w:tcBorders>
              <w:bottom w:val="single" w:sz="12" w:space="0" w:color="auto"/>
            </w:tcBorders>
            <w:shd w:val="clear" w:color="auto" w:fill="auto"/>
            <w:tcMar>
              <w:left w:w="28" w:type="dxa"/>
              <w:right w:w="28" w:type="dxa"/>
            </w:tcMar>
            <w:hideMark/>
          </w:tcPr>
          <w:p w14:paraId="24A0A2B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2nd + subsequent</w:t>
            </w:r>
          </w:p>
        </w:tc>
        <w:tc>
          <w:tcPr>
            <w:tcW w:w="1280" w:type="dxa"/>
            <w:tcBorders>
              <w:bottom w:val="single" w:sz="12" w:space="0" w:color="auto"/>
              <w:right w:val="single" w:sz="12" w:space="0" w:color="auto"/>
            </w:tcBorders>
            <w:shd w:val="clear" w:color="auto" w:fill="auto"/>
            <w:tcMar>
              <w:left w:w="28" w:type="dxa"/>
              <w:right w:w="28" w:type="dxa"/>
            </w:tcMar>
            <w:hideMark/>
          </w:tcPr>
          <w:p w14:paraId="418F52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left w:val="single" w:sz="12" w:space="0" w:color="auto"/>
              <w:bottom w:val="single" w:sz="12" w:space="0" w:color="auto"/>
            </w:tcBorders>
            <w:shd w:val="clear" w:color="auto" w:fill="auto"/>
            <w:tcMar>
              <w:left w:w="28" w:type="dxa"/>
              <w:right w:w="28" w:type="dxa"/>
            </w:tcMar>
            <w:hideMark/>
          </w:tcPr>
          <w:p w14:paraId="326644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w:t>
            </w:r>
            <w:r w:rsidRPr="002D1DD7">
              <w:rPr>
                <w:rFonts w:eastAsia="Times New Roman" w:cs="Times New Roman"/>
                <w:color w:val="000000"/>
                <w:sz w:val="18"/>
                <w:szCs w:val="18"/>
                <w:vertAlign w:val="superscript"/>
                <w:lang w:eastAsia="zh-CN"/>
              </w:rPr>
              <w:t>†</w:t>
            </w:r>
          </w:p>
        </w:tc>
        <w:tc>
          <w:tcPr>
            <w:tcW w:w="755" w:type="dxa"/>
            <w:tcBorders>
              <w:bottom w:val="single" w:sz="12" w:space="0" w:color="auto"/>
              <w:right w:val="single" w:sz="12" w:space="0" w:color="auto"/>
            </w:tcBorders>
            <w:shd w:val="clear" w:color="auto" w:fill="auto"/>
            <w:tcMar>
              <w:left w:w="28" w:type="dxa"/>
              <w:right w:w="28" w:type="dxa"/>
            </w:tcMar>
            <w:hideMark/>
          </w:tcPr>
          <w:p w14:paraId="185BD7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9223</w:t>
            </w:r>
            <w:r w:rsidRPr="002D1DD7">
              <w:rPr>
                <w:rFonts w:eastAsia="Times New Roman" w:cs="Times New Roman"/>
                <w:color w:val="000000"/>
                <w:sz w:val="18"/>
                <w:szCs w:val="18"/>
                <w:vertAlign w:val="superscript"/>
                <w:lang w:eastAsia="zh-CN"/>
              </w:rPr>
              <w:t>†</w:t>
            </w:r>
          </w:p>
        </w:tc>
        <w:tc>
          <w:tcPr>
            <w:tcW w:w="581" w:type="dxa"/>
            <w:tcBorders>
              <w:left w:val="single" w:sz="12" w:space="0" w:color="auto"/>
              <w:bottom w:val="single" w:sz="12" w:space="0" w:color="auto"/>
            </w:tcBorders>
            <w:shd w:val="clear" w:color="auto" w:fill="auto"/>
            <w:tcMar>
              <w:left w:w="28" w:type="dxa"/>
              <w:right w:w="28" w:type="dxa"/>
            </w:tcMar>
            <w:hideMark/>
          </w:tcPr>
          <w:p w14:paraId="166DC5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0C44DE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2000 to 2015</w:t>
            </w:r>
          </w:p>
        </w:tc>
        <w:tc>
          <w:tcPr>
            <w:tcW w:w="466" w:type="dxa"/>
            <w:tcBorders>
              <w:bottom w:val="single" w:sz="12" w:space="0" w:color="auto"/>
            </w:tcBorders>
            <w:shd w:val="clear" w:color="auto" w:fill="auto"/>
            <w:tcMar>
              <w:left w:w="28" w:type="dxa"/>
              <w:right w:w="28" w:type="dxa"/>
            </w:tcMar>
            <w:hideMark/>
          </w:tcPr>
          <w:p w14:paraId="492AFCF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1136F8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04DCBB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230D65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bottom w:val="single" w:sz="12" w:space="0" w:color="auto"/>
              <w:right w:val="single" w:sz="12" w:space="0" w:color="auto"/>
            </w:tcBorders>
            <w:tcMar>
              <w:left w:w="28" w:type="dxa"/>
              <w:right w:w="28" w:type="dxa"/>
            </w:tcMar>
          </w:tcPr>
          <w:p w14:paraId="540C58AA"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1E274A73"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6E0A7BB9" w14:textId="18A6CF9B"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23394DE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Pancreatic</w:t>
            </w:r>
          </w:p>
        </w:tc>
        <w:tc>
          <w:tcPr>
            <w:tcW w:w="944" w:type="dxa"/>
            <w:tcBorders>
              <w:top w:val="single" w:sz="12" w:space="0" w:color="auto"/>
              <w:left w:val="single" w:sz="12" w:space="0" w:color="auto"/>
            </w:tcBorders>
            <w:shd w:val="clear" w:color="auto" w:fill="auto"/>
            <w:tcMar>
              <w:left w:w="28" w:type="dxa"/>
              <w:right w:w="28" w:type="dxa"/>
            </w:tcMar>
            <w:hideMark/>
          </w:tcPr>
          <w:p w14:paraId="686DC3AC"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p w14:paraId="55F87EE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DoR</w:t>
            </w:r>
          </w:p>
        </w:tc>
        <w:tc>
          <w:tcPr>
            <w:tcW w:w="829" w:type="dxa"/>
            <w:tcBorders>
              <w:top w:val="single" w:sz="12" w:space="0" w:color="auto"/>
              <w:right w:val="single" w:sz="12" w:space="0" w:color="auto"/>
            </w:tcBorders>
            <w:shd w:val="clear" w:color="auto" w:fill="auto"/>
            <w:tcMar>
              <w:left w:w="28" w:type="dxa"/>
              <w:right w:w="28" w:type="dxa"/>
            </w:tcMar>
            <w:hideMark/>
          </w:tcPr>
          <w:p w14:paraId="3928CFC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6DB74AF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2BC50CB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 or metastatic</w:t>
            </w:r>
          </w:p>
        </w:tc>
        <w:tc>
          <w:tcPr>
            <w:tcW w:w="992" w:type="dxa"/>
            <w:tcBorders>
              <w:top w:val="single" w:sz="12" w:space="0" w:color="auto"/>
            </w:tcBorders>
            <w:shd w:val="clear" w:color="auto" w:fill="auto"/>
            <w:tcMar>
              <w:left w:w="28" w:type="dxa"/>
              <w:right w:w="28" w:type="dxa"/>
            </w:tcMar>
            <w:hideMark/>
          </w:tcPr>
          <w:p w14:paraId="418516C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29C8A64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Gemcitabine + chemo or targeted</w:t>
            </w:r>
          </w:p>
        </w:tc>
        <w:tc>
          <w:tcPr>
            <w:tcW w:w="752" w:type="dxa"/>
            <w:tcBorders>
              <w:top w:val="single" w:sz="12" w:space="0" w:color="auto"/>
              <w:left w:val="single" w:sz="12" w:space="0" w:color="auto"/>
            </w:tcBorders>
            <w:shd w:val="clear" w:color="auto" w:fill="auto"/>
            <w:tcMar>
              <w:left w:w="28" w:type="dxa"/>
              <w:right w:w="28" w:type="dxa"/>
            </w:tcMar>
            <w:hideMark/>
          </w:tcPr>
          <w:p w14:paraId="119F58D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36*</w:t>
            </w:r>
          </w:p>
        </w:tc>
        <w:tc>
          <w:tcPr>
            <w:tcW w:w="755" w:type="dxa"/>
            <w:tcBorders>
              <w:top w:val="single" w:sz="12" w:space="0" w:color="auto"/>
              <w:right w:val="single" w:sz="12" w:space="0" w:color="auto"/>
            </w:tcBorders>
            <w:shd w:val="clear" w:color="auto" w:fill="auto"/>
            <w:tcMar>
              <w:left w:w="28" w:type="dxa"/>
              <w:right w:w="28" w:type="dxa"/>
            </w:tcMar>
            <w:hideMark/>
          </w:tcPr>
          <w:p w14:paraId="29201DA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top w:val="single" w:sz="12" w:space="0" w:color="auto"/>
              <w:left w:val="single" w:sz="12" w:space="0" w:color="auto"/>
            </w:tcBorders>
            <w:shd w:val="clear" w:color="auto" w:fill="auto"/>
            <w:tcMar>
              <w:left w:w="28" w:type="dxa"/>
              <w:right w:w="28" w:type="dxa"/>
            </w:tcMar>
            <w:hideMark/>
          </w:tcPr>
          <w:p w14:paraId="501E589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3738CF2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1997-2014</w:t>
            </w:r>
          </w:p>
        </w:tc>
        <w:tc>
          <w:tcPr>
            <w:tcW w:w="466" w:type="dxa"/>
            <w:tcBorders>
              <w:top w:val="single" w:sz="12" w:space="0" w:color="auto"/>
            </w:tcBorders>
            <w:shd w:val="clear" w:color="auto" w:fill="auto"/>
            <w:tcMar>
              <w:left w:w="28" w:type="dxa"/>
              <w:right w:w="28" w:type="dxa"/>
            </w:tcMar>
            <w:hideMark/>
          </w:tcPr>
          <w:p w14:paraId="196EE2A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4DFA0D5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w:t>
            </w:r>
          </w:p>
        </w:tc>
        <w:tc>
          <w:tcPr>
            <w:tcW w:w="976" w:type="dxa"/>
            <w:tcBorders>
              <w:top w:val="single" w:sz="12" w:space="0" w:color="auto"/>
              <w:left w:val="single" w:sz="12" w:space="0" w:color="auto"/>
              <w:right w:val="single" w:sz="6" w:space="0" w:color="auto"/>
            </w:tcBorders>
            <w:tcMar>
              <w:left w:w="28" w:type="dxa"/>
              <w:right w:w="28" w:type="dxa"/>
            </w:tcMar>
          </w:tcPr>
          <w:p w14:paraId="0CDD9E71"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top w:val="single" w:sz="12" w:space="0" w:color="auto"/>
              <w:left w:val="single" w:sz="6" w:space="0" w:color="auto"/>
            </w:tcBorders>
            <w:tcMar>
              <w:left w:w="28" w:type="dxa"/>
              <w:right w:w="28" w:type="dxa"/>
            </w:tcMar>
          </w:tcPr>
          <w:p w14:paraId="2D14098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top w:val="single" w:sz="12" w:space="0" w:color="auto"/>
              <w:right w:val="single" w:sz="12" w:space="0" w:color="auto"/>
            </w:tcBorders>
            <w:tcMar>
              <w:left w:w="28" w:type="dxa"/>
              <w:right w:w="28" w:type="dxa"/>
            </w:tcMar>
          </w:tcPr>
          <w:p w14:paraId="74BD5308"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7A59AE1A"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645FF105" w14:textId="10CB76F0"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Hamada 2016</w:t>
            </w:r>
            <w:r w:rsidRPr="002D1DD7">
              <w:rPr>
                <w:rFonts w:eastAsia="Times New Roman" w:cs="Times New Roman"/>
                <w:sz w:val="18"/>
                <w:szCs w:val="18"/>
                <w:lang w:eastAsia="zh-CN"/>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97</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4FAE457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Pancreatic</w:t>
            </w:r>
          </w:p>
        </w:tc>
        <w:tc>
          <w:tcPr>
            <w:tcW w:w="944" w:type="dxa"/>
            <w:tcBorders>
              <w:left w:val="single" w:sz="12" w:space="0" w:color="auto"/>
            </w:tcBorders>
            <w:shd w:val="clear" w:color="auto" w:fill="auto"/>
            <w:tcMar>
              <w:left w:w="28" w:type="dxa"/>
              <w:right w:w="28" w:type="dxa"/>
            </w:tcMar>
            <w:hideMark/>
          </w:tcPr>
          <w:p w14:paraId="6BAB378C"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227EEFD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7AC4003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4C493A8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right w:val="single" w:sz="12" w:space="0" w:color="auto"/>
            </w:tcBorders>
            <w:shd w:val="clear" w:color="auto" w:fill="auto"/>
            <w:tcMar>
              <w:left w:w="28" w:type="dxa"/>
              <w:right w:w="28" w:type="dxa"/>
            </w:tcMar>
            <w:hideMark/>
          </w:tcPr>
          <w:p w14:paraId="3056893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w:t>
            </w:r>
          </w:p>
        </w:tc>
        <w:tc>
          <w:tcPr>
            <w:tcW w:w="752" w:type="dxa"/>
            <w:tcBorders>
              <w:left w:val="single" w:sz="12" w:space="0" w:color="auto"/>
            </w:tcBorders>
            <w:shd w:val="clear" w:color="auto" w:fill="auto"/>
            <w:tcMar>
              <w:left w:w="28" w:type="dxa"/>
              <w:right w:w="28" w:type="dxa"/>
            </w:tcMar>
            <w:hideMark/>
          </w:tcPr>
          <w:p w14:paraId="02DB8DE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47</w:t>
            </w:r>
          </w:p>
        </w:tc>
        <w:tc>
          <w:tcPr>
            <w:tcW w:w="755" w:type="dxa"/>
            <w:tcBorders>
              <w:right w:val="single" w:sz="12" w:space="0" w:color="auto"/>
            </w:tcBorders>
            <w:shd w:val="clear" w:color="auto" w:fill="auto"/>
            <w:tcMar>
              <w:left w:w="28" w:type="dxa"/>
              <w:right w:w="28" w:type="dxa"/>
            </w:tcMar>
            <w:hideMark/>
          </w:tcPr>
          <w:p w14:paraId="3BDEA45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15906</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6754636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2B7601D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1995-2015</w:t>
            </w:r>
          </w:p>
        </w:tc>
        <w:tc>
          <w:tcPr>
            <w:tcW w:w="466" w:type="dxa"/>
            <w:shd w:val="clear" w:color="auto" w:fill="auto"/>
            <w:tcMar>
              <w:left w:w="28" w:type="dxa"/>
              <w:right w:w="28" w:type="dxa"/>
            </w:tcMar>
            <w:hideMark/>
          </w:tcPr>
          <w:p w14:paraId="6931816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2B3D2B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64C513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779C88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4B22350A"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86BD93A"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5D7903BE" w14:textId="5CF15A7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Makris 2017</w:t>
            </w:r>
            <w:r w:rsidRPr="002D1DD7">
              <w:rPr>
                <w:rFonts w:eastAsia="Times New Roman" w:cs="Times New Roman"/>
                <w:color w:val="000000"/>
                <w:sz w:val="18"/>
                <w:szCs w:val="18"/>
                <w:lang w:eastAsia="zh-CN"/>
              </w:rPr>
              <w:fldChar w:fldCharType="begin">
                <w:fldData xml:space="preserve">PEVuZE5vdGU+PENpdGU+PEF1dGhvcj5NYWtyaXM8L0F1dGhvcj48WWVhcj4yMDE3PC9ZZWFyPjxS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PVkmYW1wO05FV1M9TiZhbXA7UEFHRT1mdWxsdGV4dCZhbXA7RD1tZWQxMyZhbXA7QU49MjgzOTcx
OTA8L3N0eWxlPjxzdHlsZSBmYWNlPSJub3JtYWwiIGZvbnQ9ImRlZmF1bHQiIHNpemU9IjEwMCUi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aWQ9cG1pZDoyODM5NzE5MCZhbXA7aWQ9ZG9pOjEwLjEyNDUlMkZzMTA0MzQtMDE3LTU4MjYtMiZh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PEVuZE5vdGU+PENpdGU+PEF1dGhvcj5NYWtyaXM8L0F1dGhvcj48WWVhcj4yMDE3PC9ZZWFyPjxS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PVkmYW1wO05FV1M9TiZhbXA7UEFHRT1mdWxsdGV4dCZhbXA7RD1tZWQxMyZhbXA7QU49MjgzOTcx
OTA8L3N0eWxlPjxzdHlsZSBmYWNlPSJub3JtYWwiIGZvbnQ9ImRlZmF1bHQiIHNpemU9IjEwMCUi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aWQ9cG1pZDoyODM5NzE5MCZhbXA7aWQ9ZG9pOjEwLjEyNDUlMkZzMTA0MzQtMDE3LTU4MjYtMiZh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113</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06918A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  (adenocarcinoma)</w:t>
            </w:r>
          </w:p>
        </w:tc>
        <w:tc>
          <w:tcPr>
            <w:tcW w:w="944" w:type="dxa"/>
            <w:tcBorders>
              <w:left w:val="single" w:sz="12" w:space="0" w:color="auto"/>
              <w:bottom w:val="single" w:sz="12" w:space="0" w:color="auto"/>
            </w:tcBorders>
            <w:shd w:val="clear" w:color="auto" w:fill="auto"/>
            <w:tcMar>
              <w:left w:w="28" w:type="dxa"/>
              <w:right w:w="28" w:type="dxa"/>
            </w:tcMar>
            <w:hideMark/>
          </w:tcPr>
          <w:p w14:paraId="1870DD17"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3CDE852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3FA74C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Locally advanced, unresectable or metastatic</w:t>
            </w:r>
          </w:p>
        </w:tc>
        <w:tc>
          <w:tcPr>
            <w:tcW w:w="992" w:type="dxa"/>
            <w:tcBorders>
              <w:bottom w:val="single" w:sz="12" w:space="0" w:color="auto"/>
            </w:tcBorders>
            <w:shd w:val="clear" w:color="auto" w:fill="auto"/>
            <w:tcMar>
              <w:left w:w="28" w:type="dxa"/>
              <w:right w:w="28" w:type="dxa"/>
            </w:tcMar>
            <w:hideMark/>
          </w:tcPr>
          <w:p w14:paraId="102F168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w:t>
            </w:r>
          </w:p>
        </w:tc>
        <w:tc>
          <w:tcPr>
            <w:tcW w:w="1280" w:type="dxa"/>
            <w:tcBorders>
              <w:bottom w:val="single" w:sz="12" w:space="0" w:color="auto"/>
              <w:right w:val="single" w:sz="12" w:space="0" w:color="auto"/>
            </w:tcBorders>
            <w:shd w:val="clear" w:color="auto" w:fill="auto"/>
            <w:tcMar>
              <w:left w:w="28" w:type="dxa"/>
              <w:right w:w="28" w:type="dxa"/>
            </w:tcMar>
            <w:hideMark/>
          </w:tcPr>
          <w:p w14:paraId="79802A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(gemcitabine)</w:t>
            </w:r>
          </w:p>
        </w:tc>
        <w:tc>
          <w:tcPr>
            <w:tcW w:w="752" w:type="dxa"/>
            <w:tcBorders>
              <w:left w:val="single" w:sz="12" w:space="0" w:color="auto"/>
              <w:bottom w:val="single" w:sz="12" w:space="0" w:color="auto"/>
            </w:tcBorders>
            <w:shd w:val="clear" w:color="auto" w:fill="auto"/>
            <w:tcMar>
              <w:left w:w="28" w:type="dxa"/>
              <w:right w:w="28" w:type="dxa"/>
            </w:tcMar>
            <w:hideMark/>
          </w:tcPr>
          <w:p w14:paraId="44DF31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55" w:type="dxa"/>
            <w:tcBorders>
              <w:bottom w:val="single" w:sz="12" w:space="0" w:color="auto"/>
              <w:right w:val="single" w:sz="12" w:space="0" w:color="auto"/>
            </w:tcBorders>
            <w:shd w:val="clear" w:color="auto" w:fill="auto"/>
            <w:tcMar>
              <w:left w:w="28" w:type="dxa"/>
              <w:right w:w="28" w:type="dxa"/>
            </w:tcMar>
            <w:hideMark/>
          </w:tcPr>
          <w:p w14:paraId="417CDE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10379*</w:t>
            </w:r>
          </w:p>
        </w:tc>
        <w:tc>
          <w:tcPr>
            <w:tcW w:w="581" w:type="dxa"/>
            <w:tcBorders>
              <w:left w:val="single" w:sz="12" w:space="0" w:color="auto"/>
              <w:bottom w:val="single" w:sz="12" w:space="0" w:color="auto"/>
            </w:tcBorders>
            <w:shd w:val="clear" w:color="auto" w:fill="auto"/>
            <w:tcMar>
              <w:left w:w="28" w:type="dxa"/>
              <w:right w:w="28" w:type="dxa"/>
            </w:tcMar>
            <w:hideMark/>
          </w:tcPr>
          <w:p w14:paraId="6E6C78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5268B4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2000 to 2015</w:t>
            </w:r>
          </w:p>
        </w:tc>
        <w:tc>
          <w:tcPr>
            <w:tcW w:w="466" w:type="dxa"/>
            <w:tcBorders>
              <w:bottom w:val="single" w:sz="12" w:space="0" w:color="auto"/>
            </w:tcBorders>
            <w:shd w:val="clear" w:color="auto" w:fill="auto"/>
            <w:tcMar>
              <w:left w:w="28" w:type="dxa"/>
              <w:right w:w="28" w:type="dxa"/>
            </w:tcMar>
            <w:hideMark/>
          </w:tcPr>
          <w:p w14:paraId="15EF006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0CEFA7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 (RR=shrinkage or disappearance)</w:t>
            </w:r>
          </w:p>
        </w:tc>
        <w:tc>
          <w:tcPr>
            <w:tcW w:w="976" w:type="dxa"/>
            <w:tcBorders>
              <w:left w:val="single" w:sz="12" w:space="0" w:color="auto"/>
              <w:bottom w:val="single" w:sz="12" w:space="0" w:color="auto"/>
              <w:right w:val="single" w:sz="6" w:space="0" w:color="auto"/>
            </w:tcBorders>
            <w:tcMar>
              <w:left w:w="28" w:type="dxa"/>
              <w:right w:w="28" w:type="dxa"/>
            </w:tcMar>
          </w:tcPr>
          <w:p w14:paraId="60FD37D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bottom w:val="single" w:sz="12" w:space="0" w:color="auto"/>
            </w:tcBorders>
            <w:tcMar>
              <w:left w:w="28" w:type="dxa"/>
              <w:right w:w="28" w:type="dxa"/>
            </w:tcMar>
          </w:tcPr>
          <w:p w14:paraId="6D5390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bottom w:val="single" w:sz="12" w:space="0" w:color="auto"/>
              <w:right w:val="single" w:sz="12" w:space="0" w:color="auto"/>
            </w:tcBorders>
            <w:tcMar>
              <w:left w:w="28" w:type="dxa"/>
              <w:right w:w="28" w:type="dxa"/>
            </w:tcMar>
          </w:tcPr>
          <w:p w14:paraId="39C9A92C"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7FAF47DE"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2C792A30" w14:textId="206423C6"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Colloca 2016c</w:t>
            </w:r>
            <w:r w:rsidRPr="002D1DD7">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90</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3F543C0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Prostate</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1D904C36"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3C881C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7E27275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 (castration-resistant)</w:t>
            </w:r>
          </w:p>
        </w:tc>
        <w:tc>
          <w:tcPr>
            <w:tcW w:w="992" w:type="dxa"/>
            <w:tcBorders>
              <w:top w:val="single" w:sz="12" w:space="0" w:color="auto"/>
              <w:bottom w:val="single" w:sz="12" w:space="0" w:color="auto"/>
            </w:tcBorders>
            <w:shd w:val="clear" w:color="auto" w:fill="auto"/>
            <w:tcMar>
              <w:left w:w="28" w:type="dxa"/>
              <w:right w:w="28" w:type="dxa"/>
            </w:tcMar>
            <w:hideMark/>
          </w:tcPr>
          <w:p w14:paraId="3F1D77C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1st + 2nd</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889875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 hormonal + targeted</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7F19808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17</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0647AC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79C820D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bottom w:val="single" w:sz="12" w:space="0" w:color="auto"/>
            </w:tcBorders>
            <w:shd w:val="clear" w:color="auto" w:fill="auto"/>
            <w:tcMar>
              <w:left w:w="28" w:type="dxa"/>
              <w:right w:w="28" w:type="dxa"/>
            </w:tcMar>
            <w:hideMark/>
          </w:tcPr>
          <w:p w14:paraId="0DA13A3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1995-2014</w:t>
            </w:r>
          </w:p>
        </w:tc>
        <w:tc>
          <w:tcPr>
            <w:tcW w:w="466" w:type="dxa"/>
            <w:tcBorders>
              <w:top w:val="single" w:sz="12" w:space="0" w:color="auto"/>
              <w:bottom w:val="single" w:sz="12" w:space="0" w:color="auto"/>
            </w:tcBorders>
            <w:shd w:val="clear" w:color="auto" w:fill="auto"/>
            <w:tcMar>
              <w:left w:w="28" w:type="dxa"/>
              <w:right w:w="28" w:type="dxa"/>
            </w:tcMar>
            <w:hideMark/>
          </w:tcPr>
          <w:p w14:paraId="7D44177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84614B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 (CR=disappearance; PR=≥30% reduction)</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73967A16" w14:textId="77777777" w:rsidR="002E26FD" w:rsidRPr="002D1DD7" w:rsidRDefault="002E26FD" w:rsidP="003117A9">
            <w:pPr>
              <w:spacing w:before="0" w:after="0" w:line="240" w:lineRule="auto"/>
              <w:rPr>
                <w:rFonts w:eastAsia="Times New Roman" w:cs="Times New Roman"/>
                <w:sz w:val="18"/>
                <w:szCs w:val="18"/>
                <w:lang w:eastAsia="zh-CN"/>
              </w:rPr>
            </w:pPr>
          </w:p>
        </w:tc>
        <w:tc>
          <w:tcPr>
            <w:tcW w:w="910" w:type="dxa"/>
            <w:tcBorders>
              <w:top w:val="single" w:sz="12" w:space="0" w:color="auto"/>
              <w:left w:val="single" w:sz="6" w:space="0" w:color="auto"/>
              <w:bottom w:val="single" w:sz="12" w:space="0" w:color="auto"/>
            </w:tcBorders>
            <w:tcMar>
              <w:left w:w="28" w:type="dxa"/>
              <w:right w:w="28" w:type="dxa"/>
            </w:tcMar>
          </w:tcPr>
          <w:p w14:paraId="6ED69F9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742" w:type="dxa"/>
            <w:tcBorders>
              <w:top w:val="single" w:sz="12" w:space="0" w:color="auto"/>
              <w:bottom w:val="single" w:sz="12" w:space="0" w:color="auto"/>
              <w:right w:val="single" w:sz="12" w:space="0" w:color="auto"/>
            </w:tcBorders>
            <w:tcMar>
              <w:left w:w="28" w:type="dxa"/>
              <w:right w:w="28" w:type="dxa"/>
            </w:tcMar>
          </w:tcPr>
          <w:p w14:paraId="3AB65387"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7B12823F"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02650A16" w14:textId="609B0A49"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Abdel-Rahman 2018</w:t>
            </w:r>
            <w:r w:rsidRPr="002D1DD7">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 </w:instrText>
            </w:r>
            <w:r w:rsidR="003117A9">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EN.CITE.DATA </w:instrText>
            </w:r>
            <w:r w:rsidR="003117A9">
              <w:rPr>
                <w:rFonts w:eastAsia="Times New Roman" w:cs="Times New Roman"/>
                <w:sz w:val="18"/>
                <w:szCs w:val="18"/>
                <w:lang w:eastAsia="zh-CN"/>
              </w:rPr>
            </w:r>
            <w:r w:rsidR="003117A9">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78</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794099F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Renal cell</w:t>
            </w:r>
          </w:p>
        </w:tc>
        <w:tc>
          <w:tcPr>
            <w:tcW w:w="944" w:type="dxa"/>
            <w:tcBorders>
              <w:top w:val="single" w:sz="12" w:space="0" w:color="auto"/>
              <w:left w:val="single" w:sz="12" w:space="0" w:color="auto"/>
            </w:tcBorders>
            <w:shd w:val="clear" w:color="auto" w:fill="auto"/>
            <w:tcMar>
              <w:left w:w="28" w:type="dxa"/>
              <w:right w:w="28" w:type="dxa"/>
            </w:tcMar>
            <w:hideMark/>
          </w:tcPr>
          <w:p w14:paraId="3E5FD733"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7DCFA61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222426D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5FF2AF1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top w:val="single" w:sz="12" w:space="0" w:color="auto"/>
              <w:right w:val="single" w:sz="12" w:space="0" w:color="auto"/>
            </w:tcBorders>
            <w:shd w:val="clear" w:color="auto" w:fill="auto"/>
            <w:tcMar>
              <w:left w:w="28" w:type="dxa"/>
              <w:right w:w="28" w:type="dxa"/>
            </w:tcMar>
            <w:hideMark/>
          </w:tcPr>
          <w:p w14:paraId="7C33EC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752" w:type="dxa"/>
            <w:tcBorders>
              <w:top w:val="single" w:sz="12" w:space="0" w:color="auto"/>
              <w:left w:val="single" w:sz="12" w:space="0" w:color="auto"/>
            </w:tcBorders>
            <w:shd w:val="clear" w:color="auto" w:fill="auto"/>
            <w:tcMar>
              <w:left w:w="28" w:type="dxa"/>
              <w:right w:w="28" w:type="dxa"/>
            </w:tcMar>
            <w:hideMark/>
          </w:tcPr>
          <w:p w14:paraId="6F145B2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4</w:t>
            </w:r>
          </w:p>
        </w:tc>
        <w:tc>
          <w:tcPr>
            <w:tcW w:w="755" w:type="dxa"/>
            <w:tcBorders>
              <w:top w:val="single" w:sz="12" w:space="0" w:color="auto"/>
              <w:right w:val="single" w:sz="12" w:space="0" w:color="auto"/>
            </w:tcBorders>
            <w:shd w:val="clear" w:color="auto" w:fill="auto"/>
            <w:tcMar>
              <w:left w:w="28" w:type="dxa"/>
              <w:right w:w="28" w:type="dxa"/>
            </w:tcMar>
            <w:hideMark/>
          </w:tcPr>
          <w:p w14:paraId="7AFA673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1093</w:t>
            </w:r>
          </w:p>
        </w:tc>
        <w:tc>
          <w:tcPr>
            <w:tcW w:w="581" w:type="dxa"/>
            <w:tcBorders>
              <w:top w:val="single" w:sz="12" w:space="0" w:color="auto"/>
              <w:left w:val="single" w:sz="12" w:space="0" w:color="auto"/>
            </w:tcBorders>
            <w:shd w:val="clear" w:color="auto" w:fill="auto"/>
            <w:tcMar>
              <w:left w:w="28" w:type="dxa"/>
              <w:right w:w="28" w:type="dxa"/>
            </w:tcMar>
            <w:hideMark/>
          </w:tcPr>
          <w:p w14:paraId="7355DCA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top w:val="single" w:sz="12" w:space="0" w:color="auto"/>
            </w:tcBorders>
            <w:shd w:val="clear" w:color="auto" w:fill="auto"/>
            <w:tcMar>
              <w:left w:w="28" w:type="dxa"/>
              <w:right w:w="28" w:type="dxa"/>
            </w:tcMar>
            <w:hideMark/>
          </w:tcPr>
          <w:p w14:paraId="3FFDE2E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2017</w:t>
            </w:r>
          </w:p>
        </w:tc>
        <w:tc>
          <w:tcPr>
            <w:tcW w:w="466" w:type="dxa"/>
            <w:tcBorders>
              <w:top w:val="single" w:sz="12" w:space="0" w:color="auto"/>
            </w:tcBorders>
            <w:shd w:val="clear" w:color="auto" w:fill="auto"/>
            <w:tcMar>
              <w:left w:w="28" w:type="dxa"/>
              <w:right w:w="28" w:type="dxa"/>
            </w:tcMar>
            <w:hideMark/>
          </w:tcPr>
          <w:p w14:paraId="09F5BC3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334241B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w:t>
            </w:r>
          </w:p>
        </w:tc>
        <w:tc>
          <w:tcPr>
            <w:tcW w:w="976" w:type="dxa"/>
            <w:tcBorders>
              <w:top w:val="single" w:sz="12" w:space="0" w:color="auto"/>
              <w:left w:val="single" w:sz="12" w:space="0" w:color="auto"/>
              <w:right w:val="single" w:sz="6" w:space="0" w:color="auto"/>
            </w:tcBorders>
            <w:tcMar>
              <w:left w:w="28" w:type="dxa"/>
              <w:right w:w="28" w:type="dxa"/>
            </w:tcMar>
          </w:tcPr>
          <w:p w14:paraId="0FE05BC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910" w:type="dxa"/>
            <w:tcBorders>
              <w:top w:val="single" w:sz="12" w:space="0" w:color="auto"/>
              <w:left w:val="single" w:sz="6" w:space="0" w:color="auto"/>
            </w:tcBorders>
            <w:tcMar>
              <w:left w:w="28" w:type="dxa"/>
              <w:right w:w="28" w:type="dxa"/>
            </w:tcMar>
          </w:tcPr>
          <w:p w14:paraId="2D2EC282" w14:textId="77777777" w:rsidR="002E26FD" w:rsidRPr="002D1DD7" w:rsidRDefault="002E26FD" w:rsidP="003117A9">
            <w:pPr>
              <w:spacing w:before="0" w:after="0" w:line="240" w:lineRule="auto"/>
              <w:rPr>
                <w:rFonts w:eastAsia="Times New Roman" w:cs="Times New Roman"/>
                <w:sz w:val="18"/>
                <w:szCs w:val="18"/>
                <w:lang w:eastAsia="zh-CN"/>
              </w:rPr>
            </w:pPr>
          </w:p>
        </w:tc>
        <w:tc>
          <w:tcPr>
            <w:tcW w:w="742" w:type="dxa"/>
            <w:tcBorders>
              <w:top w:val="single" w:sz="12" w:space="0" w:color="auto"/>
              <w:right w:val="single" w:sz="12" w:space="0" w:color="auto"/>
            </w:tcBorders>
            <w:tcMar>
              <w:left w:w="28" w:type="dxa"/>
              <w:right w:w="28" w:type="dxa"/>
            </w:tcMar>
          </w:tcPr>
          <w:p w14:paraId="75E8B271"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1ED35390"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101BABFE" w14:textId="0EADC9AC"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lastRenderedPageBreak/>
              <w:t>Delea 2012</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&lt;EndNote&gt;&lt;Cite&gt;&lt;Author&gt;Delea&lt;/Author&gt;&lt;Year&gt;2012&lt;/Year&gt;&lt;RecNum&gt;633&lt;/RecNum&gt;&lt;IDText&gt;$$include full text KC&amp;#xD;$$From Haslam (ref 81)&lt;/IDText&gt;&lt;DisplayText&gt;&lt;style face="superscript"&gt;92&lt;/style&gt;&lt;/DisplayText&gt;&lt;record&gt;&lt;rec-number&gt;633&lt;/rec-number&gt;&lt;foreign-keys&gt;&lt;key app="EN" db-id="dwaevxvazfs2f3ewvzmxrd0k0wasw55p2z2w" timestamp="1557310629"&gt;633&lt;/key&gt;&lt;/foreign-keys&gt;&lt;ref-type name="Journal Article"&gt;17&lt;/ref-type&gt;&lt;contributors&gt;&lt;authors&gt;&lt;author&gt;Delea, T. E.&lt;/author&gt;&lt;author&gt;Khuu, A.&lt;/author&gt;&lt;author&gt;Heng, D. Y. C.&lt;/author&gt;&lt;author&gt;Haas, T.&lt;/author&gt;&lt;author&gt;Soulieres, D.&lt;/author&gt;&lt;/authors&gt;&lt;/contributors&gt;&lt;titles&gt;&lt;title&gt;Association between treatment effects on disease progression end points and overall survival in clinical studies of patients with metastatic renal cell carcinoma&lt;/title&gt;&lt;secondary-title&gt;British Journal of Cancer&lt;/secondary-title&gt;&lt;/titles&gt;&lt;periodical&gt;&lt;full-title&gt;British Journal of Cancer&lt;/full-title&gt;&lt;abbr-1&gt;Br J Cancer&lt;/abbr-1&gt;&lt;/periodical&gt;&lt;pages&gt;1059-1068&lt;/pages&gt;&lt;volume&gt;107&lt;/volume&gt;&lt;number&gt;7&lt;/number&gt;&lt;keywords&gt;&lt;keyword&gt;$$include abstract KC&lt;/keyword&gt;&lt;keyword&gt;$$Broad search&lt;/keyword&gt;&lt;/keywords&gt;&lt;dates&gt;&lt;year&gt;2012&lt;/year&gt;&lt;pub-dates&gt;&lt;date&gt;Sep&lt;/date&gt;&lt;/pub-dates&gt;&lt;/dates&gt;&lt;isbn&gt;0007-0920&lt;/isbn&gt;&lt;accession-num&gt;WOS:000309540800009&lt;/accession-num&gt;&lt;label&gt;$$include full text KC&amp;#xD;$$From Haslam (ref 81)&lt;/label&gt;&lt;urls&gt;&lt;/urls&gt;&lt;electronic-resource-num&gt;10.1038/bjc.2012.367&lt;/electronic-resource-num&gt;&lt;research-notes&gt;&lt;style face="underline" font="default" size="100%"&gt;&amp;lt;Go to ISI&amp;gt;://WOS:000309540800009&lt;/style&gt;&lt;/research-notes&gt;&lt;/record&gt;&lt;/Cite&gt;&lt;/EndNote&gt;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92</w:t>
            </w:r>
            <w:r w:rsidRPr="002D1DD7">
              <w:rPr>
                <w:rFonts w:eastAsia="Times New Roman" w:cs="Times New Roman"/>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0A1E18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Renal cell</w:t>
            </w:r>
          </w:p>
        </w:tc>
        <w:tc>
          <w:tcPr>
            <w:tcW w:w="944" w:type="dxa"/>
            <w:tcBorders>
              <w:left w:val="single" w:sz="12" w:space="0" w:color="auto"/>
            </w:tcBorders>
            <w:shd w:val="clear" w:color="auto" w:fill="auto"/>
            <w:tcMar>
              <w:left w:w="28" w:type="dxa"/>
              <w:right w:w="28" w:type="dxa"/>
            </w:tcMar>
            <w:hideMark/>
          </w:tcPr>
          <w:p w14:paraId="2D56B37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7230B75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51F7A61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shd w:val="clear" w:color="auto" w:fill="auto"/>
            <w:tcMar>
              <w:left w:w="28" w:type="dxa"/>
              <w:right w:w="28" w:type="dxa"/>
            </w:tcMar>
            <w:hideMark/>
          </w:tcPr>
          <w:p w14:paraId="24AC378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7DDBB24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Cytokine or targeted</w:t>
            </w:r>
          </w:p>
        </w:tc>
        <w:tc>
          <w:tcPr>
            <w:tcW w:w="752" w:type="dxa"/>
            <w:tcBorders>
              <w:left w:val="single" w:sz="12" w:space="0" w:color="auto"/>
            </w:tcBorders>
            <w:shd w:val="clear" w:color="auto" w:fill="auto"/>
            <w:tcMar>
              <w:left w:w="28" w:type="dxa"/>
              <w:right w:w="28" w:type="dxa"/>
            </w:tcMar>
            <w:hideMark/>
          </w:tcPr>
          <w:p w14:paraId="70522A8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25*</w:t>
            </w:r>
          </w:p>
        </w:tc>
        <w:tc>
          <w:tcPr>
            <w:tcW w:w="755" w:type="dxa"/>
            <w:tcBorders>
              <w:right w:val="single" w:sz="12" w:space="0" w:color="auto"/>
            </w:tcBorders>
            <w:shd w:val="clear" w:color="auto" w:fill="auto"/>
            <w:tcMar>
              <w:left w:w="28" w:type="dxa"/>
              <w:right w:w="28" w:type="dxa"/>
            </w:tcMar>
            <w:hideMark/>
          </w:tcPr>
          <w:p w14:paraId="1B36387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10943</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0A20E25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shd w:val="clear" w:color="auto" w:fill="auto"/>
            <w:tcMar>
              <w:left w:w="28" w:type="dxa"/>
              <w:right w:w="28" w:type="dxa"/>
            </w:tcMar>
            <w:hideMark/>
          </w:tcPr>
          <w:p w14:paraId="2A988E9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1997-2010</w:t>
            </w:r>
          </w:p>
        </w:tc>
        <w:tc>
          <w:tcPr>
            <w:tcW w:w="466" w:type="dxa"/>
            <w:shd w:val="clear" w:color="auto" w:fill="auto"/>
            <w:tcMar>
              <w:left w:w="28" w:type="dxa"/>
              <w:right w:w="28" w:type="dxa"/>
            </w:tcMar>
            <w:hideMark/>
          </w:tcPr>
          <w:p w14:paraId="39A2B59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21CEB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1A871796"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4BA0A8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6D6D8D51"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78C36E1"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2C398DF6" w14:textId="7803861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Petrelli 2013</w:t>
            </w:r>
            <w:r w:rsidRPr="002D1DD7">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123</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3707D7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Renal cell</w:t>
            </w:r>
          </w:p>
        </w:tc>
        <w:tc>
          <w:tcPr>
            <w:tcW w:w="944" w:type="dxa"/>
            <w:tcBorders>
              <w:left w:val="single" w:sz="12" w:space="0" w:color="auto"/>
              <w:bottom w:val="single" w:sz="12" w:space="0" w:color="auto"/>
            </w:tcBorders>
            <w:shd w:val="clear" w:color="auto" w:fill="auto"/>
            <w:tcMar>
              <w:left w:w="28" w:type="dxa"/>
              <w:right w:w="28" w:type="dxa"/>
            </w:tcMar>
            <w:hideMark/>
          </w:tcPr>
          <w:p w14:paraId="42D9BDF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365A89E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4A69011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395C971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Metastatic</w:t>
            </w:r>
          </w:p>
        </w:tc>
        <w:tc>
          <w:tcPr>
            <w:tcW w:w="992" w:type="dxa"/>
            <w:tcBorders>
              <w:bottom w:val="single" w:sz="12" w:space="0" w:color="auto"/>
            </w:tcBorders>
            <w:shd w:val="clear" w:color="auto" w:fill="auto"/>
            <w:tcMar>
              <w:left w:w="28" w:type="dxa"/>
              <w:right w:w="28" w:type="dxa"/>
            </w:tcMar>
            <w:hideMark/>
          </w:tcPr>
          <w:p w14:paraId="301D3A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280" w:type="dxa"/>
            <w:tcBorders>
              <w:bottom w:val="single" w:sz="12" w:space="0" w:color="auto"/>
              <w:right w:val="single" w:sz="12" w:space="0" w:color="auto"/>
            </w:tcBorders>
            <w:shd w:val="clear" w:color="auto" w:fill="auto"/>
            <w:tcMar>
              <w:left w:w="28" w:type="dxa"/>
              <w:right w:w="28" w:type="dxa"/>
            </w:tcMar>
            <w:hideMark/>
          </w:tcPr>
          <w:p w14:paraId="6C4F99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752" w:type="dxa"/>
            <w:tcBorders>
              <w:left w:val="single" w:sz="12" w:space="0" w:color="auto"/>
              <w:bottom w:val="single" w:sz="12" w:space="0" w:color="auto"/>
            </w:tcBorders>
            <w:shd w:val="clear" w:color="auto" w:fill="auto"/>
            <w:tcMar>
              <w:left w:w="28" w:type="dxa"/>
              <w:right w:w="28" w:type="dxa"/>
            </w:tcMar>
            <w:hideMark/>
          </w:tcPr>
          <w:p w14:paraId="44D34D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r w:rsidRPr="002D1DD7">
              <w:rPr>
                <w:rFonts w:eastAsia="Times New Roman" w:cs="Times New Roman"/>
                <w:color w:val="000000"/>
                <w:sz w:val="18"/>
                <w:szCs w:val="18"/>
                <w:vertAlign w:val="superscript"/>
                <w:lang w:eastAsia="zh-CN"/>
              </w:rPr>
              <w:t>†</w:t>
            </w:r>
          </w:p>
        </w:tc>
        <w:tc>
          <w:tcPr>
            <w:tcW w:w="755" w:type="dxa"/>
            <w:tcBorders>
              <w:bottom w:val="single" w:sz="12" w:space="0" w:color="auto"/>
              <w:right w:val="single" w:sz="12" w:space="0" w:color="auto"/>
            </w:tcBorders>
            <w:shd w:val="clear" w:color="auto" w:fill="auto"/>
            <w:tcMar>
              <w:left w:w="28" w:type="dxa"/>
              <w:right w:w="28" w:type="dxa"/>
            </w:tcMar>
            <w:hideMark/>
          </w:tcPr>
          <w:p w14:paraId="794BA3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3188</w:t>
            </w:r>
            <w:r w:rsidRPr="002D1DD7">
              <w:rPr>
                <w:rFonts w:eastAsia="Times New Roman" w:cs="Times New Roman"/>
                <w:color w:val="000000"/>
                <w:sz w:val="18"/>
                <w:szCs w:val="18"/>
                <w:vertAlign w:val="superscript"/>
                <w:lang w:eastAsia="zh-CN"/>
              </w:rPr>
              <w:t>†</w:t>
            </w:r>
          </w:p>
        </w:tc>
        <w:tc>
          <w:tcPr>
            <w:tcW w:w="581" w:type="dxa"/>
            <w:tcBorders>
              <w:left w:val="single" w:sz="12" w:space="0" w:color="auto"/>
              <w:bottom w:val="single" w:sz="12" w:space="0" w:color="auto"/>
            </w:tcBorders>
            <w:shd w:val="clear" w:color="auto" w:fill="auto"/>
            <w:tcMar>
              <w:left w:w="28" w:type="dxa"/>
              <w:right w:w="28" w:type="dxa"/>
            </w:tcMar>
            <w:hideMark/>
          </w:tcPr>
          <w:p w14:paraId="65BEFC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6ADAC2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2011</w:t>
            </w:r>
          </w:p>
        </w:tc>
        <w:tc>
          <w:tcPr>
            <w:tcW w:w="466" w:type="dxa"/>
            <w:tcBorders>
              <w:bottom w:val="single" w:sz="12" w:space="0" w:color="auto"/>
            </w:tcBorders>
            <w:shd w:val="clear" w:color="auto" w:fill="auto"/>
            <w:tcMar>
              <w:left w:w="28" w:type="dxa"/>
              <w:right w:w="28" w:type="dxa"/>
            </w:tcMar>
            <w:hideMark/>
          </w:tcPr>
          <w:p w14:paraId="6567334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432810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73053E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bottom w:val="single" w:sz="12" w:space="0" w:color="auto"/>
            </w:tcBorders>
            <w:tcMar>
              <w:left w:w="28" w:type="dxa"/>
              <w:right w:w="28" w:type="dxa"/>
            </w:tcMar>
          </w:tcPr>
          <w:p w14:paraId="2B3E4B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bottom w:val="single" w:sz="12" w:space="0" w:color="auto"/>
              <w:right w:val="single" w:sz="12" w:space="0" w:color="auto"/>
            </w:tcBorders>
            <w:tcMar>
              <w:left w:w="28" w:type="dxa"/>
              <w:right w:w="28" w:type="dxa"/>
            </w:tcMar>
          </w:tcPr>
          <w:p w14:paraId="0FE3F720"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6829C106"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19222EAE" w14:textId="01A74DB0"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Tanaka 2019</w:t>
            </w:r>
            <w:r w:rsidRPr="002D1DD7">
              <w:rPr>
                <w:rFonts w:eastAsia="Times New Roman" w:cs="Times New Roman"/>
                <w:color w:val="000000"/>
                <w:sz w:val="18"/>
                <w:szCs w:val="18"/>
                <w:lang w:eastAsia="zh-CN"/>
              </w:rPr>
              <w:fldChar w:fldCharType="begin"/>
            </w:r>
            <w:r w:rsidR="00054FE8">
              <w:rPr>
                <w:rFonts w:eastAsia="Times New Roman" w:cs="Times New Roman"/>
                <w:color w:val="000000"/>
                <w:sz w:val="18"/>
                <w:szCs w:val="18"/>
                <w:lang w:eastAsia="zh-CN"/>
              </w:rPr>
              <w:instrText xml:space="preserve"> ADDIN EN.CITE &lt;EndNote&gt;&lt;Cite&gt;&lt;Author&gt;Tanaka&lt;/Author&gt;&lt;Year&gt;2019&lt;/Year&gt;&lt;RecNum&gt;2902&lt;/RecNum&gt;&lt;IDText&gt;$$include full text PT&lt;/IDText&gt;&lt;DisplayText&gt;&lt;style face="superscript"&gt;134&lt;/style&gt;&lt;/DisplayText&gt;&lt;record&gt;&lt;rec-number&gt;2902&lt;/rec-number&gt;&lt;foreign-keys&gt;&lt;key app="EN" db-id="dwaevxvazfs2f3ewvzmxrd0k0wasw55p2z2w" timestamp="1557311070"&gt;2902&lt;/key&gt;&lt;/foreign-keys&gt;&lt;ref-type name="Journal Article"&gt;17&lt;/ref-type&gt;&lt;contributors&gt;&lt;authors&gt;&lt;author&gt;Tanaka, K.&lt;/author&gt;&lt;author&gt;Kawano, M.&lt;/author&gt;&lt;author&gt;Iwasaki, T.&lt;/author&gt;&lt;author&gt;Itonaga, I.&lt;/author&gt;&lt;author&gt;Tsumura, H.&lt;/author&gt;&lt;/authors&gt;&lt;/contributors&gt;&lt;titles&gt;&lt;title&gt;Surrogacy of intermediate endpoints for overall survival in randomized controlled trials of first-line treatment for advanced soft tissue sarcoma in the pre- and post-pazopanib era: A meta-analytic evaluation&lt;/title&gt;&lt;secondary-title&gt;BMC Cancer&lt;/secondary-title&gt;&lt;/titles&gt;&lt;periodical&gt;&lt;full-title&gt;BMC CANCER&lt;/full-title&gt;&lt;abbr-1&gt;BMC Cancer&lt;/abbr-1&gt;&lt;/periodical&gt;&lt;volume&gt;19 (1)&lt;/volume&gt;&lt;number&gt;56&lt;/number&gt;&lt;keywords&gt;&lt;keyword&gt;$$include abstract PT&lt;/keyword&gt;&lt;keyword&gt;$$Broad search $$Citation search&lt;/keyword&gt;&lt;/keywords&gt;&lt;dates&gt;&lt;year&gt;2019&lt;/year&gt;&lt;pub-dates&gt;&lt;date&gt;11 Jan&lt;/date&gt;&lt;/pub-dates&gt;&lt;/dates&gt;&lt;label&gt;$$include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size="100%"&gt;http://ovidsp.ovid.com/ovidweb.cgi?T=JS&amp;amp;CSC=Y&amp;amp;NEWS=N&amp;amp;PAGE=fulltext&amp;amp;D=emexb&amp;amp;AN=625859009&lt;/style&gt;&lt;/research-notes&gt;&lt;/record&gt;&lt;/Cite&gt;&lt;/EndNote&gt;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134</w:t>
            </w:r>
            <w:r w:rsidRPr="002D1DD7">
              <w:rPr>
                <w:rFonts w:eastAsia="Times New Roman" w:cs="Times New Roman"/>
                <w:color w:val="000000"/>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4F6593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Soft tissue sarcoma</w:t>
            </w:r>
          </w:p>
        </w:tc>
        <w:tc>
          <w:tcPr>
            <w:tcW w:w="944" w:type="dxa"/>
            <w:tcBorders>
              <w:top w:val="single" w:sz="12" w:space="0" w:color="auto"/>
              <w:left w:val="single" w:sz="12" w:space="0" w:color="auto"/>
            </w:tcBorders>
            <w:shd w:val="clear" w:color="auto" w:fill="auto"/>
            <w:tcMar>
              <w:left w:w="28" w:type="dxa"/>
              <w:right w:w="28" w:type="dxa"/>
            </w:tcMar>
            <w:hideMark/>
          </w:tcPr>
          <w:p w14:paraId="06EB3565"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086C071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33579A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42BF8E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280" w:type="dxa"/>
            <w:tcBorders>
              <w:top w:val="single" w:sz="12" w:space="0" w:color="auto"/>
              <w:right w:val="single" w:sz="12" w:space="0" w:color="auto"/>
            </w:tcBorders>
            <w:shd w:val="clear" w:color="auto" w:fill="auto"/>
            <w:tcMar>
              <w:left w:w="28" w:type="dxa"/>
              <w:right w:w="28" w:type="dxa"/>
            </w:tcMar>
            <w:hideMark/>
          </w:tcPr>
          <w:p w14:paraId="49BCEB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752" w:type="dxa"/>
            <w:tcBorders>
              <w:top w:val="single" w:sz="12" w:space="0" w:color="auto"/>
              <w:left w:val="single" w:sz="12" w:space="0" w:color="auto"/>
            </w:tcBorders>
            <w:shd w:val="clear" w:color="auto" w:fill="auto"/>
            <w:tcMar>
              <w:left w:w="28" w:type="dxa"/>
              <w:right w:w="28" w:type="dxa"/>
            </w:tcMar>
            <w:hideMark/>
          </w:tcPr>
          <w:p w14:paraId="6FB0A5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27</w:t>
            </w:r>
            <w:r w:rsidRPr="002D1DD7">
              <w:rPr>
                <w:rFonts w:eastAsia="Times New Roman" w:cs="Times New Roman"/>
                <w:color w:val="000000"/>
                <w:sz w:val="18"/>
                <w:szCs w:val="18"/>
                <w:vertAlign w:val="superscript"/>
                <w:lang w:eastAsia="zh-CN"/>
              </w:rPr>
              <w:t>†</w:t>
            </w:r>
          </w:p>
        </w:tc>
        <w:tc>
          <w:tcPr>
            <w:tcW w:w="755" w:type="dxa"/>
            <w:tcBorders>
              <w:top w:val="single" w:sz="12" w:space="0" w:color="auto"/>
              <w:right w:val="single" w:sz="12" w:space="0" w:color="auto"/>
            </w:tcBorders>
            <w:shd w:val="clear" w:color="auto" w:fill="auto"/>
            <w:tcMar>
              <w:left w:w="28" w:type="dxa"/>
              <w:right w:w="28" w:type="dxa"/>
            </w:tcMar>
            <w:hideMark/>
          </w:tcPr>
          <w:p w14:paraId="66C8CA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6156</w:t>
            </w:r>
            <w:r w:rsidRPr="002D1DD7">
              <w:rPr>
                <w:rFonts w:eastAsia="Times New Roman" w:cs="Times New Roman"/>
                <w:color w:val="000000"/>
                <w:sz w:val="18"/>
                <w:szCs w:val="18"/>
                <w:vertAlign w:val="superscript"/>
                <w:lang w:eastAsia="zh-CN"/>
              </w:rPr>
              <w:t>†</w:t>
            </w:r>
          </w:p>
        </w:tc>
        <w:tc>
          <w:tcPr>
            <w:tcW w:w="581" w:type="dxa"/>
            <w:tcBorders>
              <w:top w:val="single" w:sz="12" w:space="0" w:color="auto"/>
              <w:left w:val="single" w:sz="12" w:space="0" w:color="auto"/>
            </w:tcBorders>
            <w:shd w:val="clear" w:color="auto" w:fill="auto"/>
            <w:tcMar>
              <w:left w:w="28" w:type="dxa"/>
              <w:right w:w="28" w:type="dxa"/>
            </w:tcMar>
            <w:hideMark/>
          </w:tcPr>
          <w:p w14:paraId="401DDA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544CFE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1974 to 2017</w:t>
            </w:r>
          </w:p>
        </w:tc>
        <w:tc>
          <w:tcPr>
            <w:tcW w:w="466" w:type="dxa"/>
            <w:tcBorders>
              <w:top w:val="single" w:sz="12" w:space="0" w:color="auto"/>
            </w:tcBorders>
            <w:shd w:val="clear" w:color="auto" w:fill="auto"/>
            <w:tcMar>
              <w:left w:w="28" w:type="dxa"/>
              <w:right w:w="28" w:type="dxa"/>
            </w:tcMar>
            <w:hideMark/>
          </w:tcPr>
          <w:p w14:paraId="28C609D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5073C2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top w:val="single" w:sz="12" w:space="0" w:color="auto"/>
              <w:left w:val="single" w:sz="12" w:space="0" w:color="auto"/>
              <w:right w:val="single" w:sz="6" w:space="0" w:color="auto"/>
            </w:tcBorders>
            <w:tcMar>
              <w:left w:w="28" w:type="dxa"/>
              <w:right w:w="28" w:type="dxa"/>
            </w:tcMar>
          </w:tcPr>
          <w:p w14:paraId="03FFB38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top w:val="single" w:sz="12" w:space="0" w:color="auto"/>
              <w:left w:val="single" w:sz="6" w:space="0" w:color="auto"/>
            </w:tcBorders>
            <w:tcMar>
              <w:left w:w="28" w:type="dxa"/>
              <w:right w:w="28" w:type="dxa"/>
            </w:tcMar>
          </w:tcPr>
          <w:p w14:paraId="0396E5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top w:val="single" w:sz="12" w:space="0" w:color="auto"/>
              <w:right w:val="single" w:sz="12" w:space="0" w:color="auto"/>
            </w:tcBorders>
            <w:tcMar>
              <w:left w:w="28" w:type="dxa"/>
              <w:right w:w="28" w:type="dxa"/>
            </w:tcMar>
          </w:tcPr>
          <w:p w14:paraId="4EE5FD0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C1395EB"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24DEF333" w14:textId="00C2EE5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Zer 2016</w:t>
            </w:r>
            <w:r w:rsidRPr="002D1DD7">
              <w:rPr>
                <w:rFonts w:eastAsia="Times New Roman" w:cs="Times New Roman"/>
                <w:color w:val="000000"/>
                <w:sz w:val="18"/>
                <w:szCs w:val="18"/>
                <w:lang w:eastAsia="zh-CN"/>
              </w:rPr>
              <w:fldChar w:fldCharType="begin">
                <w:fldData xml:space="preserve">PEVuZE5vdGU+PENpdGU+PEF1dGhvcj5aZXI8L0F1dGhvcj48WWVhcj4yMDE2PC9ZZWFyPjxSZWNO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PVkmYW1wO05FV1M9TiZhbXA7UEFHRT1mdWxsdGV4dCZhbXA7RD1tZWQxMiZhbXA7QU49MjY5NTEz
MDg8L3N0eWxlPjxzdHlsZSBmYWNlPSJub3JtYWwiIGZvbnQ9ImRlZmF1bHQiIHNpemU9IjEwMCUi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aWQ9cG1pZDoyNjk1MTMwOCZhbXA7aWQ9ZG9pOjEwLjEyMDAlMkZKQ08uMjAxNS42NC4zNDM3JmFt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PEVuZE5vdGU+PENpdGU+PEF1dGhvcj5aZXI8L0F1dGhvcj48WWVhcj4yMDE2PC9ZZWFyPjxSZWNO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PVkmYW1wO05FV1M9TiZhbXA7UEFHRT1mdWxsdGV4dCZhbXA7RD1tZWQxMiZhbXA7QU49MjY5NTEz
MDg8L3N0eWxlPjxzdHlsZSBmYWNlPSJub3JtYWwiIGZvbnQ9ImRlZmF1bHQiIHNpemU9IjEwMCUi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aWQ9cG1pZDoyNjk1MTMwOCZhbXA7aWQ9ZG9pOjEwLjEyMDAlMkZKQ08uMjAxNS42NC4zNDM3JmFt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140</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1824B4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Soft tissue sarcoma</w:t>
            </w:r>
          </w:p>
        </w:tc>
        <w:tc>
          <w:tcPr>
            <w:tcW w:w="944" w:type="dxa"/>
            <w:tcBorders>
              <w:left w:val="single" w:sz="12" w:space="0" w:color="auto"/>
              <w:bottom w:val="single" w:sz="12" w:space="0" w:color="auto"/>
            </w:tcBorders>
            <w:shd w:val="clear" w:color="auto" w:fill="auto"/>
            <w:tcMar>
              <w:left w:w="28" w:type="dxa"/>
              <w:right w:w="28" w:type="dxa"/>
            </w:tcMar>
            <w:hideMark/>
          </w:tcPr>
          <w:p w14:paraId="5322366F"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628F30B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2A4CC80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 or metastatic</w:t>
            </w:r>
          </w:p>
        </w:tc>
        <w:tc>
          <w:tcPr>
            <w:tcW w:w="992" w:type="dxa"/>
            <w:tcBorders>
              <w:bottom w:val="single" w:sz="12" w:space="0" w:color="auto"/>
            </w:tcBorders>
            <w:shd w:val="clear" w:color="auto" w:fill="auto"/>
            <w:tcMar>
              <w:left w:w="28" w:type="dxa"/>
              <w:right w:w="28" w:type="dxa"/>
            </w:tcMar>
            <w:hideMark/>
          </w:tcPr>
          <w:p w14:paraId="5EA19A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280" w:type="dxa"/>
            <w:tcBorders>
              <w:bottom w:val="single" w:sz="12" w:space="0" w:color="auto"/>
              <w:right w:val="single" w:sz="12" w:space="0" w:color="auto"/>
            </w:tcBorders>
            <w:shd w:val="clear" w:color="auto" w:fill="auto"/>
            <w:tcMar>
              <w:left w:w="28" w:type="dxa"/>
              <w:right w:w="28" w:type="dxa"/>
            </w:tcMar>
            <w:hideMark/>
          </w:tcPr>
          <w:p w14:paraId="78C1DB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752" w:type="dxa"/>
            <w:tcBorders>
              <w:left w:val="single" w:sz="12" w:space="0" w:color="auto"/>
              <w:bottom w:val="single" w:sz="12" w:space="0" w:color="auto"/>
            </w:tcBorders>
            <w:shd w:val="clear" w:color="auto" w:fill="auto"/>
            <w:tcMar>
              <w:left w:w="28" w:type="dxa"/>
              <w:right w:w="28" w:type="dxa"/>
            </w:tcMar>
            <w:hideMark/>
          </w:tcPr>
          <w:p w14:paraId="400CCB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52</w:t>
            </w:r>
            <w:r w:rsidRPr="002D1DD7">
              <w:rPr>
                <w:rFonts w:eastAsia="Times New Roman" w:cs="Times New Roman"/>
                <w:color w:val="000000"/>
                <w:sz w:val="18"/>
                <w:szCs w:val="18"/>
                <w:vertAlign w:val="superscript"/>
                <w:lang w:eastAsia="zh-CN"/>
              </w:rPr>
              <w:t>†</w:t>
            </w:r>
          </w:p>
        </w:tc>
        <w:tc>
          <w:tcPr>
            <w:tcW w:w="755" w:type="dxa"/>
            <w:tcBorders>
              <w:bottom w:val="single" w:sz="12" w:space="0" w:color="auto"/>
              <w:right w:val="single" w:sz="12" w:space="0" w:color="auto"/>
            </w:tcBorders>
            <w:shd w:val="clear" w:color="auto" w:fill="auto"/>
            <w:tcMar>
              <w:left w:w="28" w:type="dxa"/>
              <w:right w:w="28" w:type="dxa"/>
            </w:tcMar>
            <w:hideMark/>
          </w:tcPr>
          <w:p w14:paraId="45D6B0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9762</w:t>
            </w:r>
            <w:r w:rsidRPr="002D1DD7">
              <w:rPr>
                <w:rFonts w:eastAsia="Times New Roman" w:cs="Times New Roman"/>
                <w:color w:val="000000"/>
                <w:sz w:val="18"/>
                <w:szCs w:val="18"/>
                <w:vertAlign w:val="superscript"/>
                <w:lang w:eastAsia="zh-CN"/>
              </w:rPr>
              <w:t>†</w:t>
            </w:r>
          </w:p>
        </w:tc>
        <w:tc>
          <w:tcPr>
            <w:tcW w:w="581" w:type="dxa"/>
            <w:tcBorders>
              <w:left w:val="single" w:sz="12" w:space="0" w:color="auto"/>
              <w:bottom w:val="single" w:sz="12" w:space="0" w:color="auto"/>
            </w:tcBorders>
            <w:shd w:val="clear" w:color="auto" w:fill="auto"/>
            <w:tcMar>
              <w:left w:w="28" w:type="dxa"/>
              <w:right w:w="28" w:type="dxa"/>
            </w:tcMar>
            <w:hideMark/>
          </w:tcPr>
          <w:p w14:paraId="5846A4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292E9A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1974 to 2014</w:t>
            </w:r>
          </w:p>
        </w:tc>
        <w:tc>
          <w:tcPr>
            <w:tcW w:w="466" w:type="dxa"/>
            <w:tcBorders>
              <w:bottom w:val="single" w:sz="12" w:space="0" w:color="auto"/>
            </w:tcBorders>
            <w:shd w:val="clear" w:color="auto" w:fill="auto"/>
            <w:tcMar>
              <w:left w:w="28" w:type="dxa"/>
              <w:right w:w="28" w:type="dxa"/>
            </w:tcMar>
            <w:hideMark/>
          </w:tcPr>
          <w:p w14:paraId="7BF1D9F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084476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457A8AF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bottom w:val="single" w:sz="12" w:space="0" w:color="auto"/>
            </w:tcBorders>
            <w:tcMar>
              <w:left w:w="28" w:type="dxa"/>
              <w:right w:w="28" w:type="dxa"/>
            </w:tcMar>
          </w:tcPr>
          <w:p w14:paraId="0932D5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bottom w:val="single" w:sz="12" w:space="0" w:color="auto"/>
              <w:right w:val="single" w:sz="12" w:space="0" w:color="auto"/>
            </w:tcBorders>
            <w:tcMar>
              <w:left w:w="28" w:type="dxa"/>
              <w:right w:w="28" w:type="dxa"/>
            </w:tcMar>
          </w:tcPr>
          <w:p w14:paraId="7E4083F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25C138B3" w14:textId="77777777" w:rsidTr="003117A9">
        <w:trPr>
          <w:cantSplit/>
        </w:trPr>
        <w:tc>
          <w:tcPr>
            <w:tcW w:w="99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666AFD29" w14:textId="24A1A0D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Penel 2014</w:t>
            </w:r>
            <w:r w:rsidRPr="002D1DD7">
              <w:rPr>
                <w:rFonts w:eastAsia="Times New Roman" w:cs="Times New Roman"/>
                <w:color w:val="000000"/>
                <w:sz w:val="18"/>
                <w:szCs w:val="18"/>
                <w:lang w:eastAsia="zh-CN"/>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122</w:t>
            </w:r>
            <w:r w:rsidRPr="002D1DD7">
              <w:rPr>
                <w:rFonts w:eastAsia="Times New Roman" w:cs="Times New Roman"/>
                <w:color w:val="000000"/>
                <w:sz w:val="18"/>
                <w:szCs w:val="18"/>
                <w:lang w:eastAsia="zh-CN"/>
              </w:rPr>
              <w:fldChar w:fldCharType="end"/>
            </w:r>
          </w:p>
        </w:tc>
        <w:tc>
          <w:tcPr>
            <w:tcW w:w="113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317EEE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Unknown primary</w:t>
            </w:r>
          </w:p>
        </w:tc>
        <w:tc>
          <w:tcPr>
            <w:tcW w:w="944" w:type="dxa"/>
            <w:tcBorders>
              <w:top w:val="single" w:sz="12" w:space="0" w:color="auto"/>
              <w:left w:val="single" w:sz="12" w:space="0" w:color="auto"/>
              <w:bottom w:val="single" w:sz="12" w:space="0" w:color="auto"/>
            </w:tcBorders>
            <w:shd w:val="clear" w:color="auto" w:fill="auto"/>
            <w:tcMar>
              <w:left w:w="28" w:type="dxa"/>
              <w:right w:w="28" w:type="dxa"/>
            </w:tcMar>
            <w:hideMark/>
          </w:tcPr>
          <w:p w14:paraId="6D9DFCA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0F3971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7BF8658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bottom w:val="single" w:sz="12" w:space="0" w:color="auto"/>
            </w:tcBorders>
            <w:shd w:val="clear" w:color="auto" w:fill="auto"/>
            <w:tcMar>
              <w:left w:w="28" w:type="dxa"/>
              <w:right w:w="28" w:type="dxa"/>
            </w:tcMar>
            <w:hideMark/>
          </w:tcPr>
          <w:p w14:paraId="035C0F3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tcBorders>
              <w:top w:val="single" w:sz="12" w:space="0" w:color="auto"/>
              <w:bottom w:val="single" w:sz="12" w:space="0" w:color="auto"/>
            </w:tcBorders>
            <w:shd w:val="clear" w:color="auto" w:fill="auto"/>
            <w:tcMar>
              <w:left w:w="28" w:type="dxa"/>
              <w:right w:w="28" w:type="dxa"/>
            </w:tcMar>
            <w:hideMark/>
          </w:tcPr>
          <w:p w14:paraId="7DC162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top w:val="single" w:sz="12" w:space="0" w:color="auto"/>
              <w:bottom w:val="single" w:sz="12" w:space="0" w:color="auto"/>
              <w:right w:val="single" w:sz="12" w:space="0" w:color="auto"/>
            </w:tcBorders>
            <w:shd w:val="clear" w:color="auto" w:fill="auto"/>
            <w:tcMar>
              <w:left w:w="28" w:type="dxa"/>
              <w:right w:w="28" w:type="dxa"/>
            </w:tcMar>
            <w:hideMark/>
          </w:tcPr>
          <w:p w14:paraId="7EE578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52" w:type="dxa"/>
            <w:tcBorders>
              <w:top w:val="single" w:sz="12" w:space="0" w:color="auto"/>
              <w:left w:val="single" w:sz="12" w:space="0" w:color="auto"/>
              <w:bottom w:val="single" w:sz="12" w:space="0" w:color="auto"/>
            </w:tcBorders>
            <w:shd w:val="clear" w:color="auto" w:fill="auto"/>
            <w:tcMar>
              <w:left w:w="28" w:type="dxa"/>
              <w:right w:w="28" w:type="dxa"/>
            </w:tcMar>
            <w:hideMark/>
          </w:tcPr>
          <w:p w14:paraId="443A33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38</w:t>
            </w:r>
            <w:r w:rsidRPr="002D1DD7">
              <w:rPr>
                <w:rFonts w:eastAsia="Times New Roman" w:cs="Times New Roman"/>
                <w:color w:val="000000"/>
                <w:sz w:val="18"/>
                <w:szCs w:val="18"/>
                <w:vertAlign w:val="superscript"/>
                <w:lang w:eastAsia="zh-CN"/>
              </w:rPr>
              <w:t>†</w:t>
            </w:r>
          </w:p>
        </w:tc>
        <w:tc>
          <w:tcPr>
            <w:tcW w:w="755" w:type="dxa"/>
            <w:tcBorders>
              <w:top w:val="single" w:sz="12" w:space="0" w:color="auto"/>
              <w:bottom w:val="single" w:sz="12" w:space="0" w:color="auto"/>
              <w:right w:val="single" w:sz="12" w:space="0" w:color="auto"/>
            </w:tcBorders>
            <w:shd w:val="clear" w:color="auto" w:fill="auto"/>
            <w:tcMar>
              <w:left w:w="28" w:type="dxa"/>
              <w:right w:w="28" w:type="dxa"/>
            </w:tcMar>
            <w:hideMark/>
          </w:tcPr>
          <w:p w14:paraId="07D4C8A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top w:val="single" w:sz="12" w:space="0" w:color="auto"/>
              <w:left w:val="single" w:sz="12" w:space="0" w:color="auto"/>
              <w:bottom w:val="single" w:sz="12" w:space="0" w:color="auto"/>
            </w:tcBorders>
            <w:shd w:val="clear" w:color="auto" w:fill="auto"/>
            <w:tcMar>
              <w:left w:w="28" w:type="dxa"/>
              <w:right w:w="28" w:type="dxa"/>
            </w:tcMar>
            <w:hideMark/>
          </w:tcPr>
          <w:p w14:paraId="09235F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SA</w:t>
            </w:r>
          </w:p>
        </w:tc>
        <w:tc>
          <w:tcPr>
            <w:tcW w:w="1168" w:type="dxa"/>
            <w:tcBorders>
              <w:top w:val="single" w:sz="12" w:space="0" w:color="auto"/>
              <w:bottom w:val="single" w:sz="12" w:space="0" w:color="auto"/>
            </w:tcBorders>
            <w:shd w:val="clear" w:color="auto" w:fill="auto"/>
            <w:tcMar>
              <w:left w:w="28" w:type="dxa"/>
              <w:right w:w="28" w:type="dxa"/>
            </w:tcMar>
            <w:hideMark/>
          </w:tcPr>
          <w:p w14:paraId="2D0162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1997 to 2011</w:t>
            </w:r>
          </w:p>
        </w:tc>
        <w:tc>
          <w:tcPr>
            <w:tcW w:w="466" w:type="dxa"/>
            <w:tcBorders>
              <w:top w:val="single" w:sz="12" w:space="0" w:color="auto"/>
              <w:bottom w:val="single" w:sz="12" w:space="0" w:color="auto"/>
            </w:tcBorders>
            <w:shd w:val="clear" w:color="auto" w:fill="auto"/>
            <w:tcMar>
              <w:left w:w="28" w:type="dxa"/>
              <w:right w:w="28" w:type="dxa"/>
            </w:tcMar>
            <w:hideMark/>
          </w:tcPr>
          <w:p w14:paraId="2931F1E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7C1A6A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or WHO</w:t>
            </w:r>
          </w:p>
        </w:tc>
        <w:tc>
          <w:tcPr>
            <w:tcW w:w="976" w:type="dxa"/>
            <w:tcBorders>
              <w:top w:val="single" w:sz="12" w:space="0" w:color="auto"/>
              <w:left w:val="single" w:sz="12" w:space="0" w:color="auto"/>
              <w:bottom w:val="single" w:sz="12" w:space="0" w:color="auto"/>
              <w:right w:val="single" w:sz="6" w:space="0" w:color="auto"/>
            </w:tcBorders>
            <w:tcMar>
              <w:left w:w="28" w:type="dxa"/>
              <w:right w:w="28" w:type="dxa"/>
            </w:tcMar>
          </w:tcPr>
          <w:p w14:paraId="1C7AA8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top w:val="single" w:sz="12" w:space="0" w:color="auto"/>
              <w:left w:val="single" w:sz="6" w:space="0" w:color="auto"/>
              <w:bottom w:val="single" w:sz="12" w:space="0" w:color="auto"/>
            </w:tcBorders>
            <w:tcMar>
              <w:left w:w="28" w:type="dxa"/>
              <w:right w:w="28" w:type="dxa"/>
            </w:tcMar>
          </w:tcPr>
          <w:p w14:paraId="28960EA6"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top w:val="single" w:sz="12" w:space="0" w:color="auto"/>
              <w:bottom w:val="single" w:sz="12" w:space="0" w:color="auto"/>
              <w:right w:val="single" w:sz="12" w:space="0" w:color="auto"/>
            </w:tcBorders>
            <w:tcMar>
              <w:left w:w="28" w:type="dxa"/>
              <w:right w:w="28" w:type="dxa"/>
            </w:tcMar>
          </w:tcPr>
          <w:p w14:paraId="1FBCB6E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7552B88"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00A8E5C6" w14:textId="2052C620"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Abdel-Rahman 2018</w:t>
            </w:r>
            <w:r w:rsidRPr="002D1DD7">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 </w:instrText>
            </w:r>
            <w:r w:rsidR="003117A9">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EN.CITE.DATA </w:instrText>
            </w:r>
            <w:r w:rsidR="003117A9">
              <w:rPr>
                <w:rFonts w:eastAsia="Times New Roman" w:cs="Times New Roman"/>
                <w:sz w:val="18"/>
                <w:szCs w:val="18"/>
                <w:lang w:eastAsia="zh-CN"/>
              </w:rPr>
            </w:r>
            <w:r w:rsidR="003117A9">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78</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6A839FF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Urothelial</w:t>
            </w:r>
          </w:p>
        </w:tc>
        <w:tc>
          <w:tcPr>
            <w:tcW w:w="944" w:type="dxa"/>
            <w:tcBorders>
              <w:top w:val="single" w:sz="12" w:space="0" w:color="auto"/>
              <w:left w:val="single" w:sz="12" w:space="0" w:color="auto"/>
            </w:tcBorders>
            <w:shd w:val="clear" w:color="auto" w:fill="auto"/>
            <w:tcMar>
              <w:left w:w="28" w:type="dxa"/>
              <w:right w:w="28" w:type="dxa"/>
            </w:tcMar>
            <w:hideMark/>
          </w:tcPr>
          <w:p w14:paraId="569D9C8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778BCB4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4901440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tcBorders>
              <w:top w:val="single" w:sz="12" w:space="0" w:color="auto"/>
            </w:tcBorders>
            <w:shd w:val="clear" w:color="auto" w:fill="auto"/>
            <w:tcMar>
              <w:left w:w="28" w:type="dxa"/>
              <w:right w:w="28" w:type="dxa"/>
            </w:tcMar>
            <w:hideMark/>
          </w:tcPr>
          <w:p w14:paraId="509B51B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top w:val="single" w:sz="12" w:space="0" w:color="auto"/>
              <w:right w:val="single" w:sz="12" w:space="0" w:color="auto"/>
            </w:tcBorders>
            <w:shd w:val="clear" w:color="auto" w:fill="auto"/>
            <w:tcMar>
              <w:left w:w="28" w:type="dxa"/>
              <w:right w:w="28" w:type="dxa"/>
            </w:tcMar>
            <w:hideMark/>
          </w:tcPr>
          <w:p w14:paraId="719A30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752" w:type="dxa"/>
            <w:tcBorders>
              <w:top w:val="single" w:sz="12" w:space="0" w:color="auto"/>
              <w:left w:val="single" w:sz="12" w:space="0" w:color="auto"/>
            </w:tcBorders>
            <w:shd w:val="clear" w:color="auto" w:fill="auto"/>
            <w:tcMar>
              <w:left w:w="28" w:type="dxa"/>
              <w:right w:w="28" w:type="dxa"/>
            </w:tcMar>
            <w:hideMark/>
          </w:tcPr>
          <w:p w14:paraId="434BE3E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9</w:t>
            </w:r>
          </w:p>
        </w:tc>
        <w:tc>
          <w:tcPr>
            <w:tcW w:w="755" w:type="dxa"/>
            <w:tcBorders>
              <w:top w:val="single" w:sz="12" w:space="0" w:color="auto"/>
              <w:right w:val="single" w:sz="12" w:space="0" w:color="auto"/>
            </w:tcBorders>
            <w:shd w:val="clear" w:color="auto" w:fill="auto"/>
            <w:tcMar>
              <w:left w:w="28" w:type="dxa"/>
              <w:right w:w="28" w:type="dxa"/>
            </w:tcMar>
            <w:hideMark/>
          </w:tcPr>
          <w:p w14:paraId="5171EAE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1699</w:t>
            </w:r>
          </w:p>
        </w:tc>
        <w:tc>
          <w:tcPr>
            <w:tcW w:w="581" w:type="dxa"/>
            <w:tcBorders>
              <w:top w:val="single" w:sz="12" w:space="0" w:color="auto"/>
              <w:left w:val="single" w:sz="12" w:space="0" w:color="auto"/>
            </w:tcBorders>
            <w:shd w:val="clear" w:color="auto" w:fill="auto"/>
            <w:tcMar>
              <w:left w:w="28" w:type="dxa"/>
              <w:right w:w="28" w:type="dxa"/>
            </w:tcMar>
            <w:hideMark/>
          </w:tcPr>
          <w:p w14:paraId="1A4D9AA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top w:val="single" w:sz="12" w:space="0" w:color="auto"/>
            </w:tcBorders>
            <w:shd w:val="clear" w:color="auto" w:fill="auto"/>
            <w:tcMar>
              <w:left w:w="28" w:type="dxa"/>
              <w:right w:w="28" w:type="dxa"/>
            </w:tcMar>
            <w:hideMark/>
          </w:tcPr>
          <w:p w14:paraId="2E32C060"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To 2017</w:t>
            </w:r>
          </w:p>
        </w:tc>
        <w:tc>
          <w:tcPr>
            <w:tcW w:w="466" w:type="dxa"/>
            <w:tcBorders>
              <w:top w:val="single" w:sz="12" w:space="0" w:color="auto"/>
            </w:tcBorders>
            <w:shd w:val="clear" w:color="auto" w:fill="auto"/>
            <w:tcMar>
              <w:left w:w="28" w:type="dxa"/>
              <w:right w:w="28" w:type="dxa"/>
            </w:tcMar>
            <w:hideMark/>
          </w:tcPr>
          <w:p w14:paraId="6C0AF63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7B93B56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w:t>
            </w:r>
          </w:p>
        </w:tc>
        <w:tc>
          <w:tcPr>
            <w:tcW w:w="976" w:type="dxa"/>
            <w:tcBorders>
              <w:top w:val="single" w:sz="12" w:space="0" w:color="auto"/>
              <w:left w:val="single" w:sz="12" w:space="0" w:color="auto"/>
              <w:right w:val="single" w:sz="6" w:space="0" w:color="auto"/>
            </w:tcBorders>
            <w:tcMar>
              <w:left w:w="28" w:type="dxa"/>
              <w:right w:w="28" w:type="dxa"/>
            </w:tcMar>
          </w:tcPr>
          <w:p w14:paraId="6CA3172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910" w:type="dxa"/>
            <w:tcBorders>
              <w:top w:val="single" w:sz="12" w:space="0" w:color="auto"/>
              <w:left w:val="single" w:sz="6" w:space="0" w:color="auto"/>
            </w:tcBorders>
            <w:tcMar>
              <w:left w:w="28" w:type="dxa"/>
              <w:right w:w="28" w:type="dxa"/>
            </w:tcMar>
          </w:tcPr>
          <w:p w14:paraId="47BBC17B" w14:textId="77777777" w:rsidR="002E26FD" w:rsidRPr="002D1DD7" w:rsidRDefault="002E26FD" w:rsidP="003117A9">
            <w:pPr>
              <w:spacing w:before="0" w:after="0" w:line="240" w:lineRule="auto"/>
              <w:rPr>
                <w:rFonts w:eastAsia="Times New Roman" w:cs="Times New Roman"/>
                <w:sz w:val="18"/>
                <w:szCs w:val="18"/>
                <w:lang w:eastAsia="zh-CN"/>
              </w:rPr>
            </w:pPr>
          </w:p>
        </w:tc>
        <w:tc>
          <w:tcPr>
            <w:tcW w:w="742" w:type="dxa"/>
            <w:tcBorders>
              <w:top w:val="single" w:sz="12" w:space="0" w:color="auto"/>
              <w:right w:val="single" w:sz="12" w:space="0" w:color="auto"/>
            </w:tcBorders>
            <w:tcMar>
              <w:left w:w="28" w:type="dxa"/>
              <w:right w:w="28" w:type="dxa"/>
            </w:tcMar>
          </w:tcPr>
          <w:p w14:paraId="08FA59D6"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1693DA94"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6973AA24" w14:textId="39D0FF45"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Agarwal 2014</w:t>
            </w:r>
            <w:r w:rsidRPr="002D1DD7">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79</w:t>
            </w:r>
            <w:r w:rsidRPr="002D1DD7">
              <w:rPr>
                <w:rFonts w:eastAsia="Times New Roman" w:cs="Times New Roman"/>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1553079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Urothelial</w:t>
            </w:r>
          </w:p>
        </w:tc>
        <w:tc>
          <w:tcPr>
            <w:tcW w:w="944" w:type="dxa"/>
            <w:tcBorders>
              <w:left w:val="single" w:sz="12" w:space="0" w:color="auto"/>
              <w:bottom w:val="single" w:sz="12" w:space="0" w:color="auto"/>
            </w:tcBorders>
            <w:shd w:val="clear" w:color="auto" w:fill="auto"/>
            <w:tcMar>
              <w:left w:w="28" w:type="dxa"/>
              <w:right w:w="28" w:type="dxa"/>
            </w:tcMar>
            <w:hideMark/>
          </w:tcPr>
          <w:p w14:paraId="2D56DD8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787D94A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04BCBA3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 (operable or metastatic)</w:t>
            </w:r>
          </w:p>
        </w:tc>
        <w:tc>
          <w:tcPr>
            <w:tcW w:w="992" w:type="dxa"/>
            <w:tcBorders>
              <w:bottom w:val="single" w:sz="12" w:space="0" w:color="auto"/>
            </w:tcBorders>
            <w:shd w:val="clear" w:color="auto" w:fill="auto"/>
            <w:tcMar>
              <w:left w:w="28" w:type="dxa"/>
              <w:right w:w="28" w:type="dxa"/>
            </w:tcMar>
            <w:hideMark/>
          </w:tcPr>
          <w:p w14:paraId="57417B7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2nd</w:t>
            </w:r>
          </w:p>
        </w:tc>
        <w:tc>
          <w:tcPr>
            <w:tcW w:w="1280" w:type="dxa"/>
            <w:tcBorders>
              <w:bottom w:val="single" w:sz="12" w:space="0" w:color="auto"/>
              <w:right w:val="single" w:sz="12" w:space="0" w:color="auto"/>
            </w:tcBorders>
            <w:shd w:val="clear" w:color="auto" w:fill="auto"/>
            <w:tcMar>
              <w:left w:w="28" w:type="dxa"/>
              <w:right w:w="28" w:type="dxa"/>
            </w:tcMar>
            <w:hideMark/>
          </w:tcPr>
          <w:p w14:paraId="062A851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Chemo or biologic</w:t>
            </w:r>
          </w:p>
        </w:tc>
        <w:tc>
          <w:tcPr>
            <w:tcW w:w="752" w:type="dxa"/>
            <w:tcBorders>
              <w:left w:val="single" w:sz="12" w:space="0" w:color="auto"/>
              <w:bottom w:val="single" w:sz="12" w:space="0" w:color="auto"/>
            </w:tcBorders>
            <w:shd w:val="clear" w:color="auto" w:fill="auto"/>
            <w:tcMar>
              <w:left w:w="28" w:type="dxa"/>
              <w:right w:w="28" w:type="dxa"/>
            </w:tcMar>
            <w:hideMark/>
          </w:tcPr>
          <w:p w14:paraId="284146D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10</w:t>
            </w:r>
          </w:p>
        </w:tc>
        <w:tc>
          <w:tcPr>
            <w:tcW w:w="755" w:type="dxa"/>
            <w:tcBorders>
              <w:bottom w:val="single" w:sz="12" w:space="0" w:color="auto"/>
              <w:right w:val="single" w:sz="12" w:space="0" w:color="auto"/>
            </w:tcBorders>
            <w:shd w:val="clear" w:color="auto" w:fill="auto"/>
            <w:tcMar>
              <w:left w:w="28" w:type="dxa"/>
              <w:right w:w="28" w:type="dxa"/>
            </w:tcMar>
            <w:hideMark/>
          </w:tcPr>
          <w:p w14:paraId="6B47340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560</w:t>
            </w:r>
          </w:p>
        </w:tc>
        <w:tc>
          <w:tcPr>
            <w:tcW w:w="581" w:type="dxa"/>
            <w:tcBorders>
              <w:left w:val="single" w:sz="12" w:space="0" w:color="auto"/>
              <w:bottom w:val="single" w:sz="12" w:space="0" w:color="auto"/>
            </w:tcBorders>
            <w:shd w:val="clear" w:color="auto" w:fill="auto"/>
            <w:tcMar>
              <w:left w:w="28" w:type="dxa"/>
              <w:right w:w="28" w:type="dxa"/>
            </w:tcMar>
            <w:hideMark/>
          </w:tcPr>
          <w:p w14:paraId="25A45B98"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 + SA</w:t>
            </w:r>
          </w:p>
        </w:tc>
        <w:tc>
          <w:tcPr>
            <w:tcW w:w="1168" w:type="dxa"/>
            <w:tcBorders>
              <w:bottom w:val="single" w:sz="12" w:space="0" w:color="auto"/>
            </w:tcBorders>
            <w:shd w:val="clear" w:color="auto" w:fill="auto"/>
            <w:tcMar>
              <w:left w:w="28" w:type="dxa"/>
              <w:right w:w="28" w:type="dxa"/>
            </w:tcMar>
            <w:hideMark/>
          </w:tcPr>
          <w:p w14:paraId="2D5AA8B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466" w:type="dxa"/>
            <w:tcBorders>
              <w:bottom w:val="single" w:sz="12" w:space="0" w:color="auto"/>
            </w:tcBorders>
            <w:shd w:val="clear" w:color="auto" w:fill="auto"/>
            <w:tcMar>
              <w:left w:w="28" w:type="dxa"/>
              <w:right w:w="28" w:type="dxa"/>
            </w:tcMar>
            <w:hideMark/>
          </w:tcPr>
          <w:p w14:paraId="0A074DC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5540525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RECIST</w:t>
            </w:r>
          </w:p>
        </w:tc>
        <w:tc>
          <w:tcPr>
            <w:tcW w:w="976" w:type="dxa"/>
            <w:tcBorders>
              <w:left w:val="single" w:sz="12" w:space="0" w:color="auto"/>
              <w:bottom w:val="single" w:sz="12" w:space="0" w:color="auto"/>
              <w:right w:val="single" w:sz="6" w:space="0" w:color="auto"/>
            </w:tcBorders>
            <w:tcMar>
              <w:left w:w="28" w:type="dxa"/>
              <w:right w:w="28" w:type="dxa"/>
            </w:tcMar>
          </w:tcPr>
          <w:p w14:paraId="1FA4B00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Y</w:t>
            </w:r>
          </w:p>
        </w:tc>
        <w:tc>
          <w:tcPr>
            <w:tcW w:w="910" w:type="dxa"/>
            <w:tcBorders>
              <w:left w:val="single" w:sz="6" w:space="0" w:color="auto"/>
              <w:bottom w:val="single" w:sz="12" w:space="0" w:color="auto"/>
            </w:tcBorders>
            <w:tcMar>
              <w:left w:w="28" w:type="dxa"/>
              <w:right w:w="28" w:type="dxa"/>
            </w:tcMar>
          </w:tcPr>
          <w:p w14:paraId="0C01A1C9" w14:textId="77777777" w:rsidR="002E26FD" w:rsidRPr="002D1DD7" w:rsidRDefault="002E26FD" w:rsidP="003117A9">
            <w:pPr>
              <w:spacing w:before="0" w:after="0" w:line="240" w:lineRule="auto"/>
              <w:rPr>
                <w:rFonts w:eastAsia="Times New Roman" w:cs="Times New Roman"/>
                <w:sz w:val="18"/>
                <w:szCs w:val="18"/>
                <w:lang w:eastAsia="zh-CN"/>
              </w:rPr>
            </w:pPr>
          </w:p>
        </w:tc>
        <w:tc>
          <w:tcPr>
            <w:tcW w:w="742" w:type="dxa"/>
            <w:tcBorders>
              <w:bottom w:val="single" w:sz="12" w:space="0" w:color="auto"/>
              <w:right w:val="single" w:sz="12" w:space="0" w:color="auto"/>
            </w:tcBorders>
            <w:tcMar>
              <w:left w:w="28" w:type="dxa"/>
              <w:right w:w="28" w:type="dxa"/>
            </w:tcMar>
          </w:tcPr>
          <w:p w14:paraId="35A85A10" w14:textId="77777777" w:rsidR="002E26FD" w:rsidRPr="002D1DD7" w:rsidRDefault="002E26FD" w:rsidP="003117A9">
            <w:pPr>
              <w:spacing w:before="0" w:after="0" w:line="240" w:lineRule="auto"/>
              <w:rPr>
                <w:rFonts w:eastAsia="Times New Roman" w:cs="Times New Roman"/>
                <w:sz w:val="18"/>
                <w:szCs w:val="18"/>
                <w:lang w:eastAsia="zh-CN"/>
              </w:rPr>
            </w:pPr>
          </w:p>
        </w:tc>
      </w:tr>
      <w:tr w:rsidR="002E26FD" w:rsidRPr="002D1DD7" w14:paraId="2A209A06" w14:textId="77777777" w:rsidTr="003117A9">
        <w:trPr>
          <w:cantSplit/>
        </w:trPr>
        <w:tc>
          <w:tcPr>
            <w:tcW w:w="993" w:type="dxa"/>
            <w:tcBorders>
              <w:top w:val="single" w:sz="12" w:space="0" w:color="auto"/>
              <w:left w:val="single" w:sz="12" w:space="0" w:color="auto"/>
              <w:right w:val="single" w:sz="12" w:space="0" w:color="auto"/>
            </w:tcBorders>
            <w:shd w:val="clear" w:color="auto" w:fill="auto"/>
            <w:tcMar>
              <w:left w:w="28" w:type="dxa"/>
              <w:right w:w="28" w:type="dxa"/>
            </w:tcMar>
            <w:hideMark/>
          </w:tcPr>
          <w:p w14:paraId="41350D2C" w14:textId="32C86928" w:rsidR="002E26FD" w:rsidRPr="002D1DD7" w:rsidRDefault="002E26FD" w:rsidP="000E66DE">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Kaufman 2018</w:t>
            </w:r>
            <w:r w:rsidRPr="002D1DD7">
              <w:rPr>
                <w:rFonts w:eastAsia="Times New Roman" w:cs="Times New Roman"/>
                <w:sz w:val="18"/>
                <w:szCs w:val="18"/>
                <w:lang w:eastAsia="zh-CN"/>
              </w:rPr>
              <w:fldChar w:fldCharType="begin">
                <w:fldData xml:space="preserve">PEVuZE5vdGU+PENpdGU+PEF1dGhvcj5LYXVmbWFuPC9BdXRob3I+PFllYXI+MjAxODwvWWVhcj48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dGV4dCZhbXA7RD1tZWQxMyZhbXA7QU49MzAxMzIxMTgmI3hEO2h0dHA6Ly9yZXNvbHZlci5zaGVm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PEVuZE5vdGU+PENpdGU+PEF1dGhvcj5LYXVmbWFuPC9BdXRob3I+PFllYXI+MjAxODwvWWVhcj48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dGV4dCZhbXA7RD1tZWQxMyZhbXA7QU49MzAxMzIxMTgmI3hEO2h0dHA6Ly9yZXNvbHZlci5zaGVm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107</w:t>
            </w:r>
            <w:r w:rsidRPr="002D1DD7">
              <w:rPr>
                <w:rFonts w:eastAsia="Times New Roman" w:cs="Times New Roman"/>
                <w:sz w:val="18"/>
                <w:szCs w:val="18"/>
                <w:lang w:eastAsia="zh-CN"/>
              </w:rPr>
              <w:fldChar w:fldCharType="end"/>
            </w:r>
          </w:p>
        </w:tc>
        <w:tc>
          <w:tcPr>
            <w:tcW w:w="1134" w:type="dxa"/>
            <w:tcBorders>
              <w:top w:val="single" w:sz="12" w:space="0" w:color="auto"/>
              <w:left w:val="single" w:sz="12" w:space="0" w:color="auto"/>
              <w:right w:val="single" w:sz="12" w:space="0" w:color="auto"/>
            </w:tcBorders>
            <w:shd w:val="clear" w:color="auto" w:fill="auto"/>
            <w:tcMar>
              <w:left w:w="28" w:type="dxa"/>
              <w:right w:w="28" w:type="dxa"/>
            </w:tcMar>
          </w:tcPr>
          <w:p w14:paraId="2B472DA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 solid tumours</w:t>
            </w:r>
          </w:p>
        </w:tc>
        <w:tc>
          <w:tcPr>
            <w:tcW w:w="944" w:type="dxa"/>
            <w:tcBorders>
              <w:top w:val="single" w:sz="12" w:space="0" w:color="auto"/>
              <w:left w:val="single" w:sz="12" w:space="0" w:color="auto"/>
            </w:tcBorders>
            <w:shd w:val="clear" w:color="auto" w:fill="auto"/>
            <w:tcMar>
              <w:left w:w="28" w:type="dxa"/>
              <w:right w:w="28" w:type="dxa"/>
            </w:tcMar>
            <w:hideMark/>
          </w:tcPr>
          <w:p w14:paraId="64AFED68"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top w:val="single" w:sz="12" w:space="0" w:color="auto"/>
              <w:right w:val="single" w:sz="12" w:space="0" w:color="auto"/>
            </w:tcBorders>
            <w:shd w:val="clear" w:color="auto" w:fill="auto"/>
            <w:tcMar>
              <w:left w:w="28" w:type="dxa"/>
              <w:right w:w="28" w:type="dxa"/>
            </w:tcMar>
            <w:hideMark/>
          </w:tcPr>
          <w:p w14:paraId="4C33AB6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top w:val="single" w:sz="12" w:space="0" w:color="auto"/>
              <w:left w:val="single" w:sz="12" w:space="0" w:color="auto"/>
            </w:tcBorders>
            <w:shd w:val="clear" w:color="auto" w:fill="auto"/>
            <w:tcMar>
              <w:left w:w="28" w:type="dxa"/>
              <w:right w:w="28" w:type="dxa"/>
            </w:tcMar>
            <w:hideMark/>
          </w:tcPr>
          <w:p w14:paraId="7542D16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tcBorders>
              <w:top w:val="single" w:sz="12" w:space="0" w:color="auto"/>
            </w:tcBorders>
            <w:shd w:val="clear" w:color="auto" w:fill="auto"/>
            <w:tcMar>
              <w:left w:w="28" w:type="dxa"/>
              <w:right w:w="28" w:type="dxa"/>
            </w:tcMar>
            <w:hideMark/>
          </w:tcPr>
          <w:p w14:paraId="1F6921F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Various</w:t>
            </w:r>
          </w:p>
        </w:tc>
        <w:tc>
          <w:tcPr>
            <w:tcW w:w="1280" w:type="dxa"/>
            <w:tcBorders>
              <w:top w:val="single" w:sz="12" w:space="0" w:color="auto"/>
              <w:right w:val="single" w:sz="12" w:space="0" w:color="auto"/>
            </w:tcBorders>
            <w:shd w:val="clear" w:color="auto" w:fill="auto"/>
            <w:tcMar>
              <w:left w:w="28" w:type="dxa"/>
              <w:right w:w="28" w:type="dxa"/>
            </w:tcMar>
            <w:hideMark/>
          </w:tcPr>
          <w:p w14:paraId="1F497CDE"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Immune checkpoint inhibitors +/- chemo</w:t>
            </w:r>
          </w:p>
        </w:tc>
        <w:tc>
          <w:tcPr>
            <w:tcW w:w="752" w:type="dxa"/>
            <w:tcBorders>
              <w:top w:val="single" w:sz="12" w:space="0" w:color="auto"/>
              <w:left w:val="single" w:sz="12" w:space="0" w:color="auto"/>
            </w:tcBorders>
            <w:shd w:val="clear" w:color="auto" w:fill="auto"/>
            <w:tcMar>
              <w:left w:w="28" w:type="dxa"/>
              <w:right w:w="28" w:type="dxa"/>
            </w:tcMar>
            <w:hideMark/>
          </w:tcPr>
          <w:p w14:paraId="61480C9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27</w:t>
            </w:r>
            <w:r w:rsidRPr="002D1DD7">
              <w:rPr>
                <w:rFonts w:eastAsia="Times New Roman" w:cs="Times New Roman"/>
                <w:sz w:val="18"/>
                <w:szCs w:val="18"/>
                <w:vertAlign w:val="superscript"/>
                <w:lang w:eastAsia="zh-CN"/>
              </w:rPr>
              <w:t>†</w:t>
            </w:r>
          </w:p>
        </w:tc>
        <w:tc>
          <w:tcPr>
            <w:tcW w:w="755" w:type="dxa"/>
            <w:tcBorders>
              <w:top w:val="single" w:sz="12" w:space="0" w:color="auto"/>
              <w:right w:val="single" w:sz="12" w:space="0" w:color="auto"/>
            </w:tcBorders>
            <w:shd w:val="clear" w:color="auto" w:fill="auto"/>
            <w:tcMar>
              <w:left w:w="28" w:type="dxa"/>
              <w:right w:w="28" w:type="dxa"/>
            </w:tcMar>
            <w:hideMark/>
          </w:tcPr>
          <w:p w14:paraId="2417E2A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10300</w:t>
            </w:r>
            <w:r w:rsidRPr="002D1DD7">
              <w:rPr>
                <w:rFonts w:eastAsia="Times New Roman" w:cs="Times New Roman"/>
                <w:color w:val="000000"/>
                <w:sz w:val="18"/>
                <w:szCs w:val="18"/>
                <w:vertAlign w:val="superscript"/>
                <w:lang w:eastAsia="zh-CN"/>
              </w:rPr>
              <w:t>†</w:t>
            </w:r>
          </w:p>
        </w:tc>
        <w:tc>
          <w:tcPr>
            <w:tcW w:w="581" w:type="dxa"/>
            <w:tcBorders>
              <w:top w:val="single" w:sz="12" w:space="0" w:color="auto"/>
              <w:left w:val="single" w:sz="12" w:space="0" w:color="auto"/>
            </w:tcBorders>
            <w:shd w:val="clear" w:color="auto" w:fill="auto"/>
            <w:tcMar>
              <w:left w:w="28" w:type="dxa"/>
              <w:right w:w="28" w:type="dxa"/>
            </w:tcMar>
            <w:hideMark/>
          </w:tcPr>
          <w:p w14:paraId="436027A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RCT</w:t>
            </w:r>
          </w:p>
        </w:tc>
        <w:tc>
          <w:tcPr>
            <w:tcW w:w="1168" w:type="dxa"/>
            <w:tcBorders>
              <w:top w:val="single" w:sz="12" w:space="0" w:color="auto"/>
            </w:tcBorders>
            <w:shd w:val="clear" w:color="auto" w:fill="auto"/>
            <w:tcMar>
              <w:left w:w="28" w:type="dxa"/>
              <w:right w:w="28" w:type="dxa"/>
            </w:tcMar>
            <w:hideMark/>
          </w:tcPr>
          <w:p w14:paraId="5ADDB723"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2005-2017</w:t>
            </w:r>
          </w:p>
        </w:tc>
        <w:tc>
          <w:tcPr>
            <w:tcW w:w="466" w:type="dxa"/>
            <w:tcBorders>
              <w:top w:val="single" w:sz="12" w:space="0" w:color="auto"/>
            </w:tcBorders>
            <w:shd w:val="clear" w:color="auto" w:fill="auto"/>
            <w:tcMar>
              <w:left w:w="28" w:type="dxa"/>
              <w:right w:w="28" w:type="dxa"/>
            </w:tcMar>
            <w:hideMark/>
          </w:tcPr>
          <w:p w14:paraId="06C79D8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top w:val="single" w:sz="12" w:space="0" w:color="auto"/>
              <w:right w:val="single" w:sz="12" w:space="0" w:color="auto"/>
            </w:tcBorders>
            <w:shd w:val="clear" w:color="auto" w:fill="auto"/>
            <w:tcMar>
              <w:left w:w="28" w:type="dxa"/>
              <w:right w:w="28" w:type="dxa"/>
            </w:tcMar>
            <w:hideMark/>
          </w:tcPr>
          <w:p w14:paraId="32F2CF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or mWHO</w:t>
            </w:r>
          </w:p>
        </w:tc>
        <w:tc>
          <w:tcPr>
            <w:tcW w:w="976" w:type="dxa"/>
            <w:tcBorders>
              <w:top w:val="single" w:sz="12" w:space="0" w:color="auto"/>
              <w:left w:val="single" w:sz="12" w:space="0" w:color="auto"/>
              <w:right w:val="single" w:sz="6" w:space="0" w:color="auto"/>
            </w:tcBorders>
            <w:tcMar>
              <w:left w:w="28" w:type="dxa"/>
              <w:right w:w="28" w:type="dxa"/>
            </w:tcMar>
          </w:tcPr>
          <w:p w14:paraId="27FE40D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top w:val="single" w:sz="12" w:space="0" w:color="auto"/>
              <w:left w:val="single" w:sz="6" w:space="0" w:color="auto"/>
            </w:tcBorders>
            <w:tcMar>
              <w:left w:w="28" w:type="dxa"/>
              <w:right w:w="28" w:type="dxa"/>
            </w:tcMar>
          </w:tcPr>
          <w:p w14:paraId="6009B8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top w:val="single" w:sz="12" w:space="0" w:color="auto"/>
              <w:right w:val="single" w:sz="12" w:space="0" w:color="auto"/>
            </w:tcBorders>
            <w:tcMar>
              <w:left w:w="28" w:type="dxa"/>
              <w:right w:w="28" w:type="dxa"/>
            </w:tcMar>
          </w:tcPr>
          <w:p w14:paraId="6FF1CBB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630449C1"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FC1A5BB" w14:textId="1BE4C71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Mushti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&lt;EndNote&gt;&lt;Cite&gt;&lt;Author&gt;Mushti&lt;/Author&gt;&lt;Year&gt;2018&lt;/Year&gt;&lt;RecNum&gt;2115&lt;/RecNum&gt;&lt;IDText&gt;$$include full text PT&amp;#xD;$$From Haslam (ref 92)&lt;/IDText&gt;&lt;DisplayText&gt;&lt;style face="superscript"&gt;117&lt;/style&gt;&lt;/DisplayText&gt;&lt;record&gt;&lt;rec-number&gt;2115&lt;/rec-number&gt;&lt;foreign-keys&gt;&lt;key app="EN" db-id="dwaevxvazfs2f3ewvzmxrd0k0wasw55p2z2w" timestamp="1557310915"&gt;2115&lt;/key&gt;&lt;/foreign-keys&gt;&lt;ref-type name="Journal Article"&gt;17&lt;/ref-type&gt;&lt;contributors&gt;&lt;authors&gt;&lt;author&gt;Mushti, S. L.&lt;/author&gt;&lt;author&gt;Mulkey, F.&lt;/author&gt;&lt;author&gt;Sridhara, R.&lt;/author&gt;&lt;/authors&gt;&lt;/contributors&gt;&lt;titles&gt;&lt;title&gt;Evaluation of overall response rate and progression-free survival as potential surrogate endpoints for overall survival in immunotherapy trials&lt;/title&gt;&lt;secondary-title&gt;Clinical Cancer Research&lt;/secondary-title&gt;&lt;/titles&gt;&lt;periodical&gt;&lt;full-title&gt;Clinical Cancer Research&lt;/full-title&gt;&lt;abbr-1&gt;Clin Cancer Res&lt;/abbr-1&gt;&lt;/periodical&gt;&lt;pages&gt;2268-2275&lt;/pages&gt;&lt;volume&gt;24&lt;/volume&gt;&lt;number&gt;10&lt;/number&gt;&lt;keywords&gt;&lt;keyword&gt;$$include abstract PT&lt;/keyword&gt;&lt;keyword&gt;$$Broad search $$Citation search&lt;/keyword&gt;&lt;/keywords&gt;&lt;dates&gt;&lt;year&gt;2018&lt;/year&gt;&lt;pub-dates&gt;&lt;date&gt;May&lt;/date&gt;&lt;/pub-dates&gt;&lt;/dates&gt;&lt;isbn&gt;1078-0432&lt;/isbn&gt;&lt;accession-num&gt;WOS:000432329600006&lt;/accession-num&gt;&lt;label&gt;$$include full text PT&amp;#xD;$$From Haslam (ref 92)&lt;/label&gt;&lt;urls&gt;&lt;/urls&gt;&lt;electronic-resource-num&gt;10.1158/1078.0432.Ccr17.1902&lt;/electronic-resource-num&gt;&lt;research-notes&gt;&lt;style face="underline" font="default" size="100%"&gt;&amp;lt;Go to ISI&amp;gt;://WOS:000432329600006&lt;/style&gt;&lt;/research-notes&gt;&lt;/record&gt;&lt;/Cite&gt;&lt;/EndNote&gt;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117</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02FFD0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Various solid tumours</w:t>
            </w:r>
          </w:p>
        </w:tc>
        <w:tc>
          <w:tcPr>
            <w:tcW w:w="944" w:type="dxa"/>
            <w:tcBorders>
              <w:left w:val="single" w:sz="12" w:space="0" w:color="auto"/>
            </w:tcBorders>
            <w:shd w:val="clear" w:color="auto" w:fill="auto"/>
            <w:tcMar>
              <w:left w:w="28" w:type="dxa"/>
              <w:right w:w="28" w:type="dxa"/>
            </w:tcMar>
            <w:hideMark/>
          </w:tcPr>
          <w:p w14:paraId="2AF62DBC"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41453C7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182CC64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08BF0B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24205D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752" w:type="dxa"/>
            <w:tcBorders>
              <w:left w:val="single" w:sz="12" w:space="0" w:color="auto"/>
            </w:tcBorders>
            <w:shd w:val="clear" w:color="auto" w:fill="auto"/>
            <w:tcMar>
              <w:left w:w="28" w:type="dxa"/>
              <w:right w:w="28" w:type="dxa"/>
            </w:tcMar>
            <w:hideMark/>
          </w:tcPr>
          <w:p w14:paraId="08BCB9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55" w:type="dxa"/>
            <w:tcBorders>
              <w:right w:val="single" w:sz="12" w:space="0" w:color="auto"/>
            </w:tcBorders>
            <w:shd w:val="clear" w:color="auto" w:fill="auto"/>
            <w:tcMar>
              <w:left w:w="28" w:type="dxa"/>
              <w:right w:w="28" w:type="dxa"/>
            </w:tcMar>
            <w:hideMark/>
          </w:tcPr>
          <w:p w14:paraId="4B2C01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6722</w:t>
            </w:r>
          </w:p>
        </w:tc>
        <w:tc>
          <w:tcPr>
            <w:tcW w:w="581" w:type="dxa"/>
            <w:tcBorders>
              <w:left w:val="single" w:sz="12" w:space="0" w:color="auto"/>
            </w:tcBorders>
            <w:shd w:val="clear" w:color="auto" w:fill="auto"/>
            <w:tcMar>
              <w:left w:w="28" w:type="dxa"/>
              <w:right w:w="28" w:type="dxa"/>
            </w:tcMar>
            <w:hideMark/>
          </w:tcPr>
          <w:p w14:paraId="722F77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220578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2014 to 2016</w:t>
            </w:r>
          </w:p>
        </w:tc>
        <w:tc>
          <w:tcPr>
            <w:tcW w:w="466" w:type="dxa"/>
            <w:shd w:val="clear" w:color="auto" w:fill="auto"/>
            <w:tcMar>
              <w:left w:w="28" w:type="dxa"/>
              <w:right w:w="28" w:type="dxa"/>
            </w:tcMar>
            <w:hideMark/>
          </w:tcPr>
          <w:p w14:paraId="46E4E46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561C54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w:t>
            </w:r>
          </w:p>
        </w:tc>
        <w:tc>
          <w:tcPr>
            <w:tcW w:w="976" w:type="dxa"/>
            <w:tcBorders>
              <w:left w:val="single" w:sz="12" w:space="0" w:color="auto"/>
              <w:right w:val="single" w:sz="6" w:space="0" w:color="auto"/>
            </w:tcBorders>
            <w:tcMar>
              <w:left w:w="28" w:type="dxa"/>
              <w:right w:w="28" w:type="dxa"/>
            </w:tcMar>
          </w:tcPr>
          <w:p w14:paraId="17E5C54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64CEE7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70901862"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170B6827"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368E6F85" w14:textId="777A216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Nie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&lt;EndNote&gt;&lt;Cite&gt;&lt;Author&gt;Nie&lt;/Author&gt;&lt;Year&gt;2019&lt;/Year&gt;&lt;RecNum&gt;2179&lt;/RecNum&gt;&lt;IDText&gt;$$include full text PT&lt;/IDText&gt;&lt;DisplayText&gt;&lt;style face="superscript"&gt;120&lt;/style&gt;&lt;/DisplayText&gt;&lt;record&gt;&lt;rec-number&gt;2179&lt;/rec-number&gt;&lt;foreign-keys&gt;&lt;key app="EN" db-id="dwaevxvazfs2f3ewvzmxrd0k0wasw55p2z2w" timestamp="1557310928"&gt;2179&lt;/key&gt;&lt;/foreign-keys&gt;&lt;ref-type name="Journal Article"&gt;17&lt;/ref-type&gt;&lt;contributors&gt;&lt;authors&gt;&lt;author&gt;Nie, R. C.&lt;/author&gt;&lt;author&gt;Chen, F. P.&lt;/author&gt;&lt;author&gt;Yuan, S. Q.&lt;/author&gt;&lt;author&gt;Luo, Y. S.&lt;/author&gt;&lt;author&gt;Chen, S.&lt;/author&gt;&lt;author&gt;Chen, Y. M.&lt;/author&gt;&lt;author&gt;Chen, X. J.&lt;/author&gt;&lt;author&gt;Chen, Y. B.&lt;/author&gt;&lt;author&gt;Li, Y. F.&lt;/author&gt;&lt;author&gt;Zhou, Z. W.&lt;/author&gt;&lt;/authors&gt;&lt;/contributors&gt;&lt;titles&gt;&lt;title&gt;Evaluation of objective response, disease control and progression-free survival as surrogate end-points for overall survival in anti-programmed death-1 and anti-programmed death ligand 1 trials&lt;/title&gt;&lt;secondary-title&gt;European Journal of Cancer&lt;/secondary-title&gt;&lt;/titles&gt;&lt;periodical&gt;&lt;full-title&gt;European Journal of Cancer&lt;/full-title&gt;&lt;abbr-1&gt;Eur J Cancer&lt;/abbr-1&gt;&lt;/periodical&gt;&lt;pages&gt;1-11&lt;/pages&gt;&lt;volume&gt;106&lt;/volume&gt;&lt;keywords&gt;&lt;keyword&gt;$$include abstract PT&lt;/keyword&gt;&lt;keyword&gt;$$Broad search $$Citation search&lt;/keyword&gt;&lt;/keywords&gt;&lt;dates&gt;&lt;year&gt;2019&lt;/year&gt;&lt;pub-dates&gt;&lt;date&gt;January&lt;/date&gt;&lt;/pub-dates&gt;&lt;/dates&gt;&lt;label&gt;$$include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size="100%"&gt;http://ovidsp.ovid.com/ovidweb.cgi?T=JS&amp;amp;CSC=Y&amp;amp;NEWS=N&amp;amp;PAGE=fulltext&amp;amp;D=emexa&amp;amp;AN=2001288035&lt;/style&gt;&lt;/research-notes&gt;&lt;/record&gt;&lt;/Cite&gt;&lt;/EndNote&gt;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120</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115905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Various solid tumours</w:t>
            </w:r>
          </w:p>
        </w:tc>
        <w:tc>
          <w:tcPr>
            <w:tcW w:w="944" w:type="dxa"/>
            <w:tcBorders>
              <w:left w:val="single" w:sz="12" w:space="0" w:color="auto"/>
            </w:tcBorders>
            <w:shd w:val="clear" w:color="auto" w:fill="auto"/>
            <w:tcMar>
              <w:left w:w="28" w:type="dxa"/>
              <w:right w:w="28" w:type="dxa"/>
            </w:tcMar>
            <w:hideMark/>
          </w:tcPr>
          <w:p w14:paraId="1F296519"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1218355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5C237F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 or recurrent</w:t>
            </w:r>
          </w:p>
        </w:tc>
        <w:tc>
          <w:tcPr>
            <w:tcW w:w="992" w:type="dxa"/>
            <w:shd w:val="clear" w:color="auto" w:fill="auto"/>
            <w:tcMar>
              <w:left w:w="28" w:type="dxa"/>
              <w:right w:w="28" w:type="dxa"/>
            </w:tcMar>
            <w:hideMark/>
          </w:tcPr>
          <w:p w14:paraId="46EA13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Various </w:t>
            </w:r>
          </w:p>
        </w:tc>
        <w:tc>
          <w:tcPr>
            <w:tcW w:w="1280" w:type="dxa"/>
            <w:tcBorders>
              <w:right w:val="single" w:sz="12" w:space="0" w:color="auto"/>
            </w:tcBorders>
            <w:shd w:val="clear" w:color="auto" w:fill="auto"/>
            <w:tcMar>
              <w:left w:w="28" w:type="dxa"/>
              <w:right w:w="28" w:type="dxa"/>
            </w:tcMar>
            <w:hideMark/>
          </w:tcPr>
          <w:p w14:paraId="1CF0E5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752" w:type="dxa"/>
            <w:tcBorders>
              <w:left w:val="single" w:sz="12" w:space="0" w:color="auto"/>
            </w:tcBorders>
            <w:shd w:val="clear" w:color="auto" w:fill="auto"/>
            <w:tcMar>
              <w:left w:w="28" w:type="dxa"/>
              <w:right w:w="28" w:type="dxa"/>
            </w:tcMar>
            <w:hideMark/>
          </w:tcPr>
          <w:p w14:paraId="609F41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43</w:t>
            </w:r>
            <w:r w:rsidRPr="002D1DD7">
              <w:rPr>
                <w:rFonts w:eastAsia="Times New Roman" w:cs="Times New Roman"/>
                <w:color w:val="000000"/>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58AFD5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15088</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6C9395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shd w:val="clear" w:color="auto" w:fill="auto"/>
            <w:tcMar>
              <w:left w:w="28" w:type="dxa"/>
              <w:right w:w="28" w:type="dxa"/>
            </w:tcMar>
            <w:hideMark/>
          </w:tcPr>
          <w:p w14:paraId="74E74F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2018</w:t>
            </w:r>
          </w:p>
        </w:tc>
        <w:tc>
          <w:tcPr>
            <w:tcW w:w="466" w:type="dxa"/>
            <w:shd w:val="clear" w:color="auto" w:fill="auto"/>
            <w:tcMar>
              <w:left w:w="28" w:type="dxa"/>
              <w:right w:w="28" w:type="dxa"/>
            </w:tcMar>
            <w:hideMark/>
          </w:tcPr>
          <w:p w14:paraId="68F1878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14E8C6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w:t>
            </w:r>
          </w:p>
        </w:tc>
        <w:tc>
          <w:tcPr>
            <w:tcW w:w="976" w:type="dxa"/>
            <w:tcBorders>
              <w:left w:val="single" w:sz="12" w:space="0" w:color="auto"/>
              <w:right w:val="single" w:sz="6" w:space="0" w:color="auto"/>
            </w:tcBorders>
            <w:tcMar>
              <w:left w:w="28" w:type="dxa"/>
              <w:right w:w="28" w:type="dxa"/>
            </w:tcMar>
          </w:tcPr>
          <w:p w14:paraId="41054D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0382E6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4FCA1819"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6A49D717"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BA75751" w14:textId="0DF5636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4DCD8C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Various solid tumours</w:t>
            </w:r>
          </w:p>
        </w:tc>
        <w:tc>
          <w:tcPr>
            <w:tcW w:w="944" w:type="dxa"/>
            <w:tcBorders>
              <w:left w:val="single" w:sz="12" w:space="0" w:color="auto"/>
            </w:tcBorders>
            <w:shd w:val="clear" w:color="auto" w:fill="auto"/>
            <w:tcMar>
              <w:left w:w="28" w:type="dxa"/>
              <w:right w:w="28" w:type="dxa"/>
            </w:tcMar>
            <w:hideMark/>
          </w:tcPr>
          <w:p w14:paraId="618B4F11"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38651FC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1A80347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36A5F2D"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Advanced</w:t>
            </w:r>
          </w:p>
        </w:tc>
        <w:tc>
          <w:tcPr>
            <w:tcW w:w="992" w:type="dxa"/>
            <w:shd w:val="clear" w:color="auto" w:fill="auto"/>
            <w:tcMar>
              <w:left w:w="28" w:type="dxa"/>
              <w:right w:w="28" w:type="dxa"/>
            </w:tcMar>
            <w:hideMark/>
          </w:tcPr>
          <w:p w14:paraId="62D20A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280" w:type="dxa"/>
            <w:tcBorders>
              <w:right w:val="single" w:sz="12" w:space="0" w:color="auto"/>
            </w:tcBorders>
            <w:shd w:val="clear" w:color="auto" w:fill="auto"/>
            <w:tcMar>
              <w:left w:w="28" w:type="dxa"/>
              <w:right w:w="28" w:type="dxa"/>
            </w:tcMar>
            <w:hideMark/>
          </w:tcPr>
          <w:p w14:paraId="2EFA0E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752" w:type="dxa"/>
            <w:tcBorders>
              <w:left w:val="single" w:sz="12" w:space="0" w:color="auto"/>
            </w:tcBorders>
            <w:shd w:val="clear" w:color="auto" w:fill="auto"/>
            <w:tcMar>
              <w:left w:w="28" w:type="dxa"/>
              <w:right w:w="28" w:type="dxa"/>
            </w:tcMar>
            <w:hideMark/>
          </w:tcPr>
          <w:p w14:paraId="49FE93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466547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10828</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367641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71C7A9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2000 to 2017</w:t>
            </w:r>
          </w:p>
        </w:tc>
        <w:tc>
          <w:tcPr>
            <w:tcW w:w="466" w:type="dxa"/>
            <w:shd w:val="clear" w:color="auto" w:fill="auto"/>
            <w:tcMar>
              <w:left w:w="28" w:type="dxa"/>
              <w:right w:w="28" w:type="dxa"/>
            </w:tcMar>
            <w:hideMark/>
          </w:tcPr>
          <w:p w14:paraId="13C7CE6B"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7346A4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780F93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0899C8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0E9E4F03"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7A4AFE06"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DCD859E" w14:textId="3FB7D2C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408BC6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Various solid tumours</w:t>
            </w:r>
          </w:p>
        </w:tc>
        <w:tc>
          <w:tcPr>
            <w:tcW w:w="944" w:type="dxa"/>
            <w:tcBorders>
              <w:left w:val="single" w:sz="12" w:space="0" w:color="auto"/>
            </w:tcBorders>
            <w:shd w:val="clear" w:color="auto" w:fill="auto"/>
            <w:tcMar>
              <w:left w:w="28" w:type="dxa"/>
              <w:right w:w="28" w:type="dxa"/>
            </w:tcMar>
            <w:hideMark/>
          </w:tcPr>
          <w:p w14:paraId="4D446CB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550C81E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5BE03C54"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4477524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Unclear</w:t>
            </w:r>
          </w:p>
        </w:tc>
        <w:tc>
          <w:tcPr>
            <w:tcW w:w="992" w:type="dxa"/>
            <w:shd w:val="clear" w:color="auto" w:fill="auto"/>
            <w:tcMar>
              <w:left w:w="28" w:type="dxa"/>
              <w:right w:w="28" w:type="dxa"/>
            </w:tcMar>
            <w:hideMark/>
          </w:tcPr>
          <w:p w14:paraId="309D7A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280" w:type="dxa"/>
            <w:tcBorders>
              <w:right w:val="single" w:sz="12" w:space="0" w:color="auto"/>
            </w:tcBorders>
            <w:shd w:val="clear" w:color="auto" w:fill="auto"/>
            <w:tcMar>
              <w:left w:w="28" w:type="dxa"/>
              <w:right w:w="28" w:type="dxa"/>
            </w:tcMar>
            <w:hideMark/>
          </w:tcPr>
          <w:p w14:paraId="247E51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752" w:type="dxa"/>
            <w:tcBorders>
              <w:left w:val="single" w:sz="12" w:space="0" w:color="auto"/>
            </w:tcBorders>
            <w:shd w:val="clear" w:color="auto" w:fill="auto"/>
            <w:tcMar>
              <w:left w:w="28" w:type="dxa"/>
              <w:right w:w="28" w:type="dxa"/>
            </w:tcMar>
            <w:hideMark/>
          </w:tcPr>
          <w:p w14:paraId="1D014C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55EBB1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4DF63C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7A88CA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2017</w:t>
            </w:r>
          </w:p>
        </w:tc>
        <w:tc>
          <w:tcPr>
            <w:tcW w:w="466" w:type="dxa"/>
            <w:shd w:val="clear" w:color="auto" w:fill="auto"/>
            <w:tcMar>
              <w:left w:w="28" w:type="dxa"/>
              <w:right w:w="28" w:type="dxa"/>
            </w:tcMar>
            <w:hideMark/>
          </w:tcPr>
          <w:p w14:paraId="6CC92056"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7AEA84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RECIST or mWHO</w:t>
            </w:r>
          </w:p>
        </w:tc>
        <w:tc>
          <w:tcPr>
            <w:tcW w:w="976" w:type="dxa"/>
            <w:tcBorders>
              <w:left w:val="single" w:sz="12" w:space="0" w:color="auto"/>
              <w:right w:val="single" w:sz="6" w:space="0" w:color="auto"/>
            </w:tcBorders>
            <w:tcMar>
              <w:left w:w="28" w:type="dxa"/>
              <w:right w:w="28" w:type="dxa"/>
            </w:tcMar>
          </w:tcPr>
          <w:p w14:paraId="11E9BC5A"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4EEB95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3EDE896D"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0381EF46"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A002DCF" w14:textId="3E518CB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3EA1A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Various solid tumours</w:t>
            </w:r>
          </w:p>
        </w:tc>
        <w:tc>
          <w:tcPr>
            <w:tcW w:w="944" w:type="dxa"/>
            <w:tcBorders>
              <w:left w:val="single" w:sz="12" w:space="0" w:color="auto"/>
            </w:tcBorders>
            <w:shd w:val="clear" w:color="auto" w:fill="auto"/>
            <w:tcMar>
              <w:left w:w="28" w:type="dxa"/>
              <w:right w:w="28" w:type="dxa"/>
            </w:tcMar>
            <w:hideMark/>
          </w:tcPr>
          <w:p w14:paraId="27195B7C"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12D77127"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6E1C951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5991A9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w:t>
            </w:r>
          </w:p>
        </w:tc>
        <w:tc>
          <w:tcPr>
            <w:tcW w:w="992" w:type="dxa"/>
            <w:shd w:val="clear" w:color="auto" w:fill="auto"/>
            <w:tcMar>
              <w:left w:w="28" w:type="dxa"/>
              <w:right w:w="28" w:type="dxa"/>
            </w:tcMar>
            <w:hideMark/>
          </w:tcPr>
          <w:p w14:paraId="4427C6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44FC45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752" w:type="dxa"/>
            <w:tcBorders>
              <w:left w:val="single" w:sz="12" w:space="0" w:color="auto"/>
            </w:tcBorders>
            <w:shd w:val="clear" w:color="auto" w:fill="auto"/>
            <w:tcMar>
              <w:left w:w="28" w:type="dxa"/>
              <w:right w:w="28" w:type="dxa"/>
            </w:tcMar>
            <w:hideMark/>
          </w:tcPr>
          <w:p w14:paraId="1CF62F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55" w:type="dxa"/>
            <w:tcBorders>
              <w:right w:val="single" w:sz="12" w:space="0" w:color="auto"/>
            </w:tcBorders>
            <w:shd w:val="clear" w:color="auto" w:fill="auto"/>
            <w:tcMar>
              <w:left w:w="28" w:type="dxa"/>
              <w:right w:w="28" w:type="dxa"/>
            </w:tcMar>
            <w:hideMark/>
          </w:tcPr>
          <w:p w14:paraId="2B9A795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tcBorders>
            <w:shd w:val="clear" w:color="auto" w:fill="auto"/>
            <w:tcMar>
              <w:left w:w="28" w:type="dxa"/>
              <w:right w:w="28" w:type="dxa"/>
            </w:tcMar>
            <w:hideMark/>
          </w:tcPr>
          <w:p w14:paraId="602E90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shd w:val="clear" w:color="auto" w:fill="auto"/>
            <w:tcMar>
              <w:left w:w="28" w:type="dxa"/>
              <w:right w:w="28" w:type="dxa"/>
            </w:tcMar>
            <w:hideMark/>
          </w:tcPr>
          <w:p w14:paraId="756921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Up to 2009</w:t>
            </w:r>
          </w:p>
        </w:tc>
        <w:tc>
          <w:tcPr>
            <w:tcW w:w="466" w:type="dxa"/>
            <w:shd w:val="clear" w:color="auto" w:fill="auto"/>
            <w:tcMar>
              <w:left w:w="28" w:type="dxa"/>
              <w:right w:w="28" w:type="dxa"/>
            </w:tcMar>
            <w:hideMark/>
          </w:tcPr>
          <w:p w14:paraId="5D358BD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6A42F7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262CF3E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tcBorders>
            <w:tcMar>
              <w:left w:w="28" w:type="dxa"/>
              <w:right w:w="28" w:type="dxa"/>
            </w:tcMar>
          </w:tcPr>
          <w:p w14:paraId="25955A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right w:val="single" w:sz="12" w:space="0" w:color="auto"/>
            </w:tcBorders>
            <w:tcMar>
              <w:left w:w="28" w:type="dxa"/>
              <w:right w:w="28" w:type="dxa"/>
            </w:tcMar>
          </w:tcPr>
          <w:p w14:paraId="6DC396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r>
      <w:tr w:rsidR="002E26FD" w:rsidRPr="002D1DD7" w14:paraId="44C20EE4" w14:textId="77777777" w:rsidTr="003117A9">
        <w:trPr>
          <w:cantSplit/>
        </w:trPr>
        <w:tc>
          <w:tcPr>
            <w:tcW w:w="993" w:type="dxa"/>
            <w:tcBorders>
              <w:left w:val="single" w:sz="12" w:space="0" w:color="auto"/>
              <w:right w:val="single" w:sz="12" w:space="0" w:color="auto"/>
            </w:tcBorders>
            <w:shd w:val="clear" w:color="auto" w:fill="auto"/>
            <w:tcMar>
              <w:left w:w="28" w:type="dxa"/>
              <w:right w:w="28" w:type="dxa"/>
            </w:tcMar>
            <w:hideMark/>
          </w:tcPr>
          <w:p w14:paraId="2AC4F692" w14:textId="1251DF6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1134" w:type="dxa"/>
            <w:tcBorders>
              <w:left w:val="single" w:sz="12" w:space="0" w:color="auto"/>
              <w:right w:val="single" w:sz="12" w:space="0" w:color="auto"/>
            </w:tcBorders>
            <w:shd w:val="clear" w:color="auto" w:fill="auto"/>
            <w:tcMar>
              <w:left w:w="28" w:type="dxa"/>
              <w:right w:w="28" w:type="dxa"/>
            </w:tcMar>
          </w:tcPr>
          <w:p w14:paraId="613403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44" w:type="dxa"/>
            <w:tcBorders>
              <w:left w:val="single" w:sz="12" w:space="0" w:color="auto"/>
            </w:tcBorders>
            <w:shd w:val="clear" w:color="auto" w:fill="auto"/>
            <w:tcMar>
              <w:left w:w="28" w:type="dxa"/>
              <w:right w:w="28" w:type="dxa"/>
            </w:tcMar>
            <w:hideMark/>
          </w:tcPr>
          <w:p w14:paraId="2389457E"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right w:val="single" w:sz="12" w:space="0" w:color="auto"/>
            </w:tcBorders>
            <w:shd w:val="clear" w:color="auto" w:fill="auto"/>
            <w:tcMar>
              <w:left w:w="28" w:type="dxa"/>
              <w:right w:w="28" w:type="dxa"/>
            </w:tcMar>
            <w:hideMark/>
          </w:tcPr>
          <w:p w14:paraId="643BCB0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64E9176C"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tcBorders>
            <w:shd w:val="clear" w:color="auto" w:fill="auto"/>
            <w:tcMar>
              <w:left w:w="28" w:type="dxa"/>
              <w:right w:w="28" w:type="dxa"/>
            </w:tcMar>
            <w:hideMark/>
          </w:tcPr>
          <w:p w14:paraId="5D346D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Advanced, locally advanced, unresectable or metastatic</w:t>
            </w:r>
          </w:p>
        </w:tc>
        <w:tc>
          <w:tcPr>
            <w:tcW w:w="992" w:type="dxa"/>
            <w:shd w:val="clear" w:color="auto" w:fill="auto"/>
            <w:tcMar>
              <w:left w:w="28" w:type="dxa"/>
              <w:right w:w="28" w:type="dxa"/>
            </w:tcMar>
            <w:hideMark/>
          </w:tcPr>
          <w:p w14:paraId="3F574E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right w:val="single" w:sz="12" w:space="0" w:color="auto"/>
            </w:tcBorders>
            <w:shd w:val="clear" w:color="auto" w:fill="auto"/>
            <w:tcMar>
              <w:left w:w="28" w:type="dxa"/>
              <w:right w:w="28" w:type="dxa"/>
            </w:tcMar>
            <w:hideMark/>
          </w:tcPr>
          <w:p w14:paraId="1367DB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752" w:type="dxa"/>
            <w:tcBorders>
              <w:left w:val="single" w:sz="12" w:space="0" w:color="auto"/>
            </w:tcBorders>
            <w:shd w:val="clear" w:color="auto" w:fill="auto"/>
            <w:tcMar>
              <w:left w:w="28" w:type="dxa"/>
              <w:right w:w="28" w:type="dxa"/>
            </w:tcMar>
            <w:hideMark/>
          </w:tcPr>
          <w:p w14:paraId="124E3152"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143</w:t>
            </w:r>
            <w:r w:rsidRPr="002D1DD7">
              <w:rPr>
                <w:rFonts w:eastAsia="Times New Roman" w:cs="Times New Roman"/>
                <w:color w:val="000000"/>
                <w:sz w:val="18"/>
                <w:szCs w:val="18"/>
                <w:vertAlign w:val="superscript"/>
                <w:lang w:eastAsia="zh-CN"/>
              </w:rPr>
              <w:t>†</w:t>
            </w:r>
          </w:p>
        </w:tc>
        <w:tc>
          <w:tcPr>
            <w:tcW w:w="755" w:type="dxa"/>
            <w:tcBorders>
              <w:right w:val="single" w:sz="12" w:space="0" w:color="auto"/>
            </w:tcBorders>
            <w:shd w:val="clear" w:color="auto" w:fill="auto"/>
            <w:tcMar>
              <w:left w:w="28" w:type="dxa"/>
              <w:right w:w="28" w:type="dxa"/>
            </w:tcMar>
            <w:hideMark/>
          </w:tcPr>
          <w:p w14:paraId="5CC6D055"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6974</w:t>
            </w:r>
            <w:r w:rsidRPr="002D1DD7">
              <w:rPr>
                <w:rFonts w:eastAsia="Times New Roman" w:cs="Times New Roman"/>
                <w:color w:val="000000"/>
                <w:sz w:val="18"/>
                <w:szCs w:val="18"/>
                <w:vertAlign w:val="superscript"/>
                <w:lang w:eastAsia="zh-CN"/>
              </w:rPr>
              <w:t>†</w:t>
            </w:r>
          </w:p>
        </w:tc>
        <w:tc>
          <w:tcPr>
            <w:tcW w:w="581" w:type="dxa"/>
            <w:tcBorders>
              <w:left w:val="single" w:sz="12" w:space="0" w:color="auto"/>
            </w:tcBorders>
            <w:shd w:val="clear" w:color="auto" w:fill="auto"/>
            <w:tcMar>
              <w:left w:w="28" w:type="dxa"/>
              <w:right w:w="28" w:type="dxa"/>
            </w:tcMar>
            <w:hideMark/>
          </w:tcPr>
          <w:p w14:paraId="523339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 + SA</w:t>
            </w:r>
          </w:p>
        </w:tc>
        <w:tc>
          <w:tcPr>
            <w:tcW w:w="1168" w:type="dxa"/>
            <w:shd w:val="clear" w:color="auto" w:fill="auto"/>
            <w:tcMar>
              <w:left w:w="28" w:type="dxa"/>
              <w:right w:w="28" w:type="dxa"/>
            </w:tcMar>
            <w:hideMark/>
          </w:tcPr>
          <w:p w14:paraId="124111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2006 to 2008</w:t>
            </w:r>
          </w:p>
        </w:tc>
        <w:tc>
          <w:tcPr>
            <w:tcW w:w="466" w:type="dxa"/>
            <w:shd w:val="clear" w:color="auto" w:fill="auto"/>
            <w:tcMar>
              <w:left w:w="28" w:type="dxa"/>
              <w:right w:w="28" w:type="dxa"/>
            </w:tcMar>
            <w:hideMark/>
          </w:tcPr>
          <w:p w14:paraId="6545AF5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right w:val="single" w:sz="12" w:space="0" w:color="auto"/>
            </w:tcBorders>
            <w:shd w:val="clear" w:color="auto" w:fill="auto"/>
            <w:tcMar>
              <w:left w:w="28" w:type="dxa"/>
              <w:right w:w="28" w:type="dxa"/>
            </w:tcMar>
            <w:hideMark/>
          </w:tcPr>
          <w:p w14:paraId="3D64F1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right w:val="single" w:sz="6" w:space="0" w:color="auto"/>
            </w:tcBorders>
            <w:tcMar>
              <w:left w:w="28" w:type="dxa"/>
              <w:right w:w="28" w:type="dxa"/>
            </w:tcMar>
          </w:tcPr>
          <w:p w14:paraId="648251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910" w:type="dxa"/>
            <w:tcBorders>
              <w:left w:val="single" w:sz="6" w:space="0" w:color="auto"/>
            </w:tcBorders>
            <w:tcMar>
              <w:left w:w="28" w:type="dxa"/>
              <w:right w:w="28" w:type="dxa"/>
            </w:tcMar>
          </w:tcPr>
          <w:p w14:paraId="7678D565"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742" w:type="dxa"/>
            <w:tcBorders>
              <w:right w:val="single" w:sz="12" w:space="0" w:color="auto"/>
            </w:tcBorders>
            <w:tcMar>
              <w:left w:w="28" w:type="dxa"/>
              <w:right w:w="28" w:type="dxa"/>
            </w:tcMar>
          </w:tcPr>
          <w:p w14:paraId="149F77C2"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532394BA" w14:textId="77777777" w:rsidTr="003117A9">
        <w:trPr>
          <w:cantSplit/>
        </w:trPr>
        <w:tc>
          <w:tcPr>
            <w:tcW w:w="99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63C20A42" w14:textId="653AE24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Wilkerson+Fojo 2009</w:t>
            </w:r>
            <w:r w:rsidRPr="002D1DD7">
              <w:rPr>
                <w:rFonts w:eastAsia="Times New Roman" w:cs="Times New Roman"/>
                <w:color w:val="000000"/>
                <w:sz w:val="18"/>
                <w:szCs w:val="18"/>
                <w:lang w:eastAsia="zh-CN"/>
              </w:rPr>
              <w:fldChar w:fldCharType="begin">
                <w:fldData xml:space="preserve">PEVuZE5vdGU+PENpdGU+PEF1dGhvcj5XaWxrZXJzb248L0F1dGhvcj48WWVhcj4yMDA5PC9ZZWFy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RT1mdWxsdGV4dCZhbXA7RD1tZWQ2JmFtcDtBTj0xOTgyNjM1Nzwvc3R5bGU+PHN0eWxlIGZhY2U9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c2VydmljZXNfcGFnZT9zaWQ9T1ZJRDptZWRsaW5lJmFtcDtpZD1wbWlkOjE5ODI2MzU3JmFtcDtp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PEVuZE5vdGU+PENpdGU+PEF1dGhvcj5XaWxrZXJzb248L0F1dGhvcj48WWVhcj4yMDA5PC9ZZWFy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RT1mdWxsdGV4dCZhbXA7RD1tZWQ2JmFtcDtBTj0xOTgyNjM1Nzwvc3R5bGU+PHN0eWxlIGZhY2U9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c2VydmljZXNfcGFnZT9zaWQ9T1ZJRDptZWRsaW5lJmFtcDtpZD1wbWlkOjE5ODI2MzU3JmFtcDtp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139</w:t>
            </w:r>
            <w:r w:rsidRPr="002D1DD7">
              <w:rPr>
                <w:rFonts w:eastAsia="Times New Roman" w:cs="Times New Roman"/>
                <w:color w:val="000000"/>
                <w:sz w:val="18"/>
                <w:szCs w:val="18"/>
                <w:lang w:eastAsia="zh-CN"/>
              </w:rPr>
              <w:fldChar w:fldCharType="end"/>
            </w:r>
          </w:p>
        </w:tc>
        <w:tc>
          <w:tcPr>
            <w:tcW w:w="1134" w:type="dxa"/>
            <w:tcBorders>
              <w:left w:val="single" w:sz="12" w:space="0" w:color="auto"/>
              <w:bottom w:val="single" w:sz="12" w:space="0" w:color="auto"/>
              <w:right w:val="single" w:sz="12" w:space="0" w:color="auto"/>
            </w:tcBorders>
            <w:shd w:val="clear" w:color="auto" w:fill="auto"/>
            <w:tcMar>
              <w:left w:w="28" w:type="dxa"/>
              <w:right w:w="28" w:type="dxa"/>
            </w:tcMar>
          </w:tcPr>
          <w:p w14:paraId="261060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Various solid tumours</w:t>
            </w:r>
          </w:p>
        </w:tc>
        <w:tc>
          <w:tcPr>
            <w:tcW w:w="944" w:type="dxa"/>
            <w:tcBorders>
              <w:left w:val="single" w:sz="12" w:space="0" w:color="auto"/>
              <w:bottom w:val="single" w:sz="12" w:space="0" w:color="auto"/>
            </w:tcBorders>
            <w:shd w:val="clear" w:color="auto" w:fill="auto"/>
            <w:tcMar>
              <w:left w:w="28" w:type="dxa"/>
              <w:right w:w="28" w:type="dxa"/>
            </w:tcMar>
            <w:hideMark/>
          </w:tcPr>
          <w:p w14:paraId="5D442614" w14:textId="77777777" w:rsidR="002E26FD" w:rsidRPr="002D1DD7" w:rsidRDefault="002E26FD" w:rsidP="003117A9">
            <w:pPr>
              <w:spacing w:before="0" w:after="0" w:line="240" w:lineRule="auto"/>
              <w:rPr>
                <w:rFonts w:eastAsia="Times New Roman" w:cs="Times New Roman"/>
                <w:sz w:val="18"/>
                <w:szCs w:val="18"/>
                <w:lang w:eastAsia="zh-CN"/>
              </w:rPr>
            </w:pPr>
            <w:r>
              <w:rPr>
                <w:rFonts w:eastAsia="Times New Roman" w:cs="Times New Roman"/>
                <w:sz w:val="18"/>
                <w:szCs w:val="18"/>
                <w:lang w:eastAsia="zh-CN"/>
              </w:rPr>
              <w:t>O</w:t>
            </w:r>
            <w:r w:rsidRPr="002D1DD7">
              <w:rPr>
                <w:rFonts w:eastAsia="Times New Roman" w:cs="Times New Roman"/>
                <w:sz w:val="18"/>
                <w:szCs w:val="18"/>
                <w:lang w:eastAsia="zh-CN"/>
              </w:rPr>
              <w:t>RR</w:t>
            </w:r>
          </w:p>
        </w:tc>
        <w:tc>
          <w:tcPr>
            <w:tcW w:w="829" w:type="dxa"/>
            <w:tcBorders>
              <w:bottom w:val="single" w:sz="12" w:space="0" w:color="auto"/>
              <w:right w:val="single" w:sz="12" w:space="0" w:color="auto"/>
            </w:tcBorders>
            <w:shd w:val="clear" w:color="auto" w:fill="auto"/>
            <w:tcMar>
              <w:left w:w="28" w:type="dxa"/>
              <w:right w:w="28" w:type="dxa"/>
            </w:tcMar>
            <w:hideMark/>
          </w:tcPr>
          <w:p w14:paraId="1A75BC89"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PFS</w:t>
            </w:r>
          </w:p>
          <w:p w14:paraId="31CEA37F"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OS</w:t>
            </w:r>
          </w:p>
        </w:tc>
        <w:tc>
          <w:tcPr>
            <w:tcW w:w="1062" w:type="dxa"/>
            <w:tcBorders>
              <w:left w:val="single" w:sz="12" w:space="0" w:color="auto"/>
              <w:bottom w:val="single" w:sz="12" w:space="0" w:color="auto"/>
            </w:tcBorders>
            <w:shd w:val="clear" w:color="auto" w:fill="auto"/>
            <w:tcMar>
              <w:left w:w="28" w:type="dxa"/>
              <w:right w:w="28" w:type="dxa"/>
            </w:tcMar>
            <w:hideMark/>
          </w:tcPr>
          <w:p w14:paraId="5F62FC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Metastatic</w:t>
            </w:r>
          </w:p>
        </w:tc>
        <w:tc>
          <w:tcPr>
            <w:tcW w:w="992" w:type="dxa"/>
            <w:tcBorders>
              <w:bottom w:val="single" w:sz="12" w:space="0" w:color="auto"/>
            </w:tcBorders>
            <w:shd w:val="clear" w:color="auto" w:fill="auto"/>
            <w:tcMar>
              <w:left w:w="28" w:type="dxa"/>
              <w:right w:w="28" w:type="dxa"/>
            </w:tcMar>
            <w:hideMark/>
          </w:tcPr>
          <w:p w14:paraId="738931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280" w:type="dxa"/>
            <w:tcBorders>
              <w:bottom w:val="single" w:sz="12" w:space="0" w:color="auto"/>
              <w:right w:val="single" w:sz="12" w:space="0" w:color="auto"/>
            </w:tcBorders>
            <w:shd w:val="clear" w:color="auto" w:fill="auto"/>
            <w:tcMar>
              <w:left w:w="28" w:type="dxa"/>
              <w:right w:w="28" w:type="dxa"/>
            </w:tcMar>
            <w:hideMark/>
          </w:tcPr>
          <w:p w14:paraId="712E34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52" w:type="dxa"/>
            <w:tcBorders>
              <w:left w:val="single" w:sz="12" w:space="0" w:color="auto"/>
              <w:bottom w:val="single" w:sz="12" w:space="0" w:color="auto"/>
            </w:tcBorders>
            <w:shd w:val="clear" w:color="auto" w:fill="auto"/>
            <w:tcMar>
              <w:left w:w="28" w:type="dxa"/>
              <w:right w:w="28" w:type="dxa"/>
            </w:tcMar>
            <w:hideMark/>
          </w:tcPr>
          <w:p w14:paraId="14983C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55" w:type="dxa"/>
            <w:tcBorders>
              <w:bottom w:val="single" w:sz="12" w:space="0" w:color="auto"/>
              <w:right w:val="single" w:sz="12" w:space="0" w:color="auto"/>
            </w:tcBorders>
            <w:shd w:val="clear" w:color="auto" w:fill="auto"/>
            <w:tcMar>
              <w:left w:w="28" w:type="dxa"/>
              <w:right w:w="28" w:type="dxa"/>
            </w:tcMar>
            <w:hideMark/>
          </w:tcPr>
          <w:p w14:paraId="2F4ED601"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NR</w:t>
            </w:r>
          </w:p>
        </w:tc>
        <w:tc>
          <w:tcPr>
            <w:tcW w:w="581" w:type="dxa"/>
            <w:tcBorders>
              <w:left w:val="single" w:sz="12" w:space="0" w:color="auto"/>
              <w:bottom w:val="single" w:sz="12" w:space="0" w:color="auto"/>
            </w:tcBorders>
            <w:shd w:val="clear" w:color="auto" w:fill="auto"/>
            <w:tcMar>
              <w:left w:w="28" w:type="dxa"/>
              <w:right w:w="28" w:type="dxa"/>
            </w:tcMar>
            <w:hideMark/>
          </w:tcPr>
          <w:p w14:paraId="7E74B1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RCT</w:t>
            </w:r>
          </w:p>
        </w:tc>
        <w:tc>
          <w:tcPr>
            <w:tcW w:w="1168" w:type="dxa"/>
            <w:tcBorders>
              <w:bottom w:val="single" w:sz="12" w:space="0" w:color="auto"/>
            </w:tcBorders>
            <w:shd w:val="clear" w:color="auto" w:fill="auto"/>
            <w:tcMar>
              <w:left w:w="28" w:type="dxa"/>
              <w:right w:w="28" w:type="dxa"/>
            </w:tcMar>
            <w:hideMark/>
          </w:tcPr>
          <w:p w14:paraId="5DC618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466" w:type="dxa"/>
            <w:tcBorders>
              <w:bottom w:val="single" w:sz="12" w:space="0" w:color="auto"/>
            </w:tcBorders>
            <w:shd w:val="clear" w:color="auto" w:fill="auto"/>
            <w:tcMar>
              <w:left w:w="28" w:type="dxa"/>
              <w:right w:w="28" w:type="dxa"/>
            </w:tcMar>
            <w:hideMark/>
          </w:tcPr>
          <w:p w14:paraId="13AD8C7A" w14:textId="77777777" w:rsidR="002E26FD" w:rsidRPr="002D1DD7" w:rsidRDefault="002E26FD" w:rsidP="003117A9">
            <w:pPr>
              <w:spacing w:before="0" w:after="0" w:line="240" w:lineRule="auto"/>
              <w:rPr>
                <w:rFonts w:eastAsia="Times New Roman" w:cs="Times New Roman"/>
                <w:sz w:val="18"/>
                <w:szCs w:val="18"/>
                <w:lang w:eastAsia="zh-CN"/>
              </w:rPr>
            </w:pPr>
            <w:r w:rsidRPr="002D1DD7">
              <w:rPr>
                <w:rFonts w:eastAsia="Times New Roman" w:cs="Times New Roman"/>
                <w:sz w:val="18"/>
                <w:szCs w:val="18"/>
                <w:lang w:eastAsia="zh-CN"/>
              </w:rPr>
              <w:t>AD</w:t>
            </w:r>
          </w:p>
        </w:tc>
        <w:tc>
          <w:tcPr>
            <w:tcW w:w="1321" w:type="dxa"/>
            <w:tcBorders>
              <w:bottom w:val="single" w:sz="12" w:space="0" w:color="auto"/>
              <w:right w:val="single" w:sz="12" w:space="0" w:color="auto"/>
            </w:tcBorders>
            <w:shd w:val="clear" w:color="auto" w:fill="auto"/>
            <w:tcMar>
              <w:left w:w="28" w:type="dxa"/>
              <w:right w:w="28" w:type="dxa"/>
            </w:tcMar>
            <w:hideMark/>
          </w:tcPr>
          <w:p w14:paraId="03F2DF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76" w:type="dxa"/>
            <w:tcBorders>
              <w:left w:val="single" w:sz="12" w:space="0" w:color="auto"/>
              <w:bottom w:val="single" w:sz="12" w:space="0" w:color="auto"/>
              <w:right w:val="single" w:sz="6" w:space="0" w:color="auto"/>
            </w:tcBorders>
            <w:tcMar>
              <w:left w:w="28" w:type="dxa"/>
              <w:right w:w="28" w:type="dxa"/>
            </w:tcMar>
          </w:tcPr>
          <w:p w14:paraId="178110F2"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910" w:type="dxa"/>
            <w:tcBorders>
              <w:left w:val="single" w:sz="6" w:space="0" w:color="auto"/>
              <w:bottom w:val="single" w:sz="12" w:space="0" w:color="auto"/>
            </w:tcBorders>
            <w:tcMar>
              <w:left w:w="28" w:type="dxa"/>
              <w:right w:w="28" w:type="dxa"/>
            </w:tcMar>
          </w:tcPr>
          <w:p w14:paraId="4D73DA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Y</w:t>
            </w:r>
          </w:p>
        </w:tc>
        <w:tc>
          <w:tcPr>
            <w:tcW w:w="742" w:type="dxa"/>
            <w:tcBorders>
              <w:bottom w:val="single" w:sz="12" w:space="0" w:color="auto"/>
              <w:right w:val="single" w:sz="12" w:space="0" w:color="auto"/>
            </w:tcBorders>
            <w:tcMar>
              <w:left w:w="28" w:type="dxa"/>
              <w:right w:w="28" w:type="dxa"/>
            </w:tcMar>
          </w:tcPr>
          <w:p w14:paraId="708C5847"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r>
      <w:tr w:rsidR="002E26FD" w:rsidRPr="002D1DD7" w14:paraId="3F314892" w14:textId="77777777" w:rsidTr="003117A9">
        <w:trPr>
          <w:cantSplit/>
        </w:trPr>
        <w:tc>
          <w:tcPr>
            <w:tcW w:w="14905" w:type="dxa"/>
            <w:gridSpan w:val="16"/>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70D8401" w14:textId="122BB24C" w:rsidR="002E26FD" w:rsidRPr="002D1DD7" w:rsidRDefault="002E26FD" w:rsidP="003117A9">
            <w:pPr>
              <w:spacing w:before="0" w:after="0" w:line="240" w:lineRule="auto"/>
              <w:rPr>
                <w:rFonts w:eastAsia="DengXian" w:cs="Times New Roman"/>
                <w:sz w:val="18"/>
                <w:szCs w:val="18"/>
                <w:lang w:eastAsia="zh-CN"/>
              </w:rPr>
            </w:pPr>
            <w:r w:rsidRPr="002D1DD7">
              <w:rPr>
                <w:rFonts w:eastAsia="DengXian" w:cs="Times New Roman"/>
                <w:sz w:val="18"/>
                <w:szCs w:val="18"/>
                <w:lang w:eastAsia="zh-CN"/>
              </w:rPr>
              <w:t>Note: Of the 63 included studies (64 refs), 8 references</w:t>
            </w:r>
            <w:r w:rsidRPr="002D1DD7">
              <w:rPr>
                <w:rFonts w:eastAsia="DengXi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eHQ+PHN0eWxlIGZhY2U9InN1cGVyc2NyaXB0Ij43OCwgMTA2LCAxMDgsIDEyNSwgMTI3LCAxMzcs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TkVXUz1OJmFtcDtQQUdFPWZ1bGx0ZXh0JmFtcDtEPW1lZDUmYW1wO0FOPTE2OTQ1NzY5JiN4RDto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PVkmYW1wO05FV1M9TiZhbXA7UEFHRT1mdWxsdGV4dCZhbXA7RD1tZWQxMyZhbXA7QU49MjkyNjA2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YW1wO1BBR0U9ZnVsbHRleHQmYW1wO0Q9bWVkNiZhbXA7QU49MTk4MjYzNTU8L3N0eWxlPjxzdHls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</w:fldData>
              </w:fldChar>
            </w:r>
            <w:r w:rsidR="000E66DE">
              <w:rPr>
                <w:rFonts w:eastAsia="DengXian" w:cs="Times New Roman"/>
                <w:sz w:val="18"/>
                <w:szCs w:val="18"/>
                <w:lang w:eastAsia="zh-CN"/>
              </w:rPr>
              <w:instrText xml:space="preserve"> ADDIN EN.CITE </w:instrText>
            </w:r>
            <w:r w:rsidR="000E66DE">
              <w:rPr>
                <w:rFonts w:eastAsia="DengXi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eHQ+PHN0eWxlIGZhY2U9InN1cGVyc2NyaXB0Ij43OCwgMTA2LCAxMDgsIDEyNSwgMTI3LCAxMzcs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PVkmYW1wO05FV1M9TiZhbXA7UEFHRT1mdWxsdGV4dCZhbXA7RD1tZWQxMyZhbXA7QU49MjkyNjA2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YW1wO1BBR0U9ZnVsbHRleHQmYW1wO0Q9bWVkNiZhbXA7QU49MTk4MjYzNTU8L3N0eWxlPjxzdHls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</w:fldData>
              </w:fldChar>
            </w:r>
            <w:r w:rsidR="000E66DE">
              <w:rPr>
                <w:rFonts w:eastAsia="DengXian" w:cs="Times New Roman"/>
                <w:sz w:val="18"/>
                <w:szCs w:val="18"/>
                <w:lang w:eastAsia="zh-CN"/>
              </w:rPr>
              <w:instrText xml:space="preserve"> ADDIN EN.CITE.DATA </w:instrText>
            </w:r>
            <w:r w:rsidR="000E66DE">
              <w:rPr>
                <w:rFonts w:eastAsia="DengXian" w:cs="Times New Roman"/>
                <w:sz w:val="18"/>
                <w:szCs w:val="18"/>
                <w:lang w:eastAsia="zh-CN"/>
              </w:rPr>
            </w:r>
            <w:r w:rsidR="000E66DE">
              <w:rPr>
                <w:rFonts w:eastAsia="DengXian" w:cs="Times New Roman"/>
                <w:sz w:val="18"/>
                <w:szCs w:val="18"/>
                <w:lang w:eastAsia="zh-CN"/>
              </w:rPr>
              <w:fldChar w:fldCharType="end"/>
            </w:r>
            <w:r w:rsidRPr="002D1DD7">
              <w:rPr>
                <w:rFonts w:eastAsia="DengXian" w:cs="Times New Roman"/>
                <w:sz w:val="18"/>
                <w:szCs w:val="18"/>
                <w:lang w:eastAsia="zh-CN"/>
              </w:rPr>
            </w:r>
            <w:r w:rsidRPr="002D1DD7">
              <w:rPr>
                <w:rFonts w:eastAsia="DengXian" w:cs="Times New Roman"/>
                <w:sz w:val="18"/>
                <w:szCs w:val="18"/>
                <w:lang w:eastAsia="zh-CN"/>
              </w:rPr>
              <w:fldChar w:fldCharType="separate"/>
            </w:r>
            <w:r w:rsidR="003117A9" w:rsidRPr="003117A9">
              <w:rPr>
                <w:rFonts w:eastAsia="DengXian" w:cs="Times New Roman"/>
                <w:noProof/>
                <w:sz w:val="18"/>
                <w:szCs w:val="18"/>
                <w:vertAlign w:val="superscript"/>
                <w:lang w:eastAsia="zh-CN"/>
              </w:rPr>
              <w:t>78, 106, 108, 125, 127, 137, 138, 141</w:t>
            </w:r>
            <w:r w:rsidRPr="002D1DD7">
              <w:rPr>
                <w:rFonts w:eastAsia="DengXian" w:cs="Times New Roman"/>
                <w:sz w:val="18"/>
                <w:szCs w:val="18"/>
                <w:lang w:eastAsia="zh-CN"/>
              </w:rPr>
              <w:fldChar w:fldCharType="end"/>
            </w:r>
            <w:r w:rsidRPr="002D1DD7">
              <w:rPr>
                <w:rFonts w:eastAsia="DengXian" w:cs="Times New Roman"/>
                <w:sz w:val="18"/>
                <w:szCs w:val="18"/>
                <w:lang w:eastAsia="zh-CN"/>
              </w:rPr>
              <w:t xml:space="preserve"> appear on 2-3 rows as they report on 2-3 different cancer types. *Calculated from reported data. </w:t>
            </w:r>
            <w:r w:rsidRPr="002D1DD7">
              <w:rPr>
                <w:rFonts w:eastAsia="Times New Roman" w:cs="Times New Roman"/>
                <w:color w:val="000000"/>
                <w:sz w:val="18"/>
                <w:szCs w:val="18"/>
                <w:vertAlign w:val="superscript"/>
                <w:lang w:eastAsia="zh-CN"/>
              </w:rPr>
              <w:t>†</w:t>
            </w:r>
            <w:r w:rsidRPr="002D1DD7">
              <w:rPr>
                <w:rFonts w:eastAsia="DengXian" w:cs="Times New Roman"/>
                <w:sz w:val="18"/>
                <w:szCs w:val="18"/>
                <w:lang w:eastAsia="zh-CN"/>
              </w:rPr>
              <w:t>Unclear for individual subgroups.</w:t>
            </w:r>
          </w:p>
          <w:p w14:paraId="7C8DEB6F" w14:textId="77777777" w:rsidR="002E26FD" w:rsidRPr="002D1DD7" w:rsidRDefault="002E26FD" w:rsidP="003117A9">
            <w:pPr>
              <w:spacing w:before="0" w:after="0" w:line="240" w:lineRule="auto"/>
              <w:rPr>
                <w:rFonts w:eastAsia="DengXian" w:cs="Times New Roman"/>
                <w:sz w:val="18"/>
                <w:szCs w:val="18"/>
                <w:lang w:eastAsia="zh-CN"/>
              </w:rPr>
            </w:pPr>
          </w:p>
          <w:p w14:paraId="6B8DEFB1" w14:textId="77777777" w:rsidR="002E26FD" w:rsidRPr="002D1DD7" w:rsidRDefault="002E26FD" w:rsidP="003117A9">
            <w:pPr>
              <w:spacing w:before="0" w:after="0" w:line="240" w:lineRule="auto"/>
              <w:rPr>
                <w:rFonts w:eastAsia="DengXian" w:cs="Times New Roman"/>
                <w:sz w:val="18"/>
                <w:szCs w:val="18"/>
                <w:lang w:eastAsia="zh-CN"/>
              </w:rPr>
            </w:pPr>
            <w:r w:rsidRPr="002D1DD7">
              <w:rPr>
                <w:rFonts w:eastAsia="DengXian" w:cs="Times New Roman"/>
                <w:sz w:val="18"/>
                <w:szCs w:val="18"/>
                <w:lang w:eastAsia="zh-CN"/>
              </w:rPr>
              <w:t xml:space="preserve">AD, aggregate data; chemo, chemotherapy; CR, complete response; DoR, duration of response; ECOG, Eastern Cooperative Oncology Group; IMWG, International Myeloma Working Group (criteria); IPD, individual patient data; mo, months; mWHO, modified World Health Organisation (criteria); NHL, non-Hodgkin’s lymphoma; NR, not reported; NSCLC, non-small cell lung cancer; </w:t>
            </w:r>
            <w:r>
              <w:rPr>
                <w:rFonts w:eastAsia="DengXian" w:cs="Times New Roman"/>
                <w:sz w:val="18"/>
                <w:szCs w:val="18"/>
                <w:lang w:eastAsia="zh-CN"/>
              </w:rPr>
              <w:t>O</w:t>
            </w:r>
            <w:r w:rsidRPr="002D1DD7">
              <w:rPr>
                <w:rFonts w:eastAsia="DengXian" w:cs="Times New Roman"/>
                <w:sz w:val="18"/>
                <w:szCs w:val="18"/>
                <w:lang w:eastAsia="zh-CN"/>
              </w:rPr>
              <w:t xml:space="preserve">RR, </w:t>
            </w:r>
            <w:r>
              <w:rPr>
                <w:rFonts w:eastAsia="DengXian" w:cs="Times New Roman"/>
                <w:sz w:val="18"/>
                <w:szCs w:val="18"/>
                <w:lang w:eastAsia="zh-CN"/>
              </w:rPr>
              <w:t xml:space="preserve">overall </w:t>
            </w:r>
            <w:r w:rsidRPr="002D1DD7">
              <w:rPr>
                <w:rFonts w:eastAsia="DengXian" w:cs="Times New Roman"/>
                <w:sz w:val="18"/>
                <w:szCs w:val="18"/>
                <w:lang w:eastAsia="zh-CN"/>
              </w:rPr>
              <w:t>response rate (</w:t>
            </w:r>
            <w:r>
              <w:rPr>
                <w:rFonts w:eastAsia="DengXian" w:cs="Times New Roman"/>
                <w:sz w:val="18"/>
                <w:szCs w:val="18"/>
                <w:lang w:eastAsia="zh-CN"/>
              </w:rPr>
              <w:t>O</w:t>
            </w:r>
            <w:r w:rsidRPr="002D1DD7">
              <w:rPr>
                <w:rFonts w:eastAsia="DengXian" w:cs="Times New Roman"/>
                <w:sz w:val="18"/>
                <w:szCs w:val="18"/>
                <w:lang w:eastAsia="zh-CN"/>
              </w:rPr>
              <w:t>RR=PR+CR); OS, overall survival; PFS, progression-free survival; PR, partial response; RCT, randomised controlled trials; RECIST, Response Evaluation Criteria In Solid Tumours; SA, single-arm studies; SCLC, small cell lung cancer; STE, surrogate threshold effect; TTP, time to progression; VGPR, very good partial response; WHO, World Health Organisation (criteria).</w:t>
            </w:r>
          </w:p>
        </w:tc>
      </w:tr>
    </w:tbl>
    <w:p w14:paraId="6147A768" w14:textId="77777777" w:rsidR="002E26FD" w:rsidRDefault="002E26FD" w:rsidP="00057280">
      <w:pPr>
        <w:spacing w:before="0" w:after="160" w:line="259" w:lineRule="auto"/>
        <w:rPr>
          <w:rFonts w:eastAsia="Times New Roman" w:cs="Times New Roman"/>
          <w:color w:val="000000"/>
          <w:lang w:eastAsia="en-GB"/>
        </w:rPr>
      </w:pPr>
    </w:p>
    <w:p w14:paraId="3FA99A82" w14:textId="0C84E4BC" w:rsidR="00057280" w:rsidRPr="002D1DD7" w:rsidRDefault="00057280" w:rsidP="00057280">
      <w:pPr>
        <w:spacing w:before="0" w:after="160" w:line="259" w:lineRule="auto"/>
        <w:rPr>
          <w:rFonts w:eastAsia="Times New Roman" w:cs="Times New Roman"/>
          <w:color w:val="000000"/>
          <w:lang w:eastAsia="en-GB"/>
        </w:rPr>
      </w:pPr>
      <w:r w:rsidRPr="002D1DD7">
        <w:rPr>
          <w:rFonts w:eastAsia="Times New Roman" w:cs="Times New Roman"/>
          <w:color w:val="000000"/>
          <w:lang w:eastAsia="en-GB"/>
        </w:rPr>
        <w:br w:type="page"/>
      </w:r>
    </w:p>
    <w:p w14:paraId="6899560D" w14:textId="4A82067C" w:rsidR="00057280" w:rsidRPr="002D1DD7" w:rsidRDefault="00424CC3" w:rsidP="00EC11CD">
      <w:pPr>
        <w:pStyle w:val="NonnumberedH2"/>
      </w:pPr>
      <w:bookmarkStart w:id="296" w:name="_Toc33776255"/>
      <w:r w:rsidRPr="002D1DD7">
        <w:lastRenderedPageBreak/>
        <w:t>Appendix 5</w:t>
      </w:r>
      <w:r w:rsidR="00057280" w:rsidRPr="002D1DD7">
        <w:t>: Absolute correlation &amp; regression results</w:t>
      </w:r>
      <w:r w:rsidR="00456444">
        <w:t xml:space="preserve"> (ordered by outcome type then cancer type then author)</w:t>
      </w:r>
      <w:bookmarkEnd w:id="296"/>
    </w:p>
    <w:tbl>
      <w:tblPr>
        <w:tblW w:w="14975" w:type="dxa"/>
        <w:tblInd w:w="-5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8"/>
        <w:gridCol w:w="858"/>
        <w:gridCol w:w="858"/>
        <w:gridCol w:w="858"/>
        <w:gridCol w:w="1134"/>
        <w:gridCol w:w="1701"/>
        <w:gridCol w:w="573"/>
        <w:gridCol w:w="746"/>
        <w:gridCol w:w="1665"/>
        <w:gridCol w:w="1843"/>
        <w:gridCol w:w="1147"/>
        <w:gridCol w:w="1316"/>
        <w:gridCol w:w="1288"/>
      </w:tblGrid>
      <w:tr w:rsidR="002E26FD" w:rsidRPr="002D1DD7" w14:paraId="43782E65" w14:textId="77777777" w:rsidTr="003117A9">
        <w:trPr>
          <w:cantSplit/>
          <w:tblHeader/>
        </w:trPr>
        <w:tc>
          <w:tcPr>
            <w:tcW w:w="988" w:type="dxa"/>
            <w:tcBorders>
              <w:top w:val="single" w:sz="12" w:space="0" w:color="auto"/>
              <w:bottom w:val="single" w:sz="12" w:space="0" w:color="auto"/>
              <w:right w:val="single" w:sz="12" w:space="0" w:color="auto"/>
            </w:tcBorders>
            <w:shd w:val="clear" w:color="auto" w:fill="D9D9D9"/>
            <w:tcMar>
              <w:left w:w="28" w:type="dxa"/>
              <w:right w:w="28" w:type="dxa"/>
            </w:tcMar>
            <w:hideMark/>
          </w:tcPr>
          <w:p w14:paraId="739473DD"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Ref</w:t>
            </w:r>
          </w:p>
        </w:tc>
        <w:tc>
          <w:tcPr>
            <w:tcW w:w="858" w:type="dxa"/>
            <w:tcBorders>
              <w:top w:val="single" w:sz="12" w:space="0" w:color="auto"/>
              <w:left w:val="single" w:sz="12" w:space="0" w:color="auto"/>
              <w:bottom w:val="single" w:sz="12" w:space="0" w:color="auto"/>
            </w:tcBorders>
            <w:shd w:val="clear" w:color="auto" w:fill="D9D9D9"/>
            <w:tcMar>
              <w:left w:w="28" w:type="dxa"/>
              <w:right w:w="28" w:type="dxa"/>
            </w:tcMar>
          </w:tcPr>
          <w:p w14:paraId="212DDBC0"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SO</w:t>
            </w:r>
          </w:p>
        </w:tc>
        <w:tc>
          <w:tcPr>
            <w:tcW w:w="858" w:type="dxa"/>
            <w:tcBorders>
              <w:top w:val="single" w:sz="12" w:space="0" w:color="auto"/>
              <w:bottom w:val="single" w:sz="12" w:space="0" w:color="auto"/>
              <w:right w:val="single" w:sz="12" w:space="0" w:color="auto"/>
            </w:tcBorders>
            <w:shd w:val="clear" w:color="auto" w:fill="D9D9D9"/>
            <w:tcMar>
              <w:left w:w="28" w:type="dxa"/>
              <w:right w:w="28" w:type="dxa"/>
            </w:tcMar>
          </w:tcPr>
          <w:p w14:paraId="77540EF7"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FO</w:t>
            </w:r>
          </w:p>
        </w:tc>
        <w:tc>
          <w:tcPr>
            <w:tcW w:w="858" w:type="dxa"/>
            <w:tcBorders>
              <w:top w:val="single" w:sz="12" w:space="0" w:color="auto"/>
              <w:left w:val="single" w:sz="12" w:space="0" w:color="auto"/>
              <w:bottom w:val="single" w:sz="12" w:space="0" w:color="auto"/>
              <w:right w:val="single" w:sz="12" w:space="0" w:color="auto"/>
            </w:tcBorders>
            <w:shd w:val="clear" w:color="auto" w:fill="D9D9D9"/>
            <w:tcMar>
              <w:left w:w="28" w:type="dxa"/>
              <w:right w:w="28" w:type="dxa"/>
            </w:tcMar>
            <w:hideMark/>
          </w:tcPr>
          <w:p w14:paraId="6ECF1F1A"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Cancer</w:t>
            </w:r>
          </w:p>
        </w:tc>
        <w:tc>
          <w:tcPr>
            <w:tcW w:w="1134" w:type="dxa"/>
            <w:tcBorders>
              <w:top w:val="single" w:sz="12" w:space="0" w:color="auto"/>
              <w:left w:val="single" w:sz="12" w:space="0" w:color="auto"/>
              <w:bottom w:val="single" w:sz="12" w:space="0" w:color="auto"/>
            </w:tcBorders>
            <w:shd w:val="clear" w:color="auto" w:fill="D9D9D9"/>
            <w:tcMar>
              <w:left w:w="28" w:type="dxa"/>
              <w:right w:w="28" w:type="dxa"/>
            </w:tcMar>
            <w:hideMark/>
          </w:tcPr>
          <w:p w14:paraId="1AE90E93"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Line</w:t>
            </w:r>
            <w:r w:rsidRPr="002D1DD7">
              <w:rPr>
                <w:rFonts w:eastAsia="Times New Roman" w:cs="Times New Roman"/>
                <w:b/>
                <w:bCs/>
                <w:color w:val="000000"/>
                <w:sz w:val="18"/>
                <w:szCs w:val="18"/>
                <w:lang w:eastAsia="zh-CN"/>
              </w:rPr>
              <w:br/>
              <w:t>Sub-groups</w:t>
            </w:r>
          </w:p>
        </w:tc>
        <w:tc>
          <w:tcPr>
            <w:tcW w:w="1701" w:type="dxa"/>
            <w:tcBorders>
              <w:top w:val="single" w:sz="12" w:space="0" w:color="auto"/>
              <w:bottom w:val="single" w:sz="12" w:space="0" w:color="auto"/>
              <w:right w:val="single" w:sz="12" w:space="0" w:color="auto"/>
            </w:tcBorders>
            <w:shd w:val="clear" w:color="auto" w:fill="D9D9D9"/>
            <w:tcMar>
              <w:left w:w="28" w:type="dxa"/>
              <w:right w:w="28" w:type="dxa"/>
            </w:tcMar>
            <w:hideMark/>
          </w:tcPr>
          <w:p w14:paraId="79E0E70E"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Treatment</w:t>
            </w:r>
          </w:p>
        </w:tc>
        <w:tc>
          <w:tcPr>
            <w:tcW w:w="573" w:type="dxa"/>
            <w:tcBorders>
              <w:top w:val="single" w:sz="12" w:space="0" w:color="auto"/>
              <w:left w:val="single" w:sz="12" w:space="0" w:color="auto"/>
              <w:bottom w:val="single" w:sz="12" w:space="0" w:color="auto"/>
            </w:tcBorders>
            <w:shd w:val="clear" w:color="auto" w:fill="D9D9D9"/>
            <w:tcMar>
              <w:left w:w="28" w:type="dxa"/>
              <w:right w:w="28" w:type="dxa"/>
            </w:tcMar>
            <w:hideMark/>
          </w:tcPr>
          <w:p w14:paraId="440CF321"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N stds</w:t>
            </w:r>
          </w:p>
        </w:tc>
        <w:tc>
          <w:tcPr>
            <w:tcW w:w="746" w:type="dxa"/>
            <w:tcBorders>
              <w:top w:val="single" w:sz="12" w:space="0" w:color="auto"/>
              <w:bottom w:val="single" w:sz="12" w:space="0" w:color="auto"/>
              <w:right w:val="single" w:sz="12" w:space="0" w:color="auto"/>
            </w:tcBorders>
            <w:shd w:val="clear" w:color="auto" w:fill="D9D9D9"/>
            <w:tcMar>
              <w:left w:w="28" w:type="dxa"/>
              <w:right w:w="28" w:type="dxa"/>
            </w:tcMar>
            <w:hideMark/>
          </w:tcPr>
          <w:p w14:paraId="3FD81A52"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N pts</w:t>
            </w:r>
          </w:p>
        </w:tc>
        <w:tc>
          <w:tcPr>
            <w:tcW w:w="1665" w:type="dxa"/>
            <w:tcBorders>
              <w:top w:val="single" w:sz="12" w:space="0" w:color="auto"/>
              <w:left w:val="single" w:sz="12" w:space="0" w:color="auto"/>
              <w:bottom w:val="single" w:sz="12" w:space="0" w:color="auto"/>
            </w:tcBorders>
            <w:shd w:val="clear" w:color="auto" w:fill="D9D9D9"/>
            <w:tcMar>
              <w:left w:w="28" w:type="dxa"/>
              <w:right w:w="28" w:type="dxa"/>
            </w:tcMar>
            <w:hideMark/>
          </w:tcPr>
          <w:p w14:paraId="607693C1"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Absolute correlation methods</w:t>
            </w:r>
          </w:p>
        </w:tc>
        <w:tc>
          <w:tcPr>
            <w:tcW w:w="1843" w:type="dxa"/>
            <w:tcBorders>
              <w:top w:val="single" w:sz="12" w:space="0" w:color="auto"/>
              <w:bottom w:val="single" w:sz="12" w:space="0" w:color="auto"/>
              <w:right w:val="single" w:sz="12" w:space="0" w:color="auto"/>
            </w:tcBorders>
            <w:shd w:val="clear" w:color="auto" w:fill="D9D9D9"/>
            <w:tcMar>
              <w:left w:w="28" w:type="dxa"/>
              <w:right w:w="28" w:type="dxa"/>
            </w:tcMar>
            <w:hideMark/>
          </w:tcPr>
          <w:p w14:paraId="400F3665"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Correlation  coefficient (95% CI), p-value</w:t>
            </w:r>
          </w:p>
        </w:tc>
        <w:tc>
          <w:tcPr>
            <w:tcW w:w="1147" w:type="dxa"/>
            <w:tcBorders>
              <w:top w:val="single" w:sz="12" w:space="0" w:color="auto"/>
              <w:left w:val="single" w:sz="12" w:space="0" w:color="auto"/>
              <w:bottom w:val="single" w:sz="12" w:space="0" w:color="auto"/>
            </w:tcBorders>
            <w:shd w:val="clear" w:color="auto" w:fill="D9D9D9"/>
            <w:tcMar>
              <w:left w:w="28" w:type="dxa"/>
              <w:right w:w="28" w:type="dxa"/>
            </w:tcMar>
            <w:hideMark/>
          </w:tcPr>
          <w:p w14:paraId="22A68E05"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Absolute regression Methods</w:t>
            </w:r>
          </w:p>
        </w:tc>
        <w:tc>
          <w:tcPr>
            <w:tcW w:w="1316" w:type="dxa"/>
            <w:tcBorders>
              <w:top w:val="single" w:sz="12" w:space="0" w:color="auto"/>
              <w:bottom w:val="single" w:sz="12" w:space="0" w:color="auto"/>
            </w:tcBorders>
            <w:shd w:val="clear" w:color="auto" w:fill="D9D9D9"/>
            <w:tcMar>
              <w:left w:w="28" w:type="dxa"/>
              <w:right w:w="28" w:type="dxa"/>
            </w:tcMar>
            <w:hideMark/>
          </w:tcPr>
          <w:p w14:paraId="6AA31AAC"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Regression R2 (95% CI), p-value</w:t>
            </w:r>
          </w:p>
        </w:tc>
        <w:tc>
          <w:tcPr>
            <w:tcW w:w="1288" w:type="dxa"/>
            <w:tcBorders>
              <w:top w:val="single" w:sz="12" w:space="0" w:color="auto"/>
              <w:bottom w:val="single" w:sz="12" w:space="0" w:color="auto"/>
            </w:tcBorders>
            <w:shd w:val="clear" w:color="auto" w:fill="D9D9D9"/>
            <w:tcMar>
              <w:left w:w="28" w:type="dxa"/>
              <w:right w:w="28" w:type="dxa"/>
            </w:tcMar>
            <w:hideMark/>
          </w:tcPr>
          <w:p w14:paraId="0E4335EB"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Linear regression equation</w:t>
            </w:r>
          </w:p>
        </w:tc>
      </w:tr>
      <w:tr w:rsidR="002E26FD" w:rsidRPr="002D1DD7" w14:paraId="20CF3F8A" w14:textId="77777777" w:rsidTr="003117A9">
        <w:trPr>
          <w:cantSplit/>
        </w:trPr>
        <w:tc>
          <w:tcPr>
            <w:tcW w:w="14975" w:type="dxa"/>
            <w:gridSpan w:val="13"/>
            <w:tcBorders>
              <w:top w:val="single" w:sz="12" w:space="0" w:color="auto"/>
              <w:bottom w:val="single" w:sz="12" w:space="0" w:color="auto"/>
            </w:tcBorders>
            <w:shd w:val="clear" w:color="auto" w:fill="D9D9D9"/>
            <w:tcMar>
              <w:left w:w="28" w:type="dxa"/>
              <w:right w:w="28" w:type="dxa"/>
            </w:tcMar>
          </w:tcPr>
          <w:p w14:paraId="7498B11B"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Pr>
                <w:rFonts w:eastAsia="Times New Roman" w:cs="Times New Roman"/>
                <w:b/>
                <w:bCs/>
                <w:color w:val="000000"/>
                <w:sz w:val="18"/>
                <w:szCs w:val="18"/>
                <w:lang w:eastAsia="zh-CN"/>
              </w:rPr>
              <w:t>O</w:t>
            </w:r>
            <w:r w:rsidRPr="002D1DD7">
              <w:rPr>
                <w:rFonts w:eastAsia="Times New Roman" w:cs="Times New Roman"/>
                <w:b/>
                <w:bCs/>
                <w:color w:val="000000"/>
                <w:sz w:val="18"/>
                <w:szCs w:val="18"/>
                <w:lang w:eastAsia="zh-CN"/>
              </w:rPr>
              <w:t>RR vs. PFS (or TTP)</w:t>
            </w:r>
          </w:p>
        </w:tc>
      </w:tr>
      <w:tr w:rsidR="002E26FD" w:rsidRPr="002D1DD7" w14:paraId="1AB71EE8"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9C545CF" w14:textId="0F38130A"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Louvet 2001</w:t>
            </w:r>
            <w:r w:rsidRPr="002D1DD7">
              <w:rPr>
                <w:rFonts w:eastAsia="Times New Roman" w:cs="Times New Roman"/>
                <w:color w:val="000000"/>
                <w:sz w:val="18"/>
                <w:szCs w:val="18"/>
                <w:lang w:eastAsia="zh-CN"/>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eastAsia="Times New Roman" w:cs="Times New Roman"/>
                <w:color w:val="000000"/>
                <w:sz w:val="18"/>
                <w:szCs w:val="18"/>
                <w:lang w:eastAsia="zh-CN"/>
              </w:rPr>
              <w:instrText xml:space="preserve"> ADDIN EN.CITE </w:instrText>
            </w:r>
            <w:r w:rsidR="00054FE8">
              <w:rPr>
                <w:rFonts w:eastAsia="Times New Roman" w:cs="Times New Roman"/>
                <w:color w:val="000000"/>
                <w:sz w:val="18"/>
                <w:szCs w:val="18"/>
                <w:lang w:eastAsia="zh-CN"/>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eastAsia="Times New Roman" w:cs="Times New Roman"/>
                <w:color w:val="000000"/>
                <w:sz w:val="18"/>
                <w:szCs w:val="18"/>
                <w:lang w:eastAsia="zh-CN"/>
              </w:rPr>
              <w:instrText xml:space="preserve"> ADDIN EN.CITE.DATA </w:instrText>
            </w:r>
            <w:r w:rsidR="00054FE8">
              <w:rPr>
                <w:rFonts w:eastAsia="Times New Roman" w:cs="Times New Roman"/>
                <w:color w:val="000000"/>
                <w:sz w:val="18"/>
                <w:szCs w:val="18"/>
                <w:lang w:eastAsia="zh-CN"/>
              </w:rPr>
            </w:r>
            <w:r w:rsidR="00054FE8">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112</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3013E44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062935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5FA75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24898B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BCB38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4E305D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29</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08C2A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13498</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0C5537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C3F13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rs=0.66, p&lt;0.0001</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5AE855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tcBorders>
              <w:top w:val="single" w:sz="12" w:space="0" w:color="auto"/>
              <w:bottom w:val="single" w:sz="12" w:space="0" w:color="auto"/>
            </w:tcBorders>
            <w:shd w:val="clear" w:color="auto" w:fill="auto"/>
            <w:tcMar>
              <w:left w:w="28" w:type="dxa"/>
              <w:right w:w="28" w:type="dxa"/>
            </w:tcMar>
            <w:hideMark/>
          </w:tcPr>
          <w:p w14:paraId="1E3167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684E30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PFS = 3.2 + 0.1 *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190E000E"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7E296FF6" w14:textId="18B3ACD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Ichikawa 2006</w:t>
            </w:r>
            <w:r w:rsidRPr="002D1DD7">
              <w:rPr>
                <w:rFonts w:eastAsia="Times New Roman" w:cs="Times New Roman"/>
                <w:color w:val="000000"/>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102</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16B92DB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591BE7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TTP</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1E94A1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4705C0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42BC0C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(any)</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43280D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728B23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2144</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5EDF4C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TTP)</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378510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rs=0.49, p&lt;0.0001</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06E727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TTP)</w:t>
            </w:r>
          </w:p>
        </w:tc>
        <w:tc>
          <w:tcPr>
            <w:tcW w:w="1316" w:type="dxa"/>
            <w:tcBorders>
              <w:top w:val="single" w:sz="12" w:space="0" w:color="auto"/>
              <w:bottom w:val="single" w:sz="4" w:space="0" w:color="auto"/>
            </w:tcBorders>
            <w:shd w:val="clear" w:color="auto" w:fill="auto"/>
            <w:tcMar>
              <w:left w:w="28" w:type="dxa"/>
              <w:right w:w="28" w:type="dxa"/>
            </w:tcMar>
            <w:hideMark/>
          </w:tcPr>
          <w:p w14:paraId="6CE5CC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46F0A5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TTP = 1.73 + 0.09 *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28344DFF"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4924DD45" w14:textId="132159E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Ichikawa 2006</w:t>
            </w:r>
            <w:r w:rsidRPr="002D1DD7">
              <w:rPr>
                <w:rFonts w:eastAsia="Times New Roman" w:cs="Times New Roman"/>
                <w:color w:val="000000"/>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102</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2649852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6D85B7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TTP</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DDF97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45C8DB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459E3E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(novel)</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62C9CE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730957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1077</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4865EF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TTP)</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099917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rs=0.41, p=0.018</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513A0A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3AA9C0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1D5385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8DDC956"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79A0FDB5" w14:textId="540E470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Ichikawa 2006</w:t>
            </w:r>
            <w:r w:rsidRPr="002D1DD7">
              <w:rPr>
                <w:rFonts w:eastAsia="Times New Roman" w:cs="Times New Roman"/>
                <w:color w:val="000000"/>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102</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3032134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0C1B1E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TTP</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77D6B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717F76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41E89A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(non-novel)</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138914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0CE190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1067</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44634F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TTP)</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30FA4B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rs=0.56, p=0.0053</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0D3FFA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6A77D3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11F82C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C7D49B3"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6F81EB24" w14:textId="754C144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105</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6626AA8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right w:val="single" w:sz="12" w:space="0" w:color="auto"/>
            </w:tcBorders>
            <w:tcMar>
              <w:left w:w="28" w:type="dxa"/>
              <w:right w:w="28" w:type="dxa"/>
            </w:tcMar>
          </w:tcPr>
          <w:p w14:paraId="7467FC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hideMark/>
          </w:tcPr>
          <w:p w14:paraId="544A66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top w:val="single" w:sz="12" w:space="0" w:color="auto"/>
              <w:left w:val="single" w:sz="12" w:space="0" w:color="auto"/>
            </w:tcBorders>
            <w:shd w:val="clear" w:color="auto" w:fill="auto"/>
            <w:tcMar>
              <w:left w:w="28" w:type="dxa"/>
              <w:right w:w="28" w:type="dxa"/>
            </w:tcMar>
            <w:hideMark/>
          </w:tcPr>
          <w:p w14:paraId="4559F5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right w:val="single" w:sz="12" w:space="0" w:color="auto"/>
            </w:tcBorders>
            <w:shd w:val="clear" w:color="auto" w:fill="auto"/>
            <w:tcMar>
              <w:left w:w="28" w:type="dxa"/>
              <w:right w:w="28" w:type="dxa"/>
            </w:tcMar>
            <w:hideMark/>
          </w:tcPr>
          <w:p w14:paraId="27242E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top w:val="single" w:sz="12" w:space="0" w:color="auto"/>
              <w:left w:val="single" w:sz="12" w:space="0" w:color="auto"/>
            </w:tcBorders>
            <w:shd w:val="clear" w:color="auto" w:fill="auto"/>
            <w:tcMar>
              <w:left w:w="28" w:type="dxa"/>
              <w:right w:w="28" w:type="dxa"/>
            </w:tcMar>
            <w:hideMark/>
          </w:tcPr>
          <w:p w14:paraId="32184E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46" w:type="dxa"/>
            <w:tcBorders>
              <w:top w:val="single" w:sz="12" w:space="0" w:color="auto"/>
              <w:right w:val="single" w:sz="12" w:space="0" w:color="auto"/>
            </w:tcBorders>
            <w:shd w:val="clear" w:color="auto" w:fill="auto"/>
            <w:tcMar>
              <w:left w:w="28" w:type="dxa"/>
              <w:right w:w="28" w:type="dxa"/>
            </w:tcMar>
            <w:hideMark/>
          </w:tcPr>
          <w:p w14:paraId="699B61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3752</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tcBorders>
            <w:shd w:val="clear" w:color="auto" w:fill="auto"/>
            <w:tcMar>
              <w:left w:w="28" w:type="dxa"/>
              <w:right w:w="28" w:type="dxa"/>
            </w:tcMar>
            <w:hideMark/>
          </w:tcPr>
          <w:p w14:paraId="08F690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12" w:space="0" w:color="auto"/>
              <w:right w:val="single" w:sz="12" w:space="0" w:color="auto"/>
            </w:tcBorders>
            <w:shd w:val="clear" w:color="auto" w:fill="auto"/>
            <w:tcMar>
              <w:left w:w="28" w:type="dxa"/>
              <w:right w:w="28" w:type="dxa"/>
            </w:tcMar>
            <w:hideMark/>
          </w:tcPr>
          <w:p w14:paraId="76185D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r=0.55, p&lt;0.0001</w:t>
            </w:r>
            <w:r w:rsidRPr="002D1DD7">
              <w:rPr>
                <w:rFonts w:eastAsia="Times New Roman" w:cs="Times New Roman"/>
                <w:color w:val="000000"/>
                <w:sz w:val="18"/>
                <w:szCs w:val="18"/>
                <w:lang w:eastAsia="zh-CN"/>
              </w:rPr>
              <w:br/>
              <w:t>b) rs=0.33, p&lt;0.0001</w:t>
            </w:r>
          </w:p>
        </w:tc>
        <w:tc>
          <w:tcPr>
            <w:tcW w:w="1147" w:type="dxa"/>
            <w:tcBorders>
              <w:top w:val="single" w:sz="12" w:space="0" w:color="auto"/>
              <w:left w:val="single" w:sz="12" w:space="0" w:color="auto"/>
            </w:tcBorders>
            <w:shd w:val="clear" w:color="auto" w:fill="auto"/>
            <w:tcMar>
              <w:left w:w="28" w:type="dxa"/>
              <w:right w:w="28" w:type="dxa"/>
            </w:tcMar>
            <w:hideMark/>
          </w:tcPr>
          <w:p w14:paraId="1FDA8E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tcBorders>
              <w:top w:val="single" w:sz="12" w:space="0" w:color="auto"/>
            </w:tcBorders>
            <w:shd w:val="clear" w:color="auto" w:fill="auto"/>
            <w:tcMar>
              <w:left w:w="28" w:type="dxa"/>
              <w:right w:w="28" w:type="dxa"/>
            </w:tcMar>
            <w:hideMark/>
          </w:tcPr>
          <w:p w14:paraId="1E95B0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R2=0.30, p=0.206</w:t>
            </w:r>
          </w:p>
        </w:tc>
        <w:tc>
          <w:tcPr>
            <w:tcW w:w="1288" w:type="dxa"/>
            <w:tcBorders>
              <w:top w:val="single" w:sz="12" w:space="0" w:color="auto"/>
            </w:tcBorders>
            <w:shd w:val="clear" w:color="auto" w:fill="auto"/>
            <w:tcMar>
              <w:left w:w="28" w:type="dxa"/>
              <w:right w:w="28" w:type="dxa"/>
            </w:tcMar>
            <w:hideMark/>
          </w:tcPr>
          <w:p w14:paraId="6FA6C9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4CC92569" w14:textId="77777777" w:rsidTr="003117A9">
        <w:trPr>
          <w:cantSplit/>
        </w:trPr>
        <w:tc>
          <w:tcPr>
            <w:tcW w:w="988" w:type="dxa"/>
            <w:tcBorders>
              <w:right w:val="single" w:sz="12" w:space="0" w:color="auto"/>
            </w:tcBorders>
            <w:shd w:val="clear" w:color="auto" w:fill="auto"/>
            <w:tcMar>
              <w:left w:w="28" w:type="dxa"/>
              <w:right w:w="28" w:type="dxa"/>
            </w:tcMar>
            <w:hideMark/>
          </w:tcPr>
          <w:p w14:paraId="1D8149D9" w14:textId="595ECA0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105</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03FABA0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44BED7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hideMark/>
          </w:tcPr>
          <w:p w14:paraId="684D4F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78F7DD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High PD-L1 expression</w:t>
            </w:r>
          </w:p>
        </w:tc>
        <w:tc>
          <w:tcPr>
            <w:tcW w:w="1701" w:type="dxa"/>
            <w:tcBorders>
              <w:right w:val="single" w:sz="12" w:space="0" w:color="auto"/>
            </w:tcBorders>
            <w:shd w:val="clear" w:color="auto" w:fill="auto"/>
            <w:tcMar>
              <w:left w:w="28" w:type="dxa"/>
              <w:right w:w="28" w:type="dxa"/>
            </w:tcMar>
            <w:hideMark/>
          </w:tcPr>
          <w:p w14:paraId="57EEA0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left w:val="single" w:sz="12" w:space="0" w:color="auto"/>
            </w:tcBorders>
            <w:shd w:val="clear" w:color="auto" w:fill="auto"/>
            <w:tcMar>
              <w:left w:w="28" w:type="dxa"/>
              <w:right w:w="28" w:type="dxa"/>
            </w:tcMar>
            <w:hideMark/>
          </w:tcPr>
          <w:p w14:paraId="78A1BB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46" w:type="dxa"/>
            <w:tcBorders>
              <w:right w:val="single" w:sz="12" w:space="0" w:color="auto"/>
            </w:tcBorders>
            <w:shd w:val="clear" w:color="auto" w:fill="auto"/>
            <w:tcMar>
              <w:left w:w="28" w:type="dxa"/>
              <w:right w:w="28" w:type="dxa"/>
            </w:tcMar>
            <w:hideMark/>
          </w:tcPr>
          <w:p w14:paraId="6F9C8E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1381</w:t>
            </w:r>
          </w:p>
        </w:tc>
        <w:tc>
          <w:tcPr>
            <w:tcW w:w="1665" w:type="dxa"/>
            <w:tcBorders>
              <w:left w:val="single" w:sz="12" w:space="0" w:color="auto"/>
            </w:tcBorders>
            <w:shd w:val="clear" w:color="auto" w:fill="auto"/>
            <w:tcMar>
              <w:left w:w="28" w:type="dxa"/>
              <w:right w:w="28" w:type="dxa"/>
            </w:tcMar>
            <w:hideMark/>
          </w:tcPr>
          <w:p w14:paraId="6401C7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right w:val="single" w:sz="12" w:space="0" w:color="auto"/>
            </w:tcBorders>
            <w:shd w:val="clear" w:color="auto" w:fill="auto"/>
            <w:tcMar>
              <w:left w:w="28" w:type="dxa"/>
              <w:right w:w="28" w:type="dxa"/>
            </w:tcMar>
            <w:hideMark/>
          </w:tcPr>
          <w:p w14:paraId="33480C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r=0.90, p&lt;0.0001</w:t>
            </w:r>
            <w:r w:rsidRPr="002D1DD7">
              <w:rPr>
                <w:rFonts w:eastAsia="Times New Roman" w:cs="Times New Roman"/>
                <w:color w:val="000000"/>
                <w:sz w:val="18"/>
                <w:szCs w:val="18"/>
                <w:lang w:eastAsia="zh-CN"/>
              </w:rPr>
              <w:br/>
              <w:t>b) rs=0.48, p&lt;0.0001</w:t>
            </w:r>
          </w:p>
        </w:tc>
        <w:tc>
          <w:tcPr>
            <w:tcW w:w="1147" w:type="dxa"/>
            <w:tcBorders>
              <w:left w:val="single" w:sz="12" w:space="0" w:color="auto"/>
            </w:tcBorders>
            <w:shd w:val="clear" w:color="auto" w:fill="auto"/>
            <w:tcMar>
              <w:left w:w="28" w:type="dxa"/>
              <w:right w:w="28" w:type="dxa"/>
            </w:tcMar>
            <w:hideMark/>
          </w:tcPr>
          <w:p w14:paraId="6E0212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shd w:val="clear" w:color="auto" w:fill="auto"/>
            <w:tcMar>
              <w:left w:w="28" w:type="dxa"/>
              <w:right w:w="28" w:type="dxa"/>
            </w:tcMar>
            <w:hideMark/>
          </w:tcPr>
          <w:p w14:paraId="6086EE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R2=0.81, p=0.006</w:t>
            </w:r>
          </w:p>
        </w:tc>
        <w:tc>
          <w:tcPr>
            <w:tcW w:w="1288" w:type="dxa"/>
            <w:shd w:val="clear" w:color="auto" w:fill="auto"/>
            <w:tcMar>
              <w:left w:w="28" w:type="dxa"/>
              <w:right w:w="28" w:type="dxa"/>
            </w:tcMar>
            <w:hideMark/>
          </w:tcPr>
          <w:p w14:paraId="336BE1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4FAC30B" w14:textId="77777777" w:rsidTr="003117A9">
        <w:trPr>
          <w:cantSplit/>
        </w:trPr>
        <w:tc>
          <w:tcPr>
            <w:tcW w:w="988" w:type="dxa"/>
            <w:tcBorders>
              <w:right w:val="single" w:sz="12" w:space="0" w:color="auto"/>
            </w:tcBorders>
            <w:shd w:val="clear" w:color="auto" w:fill="auto"/>
            <w:tcMar>
              <w:left w:w="28" w:type="dxa"/>
              <w:right w:w="28" w:type="dxa"/>
            </w:tcMar>
            <w:hideMark/>
          </w:tcPr>
          <w:p w14:paraId="5BAD1512" w14:textId="6D4AB94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1A0E2AE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2C90D8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hideMark/>
          </w:tcPr>
          <w:p w14:paraId="4BC224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72048F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701" w:type="dxa"/>
            <w:tcBorders>
              <w:right w:val="single" w:sz="12" w:space="0" w:color="auto"/>
            </w:tcBorders>
            <w:shd w:val="clear" w:color="auto" w:fill="auto"/>
            <w:tcMar>
              <w:left w:w="28" w:type="dxa"/>
              <w:right w:w="28" w:type="dxa"/>
            </w:tcMar>
            <w:hideMark/>
          </w:tcPr>
          <w:p w14:paraId="340D9E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73" w:type="dxa"/>
            <w:tcBorders>
              <w:left w:val="single" w:sz="12" w:space="0" w:color="auto"/>
            </w:tcBorders>
            <w:shd w:val="clear" w:color="auto" w:fill="auto"/>
            <w:tcMar>
              <w:left w:w="28" w:type="dxa"/>
              <w:right w:w="28" w:type="dxa"/>
            </w:tcMar>
            <w:hideMark/>
          </w:tcPr>
          <w:p w14:paraId="098E94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46" w:type="dxa"/>
            <w:tcBorders>
              <w:right w:val="single" w:sz="12" w:space="0" w:color="auto"/>
            </w:tcBorders>
            <w:shd w:val="clear" w:color="auto" w:fill="auto"/>
            <w:tcMar>
              <w:left w:w="28" w:type="dxa"/>
              <w:right w:w="28" w:type="dxa"/>
            </w:tcMar>
            <w:hideMark/>
          </w:tcPr>
          <w:p w14:paraId="3DD241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tcBorders>
            <w:shd w:val="clear" w:color="auto" w:fill="auto"/>
            <w:tcMar>
              <w:left w:w="28" w:type="dxa"/>
              <w:right w:w="28" w:type="dxa"/>
            </w:tcMar>
            <w:hideMark/>
          </w:tcPr>
          <w:p w14:paraId="46225EAF" w14:textId="77777777" w:rsidR="002E26FD" w:rsidRPr="00D6492A" w:rsidRDefault="002E26FD" w:rsidP="003117A9">
            <w:pPr>
              <w:spacing w:before="0" w:after="0" w:line="240" w:lineRule="auto"/>
              <w:rPr>
                <w:rFonts w:eastAsia="Times New Roman" w:cs="Times New Roman"/>
                <w:color w:val="000000"/>
                <w:sz w:val="18"/>
                <w:szCs w:val="18"/>
                <w:lang w:val="fr-FR" w:eastAsia="zh-CN"/>
              </w:rPr>
            </w:pPr>
            <w:r w:rsidRPr="00D6492A">
              <w:rPr>
                <w:rFonts w:eastAsia="Times New Roman" w:cs="Times New Roman"/>
                <w:color w:val="000000"/>
                <w:sz w:val="18"/>
                <w:szCs w:val="18"/>
                <w:lang w:val="fr-FR" w:eastAsia="zh-CN"/>
              </w:rPr>
              <w:t>Correlation (NR) (</w:t>
            </w:r>
            <w:r>
              <w:rPr>
                <w:rFonts w:eastAsia="Times New Roman" w:cs="Times New Roman"/>
                <w:color w:val="000000"/>
                <w:sz w:val="18"/>
                <w:szCs w:val="18"/>
                <w:lang w:val="fr-FR" w:eastAsia="zh-CN"/>
              </w:rPr>
              <w:t>O</w:t>
            </w:r>
            <w:r w:rsidRPr="00D6492A">
              <w:rPr>
                <w:rFonts w:eastAsia="Times New Roman" w:cs="Times New Roman"/>
                <w:color w:val="000000"/>
                <w:sz w:val="18"/>
                <w:szCs w:val="18"/>
                <w:lang w:val="fr-FR" w:eastAsia="zh-CN"/>
              </w:rPr>
              <w:t>RR vs. 6mo PFS)</w:t>
            </w:r>
          </w:p>
        </w:tc>
        <w:tc>
          <w:tcPr>
            <w:tcW w:w="1843" w:type="dxa"/>
            <w:tcBorders>
              <w:right w:val="single" w:sz="12" w:space="0" w:color="auto"/>
            </w:tcBorders>
            <w:shd w:val="clear" w:color="auto" w:fill="auto"/>
            <w:tcMar>
              <w:left w:w="28" w:type="dxa"/>
              <w:right w:w="28" w:type="dxa"/>
            </w:tcMar>
            <w:hideMark/>
          </w:tcPr>
          <w:p w14:paraId="2F9727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r=0.85 (0.63 to 1.06), p=NR</w:t>
            </w:r>
          </w:p>
        </w:tc>
        <w:tc>
          <w:tcPr>
            <w:tcW w:w="1147" w:type="dxa"/>
            <w:tcBorders>
              <w:left w:val="single" w:sz="12" w:space="0" w:color="auto"/>
            </w:tcBorders>
            <w:shd w:val="clear" w:color="auto" w:fill="auto"/>
            <w:tcMar>
              <w:left w:w="28" w:type="dxa"/>
              <w:right w:w="28" w:type="dxa"/>
            </w:tcMar>
            <w:hideMark/>
          </w:tcPr>
          <w:p w14:paraId="54D368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hideMark/>
          </w:tcPr>
          <w:p w14:paraId="4D4D07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1F1B4A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619ECDD" w14:textId="77777777" w:rsidTr="003117A9">
        <w:trPr>
          <w:cantSplit/>
        </w:trPr>
        <w:tc>
          <w:tcPr>
            <w:tcW w:w="988" w:type="dxa"/>
            <w:tcBorders>
              <w:right w:val="single" w:sz="12" w:space="0" w:color="auto"/>
            </w:tcBorders>
            <w:shd w:val="clear" w:color="auto" w:fill="auto"/>
            <w:tcMar>
              <w:left w:w="28" w:type="dxa"/>
              <w:right w:w="28" w:type="dxa"/>
            </w:tcMar>
            <w:hideMark/>
          </w:tcPr>
          <w:p w14:paraId="53197D7F" w14:textId="24314BF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2009</w:t>
            </w:r>
            <w:r w:rsidRPr="002D1DD7">
              <w:rPr>
                <w:rFonts w:eastAsia="Times New Roman" w:cs="Times New Roman"/>
                <w:color w:val="000000"/>
                <w:sz w:val="18"/>
                <w:szCs w:val="18"/>
                <w:lang w:eastAsia="zh-CN"/>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136</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13F05EC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077008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hideMark/>
          </w:tcPr>
          <w:p w14:paraId="6FFD30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5F32B8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hideMark/>
          </w:tcPr>
          <w:p w14:paraId="37CA34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left w:val="single" w:sz="12" w:space="0" w:color="auto"/>
            </w:tcBorders>
            <w:shd w:val="clear" w:color="auto" w:fill="auto"/>
            <w:tcMar>
              <w:left w:w="28" w:type="dxa"/>
              <w:right w:w="28" w:type="dxa"/>
            </w:tcMar>
            <w:hideMark/>
          </w:tcPr>
          <w:p w14:paraId="6341F5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46" w:type="dxa"/>
            <w:tcBorders>
              <w:right w:val="single" w:sz="12" w:space="0" w:color="auto"/>
            </w:tcBorders>
            <w:shd w:val="clear" w:color="auto" w:fill="auto"/>
            <w:tcMar>
              <w:left w:w="28" w:type="dxa"/>
              <w:right w:w="28" w:type="dxa"/>
            </w:tcMar>
            <w:hideMark/>
          </w:tcPr>
          <w:p w14:paraId="747DA3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3790*</w:t>
            </w:r>
          </w:p>
        </w:tc>
        <w:tc>
          <w:tcPr>
            <w:tcW w:w="1665" w:type="dxa"/>
            <w:tcBorders>
              <w:left w:val="single" w:sz="12" w:space="0" w:color="auto"/>
            </w:tcBorders>
            <w:shd w:val="clear" w:color="auto" w:fill="auto"/>
            <w:tcMar>
              <w:left w:w="28" w:type="dxa"/>
              <w:right w:w="28" w:type="dxa"/>
            </w:tcMar>
            <w:hideMark/>
          </w:tcPr>
          <w:p w14:paraId="12F3CD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2E23D6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2FE03E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shd w:val="clear" w:color="auto" w:fill="auto"/>
            <w:tcMar>
              <w:left w:w="28" w:type="dxa"/>
              <w:right w:w="28" w:type="dxa"/>
            </w:tcMar>
            <w:hideMark/>
          </w:tcPr>
          <w:p w14:paraId="48C122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R2=NR, p=0.001</w:t>
            </w:r>
          </w:p>
        </w:tc>
        <w:tc>
          <w:tcPr>
            <w:tcW w:w="1288" w:type="dxa"/>
            <w:shd w:val="clear" w:color="auto" w:fill="auto"/>
            <w:tcMar>
              <w:left w:w="28" w:type="dxa"/>
              <w:right w:w="28" w:type="dxa"/>
            </w:tcMar>
            <w:hideMark/>
          </w:tcPr>
          <w:p w14:paraId="346873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0.072</w:t>
            </w:r>
          </w:p>
        </w:tc>
      </w:tr>
      <w:tr w:rsidR="002E26FD" w:rsidRPr="002D1DD7" w14:paraId="3CB8FF74"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4BA09DDF" w14:textId="0491D76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6BD547B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bottom w:val="single" w:sz="12" w:space="0" w:color="auto"/>
              <w:right w:val="single" w:sz="12" w:space="0" w:color="auto"/>
            </w:tcBorders>
            <w:tcMar>
              <w:left w:w="28" w:type="dxa"/>
              <w:right w:w="28" w:type="dxa"/>
            </w:tcMar>
          </w:tcPr>
          <w:p w14:paraId="702CC0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7FE0B4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bottom w:val="single" w:sz="12" w:space="0" w:color="auto"/>
            </w:tcBorders>
            <w:shd w:val="clear" w:color="auto" w:fill="auto"/>
            <w:tcMar>
              <w:left w:w="28" w:type="dxa"/>
              <w:right w:w="28" w:type="dxa"/>
            </w:tcMar>
            <w:hideMark/>
          </w:tcPr>
          <w:p w14:paraId="6A6660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bottom w:val="single" w:sz="12" w:space="0" w:color="auto"/>
              <w:right w:val="single" w:sz="12" w:space="0" w:color="auto"/>
            </w:tcBorders>
            <w:shd w:val="clear" w:color="auto" w:fill="auto"/>
            <w:tcMar>
              <w:left w:w="28" w:type="dxa"/>
              <w:right w:w="28" w:type="dxa"/>
            </w:tcMar>
            <w:hideMark/>
          </w:tcPr>
          <w:p w14:paraId="748977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573" w:type="dxa"/>
            <w:tcBorders>
              <w:left w:val="single" w:sz="12" w:space="0" w:color="auto"/>
              <w:bottom w:val="single" w:sz="12" w:space="0" w:color="auto"/>
            </w:tcBorders>
            <w:shd w:val="clear" w:color="auto" w:fill="auto"/>
            <w:tcMar>
              <w:left w:w="28" w:type="dxa"/>
              <w:right w:w="28" w:type="dxa"/>
            </w:tcMar>
            <w:hideMark/>
          </w:tcPr>
          <w:p w14:paraId="58B4FB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35</w:t>
            </w:r>
          </w:p>
        </w:tc>
        <w:tc>
          <w:tcPr>
            <w:tcW w:w="746" w:type="dxa"/>
            <w:tcBorders>
              <w:bottom w:val="single" w:sz="12" w:space="0" w:color="auto"/>
              <w:right w:val="single" w:sz="12" w:space="0" w:color="auto"/>
            </w:tcBorders>
            <w:shd w:val="clear" w:color="auto" w:fill="auto"/>
            <w:tcMar>
              <w:left w:w="28" w:type="dxa"/>
              <w:right w:w="28" w:type="dxa"/>
            </w:tcMar>
            <w:hideMark/>
          </w:tcPr>
          <w:p w14:paraId="3217F0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bottom w:val="single" w:sz="12" w:space="0" w:color="auto"/>
            </w:tcBorders>
            <w:shd w:val="clear" w:color="auto" w:fill="auto"/>
            <w:tcMar>
              <w:left w:w="28" w:type="dxa"/>
              <w:right w:w="28" w:type="dxa"/>
            </w:tcMar>
            <w:hideMark/>
          </w:tcPr>
          <w:p w14:paraId="5B6359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bottom w:val="single" w:sz="12" w:space="0" w:color="auto"/>
              <w:right w:val="single" w:sz="12" w:space="0" w:color="auto"/>
            </w:tcBorders>
            <w:shd w:val="clear" w:color="auto" w:fill="auto"/>
            <w:tcMar>
              <w:left w:w="28" w:type="dxa"/>
              <w:right w:w="28" w:type="dxa"/>
            </w:tcMar>
            <w:hideMark/>
          </w:tcPr>
          <w:p w14:paraId="0D7CFD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bottom w:val="single" w:sz="12" w:space="0" w:color="auto"/>
            </w:tcBorders>
            <w:shd w:val="clear" w:color="auto" w:fill="auto"/>
            <w:tcMar>
              <w:left w:w="28" w:type="dxa"/>
              <w:right w:w="28" w:type="dxa"/>
            </w:tcMar>
            <w:hideMark/>
          </w:tcPr>
          <w:p w14:paraId="0F08EC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tcBorders>
              <w:bottom w:val="single" w:sz="12" w:space="0" w:color="auto"/>
            </w:tcBorders>
            <w:shd w:val="clear" w:color="auto" w:fill="auto"/>
            <w:tcMar>
              <w:left w:w="28" w:type="dxa"/>
              <w:right w:w="28" w:type="dxa"/>
            </w:tcMar>
            <w:hideMark/>
          </w:tcPr>
          <w:p w14:paraId="6469C0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R2=0.75, p&lt;0.0001</w:t>
            </w:r>
          </w:p>
        </w:tc>
        <w:tc>
          <w:tcPr>
            <w:tcW w:w="1288" w:type="dxa"/>
            <w:tcBorders>
              <w:bottom w:val="single" w:sz="12" w:space="0" w:color="auto"/>
            </w:tcBorders>
            <w:shd w:val="clear" w:color="auto" w:fill="auto"/>
            <w:tcMar>
              <w:left w:w="28" w:type="dxa"/>
              <w:right w:w="28" w:type="dxa"/>
            </w:tcMar>
            <w:hideMark/>
          </w:tcPr>
          <w:p w14:paraId="480D2E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0E7C93E"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202CD22B" w14:textId="5F20482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72878AF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54EB33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5E291BF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A233A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or extensive</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647EDA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718404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70B719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3B68CE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3ED008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r=0.73, p&lt;0.0001</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4DD730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536673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1C5917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81D07FD"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77202264" w14:textId="2E3714E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26D4527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3A6D38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B0F6F6F"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A32AB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disease</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34DE8E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58FAAB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238BB6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41D584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375723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r=0.02, p=0.978</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250519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4FA4E6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04359E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7946898"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2CC83E1E" w14:textId="78DEF98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1903CA2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416E4D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FAF3856"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401115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Extensive disease</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6A73D7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792016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5F13EE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1AA704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145936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r=0.51, p=0.013</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3D917C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114F11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214ED0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F3DF758"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37D75CC" w14:textId="063138F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Mangal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115</w:t>
            </w:r>
            <w:r w:rsidRPr="002D1DD7">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t xml:space="preserve"> (myeloma)</w:t>
            </w:r>
          </w:p>
        </w:tc>
        <w:tc>
          <w:tcPr>
            <w:tcW w:w="858" w:type="dxa"/>
            <w:tcBorders>
              <w:top w:val="single" w:sz="12" w:space="0" w:color="auto"/>
              <w:left w:val="single" w:sz="12" w:space="0" w:color="auto"/>
              <w:bottom w:val="single" w:sz="12" w:space="0" w:color="auto"/>
            </w:tcBorders>
            <w:tcMar>
              <w:left w:w="28" w:type="dxa"/>
              <w:right w:w="28" w:type="dxa"/>
            </w:tcMar>
          </w:tcPr>
          <w:p w14:paraId="3F1CE02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51CF6E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1DBE43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Multiple myeloma </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272B21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CB7A9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6D0114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79</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D8E41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13322</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357618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0E9C11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145A8D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adj R2 (logit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med PFS)</w:t>
            </w:r>
          </w:p>
        </w:tc>
        <w:tc>
          <w:tcPr>
            <w:tcW w:w="1316" w:type="dxa"/>
            <w:tcBorders>
              <w:top w:val="single" w:sz="12" w:space="0" w:color="auto"/>
              <w:bottom w:val="single" w:sz="12" w:space="0" w:color="auto"/>
            </w:tcBorders>
            <w:shd w:val="clear" w:color="auto" w:fill="auto"/>
            <w:tcMar>
              <w:left w:w="28" w:type="dxa"/>
              <w:right w:w="28" w:type="dxa"/>
            </w:tcMar>
            <w:hideMark/>
          </w:tcPr>
          <w:p w14:paraId="70FF4F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R2=0.50, p=NR</w:t>
            </w:r>
          </w:p>
        </w:tc>
        <w:tc>
          <w:tcPr>
            <w:tcW w:w="1288" w:type="dxa"/>
            <w:tcBorders>
              <w:top w:val="single" w:sz="12" w:space="0" w:color="auto"/>
              <w:bottom w:val="single" w:sz="12" w:space="0" w:color="auto"/>
            </w:tcBorders>
            <w:shd w:val="clear" w:color="auto" w:fill="auto"/>
            <w:tcMar>
              <w:left w:w="28" w:type="dxa"/>
              <w:right w:w="28" w:type="dxa"/>
            </w:tcMar>
            <w:hideMark/>
          </w:tcPr>
          <w:p w14:paraId="0DA788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A177078"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3746CABA" w14:textId="765A742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31DC20C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64E353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00075F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35E55B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3AEA80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516350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6A0539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1310</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656BBE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717B3F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r=0.37 (-0.05 to 0.80), p=0.085</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204BAE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126BCD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4CB07F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22F3DF4"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60427CD0" w14:textId="35C89F2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71BB33D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35C1B2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2ED87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4D77E7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Published 1996-2010</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0BFDC6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21AD8E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1A4961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0C1EA2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0E4509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 -0.08 (-0.76 to 0.60), p=0.824</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098AC0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2B07ED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6A2F43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BBFA70B"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596881DF" w14:textId="10687AA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194B25C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72F3F3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3C395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1457F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Published 2011-2016</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723846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73FE64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16*</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016FCE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395F11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0F3338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r=0.43 (-0.07 to 0.93), p=0.095</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3B125A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4A28D0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1ACB13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BBD96AD"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2785C38" w14:textId="2624188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5E76705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00C082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745EA2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D80E2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0475B7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Cytotoxic</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3303FD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 arms</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3B0EA2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3B8861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7A069D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r=0.63 (0.03 to 1.22), p=0.041</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6AE36F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32477B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7B4F49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06B608E"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34A3F4B" w14:textId="67CCE1C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726AEEE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0B5CA2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7BE384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25F7F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04B264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Non-cytotoxic</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4AC902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 arms</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1C7254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692A18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0EFD9C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r=0.18 (-0.27 to 0.62), p=0.432</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326B2B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5470D7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081172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95CA636"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5263DB49" w14:textId="2A5F64C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5BE0661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4AB99A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D59F3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EE01C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46C04B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5A1EAD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 arms</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65EA1C7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6153BA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643530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r=0.42 (-0.06 to 0.90), p=0.086</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67A25F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5B3360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5D0E51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9C91663"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42611A5E" w14:textId="69055B1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&lt;EndNote&gt;&lt;Cite&gt;&lt;Author&gt;Imaoka&lt;/Author&gt;&lt;Year&gt;2019&lt;/Year&gt;&lt;RecNum&gt;1313&lt;/RecNum&gt;&lt;IDText&gt;$$include full text KC&lt;/IDText&gt;&lt;DisplayText&gt;&lt;style face="superscript"&gt;104&lt;/style&gt;&lt;/DisplayText&gt;&lt;record&gt;&lt;rec-number&gt;1313&lt;/rec-number&gt;&lt;foreign-keys&gt;&lt;key app="EN" db-id="dwaevxvazfs2f3ewvzmxrd0k0wasw55p2z2w" timestamp="1557310761"&gt;1313&lt;/key&gt;&lt;/foreign-keys&gt;&lt;ref-type name="Journal Article"&gt;17&lt;/ref-type&gt;&lt;contributors&gt;&lt;authors&gt;&lt;author&gt;Imaoka, H.&lt;/author&gt;&lt;author&gt;Sasaki, M.&lt;/author&gt;&lt;author&gt;Takahashi, H.&lt;/author&gt;&lt;author&gt;Hashimoto, Y.&lt;/author&gt;&lt;author&gt;Ohno, I.&lt;/author&gt;&lt;author&gt;Mitsunaga, S.&lt;/author&gt;&lt;author&gt;Watanabe, K.&lt;/author&gt;&lt;author&gt;Umemoto, K.&lt;/author&gt;&lt;author&gt;Kimura, G.&lt;/author&gt;&lt;author&gt;Suzuki, Y.&lt;/author&gt;&lt;author&gt;Kan, M.&lt;/author&gt;&lt;author&gt;Ikeda, M.&lt;/author&gt;&lt;/authors&gt;&lt;/contributors&gt;&lt;titles&gt;&lt;title&gt;Alternate endpoints for Phase II trials in advanced neuroendocrine tumors&lt;/title&gt;&lt;secondary-title&gt;Oncologist&lt;/secondary-title&gt;&lt;/titles&gt;&lt;periodical&gt;&lt;full-title&gt;Oncologist&lt;/full-title&gt;&lt;/periodical&gt;&lt;pages&gt;47-53&lt;/pages&gt;&lt;volume&gt;24&lt;/volume&gt;&lt;number&gt;1&lt;/number&gt;&lt;keywords&gt;&lt;keyword&gt;$$include abstract KC&lt;/keyword&gt;&lt;keyword&gt;$$Broad search $$Citation search&lt;/keyword&gt;&lt;/keywords&gt;&lt;dates&gt;&lt;year&gt;2019&lt;/year&gt;&lt;pub-dates&gt;&lt;date&gt;January&lt;/date&gt;&lt;/pub-dates&gt;&lt;/dates&gt;&lt;label&gt;$$include full text KC&lt;/label&gt;&lt;work-type&gt;Review&lt;/work-type&gt;&lt;urls&gt;&lt;/urls&gt;&lt;remote-database-name&gt;Embase&lt;/remote-database-name&gt;&lt;remote-database-provider&gt;Ovid Technologies&lt;/remote-database-provider&gt;&lt;research-notes&gt;http://ovidsp.ovid.com/ovidweb.cgi?T=JS&amp;amp;CSC=Y&amp;amp;NEWS=N&amp;amp;PAGE=fulltext&amp;amp;D=emexb&amp;amp;AN=624283033&lt;/research-notes&gt;&lt;/record&gt;&lt;/Cite&gt;&lt;/EndNote&gt;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104</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223D5D3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272D00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486CC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4260C0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14C841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Non-targeted</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618ABE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 arms</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22B020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59CB0F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5E0E69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 -0.72 (-1.09 to -0.35), p&lt;0.001</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69F146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683562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63059F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C87FB4A"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26CB153" w14:textId="76EAB23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Mangal 2018</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114</w:t>
            </w:r>
            <w:r w:rsidRPr="002D1DD7">
              <w:rPr>
                <w:rFonts w:eastAsia="Times New Roman" w:cs="Times New Roman"/>
                <w:sz w:val="18"/>
                <w:szCs w:val="18"/>
                <w:lang w:eastAsia="zh-CN"/>
              </w:rPr>
              <w:fldChar w:fldCharType="end"/>
            </w:r>
            <w:r w:rsidRPr="002D1DD7">
              <w:rPr>
                <w:rFonts w:eastAsia="Times New Roman" w:cs="Times New Roman"/>
                <w:color w:val="000000"/>
                <w:sz w:val="18"/>
                <w:szCs w:val="18"/>
                <w:lang w:eastAsia="zh-CN"/>
              </w:rPr>
              <w:t xml:space="preserve"> (NHL)</w:t>
            </w:r>
          </w:p>
        </w:tc>
        <w:tc>
          <w:tcPr>
            <w:tcW w:w="858" w:type="dxa"/>
            <w:tcBorders>
              <w:top w:val="single" w:sz="12" w:space="0" w:color="auto"/>
              <w:left w:val="single" w:sz="12" w:space="0" w:color="auto"/>
              <w:bottom w:val="single" w:sz="12" w:space="0" w:color="auto"/>
            </w:tcBorders>
            <w:tcMar>
              <w:left w:w="28" w:type="dxa"/>
              <w:right w:w="28" w:type="dxa"/>
            </w:tcMar>
          </w:tcPr>
          <w:p w14:paraId="7EDBA36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4B198A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2DE24A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5D43A0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06666D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227CA8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73</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35DC0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6071</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5EB613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0A160C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0AEE75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adj R2 (logit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med PFS)</w:t>
            </w:r>
          </w:p>
        </w:tc>
        <w:tc>
          <w:tcPr>
            <w:tcW w:w="1316" w:type="dxa"/>
            <w:tcBorders>
              <w:top w:val="single" w:sz="12" w:space="0" w:color="auto"/>
              <w:bottom w:val="single" w:sz="12" w:space="0" w:color="auto"/>
            </w:tcBorders>
            <w:shd w:val="clear" w:color="auto" w:fill="auto"/>
            <w:tcMar>
              <w:left w:w="28" w:type="dxa"/>
              <w:right w:w="28" w:type="dxa"/>
            </w:tcMar>
            <w:hideMark/>
          </w:tcPr>
          <w:p w14:paraId="79230A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R2=0.70, p=NR</w:t>
            </w:r>
          </w:p>
        </w:tc>
        <w:tc>
          <w:tcPr>
            <w:tcW w:w="1288" w:type="dxa"/>
            <w:tcBorders>
              <w:top w:val="single" w:sz="12" w:space="0" w:color="auto"/>
              <w:bottom w:val="single" w:sz="12" w:space="0" w:color="auto"/>
            </w:tcBorders>
            <w:shd w:val="clear" w:color="auto" w:fill="auto"/>
            <w:tcMar>
              <w:left w:w="28" w:type="dxa"/>
              <w:right w:w="28" w:type="dxa"/>
            </w:tcMar>
            <w:hideMark/>
          </w:tcPr>
          <w:p w14:paraId="5044DA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log (med PFS) = 1.97 + 0.414 * logit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0FA7F8EC"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07C05167" w14:textId="1729C99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Rose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&lt;EndNote&gt;&lt;Cite&gt;&lt;Author&gt;Rose&lt;/Author&gt;&lt;Year&gt;2010&lt;/Year&gt;&lt;RecNum&gt;2561&lt;/RecNum&gt;&lt;IDText&gt;$$include full text PT&lt;/IDText&gt;&lt;DisplayText&gt;&lt;style face="superscript"&gt;126&lt;/style&gt;&lt;/DisplayText&gt;&lt;record&gt;&lt;rec-number&gt;2561&lt;/rec-number&gt;&lt;foreign-keys&gt;&lt;key app="EN" db-id="dwaevxvazfs2f3ewvzmxrd0k0wasw55p2z2w" timestamp="1557311001"&gt;2561&lt;/key&gt;&lt;/foreign-keys&gt;&lt;ref-type name="Journal Article"&gt;17&lt;/ref-type&gt;&lt;contributors&gt;&lt;authors&gt;&lt;author&gt;Rose, P. G.&lt;/author&gt;&lt;author&gt;Tian, C. Q.&lt;/author&gt;&lt;author&gt;Bookman, M. A.&lt;/author&gt;&lt;/authors&gt;&lt;/contributors&gt;&lt;titles&gt;&lt;title&gt;Assessment of tumor response as a surrogate endpoint of survival in recurrent/platinum-resistant ovarian carcinoma: A Gynecologic Oncology Group study&lt;/title&gt;&lt;secondary-title&gt;Gynecologic Oncology&lt;/secondary-title&gt;&lt;/titles&gt;&lt;periodical&gt;&lt;full-title&gt;Gynecologic Oncology&lt;/full-title&gt;&lt;abbr-1&gt;Gynecol Oncol&lt;/abbr-1&gt;&lt;/periodical&gt;&lt;pages&gt;324-329&lt;/pages&gt;&lt;volume&gt;117&lt;/volume&gt;&lt;number&gt;2&lt;/number&gt;&lt;keywords&gt;&lt;keyword&gt;$$include abstract PT&lt;/keyword&gt;&lt;keyword&gt;$$Broad search&lt;/keyword&gt;&lt;/keywords&gt;&lt;dates&gt;&lt;year&gt;2010&lt;/year&gt;&lt;pub-dates&gt;&lt;date&gt;May&lt;/date&gt;&lt;/pub-dates&gt;&lt;/dates&gt;&lt;isbn&gt;0090-8258&lt;/isbn&gt;&lt;accession-num&gt;WOS:000277538600030&lt;/accession-num&gt;&lt;label&gt;$$include full text PT&lt;/label&gt;&lt;urls&gt;&lt;/urls&gt;&lt;electronic-resource-num&gt;10.1016/j.ygyno.2010.01.040&lt;/electronic-resource-num&gt;&lt;research-notes&gt;&lt;style face="underline" font="default" size="100%"&gt;&amp;lt;Go to ISI&amp;gt;://WOS:000277538600030&lt;/style&gt;&lt;/research-notes&gt;&lt;/record&gt;&lt;/Cite&gt;&lt;/EndNote&gt;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126</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77FF984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238207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4E61EC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1DBDC9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14E8F8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489C3D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2D00E5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407</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1676D3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w:t>
            </w:r>
            <w:r w:rsidRPr="002D1DD7">
              <w:rPr>
                <w:rFonts w:eastAsia="Times New Roman" w:cs="Times New Roman"/>
                <w:color w:val="000000"/>
                <w:sz w:val="18"/>
                <w:szCs w:val="18"/>
                <w:lang w:eastAsia="zh-CN"/>
              </w:rPr>
              <w:br/>
              <w:t>b) Kendall Tau-b</w:t>
            </w:r>
            <w:r w:rsidRPr="002D1DD7">
              <w:rPr>
                <w:rFonts w:eastAsia="Times New Roman" w:cs="Times New Roman"/>
                <w:color w:val="000000"/>
                <w:sz w:val="18"/>
                <w:szCs w:val="18"/>
                <w:lang w:eastAsia="zh-CN"/>
              </w:rPr>
              <w:br/>
              <w:t>(</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679885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r=0.62, p=0.044</w:t>
            </w:r>
            <w:r w:rsidRPr="002D1DD7">
              <w:rPr>
                <w:rFonts w:eastAsia="Times New Roman" w:cs="Times New Roman"/>
                <w:color w:val="000000"/>
                <w:sz w:val="18"/>
                <w:szCs w:val="18"/>
                <w:lang w:eastAsia="zh-CN"/>
              </w:rPr>
              <w:br/>
            </w:r>
            <w:r w:rsidRPr="002D1DD7">
              <w:rPr>
                <w:rFonts w:eastAsia="Times New Roman" w:cs="Times New Roman"/>
                <w:color w:val="000000"/>
                <w:sz w:val="18"/>
                <w:szCs w:val="18"/>
                <w:lang w:eastAsia="zh-CN"/>
              </w:rPr>
              <w:br/>
              <w:t>b) r=0.48, p=0.042</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61375E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24346B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09FB7A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4F538F6"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3A051DE6" w14:textId="3DF9C7C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Siddiqui 2017</w:t>
            </w:r>
            <w:r w:rsidRPr="002D1DD7">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132</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7158C1D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751050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DF7EB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7B0664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3F5900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547FA1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3F68F8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9223</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3903E4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r w:rsidRPr="002D1DD7">
              <w:rPr>
                <w:rFonts w:eastAsia="Times New Roman" w:cs="Times New Roman"/>
                <w:color w:val="000000"/>
                <w:sz w:val="18"/>
                <w:szCs w:val="18"/>
                <w:lang w:eastAsia="zh-CN"/>
              </w:rPr>
              <w:br/>
              <w:t>b) Pearson, unwtd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65704B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r=0.85, p&lt;0.001</w:t>
            </w:r>
            <w:r w:rsidRPr="002D1DD7">
              <w:rPr>
                <w:rFonts w:eastAsia="Times New Roman" w:cs="Times New Roman"/>
                <w:color w:val="000000"/>
                <w:sz w:val="18"/>
                <w:szCs w:val="18"/>
                <w:lang w:eastAsia="zh-CN"/>
              </w:rPr>
              <w:br/>
              <w:t>b) 0.76, p&lt;0.001</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201BBC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r w:rsidRPr="002D1DD7">
              <w:rPr>
                <w:rFonts w:eastAsia="Times New Roman" w:cs="Times New Roman"/>
                <w:color w:val="000000"/>
                <w:sz w:val="18"/>
                <w:szCs w:val="18"/>
                <w:lang w:eastAsia="zh-CN"/>
              </w:rPr>
              <w:br/>
              <w:t>a) unadj</w:t>
            </w:r>
            <w:r w:rsidRPr="002D1DD7">
              <w:rPr>
                <w:rFonts w:eastAsia="Times New Roman" w:cs="Times New Roman"/>
                <w:color w:val="000000"/>
                <w:sz w:val="18"/>
                <w:szCs w:val="18"/>
                <w:lang w:eastAsia="zh-CN"/>
              </w:rPr>
              <w:br/>
              <w:t>b) adj</w:t>
            </w:r>
          </w:p>
        </w:tc>
        <w:tc>
          <w:tcPr>
            <w:tcW w:w="1316" w:type="dxa"/>
            <w:tcBorders>
              <w:top w:val="single" w:sz="4" w:space="0" w:color="auto"/>
              <w:bottom w:val="single" w:sz="12" w:space="0" w:color="auto"/>
            </w:tcBorders>
            <w:shd w:val="clear" w:color="auto" w:fill="auto"/>
            <w:tcMar>
              <w:left w:w="28" w:type="dxa"/>
              <w:right w:w="28" w:type="dxa"/>
            </w:tcMar>
            <w:hideMark/>
          </w:tcPr>
          <w:p w14:paraId="6326B1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R2=0.72, p=NR</w:t>
            </w:r>
            <w:r w:rsidRPr="002D1DD7">
              <w:rPr>
                <w:rFonts w:eastAsia="Times New Roman" w:cs="Times New Roman"/>
                <w:color w:val="000000"/>
                <w:sz w:val="18"/>
                <w:szCs w:val="18"/>
                <w:lang w:eastAsia="zh-CN"/>
              </w:rPr>
              <w:br/>
              <w:t>b) adj R2=0.72, p=NR</w:t>
            </w:r>
          </w:p>
        </w:tc>
        <w:tc>
          <w:tcPr>
            <w:tcW w:w="1288" w:type="dxa"/>
            <w:tcBorders>
              <w:top w:val="single" w:sz="4" w:space="0" w:color="auto"/>
              <w:bottom w:val="single" w:sz="12" w:space="0" w:color="auto"/>
            </w:tcBorders>
            <w:shd w:val="clear" w:color="auto" w:fill="auto"/>
            <w:tcMar>
              <w:left w:w="28" w:type="dxa"/>
              <w:right w:w="28" w:type="dxa"/>
            </w:tcMar>
            <w:hideMark/>
          </w:tcPr>
          <w:p w14:paraId="5E7761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med PFS = 2.59 + 0.12 *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719FBBDE"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E970A1C" w14:textId="6F98A76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Petrelli 2013</w:t>
            </w:r>
            <w:r w:rsidRPr="002D1DD7">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123</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336BBEB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47807E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277161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Renal cell</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43B9AA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4D4CF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333638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2285E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3188</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21C982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AAC43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rs=0.96, p&lt;0.0001</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4D95FD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hideMark/>
          </w:tcPr>
          <w:p w14:paraId="0E34A4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14934A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D3ACE34"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7F719C7" w14:textId="56EDDF1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Penel 2014</w:t>
            </w:r>
            <w:r w:rsidRPr="002D1DD7">
              <w:rPr>
                <w:rFonts w:eastAsia="Times New Roman" w:cs="Times New Roman"/>
                <w:color w:val="000000"/>
                <w:sz w:val="18"/>
                <w:szCs w:val="18"/>
                <w:lang w:eastAsia="zh-CN"/>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122</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7DA4B0F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322522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55BAF2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Unknown primary</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7FEFA5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7A1C5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0423E6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38</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7041F1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2CE68B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via WLR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 med PFS)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382D7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r=0.54, p&lt;0.0001</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6D815C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hideMark/>
          </w:tcPr>
          <w:p w14:paraId="16CD26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575830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5A8B80A"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0405A2E5" w14:textId="747B1C9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6746E45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right w:val="single" w:sz="12" w:space="0" w:color="auto"/>
            </w:tcBorders>
            <w:tcMar>
              <w:left w:w="28" w:type="dxa"/>
              <w:right w:w="28" w:type="dxa"/>
            </w:tcMar>
          </w:tcPr>
          <w:p w14:paraId="25B38D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hideMark/>
          </w:tcPr>
          <w:p w14:paraId="745A0F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12" w:space="0" w:color="auto"/>
              <w:left w:val="single" w:sz="12" w:space="0" w:color="auto"/>
            </w:tcBorders>
            <w:shd w:val="clear" w:color="auto" w:fill="auto"/>
            <w:tcMar>
              <w:left w:w="28" w:type="dxa"/>
              <w:right w:w="28" w:type="dxa"/>
            </w:tcMar>
            <w:hideMark/>
          </w:tcPr>
          <w:p w14:paraId="3E1DFC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701" w:type="dxa"/>
            <w:tcBorders>
              <w:top w:val="single" w:sz="12" w:space="0" w:color="auto"/>
              <w:right w:val="single" w:sz="12" w:space="0" w:color="auto"/>
            </w:tcBorders>
            <w:shd w:val="clear" w:color="auto" w:fill="auto"/>
            <w:tcMar>
              <w:left w:w="28" w:type="dxa"/>
              <w:right w:w="28" w:type="dxa"/>
            </w:tcMar>
            <w:hideMark/>
          </w:tcPr>
          <w:p w14:paraId="1F66D5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73" w:type="dxa"/>
            <w:tcBorders>
              <w:top w:val="single" w:sz="12" w:space="0" w:color="auto"/>
              <w:left w:val="single" w:sz="12" w:space="0" w:color="auto"/>
            </w:tcBorders>
            <w:shd w:val="clear" w:color="auto" w:fill="auto"/>
            <w:tcMar>
              <w:left w:w="28" w:type="dxa"/>
              <w:right w:w="28" w:type="dxa"/>
            </w:tcMar>
            <w:hideMark/>
          </w:tcPr>
          <w:p w14:paraId="47138A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46" w:type="dxa"/>
            <w:tcBorders>
              <w:top w:val="single" w:sz="12" w:space="0" w:color="auto"/>
              <w:right w:val="single" w:sz="12" w:space="0" w:color="auto"/>
            </w:tcBorders>
            <w:shd w:val="clear" w:color="auto" w:fill="auto"/>
            <w:tcMar>
              <w:left w:w="28" w:type="dxa"/>
              <w:right w:w="28" w:type="dxa"/>
            </w:tcMar>
            <w:hideMark/>
          </w:tcPr>
          <w:p w14:paraId="53A9C2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10828</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tcBorders>
            <w:shd w:val="clear" w:color="auto" w:fill="auto"/>
            <w:tcMar>
              <w:left w:w="28" w:type="dxa"/>
              <w:right w:w="28" w:type="dxa"/>
            </w:tcMar>
            <w:hideMark/>
          </w:tcPr>
          <w:p w14:paraId="329E8C97" w14:textId="77777777" w:rsidR="002E26FD" w:rsidRPr="00D6492A" w:rsidRDefault="002E26FD" w:rsidP="003117A9">
            <w:pPr>
              <w:spacing w:before="0" w:after="0" w:line="240" w:lineRule="auto"/>
              <w:rPr>
                <w:rFonts w:eastAsia="Times New Roman" w:cs="Times New Roman"/>
                <w:color w:val="000000"/>
                <w:sz w:val="18"/>
                <w:szCs w:val="18"/>
                <w:lang w:val="fr-FR" w:eastAsia="zh-CN"/>
              </w:rPr>
            </w:pPr>
            <w:r w:rsidRPr="00D6492A">
              <w:rPr>
                <w:rFonts w:eastAsia="Times New Roman" w:cs="Times New Roman"/>
                <w:color w:val="000000"/>
                <w:sz w:val="18"/>
                <w:szCs w:val="18"/>
                <w:lang w:val="fr-FR" w:eastAsia="zh-CN"/>
              </w:rPr>
              <w:t>Correlation (NR) (</w:t>
            </w:r>
            <w:r>
              <w:rPr>
                <w:rFonts w:eastAsia="Times New Roman" w:cs="Times New Roman"/>
                <w:color w:val="000000"/>
                <w:sz w:val="18"/>
                <w:szCs w:val="18"/>
                <w:lang w:val="fr-FR" w:eastAsia="zh-CN"/>
              </w:rPr>
              <w:t>O</w:t>
            </w:r>
            <w:r w:rsidRPr="00D6492A">
              <w:rPr>
                <w:rFonts w:eastAsia="Times New Roman" w:cs="Times New Roman"/>
                <w:color w:val="000000"/>
                <w:sz w:val="18"/>
                <w:szCs w:val="18"/>
                <w:lang w:val="fr-FR" w:eastAsia="zh-CN"/>
              </w:rPr>
              <w:t>RR vs. 6mo PFS)</w:t>
            </w:r>
          </w:p>
        </w:tc>
        <w:tc>
          <w:tcPr>
            <w:tcW w:w="1843" w:type="dxa"/>
            <w:tcBorders>
              <w:top w:val="single" w:sz="12" w:space="0" w:color="auto"/>
              <w:right w:val="single" w:sz="12" w:space="0" w:color="auto"/>
            </w:tcBorders>
            <w:shd w:val="clear" w:color="auto" w:fill="auto"/>
            <w:tcMar>
              <w:left w:w="28" w:type="dxa"/>
              <w:right w:w="28" w:type="dxa"/>
            </w:tcMar>
            <w:hideMark/>
          </w:tcPr>
          <w:p w14:paraId="07844E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r=0.37 (0.06 to 0.95), p=NR</w:t>
            </w:r>
          </w:p>
        </w:tc>
        <w:tc>
          <w:tcPr>
            <w:tcW w:w="1147" w:type="dxa"/>
            <w:tcBorders>
              <w:top w:val="single" w:sz="12" w:space="0" w:color="auto"/>
              <w:left w:val="single" w:sz="12" w:space="0" w:color="auto"/>
            </w:tcBorders>
            <w:shd w:val="clear" w:color="auto" w:fill="auto"/>
            <w:tcMar>
              <w:left w:w="28" w:type="dxa"/>
              <w:right w:w="28" w:type="dxa"/>
            </w:tcMar>
            <w:hideMark/>
          </w:tcPr>
          <w:p w14:paraId="79C84A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tcBorders>
            <w:shd w:val="clear" w:color="auto" w:fill="auto"/>
            <w:tcMar>
              <w:left w:w="28" w:type="dxa"/>
              <w:right w:w="28" w:type="dxa"/>
            </w:tcMar>
            <w:hideMark/>
          </w:tcPr>
          <w:p w14:paraId="13D75C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tcBorders>
            <w:shd w:val="clear" w:color="auto" w:fill="auto"/>
            <w:tcMar>
              <w:left w:w="28" w:type="dxa"/>
              <w:right w:w="28" w:type="dxa"/>
            </w:tcMar>
            <w:hideMark/>
          </w:tcPr>
          <w:p w14:paraId="480227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9743096" w14:textId="77777777" w:rsidTr="003117A9">
        <w:trPr>
          <w:cantSplit/>
        </w:trPr>
        <w:tc>
          <w:tcPr>
            <w:tcW w:w="988" w:type="dxa"/>
            <w:tcBorders>
              <w:right w:val="single" w:sz="12" w:space="0" w:color="auto"/>
            </w:tcBorders>
            <w:shd w:val="clear" w:color="auto" w:fill="auto"/>
            <w:tcMar>
              <w:left w:w="28" w:type="dxa"/>
              <w:right w:w="28" w:type="dxa"/>
            </w:tcMar>
            <w:hideMark/>
          </w:tcPr>
          <w:p w14:paraId="04A91FCB" w14:textId="4922BAF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67355F2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05901B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hideMark/>
          </w:tcPr>
          <w:p w14:paraId="0482CB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134" w:type="dxa"/>
            <w:tcBorders>
              <w:left w:val="single" w:sz="12" w:space="0" w:color="auto"/>
            </w:tcBorders>
            <w:shd w:val="clear" w:color="auto" w:fill="auto"/>
            <w:tcMar>
              <w:left w:w="28" w:type="dxa"/>
              <w:right w:w="28" w:type="dxa"/>
            </w:tcMar>
            <w:hideMark/>
          </w:tcPr>
          <w:p w14:paraId="28B6D6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hideMark/>
          </w:tcPr>
          <w:p w14:paraId="094BF0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left w:val="single" w:sz="12" w:space="0" w:color="auto"/>
            </w:tcBorders>
            <w:shd w:val="clear" w:color="auto" w:fill="auto"/>
            <w:tcMar>
              <w:left w:w="28" w:type="dxa"/>
              <w:right w:w="28" w:type="dxa"/>
            </w:tcMar>
            <w:hideMark/>
          </w:tcPr>
          <w:p w14:paraId="414708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85</w:t>
            </w:r>
          </w:p>
        </w:tc>
        <w:tc>
          <w:tcPr>
            <w:tcW w:w="746" w:type="dxa"/>
            <w:tcBorders>
              <w:right w:val="single" w:sz="12" w:space="0" w:color="auto"/>
            </w:tcBorders>
            <w:shd w:val="clear" w:color="auto" w:fill="auto"/>
            <w:tcMar>
              <w:left w:w="28" w:type="dxa"/>
              <w:right w:w="28" w:type="dxa"/>
            </w:tcMar>
            <w:hideMark/>
          </w:tcPr>
          <w:p w14:paraId="5D2229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3982*</w:t>
            </w:r>
          </w:p>
        </w:tc>
        <w:tc>
          <w:tcPr>
            <w:tcW w:w="1665" w:type="dxa"/>
            <w:tcBorders>
              <w:left w:val="single" w:sz="12" w:space="0" w:color="auto"/>
            </w:tcBorders>
            <w:shd w:val="clear" w:color="auto" w:fill="auto"/>
            <w:tcMar>
              <w:left w:w="28" w:type="dxa"/>
              <w:right w:w="28" w:type="dxa"/>
            </w:tcMar>
            <w:hideMark/>
          </w:tcPr>
          <w:p w14:paraId="029E21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076DD4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1B8063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shd w:val="clear" w:color="auto" w:fill="auto"/>
            <w:tcMar>
              <w:left w:w="28" w:type="dxa"/>
              <w:right w:w="28" w:type="dxa"/>
            </w:tcMar>
            <w:hideMark/>
          </w:tcPr>
          <w:p w14:paraId="276384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R2=0.53, p&lt;0.0001</w:t>
            </w:r>
          </w:p>
        </w:tc>
        <w:tc>
          <w:tcPr>
            <w:tcW w:w="1288" w:type="dxa"/>
            <w:shd w:val="clear" w:color="auto" w:fill="auto"/>
            <w:tcMar>
              <w:left w:w="28" w:type="dxa"/>
              <w:right w:w="28" w:type="dxa"/>
            </w:tcMar>
            <w:hideMark/>
          </w:tcPr>
          <w:p w14:paraId="2FF086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8D2A694" w14:textId="77777777" w:rsidTr="003117A9">
        <w:trPr>
          <w:cantSplit/>
        </w:trPr>
        <w:tc>
          <w:tcPr>
            <w:tcW w:w="988" w:type="dxa"/>
            <w:tcBorders>
              <w:right w:val="single" w:sz="12" w:space="0" w:color="auto"/>
            </w:tcBorders>
            <w:shd w:val="clear" w:color="auto" w:fill="auto"/>
            <w:tcMar>
              <w:left w:w="28" w:type="dxa"/>
              <w:right w:w="28" w:type="dxa"/>
            </w:tcMar>
            <w:hideMark/>
          </w:tcPr>
          <w:p w14:paraId="3978B276" w14:textId="74C47C0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6663316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066C3D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hideMark/>
          </w:tcPr>
          <w:p w14:paraId="0184F5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134" w:type="dxa"/>
            <w:tcBorders>
              <w:left w:val="single" w:sz="12" w:space="0" w:color="auto"/>
            </w:tcBorders>
            <w:shd w:val="clear" w:color="auto" w:fill="auto"/>
            <w:tcMar>
              <w:left w:w="28" w:type="dxa"/>
              <w:right w:w="28" w:type="dxa"/>
            </w:tcMar>
            <w:hideMark/>
          </w:tcPr>
          <w:p w14:paraId="64D84D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hideMark/>
          </w:tcPr>
          <w:p w14:paraId="59293A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left w:val="single" w:sz="12" w:space="0" w:color="auto"/>
            </w:tcBorders>
            <w:shd w:val="clear" w:color="auto" w:fill="auto"/>
            <w:tcMar>
              <w:left w:w="28" w:type="dxa"/>
              <w:right w:w="28" w:type="dxa"/>
            </w:tcMar>
            <w:hideMark/>
          </w:tcPr>
          <w:p w14:paraId="1DAA6C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58</w:t>
            </w:r>
          </w:p>
        </w:tc>
        <w:tc>
          <w:tcPr>
            <w:tcW w:w="746" w:type="dxa"/>
            <w:tcBorders>
              <w:right w:val="single" w:sz="12" w:space="0" w:color="auto"/>
            </w:tcBorders>
            <w:shd w:val="clear" w:color="auto" w:fill="auto"/>
            <w:tcMar>
              <w:left w:w="28" w:type="dxa"/>
              <w:right w:w="28" w:type="dxa"/>
            </w:tcMar>
            <w:hideMark/>
          </w:tcPr>
          <w:p w14:paraId="2E1615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2992*</w:t>
            </w:r>
          </w:p>
        </w:tc>
        <w:tc>
          <w:tcPr>
            <w:tcW w:w="1665" w:type="dxa"/>
            <w:tcBorders>
              <w:left w:val="single" w:sz="12" w:space="0" w:color="auto"/>
            </w:tcBorders>
            <w:shd w:val="clear" w:color="auto" w:fill="auto"/>
            <w:tcMar>
              <w:left w:w="28" w:type="dxa"/>
              <w:right w:w="28" w:type="dxa"/>
            </w:tcMar>
            <w:hideMark/>
          </w:tcPr>
          <w:p w14:paraId="2043FE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6B940C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29B8B2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shd w:val="clear" w:color="auto" w:fill="auto"/>
            <w:tcMar>
              <w:left w:w="28" w:type="dxa"/>
              <w:right w:w="28" w:type="dxa"/>
            </w:tcMar>
            <w:hideMark/>
          </w:tcPr>
          <w:p w14:paraId="2DA1F9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R2=0.61, p&lt;0.0001</w:t>
            </w:r>
          </w:p>
        </w:tc>
        <w:tc>
          <w:tcPr>
            <w:tcW w:w="1288" w:type="dxa"/>
            <w:shd w:val="clear" w:color="auto" w:fill="auto"/>
            <w:tcMar>
              <w:left w:w="28" w:type="dxa"/>
              <w:right w:w="28" w:type="dxa"/>
            </w:tcMar>
            <w:hideMark/>
          </w:tcPr>
          <w:p w14:paraId="39F937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1BFE0A8"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344D5262" w14:textId="6807721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155E528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bottom w:val="single" w:sz="12" w:space="0" w:color="auto"/>
              <w:right w:val="single" w:sz="12" w:space="0" w:color="auto"/>
            </w:tcBorders>
            <w:tcMar>
              <w:left w:w="28" w:type="dxa"/>
              <w:right w:w="28" w:type="dxa"/>
            </w:tcMar>
          </w:tcPr>
          <w:p w14:paraId="5E9169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0B8086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134" w:type="dxa"/>
            <w:tcBorders>
              <w:left w:val="single" w:sz="12" w:space="0" w:color="auto"/>
              <w:bottom w:val="single" w:sz="12" w:space="0" w:color="auto"/>
            </w:tcBorders>
            <w:shd w:val="clear" w:color="auto" w:fill="auto"/>
            <w:tcMar>
              <w:left w:w="28" w:type="dxa"/>
              <w:right w:w="28" w:type="dxa"/>
            </w:tcMar>
            <w:hideMark/>
          </w:tcPr>
          <w:p w14:paraId="5CC462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bottom w:val="single" w:sz="12" w:space="0" w:color="auto"/>
              <w:right w:val="single" w:sz="12" w:space="0" w:color="auto"/>
            </w:tcBorders>
            <w:shd w:val="clear" w:color="auto" w:fill="auto"/>
            <w:tcMar>
              <w:left w:w="28" w:type="dxa"/>
              <w:right w:w="28" w:type="dxa"/>
            </w:tcMar>
            <w:hideMark/>
          </w:tcPr>
          <w:p w14:paraId="74FECC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573" w:type="dxa"/>
            <w:tcBorders>
              <w:left w:val="single" w:sz="12" w:space="0" w:color="auto"/>
              <w:bottom w:val="single" w:sz="12" w:space="0" w:color="auto"/>
            </w:tcBorders>
            <w:shd w:val="clear" w:color="auto" w:fill="auto"/>
            <w:tcMar>
              <w:left w:w="28" w:type="dxa"/>
              <w:right w:w="28" w:type="dxa"/>
            </w:tcMar>
            <w:hideMark/>
          </w:tcPr>
          <w:p w14:paraId="6DF90D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143</w:t>
            </w:r>
            <w:r w:rsidRPr="002D1DD7">
              <w:rPr>
                <w:rFonts w:eastAsia="Times New Roman" w:cs="Times New Roman"/>
                <w:color w:val="000000"/>
                <w:sz w:val="18"/>
                <w:szCs w:val="18"/>
                <w:vertAlign w:val="superscript"/>
                <w:lang w:eastAsia="zh-CN"/>
              </w:rPr>
              <w:t>†</w:t>
            </w:r>
          </w:p>
        </w:tc>
        <w:tc>
          <w:tcPr>
            <w:tcW w:w="746" w:type="dxa"/>
            <w:tcBorders>
              <w:bottom w:val="single" w:sz="12" w:space="0" w:color="auto"/>
              <w:right w:val="single" w:sz="12" w:space="0" w:color="auto"/>
            </w:tcBorders>
            <w:shd w:val="clear" w:color="auto" w:fill="auto"/>
            <w:tcMar>
              <w:left w:w="28" w:type="dxa"/>
              <w:right w:w="28" w:type="dxa"/>
            </w:tcMar>
            <w:hideMark/>
          </w:tcPr>
          <w:p w14:paraId="0690FC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6974</w:t>
            </w:r>
            <w:r w:rsidRPr="002D1DD7">
              <w:rPr>
                <w:rFonts w:eastAsia="Times New Roman" w:cs="Times New Roman"/>
                <w:color w:val="000000"/>
                <w:sz w:val="18"/>
                <w:szCs w:val="18"/>
                <w:vertAlign w:val="superscript"/>
                <w:lang w:eastAsia="zh-CN"/>
              </w:rPr>
              <w:t>†</w:t>
            </w:r>
          </w:p>
        </w:tc>
        <w:tc>
          <w:tcPr>
            <w:tcW w:w="1665" w:type="dxa"/>
            <w:tcBorders>
              <w:left w:val="single" w:sz="12" w:space="0" w:color="auto"/>
              <w:bottom w:val="single" w:sz="12" w:space="0" w:color="auto"/>
            </w:tcBorders>
            <w:shd w:val="clear" w:color="auto" w:fill="auto"/>
            <w:tcMar>
              <w:left w:w="28" w:type="dxa"/>
              <w:right w:w="28" w:type="dxa"/>
            </w:tcMar>
            <w:hideMark/>
          </w:tcPr>
          <w:p w14:paraId="033689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bottom w:val="single" w:sz="12" w:space="0" w:color="auto"/>
              <w:right w:val="single" w:sz="12" w:space="0" w:color="auto"/>
            </w:tcBorders>
            <w:shd w:val="clear" w:color="auto" w:fill="auto"/>
            <w:tcMar>
              <w:left w:w="28" w:type="dxa"/>
              <w:right w:w="28" w:type="dxa"/>
            </w:tcMar>
            <w:hideMark/>
          </w:tcPr>
          <w:p w14:paraId="5E4284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bottom w:val="single" w:sz="12" w:space="0" w:color="auto"/>
            </w:tcBorders>
            <w:shd w:val="clear" w:color="auto" w:fill="auto"/>
            <w:tcMar>
              <w:left w:w="28" w:type="dxa"/>
              <w:right w:w="28" w:type="dxa"/>
            </w:tcMar>
            <w:hideMark/>
          </w:tcPr>
          <w:p w14:paraId="38E49F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PFS)</w:t>
            </w:r>
          </w:p>
        </w:tc>
        <w:tc>
          <w:tcPr>
            <w:tcW w:w="1316" w:type="dxa"/>
            <w:tcBorders>
              <w:bottom w:val="single" w:sz="12" w:space="0" w:color="auto"/>
            </w:tcBorders>
            <w:shd w:val="clear" w:color="auto" w:fill="auto"/>
            <w:tcMar>
              <w:left w:w="28" w:type="dxa"/>
              <w:right w:w="28" w:type="dxa"/>
            </w:tcMar>
            <w:hideMark/>
          </w:tcPr>
          <w:p w14:paraId="35C5B1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R2=0.56, p&lt;0.0001</w:t>
            </w:r>
          </w:p>
        </w:tc>
        <w:tc>
          <w:tcPr>
            <w:tcW w:w="1288" w:type="dxa"/>
            <w:tcBorders>
              <w:bottom w:val="single" w:sz="12" w:space="0" w:color="auto"/>
            </w:tcBorders>
            <w:shd w:val="clear" w:color="auto" w:fill="auto"/>
            <w:tcMar>
              <w:left w:w="28" w:type="dxa"/>
              <w:right w:w="28" w:type="dxa"/>
            </w:tcMar>
            <w:hideMark/>
          </w:tcPr>
          <w:p w14:paraId="7C263B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80866BC" w14:textId="77777777" w:rsidTr="003117A9">
        <w:trPr>
          <w:cantSplit/>
        </w:trPr>
        <w:tc>
          <w:tcPr>
            <w:tcW w:w="14975" w:type="dxa"/>
            <w:gridSpan w:val="13"/>
            <w:tcBorders>
              <w:top w:val="single" w:sz="12" w:space="0" w:color="auto"/>
              <w:bottom w:val="single" w:sz="12" w:space="0" w:color="auto"/>
            </w:tcBorders>
            <w:shd w:val="clear" w:color="auto" w:fill="D9D9D9"/>
            <w:tcMar>
              <w:left w:w="28" w:type="dxa"/>
              <w:right w:w="28" w:type="dxa"/>
            </w:tcMar>
          </w:tcPr>
          <w:p w14:paraId="191A7BB4"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Pr>
                <w:rFonts w:eastAsia="Times New Roman" w:cs="Times New Roman"/>
                <w:b/>
                <w:bCs/>
                <w:color w:val="000000"/>
                <w:sz w:val="18"/>
                <w:szCs w:val="18"/>
                <w:lang w:eastAsia="zh-CN"/>
              </w:rPr>
              <w:t>O</w:t>
            </w:r>
            <w:r w:rsidRPr="002D1DD7">
              <w:rPr>
                <w:rFonts w:eastAsia="Times New Roman" w:cs="Times New Roman"/>
                <w:b/>
                <w:bCs/>
                <w:color w:val="000000"/>
                <w:sz w:val="18"/>
                <w:szCs w:val="18"/>
                <w:lang w:eastAsia="zh-CN"/>
              </w:rPr>
              <w:t>RR vs. OS</w:t>
            </w:r>
          </w:p>
        </w:tc>
      </w:tr>
      <w:tr w:rsidR="002E26FD" w:rsidRPr="002D1DD7" w14:paraId="2B751977"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559F291" w14:textId="7AE83B0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Agarwal 2017</w:t>
            </w:r>
            <w:r w:rsidRPr="002D1DD7">
              <w:rPr>
                <w:rFonts w:eastAsia="Times New Roman" w:cs="Times New Roman"/>
                <w:sz w:val="18"/>
                <w:szCs w:val="18"/>
                <w:lang w:eastAsia="zh-CN"/>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80</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46BB8E5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244FE4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27F79D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Acute myeloid leukemia</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615FEE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85F37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37DA2A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79C03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4747D1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92A1C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4F9F03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adj R2 (logit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med OS)</w:t>
            </w:r>
          </w:p>
        </w:tc>
        <w:tc>
          <w:tcPr>
            <w:tcW w:w="1316" w:type="dxa"/>
            <w:tcBorders>
              <w:top w:val="single" w:sz="12" w:space="0" w:color="auto"/>
              <w:bottom w:val="single" w:sz="12" w:space="0" w:color="auto"/>
            </w:tcBorders>
            <w:shd w:val="clear" w:color="auto" w:fill="auto"/>
            <w:tcMar>
              <w:left w:w="28" w:type="dxa"/>
              <w:right w:w="28" w:type="dxa"/>
            </w:tcMar>
            <w:hideMark/>
          </w:tcPr>
          <w:p w14:paraId="2253D7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R2=0.45, p=NR</w:t>
            </w:r>
          </w:p>
        </w:tc>
        <w:tc>
          <w:tcPr>
            <w:tcW w:w="1288" w:type="dxa"/>
            <w:tcBorders>
              <w:top w:val="single" w:sz="12" w:space="0" w:color="auto"/>
              <w:bottom w:val="single" w:sz="12" w:space="0" w:color="auto"/>
            </w:tcBorders>
            <w:shd w:val="clear" w:color="auto" w:fill="auto"/>
            <w:tcMar>
              <w:left w:w="28" w:type="dxa"/>
              <w:right w:w="28" w:type="dxa"/>
            </w:tcMar>
            <w:hideMark/>
          </w:tcPr>
          <w:p w14:paraId="05766E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1D69BB1"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465EB3BC" w14:textId="265D410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3A22146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48759C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630ED3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4ADE38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+ 3rd</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4A3BB8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70112C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24</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5DDE8F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8617</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3E3993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41EE61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rs=0.54 (0.29 to 0.72), p&lt;0.0001</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7121D4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39E841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1E19E0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5C153FD"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11FCCF7" w14:textId="7B61F52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3C06D64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6D5744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7F083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70F068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+ 3rd</w:t>
            </w:r>
            <w:r w:rsidRPr="002D1DD7">
              <w:rPr>
                <w:rFonts w:eastAsia="Times New Roman" w:cs="Times New Roman"/>
                <w:color w:val="000000"/>
                <w:sz w:val="18"/>
                <w:szCs w:val="18"/>
                <w:lang w:eastAsia="zh-CN"/>
              </w:rPr>
              <w:br/>
              <w:t>- Previous anthracycline/taxanes</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51DBB7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751179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3A6746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26FB35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0E4399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rs=0.62 (0.32 to 0.84),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525748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7996A6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236C88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1CC05F6"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34BFD4CC" w14:textId="0F22511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3E535F5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1F7C6B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33B05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A5FB6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+ 3rd</w:t>
            </w:r>
            <w:r w:rsidRPr="002D1DD7">
              <w:rPr>
                <w:rFonts w:eastAsia="Times New Roman" w:cs="Times New Roman"/>
                <w:color w:val="000000"/>
                <w:sz w:val="18"/>
                <w:szCs w:val="18"/>
                <w:lang w:eastAsia="zh-CN"/>
              </w:rPr>
              <w:br/>
              <w:t>- Previous trastuzumab/bevacizumab</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14E2B5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584D1E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21A0E1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33E4EF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70C9CE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rs=0.78 (0.19 to 1.0),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0904DF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1AF066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138EA1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E4BB5CD"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6B0D8AAD" w14:textId="7E00FC1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018E06A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40A245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C6283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A500D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+ 3rd</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4C22B6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(taxanes)</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6ABC4B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21*</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549C31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07163C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7B2353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rs=0.49 (-0.19 to 0.92),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1554AE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6CAC03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1E0343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E78C03F"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398A867D" w14:textId="3111C29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12563D8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118449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B0E2A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97EBC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+ 3rd</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5E1005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(antimetabolites)</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27BF5A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72FA8D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111D1B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24B4D7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rs=-0.10,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48AA76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4E9C33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597527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455FFA0A"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797428EB" w14:textId="3766B53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7852BF4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1980BC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7AD2B6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0B6DA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+ 3rd</w:t>
            </w:r>
            <w:r w:rsidRPr="002D1DD7">
              <w:rPr>
                <w:rFonts w:eastAsia="Times New Roman" w:cs="Times New Roman"/>
                <w:color w:val="000000"/>
                <w:sz w:val="18"/>
                <w:szCs w:val="18"/>
                <w:lang w:eastAsia="zh-CN"/>
              </w:rPr>
              <w:br/>
              <w:t>- HER2-pos</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01E637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77EB1F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122F26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35E656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608E42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rs=0.96 (0.80 to 1.00),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4C945D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72DC52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095CBA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BFAF16A"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E081E5D" w14:textId="012C47D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Liu 2016</w:t>
            </w:r>
            <w:r w:rsidRPr="002D1DD7">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PEVuZE5vdGU+PENpdGU+PEF1dGhvcj5MaXU8L0F1dGhvcj48WWVhcj4yMDE2PC9ZZWFyPjxSZWNO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MjY4NzQ5NzQ8L3N0eWxlPjxzdHlsZSBmYWNlPSJub3JtYWwiIGZvbnQ9ImRlZmF1bHQiIHNpemU9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ZSZhbXA7aWQ9cG1pZDoyNjg3NDk3NCZhbXA7aWQ9ZG9pOjEwLjEwMTYlMkZqLmJ1bGNhbi4yMDE2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111</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6881894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4C7BA1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DDCC9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A2A41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+ 3rd</w:t>
            </w:r>
            <w:r w:rsidRPr="002D1DD7">
              <w:rPr>
                <w:rFonts w:eastAsia="Times New Roman" w:cs="Times New Roman"/>
                <w:color w:val="000000"/>
                <w:sz w:val="18"/>
                <w:szCs w:val="18"/>
                <w:lang w:eastAsia="zh-CN"/>
              </w:rPr>
              <w:br/>
              <w:t>- HER2-neg</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222F53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0C9F3C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53CEDF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426C1C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489D9F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rs=1.00,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61FF22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13D730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416573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47E3D4B"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150C64D9" w14:textId="2B29EB6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Petrelli 2014</w:t>
            </w:r>
            <w:r w:rsidRPr="002D1DD7">
              <w:rPr>
                <w:rFonts w:eastAsia="Times New Roman" w:cs="Times New Roman"/>
                <w:color w:val="000000"/>
                <w:sz w:val="18"/>
                <w:szCs w:val="18"/>
                <w:lang w:eastAsia="zh-CN"/>
              </w:rPr>
              <w:fldChar w:fldCharType="begin">
                <w:fldData xml:space="preserve">PEVuZE5vdGU+PENpdGU+PEF1dGhvcj5QZXRyZWxsaTwvQXV0aG9yPjxZZWFyPjIwMTQ8L1llYXI+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PWZ1bGx0ZXh0JmFtcDtEPW1lZDEwJmFtcDtBTj0yNDI3MTMxMzwvc3R5bGU+PHN0eWxlIGZhY2U9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c2VydmljZXNfcGFnZT9zaWQ9T1ZJRDptZWRsaW5lJmFtcDtpZD1wbWlkOjI0MjcxMzEzJmFtcDtp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PEVuZE5vdGU+PENpdGU+PEF1dGhvcj5QZXRyZWxsaTwvQXV0aG9yPjxZZWFyPjIwMTQ8L1llYXI+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c2VydmljZXNfcGFnZT9zaWQ9T1ZJRDptZWRsaW5lJmFtcDtpZD1wbWlkOjI0MjcxMzEzJmFtcDtp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124</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17859DB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7BFF66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100700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77AC60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2AF5B1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 chemo</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2EADEA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61035F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10138</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59869E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1C782E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rs=0.61 (0.59 to 0.63), p=NR</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498DCD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60192A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40839F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AA8EF78"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4A0225B6" w14:textId="1833AED3"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Giessen 2015</w:t>
            </w:r>
            <w:r w:rsidRPr="002D1DD7">
              <w:rPr>
                <w:rFonts w:eastAsia="Times New Roman" w:cs="Times New Roman"/>
                <w:sz w:val="18"/>
                <w:szCs w:val="18"/>
                <w:lang w:eastAsia="zh-CN"/>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ZXJzY3JpcHQiPjk1PC9zdHlsZT48L0Rpc3BsYXlUZXh0PjxyZWNvcmQ+PHJlYy1udW1iZXI+OTQ2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</w:fldData>
              </w:fldChar>
            </w:r>
            <w:r w:rsidR="00054FE8">
              <w:rPr>
                <w:rFonts w:eastAsia="Times New Roman" w:cs="Times New Roman"/>
                <w:sz w:val="18"/>
                <w:szCs w:val="18"/>
                <w:lang w:eastAsia="zh-CN"/>
              </w:rPr>
              <w:instrText xml:space="preserve"> ADDIN EN.CITE </w:instrText>
            </w:r>
            <w:r w:rsidR="00054FE8">
              <w:rPr>
                <w:rFonts w:eastAsia="Times New Roman" w:cs="Times New Roman"/>
                <w:sz w:val="18"/>
                <w:szCs w:val="18"/>
                <w:lang w:eastAsia="zh-CN"/>
              </w:rPr>
              <w:fldChar w:fldCharType="begin">
                <w:fldData xml:space="preserve">PEVuZE5vdGU+PENpdGU+PEF1dGhvcj5HaWVzc2VuPC9BdXRob3I+PFllYXI+MjAxNTwvWWVhcj48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</w:fldData>
              </w:fldChar>
            </w:r>
            <w:r w:rsidR="00054FE8">
              <w:rPr>
                <w:rFonts w:eastAsia="Times New Roman" w:cs="Times New Roman"/>
                <w:sz w:val="18"/>
                <w:szCs w:val="18"/>
                <w:lang w:eastAsia="zh-CN"/>
              </w:rPr>
              <w:instrText xml:space="preserve"> ADDIN EN.CITE.DATA </w:instrText>
            </w:r>
            <w:r w:rsidR="00054FE8">
              <w:rPr>
                <w:rFonts w:eastAsia="Times New Roman" w:cs="Times New Roman"/>
                <w:sz w:val="18"/>
                <w:szCs w:val="18"/>
                <w:lang w:eastAsia="zh-CN"/>
              </w:rPr>
            </w:r>
            <w:r w:rsidR="00054FE8">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95</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4F6D8B3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right w:val="single" w:sz="12" w:space="0" w:color="auto"/>
            </w:tcBorders>
            <w:tcMar>
              <w:left w:w="28" w:type="dxa"/>
              <w:right w:w="28" w:type="dxa"/>
            </w:tcMar>
          </w:tcPr>
          <w:p w14:paraId="388182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hideMark/>
          </w:tcPr>
          <w:p w14:paraId="5B7D64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12" w:space="0" w:color="auto"/>
              <w:left w:val="single" w:sz="12" w:space="0" w:color="auto"/>
            </w:tcBorders>
            <w:shd w:val="clear" w:color="auto" w:fill="auto"/>
            <w:tcMar>
              <w:left w:w="28" w:type="dxa"/>
              <w:right w:w="28" w:type="dxa"/>
            </w:tcMar>
            <w:hideMark/>
          </w:tcPr>
          <w:p w14:paraId="748B58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1701" w:type="dxa"/>
            <w:tcBorders>
              <w:top w:val="single" w:sz="12" w:space="0" w:color="auto"/>
              <w:right w:val="single" w:sz="12" w:space="0" w:color="auto"/>
            </w:tcBorders>
            <w:shd w:val="clear" w:color="auto" w:fill="auto"/>
            <w:tcMar>
              <w:left w:w="28" w:type="dxa"/>
              <w:right w:w="28" w:type="dxa"/>
            </w:tcMar>
            <w:hideMark/>
          </w:tcPr>
          <w:p w14:paraId="20D972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12" w:space="0" w:color="auto"/>
              <w:left w:val="single" w:sz="12" w:space="0" w:color="auto"/>
            </w:tcBorders>
            <w:shd w:val="clear" w:color="auto" w:fill="auto"/>
            <w:tcMar>
              <w:left w:w="28" w:type="dxa"/>
              <w:right w:w="28" w:type="dxa"/>
            </w:tcMar>
            <w:hideMark/>
          </w:tcPr>
          <w:p w14:paraId="5102F4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46" w:type="dxa"/>
            <w:tcBorders>
              <w:top w:val="single" w:sz="12" w:space="0" w:color="auto"/>
              <w:right w:val="single" w:sz="12" w:space="0" w:color="auto"/>
            </w:tcBorders>
            <w:shd w:val="clear" w:color="auto" w:fill="auto"/>
            <w:tcMar>
              <w:left w:w="28" w:type="dxa"/>
              <w:right w:w="28" w:type="dxa"/>
            </w:tcMar>
            <w:hideMark/>
          </w:tcPr>
          <w:p w14:paraId="795E34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10509</w:t>
            </w:r>
          </w:p>
        </w:tc>
        <w:tc>
          <w:tcPr>
            <w:tcW w:w="1665" w:type="dxa"/>
            <w:tcBorders>
              <w:top w:val="single" w:sz="12" w:space="0" w:color="auto"/>
              <w:left w:val="single" w:sz="12" w:space="0" w:color="auto"/>
            </w:tcBorders>
            <w:shd w:val="clear" w:color="auto" w:fill="auto"/>
            <w:tcMar>
              <w:left w:w="28" w:type="dxa"/>
              <w:right w:w="28" w:type="dxa"/>
            </w:tcMar>
            <w:hideMark/>
          </w:tcPr>
          <w:p w14:paraId="2DFE7D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wtd (log odds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med OS)</w:t>
            </w:r>
          </w:p>
        </w:tc>
        <w:tc>
          <w:tcPr>
            <w:tcW w:w="1843" w:type="dxa"/>
            <w:tcBorders>
              <w:top w:val="single" w:sz="12" w:space="0" w:color="auto"/>
              <w:right w:val="single" w:sz="12" w:space="0" w:color="auto"/>
            </w:tcBorders>
            <w:shd w:val="clear" w:color="auto" w:fill="auto"/>
            <w:tcMar>
              <w:left w:w="28" w:type="dxa"/>
              <w:right w:w="28" w:type="dxa"/>
            </w:tcMar>
            <w:hideMark/>
          </w:tcPr>
          <w:p w14:paraId="171628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r=0.58 (0.38 to 0.72), p=0.003</w:t>
            </w:r>
          </w:p>
        </w:tc>
        <w:tc>
          <w:tcPr>
            <w:tcW w:w="1147" w:type="dxa"/>
            <w:tcBorders>
              <w:top w:val="single" w:sz="12" w:space="0" w:color="auto"/>
              <w:left w:val="single" w:sz="12" w:space="0" w:color="auto"/>
            </w:tcBorders>
            <w:shd w:val="clear" w:color="auto" w:fill="auto"/>
            <w:tcMar>
              <w:left w:w="28" w:type="dxa"/>
              <w:right w:w="28" w:type="dxa"/>
            </w:tcMar>
            <w:hideMark/>
          </w:tcPr>
          <w:p w14:paraId="481EA2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tcBorders>
            <w:shd w:val="clear" w:color="auto" w:fill="auto"/>
            <w:tcMar>
              <w:left w:w="28" w:type="dxa"/>
              <w:right w:w="28" w:type="dxa"/>
            </w:tcMar>
            <w:hideMark/>
          </w:tcPr>
          <w:p w14:paraId="5A4578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tcBorders>
            <w:shd w:val="clear" w:color="auto" w:fill="auto"/>
            <w:tcMar>
              <w:left w:w="28" w:type="dxa"/>
              <w:right w:w="28" w:type="dxa"/>
            </w:tcMar>
            <w:hideMark/>
          </w:tcPr>
          <w:p w14:paraId="362EC0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3C63FE7" w14:textId="77777777" w:rsidTr="003117A9">
        <w:trPr>
          <w:cantSplit/>
        </w:trPr>
        <w:tc>
          <w:tcPr>
            <w:tcW w:w="988" w:type="dxa"/>
            <w:tcBorders>
              <w:right w:val="single" w:sz="12" w:space="0" w:color="auto"/>
            </w:tcBorders>
            <w:shd w:val="clear" w:color="auto" w:fill="auto"/>
            <w:tcMar>
              <w:left w:w="28" w:type="dxa"/>
              <w:right w:w="28" w:type="dxa"/>
            </w:tcMar>
            <w:hideMark/>
          </w:tcPr>
          <w:p w14:paraId="7DF78FA1" w14:textId="452AF0E0"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Louvet 2001</w:t>
            </w:r>
            <w:r w:rsidRPr="002D1DD7">
              <w:rPr>
                <w:rFonts w:eastAsia="Times New Roman" w:cs="Times New Roman"/>
                <w:color w:val="000000"/>
                <w:sz w:val="18"/>
                <w:szCs w:val="18"/>
                <w:lang w:eastAsia="zh-CN"/>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eastAsia="Times New Roman" w:cs="Times New Roman"/>
                <w:color w:val="000000"/>
                <w:sz w:val="18"/>
                <w:szCs w:val="18"/>
                <w:lang w:eastAsia="zh-CN"/>
              </w:rPr>
              <w:instrText xml:space="preserve"> ADDIN EN.CITE </w:instrText>
            </w:r>
            <w:r w:rsidR="00054FE8">
              <w:rPr>
                <w:rFonts w:eastAsia="Times New Roman" w:cs="Times New Roman"/>
                <w:color w:val="000000"/>
                <w:sz w:val="18"/>
                <w:szCs w:val="18"/>
                <w:lang w:eastAsia="zh-CN"/>
              </w:rPr>
              <w:fldChar w:fldCharType="begin">
                <w:fldData xml:space="preserve">PEVuZE5vdGU+PENpdGU+PEF1dGhvcj5Mb3V2ZXQ8L0F1dGhvcj48WWVhcj4yMDAxPC9ZZWFyPjxS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RT1mdWxsdGV4dCZhbXA7RD1tZWQ0JmFtcDtBTj0xMTM5MTU4Mjwvc3R5bGU+PHN0eWxlIGZhY2U9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c2VydmljZXNfcGFnZT9zaWQ9T1ZJRDptZWRsaW5lJmFtcDtpZD1wbWlkOjExMzkxNTgyJmFtcDtp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</w:fldData>
              </w:fldChar>
            </w:r>
            <w:r w:rsidR="00054FE8">
              <w:rPr>
                <w:rFonts w:eastAsia="Times New Roman" w:cs="Times New Roman"/>
                <w:color w:val="000000"/>
                <w:sz w:val="18"/>
                <w:szCs w:val="18"/>
                <w:lang w:eastAsia="zh-CN"/>
              </w:rPr>
              <w:instrText xml:space="preserve"> ADDIN EN.CITE.DATA </w:instrText>
            </w:r>
            <w:r w:rsidR="00054FE8">
              <w:rPr>
                <w:rFonts w:eastAsia="Times New Roman" w:cs="Times New Roman"/>
                <w:color w:val="000000"/>
                <w:sz w:val="18"/>
                <w:szCs w:val="18"/>
                <w:lang w:eastAsia="zh-CN"/>
              </w:rPr>
            </w:r>
            <w:r w:rsidR="00054FE8">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112</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1D4E06C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5567D5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0B6E6A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left w:val="single" w:sz="12" w:space="0" w:color="auto"/>
            </w:tcBorders>
            <w:shd w:val="clear" w:color="auto" w:fill="auto"/>
            <w:tcMar>
              <w:left w:w="28" w:type="dxa"/>
              <w:right w:w="28" w:type="dxa"/>
            </w:tcMar>
            <w:hideMark/>
          </w:tcPr>
          <w:p w14:paraId="25F96D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right w:val="single" w:sz="12" w:space="0" w:color="auto"/>
            </w:tcBorders>
            <w:shd w:val="clear" w:color="auto" w:fill="auto"/>
            <w:tcMar>
              <w:left w:w="28" w:type="dxa"/>
              <w:right w:w="28" w:type="dxa"/>
            </w:tcMar>
            <w:hideMark/>
          </w:tcPr>
          <w:p w14:paraId="6CDA35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left w:val="single" w:sz="12" w:space="0" w:color="auto"/>
            </w:tcBorders>
            <w:shd w:val="clear" w:color="auto" w:fill="auto"/>
            <w:tcMar>
              <w:left w:w="28" w:type="dxa"/>
              <w:right w:w="28" w:type="dxa"/>
            </w:tcMar>
            <w:hideMark/>
          </w:tcPr>
          <w:p w14:paraId="0A540F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28*</w:t>
            </w:r>
          </w:p>
        </w:tc>
        <w:tc>
          <w:tcPr>
            <w:tcW w:w="746" w:type="dxa"/>
            <w:tcBorders>
              <w:right w:val="single" w:sz="12" w:space="0" w:color="auto"/>
            </w:tcBorders>
            <w:shd w:val="clear" w:color="auto" w:fill="auto"/>
            <w:tcMar>
              <w:left w:w="28" w:type="dxa"/>
              <w:right w:w="28" w:type="dxa"/>
            </w:tcMar>
            <w:hideMark/>
          </w:tcPr>
          <w:p w14:paraId="55DCEC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13284*</w:t>
            </w:r>
          </w:p>
        </w:tc>
        <w:tc>
          <w:tcPr>
            <w:tcW w:w="1665" w:type="dxa"/>
            <w:tcBorders>
              <w:left w:val="single" w:sz="12" w:space="0" w:color="auto"/>
            </w:tcBorders>
            <w:shd w:val="clear" w:color="auto" w:fill="auto"/>
            <w:tcMar>
              <w:left w:w="28" w:type="dxa"/>
              <w:right w:w="28" w:type="dxa"/>
            </w:tcMar>
            <w:hideMark/>
          </w:tcPr>
          <w:p w14:paraId="177ADB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right w:val="single" w:sz="12" w:space="0" w:color="auto"/>
            </w:tcBorders>
            <w:shd w:val="clear" w:color="auto" w:fill="auto"/>
            <w:tcMar>
              <w:left w:w="28" w:type="dxa"/>
              <w:right w:w="28" w:type="dxa"/>
            </w:tcMar>
            <w:hideMark/>
          </w:tcPr>
          <w:p w14:paraId="5F3730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rs=0.41, p=0.0009</w:t>
            </w:r>
          </w:p>
        </w:tc>
        <w:tc>
          <w:tcPr>
            <w:tcW w:w="1147" w:type="dxa"/>
            <w:tcBorders>
              <w:left w:val="single" w:sz="12" w:space="0" w:color="auto"/>
            </w:tcBorders>
            <w:shd w:val="clear" w:color="auto" w:fill="auto"/>
            <w:tcMar>
              <w:left w:w="28" w:type="dxa"/>
              <w:right w:w="28" w:type="dxa"/>
            </w:tcMar>
            <w:hideMark/>
          </w:tcPr>
          <w:p w14:paraId="6345DE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0A6F38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67CCB8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OS = 10.45 + 0.088 *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00427D61"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578E5F07" w14:textId="1C9688D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Tang 2007</w:t>
            </w:r>
            <w:r w:rsidRPr="002D1DD7">
              <w:rPr>
                <w:rFonts w:eastAsia="Times New Roman" w:cs="Times New Roman"/>
                <w:color w:val="000000"/>
                <w:sz w:val="18"/>
                <w:szCs w:val="18"/>
                <w:lang w:eastAsia="zh-CN"/>
              </w:rPr>
              <w:fldChar w:fldCharType="begin">
                <w:fldData xml:space="preserve">PEVuZE5vdGU+PENpdGU+PEF1dGhvcj5UYW5nPC9BdXRob3I+PFllYXI+MjAwNzwvWWVhcj48UmVj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bXA7TkVXUz1OJmFtcDtQQUdFPWZ1bGx0ZXh0JmFtcDtEPW1lZDUmYW1wO0FOPTE3ODc2MDEwPC9z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aWQ6MTc4NzYwMTAmYW1wO2lkPWRvaToxMC4xMjAwJTJGSkNPLjIwMDYuMDguMTkzNSZhbXA7aXNz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PEVuZE5vdGU+PENpdGU+PEF1dGhvcj5UYW5nPC9BdXRob3I+PFllYXI+MjAwNzwvWWVhcj48UmVj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bXA7TkVXUz1OJmFtcDtQQUdFPWZ1bGx0ZXh0JmFtcDtEPW1lZDUmYW1wO0FOPTE3ODc2MDEwPC9z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aWQ6MTc4NzYwMTAmYW1wO2lkPWRvaToxMC4xMjAwJTJGSkNPLjIwMDYuMDguMTkzNSZhbXA7aXNz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135</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0BE06EC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bottom w:val="single" w:sz="12" w:space="0" w:color="auto"/>
              <w:right w:val="single" w:sz="12" w:space="0" w:color="auto"/>
            </w:tcBorders>
            <w:tcMar>
              <w:left w:w="28" w:type="dxa"/>
              <w:right w:w="28" w:type="dxa"/>
            </w:tcMar>
          </w:tcPr>
          <w:p w14:paraId="3C069C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64C06C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left w:val="single" w:sz="12" w:space="0" w:color="auto"/>
              <w:bottom w:val="single" w:sz="12" w:space="0" w:color="auto"/>
            </w:tcBorders>
            <w:shd w:val="clear" w:color="auto" w:fill="auto"/>
            <w:tcMar>
              <w:left w:w="28" w:type="dxa"/>
              <w:right w:w="28" w:type="dxa"/>
            </w:tcMar>
            <w:hideMark/>
          </w:tcPr>
          <w:p w14:paraId="452069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bottom w:val="single" w:sz="12" w:space="0" w:color="auto"/>
              <w:right w:val="single" w:sz="12" w:space="0" w:color="auto"/>
            </w:tcBorders>
            <w:shd w:val="clear" w:color="auto" w:fill="auto"/>
            <w:tcMar>
              <w:left w:w="28" w:type="dxa"/>
              <w:right w:w="28" w:type="dxa"/>
            </w:tcMar>
            <w:hideMark/>
          </w:tcPr>
          <w:p w14:paraId="076D58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left w:val="single" w:sz="12" w:space="0" w:color="auto"/>
              <w:bottom w:val="single" w:sz="12" w:space="0" w:color="auto"/>
            </w:tcBorders>
            <w:shd w:val="clear" w:color="auto" w:fill="auto"/>
            <w:tcMar>
              <w:left w:w="28" w:type="dxa"/>
              <w:right w:w="28" w:type="dxa"/>
            </w:tcMar>
            <w:hideMark/>
          </w:tcPr>
          <w:p w14:paraId="08E04E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w:t>
            </w:r>
          </w:p>
        </w:tc>
        <w:tc>
          <w:tcPr>
            <w:tcW w:w="746" w:type="dxa"/>
            <w:tcBorders>
              <w:bottom w:val="single" w:sz="12" w:space="0" w:color="auto"/>
              <w:right w:val="single" w:sz="12" w:space="0" w:color="auto"/>
            </w:tcBorders>
            <w:shd w:val="clear" w:color="auto" w:fill="auto"/>
            <w:tcMar>
              <w:left w:w="28" w:type="dxa"/>
              <w:right w:w="28" w:type="dxa"/>
            </w:tcMar>
            <w:hideMark/>
          </w:tcPr>
          <w:p w14:paraId="201CFD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18668</w:t>
            </w:r>
          </w:p>
        </w:tc>
        <w:tc>
          <w:tcPr>
            <w:tcW w:w="1665" w:type="dxa"/>
            <w:tcBorders>
              <w:left w:val="single" w:sz="12" w:space="0" w:color="auto"/>
              <w:bottom w:val="single" w:sz="12" w:space="0" w:color="auto"/>
            </w:tcBorders>
            <w:shd w:val="clear" w:color="auto" w:fill="auto"/>
            <w:tcMar>
              <w:left w:w="28" w:type="dxa"/>
              <w:right w:w="28" w:type="dxa"/>
            </w:tcMar>
            <w:hideMark/>
          </w:tcPr>
          <w:p w14:paraId="1346B2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bottom w:val="single" w:sz="12" w:space="0" w:color="auto"/>
              <w:right w:val="single" w:sz="12" w:space="0" w:color="auto"/>
            </w:tcBorders>
            <w:shd w:val="clear" w:color="auto" w:fill="auto"/>
            <w:tcMar>
              <w:left w:w="28" w:type="dxa"/>
              <w:right w:w="28" w:type="dxa"/>
            </w:tcMar>
            <w:hideMark/>
          </w:tcPr>
          <w:p w14:paraId="1A4A5C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rs=0.59 (0.42 to 0.72), p&lt;0.000001</w:t>
            </w:r>
          </w:p>
        </w:tc>
        <w:tc>
          <w:tcPr>
            <w:tcW w:w="1147" w:type="dxa"/>
            <w:tcBorders>
              <w:left w:val="single" w:sz="12" w:space="0" w:color="auto"/>
              <w:bottom w:val="single" w:sz="12" w:space="0" w:color="auto"/>
            </w:tcBorders>
            <w:shd w:val="clear" w:color="auto" w:fill="auto"/>
            <w:tcMar>
              <w:left w:w="28" w:type="dxa"/>
              <w:right w:w="28" w:type="dxa"/>
            </w:tcMar>
            <w:hideMark/>
          </w:tcPr>
          <w:p w14:paraId="31CB7B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bottom w:val="single" w:sz="12" w:space="0" w:color="auto"/>
            </w:tcBorders>
            <w:shd w:val="clear" w:color="auto" w:fill="auto"/>
            <w:tcMar>
              <w:left w:w="28" w:type="dxa"/>
              <w:right w:w="28" w:type="dxa"/>
            </w:tcMar>
            <w:hideMark/>
          </w:tcPr>
          <w:p w14:paraId="665792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bottom w:val="single" w:sz="12" w:space="0" w:color="auto"/>
            </w:tcBorders>
            <w:shd w:val="clear" w:color="auto" w:fill="auto"/>
            <w:tcMar>
              <w:left w:w="28" w:type="dxa"/>
              <w:right w:w="28" w:type="dxa"/>
            </w:tcMar>
            <w:hideMark/>
          </w:tcPr>
          <w:p w14:paraId="489B13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4343BEFD"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11D09442" w14:textId="0658AA0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Ichikawa 2006</w:t>
            </w:r>
            <w:r w:rsidRPr="002D1DD7">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102</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09D46D4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357172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5C3EA0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99205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21F0A9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(any)</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2892EE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27D88C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4593</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399A61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728B22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rs=0.45, p&lt;0.0001</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5ECA45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tcBorders>
              <w:top w:val="single" w:sz="12" w:space="0" w:color="auto"/>
              <w:bottom w:val="single" w:sz="4" w:space="0" w:color="auto"/>
            </w:tcBorders>
            <w:shd w:val="clear" w:color="auto" w:fill="auto"/>
            <w:tcMar>
              <w:left w:w="28" w:type="dxa"/>
              <w:right w:w="28" w:type="dxa"/>
            </w:tcMar>
            <w:hideMark/>
          </w:tcPr>
          <w:p w14:paraId="10CEFC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6FB664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OS = 5.89 + 0.08 *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17B242B3"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1902D464" w14:textId="0DA0521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Ichikawa 2006</w:t>
            </w:r>
            <w:r w:rsidRPr="002D1DD7">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102</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1C9ACA0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794671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E6DA9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FFEBAF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1A5898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(novel)</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53D425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0CBD45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1170</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541B9F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42D569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rs=0.18, p=0.12</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102FD8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1691B6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6F1F1D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84C220B"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CB578B6" w14:textId="73378DA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Ichikawa 2006</w:t>
            </w:r>
            <w:r w:rsidRPr="002D1DD7">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PEVuZE5vdGU+PENpdGU+PEF1dGhvcj5JY2hpa2F3YTwvQXV0aG9yPjxZZWFyPjIwMDY8L1llYXI+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102</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48E4B3F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08D9AA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16FF1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E7EA0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3AE57A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(non-novel)</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108C54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729D46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3423</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16B912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550A9A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rs=0.47, p&lt;0.0001</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12CE29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0A2D49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067883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622EBBD"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7BC2E6A5" w14:textId="439DADF8"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Shitara 2014</w:t>
            </w:r>
            <w:r w:rsidRPr="002D1DD7">
              <w:rPr>
                <w:rFonts w:eastAsia="Times New Roman" w:cs="Times New Roman"/>
                <w:color w:val="000000"/>
                <w:sz w:val="18"/>
                <w:szCs w:val="18"/>
                <w:lang w:eastAsia="zh-CN"/>
              </w:rPr>
              <w:fldChar w:fldCharType="begin">
                <w:fldData xml:space="preserve">PEVuZE5vdGU+PENpdGU+PEF1dGhvcj5TaGl0YXJhPC9BdXRob3I+PFllYXI+MjAxNDwvWWVhcj48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ZnVsbHRleHQmYW1wO0Q9bWVkMTAmYW1wO0FOPTIzNzM2NzQyPC9zdHlsZT48c3R5bGUgZmFjZT0i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</w:fldData>
              </w:fldChar>
            </w:r>
            <w:r w:rsidR="00054FE8">
              <w:rPr>
                <w:rFonts w:eastAsia="Times New Roman" w:cs="Times New Roman"/>
                <w:color w:val="000000"/>
                <w:sz w:val="18"/>
                <w:szCs w:val="18"/>
                <w:lang w:eastAsia="zh-CN"/>
              </w:rPr>
              <w:instrText xml:space="preserve"> ADDIN EN.CITE </w:instrText>
            </w:r>
            <w:r w:rsidR="00054FE8">
              <w:rPr>
                <w:rFonts w:eastAsia="Times New Roman" w:cs="Times New Roman"/>
                <w:color w:val="000000"/>
                <w:sz w:val="18"/>
                <w:szCs w:val="18"/>
                <w:lang w:eastAsia="zh-CN"/>
              </w:rPr>
              <w:fldChar w:fldCharType="begin">
                <w:fldData xml:space="preserve">PEVuZE5vdGU+PENpdGU+PEF1dGhvcj5TaGl0YXJhPC9BdXRob3I+PFllYXI+MjAxNDwvWWVhcj48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</w:fldData>
              </w:fldChar>
            </w:r>
            <w:r w:rsidR="00054FE8">
              <w:rPr>
                <w:rFonts w:eastAsia="Times New Roman" w:cs="Times New Roman"/>
                <w:color w:val="000000"/>
                <w:sz w:val="18"/>
                <w:szCs w:val="18"/>
                <w:lang w:eastAsia="zh-CN"/>
              </w:rPr>
              <w:instrText xml:space="preserve"> ADDIN EN.CITE.DATA </w:instrText>
            </w:r>
            <w:r w:rsidR="00054FE8">
              <w:rPr>
                <w:rFonts w:eastAsia="Times New Roman" w:cs="Times New Roman"/>
                <w:color w:val="000000"/>
                <w:sz w:val="18"/>
                <w:szCs w:val="18"/>
                <w:lang w:eastAsia="zh-CN"/>
              </w:rPr>
            </w:r>
            <w:r w:rsidR="00054FE8">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130</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7F17424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3A574F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42891F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Gastric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218666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+ 3rd</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3C0E33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07CFB0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64</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45A4B2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4286</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5A50D6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6A41C4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rs=0.38 (0.16 to 0.6), p=NR</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781DCC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2A3694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0AF78E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9E3DBCE"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4BA9BB0" w14:textId="1A7CD4B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Pang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121</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55F3633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7532EC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DB1A0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Gastroesophageal</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627669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73C98E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1664C9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38406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7892</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6AF544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E4362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r=0.86, p&lt;0.0001</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5A306B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hideMark/>
          </w:tcPr>
          <w:p w14:paraId="0EA9D0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23B535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EDCE3C6"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5746BF1" w14:textId="5AB1747F"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Han 2014</w:t>
            </w:r>
            <w:r w:rsidRPr="002D1DD7">
              <w:rPr>
                <w:rFonts w:eastAsia="Times New Roman" w:cs="Times New Roman"/>
                <w:sz w:val="18"/>
                <w:szCs w:val="18"/>
                <w:lang w:eastAsia="zh-CN"/>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eastAsia="Times New Roman" w:cs="Times New Roman"/>
                <w:sz w:val="18"/>
                <w:szCs w:val="18"/>
                <w:lang w:eastAsia="zh-CN"/>
              </w:rPr>
              <w:instrText xml:space="preserve"> ADDIN EN.CITE </w:instrText>
            </w:r>
            <w:r w:rsidR="003117A9">
              <w:rPr>
                <w:rFonts w:eastAsia="Times New Roman" w:cs="Times New Roman"/>
                <w:sz w:val="18"/>
                <w:szCs w:val="18"/>
                <w:lang w:eastAsia="zh-CN"/>
              </w:rPr>
              <w:fldChar w:fldCharType="begin">
                <w:fldData xml:space="preserve">PEVuZE5vdGU+PENpdGU+PEF1dGhvcj5IYW48L0F1dGhvcj48WWVhcj4yMDE0PC9ZZWFyPjxSZWNO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SlMmYW1wO0NTQz1ZJmFtcDtORVdTPU4mYW1wO1BBR0U9ZnVsbHRleHQmYW1wO0Q9bWVkMTAmYW1w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</w:fldData>
              </w:fldChar>
            </w:r>
            <w:r w:rsidR="003117A9">
              <w:rPr>
                <w:rFonts w:eastAsia="Times New Roman" w:cs="Times New Roman"/>
                <w:sz w:val="18"/>
                <w:szCs w:val="18"/>
                <w:lang w:eastAsia="zh-CN"/>
              </w:rPr>
              <w:instrText xml:space="preserve"> ADDIN EN.CITE.DATA </w:instrText>
            </w:r>
            <w:r w:rsidR="003117A9">
              <w:rPr>
                <w:rFonts w:eastAsia="Times New Roman" w:cs="Times New Roman"/>
                <w:sz w:val="18"/>
                <w:szCs w:val="18"/>
                <w:lang w:eastAsia="zh-CN"/>
              </w:rPr>
            </w:r>
            <w:r w:rsidR="003117A9">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98</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4E5DCB0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7F419F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1396D6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Glioblastoma</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1C9CEC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B3592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61338F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91</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121C70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7125</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681DCA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9F4CA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1F1ABB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tcBorders>
              <w:top w:val="single" w:sz="12" w:space="0" w:color="auto"/>
              <w:bottom w:val="single" w:sz="12" w:space="0" w:color="auto"/>
            </w:tcBorders>
            <w:shd w:val="clear" w:color="auto" w:fill="auto"/>
            <w:tcMar>
              <w:left w:w="28" w:type="dxa"/>
              <w:right w:w="28" w:type="dxa"/>
            </w:tcMar>
            <w:hideMark/>
          </w:tcPr>
          <w:p w14:paraId="5F93F9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R2=0.22 (0.04 to 0.42), p=NR</w:t>
            </w:r>
          </w:p>
        </w:tc>
        <w:tc>
          <w:tcPr>
            <w:tcW w:w="1288" w:type="dxa"/>
            <w:tcBorders>
              <w:top w:val="single" w:sz="12" w:space="0" w:color="auto"/>
              <w:bottom w:val="single" w:sz="12" w:space="0" w:color="auto"/>
            </w:tcBorders>
            <w:shd w:val="clear" w:color="auto" w:fill="auto"/>
            <w:tcMar>
              <w:left w:w="28" w:type="dxa"/>
              <w:right w:w="28" w:type="dxa"/>
            </w:tcMar>
            <w:hideMark/>
          </w:tcPr>
          <w:p w14:paraId="4AE499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670A1F5"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3B1AEBFC" w14:textId="2B4092C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12DC003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right w:val="single" w:sz="12" w:space="0" w:color="auto"/>
            </w:tcBorders>
            <w:tcMar>
              <w:left w:w="28" w:type="dxa"/>
              <w:right w:w="28" w:type="dxa"/>
            </w:tcMar>
          </w:tcPr>
          <w:p w14:paraId="1D00CD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hideMark/>
          </w:tcPr>
          <w:p w14:paraId="42C6E607"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top w:val="single" w:sz="12" w:space="0" w:color="auto"/>
              <w:left w:val="single" w:sz="12" w:space="0" w:color="auto"/>
            </w:tcBorders>
            <w:shd w:val="clear" w:color="auto" w:fill="auto"/>
            <w:tcMar>
              <w:left w:w="28" w:type="dxa"/>
              <w:right w:w="28" w:type="dxa"/>
            </w:tcMar>
            <w:hideMark/>
          </w:tcPr>
          <w:p w14:paraId="63737B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right w:val="single" w:sz="12" w:space="0" w:color="auto"/>
            </w:tcBorders>
            <w:shd w:val="clear" w:color="auto" w:fill="auto"/>
            <w:tcMar>
              <w:left w:w="28" w:type="dxa"/>
              <w:right w:w="28" w:type="dxa"/>
            </w:tcMar>
            <w:hideMark/>
          </w:tcPr>
          <w:p w14:paraId="606418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top w:val="single" w:sz="12" w:space="0" w:color="auto"/>
              <w:left w:val="single" w:sz="12" w:space="0" w:color="auto"/>
            </w:tcBorders>
            <w:shd w:val="clear" w:color="auto" w:fill="auto"/>
            <w:tcMar>
              <w:left w:w="28" w:type="dxa"/>
              <w:right w:w="28" w:type="dxa"/>
            </w:tcMar>
            <w:hideMark/>
          </w:tcPr>
          <w:p w14:paraId="7B06A4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46" w:type="dxa"/>
            <w:tcBorders>
              <w:top w:val="single" w:sz="12" w:space="0" w:color="auto"/>
              <w:right w:val="single" w:sz="12" w:space="0" w:color="auto"/>
            </w:tcBorders>
            <w:shd w:val="clear" w:color="auto" w:fill="auto"/>
            <w:tcMar>
              <w:left w:w="28" w:type="dxa"/>
              <w:right w:w="28" w:type="dxa"/>
            </w:tcMar>
            <w:hideMark/>
          </w:tcPr>
          <w:p w14:paraId="48F065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3752</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tcBorders>
            <w:shd w:val="clear" w:color="auto" w:fill="auto"/>
            <w:tcMar>
              <w:left w:w="28" w:type="dxa"/>
              <w:right w:w="28" w:type="dxa"/>
            </w:tcMar>
            <w:hideMark/>
          </w:tcPr>
          <w:p w14:paraId="497DE1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right w:val="single" w:sz="12" w:space="0" w:color="auto"/>
            </w:tcBorders>
            <w:shd w:val="clear" w:color="auto" w:fill="auto"/>
            <w:tcMar>
              <w:left w:w="28" w:type="dxa"/>
              <w:right w:w="28" w:type="dxa"/>
            </w:tcMar>
            <w:hideMark/>
          </w:tcPr>
          <w:p w14:paraId="7D44CE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 -0.02, p=0.4564</w:t>
            </w:r>
            <w:r w:rsidRPr="002D1DD7">
              <w:rPr>
                <w:rFonts w:eastAsia="Times New Roman" w:cs="Times New Roman"/>
                <w:color w:val="000000"/>
                <w:sz w:val="18"/>
                <w:szCs w:val="18"/>
                <w:lang w:eastAsia="zh-CN"/>
              </w:rPr>
              <w:br/>
              <w:t>b) rs= -0.14, p&lt;0.0001</w:t>
            </w:r>
          </w:p>
        </w:tc>
        <w:tc>
          <w:tcPr>
            <w:tcW w:w="1147" w:type="dxa"/>
            <w:tcBorders>
              <w:top w:val="single" w:sz="12" w:space="0" w:color="auto"/>
              <w:left w:val="single" w:sz="12" w:space="0" w:color="auto"/>
            </w:tcBorders>
            <w:shd w:val="clear" w:color="auto" w:fill="auto"/>
            <w:tcMar>
              <w:left w:w="28" w:type="dxa"/>
              <w:right w:w="28" w:type="dxa"/>
            </w:tcMar>
            <w:hideMark/>
          </w:tcPr>
          <w:p w14:paraId="53AE15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tcBorders>
            <w:shd w:val="clear" w:color="auto" w:fill="auto"/>
            <w:tcMar>
              <w:left w:w="28" w:type="dxa"/>
              <w:right w:w="28" w:type="dxa"/>
            </w:tcMar>
            <w:hideMark/>
          </w:tcPr>
          <w:p w14:paraId="587283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tcBorders>
            <w:shd w:val="clear" w:color="auto" w:fill="auto"/>
            <w:tcMar>
              <w:left w:w="28" w:type="dxa"/>
              <w:right w:w="28" w:type="dxa"/>
            </w:tcMar>
            <w:hideMark/>
          </w:tcPr>
          <w:p w14:paraId="3C3849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C032C76" w14:textId="77777777" w:rsidTr="003117A9">
        <w:trPr>
          <w:cantSplit/>
        </w:trPr>
        <w:tc>
          <w:tcPr>
            <w:tcW w:w="988" w:type="dxa"/>
            <w:tcBorders>
              <w:right w:val="single" w:sz="12" w:space="0" w:color="auto"/>
            </w:tcBorders>
            <w:shd w:val="clear" w:color="auto" w:fill="auto"/>
            <w:tcMar>
              <w:left w:w="28" w:type="dxa"/>
              <w:right w:w="28" w:type="dxa"/>
            </w:tcMar>
            <w:hideMark/>
          </w:tcPr>
          <w:p w14:paraId="3A0221D9" w14:textId="380CD05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858" w:type="dxa"/>
            <w:tcBorders>
              <w:left w:val="single" w:sz="12" w:space="0" w:color="auto"/>
            </w:tcBorders>
            <w:tcMar>
              <w:left w:w="28" w:type="dxa"/>
              <w:right w:w="28" w:type="dxa"/>
            </w:tcMar>
          </w:tcPr>
          <w:p w14:paraId="7ED9669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754254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0CA7E6F6"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205423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High PD-L1 expression</w:t>
            </w:r>
          </w:p>
        </w:tc>
        <w:tc>
          <w:tcPr>
            <w:tcW w:w="1701" w:type="dxa"/>
            <w:tcBorders>
              <w:right w:val="single" w:sz="12" w:space="0" w:color="auto"/>
            </w:tcBorders>
            <w:shd w:val="clear" w:color="auto" w:fill="auto"/>
            <w:tcMar>
              <w:left w:w="28" w:type="dxa"/>
              <w:right w:w="28" w:type="dxa"/>
            </w:tcMar>
            <w:hideMark/>
          </w:tcPr>
          <w:p w14:paraId="56E80D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left w:val="single" w:sz="12" w:space="0" w:color="auto"/>
            </w:tcBorders>
            <w:shd w:val="clear" w:color="auto" w:fill="auto"/>
            <w:tcMar>
              <w:left w:w="28" w:type="dxa"/>
              <w:right w:w="28" w:type="dxa"/>
            </w:tcMar>
            <w:hideMark/>
          </w:tcPr>
          <w:p w14:paraId="1F68B5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46" w:type="dxa"/>
            <w:tcBorders>
              <w:right w:val="single" w:sz="12" w:space="0" w:color="auto"/>
            </w:tcBorders>
            <w:shd w:val="clear" w:color="auto" w:fill="auto"/>
            <w:tcMar>
              <w:left w:w="28" w:type="dxa"/>
              <w:right w:w="28" w:type="dxa"/>
            </w:tcMar>
            <w:hideMark/>
          </w:tcPr>
          <w:p w14:paraId="0F06A2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1381</w:t>
            </w:r>
          </w:p>
        </w:tc>
        <w:tc>
          <w:tcPr>
            <w:tcW w:w="1665" w:type="dxa"/>
            <w:tcBorders>
              <w:left w:val="single" w:sz="12" w:space="0" w:color="auto"/>
            </w:tcBorders>
            <w:shd w:val="clear" w:color="auto" w:fill="auto"/>
            <w:tcMar>
              <w:left w:w="28" w:type="dxa"/>
              <w:right w:w="28" w:type="dxa"/>
            </w:tcMar>
            <w:hideMark/>
          </w:tcPr>
          <w:p w14:paraId="0CA03C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right w:val="single" w:sz="12" w:space="0" w:color="auto"/>
            </w:tcBorders>
            <w:shd w:val="clear" w:color="auto" w:fill="auto"/>
            <w:tcMar>
              <w:left w:w="28" w:type="dxa"/>
              <w:right w:w="28" w:type="dxa"/>
            </w:tcMar>
            <w:hideMark/>
          </w:tcPr>
          <w:p w14:paraId="7A43DC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r=0.92, p&lt;0.0001</w:t>
            </w:r>
            <w:r w:rsidRPr="002D1DD7">
              <w:rPr>
                <w:rFonts w:eastAsia="Times New Roman" w:cs="Times New Roman"/>
                <w:color w:val="000000"/>
                <w:sz w:val="18"/>
                <w:szCs w:val="18"/>
                <w:lang w:eastAsia="zh-CN"/>
              </w:rPr>
              <w:br/>
              <w:t>b) rs=0.77, p&lt;0.0001</w:t>
            </w:r>
          </w:p>
        </w:tc>
        <w:tc>
          <w:tcPr>
            <w:tcW w:w="1147" w:type="dxa"/>
            <w:tcBorders>
              <w:left w:val="single" w:sz="12" w:space="0" w:color="auto"/>
            </w:tcBorders>
            <w:shd w:val="clear" w:color="auto" w:fill="auto"/>
            <w:tcMar>
              <w:left w:w="28" w:type="dxa"/>
              <w:right w:w="28" w:type="dxa"/>
            </w:tcMar>
            <w:hideMark/>
          </w:tcPr>
          <w:p w14:paraId="188195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3E4698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R2=0.84, p=0.004</w:t>
            </w:r>
          </w:p>
        </w:tc>
        <w:tc>
          <w:tcPr>
            <w:tcW w:w="1288" w:type="dxa"/>
            <w:shd w:val="clear" w:color="auto" w:fill="auto"/>
            <w:tcMar>
              <w:left w:w="28" w:type="dxa"/>
              <w:right w:w="28" w:type="dxa"/>
            </w:tcMar>
            <w:hideMark/>
          </w:tcPr>
          <w:p w14:paraId="354CBD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55BC500" w14:textId="77777777" w:rsidTr="003117A9">
        <w:trPr>
          <w:cantSplit/>
        </w:trPr>
        <w:tc>
          <w:tcPr>
            <w:tcW w:w="988" w:type="dxa"/>
            <w:tcBorders>
              <w:right w:val="single" w:sz="12" w:space="0" w:color="auto"/>
            </w:tcBorders>
            <w:shd w:val="clear" w:color="auto" w:fill="auto"/>
            <w:tcMar>
              <w:left w:w="28" w:type="dxa"/>
              <w:right w:w="28" w:type="dxa"/>
            </w:tcMar>
            <w:hideMark/>
          </w:tcPr>
          <w:p w14:paraId="00CD8A08" w14:textId="6083C0B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109</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6834FC3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53BDBE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313784FF"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39F600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w:t>
            </w:r>
          </w:p>
        </w:tc>
        <w:tc>
          <w:tcPr>
            <w:tcW w:w="1701" w:type="dxa"/>
            <w:tcBorders>
              <w:right w:val="single" w:sz="12" w:space="0" w:color="auto"/>
            </w:tcBorders>
            <w:shd w:val="clear" w:color="auto" w:fill="auto"/>
            <w:tcMar>
              <w:left w:w="28" w:type="dxa"/>
              <w:right w:w="28" w:type="dxa"/>
            </w:tcMar>
            <w:hideMark/>
          </w:tcPr>
          <w:p w14:paraId="2D8C94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573" w:type="dxa"/>
            <w:tcBorders>
              <w:left w:val="single" w:sz="12" w:space="0" w:color="auto"/>
            </w:tcBorders>
            <w:shd w:val="clear" w:color="auto" w:fill="auto"/>
            <w:tcMar>
              <w:left w:w="28" w:type="dxa"/>
              <w:right w:w="28" w:type="dxa"/>
            </w:tcMar>
            <w:hideMark/>
          </w:tcPr>
          <w:p w14:paraId="051E47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r w:rsidRPr="002D1DD7">
              <w:rPr>
                <w:rFonts w:eastAsia="Times New Roman" w:cs="Times New Roman"/>
                <w:color w:val="000000"/>
                <w:sz w:val="18"/>
                <w:szCs w:val="18"/>
                <w:vertAlign w:val="superscript"/>
                <w:lang w:eastAsia="zh-CN"/>
              </w:rPr>
              <w:t>†</w:t>
            </w:r>
          </w:p>
        </w:tc>
        <w:tc>
          <w:tcPr>
            <w:tcW w:w="746" w:type="dxa"/>
            <w:tcBorders>
              <w:right w:val="single" w:sz="12" w:space="0" w:color="auto"/>
            </w:tcBorders>
            <w:shd w:val="clear" w:color="auto" w:fill="auto"/>
            <w:tcMar>
              <w:left w:w="28" w:type="dxa"/>
              <w:right w:w="28" w:type="dxa"/>
            </w:tcMar>
            <w:hideMark/>
          </w:tcPr>
          <w:p w14:paraId="75B9983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4803</w:t>
            </w:r>
            <w:r w:rsidRPr="002D1DD7">
              <w:rPr>
                <w:rFonts w:eastAsia="Times New Roman" w:cs="Times New Roman"/>
                <w:color w:val="000000"/>
                <w:sz w:val="18"/>
                <w:szCs w:val="18"/>
                <w:vertAlign w:val="superscript"/>
                <w:lang w:eastAsia="zh-CN"/>
              </w:rPr>
              <w:t>†</w:t>
            </w:r>
          </w:p>
        </w:tc>
        <w:tc>
          <w:tcPr>
            <w:tcW w:w="1665" w:type="dxa"/>
            <w:tcBorders>
              <w:left w:val="single" w:sz="12" w:space="0" w:color="auto"/>
            </w:tcBorders>
            <w:shd w:val="clear" w:color="auto" w:fill="auto"/>
            <w:tcMar>
              <w:left w:w="28" w:type="dxa"/>
              <w:right w:w="28" w:type="dxa"/>
            </w:tcMar>
            <w:hideMark/>
          </w:tcPr>
          <w:p w14:paraId="6C12AA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right w:val="single" w:sz="12" w:space="0" w:color="auto"/>
            </w:tcBorders>
            <w:shd w:val="clear" w:color="auto" w:fill="auto"/>
            <w:tcMar>
              <w:left w:w="28" w:type="dxa"/>
              <w:right w:w="28" w:type="dxa"/>
            </w:tcMar>
            <w:hideMark/>
          </w:tcPr>
          <w:p w14:paraId="232726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r=0.52, p=0.28</w:t>
            </w:r>
          </w:p>
        </w:tc>
        <w:tc>
          <w:tcPr>
            <w:tcW w:w="1147" w:type="dxa"/>
            <w:tcBorders>
              <w:left w:val="single" w:sz="12" w:space="0" w:color="auto"/>
            </w:tcBorders>
            <w:shd w:val="clear" w:color="auto" w:fill="auto"/>
            <w:tcMar>
              <w:left w:w="28" w:type="dxa"/>
              <w:right w:w="28" w:type="dxa"/>
            </w:tcMar>
            <w:hideMark/>
          </w:tcPr>
          <w:p w14:paraId="2FFD70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28D90E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R2=0.27, p=NR</w:t>
            </w:r>
          </w:p>
        </w:tc>
        <w:tc>
          <w:tcPr>
            <w:tcW w:w="1288" w:type="dxa"/>
            <w:shd w:val="clear" w:color="auto" w:fill="auto"/>
            <w:tcMar>
              <w:left w:w="28" w:type="dxa"/>
              <w:right w:w="28" w:type="dxa"/>
            </w:tcMar>
            <w:hideMark/>
          </w:tcPr>
          <w:p w14:paraId="2A1C28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A681658" w14:textId="77777777" w:rsidTr="003117A9">
        <w:trPr>
          <w:cantSplit/>
        </w:trPr>
        <w:tc>
          <w:tcPr>
            <w:tcW w:w="988" w:type="dxa"/>
            <w:tcBorders>
              <w:right w:val="single" w:sz="12" w:space="0" w:color="auto"/>
            </w:tcBorders>
            <w:shd w:val="clear" w:color="auto" w:fill="auto"/>
            <w:tcMar>
              <w:left w:w="28" w:type="dxa"/>
              <w:right w:w="28" w:type="dxa"/>
            </w:tcMar>
            <w:hideMark/>
          </w:tcPr>
          <w:p w14:paraId="7CA158DA" w14:textId="1699634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 2012</w:t>
            </w:r>
            <w:r w:rsidRPr="002D1DD7">
              <w:rPr>
                <w:rFonts w:eastAsia="Times New Roman" w:cs="Times New Roman"/>
                <w:color w:val="000000"/>
                <w:sz w:val="18"/>
                <w:szCs w:val="18"/>
                <w:lang w:eastAsia="zh-CN"/>
              </w:rPr>
              <w:fldChar w:fldCharType="begin">
                <w:fldData xml:space="preserve">PEVuZE5vdGU+PENpdGU+PEF1dGhvcj5MaTwvQXV0aG9yPjxZZWFyPjIwMTI8L1llYXI+PFJlY051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PVkmYW1wO05FV1M9TiZhbXA7UEFHRT1mdWxsdGV4dCZhbXA7RD1tZWQ4JmFtcDtBTj0yMjc2MzY0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ZD1wbWlkOjIyNzYzNjQ2JmFtcDtpZD1kb2k6MTAuMTAwNyUyRnMwMDQzMi0wMTItMTI3OC16JmFt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PEVuZE5vdGU+PENpdGU+PEF1dGhvcj5MaTwvQXV0aG9yPjxZZWFyPjIwMTI8L1llYXI+PFJlY051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PVkmYW1wO05FV1M9TiZhbXA7UEFHRT1mdWxsdGV4dCZhbXA7RD1tZWQ4JmFtcDtBTj0yMjc2MzY0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ZD1wbWlkOjIyNzYzNjQ2JmFtcDtpZD1kb2k6MTAuMTAwNyUyRnMwMDQzMi0wMTItMTI3OC16JmFt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110</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54DAAAD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63D7E5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6C7BD8E0"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663BF4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w:t>
            </w:r>
          </w:p>
        </w:tc>
        <w:tc>
          <w:tcPr>
            <w:tcW w:w="1701" w:type="dxa"/>
            <w:tcBorders>
              <w:right w:val="single" w:sz="12" w:space="0" w:color="auto"/>
            </w:tcBorders>
            <w:shd w:val="clear" w:color="auto" w:fill="auto"/>
            <w:tcMar>
              <w:left w:w="28" w:type="dxa"/>
              <w:right w:w="28" w:type="dxa"/>
            </w:tcMar>
            <w:hideMark/>
          </w:tcPr>
          <w:p w14:paraId="251DA8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left w:val="single" w:sz="12" w:space="0" w:color="auto"/>
            </w:tcBorders>
            <w:shd w:val="clear" w:color="auto" w:fill="auto"/>
            <w:tcMar>
              <w:left w:w="28" w:type="dxa"/>
              <w:right w:w="28" w:type="dxa"/>
            </w:tcMar>
            <w:hideMark/>
          </w:tcPr>
          <w:p w14:paraId="7DE890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60</w:t>
            </w:r>
          </w:p>
        </w:tc>
        <w:tc>
          <w:tcPr>
            <w:tcW w:w="746" w:type="dxa"/>
            <w:tcBorders>
              <w:right w:val="single" w:sz="12" w:space="0" w:color="auto"/>
            </w:tcBorders>
            <w:shd w:val="clear" w:color="auto" w:fill="auto"/>
            <w:tcMar>
              <w:left w:w="28" w:type="dxa"/>
              <w:right w:w="28" w:type="dxa"/>
            </w:tcMar>
            <w:hideMark/>
          </w:tcPr>
          <w:p w14:paraId="5E071C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9903</w:t>
            </w:r>
          </w:p>
        </w:tc>
        <w:tc>
          <w:tcPr>
            <w:tcW w:w="1665" w:type="dxa"/>
            <w:tcBorders>
              <w:left w:val="single" w:sz="12" w:space="0" w:color="auto"/>
            </w:tcBorders>
            <w:shd w:val="clear" w:color="auto" w:fill="auto"/>
            <w:tcMar>
              <w:left w:w="28" w:type="dxa"/>
              <w:right w:w="28" w:type="dxa"/>
            </w:tcMar>
            <w:hideMark/>
          </w:tcPr>
          <w:p w14:paraId="51D1BE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768F86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7B2D38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WLSR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10EE36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R2=0.83, p&lt;0.000001</w:t>
            </w:r>
          </w:p>
        </w:tc>
        <w:tc>
          <w:tcPr>
            <w:tcW w:w="1288" w:type="dxa"/>
            <w:shd w:val="clear" w:color="auto" w:fill="auto"/>
            <w:tcMar>
              <w:left w:w="28" w:type="dxa"/>
              <w:right w:w="28" w:type="dxa"/>
            </w:tcMar>
            <w:hideMark/>
          </w:tcPr>
          <w:p w14:paraId="1DB3EB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30E4F16" w14:textId="77777777" w:rsidTr="003117A9">
        <w:trPr>
          <w:cantSplit/>
        </w:trPr>
        <w:tc>
          <w:tcPr>
            <w:tcW w:w="988" w:type="dxa"/>
            <w:tcBorders>
              <w:right w:val="single" w:sz="12" w:space="0" w:color="auto"/>
            </w:tcBorders>
            <w:shd w:val="clear" w:color="auto" w:fill="auto"/>
            <w:tcMar>
              <w:left w:w="28" w:type="dxa"/>
              <w:right w:w="28" w:type="dxa"/>
            </w:tcMar>
            <w:hideMark/>
          </w:tcPr>
          <w:p w14:paraId="262DEF88" w14:textId="70DA0E9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4B4B0BC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190F7C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023498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36DC64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701" w:type="dxa"/>
            <w:tcBorders>
              <w:right w:val="single" w:sz="12" w:space="0" w:color="auto"/>
            </w:tcBorders>
            <w:shd w:val="clear" w:color="auto" w:fill="auto"/>
            <w:tcMar>
              <w:left w:w="28" w:type="dxa"/>
              <w:right w:w="28" w:type="dxa"/>
            </w:tcMar>
            <w:hideMark/>
          </w:tcPr>
          <w:p w14:paraId="3FFA85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73" w:type="dxa"/>
            <w:tcBorders>
              <w:left w:val="single" w:sz="12" w:space="0" w:color="auto"/>
            </w:tcBorders>
            <w:shd w:val="clear" w:color="auto" w:fill="auto"/>
            <w:tcMar>
              <w:left w:w="28" w:type="dxa"/>
              <w:right w:w="28" w:type="dxa"/>
            </w:tcMar>
            <w:hideMark/>
          </w:tcPr>
          <w:p w14:paraId="08F1E0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46" w:type="dxa"/>
            <w:tcBorders>
              <w:right w:val="single" w:sz="12" w:space="0" w:color="auto"/>
            </w:tcBorders>
            <w:shd w:val="clear" w:color="auto" w:fill="auto"/>
            <w:tcMar>
              <w:left w:w="28" w:type="dxa"/>
              <w:right w:w="28" w:type="dxa"/>
            </w:tcMar>
            <w:hideMark/>
          </w:tcPr>
          <w:p w14:paraId="423B4F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tcBorders>
            <w:shd w:val="clear" w:color="auto" w:fill="auto"/>
            <w:tcMar>
              <w:left w:w="28" w:type="dxa"/>
              <w:right w:w="28" w:type="dxa"/>
            </w:tcMar>
            <w:hideMark/>
          </w:tcPr>
          <w:p w14:paraId="78697B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843" w:type="dxa"/>
            <w:tcBorders>
              <w:right w:val="single" w:sz="12" w:space="0" w:color="auto"/>
            </w:tcBorders>
            <w:shd w:val="clear" w:color="auto" w:fill="auto"/>
            <w:tcMar>
              <w:left w:w="28" w:type="dxa"/>
              <w:right w:w="28" w:type="dxa"/>
            </w:tcMar>
            <w:hideMark/>
          </w:tcPr>
          <w:p w14:paraId="01B570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r=0.66 (0.17 to 1.08), p=NR</w:t>
            </w:r>
          </w:p>
        </w:tc>
        <w:tc>
          <w:tcPr>
            <w:tcW w:w="1147" w:type="dxa"/>
            <w:tcBorders>
              <w:left w:val="single" w:sz="12" w:space="0" w:color="auto"/>
            </w:tcBorders>
            <w:shd w:val="clear" w:color="auto" w:fill="auto"/>
            <w:tcMar>
              <w:left w:w="28" w:type="dxa"/>
              <w:right w:w="28" w:type="dxa"/>
            </w:tcMar>
            <w:hideMark/>
          </w:tcPr>
          <w:p w14:paraId="28BB9C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hideMark/>
          </w:tcPr>
          <w:p w14:paraId="406092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53E5D4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6B0114B" w14:textId="77777777" w:rsidTr="003117A9">
        <w:trPr>
          <w:cantSplit/>
        </w:trPr>
        <w:tc>
          <w:tcPr>
            <w:tcW w:w="988" w:type="dxa"/>
            <w:tcBorders>
              <w:right w:val="single" w:sz="12" w:space="0" w:color="auto"/>
            </w:tcBorders>
            <w:shd w:val="clear" w:color="auto" w:fill="auto"/>
            <w:tcMar>
              <w:left w:w="28" w:type="dxa"/>
              <w:right w:w="28" w:type="dxa"/>
            </w:tcMar>
            <w:hideMark/>
          </w:tcPr>
          <w:p w14:paraId="46FCD2E9" w14:textId="4790995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Sekine 1999</w:t>
            </w:r>
            <w:r w:rsidRPr="002D1DD7">
              <w:rPr>
                <w:rFonts w:eastAsia="Times New Roman" w:cs="Times New Roman"/>
                <w:sz w:val="18"/>
                <w:szCs w:val="18"/>
                <w:lang w:eastAsia="zh-CN"/>
              </w:rPr>
              <w:fldChar w:fldCharType="begin">
                <w:fldData xml:space="preserve">PEVuZE5vdGU+PENpdGU+PEF1dGhvcj5TZWtpbmU8L0F1dGhvcj48WWVhcj4xOTk5PC9ZZWFyPjxS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==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PEVuZE5vdGU+PENpdGU+PEF1dGhvcj5TZWtpbmU8L0F1dGhvcj48WWVhcj4xOTk5PC9ZZWFyPjxS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==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128</w:t>
            </w:r>
            <w:r w:rsidRPr="002D1DD7">
              <w:rPr>
                <w:rFonts w:eastAsia="Times New Roman" w:cs="Times New Roman"/>
                <w:sz w:val="18"/>
                <w:szCs w:val="18"/>
                <w:lang w:eastAsia="zh-CN"/>
              </w:rPr>
              <w:fldChar w:fldCharType="end"/>
            </w:r>
          </w:p>
        </w:tc>
        <w:tc>
          <w:tcPr>
            <w:tcW w:w="858" w:type="dxa"/>
            <w:tcBorders>
              <w:left w:val="single" w:sz="12" w:space="0" w:color="auto"/>
            </w:tcBorders>
            <w:tcMar>
              <w:left w:w="28" w:type="dxa"/>
              <w:right w:w="28" w:type="dxa"/>
            </w:tcMar>
          </w:tcPr>
          <w:p w14:paraId="6C341F4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26A05F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71861FE4"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18251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right w:val="single" w:sz="12" w:space="0" w:color="auto"/>
            </w:tcBorders>
            <w:shd w:val="clear" w:color="auto" w:fill="auto"/>
            <w:tcMar>
              <w:left w:w="28" w:type="dxa"/>
              <w:right w:w="28" w:type="dxa"/>
            </w:tcMar>
            <w:hideMark/>
          </w:tcPr>
          <w:p w14:paraId="3F714C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left w:val="single" w:sz="12" w:space="0" w:color="auto"/>
            </w:tcBorders>
            <w:shd w:val="clear" w:color="auto" w:fill="auto"/>
            <w:tcMar>
              <w:left w:w="28" w:type="dxa"/>
              <w:right w:w="28" w:type="dxa"/>
            </w:tcMar>
            <w:hideMark/>
          </w:tcPr>
          <w:p w14:paraId="789158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42</w:t>
            </w:r>
          </w:p>
        </w:tc>
        <w:tc>
          <w:tcPr>
            <w:tcW w:w="746" w:type="dxa"/>
            <w:tcBorders>
              <w:right w:val="single" w:sz="12" w:space="0" w:color="auto"/>
            </w:tcBorders>
            <w:shd w:val="clear" w:color="auto" w:fill="auto"/>
            <w:tcMar>
              <w:left w:w="28" w:type="dxa"/>
              <w:right w:w="28" w:type="dxa"/>
            </w:tcMar>
            <w:hideMark/>
          </w:tcPr>
          <w:p w14:paraId="7B0FD7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1935</w:t>
            </w:r>
          </w:p>
        </w:tc>
        <w:tc>
          <w:tcPr>
            <w:tcW w:w="1665" w:type="dxa"/>
            <w:tcBorders>
              <w:left w:val="single" w:sz="12" w:space="0" w:color="auto"/>
            </w:tcBorders>
            <w:shd w:val="clear" w:color="auto" w:fill="auto"/>
            <w:tcMar>
              <w:left w:w="28" w:type="dxa"/>
              <w:right w:w="28" w:type="dxa"/>
            </w:tcMar>
            <w:hideMark/>
          </w:tcPr>
          <w:p w14:paraId="29CA16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right w:val="single" w:sz="12" w:space="0" w:color="auto"/>
            </w:tcBorders>
            <w:shd w:val="clear" w:color="auto" w:fill="auto"/>
            <w:tcMar>
              <w:left w:w="28" w:type="dxa"/>
              <w:right w:w="28" w:type="dxa"/>
            </w:tcMar>
            <w:hideMark/>
          </w:tcPr>
          <w:p w14:paraId="48D3A2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r=0.62, p&lt;0.001</w:t>
            </w:r>
          </w:p>
        </w:tc>
        <w:tc>
          <w:tcPr>
            <w:tcW w:w="1147" w:type="dxa"/>
            <w:tcBorders>
              <w:left w:val="single" w:sz="12" w:space="0" w:color="auto"/>
            </w:tcBorders>
            <w:shd w:val="clear" w:color="auto" w:fill="auto"/>
            <w:tcMar>
              <w:left w:w="28" w:type="dxa"/>
              <w:right w:w="28" w:type="dxa"/>
            </w:tcMar>
            <w:hideMark/>
          </w:tcPr>
          <w:p w14:paraId="79FF1B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hideMark/>
          </w:tcPr>
          <w:p w14:paraId="4AC0D7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6307A0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9E6278F" w14:textId="77777777" w:rsidTr="003117A9">
        <w:trPr>
          <w:cantSplit/>
        </w:trPr>
        <w:tc>
          <w:tcPr>
            <w:tcW w:w="988" w:type="dxa"/>
            <w:tcBorders>
              <w:right w:val="single" w:sz="12" w:space="0" w:color="auto"/>
            </w:tcBorders>
            <w:shd w:val="clear" w:color="auto" w:fill="auto"/>
            <w:tcMar>
              <w:left w:w="28" w:type="dxa"/>
              <w:right w:w="28" w:type="dxa"/>
            </w:tcMar>
            <w:hideMark/>
          </w:tcPr>
          <w:p w14:paraId="1B942EA8" w14:textId="68BB788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Shukuya 2016</w:t>
            </w:r>
            <w:r w:rsidRPr="002D1DD7">
              <w:rPr>
                <w:rFonts w:eastAsia="Times New Roman" w:cs="Times New Roman"/>
                <w:color w:val="000000"/>
                <w:sz w:val="18"/>
                <w:szCs w:val="18"/>
                <w:lang w:eastAsia="zh-CN"/>
              </w:rPr>
              <w:fldChar w:fldCharType="begin">
                <w:fldData xml:space="preserve">PEVuZE5vdGU+PENpdGU+PEF1dGhvcj5TaHVrdXlhPC9BdXRob3I+PFllYXI+MjAxNjwvWWVhcj48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PEVuZE5vdGU+PENpdGU+PEF1dGhvcj5TaHVrdXlhPC9BdXRob3I+PFllYXI+MjAxNjwvWWVhcj48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131</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1ECEB6A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7B41F3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2C24260A"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01D423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701" w:type="dxa"/>
            <w:tcBorders>
              <w:right w:val="single" w:sz="12" w:space="0" w:color="auto"/>
            </w:tcBorders>
            <w:shd w:val="clear" w:color="auto" w:fill="auto"/>
            <w:tcMar>
              <w:left w:w="28" w:type="dxa"/>
              <w:right w:w="28" w:type="dxa"/>
            </w:tcMar>
            <w:hideMark/>
          </w:tcPr>
          <w:p w14:paraId="425A25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left w:val="single" w:sz="12" w:space="0" w:color="auto"/>
            </w:tcBorders>
            <w:shd w:val="clear" w:color="auto" w:fill="auto"/>
            <w:tcMar>
              <w:left w:w="28" w:type="dxa"/>
              <w:right w:w="28" w:type="dxa"/>
            </w:tcMar>
            <w:hideMark/>
          </w:tcPr>
          <w:p w14:paraId="176BB6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w:t>
            </w:r>
            <w:r w:rsidRPr="002D1DD7">
              <w:rPr>
                <w:rFonts w:eastAsia="Times New Roman" w:cs="Times New Roman"/>
                <w:color w:val="000000"/>
                <w:sz w:val="18"/>
                <w:szCs w:val="18"/>
                <w:vertAlign w:val="superscript"/>
                <w:lang w:eastAsia="zh-CN"/>
              </w:rPr>
              <w:t>†</w:t>
            </w:r>
          </w:p>
        </w:tc>
        <w:tc>
          <w:tcPr>
            <w:tcW w:w="746" w:type="dxa"/>
            <w:tcBorders>
              <w:right w:val="single" w:sz="12" w:space="0" w:color="auto"/>
            </w:tcBorders>
            <w:shd w:val="clear" w:color="auto" w:fill="auto"/>
            <w:tcMar>
              <w:left w:w="28" w:type="dxa"/>
              <w:right w:w="28" w:type="dxa"/>
            </w:tcMar>
            <w:hideMark/>
          </w:tcPr>
          <w:p w14:paraId="1A3214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tcBorders>
            <w:shd w:val="clear" w:color="auto" w:fill="auto"/>
            <w:tcMar>
              <w:left w:w="28" w:type="dxa"/>
              <w:right w:w="28" w:type="dxa"/>
            </w:tcMar>
            <w:hideMark/>
          </w:tcPr>
          <w:p w14:paraId="0E4D93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right w:val="single" w:sz="12" w:space="0" w:color="auto"/>
            </w:tcBorders>
            <w:shd w:val="clear" w:color="auto" w:fill="auto"/>
            <w:tcMar>
              <w:left w:w="28" w:type="dxa"/>
              <w:right w:w="28" w:type="dxa"/>
            </w:tcMar>
            <w:hideMark/>
          </w:tcPr>
          <w:p w14:paraId="5111B5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rs=0.45, p=0.141</w:t>
            </w:r>
          </w:p>
        </w:tc>
        <w:tc>
          <w:tcPr>
            <w:tcW w:w="1147" w:type="dxa"/>
            <w:tcBorders>
              <w:left w:val="single" w:sz="12" w:space="0" w:color="auto"/>
            </w:tcBorders>
            <w:shd w:val="clear" w:color="auto" w:fill="auto"/>
            <w:tcMar>
              <w:left w:w="28" w:type="dxa"/>
              <w:right w:w="28" w:type="dxa"/>
            </w:tcMar>
            <w:hideMark/>
          </w:tcPr>
          <w:p w14:paraId="2F7458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hideMark/>
          </w:tcPr>
          <w:p w14:paraId="1D7A33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7426A7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5F746FD" w14:textId="77777777" w:rsidTr="003117A9">
        <w:trPr>
          <w:cantSplit/>
        </w:trPr>
        <w:tc>
          <w:tcPr>
            <w:tcW w:w="988" w:type="dxa"/>
            <w:tcBorders>
              <w:right w:val="single" w:sz="12" w:space="0" w:color="auto"/>
            </w:tcBorders>
            <w:shd w:val="clear" w:color="auto" w:fill="auto"/>
            <w:tcMar>
              <w:left w:w="28" w:type="dxa"/>
              <w:right w:w="28" w:type="dxa"/>
            </w:tcMar>
            <w:hideMark/>
          </w:tcPr>
          <w:p w14:paraId="5D883D96" w14:textId="08864F4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Shukuya 2016</w:t>
            </w:r>
            <w:r w:rsidRPr="002D1DD7">
              <w:rPr>
                <w:rFonts w:eastAsia="Times New Roman" w:cs="Times New Roman"/>
                <w:color w:val="000000"/>
                <w:sz w:val="18"/>
                <w:szCs w:val="18"/>
                <w:lang w:eastAsia="zh-CN"/>
              </w:rPr>
              <w:fldChar w:fldCharType="begin">
                <w:fldData xml:space="preserve">PEVuZE5vdGU+PENpdGU+PEF1dGhvcj5TaHVrdXlhPC9BdXRob3I+PFllYXI+MjAxNjwvWWVhcj48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PEVuZE5vdGU+PENpdGU+PEF1dGhvcj5TaHVrdXlhPC9BdXRob3I+PFllYXI+MjAxNjwvWWVhcj48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131</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4EAF9CE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422221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325CD995"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2F13FB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701" w:type="dxa"/>
            <w:tcBorders>
              <w:right w:val="single" w:sz="12" w:space="0" w:color="auto"/>
            </w:tcBorders>
            <w:shd w:val="clear" w:color="auto" w:fill="auto"/>
            <w:tcMar>
              <w:left w:w="28" w:type="dxa"/>
              <w:right w:w="28" w:type="dxa"/>
            </w:tcMar>
            <w:hideMark/>
          </w:tcPr>
          <w:p w14:paraId="2CA902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(docetaxel)</w:t>
            </w:r>
          </w:p>
        </w:tc>
        <w:tc>
          <w:tcPr>
            <w:tcW w:w="573" w:type="dxa"/>
            <w:tcBorders>
              <w:left w:val="single" w:sz="12" w:space="0" w:color="auto"/>
            </w:tcBorders>
            <w:shd w:val="clear" w:color="auto" w:fill="auto"/>
            <w:tcMar>
              <w:left w:w="28" w:type="dxa"/>
              <w:right w:w="28" w:type="dxa"/>
            </w:tcMar>
            <w:hideMark/>
          </w:tcPr>
          <w:p w14:paraId="6ACF70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r w:rsidRPr="002D1DD7">
              <w:rPr>
                <w:rFonts w:eastAsia="Times New Roman" w:cs="Times New Roman"/>
                <w:color w:val="000000"/>
                <w:sz w:val="18"/>
                <w:szCs w:val="18"/>
                <w:vertAlign w:val="superscript"/>
                <w:lang w:eastAsia="zh-CN"/>
              </w:rPr>
              <w:t>†</w:t>
            </w:r>
          </w:p>
        </w:tc>
        <w:tc>
          <w:tcPr>
            <w:tcW w:w="746" w:type="dxa"/>
            <w:tcBorders>
              <w:right w:val="single" w:sz="12" w:space="0" w:color="auto"/>
            </w:tcBorders>
            <w:shd w:val="clear" w:color="auto" w:fill="auto"/>
            <w:tcMar>
              <w:left w:w="28" w:type="dxa"/>
              <w:right w:w="28" w:type="dxa"/>
            </w:tcMar>
            <w:hideMark/>
          </w:tcPr>
          <w:p w14:paraId="331456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tcBorders>
            <w:shd w:val="clear" w:color="auto" w:fill="auto"/>
            <w:tcMar>
              <w:left w:w="28" w:type="dxa"/>
              <w:right w:w="28" w:type="dxa"/>
            </w:tcMar>
            <w:hideMark/>
          </w:tcPr>
          <w:p w14:paraId="2E4A11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right w:val="single" w:sz="12" w:space="0" w:color="auto"/>
            </w:tcBorders>
            <w:shd w:val="clear" w:color="auto" w:fill="auto"/>
            <w:tcMar>
              <w:left w:w="28" w:type="dxa"/>
              <w:right w:w="28" w:type="dxa"/>
            </w:tcMar>
            <w:hideMark/>
          </w:tcPr>
          <w:p w14:paraId="6A80F7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rs=0.41, p=0.053</w:t>
            </w:r>
          </w:p>
        </w:tc>
        <w:tc>
          <w:tcPr>
            <w:tcW w:w="1147" w:type="dxa"/>
            <w:tcBorders>
              <w:left w:val="single" w:sz="12" w:space="0" w:color="auto"/>
            </w:tcBorders>
            <w:shd w:val="clear" w:color="auto" w:fill="auto"/>
            <w:tcMar>
              <w:left w:w="28" w:type="dxa"/>
              <w:right w:w="28" w:type="dxa"/>
            </w:tcMar>
            <w:hideMark/>
          </w:tcPr>
          <w:p w14:paraId="70A417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hideMark/>
          </w:tcPr>
          <w:p w14:paraId="621761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360B98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CC0225F" w14:textId="77777777" w:rsidTr="003117A9">
        <w:trPr>
          <w:cantSplit/>
        </w:trPr>
        <w:tc>
          <w:tcPr>
            <w:tcW w:w="988" w:type="dxa"/>
            <w:tcBorders>
              <w:right w:val="single" w:sz="12" w:space="0" w:color="auto"/>
            </w:tcBorders>
            <w:shd w:val="clear" w:color="auto" w:fill="auto"/>
            <w:tcMar>
              <w:left w:w="28" w:type="dxa"/>
              <w:right w:w="28" w:type="dxa"/>
            </w:tcMar>
            <w:hideMark/>
          </w:tcPr>
          <w:p w14:paraId="2A6B5844" w14:textId="4B39E75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Tsujino 2009</w:t>
            </w:r>
            <w:r w:rsidRPr="002D1DD7">
              <w:rPr>
                <w:rFonts w:eastAsia="Times New Roman" w:cs="Times New Roman"/>
                <w:sz w:val="18"/>
                <w:szCs w:val="18"/>
                <w:lang w:eastAsia="zh-CN"/>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PEVuZE5vdGU+PENpdGU+PEF1dGhvcj5Uc3VqaW5vPC9BdXRob3I+PFllYXI+MjAwOTwvWWVhcj48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136</w:t>
            </w:r>
            <w:r w:rsidRPr="002D1DD7">
              <w:rPr>
                <w:rFonts w:eastAsia="Times New Roman" w:cs="Times New Roman"/>
                <w:sz w:val="18"/>
                <w:szCs w:val="18"/>
                <w:lang w:eastAsia="zh-CN"/>
              </w:rPr>
              <w:fldChar w:fldCharType="end"/>
            </w:r>
          </w:p>
        </w:tc>
        <w:tc>
          <w:tcPr>
            <w:tcW w:w="858" w:type="dxa"/>
            <w:tcBorders>
              <w:left w:val="single" w:sz="12" w:space="0" w:color="auto"/>
            </w:tcBorders>
            <w:tcMar>
              <w:left w:w="28" w:type="dxa"/>
              <w:right w:w="28" w:type="dxa"/>
            </w:tcMar>
          </w:tcPr>
          <w:p w14:paraId="7325E20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0F5CD8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77E2A676"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D18E8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hideMark/>
          </w:tcPr>
          <w:p w14:paraId="4F9531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left w:val="single" w:sz="12" w:space="0" w:color="auto"/>
            </w:tcBorders>
            <w:shd w:val="clear" w:color="auto" w:fill="auto"/>
            <w:tcMar>
              <w:left w:w="28" w:type="dxa"/>
              <w:right w:w="28" w:type="dxa"/>
            </w:tcMar>
            <w:hideMark/>
          </w:tcPr>
          <w:p w14:paraId="298CB6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28</w:t>
            </w:r>
          </w:p>
        </w:tc>
        <w:tc>
          <w:tcPr>
            <w:tcW w:w="746" w:type="dxa"/>
            <w:tcBorders>
              <w:right w:val="single" w:sz="12" w:space="0" w:color="auto"/>
            </w:tcBorders>
            <w:shd w:val="clear" w:color="auto" w:fill="auto"/>
            <w:tcMar>
              <w:left w:w="28" w:type="dxa"/>
              <w:right w:w="28" w:type="dxa"/>
            </w:tcMar>
            <w:hideMark/>
          </w:tcPr>
          <w:p w14:paraId="163048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6171</w:t>
            </w:r>
          </w:p>
        </w:tc>
        <w:tc>
          <w:tcPr>
            <w:tcW w:w="1665" w:type="dxa"/>
            <w:tcBorders>
              <w:left w:val="single" w:sz="12" w:space="0" w:color="auto"/>
            </w:tcBorders>
            <w:shd w:val="clear" w:color="auto" w:fill="auto"/>
            <w:tcMar>
              <w:left w:w="28" w:type="dxa"/>
              <w:right w:w="28" w:type="dxa"/>
            </w:tcMar>
            <w:hideMark/>
          </w:tcPr>
          <w:p w14:paraId="555CBF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622EC0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3694FA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0C48E2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R2=NR, p&lt;0.0001</w:t>
            </w:r>
          </w:p>
        </w:tc>
        <w:tc>
          <w:tcPr>
            <w:tcW w:w="1288" w:type="dxa"/>
            <w:shd w:val="clear" w:color="auto" w:fill="auto"/>
            <w:tcMar>
              <w:left w:w="28" w:type="dxa"/>
              <w:right w:w="28" w:type="dxa"/>
            </w:tcMar>
            <w:hideMark/>
          </w:tcPr>
          <w:p w14:paraId="6325D0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0.258</w:t>
            </w:r>
          </w:p>
        </w:tc>
      </w:tr>
      <w:tr w:rsidR="002E26FD" w:rsidRPr="002D1DD7" w14:paraId="6C4F5856"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31F37778" w14:textId="73C34BC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643B121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bottom w:val="single" w:sz="12" w:space="0" w:color="auto"/>
              <w:right w:val="single" w:sz="12" w:space="0" w:color="auto"/>
            </w:tcBorders>
            <w:tcMar>
              <w:left w:w="28" w:type="dxa"/>
              <w:right w:w="28" w:type="dxa"/>
            </w:tcMar>
          </w:tcPr>
          <w:p w14:paraId="493181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0B3480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bottom w:val="single" w:sz="12" w:space="0" w:color="auto"/>
            </w:tcBorders>
            <w:shd w:val="clear" w:color="auto" w:fill="auto"/>
            <w:tcMar>
              <w:left w:w="28" w:type="dxa"/>
              <w:right w:w="28" w:type="dxa"/>
            </w:tcMar>
            <w:hideMark/>
          </w:tcPr>
          <w:p w14:paraId="78372A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bottom w:val="single" w:sz="12" w:space="0" w:color="auto"/>
              <w:right w:val="single" w:sz="12" w:space="0" w:color="auto"/>
            </w:tcBorders>
            <w:shd w:val="clear" w:color="auto" w:fill="auto"/>
            <w:tcMar>
              <w:left w:w="28" w:type="dxa"/>
              <w:right w:w="28" w:type="dxa"/>
            </w:tcMar>
            <w:hideMark/>
          </w:tcPr>
          <w:p w14:paraId="775BE4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573" w:type="dxa"/>
            <w:tcBorders>
              <w:left w:val="single" w:sz="12" w:space="0" w:color="auto"/>
              <w:bottom w:val="single" w:sz="12" w:space="0" w:color="auto"/>
            </w:tcBorders>
            <w:shd w:val="clear" w:color="auto" w:fill="auto"/>
            <w:tcMar>
              <w:left w:w="28" w:type="dxa"/>
              <w:right w:w="28" w:type="dxa"/>
            </w:tcMar>
            <w:hideMark/>
          </w:tcPr>
          <w:p w14:paraId="1B576F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35</w:t>
            </w:r>
          </w:p>
        </w:tc>
        <w:tc>
          <w:tcPr>
            <w:tcW w:w="746" w:type="dxa"/>
            <w:tcBorders>
              <w:bottom w:val="single" w:sz="12" w:space="0" w:color="auto"/>
              <w:right w:val="single" w:sz="12" w:space="0" w:color="auto"/>
            </w:tcBorders>
            <w:shd w:val="clear" w:color="auto" w:fill="auto"/>
            <w:tcMar>
              <w:left w:w="28" w:type="dxa"/>
              <w:right w:w="28" w:type="dxa"/>
            </w:tcMar>
            <w:hideMark/>
          </w:tcPr>
          <w:p w14:paraId="046836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bottom w:val="single" w:sz="12" w:space="0" w:color="auto"/>
            </w:tcBorders>
            <w:shd w:val="clear" w:color="auto" w:fill="auto"/>
            <w:tcMar>
              <w:left w:w="28" w:type="dxa"/>
              <w:right w:w="28" w:type="dxa"/>
            </w:tcMar>
            <w:hideMark/>
          </w:tcPr>
          <w:p w14:paraId="2CFCED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bottom w:val="single" w:sz="12" w:space="0" w:color="auto"/>
              <w:right w:val="single" w:sz="12" w:space="0" w:color="auto"/>
            </w:tcBorders>
            <w:shd w:val="clear" w:color="auto" w:fill="auto"/>
            <w:tcMar>
              <w:left w:w="28" w:type="dxa"/>
              <w:right w:w="28" w:type="dxa"/>
            </w:tcMar>
            <w:hideMark/>
          </w:tcPr>
          <w:p w14:paraId="7E333B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bottom w:val="single" w:sz="12" w:space="0" w:color="auto"/>
            </w:tcBorders>
            <w:shd w:val="clear" w:color="auto" w:fill="auto"/>
            <w:tcMar>
              <w:left w:w="28" w:type="dxa"/>
              <w:right w:w="28" w:type="dxa"/>
            </w:tcMar>
            <w:hideMark/>
          </w:tcPr>
          <w:p w14:paraId="0E8CFC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tcBorders>
              <w:bottom w:val="single" w:sz="12" w:space="0" w:color="auto"/>
            </w:tcBorders>
            <w:shd w:val="clear" w:color="auto" w:fill="auto"/>
            <w:tcMar>
              <w:left w:w="28" w:type="dxa"/>
              <w:right w:w="28" w:type="dxa"/>
            </w:tcMar>
            <w:hideMark/>
          </w:tcPr>
          <w:p w14:paraId="51CF25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R2=0.28, p=0.0024</w:t>
            </w:r>
          </w:p>
        </w:tc>
        <w:tc>
          <w:tcPr>
            <w:tcW w:w="1288" w:type="dxa"/>
            <w:tcBorders>
              <w:bottom w:val="single" w:sz="12" w:space="0" w:color="auto"/>
            </w:tcBorders>
            <w:shd w:val="clear" w:color="auto" w:fill="auto"/>
            <w:tcMar>
              <w:left w:w="28" w:type="dxa"/>
              <w:right w:w="28" w:type="dxa"/>
            </w:tcMar>
            <w:hideMark/>
          </w:tcPr>
          <w:p w14:paraId="12EEC0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1358A44"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3AFCBADA" w14:textId="556AFB8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0C990E5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66C814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4D84CA0"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19005F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or extensive</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3E5325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16C893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27C386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13007D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14CAB8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r=0.66, p&lt;0.0001</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401644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315EF3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22BC69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77280B8"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6E0623C6" w14:textId="18DB0ED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7C97514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5416BF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7CBEA8A"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34F174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disease</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2E196B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2046A7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518DCC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47DB0C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397D96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r=0.40, p=0.193</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21F065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hideMark/>
          </w:tcPr>
          <w:p w14:paraId="1E802C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hideMark/>
          </w:tcPr>
          <w:p w14:paraId="363B99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44D7B1DD"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6EC0D83A" w14:textId="619E796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77340A8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2285A9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CB8EB9B"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5D3390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Extensive disease</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1E3EF7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70AF92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1A9D4B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1F543A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7D610D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r=0.44, p=0.012</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0F478D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470E20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0404BD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7529053"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1CF4B32" w14:textId="16AE941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Imaoka 2017</w:t>
            </w:r>
            <w:r w:rsidRPr="002D1DD7">
              <w:rPr>
                <w:rFonts w:eastAsia="Times New Roman" w:cs="Times New Roman"/>
                <w:sz w:val="18"/>
                <w:szCs w:val="18"/>
                <w:lang w:eastAsia="zh-CN"/>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PEVuZE5vdGU+PENpdGU+PEF1dGhvcj5JbWFva2E8L0F1dGhvcj48WWVhcj4yMDE3PC9ZZWFyPjxS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103</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288483D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7EC1F4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1BFF5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Neuroendocrine</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6C3FC2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5207E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2AB4DE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77D109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2530</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297084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5C9D32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 -0.26 (-0.64 to 0.11), p=0.164</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15A1E8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hideMark/>
          </w:tcPr>
          <w:p w14:paraId="7F6B45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5157FB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3815204"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757797D1" w14:textId="481DA6A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Rose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&lt;EndNote&gt;&lt;Cite&gt;&lt;Author&gt;Rose&lt;/Author&gt;&lt;Year&gt;2010&lt;/Year&gt;&lt;RecNum&gt;2561&lt;/RecNum&gt;&lt;IDText&gt;$$include full text PT&lt;/IDText&gt;&lt;DisplayText&gt;&lt;style face="superscript"&gt;126&lt;/style&gt;&lt;/DisplayText&gt;&lt;record&gt;&lt;rec-number&gt;2561&lt;/rec-number&gt;&lt;foreign-keys&gt;&lt;key app="EN" db-id="dwaevxvazfs2f3ewvzmxrd0k0wasw55p2z2w" timestamp="1557311001"&gt;2561&lt;/key&gt;&lt;/foreign-keys&gt;&lt;ref-type name="Journal Article"&gt;17&lt;/ref-type&gt;&lt;contributors&gt;&lt;authors&gt;&lt;author&gt;Rose, P. G.&lt;/author&gt;&lt;author&gt;Tian, C. Q.&lt;/author&gt;&lt;author&gt;Bookman, M. A.&lt;/author&gt;&lt;/authors&gt;&lt;/contributors&gt;&lt;titles&gt;&lt;title&gt;Assessment of tumor response as a surrogate endpoint of survival in recurrent/platinum-resistant ovarian carcinoma: A Gynecologic Oncology Group study&lt;/title&gt;&lt;secondary-title&gt;Gynecologic Oncology&lt;/secondary-title&gt;&lt;/titles&gt;&lt;periodical&gt;&lt;full-title&gt;Gynecologic Oncology&lt;/full-title&gt;&lt;abbr-1&gt;Gynecol Oncol&lt;/abbr-1&gt;&lt;/periodical&gt;&lt;pages&gt;324-329&lt;/pages&gt;&lt;volume&gt;117&lt;/volume&gt;&lt;number&gt;2&lt;/number&gt;&lt;keywords&gt;&lt;keyword&gt;$$include abstract PT&lt;/keyword&gt;&lt;keyword&gt;$$Broad search&lt;/keyword&gt;&lt;/keywords&gt;&lt;dates&gt;&lt;year&gt;2010&lt;/year&gt;&lt;pub-dates&gt;&lt;date&gt;May&lt;/date&gt;&lt;/pub-dates&gt;&lt;/dates&gt;&lt;isbn&gt;0090-8258&lt;/isbn&gt;&lt;accession-num&gt;WOS:000277538600030&lt;/accession-num&gt;&lt;label&gt;$$include full text PT&lt;/label&gt;&lt;urls&gt;&lt;/urls&gt;&lt;electronic-resource-num&gt;10.1016/j.ygyno.2010.01.040&lt;/electronic-resource-num&gt;&lt;research-notes&gt;&lt;style face="underline" font="default" size="100%"&gt;&amp;lt;Go to ISI&amp;gt;://WOS:000277538600030&lt;/style&gt;&lt;/research-notes&gt;&lt;/record&gt;&lt;/Cite&gt;&lt;/EndNote&gt;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126</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08081AB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39F4FC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068977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2BC3D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6A86C9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4FDC84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59E4DD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407</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3C0DA5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w:t>
            </w:r>
            <w:r w:rsidRPr="002D1DD7">
              <w:rPr>
                <w:rFonts w:eastAsia="Times New Roman" w:cs="Times New Roman"/>
                <w:color w:val="000000"/>
                <w:sz w:val="18"/>
                <w:szCs w:val="18"/>
                <w:lang w:eastAsia="zh-CN"/>
              </w:rPr>
              <w:br/>
              <w:t>b) Kendall Tau-b</w:t>
            </w:r>
            <w:r w:rsidRPr="002D1DD7">
              <w:rPr>
                <w:rFonts w:eastAsia="Times New Roman" w:cs="Times New Roman"/>
                <w:color w:val="000000"/>
                <w:sz w:val="18"/>
                <w:szCs w:val="18"/>
                <w:lang w:eastAsia="zh-CN"/>
              </w:rPr>
              <w:br/>
              <w:t>(</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7286D8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r=0.56, p=0.071</w:t>
            </w:r>
            <w:r w:rsidRPr="002D1DD7">
              <w:rPr>
                <w:rFonts w:eastAsia="Times New Roman" w:cs="Times New Roman"/>
                <w:color w:val="000000"/>
                <w:sz w:val="18"/>
                <w:szCs w:val="18"/>
                <w:lang w:eastAsia="zh-CN"/>
              </w:rPr>
              <w:br/>
            </w:r>
            <w:r w:rsidRPr="002D1DD7">
              <w:rPr>
                <w:rFonts w:eastAsia="Times New Roman" w:cs="Times New Roman"/>
                <w:color w:val="000000"/>
                <w:sz w:val="18"/>
                <w:szCs w:val="18"/>
                <w:lang w:eastAsia="zh-CN"/>
              </w:rPr>
              <w:br/>
              <w:t>b) r=0.40, p=0.086</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3A395E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45F065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326F50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811DAF2"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43345831" w14:textId="7664448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Siddiqui 2017</w:t>
            </w:r>
            <w:r w:rsidRPr="002D1DD7">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132</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4A2829A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01D24A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B7752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2BAA2B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3A5F60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780C49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31</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0A7FBF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9223</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61E5B2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r w:rsidRPr="002D1DD7">
              <w:rPr>
                <w:rFonts w:eastAsia="Times New Roman" w:cs="Times New Roman"/>
                <w:color w:val="000000"/>
                <w:sz w:val="18"/>
                <w:szCs w:val="18"/>
                <w:lang w:eastAsia="zh-CN"/>
              </w:rPr>
              <w:br/>
              <w:t>b) Pearson, unwtd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43F952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r=0.82, p&lt;0.001</w:t>
            </w:r>
            <w:r w:rsidRPr="002D1DD7">
              <w:rPr>
                <w:rFonts w:eastAsia="Times New Roman" w:cs="Times New Roman"/>
                <w:color w:val="000000"/>
                <w:sz w:val="18"/>
                <w:szCs w:val="18"/>
                <w:lang w:eastAsia="zh-CN"/>
              </w:rPr>
              <w:br/>
              <w:t>b) 0.71, p&lt;0.001</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4ECEF2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r w:rsidRPr="002D1DD7">
              <w:rPr>
                <w:rFonts w:eastAsia="Times New Roman" w:cs="Times New Roman"/>
                <w:color w:val="000000"/>
                <w:sz w:val="18"/>
                <w:szCs w:val="18"/>
                <w:lang w:eastAsia="zh-CN"/>
              </w:rPr>
              <w:br/>
              <w:t>a) unadj</w:t>
            </w:r>
            <w:r w:rsidRPr="002D1DD7">
              <w:rPr>
                <w:rFonts w:eastAsia="Times New Roman" w:cs="Times New Roman"/>
                <w:color w:val="000000"/>
                <w:sz w:val="18"/>
                <w:szCs w:val="18"/>
                <w:lang w:eastAsia="zh-CN"/>
              </w:rPr>
              <w:br/>
              <w:t>b) adj</w:t>
            </w:r>
          </w:p>
        </w:tc>
        <w:tc>
          <w:tcPr>
            <w:tcW w:w="1316" w:type="dxa"/>
            <w:tcBorders>
              <w:top w:val="single" w:sz="4" w:space="0" w:color="auto"/>
              <w:bottom w:val="single" w:sz="12" w:space="0" w:color="auto"/>
            </w:tcBorders>
            <w:shd w:val="clear" w:color="auto" w:fill="auto"/>
            <w:tcMar>
              <w:left w:w="28" w:type="dxa"/>
              <w:right w:w="28" w:type="dxa"/>
            </w:tcMar>
            <w:hideMark/>
          </w:tcPr>
          <w:p w14:paraId="74468A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R2=0.67, p=NR</w:t>
            </w:r>
            <w:r w:rsidRPr="002D1DD7">
              <w:rPr>
                <w:rFonts w:eastAsia="Times New Roman" w:cs="Times New Roman"/>
                <w:color w:val="000000"/>
                <w:sz w:val="18"/>
                <w:szCs w:val="18"/>
                <w:lang w:eastAsia="zh-CN"/>
              </w:rPr>
              <w:br/>
              <w:t>b) adj R2=0.66, p=NR</w:t>
            </w:r>
          </w:p>
        </w:tc>
        <w:tc>
          <w:tcPr>
            <w:tcW w:w="1288" w:type="dxa"/>
            <w:tcBorders>
              <w:top w:val="single" w:sz="4" w:space="0" w:color="auto"/>
              <w:bottom w:val="single" w:sz="12" w:space="0" w:color="auto"/>
            </w:tcBorders>
            <w:shd w:val="clear" w:color="auto" w:fill="auto"/>
            <w:tcMar>
              <w:left w:w="28" w:type="dxa"/>
              <w:right w:w="28" w:type="dxa"/>
            </w:tcMar>
            <w:hideMark/>
          </w:tcPr>
          <w:p w14:paraId="514AA7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med OS = 9.48 + 0.28 *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r>
      <w:tr w:rsidR="002E26FD" w:rsidRPr="002D1DD7" w14:paraId="00B3E545"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009553A" w14:textId="6107305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Hamada 2016</w:t>
            </w:r>
            <w:r w:rsidRPr="002D1DD7">
              <w:rPr>
                <w:rFonts w:eastAsia="Times New Roman" w:cs="Times New Roman"/>
                <w:sz w:val="18"/>
                <w:szCs w:val="18"/>
                <w:lang w:eastAsia="zh-CN"/>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97</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2117475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1518DA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58071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5B827C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7E39A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31B86D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47</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0B4896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15906</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7AC74C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4ABD2C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rs=0.39 (0.20 to 0.55), p&lt;0.001</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566595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hideMark/>
          </w:tcPr>
          <w:p w14:paraId="1225ED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540C8E1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C718C4D"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106F4489" w14:textId="62F9F341"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Abdel-Rahman 2018</w:t>
            </w:r>
            <w:r w:rsidRPr="002D1DD7">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 </w:instrText>
            </w:r>
            <w:r w:rsidR="003117A9">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EN.CITE.DATA </w:instrText>
            </w:r>
            <w:r w:rsidR="003117A9">
              <w:rPr>
                <w:rFonts w:eastAsia="Times New Roman" w:cs="Times New Roman"/>
                <w:sz w:val="18"/>
                <w:szCs w:val="18"/>
                <w:lang w:eastAsia="zh-CN"/>
              </w:rPr>
            </w:r>
            <w:r w:rsidR="003117A9">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78</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17A505A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30D69A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33EDD1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Renal cell</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45964A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31BB9C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0572FE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2798B1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1093</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27E939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3949D0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 -0.40, p=0.436</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5FC4BE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19DB27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07755C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E40543B"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6B2040EF" w14:textId="0B297D4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Petrelli 2013</w:t>
            </w:r>
            <w:r w:rsidRPr="002D1DD7">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123</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4F67FE4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63936B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29948D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Renal cell</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43081F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29BE04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79BA5D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7D97FE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3188</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4B009D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wtd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71A1A5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rs=0.96, p&lt;0.0001</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6151E3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hideMark/>
          </w:tcPr>
          <w:p w14:paraId="1DA136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hideMark/>
          </w:tcPr>
          <w:p w14:paraId="4CBBDD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B36EE32"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hideMark/>
          </w:tcPr>
          <w:p w14:paraId="64EC380B" w14:textId="40A2290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Penel 2014</w:t>
            </w:r>
            <w:r w:rsidRPr="002D1DD7">
              <w:rPr>
                <w:rFonts w:eastAsia="Times New Roman" w:cs="Times New Roman"/>
                <w:color w:val="000000"/>
                <w:sz w:val="18"/>
                <w:szCs w:val="18"/>
                <w:lang w:eastAsia="zh-CN"/>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PEVuZE5vdGU+PENpdGU+PEF1dGhvcj5QZW5lbDwvQXV0aG9yPjxZZWFyPjIwMTQ8L1llYXI+PFJl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122</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552EEB5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12" w:space="0" w:color="auto"/>
              <w:right w:val="single" w:sz="12" w:space="0" w:color="auto"/>
            </w:tcBorders>
            <w:tcMar>
              <w:left w:w="28" w:type="dxa"/>
              <w:right w:w="28" w:type="dxa"/>
            </w:tcMar>
          </w:tcPr>
          <w:p w14:paraId="04065C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3228D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Unknown primary</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hideMark/>
          </w:tcPr>
          <w:p w14:paraId="5F9A17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5845A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hideMark/>
          </w:tcPr>
          <w:p w14:paraId="318AF8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38</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hideMark/>
          </w:tcPr>
          <w:p w14:paraId="3B779C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hideMark/>
          </w:tcPr>
          <w:p w14:paraId="76BF88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via WLR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 med OS)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hideMark/>
          </w:tcPr>
          <w:p w14:paraId="2CE0A3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r=0.54, p&lt;0.0001</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hideMark/>
          </w:tcPr>
          <w:p w14:paraId="40F4BA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hideMark/>
          </w:tcPr>
          <w:p w14:paraId="079855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hideMark/>
          </w:tcPr>
          <w:p w14:paraId="7A0A60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8934F8A"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055CE7C8" w14:textId="203CD185"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Abdel-Rahman 2018</w:t>
            </w:r>
            <w:r w:rsidRPr="002D1DD7">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 </w:instrText>
            </w:r>
            <w:r w:rsidR="003117A9">
              <w:rPr>
                <w:rFonts w:eastAsia="Times New Roman" w:cs="Times New Roman"/>
                <w:sz w:val="18"/>
                <w:szCs w:val="18"/>
                <w:lang w:eastAsia="zh-CN"/>
              </w:rPr>
              <w:fldChar w:fldCharType="begin">
                <w:fldData xml:space="preserve">PEVuZE5vdGU+PENpdGU+PEF1dGhvcj5BYmRlbC1SYWhtYW48L0F1dGhvcj48WWVhcj4yMDE4PC9Z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dGV4dCZhbXA7RD1tZWQxMyZhbXA7QU49MjkyNjA2MjImI3hEO2h0dHA6Ly9yZXNvbHZlci5zaGVm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</w:fldData>
              </w:fldChar>
            </w:r>
            <w:r w:rsidR="003117A9">
              <w:rPr>
                <w:rFonts w:eastAsia="Times New Roman" w:cs="Times New Roman"/>
                <w:sz w:val="18"/>
                <w:szCs w:val="18"/>
                <w:lang w:eastAsia="zh-CN"/>
              </w:rPr>
              <w:instrText xml:space="preserve"> ADDIN EN.CITE.DATA </w:instrText>
            </w:r>
            <w:r w:rsidR="003117A9">
              <w:rPr>
                <w:rFonts w:eastAsia="Times New Roman" w:cs="Times New Roman"/>
                <w:sz w:val="18"/>
                <w:szCs w:val="18"/>
                <w:lang w:eastAsia="zh-CN"/>
              </w:rPr>
            </w:r>
            <w:r w:rsidR="003117A9">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78</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5834A19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bottom w:val="single" w:sz="4" w:space="0" w:color="auto"/>
              <w:right w:val="single" w:sz="12" w:space="0" w:color="auto"/>
            </w:tcBorders>
            <w:tcMar>
              <w:left w:w="28" w:type="dxa"/>
              <w:right w:w="28" w:type="dxa"/>
            </w:tcMar>
          </w:tcPr>
          <w:p w14:paraId="762932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59339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Urothelial</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1C089B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hideMark/>
          </w:tcPr>
          <w:p w14:paraId="114B06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hideMark/>
          </w:tcPr>
          <w:p w14:paraId="0657D8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hideMark/>
          </w:tcPr>
          <w:p w14:paraId="7310D0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1699</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hideMark/>
          </w:tcPr>
          <w:p w14:paraId="671779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hideMark/>
          </w:tcPr>
          <w:p w14:paraId="0AA86F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 -0.12, p=0.758</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hideMark/>
          </w:tcPr>
          <w:p w14:paraId="7AC9C2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hideMark/>
          </w:tcPr>
          <w:p w14:paraId="294551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hideMark/>
          </w:tcPr>
          <w:p w14:paraId="6352BF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523A710"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465F47B6" w14:textId="0DDA26D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Agarwal 2014</w:t>
            </w:r>
            <w:r w:rsidRPr="002D1DD7">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79</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504EDE3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7CAFE0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24A96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Urothelial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288F7F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5B9E8E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biologic</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6CDB78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3AAF0A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560</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682F1C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7272FF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r=0.37, p=0.30</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40AED1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r w:rsidRPr="002D1DD7">
              <w:rPr>
                <w:rFonts w:eastAsia="Times New Roman" w:cs="Times New Roman"/>
                <w:color w:val="000000"/>
                <w:sz w:val="18"/>
                <w:szCs w:val="18"/>
                <w:lang w:eastAsia="zh-CN"/>
              </w:rPr>
              <w:br/>
              <w:t>a) unadj</w:t>
            </w:r>
            <w:r w:rsidRPr="002D1DD7">
              <w:rPr>
                <w:rFonts w:eastAsia="Times New Roman" w:cs="Times New Roman"/>
                <w:color w:val="000000"/>
                <w:sz w:val="18"/>
                <w:szCs w:val="18"/>
                <w:lang w:eastAsia="zh-CN"/>
              </w:rPr>
              <w:br/>
              <w:t>b) adj (RE)</w:t>
            </w:r>
          </w:p>
        </w:tc>
        <w:tc>
          <w:tcPr>
            <w:tcW w:w="1316" w:type="dxa"/>
            <w:tcBorders>
              <w:top w:val="single" w:sz="4" w:space="0" w:color="auto"/>
              <w:bottom w:val="single" w:sz="4" w:space="0" w:color="auto"/>
            </w:tcBorders>
            <w:shd w:val="clear" w:color="auto" w:fill="auto"/>
            <w:tcMar>
              <w:left w:w="28" w:type="dxa"/>
              <w:right w:w="28" w:type="dxa"/>
            </w:tcMar>
            <w:hideMark/>
          </w:tcPr>
          <w:p w14:paraId="0DA0CA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R2=0.26, p=NR</w:t>
            </w:r>
            <w:r w:rsidRPr="002D1DD7">
              <w:rPr>
                <w:rFonts w:eastAsia="Times New Roman" w:cs="Times New Roman"/>
                <w:color w:val="000000"/>
                <w:sz w:val="18"/>
                <w:szCs w:val="18"/>
                <w:lang w:eastAsia="zh-CN"/>
              </w:rPr>
              <w:br/>
              <w:t>b) Adj R2=0.16, p=0.1359</w:t>
            </w:r>
          </w:p>
        </w:tc>
        <w:tc>
          <w:tcPr>
            <w:tcW w:w="1288" w:type="dxa"/>
            <w:tcBorders>
              <w:top w:val="single" w:sz="4" w:space="0" w:color="auto"/>
              <w:bottom w:val="single" w:sz="4" w:space="0" w:color="auto"/>
            </w:tcBorders>
            <w:shd w:val="clear" w:color="auto" w:fill="auto"/>
            <w:tcMar>
              <w:left w:w="28" w:type="dxa"/>
              <w:right w:w="28" w:type="dxa"/>
            </w:tcMar>
            <w:hideMark/>
          </w:tcPr>
          <w:p w14:paraId="6C79BB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A6AE175"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13CCD839" w14:textId="3395CE4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Agarwal 2014</w:t>
            </w:r>
            <w:r w:rsidRPr="002D1DD7">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79</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348FBA2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4" w:space="0" w:color="auto"/>
              <w:right w:val="single" w:sz="12" w:space="0" w:color="auto"/>
            </w:tcBorders>
            <w:tcMar>
              <w:left w:w="28" w:type="dxa"/>
              <w:right w:w="28" w:type="dxa"/>
            </w:tcMar>
          </w:tcPr>
          <w:p w14:paraId="08E553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0D036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Urothelial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2EDA1D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w:t>
            </w:r>
            <w:r w:rsidRPr="002D1DD7">
              <w:rPr>
                <w:rFonts w:eastAsia="Times New Roman" w:cs="Times New Roman"/>
                <w:color w:val="000000"/>
                <w:sz w:val="18"/>
                <w:szCs w:val="18"/>
                <w:lang w:eastAsia="zh-CN"/>
              </w:rPr>
              <w:br/>
              <w:t>- Operable</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hideMark/>
          </w:tcPr>
          <w:p w14:paraId="00A18A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hideMark/>
          </w:tcPr>
          <w:p w14:paraId="504FFC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hideMark/>
          </w:tcPr>
          <w:p w14:paraId="2798CB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214</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hideMark/>
          </w:tcPr>
          <w:p w14:paraId="2BB178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hideMark/>
          </w:tcPr>
          <w:p w14:paraId="526E5F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r=0.78, p=NR</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hideMark/>
          </w:tcPr>
          <w:p w14:paraId="6F51D01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adj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316" w:type="dxa"/>
            <w:tcBorders>
              <w:top w:val="single" w:sz="4" w:space="0" w:color="auto"/>
              <w:bottom w:val="single" w:sz="4" w:space="0" w:color="auto"/>
            </w:tcBorders>
            <w:shd w:val="clear" w:color="auto" w:fill="auto"/>
            <w:tcMar>
              <w:left w:w="28" w:type="dxa"/>
              <w:right w:w="28" w:type="dxa"/>
            </w:tcMar>
            <w:hideMark/>
          </w:tcPr>
          <w:p w14:paraId="30A8FD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R2=0.54, p=NR</w:t>
            </w:r>
          </w:p>
        </w:tc>
        <w:tc>
          <w:tcPr>
            <w:tcW w:w="1288" w:type="dxa"/>
            <w:tcBorders>
              <w:top w:val="single" w:sz="4" w:space="0" w:color="auto"/>
              <w:bottom w:val="single" w:sz="4" w:space="0" w:color="auto"/>
            </w:tcBorders>
            <w:shd w:val="clear" w:color="auto" w:fill="auto"/>
            <w:tcMar>
              <w:left w:w="28" w:type="dxa"/>
              <w:right w:w="28" w:type="dxa"/>
            </w:tcMar>
            <w:hideMark/>
          </w:tcPr>
          <w:p w14:paraId="5E1082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5261745"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31581C7F" w14:textId="452C82A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Agarwal 2014</w:t>
            </w:r>
            <w:r w:rsidRPr="002D1DD7">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PEVuZE5vdGU+PENpdGU+PEF1dGhvcj5BZ2Fyd2FsPC9BdXRob3I+PFllYXI+MjAxNDwvWWVhcj48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79</w:t>
            </w:r>
            <w:r w:rsidRPr="002D1DD7">
              <w:rPr>
                <w:rFonts w:eastAsia="Times New Roman" w:cs="Times New Roman"/>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1C4A098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4" w:space="0" w:color="auto"/>
              <w:bottom w:val="single" w:sz="12" w:space="0" w:color="auto"/>
              <w:right w:val="single" w:sz="12" w:space="0" w:color="auto"/>
            </w:tcBorders>
            <w:tcMar>
              <w:left w:w="28" w:type="dxa"/>
              <w:right w:w="28" w:type="dxa"/>
            </w:tcMar>
          </w:tcPr>
          <w:p w14:paraId="5F5D69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1D96B0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Urothelial</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390255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w:t>
            </w:r>
            <w:r w:rsidRPr="002D1DD7">
              <w:rPr>
                <w:rFonts w:eastAsia="Times New Roman" w:cs="Times New Roman"/>
                <w:color w:val="000000"/>
                <w:sz w:val="18"/>
                <w:szCs w:val="18"/>
                <w:lang w:eastAsia="zh-CN"/>
              </w:rPr>
              <w:br/>
              <w:t>- Metastatic</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hideMark/>
          </w:tcPr>
          <w:p w14:paraId="2997AB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hideMark/>
          </w:tcPr>
          <w:p w14:paraId="3A8911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hideMark/>
          </w:tcPr>
          <w:p w14:paraId="37833C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hideMark/>
          </w:tcPr>
          <w:p w14:paraId="40B69E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hideMark/>
          </w:tcPr>
          <w:p w14:paraId="38E988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 -0.018, p=NR</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hideMark/>
          </w:tcPr>
          <w:p w14:paraId="722977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adj R2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316" w:type="dxa"/>
            <w:tcBorders>
              <w:top w:val="single" w:sz="4" w:space="0" w:color="auto"/>
              <w:bottom w:val="single" w:sz="12" w:space="0" w:color="auto"/>
            </w:tcBorders>
            <w:shd w:val="clear" w:color="auto" w:fill="auto"/>
            <w:tcMar>
              <w:left w:w="28" w:type="dxa"/>
              <w:right w:w="28" w:type="dxa"/>
            </w:tcMar>
            <w:hideMark/>
          </w:tcPr>
          <w:p w14:paraId="3BE1D1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 -0.13, p=NR</w:t>
            </w:r>
          </w:p>
        </w:tc>
        <w:tc>
          <w:tcPr>
            <w:tcW w:w="1288" w:type="dxa"/>
            <w:tcBorders>
              <w:top w:val="single" w:sz="4" w:space="0" w:color="auto"/>
              <w:bottom w:val="single" w:sz="12" w:space="0" w:color="auto"/>
            </w:tcBorders>
            <w:shd w:val="clear" w:color="auto" w:fill="auto"/>
            <w:tcMar>
              <w:left w:w="28" w:type="dxa"/>
              <w:right w:w="28" w:type="dxa"/>
            </w:tcMar>
            <w:hideMark/>
          </w:tcPr>
          <w:p w14:paraId="611C48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492038DE"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715778DF" w14:textId="01F1AA2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Nie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&lt;EndNote&gt;&lt;Cite&gt;&lt;Author&gt;Nie&lt;/Author&gt;&lt;Year&gt;2019&lt;/Year&gt;&lt;RecNum&gt;2179&lt;/RecNum&gt;&lt;IDText&gt;$$include full text PT&lt;/IDText&gt;&lt;DisplayText&gt;&lt;style face="superscript"&gt;120&lt;/style&gt;&lt;/DisplayText&gt;&lt;record&gt;&lt;rec-number&gt;2179&lt;/rec-number&gt;&lt;foreign-keys&gt;&lt;key app="EN" db-id="dwaevxvazfs2f3ewvzmxrd0k0wasw55p2z2w" timestamp="1557310928"&gt;2179&lt;/key&gt;&lt;/foreign-keys&gt;&lt;ref-type name="Journal Article"&gt;17&lt;/ref-type&gt;&lt;contributors&gt;&lt;authors&gt;&lt;author&gt;Nie, R. C.&lt;/author&gt;&lt;author&gt;Chen, F. P.&lt;/author&gt;&lt;author&gt;Yuan, S. Q.&lt;/author&gt;&lt;author&gt;Luo, Y. S.&lt;/author&gt;&lt;author&gt;Chen, S.&lt;/author&gt;&lt;author&gt;Chen, Y. M.&lt;/author&gt;&lt;author&gt;Chen, X. J.&lt;/author&gt;&lt;author&gt;Chen, Y. B.&lt;/author&gt;&lt;author&gt;Li, Y. F.&lt;/author&gt;&lt;author&gt;Zhou, Z. W.&lt;/author&gt;&lt;/authors&gt;&lt;/contributors&gt;&lt;titles&gt;&lt;title&gt;Evaluation of objective response, disease control and progression-free survival as surrogate end-points for overall survival in anti-programmed death-1 and anti-programmed death ligand 1 trials&lt;/title&gt;&lt;secondary-title&gt;European Journal of Cancer&lt;/secondary-title&gt;&lt;/titles&gt;&lt;periodical&gt;&lt;full-title&gt;European Journal of Cancer&lt;/full-title&gt;&lt;abbr-1&gt;Eur J Cancer&lt;/abbr-1&gt;&lt;/periodical&gt;&lt;pages&gt;1-11&lt;/pages&gt;&lt;volume&gt;106&lt;/volume&gt;&lt;keywords&gt;&lt;keyword&gt;$$include abstract PT&lt;/keyword&gt;&lt;keyword&gt;$$Broad search $$Citation search&lt;/keyword&gt;&lt;/keywords&gt;&lt;dates&gt;&lt;year&gt;2019&lt;/year&gt;&lt;pub-dates&gt;&lt;date&gt;January&lt;/date&gt;&lt;/pub-dates&gt;&lt;/dates&gt;&lt;label&gt;$$include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size="100%"&gt;http://ovidsp.ovid.com/ovidweb.cgi?T=JS&amp;amp;CSC=Y&amp;amp;NEWS=N&amp;amp;PAGE=fulltext&amp;amp;D=emexa&amp;amp;AN=2001288035&lt;/style&gt;&lt;/research-notes&gt;&lt;/record&gt;&lt;/Cite&gt;&lt;/EndNote&gt;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120</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43C4F5C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top w:val="single" w:sz="12" w:space="0" w:color="auto"/>
              <w:right w:val="single" w:sz="12" w:space="0" w:color="auto"/>
            </w:tcBorders>
            <w:tcMar>
              <w:left w:w="28" w:type="dxa"/>
              <w:right w:w="28" w:type="dxa"/>
            </w:tcMar>
          </w:tcPr>
          <w:p w14:paraId="76169D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hideMark/>
          </w:tcPr>
          <w:p w14:paraId="5CB0A3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12" w:space="0" w:color="auto"/>
              <w:left w:val="single" w:sz="12" w:space="0" w:color="auto"/>
            </w:tcBorders>
            <w:shd w:val="clear" w:color="auto" w:fill="auto"/>
            <w:tcMar>
              <w:left w:w="28" w:type="dxa"/>
              <w:right w:w="28" w:type="dxa"/>
            </w:tcMar>
            <w:hideMark/>
          </w:tcPr>
          <w:p w14:paraId="7F822F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Various </w:t>
            </w:r>
          </w:p>
        </w:tc>
        <w:tc>
          <w:tcPr>
            <w:tcW w:w="1701" w:type="dxa"/>
            <w:tcBorders>
              <w:top w:val="single" w:sz="12" w:space="0" w:color="auto"/>
              <w:right w:val="single" w:sz="12" w:space="0" w:color="auto"/>
            </w:tcBorders>
            <w:shd w:val="clear" w:color="auto" w:fill="auto"/>
            <w:tcMar>
              <w:left w:w="28" w:type="dxa"/>
              <w:right w:w="28" w:type="dxa"/>
            </w:tcMar>
            <w:hideMark/>
          </w:tcPr>
          <w:p w14:paraId="406638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73" w:type="dxa"/>
            <w:tcBorders>
              <w:top w:val="single" w:sz="12" w:space="0" w:color="auto"/>
              <w:left w:val="single" w:sz="12" w:space="0" w:color="auto"/>
            </w:tcBorders>
            <w:shd w:val="clear" w:color="auto" w:fill="auto"/>
            <w:tcMar>
              <w:left w:w="28" w:type="dxa"/>
              <w:right w:w="28" w:type="dxa"/>
            </w:tcMar>
            <w:hideMark/>
          </w:tcPr>
          <w:p w14:paraId="2C8A5E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43</w:t>
            </w:r>
            <w:r w:rsidRPr="002D1DD7">
              <w:rPr>
                <w:rFonts w:eastAsia="Times New Roman" w:cs="Times New Roman"/>
                <w:color w:val="000000"/>
                <w:sz w:val="18"/>
                <w:szCs w:val="18"/>
                <w:vertAlign w:val="superscript"/>
                <w:lang w:eastAsia="zh-CN"/>
              </w:rPr>
              <w:t>†</w:t>
            </w:r>
          </w:p>
        </w:tc>
        <w:tc>
          <w:tcPr>
            <w:tcW w:w="746" w:type="dxa"/>
            <w:tcBorders>
              <w:top w:val="single" w:sz="12" w:space="0" w:color="auto"/>
              <w:right w:val="single" w:sz="12" w:space="0" w:color="auto"/>
            </w:tcBorders>
            <w:shd w:val="clear" w:color="auto" w:fill="auto"/>
            <w:tcMar>
              <w:left w:w="28" w:type="dxa"/>
              <w:right w:w="28" w:type="dxa"/>
            </w:tcMar>
            <w:hideMark/>
          </w:tcPr>
          <w:p w14:paraId="535C0D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15088</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tcBorders>
            <w:shd w:val="clear" w:color="auto" w:fill="auto"/>
            <w:tcMar>
              <w:left w:w="28" w:type="dxa"/>
              <w:right w:w="28" w:type="dxa"/>
            </w:tcMar>
            <w:hideMark/>
          </w:tcPr>
          <w:p w14:paraId="0D7003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right w:val="single" w:sz="12" w:space="0" w:color="auto"/>
            </w:tcBorders>
            <w:shd w:val="clear" w:color="auto" w:fill="auto"/>
            <w:tcMar>
              <w:left w:w="28" w:type="dxa"/>
              <w:right w:w="28" w:type="dxa"/>
            </w:tcMar>
            <w:hideMark/>
          </w:tcPr>
          <w:p w14:paraId="1D37AA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tcBorders>
            <w:shd w:val="clear" w:color="auto" w:fill="auto"/>
            <w:tcMar>
              <w:left w:w="28" w:type="dxa"/>
              <w:right w:w="28" w:type="dxa"/>
            </w:tcMar>
            <w:hideMark/>
          </w:tcPr>
          <w:p w14:paraId="7B91C4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Squared Spearman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tcBorders>
              <w:top w:val="single" w:sz="12" w:space="0" w:color="auto"/>
            </w:tcBorders>
            <w:shd w:val="clear" w:color="auto" w:fill="auto"/>
            <w:tcMar>
              <w:left w:w="28" w:type="dxa"/>
              <w:right w:w="28" w:type="dxa"/>
            </w:tcMar>
            <w:hideMark/>
          </w:tcPr>
          <w:p w14:paraId="222B74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r2s=0.29, p&lt;0.001</w:t>
            </w:r>
          </w:p>
        </w:tc>
        <w:tc>
          <w:tcPr>
            <w:tcW w:w="1288" w:type="dxa"/>
            <w:tcBorders>
              <w:top w:val="single" w:sz="12" w:space="0" w:color="auto"/>
            </w:tcBorders>
            <w:shd w:val="clear" w:color="auto" w:fill="auto"/>
            <w:tcMar>
              <w:left w:w="28" w:type="dxa"/>
              <w:right w:w="28" w:type="dxa"/>
            </w:tcMar>
            <w:hideMark/>
          </w:tcPr>
          <w:p w14:paraId="78329F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78EB23E" w14:textId="77777777" w:rsidTr="003117A9">
        <w:trPr>
          <w:cantSplit/>
        </w:trPr>
        <w:tc>
          <w:tcPr>
            <w:tcW w:w="988" w:type="dxa"/>
            <w:tcBorders>
              <w:right w:val="single" w:sz="12" w:space="0" w:color="auto"/>
            </w:tcBorders>
            <w:shd w:val="clear" w:color="auto" w:fill="auto"/>
            <w:tcMar>
              <w:left w:w="28" w:type="dxa"/>
              <w:right w:w="28" w:type="dxa"/>
            </w:tcMar>
            <w:hideMark/>
          </w:tcPr>
          <w:p w14:paraId="743289AB" w14:textId="347EED0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51D849F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719AC2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591827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0EB788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1701" w:type="dxa"/>
            <w:tcBorders>
              <w:right w:val="single" w:sz="12" w:space="0" w:color="auto"/>
            </w:tcBorders>
            <w:shd w:val="clear" w:color="auto" w:fill="auto"/>
            <w:tcMar>
              <w:left w:w="28" w:type="dxa"/>
              <w:right w:w="28" w:type="dxa"/>
            </w:tcMar>
            <w:hideMark/>
          </w:tcPr>
          <w:p w14:paraId="31EEBA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73" w:type="dxa"/>
            <w:tcBorders>
              <w:left w:val="single" w:sz="12" w:space="0" w:color="auto"/>
            </w:tcBorders>
            <w:shd w:val="clear" w:color="auto" w:fill="auto"/>
            <w:tcMar>
              <w:left w:w="28" w:type="dxa"/>
              <w:right w:w="28" w:type="dxa"/>
            </w:tcMar>
            <w:hideMark/>
          </w:tcPr>
          <w:p w14:paraId="2E85D4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46" w:type="dxa"/>
            <w:tcBorders>
              <w:right w:val="single" w:sz="12" w:space="0" w:color="auto"/>
            </w:tcBorders>
            <w:shd w:val="clear" w:color="auto" w:fill="auto"/>
            <w:tcMar>
              <w:left w:w="28" w:type="dxa"/>
              <w:right w:w="28" w:type="dxa"/>
            </w:tcMar>
            <w:hideMark/>
          </w:tcPr>
          <w:p w14:paraId="5F368B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10828</w:t>
            </w:r>
            <w:r w:rsidRPr="002D1DD7">
              <w:rPr>
                <w:rFonts w:eastAsia="Times New Roman" w:cs="Times New Roman"/>
                <w:color w:val="000000"/>
                <w:sz w:val="18"/>
                <w:szCs w:val="18"/>
                <w:vertAlign w:val="superscript"/>
                <w:lang w:eastAsia="zh-CN"/>
              </w:rPr>
              <w:t>†</w:t>
            </w:r>
          </w:p>
        </w:tc>
        <w:tc>
          <w:tcPr>
            <w:tcW w:w="1665" w:type="dxa"/>
            <w:tcBorders>
              <w:left w:val="single" w:sz="12" w:space="0" w:color="auto"/>
            </w:tcBorders>
            <w:shd w:val="clear" w:color="auto" w:fill="auto"/>
            <w:tcMar>
              <w:left w:w="28" w:type="dxa"/>
              <w:right w:w="28" w:type="dxa"/>
            </w:tcMar>
            <w:hideMark/>
          </w:tcPr>
          <w:p w14:paraId="4A86BC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12mo OS)</w:t>
            </w:r>
          </w:p>
        </w:tc>
        <w:tc>
          <w:tcPr>
            <w:tcW w:w="1843" w:type="dxa"/>
            <w:tcBorders>
              <w:right w:val="single" w:sz="12" w:space="0" w:color="auto"/>
            </w:tcBorders>
            <w:shd w:val="clear" w:color="auto" w:fill="auto"/>
            <w:tcMar>
              <w:left w:w="28" w:type="dxa"/>
              <w:right w:w="28" w:type="dxa"/>
            </w:tcMar>
            <w:hideMark/>
          </w:tcPr>
          <w:p w14:paraId="2DF3C1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r=0.08 (-0.17 to 0.70), p=NR</w:t>
            </w:r>
          </w:p>
        </w:tc>
        <w:tc>
          <w:tcPr>
            <w:tcW w:w="1147" w:type="dxa"/>
            <w:tcBorders>
              <w:left w:val="single" w:sz="12" w:space="0" w:color="auto"/>
            </w:tcBorders>
            <w:shd w:val="clear" w:color="auto" w:fill="auto"/>
            <w:tcMar>
              <w:left w:w="28" w:type="dxa"/>
              <w:right w:w="28" w:type="dxa"/>
            </w:tcMar>
            <w:hideMark/>
          </w:tcPr>
          <w:p w14:paraId="7B42D8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hideMark/>
          </w:tcPr>
          <w:p w14:paraId="4E7BAE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hideMark/>
          </w:tcPr>
          <w:p w14:paraId="79DFBE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EF3384C" w14:textId="77777777" w:rsidTr="003117A9">
        <w:trPr>
          <w:cantSplit/>
        </w:trPr>
        <w:tc>
          <w:tcPr>
            <w:tcW w:w="988" w:type="dxa"/>
            <w:tcBorders>
              <w:right w:val="single" w:sz="12" w:space="0" w:color="auto"/>
            </w:tcBorders>
            <w:shd w:val="clear" w:color="auto" w:fill="auto"/>
            <w:tcMar>
              <w:left w:w="28" w:type="dxa"/>
              <w:right w:w="28" w:type="dxa"/>
            </w:tcMar>
            <w:hideMark/>
          </w:tcPr>
          <w:p w14:paraId="5858A081" w14:textId="523A7BA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5B12669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6BF717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01592F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134" w:type="dxa"/>
            <w:tcBorders>
              <w:left w:val="single" w:sz="12" w:space="0" w:color="auto"/>
            </w:tcBorders>
            <w:shd w:val="clear" w:color="auto" w:fill="auto"/>
            <w:tcMar>
              <w:left w:w="28" w:type="dxa"/>
              <w:right w:w="28" w:type="dxa"/>
            </w:tcMar>
            <w:hideMark/>
          </w:tcPr>
          <w:p w14:paraId="557955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hideMark/>
          </w:tcPr>
          <w:p w14:paraId="2ADD5A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73" w:type="dxa"/>
            <w:tcBorders>
              <w:left w:val="single" w:sz="12" w:space="0" w:color="auto"/>
            </w:tcBorders>
            <w:shd w:val="clear" w:color="auto" w:fill="auto"/>
            <w:tcMar>
              <w:left w:w="28" w:type="dxa"/>
              <w:right w:w="28" w:type="dxa"/>
            </w:tcMar>
            <w:hideMark/>
          </w:tcPr>
          <w:p w14:paraId="08E06C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85</w:t>
            </w:r>
          </w:p>
        </w:tc>
        <w:tc>
          <w:tcPr>
            <w:tcW w:w="746" w:type="dxa"/>
            <w:tcBorders>
              <w:right w:val="single" w:sz="12" w:space="0" w:color="auto"/>
            </w:tcBorders>
            <w:shd w:val="clear" w:color="auto" w:fill="auto"/>
            <w:tcMar>
              <w:left w:w="28" w:type="dxa"/>
              <w:right w:w="28" w:type="dxa"/>
            </w:tcMar>
            <w:hideMark/>
          </w:tcPr>
          <w:p w14:paraId="24A635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3982*</w:t>
            </w:r>
          </w:p>
        </w:tc>
        <w:tc>
          <w:tcPr>
            <w:tcW w:w="1665" w:type="dxa"/>
            <w:tcBorders>
              <w:left w:val="single" w:sz="12" w:space="0" w:color="auto"/>
            </w:tcBorders>
            <w:shd w:val="clear" w:color="auto" w:fill="auto"/>
            <w:tcMar>
              <w:left w:w="28" w:type="dxa"/>
              <w:right w:w="28" w:type="dxa"/>
            </w:tcMar>
            <w:hideMark/>
          </w:tcPr>
          <w:p w14:paraId="1757F1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23E86C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268A25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1CD454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R2=0.35, p&lt;0.0001</w:t>
            </w:r>
          </w:p>
        </w:tc>
        <w:tc>
          <w:tcPr>
            <w:tcW w:w="1288" w:type="dxa"/>
            <w:shd w:val="clear" w:color="auto" w:fill="auto"/>
            <w:tcMar>
              <w:left w:w="28" w:type="dxa"/>
              <w:right w:w="28" w:type="dxa"/>
            </w:tcMar>
            <w:hideMark/>
          </w:tcPr>
          <w:p w14:paraId="18B33B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6983FBE" w14:textId="77777777" w:rsidTr="003117A9">
        <w:trPr>
          <w:cantSplit/>
        </w:trPr>
        <w:tc>
          <w:tcPr>
            <w:tcW w:w="988" w:type="dxa"/>
            <w:tcBorders>
              <w:right w:val="single" w:sz="12" w:space="0" w:color="auto"/>
            </w:tcBorders>
            <w:shd w:val="clear" w:color="auto" w:fill="auto"/>
            <w:tcMar>
              <w:left w:w="28" w:type="dxa"/>
              <w:right w:w="28" w:type="dxa"/>
            </w:tcMar>
            <w:hideMark/>
          </w:tcPr>
          <w:p w14:paraId="43C37F7F" w14:textId="3B2FE69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3DFEF45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right w:val="single" w:sz="12" w:space="0" w:color="auto"/>
            </w:tcBorders>
            <w:tcMar>
              <w:left w:w="28" w:type="dxa"/>
              <w:right w:w="28" w:type="dxa"/>
            </w:tcMar>
          </w:tcPr>
          <w:p w14:paraId="78F099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hideMark/>
          </w:tcPr>
          <w:p w14:paraId="413233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134" w:type="dxa"/>
            <w:tcBorders>
              <w:left w:val="single" w:sz="12" w:space="0" w:color="auto"/>
            </w:tcBorders>
            <w:shd w:val="clear" w:color="auto" w:fill="auto"/>
            <w:tcMar>
              <w:left w:w="28" w:type="dxa"/>
              <w:right w:w="28" w:type="dxa"/>
            </w:tcMar>
            <w:hideMark/>
          </w:tcPr>
          <w:p w14:paraId="3DEC17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hideMark/>
          </w:tcPr>
          <w:p w14:paraId="255010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left w:val="single" w:sz="12" w:space="0" w:color="auto"/>
            </w:tcBorders>
            <w:shd w:val="clear" w:color="auto" w:fill="auto"/>
            <w:tcMar>
              <w:left w:w="28" w:type="dxa"/>
              <w:right w:w="28" w:type="dxa"/>
            </w:tcMar>
            <w:hideMark/>
          </w:tcPr>
          <w:p w14:paraId="0B9F8D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58</w:t>
            </w:r>
          </w:p>
        </w:tc>
        <w:tc>
          <w:tcPr>
            <w:tcW w:w="746" w:type="dxa"/>
            <w:tcBorders>
              <w:right w:val="single" w:sz="12" w:space="0" w:color="auto"/>
            </w:tcBorders>
            <w:shd w:val="clear" w:color="auto" w:fill="auto"/>
            <w:tcMar>
              <w:left w:w="28" w:type="dxa"/>
              <w:right w:w="28" w:type="dxa"/>
            </w:tcMar>
            <w:hideMark/>
          </w:tcPr>
          <w:p w14:paraId="02F552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2992*</w:t>
            </w:r>
          </w:p>
        </w:tc>
        <w:tc>
          <w:tcPr>
            <w:tcW w:w="1665" w:type="dxa"/>
            <w:tcBorders>
              <w:left w:val="single" w:sz="12" w:space="0" w:color="auto"/>
            </w:tcBorders>
            <w:shd w:val="clear" w:color="auto" w:fill="auto"/>
            <w:tcMar>
              <w:left w:w="28" w:type="dxa"/>
              <w:right w:w="28" w:type="dxa"/>
            </w:tcMar>
            <w:hideMark/>
          </w:tcPr>
          <w:p w14:paraId="186D9E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hideMark/>
          </w:tcPr>
          <w:p w14:paraId="4060D1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hideMark/>
          </w:tcPr>
          <w:p w14:paraId="5D4FB8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shd w:val="clear" w:color="auto" w:fill="auto"/>
            <w:tcMar>
              <w:left w:w="28" w:type="dxa"/>
              <w:right w:w="28" w:type="dxa"/>
            </w:tcMar>
            <w:hideMark/>
          </w:tcPr>
          <w:p w14:paraId="566099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R2=0.45, p&lt;0.0001</w:t>
            </w:r>
          </w:p>
        </w:tc>
        <w:tc>
          <w:tcPr>
            <w:tcW w:w="1288" w:type="dxa"/>
            <w:shd w:val="clear" w:color="auto" w:fill="auto"/>
            <w:tcMar>
              <w:left w:w="28" w:type="dxa"/>
              <w:right w:w="28" w:type="dxa"/>
            </w:tcMar>
            <w:hideMark/>
          </w:tcPr>
          <w:p w14:paraId="52E357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4B52D08A"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49D24D04" w14:textId="4E5CFBE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Vidaurre 2009</w:t>
            </w:r>
            <w:r w:rsidRPr="002D1DD7">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PEVuZE5vdGU+PENpdGU+PEF1dGhvcj5WaWRhdXJyZTwvQXV0aG9yPjxZZWFyPjIwMDk8L1llYXI+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138</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23E168F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858" w:type="dxa"/>
            <w:tcBorders>
              <w:bottom w:val="single" w:sz="12" w:space="0" w:color="auto"/>
              <w:right w:val="single" w:sz="12" w:space="0" w:color="auto"/>
            </w:tcBorders>
            <w:tcMar>
              <w:left w:w="28" w:type="dxa"/>
              <w:right w:w="28" w:type="dxa"/>
            </w:tcMar>
          </w:tcPr>
          <w:p w14:paraId="1985D0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3DA0BF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134" w:type="dxa"/>
            <w:tcBorders>
              <w:left w:val="single" w:sz="12" w:space="0" w:color="auto"/>
              <w:bottom w:val="single" w:sz="12" w:space="0" w:color="auto"/>
            </w:tcBorders>
            <w:shd w:val="clear" w:color="auto" w:fill="auto"/>
            <w:tcMar>
              <w:left w:w="28" w:type="dxa"/>
              <w:right w:w="28" w:type="dxa"/>
            </w:tcMar>
            <w:hideMark/>
          </w:tcPr>
          <w:p w14:paraId="5AE228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bottom w:val="single" w:sz="12" w:space="0" w:color="auto"/>
              <w:right w:val="single" w:sz="12" w:space="0" w:color="auto"/>
            </w:tcBorders>
            <w:shd w:val="clear" w:color="auto" w:fill="auto"/>
            <w:tcMar>
              <w:left w:w="28" w:type="dxa"/>
              <w:right w:w="28" w:type="dxa"/>
            </w:tcMar>
            <w:hideMark/>
          </w:tcPr>
          <w:p w14:paraId="312AE0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573" w:type="dxa"/>
            <w:tcBorders>
              <w:left w:val="single" w:sz="12" w:space="0" w:color="auto"/>
              <w:bottom w:val="single" w:sz="12" w:space="0" w:color="auto"/>
            </w:tcBorders>
            <w:shd w:val="clear" w:color="auto" w:fill="auto"/>
            <w:tcMar>
              <w:left w:w="28" w:type="dxa"/>
              <w:right w:w="28" w:type="dxa"/>
            </w:tcMar>
            <w:hideMark/>
          </w:tcPr>
          <w:p w14:paraId="54FACA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143</w:t>
            </w:r>
            <w:r w:rsidRPr="002D1DD7">
              <w:rPr>
                <w:rFonts w:eastAsia="Times New Roman" w:cs="Times New Roman"/>
                <w:color w:val="000000"/>
                <w:sz w:val="18"/>
                <w:szCs w:val="18"/>
                <w:vertAlign w:val="superscript"/>
                <w:lang w:eastAsia="zh-CN"/>
              </w:rPr>
              <w:t>†</w:t>
            </w:r>
          </w:p>
        </w:tc>
        <w:tc>
          <w:tcPr>
            <w:tcW w:w="746" w:type="dxa"/>
            <w:tcBorders>
              <w:bottom w:val="single" w:sz="12" w:space="0" w:color="auto"/>
              <w:right w:val="single" w:sz="12" w:space="0" w:color="auto"/>
            </w:tcBorders>
            <w:shd w:val="clear" w:color="auto" w:fill="auto"/>
            <w:tcMar>
              <w:left w:w="28" w:type="dxa"/>
              <w:right w:w="28" w:type="dxa"/>
            </w:tcMar>
            <w:hideMark/>
          </w:tcPr>
          <w:p w14:paraId="343984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6794</w:t>
            </w:r>
            <w:r w:rsidRPr="002D1DD7">
              <w:rPr>
                <w:rFonts w:eastAsia="Times New Roman" w:cs="Times New Roman"/>
                <w:color w:val="000000"/>
                <w:sz w:val="18"/>
                <w:szCs w:val="18"/>
                <w:vertAlign w:val="superscript"/>
                <w:lang w:eastAsia="zh-CN"/>
              </w:rPr>
              <w:t>†</w:t>
            </w:r>
          </w:p>
        </w:tc>
        <w:tc>
          <w:tcPr>
            <w:tcW w:w="1665" w:type="dxa"/>
            <w:tcBorders>
              <w:left w:val="single" w:sz="12" w:space="0" w:color="auto"/>
              <w:bottom w:val="single" w:sz="12" w:space="0" w:color="auto"/>
            </w:tcBorders>
            <w:shd w:val="clear" w:color="auto" w:fill="auto"/>
            <w:tcMar>
              <w:left w:w="28" w:type="dxa"/>
              <w:right w:w="28" w:type="dxa"/>
            </w:tcMar>
            <w:hideMark/>
          </w:tcPr>
          <w:p w14:paraId="1DA77B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bottom w:val="single" w:sz="12" w:space="0" w:color="auto"/>
              <w:right w:val="single" w:sz="12" w:space="0" w:color="auto"/>
            </w:tcBorders>
            <w:shd w:val="clear" w:color="auto" w:fill="auto"/>
            <w:tcMar>
              <w:left w:w="28" w:type="dxa"/>
              <w:right w:w="28" w:type="dxa"/>
            </w:tcMar>
            <w:hideMark/>
          </w:tcPr>
          <w:p w14:paraId="3D4AA8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bottom w:val="single" w:sz="12" w:space="0" w:color="auto"/>
            </w:tcBorders>
            <w:shd w:val="clear" w:color="auto" w:fill="auto"/>
            <w:tcMar>
              <w:left w:w="28" w:type="dxa"/>
              <w:right w:w="28" w:type="dxa"/>
            </w:tcMar>
            <w:hideMark/>
          </w:tcPr>
          <w:p w14:paraId="742E98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Regression (NR)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med OS)</w:t>
            </w:r>
          </w:p>
        </w:tc>
        <w:tc>
          <w:tcPr>
            <w:tcW w:w="1316" w:type="dxa"/>
            <w:tcBorders>
              <w:bottom w:val="single" w:sz="12" w:space="0" w:color="auto"/>
            </w:tcBorders>
            <w:shd w:val="clear" w:color="auto" w:fill="auto"/>
            <w:tcMar>
              <w:left w:w="28" w:type="dxa"/>
              <w:right w:w="28" w:type="dxa"/>
            </w:tcMar>
            <w:hideMark/>
          </w:tcPr>
          <w:p w14:paraId="3A989A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R2=0.33, p&lt;0.0001</w:t>
            </w:r>
          </w:p>
        </w:tc>
        <w:tc>
          <w:tcPr>
            <w:tcW w:w="1288" w:type="dxa"/>
            <w:tcBorders>
              <w:bottom w:val="single" w:sz="12" w:space="0" w:color="auto"/>
            </w:tcBorders>
            <w:shd w:val="clear" w:color="auto" w:fill="auto"/>
            <w:tcMar>
              <w:left w:w="28" w:type="dxa"/>
              <w:right w:w="28" w:type="dxa"/>
            </w:tcMar>
            <w:hideMark/>
          </w:tcPr>
          <w:p w14:paraId="0B6561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AD3DC89" w14:textId="77777777" w:rsidTr="003117A9">
        <w:trPr>
          <w:cantSplit/>
        </w:trPr>
        <w:tc>
          <w:tcPr>
            <w:tcW w:w="14975" w:type="dxa"/>
            <w:gridSpan w:val="13"/>
            <w:tcBorders>
              <w:top w:val="single" w:sz="12" w:space="0" w:color="auto"/>
              <w:bottom w:val="single" w:sz="12" w:space="0" w:color="auto"/>
            </w:tcBorders>
            <w:shd w:val="clear" w:color="auto" w:fill="D9D9D9"/>
            <w:tcMar>
              <w:left w:w="28" w:type="dxa"/>
              <w:right w:w="28" w:type="dxa"/>
            </w:tcMar>
          </w:tcPr>
          <w:p w14:paraId="43172ADB"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t>CR vs. PFS</w:t>
            </w:r>
          </w:p>
        </w:tc>
      </w:tr>
      <w:tr w:rsidR="002E26FD" w:rsidRPr="002D1DD7" w14:paraId="567109CF"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tcPr>
          <w:p w14:paraId="5CC070D3" w14:textId="0D9CC68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5DB52E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right w:val="single" w:sz="12" w:space="0" w:color="auto"/>
            </w:tcBorders>
            <w:tcMar>
              <w:left w:w="28" w:type="dxa"/>
              <w:right w:w="28" w:type="dxa"/>
            </w:tcMar>
          </w:tcPr>
          <w:p w14:paraId="0ACAF0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tcPr>
          <w:p w14:paraId="268648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tcBorders>
            <w:shd w:val="clear" w:color="auto" w:fill="auto"/>
            <w:tcMar>
              <w:left w:w="28" w:type="dxa"/>
              <w:right w:w="28" w:type="dxa"/>
            </w:tcMar>
          </w:tcPr>
          <w:p w14:paraId="08A526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or extensive</w:t>
            </w:r>
          </w:p>
        </w:tc>
        <w:tc>
          <w:tcPr>
            <w:tcW w:w="1701" w:type="dxa"/>
            <w:tcBorders>
              <w:top w:val="single" w:sz="12" w:space="0" w:color="auto"/>
              <w:right w:val="single" w:sz="12" w:space="0" w:color="auto"/>
            </w:tcBorders>
            <w:shd w:val="clear" w:color="auto" w:fill="auto"/>
            <w:tcMar>
              <w:left w:w="28" w:type="dxa"/>
              <w:right w:w="28" w:type="dxa"/>
            </w:tcMar>
          </w:tcPr>
          <w:p w14:paraId="42CA0B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tcBorders>
            <w:shd w:val="clear" w:color="auto" w:fill="auto"/>
            <w:tcMar>
              <w:left w:w="28" w:type="dxa"/>
              <w:right w:w="28" w:type="dxa"/>
            </w:tcMar>
          </w:tcPr>
          <w:p w14:paraId="5C3467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12" w:space="0" w:color="auto"/>
              <w:right w:val="single" w:sz="12" w:space="0" w:color="auto"/>
            </w:tcBorders>
            <w:shd w:val="clear" w:color="auto" w:fill="auto"/>
            <w:tcMar>
              <w:left w:w="28" w:type="dxa"/>
              <w:right w:w="28" w:type="dxa"/>
            </w:tcMar>
          </w:tcPr>
          <w:p w14:paraId="6185E9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tcBorders>
            <w:shd w:val="clear" w:color="auto" w:fill="auto"/>
            <w:tcMar>
              <w:left w:w="28" w:type="dxa"/>
              <w:right w:w="28" w:type="dxa"/>
            </w:tcMar>
          </w:tcPr>
          <w:p w14:paraId="6950C5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PFS)</w:t>
            </w:r>
          </w:p>
        </w:tc>
        <w:tc>
          <w:tcPr>
            <w:tcW w:w="1843" w:type="dxa"/>
            <w:tcBorders>
              <w:top w:val="single" w:sz="12" w:space="0" w:color="auto"/>
              <w:right w:val="single" w:sz="12" w:space="0" w:color="auto"/>
            </w:tcBorders>
            <w:shd w:val="clear" w:color="auto" w:fill="auto"/>
            <w:tcMar>
              <w:left w:w="28" w:type="dxa"/>
              <w:right w:w="28" w:type="dxa"/>
            </w:tcMar>
          </w:tcPr>
          <w:p w14:paraId="5AB327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r=0.71, p&lt;0.0001</w:t>
            </w:r>
          </w:p>
        </w:tc>
        <w:tc>
          <w:tcPr>
            <w:tcW w:w="1147" w:type="dxa"/>
            <w:tcBorders>
              <w:top w:val="single" w:sz="12" w:space="0" w:color="auto"/>
              <w:left w:val="single" w:sz="12" w:space="0" w:color="auto"/>
            </w:tcBorders>
            <w:shd w:val="clear" w:color="auto" w:fill="auto"/>
            <w:tcMar>
              <w:left w:w="28" w:type="dxa"/>
              <w:right w:w="28" w:type="dxa"/>
            </w:tcMar>
          </w:tcPr>
          <w:p w14:paraId="25EF69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tcBorders>
            <w:shd w:val="clear" w:color="auto" w:fill="auto"/>
            <w:tcMar>
              <w:left w:w="28" w:type="dxa"/>
              <w:right w:w="28" w:type="dxa"/>
            </w:tcMar>
          </w:tcPr>
          <w:p w14:paraId="6CA303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tcBorders>
            <w:shd w:val="clear" w:color="auto" w:fill="auto"/>
            <w:tcMar>
              <w:left w:w="28" w:type="dxa"/>
              <w:right w:w="28" w:type="dxa"/>
            </w:tcMar>
          </w:tcPr>
          <w:p w14:paraId="44B7B3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2478259" w14:textId="77777777" w:rsidTr="003117A9">
        <w:trPr>
          <w:cantSplit/>
        </w:trPr>
        <w:tc>
          <w:tcPr>
            <w:tcW w:w="988" w:type="dxa"/>
            <w:tcBorders>
              <w:right w:val="single" w:sz="12" w:space="0" w:color="auto"/>
            </w:tcBorders>
            <w:shd w:val="clear" w:color="auto" w:fill="auto"/>
            <w:tcMar>
              <w:left w:w="28" w:type="dxa"/>
              <w:right w:w="28" w:type="dxa"/>
            </w:tcMar>
          </w:tcPr>
          <w:p w14:paraId="49922A42" w14:textId="1AA89B4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076BFA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right w:val="single" w:sz="12" w:space="0" w:color="auto"/>
            </w:tcBorders>
            <w:tcMar>
              <w:left w:w="28" w:type="dxa"/>
              <w:right w:w="28" w:type="dxa"/>
            </w:tcMar>
          </w:tcPr>
          <w:p w14:paraId="54788F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tcPr>
          <w:p w14:paraId="302BC0A0"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left w:val="single" w:sz="12" w:space="0" w:color="auto"/>
            </w:tcBorders>
            <w:shd w:val="clear" w:color="auto" w:fill="auto"/>
            <w:tcMar>
              <w:left w:w="28" w:type="dxa"/>
              <w:right w:w="28" w:type="dxa"/>
            </w:tcMar>
          </w:tcPr>
          <w:p w14:paraId="198994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disease</w:t>
            </w:r>
          </w:p>
        </w:tc>
        <w:tc>
          <w:tcPr>
            <w:tcW w:w="1701" w:type="dxa"/>
            <w:tcBorders>
              <w:right w:val="single" w:sz="12" w:space="0" w:color="auto"/>
            </w:tcBorders>
            <w:shd w:val="clear" w:color="auto" w:fill="auto"/>
            <w:tcMar>
              <w:left w:w="28" w:type="dxa"/>
              <w:right w:w="28" w:type="dxa"/>
            </w:tcMar>
          </w:tcPr>
          <w:p w14:paraId="4E125B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left w:val="single" w:sz="12" w:space="0" w:color="auto"/>
            </w:tcBorders>
            <w:shd w:val="clear" w:color="auto" w:fill="auto"/>
            <w:tcMar>
              <w:left w:w="28" w:type="dxa"/>
              <w:right w:w="28" w:type="dxa"/>
            </w:tcMar>
          </w:tcPr>
          <w:p w14:paraId="314CFA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right w:val="single" w:sz="12" w:space="0" w:color="auto"/>
            </w:tcBorders>
            <w:shd w:val="clear" w:color="auto" w:fill="auto"/>
            <w:tcMar>
              <w:left w:w="28" w:type="dxa"/>
              <w:right w:w="28" w:type="dxa"/>
            </w:tcMar>
          </w:tcPr>
          <w:p w14:paraId="712148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left w:val="single" w:sz="12" w:space="0" w:color="auto"/>
            </w:tcBorders>
            <w:shd w:val="clear" w:color="auto" w:fill="auto"/>
            <w:tcMar>
              <w:left w:w="28" w:type="dxa"/>
              <w:right w:w="28" w:type="dxa"/>
            </w:tcMar>
          </w:tcPr>
          <w:p w14:paraId="24F45F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PFS)</w:t>
            </w:r>
          </w:p>
        </w:tc>
        <w:tc>
          <w:tcPr>
            <w:tcW w:w="1843" w:type="dxa"/>
            <w:tcBorders>
              <w:right w:val="single" w:sz="12" w:space="0" w:color="auto"/>
            </w:tcBorders>
            <w:shd w:val="clear" w:color="auto" w:fill="auto"/>
            <w:tcMar>
              <w:left w:w="28" w:type="dxa"/>
              <w:right w:w="28" w:type="dxa"/>
            </w:tcMar>
          </w:tcPr>
          <w:p w14:paraId="4E1129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r=0.22, p=0.491</w:t>
            </w:r>
          </w:p>
        </w:tc>
        <w:tc>
          <w:tcPr>
            <w:tcW w:w="1147" w:type="dxa"/>
            <w:tcBorders>
              <w:left w:val="single" w:sz="12" w:space="0" w:color="auto"/>
            </w:tcBorders>
            <w:shd w:val="clear" w:color="auto" w:fill="auto"/>
            <w:tcMar>
              <w:left w:w="28" w:type="dxa"/>
              <w:right w:w="28" w:type="dxa"/>
            </w:tcMar>
          </w:tcPr>
          <w:p w14:paraId="03652C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tcPr>
          <w:p w14:paraId="5B5D17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tcPr>
          <w:p w14:paraId="1D6B23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4DBD87B"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tcPr>
          <w:p w14:paraId="7C6064FF" w14:textId="6F8B87D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190F94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bottom w:val="single" w:sz="12" w:space="0" w:color="auto"/>
              <w:right w:val="single" w:sz="12" w:space="0" w:color="auto"/>
            </w:tcBorders>
            <w:tcMar>
              <w:left w:w="28" w:type="dxa"/>
              <w:right w:w="28" w:type="dxa"/>
            </w:tcMar>
          </w:tcPr>
          <w:p w14:paraId="05C3DB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tcPr>
          <w:p w14:paraId="45B6F057"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left w:val="single" w:sz="12" w:space="0" w:color="auto"/>
              <w:bottom w:val="single" w:sz="12" w:space="0" w:color="auto"/>
            </w:tcBorders>
            <w:shd w:val="clear" w:color="auto" w:fill="auto"/>
            <w:tcMar>
              <w:left w:w="28" w:type="dxa"/>
              <w:right w:w="28" w:type="dxa"/>
            </w:tcMar>
          </w:tcPr>
          <w:p w14:paraId="162F0E0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Extensive disease</w:t>
            </w:r>
          </w:p>
        </w:tc>
        <w:tc>
          <w:tcPr>
            <w:tcW w:w="1701" w:type="dxa"/>
            <w:tcBorders>
              <w:bottom w:val="single" w:sz="12" w:space="0" w:color="auto"/>
              <w:right w:val="single" w:sz="12" w:space="0" w:color="auto"/>
            </w:tcBorders>
            <w:shd w:val="clear" w:color="auto" w:fill="auto"/>
            <w:tcMar>
              <w:left w:w="28" w:type="dxa"/>
              <w:right w:w="28" w:type="dxa"/>
            </w:tcMar>
          </w:tcPr>
          <w:p w14:paraId="263AD7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left w:val="single" w:sz="12" w:space="0" w:color="auto"/>
              <w:bottom w:val="single" w:sz="12" w:space="0" w:color="auto"/>
            </w:tcBorders>
            <w:shd w:val="clear" w:color="auto" w:fill="auto"/>
            <w:tcMar>
              <w:left w:w="28" w:type="dxa"/>
              <w:right w:w="28" w:type="dxa"/>
            </w:tcMar>
          </w:tcPr>
          <w:p w14:paraId="3A6633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bottom w:val="single" w:sz="12" w:space="0" w:color="auto"/>
              <w:right w:val="single" w:sz="12" w:space="0" w:color="auto"/>
            </w:tcBorders>
            <w:shd w:val="clear" w:color="auto" w:fill="auto"/>
            <w:tcMar>
              <w:left w:w="28" w:type="dxa"/>
              <w:right w:w="28" w:type="dxa"/>
            </w:tcMar>
          </w:tcPr>
          <w:p w14:paraId="7DC91E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left w:val="single" w:sz="12" w:space="0" w:color="auto"/>
              <w:bottom w:val="single" w:sz="12" w:space="0" w:color="auto"/>
            </w:tcBorders>
            <w:shd w:val="clear" w:color="auto" w:fill="auto"/>
            <w:tcMar>
              <w:left w:w="28" w:type="dxa"/>
              <w:right w:w="28" w:type="dxa"/>
            </w:tcMar>
          </w:tcPr>
          <w:p w14:paraId="27997A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PFS)</w:t>
            </w:r>
          </w:p>
        </w:tc>
        <w:tc>
          <w:tcPr>
            <w:tcW w:w="1843" w:type="dxa"/>
            <w:tcBorders>
              <w:bottom w:val="single" w:sz="12" w:space="0" w:color="auto"/>
              <w:right w:val="single" w:sz="12" w:space="0" w:color="auto"/>
            </w:tcBorders>
            <w:shd w:val="clear" w:color="auto" w:fill="auto"/>
            <w:tcMar>
              <w:left w:w="28" w:type="dxa"/>
              <w:right w:w="28" w:type="dxa"/>
            </w:tcMar>
          </w:tcPr>
          <w:p w14:paraId="45F1DC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r=0.35, p=0.116</w:t>
            </w:r>
          </w:p>
        </w:tc>
        <w:tc>
          <w:tcPr>
            <w:tcW w:w="1147" w:type="dxa"/>
            <w:tcBorders>
              <w:left w:val="single" w:sz="12" w:space="0" w:color="auto"/>
              <w:bottom w:val="single" w:sz="12" w:space="0" w:color="auto"/>
            </w:tcBorders>
            <w:shd w:val="clear" w:color="auto" w:fill="auto"/>
            <w:tcMar>
              <w:left w:w="28" w:type="dxa"/>
              <w:right w:w="28" w:type="dxa"/>
            </w:tcMar>
          </w:tcPr>
          <w:p w14:paraId="6A9F63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bottom w:val="single" w:sz="12" w:space="0" w:color="auto"/>
            </w:tcBorders>
            <w:shd w:val="clear" w:color="auto" w:fill="auto"/>
            <w:tcMar>
              <w:left w:w="28" w:type="dxa"/>
              <w:right w:w="28" w:type="dxa"/>
            </w:tcMar>
          </w:tcPr>
          <w:p w14:paraId="7FAABB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bottom w:val="single" w:sz="12" w:space="0" w:color="auto"/>
            </w:tcBorders>
            <w:shd w:val="clear" w:color="auto" w:fill="auto"/>
            <w:tcMar>
              <w:left w:w="28" w:type="dxa"/>
              <w:right w:w="28" w:type="dxa"/>
            </w:tcMar>
          </w:tcPr>
          <w:p w14:paraId="53DBDD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409251C"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710CB50E" w14:textId="0EBA98D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Mangal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115</w:t>
            </w:r>
            <w:r w:rsidRPr="002D1DD7">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t xml:space="preserve"> (myeloma)</w:t>
            </w:r>
          </w:p>
        </w:tc>
        <w:tc>
          <w:tcPr>
            <w:tcW w:w="858" w:type="dxa"/>
            <w:tcBorders>
              <w:top w:val="single" w:sz="12" w:space="0" w:color="auto"/>
              <w:left w:val="single" w:sz="12" w:space="0" w:color="auto"/>
              <w:bottom w:val="single" w:sz="12" w:space="0" w:color="auto"/>
            </w:tcBorders>
            <w:tcMar>
              <w:left w:w="28" w:type="dxa"/>
              <w:right w:w="28" w:type="dxa"/>
            </w:tcMar>
          </w:tcPr>
          <w:p w14:paraId="0F8ADA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bottom w:val="single" w:sz="12" w:space="0" w:color="auto"/>
              <w:right w:val="single" w:sz="12" w:space="0" w:color="auto"/>
            </w:tcBorders>
            <w:tcMar>
              <w:left w:w="28" w:type="dxa"/>
              <w:right w:w="28" w:type="dxa"/>
            </w:tcMar>
          </w:tcPr>
          <w:p w14:paraId="5CDF5A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7FAE9F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Multiple myeloma </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691918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tcPr>
          <w:p w14:paraId="02CEEC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tcPr>
          <w:p w14:paraId="575994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79</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tcPr>
          <w:p w14:paraId="22B3A5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13322</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tcPr>
          <w:p w14:paraId="60F2B8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tcPr>
          <w:p w14:paraId="5AAFAD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tcPr>
          <w:p w14:paraId="20B166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adj R2 (logit CR vs. log med PFS)</w:t>
            </w:r>
          </w:p>
        </w:tc>
        <w:tc>
          <w:tcPr>
            <w:tcW w:w="1316" w:type="dxa"/>
            <w:tcBorders>
              <w:top w:val="single" w:sz="12" w:space="0" w:color="auto"/>
              <w:bottom w:val="single" w:sz="12" w:space="0" w:color="auto"/>
            </w:tcBorders>
            <w:shd w:val="clear" w:color="auto" w:fill="auto"/>
            <w:tcMar>
              <w:left w:w="28" w:type="dxa"/>
              <w:right w:w="28" w:type="dxa"/>
            </w:tcMar>
          </w:tcPr>
          <w:p w14:paraId="50C91A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R2=0.47, p=NR</w:t>
            </w:r>
          </w:p>
        </w:tc>
        <w:tc>
          <w:tcPr>
            <w:tcW w:w="1288" w:type="dxa"/>
            <w:tcBorders>
              <w:top w:val="single" w:sz="12" w:space="0" w:color="auto"/>
              <w:bottom w:val="single" w:sz="12" w:space="0" w:color="auto"/>
            </w:tcBorders>
            <w:shd w:val="clear" w:color="auto" w:fill="auto"/>
            <w:tcMar>
              <w:left w:w="28" w:type="dxa"/>
              <w:right w:w="28" w:type="dxa"/>
            </w:tcMar>
          </w:tcPr>
          <w:p w14:paraId="4DF967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D91A75B"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tcPr>
          <w:p w14:paraId="1DE1A806" w14:textId="6454B5F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Mangal 2018</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&lt;EndNote&gt;&lt;Cite&gt;&lt;Author&gt;Mangal&lt;/Author&gt;&lt;Year&gt;2018&lt;/Year&gt;&lt;RecNum&gt;1921&lt;/RecNum&gt;&lt;IDText&gt;$$include full text PT&lt;/IDText&gt;&lt;DisplayText&gt;&lt;style face="superscript"&gt;114&lt;/style&gt;&lt;/DisplayText&gt;&lt;record&gt;&lt;rec-number&gt;1921&lt;/rec-number&gt;&lt;foreign-keys&gt;&lt;key app="EN" db-id="dwaevxvazfs2f3ewvzmxrd0k0wasw55p2z2w" timestamp="1557310877"&gt;1921&lt;/key&gt;&lt;/foreign-keys&gt;&lt;ref-type name="Journal Article"&gt;17&lt;/ref-type&gt;&lt;contributors&gt;&lt;authors&gt;&lt;author&gt;Mangal, N.&lt;/author&gt;&lt;author&gt;Salem, A. H.&lt;/author&gt;&lt;author&gt;Li, M. Y.&lt;/author&gt;&lt;author&gt;Menon, R.&lt;/author&gt;&lt;author&gt;Freise, K. J.&lt;/author&gt;&lt;/authors&gt;&lt;/contributors&gt;&lt;titles&gt;&lt;title&gt;Relationship between response rates and median progression-free survival in non-Hodgkin&amp;apos;s lymphoma: A meta-analysis of published clinical trials&lt;/title&gt;&lt;secondary-title&gt;Hematological Oncology&lt;/secondary-title&gt;&lt;/titles&gt;&lt;periodical&gt;&lt;full-title&gt;Hematological Oncology&lt;/full-title&gt;&lt;abbr-1&gt;Hematol Oncol&lt;/abbr-1&gt;&lt;/periodical&gt;&lt;pages&gt;37-43&lt;/pages&gt;&lt;volume&gt;36&lt;/volume&gt;&lt;number&gt;1&lt;/number&gt;&lt;keywords&gt;&lt;keyword&gt;$$include abstract PT&lt;/keyword&gt;&lt;keyword&gt;$$Broad search $$Citation search&lt;/keyword&gt;&lt;/keywords&gt;&lt;dates&gt;&lt;year&gt;2018&lt;/year&gt;&lt;pub-dates&gt;&lt;date&gt;Feb&lt;/date&gt;&lt;/pub-dates&gt;&lt;/dates&gt;&lt;isbn&gt;0278-0232&lt;/isbn&gt;&lt;accession-num&gt;WOS:000425633300005&lt;/accession-num&gt;&lt;label&gt;$$include full text PT&lt;/label&gt;&lt;urls&gt;&lt;/urls&gt;&lt;electronic-resource-num&gt;10.1002/hon.2463&lt;/electronic-resource-num&gt;&lt;research-notes&gt;&lt;style face="underline" font="default" size="100%"&gt;&amp;lt;Go to ISI&amp;gt;://WOS:000425633300005&lt;/style&gt;&lt;/research-notes&gt;&lt;/record&gt;&lt;/Cite&gt;&lt;/EndNote&gt;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114</w:t>
            </w:r>
            <w:r w:rsidRPr="002D1DD7">
              <w:rPr>
                <w:rFonts w:eastAsia="Times New Roman" w:cs="Times New Roman"/>
                <w:sz w:val="18"/>
                <w:szCs w:val="18"/>
                <w:lang w:eastAsia="zh-CN"/>
              </w:rPr>
              <w:fldChar w:fldCharType="end"/>
            </w:r>
            <w:r w:rsidRPr="002D1DD7">
              <w:rPr>
                <w:rFonts w:eastAsia="Times New Roman" w:cs="Times New Roman"/>
                <w:color w:val="000000"/>
                <w:sz w:val="18"/>
                <w:szCs w:val="18"/>
                <w:lang w:eastAsia="zh-CN"/>
              </w:rPr>
              <w:t xml:space="preserve"> (NHL)</w:t>
            </w:r>
          </w:p>
        </w:tc>
        <w:tc>
          <w:tcPr>
            <w:tcW w:w="858" w:type="dxa"/>
            <w:tcBorders>
              <w:top w:val="single" w:sz="12" w:space="0" w:color="auto"/>
              <w:left w:val="single" w:sz="12" w:space="0" w:color="auto"/>
            </w:tcBorders>
            <w:tcMar>
              <w:left w:w="28" w:type="dxa"/>
              <w:right w:w="28" w:type="dxa"/>
            </w:tcMar>
          </w:tcPr>
          <w:p w14:paraId="74F7A3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right w:val="single" w:sz="12" w:space="0" w:color="auto"/>
            </w:tcBorders>
            <w:tcMar>
              <w:left w:w="28" w:type="dxa"/>
              <w:right w:w="28" w:type="dxa"/>
            </w:tcMar>
          </w:tcPr>
          <w:p w14:paraId="5B4C38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tcPr>
          <w:p w14:paraId="161A42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w:t>
            </w:r>
          </w:p>
        </w:tc>
        <w:tc>
          <w:tcPr>
            <w:tcW w:w="1134" w:type="dxa"/>
            <w:tcBorders>
              <w:top w:val="single" w:sz="12" w:space="0" w:color="auto"/>
              <w:left w:val="single" w:sz="12" w:space="0" w:color="auto"/>
            </w:tcBorders>
            <w:shd w:val="clear" w:color="auto" w:fill="auto"/>
            <w:tcMar>
              <w:left w:w="28" w:type="dxa"/>
              <w:right w:w="28" w:type="dxa"/>
            </w:tcMar>
          </w:tcPr>
          <w:p w14:paraId="0886C9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1701" w:type="dxa"/>
            <w:tcBorders>
              <w:top w:val="single" w:sz="12" w:space="0" w:color="auto"/>
              <w:right w:val="single" w:sz="12" w:space="0" w:color="auto"/>
            </w:tcBorders>
            <w:shd w:val="clear" w:color="auto" w:fill="auto"/>
            <w:tcMar>
              <w:left w:w="28" w:type="dxa"/>
              <w:right w:w="28" w:type="dxa"/>
            </w:tcMar>
          </w:tcPr>
          <w:p w14:paraId="35DFC0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tcBorders>
            <w:shd w:val="clear" w:color="auto" w:fill="auto"/>
            <w:tcMar>
              <w:left w:w="28" w:type="dxa"/>
              <w:right w:w="28" w:type="dxa"/>
            </w:tcMar>
          </w:tcPr>
          <w:p w14:paraId="63E6C9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73</w:t>
            </w:r>
          </w:p>
        </w:tc>
        <w:tc>
          <w:tcPr>
            <w:tcW w:w="746" w:type="dxa"/>
            <w:tcBorders>
              <w:top w:val="single" w:sz="12" w:space="0" w:color="auto"/>
              <w:right w:val="single" w:sz="12" w:space="0" w:color="auto"/>
            </w:tcBorders>
            <w:shd w:val="clear" w:color="auto" w:fill="auto"/>
            <w:tcMar>
              <w:left w:w="28" w:type="dxa"/>
              <w:right w:w="28" w:type="dxa"/>
            </w:tcMar>
          </w:tcPr>
          <w:p w14:paraId="27BDD5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6071</w:t>
            </w:r>
          </w:p>
        </w:tc>
        <w:tc>
          <w:tcPr>
            <w:tcW w:w="1665" w:type="dxa"/>
            <w:tcBorders>
              <w:top w:val="single" w:sz="12" w:space="0" w:color="auto"/>
              <w:left w:val="single" w:sz="12" w:space="0" w:color="auto"/>
            </w:tcBorders>
            <w:shd w:val="clear" w:color="auto" w:fill="auto"/>
            <w:tcMar>
              <w:left w:w="28" w:type="dxa"/>
              <w:right w:w="28" w:type="dxa"/>
            </w:tcMar>
          </w:tcPr>
          <w:p w14:paraId="38BAD8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right w:val="single" w:sz="12" w:space="0" w:color="auto"/>
            </w:tcBorders>
            <w:shd w:val="clear" w:color="auto" w:fill="auto"/>
            <w:tcMar>
              <w:left w:w="28" w:type="dxa"/>
              <w:right w:w="28" w:type="dxa"/>
            </w:tcMar>
          </w:tcPr>
          <w:p w14:paraId="730485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tcBorders>
            <w:shd w:val="clear" w:color="auto" w:fill="auto"/>
            <w:tcMar>
              <w:left w:w="28" w:type="dxa"/>
              <w:right w:w="28" w:type="dxa"/>
            </w:tcMar>
          </w:tcPr>
          <w:p w14:paraId="0F8EC8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adj R2 (logit CR vs. log med PFS)</w:t>
            </w:r>
          </w:p>
        </w:tc>
        <w:tc>
          <w:tcPr>
            <w:tcW w:w="1316" w:type="dxa"/>
            <w:tcBorders>
              <w:top w:val="single" w:sz="12" w:space="0" w:color="auto"/>
            </w:tcBorders>
            <w:shd w:val="clear" w:color="auto" w:fill="auto"/>
            <w:tcMar>
              <w:left w:w="28" w:type="dxa"/>
              <w:right w:w="28" w:type="dxa"/>
            </w:tcMar>
          </w:tcPr>
          <w:p w14:paraId="739E1A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R2=0.57, p=NR</w:t>
            </w:r>
          </w:p>
        </w:tc>
        <w:tc>
          <w:tcPr>
            <w:tcW w:w="1288" w:type="dxa"/>
            <w:tcBorders>
              <w:top w:val="single" w:sz="12" w:space="0" w:color="auto"/>
            </w:tcBorders>
            <w:shd w:val="clear" w:color="auto" w:fill="auto"/>
            <w:tcMar>
              <w:left w:w="28" w:type="dxa"/>
              <w:right w:w="28" w:type="dxa"/>
            </w:tcMar>
          </w:tcPr>
          <w:p w14:paraId="137AEA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log (med PFS) = 2.38 + 0.340 * logit (CR)</w:t>
            </w:r>
          </w:p>
        </w:tc>
      </w:tr>
      <w:tr w:rsidR="002E26FD" w:rsidRPr="002D1DD7" w14:paraId="6E2106C7" w14:textId="77777777" w:rsidTr="003117A9">
        <w:trPr>
          <w:cantSplit/>
        </w:trPr>
        <w:tc>
          <w:tcPr>
            <w:tcW w:w="988" w:type="dxa"/>
            <w:tcBorders>
              <w:right w:val="single" w:sz="12" w:space="0" w:color="auto"/>
            </w:tcBorders>
            <w:shd w:val="clear" w:color="auto" w:fill="auto"/>
            <w:tcMar>
              <w:left w:w="28" w:type="dxa"/>
              <w:right w:w="28" w:type="dxa"/>
            </w:tcMar>
          </w:tcPr>
          <w:p w14:paraId="07CE444D" w14:textId="5B7231A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Zhu 2017</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141</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0F1EE3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right w:val="single" w:sz="12" w:space="0" w:color="auto"/>
            </w:tcBorders>
            <w:tcMar>
              <w:left w:w="28" w:type="dxa"/>
              <w:right w:w="28" w:type="dxa"/>
            </w:tcMar>
          </w:tcPr>
          <w:p w14:paraId="2F0532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right w:val="single" w:sz="12" w:space="0" w:color="auto"/>
            </w:tcBorders>
            <w:shd w:val="clear" w:color="auto" w:fill="auto"/>
            <w:tcMar>
              <w:left w:w="28" w:type="dxa"/>
              <w:right w:w="28" w:type="dxa"/>
            </w:tcMar>
          </w:tcPr>
          <w:p w14:paraId="757943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4827E4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right w:val="single" w:sz="12" w:space="0" w:color="auto"/>
            </w:tcBorders>
            <w:shd w:val="clear" w:color="auto" w:fill="auto"/>
            <w:tcMar>
              <w:left w:w="28" w:type="dxa"/>
              <w:right w:w="28" w:type="dxa"/>
            </w:tcMar>
          </w:tcPr>
          <w:p w14:paraId="3D7E89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573" w:type="dxa"/>
            <w:tcBorders>
              <w:left w:val="single" w:sz="12" w:space="0" w:color="auto"/>
            </w:tcBorders>
            <w:shd w:val="clear" w:color="auto" w:fill="auto"/>
            <w:tcMar>
              <w:left w:w="28" w:type="dxa"/>
              <w:right w:w="28" w:type="dxa"/>
            </w:tcMar>
          </w:tcPr>
          <w:p w14:paraId="3A62CE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46" w:type="dxa"/>
            <w:tcBorders>
              <w:right w:val="single" w:sz="12" w:space="0" w:color="auto"/>
            </w:tcBorders>
            <w:shd w:val="clear" w:color="auto" w:fill="auto"/>
            <w:tcMar>
              <w:left w:w="28" w:type="dxa"/>
              <w:right w:w="28" w:type="dxa"/>
            </w:tcMar>
          </w:tcPr>
          <w:p w14:paraId="7B87EF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tcBorders>
            <w:shd w:val="clear" w:color="auto" w:fill="auto"/>
            <w:tcMar>
              <w:left w:w="28" w:type="dxa"/>
              <w:right w:w="28" w:type="dxa"/>
            </w:tcMar>
          </w:tcPr>
          <w:p w14:paraId="28F97B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right w:val="single" w:sz="12" w:space="0" w:color="auto"/>
            </w:tcBorders>
            <w:shd w:val="clear" w:color="auto" w:fill="auto"/>
            <w:tcMar>
              <w:left w:w="28" w:type="dxa"/>
              <w:right w:w="28" w:type="dxa"/>
            </w:tcMar>
          </w:tcPr>
          <w:p w14:paraId="05FBE3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tcBorders>
            <w:shd w:val="clear" w:color="auto" w:fill="auto"/>
            <w:tcMar>
              <w:left w:w="28" w:type="dxa"/>
              <w:right w:w="28" w:type="dxa"/>
            </w:tcMar>
          </w:tcPr>
          <w:p w14:paraId="2B5D58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a) CR vs. med PFS</w:t>
            </w:r>
            <w:r w:rsidRPr="002D1DD7">
              <w:rPr>
                <w:rFonts w:eastAsia="Times New Roman" w:cs="Times New Roman"/>
                <w:color w:val="000000"/>
                <w:sz w:val="18"/>
                <w:szCs w:val="18"/>
                <w:lang w:eastAsia="zh-CN"/>
              </w:rPr>
              <w:br/>
              <w:t>b) CR vs. 3-year PFS</w:t>
            </w:r>
          </w:p>
        </w:tc>
        <w:tc>
          <w:tcPr>
            <w:tcW w:w="1316" w:type="dxa"/>
            <w:shd w:val="clear" w:color="auto" w:fill="auto"/>
            <w:tcMar>
              <w:left w:w="28" w:type="dxa"/>
              <w:right w:w="28" w:type="dxa"/>
            </w:tcMar>
          </w:tcPr>
          <w:p w14:paraId="37171E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R2=0.69 (0.22 to 0.89), p=NR</w:t>
            </w:r>
            <w:r w:rsidRPr="002D1DD7">
              <w:rPr>
                <w:rFonts w:eastAsia="Times New Roman" w:cs="Times New Roman"/>
                <w:color w:val="000000"/>
                <w:sz w:val="18"/>
                <w:szCs w:val="18"/>
                <w:lang w:eastAsia="zh-CN"/>
              </w:rPr>
              <w:br/>
            </w:r>
            <w:r w:rsidRPr="002D1DD7">
              <w:rPr>
                <w:rFonts w:eastAsia="Times New Roman" w:cs="Times New Roman"/>
                <w:color w:val="000000"/>
                <w:sz w:val="18"/>
                <w:szCs w:val="18"/>
                <w:lang w:eastAsia="zh-CN"/>
              </w:rPr>
              <w:br/>
              <w:t>b) R2=0.44, p=NR</w:t>
            </w:r>
          </w:p>
        </w:tc>
        <w:tc>
          <w:tcPr>
            <w:tcW w:w="1288" w:type="dxa"/>
            <w:shd w:val="clear" w:color="auto" w:fill="auto"/>
            <w:tcMar>
              <w:left w:w="28" w:type="dxa"/>
              <w:right w:w="28" w:type="dxa"/>
            </w:tcMar>
          </w:tcPr>
          <w:p w14:paraId="0D075A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 PFS = 0.83 + 0.46 * CR</w:t>
            </w:r>
          </w:p>
        </w:tc>
      </w:tr>
      <w:tr w:rsidR="002E26FD" w:rsidRPr="002D1DD7" w14:paraId="3ACC8626"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tcPr>
          <w:p w14:paraId="040DFE54" w14:textId="0DA5A0E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Zhu 2017</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&lt;EndNote&gt;&lt;Cite&gt;&lt;Author&gt;Zhu&lt;/Author&gt;&lt;Year&gt;2017&lt;/Year&gt;&lt;RecNum&gt;3368&lt;/RecNum&gt;&lt;IDText&gt;$$include full text PT&lt;/IDText&gt;&lt;DisplayText&gt;&lt;style face="superscript"&gt;141&lt;/style&gt;&lt;/DisplayText&gt;&lt;record&gt;&lt;rec-number&gt;3368&lt;/rec-number&gt;&lt;foreign-keys&gt;&lt;key app="EN" db-id="dwaevxvazfs2f3ewvzmxrd0k0wasw55p2z2w" timestamp="1557311162"&gt;3368&lt;/key&gt;&lt;/foreign-keys&gt;&lt;ref-type name="Journal Article"&gt;17&lt;/ref-type&gt;&lt;contributors&gt;&lt;authors&gt;&lt;author&gt;Zhu, R.&lt;/author&gt;&lt;author&gt;Lu, D.&lt;/author&gt;&lt;author&gt;Chu, Y. W.&lt;/author&gt;&lt;author&gt;Chai, A.&lt;/author&gt;&lt;author&gt;Green, M.&lt;/author&gt;&lt;author&gt;Zhang, N.&lt;/author&gt;&lt;author&gt;Jin, J. Y.&lt;/author&gt;&lt;/authors&gt;&lt;/contributors&gt;&lt;titles&gt;&lt;title&gt;Assessment of correlation between early and late efficacy endpoints to identify potential surrogacy relationships in non-hodgkin lymphoma: A literature-based meta-analysis of 108 Phase II and Phase III studies&lt;/title&gt;&lt;secondary-title&gt;AAPS Journal&lt;/secondary-title&gt;&lt;short-title&gt;Assessment of Correlation Between Early and Late Efficacy Endpoints to Identify Potential Surrogacy Relationships in Non-Hodgkin Lymphoma: a Literature-Based Meta-analysis of 108 Phase II and Phase III Studies&lt;/short-title&gt;&lt;/titles&gt;&lt;periodical&gt;&lt;full-title&gt;Aaps Journal&lt;/full-title&gt;&lt;/periodical&gt;&lt;pages&gt;669-681&lt;/pages&gt;&lt;volume&gt;19&lt;/volume&gt;&lt;number&gt;3&lt;/number&gt;&lt;keywords&gt;&lt;keyword&gt;$$include abstract PT&lt;/keyword&gt;&lt;keyword&gt;$$Citation search&lt;/keyword&gt;&lt;/keywords&gt;&lt;dates&gt;&lt;year&gt;2017&lt;/year&gt;&lt;pub-dates&gt;&lt;date&gt;May&lt;/date&gt;&lt;/pub-dates&gt;&lt;/dates&gt;&lt;isbn&gt;1550-7416&lt;/isbn&gt;&lt;accession-num&gt;WOS:000400565300008&lt;/accession-num&gt;&lt;label&gt;$$include full text PT&lt;/label&gt;&lt;urls&gt;&lt;/urls&gt;&lt;electronic-resource-num&gt;10.1208/s12248-017-0056-x&lt;/electronic-resource-num&gt;&lt;research-notes&gt;&lt;style face="underline" font="default" size="100%"&gt;&amp;lt;Go to ISI&amp;gt;://WOS:000400565300008&lt;/style&gt;&lt;/research-notes&gt;&lt;/record&gt;&lt;/Cite&gt;&lt;/EndNote&gt;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141</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27E27D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bottom w:val="single" w:sz="12" w:space="0" w:color="auto"/>
              <w:right w:val="single" w:sz="12" w:space="0" w:color="auto"/>
            </w:tcBorders>
            <w:tcMar>
              <w:left w:w="28" w:type="dxa"/>
              <w:right w:w="28" w:type="dxa"/>
            </w:tcMar>
          </w:tcPr>
          <w:p w14:paraId="36FD74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tcPr>
          <w:p w14:paraId="346B33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(mantle cell)</w:t>
            </w:r>
          </w:p>
        </w:tc>
        <w:tc>
          <w:tcPr>
            <w:tcW w:w="1134" w:type="dxa"/>
            <w:tcBorders>
              <w:left w:val="single" w:sz="12" w:space="0" w:color="auto"/>
              <w:bottom w:val="single" w:sz="12" w:space="0" w:color="auto"/>
            </w:tcBorders>
            <w:shd w:val="clear" w:color="auto" w:fill="auto"/>
            <w:tcMar>
              <w:left w:w="28" w:type="dxa"/>
              <w:right w:w="28" w:type="dxa"/>
            </w:tcMar>
          </w:tcPr>
          <w:p w14:paraId="0FB60A1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701" w:type="dxa"/>
            <w:tcBorders>
              <w:bottom w:val="single" w:sz="12" w:space="0" w:color="auto"/>
              <w:right w:val="single" w:sz="12" w:space="0" w:color="auto"/>
            </w:tcBorders>
            <w:shd w:val="clear" w:color="auto" w:fill="auto"/>
            <w:tcMar>
              <w:left w:w="28" w:type="dxa"/>
              <w:right w:w="28" w:type="dxa"/>
            </w:tcMar>
          </w:tcPr>
          <w:p w14:paraId="55ADC9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573" w:type="dxa"/>
            <w:tcBorders>
              <w:left w:val="single" w:sz="12" w:space="0" w:color="auto"/>
              <w:bottom w:val="single" w:sz="12" w:space="0" w:color="auto"/>
            </w:tcBorders>
            <w:shd w:val="clear" w:color="auto" w:fill="auto"/>
            <w:tcMar>
              <w:left w:w="28" w:type="dxa"/>
              <w:right w:w="28" w:type="dxa"/>
            </w:tcMar>
          </w:tcPr>
          <w:p w14:paraId="070605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46" w:type="dxa"/>
            <w:tcBorders>
              <w:bottom w:val="single" w:sz="12" w:space="0" w:color="auto"/>
              <w:right w:val="single" w:sz="12" w:space="0" w:color="auto"/>
            </w:tcBorders>
            <w:shd w:val="clear" w:color="auto" w:fill="auto"/>
            <w:tcMar>
              <w:left w:w="28" w:type="dxa"/>
              <w:right w:w="28" w:type="dxa"/>
            </w:tcMar>
          </w:tcPr>
          <w:p w14:paraId="0D2052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left w:val="single" w:sz="12" w:space="0" w:color="auto"/>
              <w:bottom w:val="single" w:sz="12" w:space="0" w:color="auto"/>
            </w:tcBorders>
            <w:shd w:val="clear" w:color="auto" w:fill="auto"/>
            <w:tcMar>
              <w:left w:w="28" w:type="dxa"/>
              <w:right w:w="28" w:type="dxa"/>
            </w:tcMar>
          </w:tcPr>
          <w:p w14:paraId="2C048E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bottom w:val="single" w:sz="12" w:space="0" w:color="auto"/>
              <w:right w:val="single" w:sz="12" w:space="0" w:color="auto"/>
            </w:tcBorders>
            <w:shd w:val="clear" w:color="auto" w:fill="auto"/>
            <w:tcMar>
              <w:left w:w="28" w:type="dxa"/>
              <w:right w:w="28" w:type="dxa"/>
            </w:tcMar>
          </w:tcPr>
          <w:p w14:paraId="45C89C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left w:val="single" w:sz="12" w:space="0" w:color="auto"/>
              <w:bottom w:val="single" w:sz="12" w:space="0" w:color="auto"/>
            </w:tcBorders>
            <w:shd w:val="clear" w:color="auto" w:fill="auto"/>
            <w:tcMar>
              <w:left w:w="28" w:type="dxa"/>
              <w:right w:w="28" w:type="dxa"/>
            </w:tcMar>
          </w:tcPr>
          <w:p w14:paraId="3C288F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(CR vs. med PFS)</w:t>
            </w:r>
          </w:p>
        </w:tc>
        <w:tc>
          <w:tcPr>
            <w:tcW w:w="1316" w:type="dxa"/>
            <w:tcBorders>
              <w:bottom w:val="single" w:sz="12" w:space="0" w:color="auto"/>
            </w:tcBorders>
            <w:shd w:val="clear" w:color="auto" w:fill="auto"/>
            <w:tcMar>
              <w:left w:w="28" w:type="dxa"/>
              <w:right w:w="28" w:type="dxa"/>
            </w:tcMar>
          </w:tcPr>
          <w:p w14:paraId="7B1D9E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R2=0.39, p=NR</w:t>
            </w:r>
          </w:p>
        </w:tc>
        <w:tc>
          <w:tcPr>
            <w:tcW w:w="1288" w:type="dxa"/>
            <w:tcBorders>
              <w:bottom w:val="single" w:sz="12" w:space="0" w:color="auto"/>
            </w:tcBorders>
            <w:shd w:val="clear" w:color="auto" w:fill="auto"/>
            <w:tcMar>
              <w:left w:w="28" w:type="dxa"/>
              <w:right w:w="28" w:type="dxa"/>
            </w:tcMar>
          </w:tcPr>
          <w:p w14:paraId="3A571B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247004C" w14:textId="77777777" w:rsidTr="003117A9">
        <w:trPr>
          <w:cantSplit/>
        </w:trPr>
        <w:tc>
          <w:tcPr>
            <w:tcW w:w="14975" w:type="dxa"/>
            <w:gridSpan w:val="13"/>
            <w:tcBorders>
              <w:top w:val="single" w:sz="12" w:space="0" w:color="auto"/>
              <w:bottom w:val="single" w:sz="12" w:space="0" w:color="auto"/>
            </w:tcBorders>
            <w:shd w:val="clear" w:color="auto" w:fill="D9D9D9"/>
            <w:tcMar>
              <w:left w:w="28" w:type="dxa"/>
              <w:right w:w="28" w:type="dxa"/>
            </w:tcMar>
          </w:tcPr>
          <w:p w14:paraId="53432749"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t>CR vs. OS</w:t>
            </w:r>
          </w:p>
        </w:tc>
      </w:tr>
      <w:tr w:rsidR="002E26FD" w:rsidRPr="002D1DD7" w14:paraId="517583C3"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08E34937" w14:textId="6223C7B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Agarwal 2017</w:t>
            </w:r>
            <w:r w:rsidRPr="002D1DD7">
              <w:rPr>
                <w:rFonts w:eastAsia="Times New Roman" w:cs="Times New Roman"/>
                <w:sz w:val="18"/>
                <w:szCs w:val="18"/>
                <w:lang w:eastAsia="zh-CN"/>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PEVuZE5vdGU+PENpdGU+PEF1dGhvcj5BZ2Fyd2FsPC9BdXRob3I+PFllYXI+MjAxNzwvWWVhcj48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80</w:t>
            </w:r>
            <w:r w:rsidRPr="002D1DD7">
              <w:rPr>
                <w:rFonts w:eastAsia="Times New Roman" w:cs="Times New Roman"/>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127C82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bottom w:val="single" w:sz="12" w:space="0" w:color="auto"/>
              <w:right w:val="single" w:sz="12" w:space="0" w:color="auto"/>
            </w:tcBorders>
            <w:tcMar>
              <w:left w:w="28" w:type="dxa"/>
              <w:right w:w="28" w:type="dxa"/>
            </w:tcMar>
          </w:tcPr>
          <w:p w14:paraId="4D99A4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A3576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Acute myeloid leukemia</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1016D3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tcPr>
          <w:p w14:paraId="56BD54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tcPr>
          <w:p w14:paraId="386A50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tcPr>
          <w:p w14:paraId="61A7C1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tcPr>
          <w:p w14:paraId="7BC160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tcPr>
          <w:p w14:paraId="448D04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tcPr>
          <w:p w14:paraId="70F13E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adj R2 (logit CR vs. log med OS)</w:t>
            </w:r>
          </w:p>
        </w:tc>
        <w:tc>
          <w:tcPr>
            <w:tcW w:w="1316" w:type="dxa"/>
            <w:tcBorders>
              <w:top w:val="single" w:sz="12" w:space="0" w:color="auto"/>
              <w:bottom w:val="single" w:sz="12" w:space="0" w:color="auto"/>
            </w:tcBorders>
            <w:shd w:val="clear" w:color="auto" w:fill="auto"/>
            <w:tcMar>
              <w:left w:w="28" w:type="dxa"/>
              <w:right w:w="28" w:type="dxa"/>
            </w:tcMar>
          </w:tcPr>
          <w:p w14:paraId="71E60C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R2=0.48, p=NR</w:t>
            </w:r>
          </w:p>
        </w:tc>
        <w:tc>
          <w:tcPr>
            <w:tcW w:w="1288" w:type="dxa"/>
            <w:tcBorders>
              <w:top w:val="single" w:sz="12" w:space="0" w:color="auto"/>
              <w:bottom w:val="single" w:sz="12" w:space="0" w:color="auto"/>
            </w:tcBorders>
            <w:shd w:val="clear" w:color="auto" w:fill="auto"/>
            <w:tcMar>
              <w:left w:w="28" w:type="dxa"/>
              <w:right w:w="28" w:type="dxa"/>
            </w:tcMar>
          </w:tcPr>
          <w:p w14:paraId="218048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6F83A5E7"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244CBEE3" w14:textId="1DA0D2D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Pang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&lt;EndNote&gt;&lt;Cite&gt;&lt;Author&gt;Pang&lt;/Author&gt;&lt;Year&gt;2018&lt;/Year&gt;&lt;RecNum&gt;2287&lt;/RecNum&gt;&lt;IDText&gt;$$include full text PT&lt;/IDText&gt;&lt;DisplayText&gt;&lt;style face="superscript"&gt;121&lt;/style&gt;&lt;/DisplayText&gt;&lt;record&gt;&lt;rec-number&gt;2287&lt;/rec-number&gt;&lt;foreign-keys&gt;&lt;key app="EN" db-id="dwaevxvazfs2f3ewvzmxrd0k0wasw55p2z2w" timestamp="1557310949"&gt;2287&lt;/key&gt;&lt;/foreign-keys&gt;&lt;ref-type name="Journal Article"&gt;17&lt;/ref-type&gt;&lt;contributors&gt;&lt;authors&gt;&lt;author&gt;Pang, Y.&lt;/author&gt;&lt;author&gt;Shen, Z.&lt;/author&gt;&lt;author&gt;Sun, J.&lt;/author&gt;&lt;author&gt;Wang, W.&lt;/author&gt;&lt;/authors&gt;&lt;/contributors&gt;&lt;titles&gt;&lt;title&gt;Does the use of targeted agents in advanced gastroesophageal cancer increase complete response? A meta-analysis of 18 randomized controlled trials&lt;/title&gt;&lt;secondary-title&gt;Cancer Management and Research&lt;/secondary-title&gt;&lt;/titles&gt;&lt;periodical&gt;&lt;full-title&gt;Cancer Management and Research&lt;/full-title&gt;&lt;abbr-1&gt;Cancer Manag Res&lt;/abbr-1&gt;&lt;/periodical&gt;&lt;pages&gt;5505-5514&lt;/pages&gt;&lt;volume&gt;10&lt;/volume&gt;&lt;keywords&gt;&lt;keyword&gt;$$include abstract PT&lt;/keyword&gt;&lt;keyword&gt;$$Broad search&lt;/keyword&gt;&lt;/keywords&gt;&lt;dates&gt;&lt;year&gt;2018&lt;/year&gt;&lt;/dates&gt;&lt;label&gt;$$include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size="100%"&gt;http://ovidsp.ovid.com/ovidweb.cgi?T=JS&amp;amp;CSC=Y&amp;amp;NEWS=N&amp;amp;PAGE=fulltext&amp;amp;D=emexa&amp;amp;AN=625288881&lt;/style&gt;&lt;/research-notes&gt;&lt;/record&gt;&lt;/Cite&gt;&lt;/EndNote&gt;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121</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2F43C5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bottom w:val="single" w:sz="12" w:space="0" w:color="auto"/>
              <w:right w:val="single" w:sz="12" w:space="0" w:color="auto"/>
            </w:tcBorders>
            <w:tcMar>
              <w:left w:w="28" w:type="dxa"/>
              <w:right w:w="28" w:type="dxa"/>
            </w:tcMar>
          </w:tcPr>
          <w:p w14:paraId="55F44B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80325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Gastroesophageal</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4BBDED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tcPr>
          <w:p w14:paraId="5040C9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tcPr>
          <w:p w14:paraId="608365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tcPr>
          <w:p w14:paraId="2BEAF3E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7892</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tcPr>
          <w:p w14:paraId="6F9C53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(CR vs. med OS)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tcPr>
          <w:p w14:paraId="5B4189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r=0.43, p=0.18</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tcPr>
          <w:p w14:paraId="7C3872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12" w:space="0" w:color="auto"/>
            </w:tcBorders>
            <w:shd w:val="clear" w:color="auto" w:fill="auto"/>
            <w:tcMar>
              <w:left w:w="28" w:type="dxa"/>
              <w:right w:w="28" w:type="dxa"/>
            </w:tcMar>
          </w:tcPr>
          <w:p w14:paraId="1C7AE8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12" w:space="0" w:color="auto"/>
            </w:tcBorders>
            <w:shd w:val="clear" w:color="auto" w:fill="auto"/>
            <w:tcMar>
              <w:left w:w="28" w:type="dxa"/>
              <w:right w:w="28" w:type="dxa"/>
            </w:tcMar>
          </w:tcPr>
          <w:p w14:paraId="322925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2D88774"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28809378" w14:textId="6D555FA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Li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&lt;EndNote&gt;&lt;Cite&gt;&lt;Author&gt;Li&lt;/Author&gt;&lt;Year&gt;2019&lt;/Year&gt;&lt;RecNum&gt;1769&lt;/RecNum&gt;&lt;IDText&gt;$$include full text PT&lt;/IDText&gt;&lt;DisplayText&gt;&lt;style face="superscript"&gt;109&lt;/style&gt;&lt;/DisplayText&gt;&lt;record&gt;&lt;rec-number&gt;1769&lt;/rec-number&gt;&lt;foreign-keys&gt;&lt;key app="EN" db-id="dwaevxvazfs2f3ewvzmxrd0k0wasw55p2z2w" timestamp="1557310848"&gt;1769&lt;/key&gt;&lt;/foreign-keys&gt;&lt;ref-type name="Journal Article"&gt;17&lt;/ref-type&gt;&lt;contributors&gt;&lt;authors&gt;&lt;author&gt;Li, J.&lt;/author&gt;&lt;author&gt;He, Q.&lt;/author&gt;&lt;author&gt;Yu, X.&lt;/author&gt;&lt;author&gt;Khan, K.&lt;/author&gt;&lt;author&gt;Weng, X. W.&lt;/author&gt;&lt;author&gt;Guan, M. J.&lt;/author&gt;&lt;/authors&gt;&lt;/contributors&gt;&lt;titles&gt;&lt;title&gt;Complete response associated with immune checkpoint inhibitors in advanced non-small-cell lung cancer: a meta-analysis of nine randomized controlled trials&lt;/title&gt;&lt;secondary-title&gt;Cancer Management and Research&lt;/secondary-title&gt;&lt;/titles&gt;&lt;periodical&gt;&lt;full-title&gt;Cancer Management and Research&lt;/full-title&gt;&lt;abbr-1&gt;Cancer Manag Res&lt;/abbr-1&gt;&lt;/periodical&gt;&lt;pages&gt;1623-1629&lt;/pages&gt;&lt;volume&gt;11&lt;/volume&gt;&lt;keywords&gt;&lt;keyword&gt;$$include abstract PT&lt;/keyword&gt;&lt;keyword&gt;$$Broad search&lt;/keyword&gt;&lt;/keywords&gt;&lt;dates&gt;&lt;year&gt;2019&lt;/year&gt;&lt;/dates&gt;&lt;isbn&gt;1179-1322&lt;/isbn&gt;&lt;accession-num&gt;WOS:000458908800004&lt;/accession-num&gt;&lt;label&gt;$$include full text PT&lt;/label&gt;&lt;urls&gt;&lt;/urls&gt;&lt;electronic-resource-num&gt;10.2147/cmar.S188551&lt;/electronic-resource-num&gt;&lt;research-notes&gt;&lt;style face="underline" font="default" size="100%"&gt;&amp;lt;Go to ISI&amp;gt;://WOS:000458908800004&lt;/style&gt;&lt;/research-notes&gt;&lt;/record&gt;&lt;/Cite&gt;&lt;/EndNote&gt;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109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12" w:space="0" w:color="auto"/>
            </w:tcBorders>
            <w:tcMar>
              <w:left w:w="28" w:type="dxa"/>
              <w:right w:w="28" w:type="dxa"/>
            </w:tcMar>
          </w:tcPr>
          <w:p w14:paraId="67A622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bottom w:val="single" w:sz="12" w:space="0" w:color="auto"/>
              <w:right w:val="single" w:sz="12" w:space="0" w:color="auto"/>
            </w:tcBorders>
            <w:tcMar>
              <w:left w:w="28" w:type="dxa"/>
              <w:right w:w="28" w:type="dxa"/>
            </w:tcMar>
          </w:tcPr>
          <w:p w14:paraId="6B86AC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289DD4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49FBBB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tcPr>
          <w:p w14:paraId="595C18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tcPr>
          <w:p w14:paraId="3D2568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tcPr>
          <w:p w14:paraId="5F14B9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4103*</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tcPr>
          <w:p w14:paraId="392A83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OS)</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tcPr>
          <w:p w14:paraId="2F031B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r=0.19, p=0.75</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tcPr>
          <w:p w14:paraId="253322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(CR vs. med OS)</w:t>
            </w:r>
          </w:p>
        </w:tc>
        <w:tc>
          <w:tcPr>
            <w:tcW w:w="1316" w:type="dxa"/>
            <w:tcBorders>
              <w:top w:val="single" w:sz="12" w:space="0" w:color="auto"/>
              <w:bottom w:val="single" w:sz="12" w:space="0" w:color="auto"/>
            </w:tcBorders>
            <w:shd w:val="clear" w:color="auto" w:fill="auto"/>
            <w:tcMar>
              <w:left w:w="28" w:type="dxa"/>
              <w:right w:w="28" w:type="dxa"/>
            </w:tcMar>
          </w:tcPr>
          <w:p w14:paraId="35C0D2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R2=0.04, p=NR</w:t>
            </w:r>
          </w:p>
        </w:tc>
        <w:tc>
          <w:tcPr>
            <w:tcW w:w="1288" w:type="dxa"/>
            <w:tcBorders>
              <w:top w:val="single" w:sz="12" w:space="0" w:color="auto"/>
              <w:bottom w:val="single" w:sz="12" w:space="0" w:color="auto"/>
            </w:tcBorders>
            <w:shd w:val="clear" w:color="auto" w:fill="auto"/>
            <w:tcMar>
              <w:left w:w="28" w:type="dxa"/>
              <w:right w:w="28" w:type="dxa"/>
            </w:tcMar>
          </w:tcPr>
          <w:p w14:paraId="414B5A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F56A55A"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tcPr>
          <w:p w14:paraId="47D112AE" w14:textId="74E00BE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3AC677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12" w:space="0" w:color="auto"/>
              <w:bottom w:val="single" w:sz="4" w:space="0" w:color="auto"/>
              <w:right w:val="single" w:sz="12" w:space="0" w:color="auto"/>
            </w:tcBorders>
            <w:tcMar>
              <w:left w:w="28" w:type="dxa"/>
              <w:right w:w="28" w:type="dxa"/>
            </w:tcMar>
          </w:tcPr>
          <w:p w14:paraId="6AD4F6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6F88146"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tcPr>
          <w:p w14:paraId="068403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or extensive</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tcPr>
          <w:p w14:paraId="1189A0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tcPr>
          <w:p w14:paraId="67EAAB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tcPr>
          <w:p w14:paraId="30B385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tcPr>
          <w:p w14:paraId="7207E8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OS)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tcPr>
          <w:p w14:paraId="346323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r=0.62, p&lt;0.0001</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tcPr>
          <w:p w14:paraId="5A5D4E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tcPr>
          <w:p w14:paraId="489CB2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tcPr>
          <w:p w14:paraId="3E6763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35B6928"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tcPr>
          <w:p w14:paraId="5A123C25" w14:textId="009BBDD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089A38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4" w:space="0" w:color="auto"/>
              <w:bottom w:val="single" w:sz="4" w:space="0" w:color="auto"/>
              <w:right w:val="single" w:sz="12" w:space="0" w:color="auto"/>
            </w:tcBorders>
            <w:tcMar>
              <w:left w:w="28" w:type="dxa"/>
              <w:right w:w="28" w:type="dxa"/>
            </w:tcMar>
          </w:tcPr>
          <w:p w14:paraId="1F66FD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D070A74"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tcPr>
          <w:p w14:paraId="2228F4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disease</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tcPr>
          <w:p w14:paraId="183711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tcPr>
          <w:p w14:paraId="13963D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tcPr>
          <w:p w14:paraId="05B4A6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tcPr>
          <w:p w14:paraId="7E5DE8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OS)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tcPr>
          <w:p w14:paraId="73A632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r=-0.04, p=0.863</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tcPr>
          <w:p w14:paraId="49E4D4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tcPr>
          <w:p w14:paraId="6AAF3C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tcPr>
          <w:p w14:paraId="5FBA26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B8CCA70"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tcPr>
          <w:p w14:paraId="64DDE491" w14:textId="20C8C89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2F9681F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858" w:type="dxa"/>
            <w:tcBorders>
              <w:top w:val="single" w:sz="4" w:space="0" w:color="auto"/>
              <w:bottom w:val="single" w:sz="12" w:space="0" w:color="auto"/>
              <w:right w:val="single" w:sz="12" w:space="0" w:color="auto"/>
            </w:tcBorders>
            <w:tcMar>
              <w:left w:w="28" w:type="dxa"/>
              <w:right w:w="28" w:type="dxa"/>
            </w:tcMar>
          </w:tcPr>
          <w:p w14:paraId="3C05B5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4216B3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tcPr>
          <w:p w14:paraId="7BEAEB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Extensive disease</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tcPr>
          <w:p w14:paraId="7E4AC7E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tcPr>
          <w:p w14:paraId="15E483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tcPr>
          <w:p w14:paraId="7A9491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tcPr>
          <w:p w14:paraId="30A26F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(CR vs. med OS)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tcPr>
          <w:p w14:paraId="62A9CC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r=0.19, p=0.295</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tcPr>
          <w:p w14:paraId="272836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tcPr>
          <w:p w14:paraId="4CAF99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tcPr>
          <w:p w14:paraId="07921D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E9E5A45" w14:textId="77777777" w:rsidTr="003117A9">
        <w:trPr>
          <w:cantSplit/>
        </w:trPr>
        <w:tc>
          <w:tcPr>
            <w:tcW w:w="14975" w:type="dxa"/>
            <w:gridSpan w:val="13"/>
            <w:tcBorders>
              <w:top w:val="single" w:sz="12" w:space="0" w:color="auto"/>
              <w:bottom w:val="single" w:sz="12" w:space="0" w:color="auto"/>
            </w:tcBorders>
            <w:shd w:val="clear" w:color="auto" w:fill="D9D9D9"/>
            <w:tcMar>
              <w:left w:w="28" w:type="dxa"/>
              <w:right w:w="28" w:type="dxa"/>
            </w:tcMar>
          </w:tcPr>
          <w:p w14:paraId="333EE32F"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lastRenderedPageBreak/>
              <w:t>PR (or VGPR or CR) vs. PFS</w:t>
            </w:r>
          </w:p>
        </w:tc>
      </w:tr>
      <w:tr w:rsidR="002E26FD" w:rsidRPr="002D1DD7" w14:paraId="74ADA09B"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tcPr>
          <w:p w14:paraId="6BF9B486" w14:textId="3D28910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bottom w:val="single" w:sz="4" w:space="0" w:color="auto"/>
            </w:tcBorders>
            <w:tcMar>
              <w:left w:w="28" w:type="dxa"/>
              <w:right w:w="28" w:type="dxa"/>
            </w:tcMar>
          </w:tcPr>
          <w:p w14:paraId="658F6001"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w:t>
            </w:r>
          </w:p>
        </w:tc>
        <w:tc>
          <w:tcPr>
            <w:tcW w:w="858" w:type="dxa"/>
            <w:tcBorders>
              <w:top w:val="single" w:sz="12" w:space="0" w:color="auto"/>
              <w:bottom w:val="single" w:sz="4" w:space="0" w:color="auto"/>
              <w:right w:val="single" w:sz="12" w:space="0" w:color="auto"/>
            </w:tcBorders>
            <w:tcMar>
              <w:left w:w="28" w:type="dxa"/>
              <w:right w:w="28" w:type="dxa"/>
            </w:tcMar>
          </w:tcPr>
          <w:p w14:paraId="4862F2C9"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708DC7E"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tcPr>
          <w:p w14:paraId="49FF8E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or extensive</w:t>
            </w:r>
          </w:p>
        </w:tc>
        <w:tc>
          <w:tcPr>
            <w:tcW w:w="1701" w:type="dxa"/>
            <w:tcBorders>
              <w:top w:val="single" w:sz="12" w:space="0" w:color="auto"/>
              <w:bottom w:val="single" w:sz="4" w:space="0" w:color="auto"/>
              <w:right w:val="single" w:sz="12" w:space="0" w:color="auto"/>
            </w:tcBorders>
            <w:shd w:val="clear" w:color="auto" w:fill="auto"/>
            <w:tcMar>
              <w:left w:w="28" w:type="dxa"/>
              <w:right w:w="28" w:type="dxa"/>
            </w:tcMar>
          </w:tcPr>
          <w:p w14:paraId="6C0DEE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4" w:space="0" w:color="auto"/>
            </w:tcBorders>
            <w:shd w:val="clear" w:color="auto" w:fill="auto"/>
            <w:tcMar>
              <w:left w:w="28" w:type="dxa"/>
              <w:right w:w="28" w:type="dxa"/>
            </w:tcMar>
          </w:tcPr>
          <w:p w14:paraId="6D92E8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4" w:space="0" w:color="auto"/>
              <w:right w:val="single" w:sz="12" w:space="0" w:color="auto"/>
            </w:tcBorders>
            <w:shd w:val="clear" w:color="auto" w:fill="auto"/>
            <w:tcMar>
              <w:left w:w="28" w:type="dxa"/>
              <w:right w:w="28" w:type="dxa"/>
            </w:tcMar>
          </w:tcPr>
          <w:p w14:paraId="37F486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4" w:space="0" w:color="auto"/>
            </w:tcBorders>
            <w:shd w:val="clear" w:color="auto" w:fill="auto"/>
            <w:tcMar>
              <w:left w:w="28" w:type="dxa"/>
              <w:right w:w="28" w:type="dxa"/>
            </w:tcMar>
          </w:tcPr>
          <w:p w14:paraId="3AC633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(PR vs. med PFS)</w:t>
            </w:r>
          </w:p>
        </w:tc>
        <w:tc>
          <w:tcPr>
            <w:tcW w:w="1843" w:type="dxa"/>
            <w:tcBorders>
              <w:top w:val="single" w:sz="12" w:space="0" w:color="auto"/>
              <w:bottom w:val="single" w:sz="4" w:space="0" w:color="auto"/>
              <w:right w:val="single" w:sz="12" w:space="0" w:color="auto"/>
            </w:tcBorders>
            <w:shd w:val="clear" w:color="auto" w:fill="auto"/>
            <w:tcMar>
              <w:left w:w="28" w:type="dxa"/>
              <w:right w:w="28" w:type="dxa"/>
            </w:tcMar>
          </w:tcPr>
          <w:p w14:paraId="60B56C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r=0.35, p=0.019</w:t>
            </w:r>
          </w:p>
        </w:tc>
        <w:tc>
          <w:tcPr>
            <w:tcW w:w="1147" w:type="dxa"/>
            <w:tcBorders>
              <w:top w:val="single" w:sz="12" w:space="0" w:color="auto"/>
              <w:left w:val="single" w:sz="12" w:space="0" w:color="auto"/>
              <w:bottom w:val="single" w:sz="4" w:space="0" w:color="auto"/>
            </w:tcBorders>
            <w:shd w:val="clear" w:color="auto" w:fill="auto"/>
            <w:tcMar>
              <w:left w:w="28" w:type="dxa"/>
              <w:right w:w="28" w:type="dxa"/>
            </w:tcMar>
          </w:tcPr>
          <w:p w14:paraId="2B0AFD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bottom w:val="single" w:sz="4" w:space="0" w:color="auto"/>
            </w:tcBorders>
            <w:shd w:val="clear" w:color="auto" w:fill="auto"/>
            <w:tcMar>
              <w:left w:w="28" w:type="dxa"/>
              <w:right w:w="28" w:type="dxa"/>
            </w:tcMar>
          </w:tcPr>
          <w:p w14:paraId="5F9BEB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bottom w:val="single" w:sz="4" w:space="0" w:color="auto"/>
            </w:tcBorders>
            <w:shd w:val="clear" w:color="auto" w:fill="auto"/>
            <w:tcMar>
              <w:left w:w="28" w:type="dxa"/>
              <w:right w:w="28" w:type="dxa"/>
            </w:tcMar>
          </w:tcPr>
          <w:p w14:paraId="7BA7EF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0B526C97"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tcPr>
          <w:p w14:paraId="43F75E68" w14:textId="4E5338D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4" w:space="0" w:color="auto"/>
            </w:tcBorders>
            <w:tcMar>
              <w:left w:w="28" w:type="dxa"/>
              <w:right w:w="28" w:type="dxa"/>
            </w:tcMar>
          </w:tcPr>
          <w:p w14:paraId="03ED9E9E"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w:t>
            </w:r>
          </w:p>
        </w:tc>
        <w:tc>
          <w:tcPr>
            <w:tcW w:w="858" w:type="dxa"/>
            <w:tcBorders>
              <w:top w:val="single" w:sz="4" w:space="0" w:color="auto"/>
              <w:bottom w:val="single" w:sz="4" w:space="0" w:color="auto"/>
              <w:right w:val="single" w:sz="12" w:space="0" w:color="auto"/>
            </w:tcBorders>
            <w:tcMar>
              <w:left w:w="28" w:type="dxa"/>
              <w:right w:w="28" w:type="dxa"/>
            </w:tcMar>
          </w:tcPr>
          <w:p w14:paraId="4DEAB6EA"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0780C98"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tcPr>
          <w:p w14:paraId="5887F8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disease</w:t>
            </w:r>
          </w:p>
        </w:tc>
        <w:tc>
          <w:tcPr>
            <w:tcW w:w="1701" w:type="dxa"/>
            <w:tcBorders>
              <w:top w:val="single" w:sz="4" w:space="0" w:color="auto"/>
              <w:bottom w:val="single" w:sz="4" w:space="0" w:color="auto"/>
              <w:right w:val="single" w:sz="12" w:space="0" w:color="auto"/>
            </w:tcBorders>
            <w:shd w:val="clear" w:color="auto" w:fill="auto"/>
            <w:tcMar>
              <w:left w:w="28" w:type="dxa"/>
              <w:right w:w="28" w:type="dxa"/>
            </w:tcMar>
          </w:tcPr>
          <w:p w14:paraId="734362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4" w:space="0" w:color="auto"/>
            </w:tcBorders>
            <w:shd w:val="clear" w:color="auto" w:fill="auto"/>
            <w:tcMar>
              <w:left w:w="28" w:type="dxa"/>
              <w:right w:w="28" w:type="dxa"/>
            </w:tcMar>
          </w:tcPr>
          <w:p w14:paraId="7B3199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4" w:space="0" w:color="auto"/>
              <w:right w:val="single" w:sz="12" w:space="0" w:color="auto"/>
            </w:tcBorders>
            <w:shd w:val="clear" w:color="auto" w:fill="auto"/>
            <w:tcMar>
              <w:left w:w="28" w:type="dxa"/>
              <w:right w:w="28" w:type="dxa"/>
            </w:tcMar>
          </w:tcPr>
          <w:p w14:paraId="38ECE7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4" w:space="0" w:color="auto"/>
            </w:tcBorders>
            <w:shd w:val="clear" w:color="auto" w:fill="auto"/>
            <w:tcMar>
              <w:left w:w="28" w:type="dxa"/>
              <w:right w:w="28" w:type="dxa"/>
            </w:tcMar>
          </w:tcPr>
          <w:p w14:paraId="737853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(PR vs. med PFS)</w:t>
            </w:r>
          </w:p>
        </w:tc>
        <w:tc>
          <w:tcPr>
            <w:tcW w:w="1843" w:type="dxa"/>
            <w:tcBorders>
              <w:top w:val="single" w:sz="4" w:space="0" w:color="auto"/>
              <w:bottom w:val="single" w:sz="4" w:space="0" w:color="auto"/>
              <w:right w:val="single" w:sz="12" w:space="0" w:color="auto"/>
            </w:tcBorders>
            <w:shd w:val="clear" w:color="auto" w:fill="auto"/>
            <w:tcMar>
              <w:left w:w="28" w:type="dxa"/>
              <w:right w:w="28" w:type="dxa"/>
            </w:tcMar>
          </w:tcPr>
          <w:p w14:paraId="6A1670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r=0.70, p=0.011</w:t>
            </w:r>
          </w:p>
        </w:tc>
        <w:tc>
          <w:tcPr>
            <w:tcW w:w="1147" w:type="dxa"/>
            <w:tcBorders>
              <w:top w:val="single" w:sz="4" w:space="0" w:color="auto"/>
              <w:left w:val="single" w:sz="12" w:space="0" w:color="auto"/>
              <w:bottom w:val="single" w:sz="4" w:space="0" w:color="auto"/>
            </w:tcBorders>
            <w:shd w:val="clear" w:color="auto" w:fill="auto"/>
            <w:tcMar>
              <w:left w:w="28" w:type="dxa"/>
              <w:right w:w="28" w:type="dxa"/>
            </w:tcMar>
          </w:tcPr>
          <w:p w14:paraId="79F2AE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4" w:space="0" w:color="auto"/>
            </w:tcBorders>
            <w:shd w:val="clear" w:color="auto" w:fill="auto"/>
            <w:tcMar>
              <w:left w:w="28" w:type="dxa"/>
              <w:right w:w="28" w:type="dxa"/>
            </w:tcMar>
          </w:tcPr>
          <w:p w14:paraId="6E290D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4" w:space="0" w:color="auto"/>
            </w:tcBorders>
            <w:shd w:val="clear" w:color="auto" w:fill="auto"/>
            <w:tcMar>
              <w:left w:w="28" w:type="dxa"/>
              <w:right w:w="28" w:type="dxa"/>
            </w:tcMar>
          </w:tcPr>
          <w:p w14:paraId="37F69F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5AB383BE"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tcPr>
          <w:p w14:paraId="741C83F7" w14:textId="19EE565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4" w:space="0" w:color="auto"/>
              <w:left w:val="single" w:sz="12" w:space="0" w:color="auto"/>
              <w:bottom w:val="single" w:sz="12" w:space="0" w:color="auto"/>
            </w:tcBorders>
            <w:tcMar>
              <w:left w:w="28" w:type="dxa"/>
              <w:right w:w="28" w:type="dxa"/>
            </w:tcMar>
          </w:tcPr>
          <w:p w14:paraId="04FF93E5"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w:t>
            </w:r>
          </w:p>
        </w:tc>
        <w:tc>
          <w:tcPr>
            <w:tcW w:w="858" w:type="dxa"/>
            <w:tcBorders>
              <w:top w:val="single" w:sz="4" w:space="0" w:color="auto"/>
              <w:bottom w:val="single" w:sz="12" w:space="0" w:color="auto"/>
              <w:right w:val="single" w:sz="12" w:space="0" w:color="auto"/>
            </w:tcBorders>
            <w:tcMar>
              <w:left w:w="28" w:type="dxa"/>
              <w:right w:w="28" w:type="dxa"/>
            </w:tcMar>
          </w:tcPr>
          <w:p w14:paraId="5BD960BA"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3D60A3AD"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tcPr>
          <w:p w14:paraId="3F73F1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Extensive disease</w:t>
            </w:r>
          </w:p>
        </w:tc>
        <w:tc>
          <w:tcPr>
            <w:tcW w:w="1701" w:type="dxa"/>
            <w:tcBorders>
              <w:top w:val="single" w:sz="4" w:space="0" w:color="auto"/>
              <w:bottom w:val="single" w:sz="12" w:space="0" w:color="auto"/>
              <w:right w:val="single" w:sz="12" w:space="0" w:color="auto"/>
            </w:tcBorders>
            <w:shd w:val="clear" w:color="auto" w:fill="auto"/>
            <w:tcMar>
              <w:left w:w="28" w:type="dxa"/>
              <w:right w:w="28" w:type="dxa"/>
            </w:tcMar>
          </w:tcPr>
          <w:p w14:paraId="5DF530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4" w:space="0" w:color="auto"/>
              <w:left w:val="single" w:sz="12" w:space="0" w:color="auto"/>
              <w:bottom w:val="single" w:sz="12" w:space="0" w:color="auto"/>
            </w:tcBorders>
            <w:shd w:val="clear" w:color="auto" w:fill="auto"/>
            <w:tcMar>
              <w:left w:w="28" w:type="dxa"/>
              <w:right w:w="28" w:type="dxa"/>
            </w:tcMar>
          </w:tcPr>
          <w:p w14:paraId="224C2E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4" w:space="0" w:color="auto"/>
              <w:bottom w:val="single" w:sz="12" w:space="0" w:color="auto"/>
              <w:right w:val="single" w:sz="12" w:space="0" w:color="auto"/>
            </w:tcBorders>
            <w:shd w:val="clear" w:color="auto" w:fill="auto"/>
            <w:tcMar>
              <w:left w:w="28" w:type="dxa"/>
              <w:right w:w="28" w:type="dxa"/>
            </w:tcMar>
          </w:tcPr>
          <w:p w14:paraId="5F9E0D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4" w:space="0" w:color="auto"/>
              <w:left w:val="single" w:sz="12" w:space="0" w:color="auto"/>
              <w:bottom w:val="single" w:sz="12" w:space="0" w:color="auto"/>
            </w:tcBorders>
            <w:shd w:val="clear" w:color="auto" w:fill="auto"/>
            <w:tcMar>
              <w:left w:w="28" w:type="dxa"/>
              <w:right w:w="28" w:type="dxa"/>
            </w:tcMar>
          </w:tcPr>
          <w:p w14:paraId="4D8AE5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(PR vs. med PFS)</w:t>
            </w:r>
          </w:p>
        </w:tc>
        <w:tc>
          <w:tcPr>
            <w:tcW w:w="1843" w:type="dxa"/>
            <w:tcBorders>
              <w:top w:val="single" w:sz="4" w:space="0" w:color="auto"/>
              <w:bottom w:val="single" w:sz="12" w:space="0" w:color="auto"/>
              <w:right w:val="single" w:sz="12" w:space="0" w:color="auto"/>
            </w:tcBorders>
            <w:shd w:val="clear" w:color="auto" w:fill="auto"/>
            <w:tcMar>
              <w:left w:w="28" w:type="dxa"/>
              <w:right w:w="28" w:type="dxa"/>
            </w:tcMar>
          </w:tcPr>
          <w:p w14:paraId="648F28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r=0.49, p=0.035</w:t>
            </w:r>
          </w:p>
        </w:tc>
        <w:tc>
          <w:tcPr>
            <w:tcW w:w="1147" w:type="dxa"/>
            <w:tcBorders>
              <w:top w:val="single" w:sz="4" w:space="0" w:color="auto"/>
              <w:left w:val="single" w:sz="12" w:space="0" w:color="auto"/>
              <w:bottom w:val="single" w:sz="12" w:space="0" w:color="auto"/>
            </w:tcBorders>
            <w:shd w:val="clear" w:color="auto" w:fill="auto"/>
            <w:tcMar>
              <w:left w:w="28" w:type="dxa"/>
              <w:right w:w="28" w:type="dxa"/>
            </w:tcMar>
          </w:tcPr>
          <w:p w14:paraId="6317B47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4" w:space="0" w:color="auto"/>
              <w:bottom w:val="single" w:sz="12" w:space="0" w:color="auto"/>
            </w:tcBorders>
            <w:shd w:val="clear" w:color="auto" w:fill="auto"/>
            <w:tcMar>
              <w:left w:w="28" w:type="dxa"/>
              <w:right w:w="28" w:type="dxa"/>
            </w:tcMar>
          </w:tcPr>
          <w:p w14:paraId="1F73D1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4" w:space="0" w:color="auto"/>
              <w:bottom w:val="single" w:sz="12" w:space="0" w:color="auto"/>
            </w:tcBorders>
            <w:shd w:val="clear" w:color="auto" w:fill="auto"/>
            <w:tcMar>
              <w:left w:w="28" w:type="dxa"/>
              <w:right w:w="28" w:type="dxa"/>
            </w:tcMar>
          </w:tcPr>
          <w:p w14:paraId="394302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77B84DFE"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33D1FEFE" w14:textId="10B904C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Mangal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&lt;EndNote&gt;&lt;Cite&gt;&lt;Author&gt;Mangal&lt;/Author&gt;&lt;Year&gt;2018&lt;/Year&gt;&lt;RecNum&gt;1922&lt;/RecNum&gt;&lt;IDText&gt;$$include full text PT&lt;/IDText&gt;&lt;DisplayText&gt;&lt;style face="superscript"&gt;115&lt;/style&gt;&lt;/DisplayText&gt;&lt;record&gt;&lt;rec-number&gt;1922&lt;/rec-number&gt;&lt;foreign-keys&gt;&lt;key app="EN" db-id="dwaevxvazfs2f3ewvzmxrd0k0wasw55p2z2w" timestamp="1557310878"&gt;1922&lt;/key&gt;&lt;/foreign-keys&gt;&lt;ref-type name="Journal Article"&gt;17&lt;/ref-type&gt;&lt;contributors&gt;&lt;authors&gt;&lt;author&gt;Mangal, N.&lt;/author&gt;&lt;author&gt;Salem, A. H.&lt;/author&gt;&lt;author&gt;Menon, R. M.&lt;/author&gt;&lt;author&gt;Freise, K. J.&lt;/author&gt;&lt;/authors&gt;&lt;/contributors&gt;&lt;titles&gt;&lt;title&gt;Use of depth of response to predict progression-free survival in relapsed or refractory multiple myeloma: Evaluation of results from 102 clinical trials&lt;/title&gt;&lt;secondary-title&gt;Hematological Oncology&lt;/secondary-title&gt;&lt;/titles&gt;&lt;periodical&gt;&lt;full-title&gt;Hematological Oncology&lt;/full-title&gt;&lt;abbr-1&gt;Hematol Oncol&lt;/abbr-1&gt;&lt;/periodical&gt;&lt;pages&gt;547-553&lt;/pages&gt;&lt;volume&gt;36&lt;/volume&gt;&lt;number&gt;3&lt;/number&gt;&lt;keywords&gt;&lt;keyword&gt;$$include abstract PT&lt;/keyword&gt;&lt;keyword&gt;$$Broad search $$Citation search&lt;/keyword&gt;&lt;/keywords&gt;&lt;dates&gt;&lt;year&gt;2018&lt;/year&gt;&lt;pub-dates&gt;&lt;date&gt;August&lt;/date&gt;&lt;/pub-dates&gt;&lt;/dates&gt;&lt;label&gt;$$include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size="100%"&gt;http://ovidsp.ovid.com/ovidweb.cgi?T=JS&amp;amp;CSC=Y&amp;amp;NEWS=N&amp;amp;PAGE=fulltext&amp;amp;D=emexa&amp;amp;AN=623585909&lt;/style&gt;&lt;/research-notes&gt;&lt;/record&gt;&lt;/Cite&gt;&lt;/EndNote&gt;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115</w:t>
            </w:r>
            <w:r w:rsidRPr="002D1DD7">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t xml:space="preserve"> (myeloma)</w:t>
            </w:r>
          </w:p>
        </w:tc>
        <w:tc>
          <w:tcPr>
            <w:tcW w:w="858" w:type="dxa"/>
            <w:tcBorders>
              <w:top w:val="single" w:sz="12" w:space="0" w:color="auto"/>
              <w:left w:val="single" w:sz="12" w:space="0" w:color="auto"/>
              <w:bottom w:val="single" w:sz="12" w:space="0" w:color="auto"/>
            </w:tcBorders>
            <w:tcMar>
              <w:left w:w="28" w:type="dxa"/>
              <w:right w:w="28" w:type="dxa"/>
            </w:tcMar>
          </w:tcPr>
          <w:p w14:paraId="1A30307D"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VGPR or CR</w:t>
            </w:r>
          </w:p>
        </w:tc>
        <w:tc>
          <w:tcPr>
            <w:tcW w:w="858" w:type="dxa"/>
            <w:tcBorders>
              <w:top w:val="single" w:sz="12" w:space="0" w:color="auto"/>
              <w:bottom w:val="single" w:sz="12" w:space="0" w:color="auto"/>
              <w:right w:val="single" w:sz="12" w:space="0" w:color="auto"/>
            </w:tcBorders>
            <w:tcMar>
              <w:left w:w="28" w:type="dxa"/>
              <w:right w:w="28" w:type="dxa"/>
            </w:tcMar>
          </w:tcPr>
          <w:p w14:paraId="45C0F98F"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858"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732CE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Multiple myeloma </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131965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1701" w:type="dxa"/>
            <w:tcBorders>
              <w:top w:val="single" w:sz="12" w:space="0" w:color="auto"/>
              <w:bottom w:val="single" w:sz="12" w:space="0" w:color="auto"/>
              <w:right w:val="single" w:sz="12" w:space="0" w:color="auto"/>
            </w:tcBorders>
            <w:shd w:val="clear" w:color="auto" w:fill="auto"/>
            <w:tcMar>
              <w:left w:w="28" w:type="dxa"/>
              <w:right w:w="28" w:type="dxa"/>
            </w:tcMar>
          </w:tcPr>
          <w:p w14:paraId="504B76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bottom w:val="single" w:sz="12" w:space="0" w:color="auto"/>
            </w:tcBorders>
            <w:shd w:val="clear" w:color="auto" w:fill="auto"/>
            <w:tcMar>
              <w:left w:w="28" w:type="dxa"/>
              <w:right w:w="28" w:type="dxa"/>
            </w:tcMar>
          </w:tcPr>
          <w:p w14:paraId="7A031A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79</w:t>
            </w:r>
            <w:r w:rsidRPr="002D1DD7">
              <w:rPr>
                <w:rFonts w:eastAsia="Times New Roman" w:cs="Times New Roman"/>
                <w:color w:val="000000"/>
                <w:sz w:val="18"/>
                <w:szCs w:val="18"/>
                <w:vertAlign w:val="superscript"/>
                <w:lang w:eastAsia="zh-CN"/>
              </w:rPr>
              <w:t>†</w:t>
            </w:r>
          </w:p>
        </w:tc>
        <w:tc>
          <w:tcPr>
            <w:tcW w:w="746" w:type="dxa"/>
            <w:tcBorders>
              <w:top w:val="single" w:sz="12" w:space="0" w:color="auto"/>
              <w:bottom w:val="single" w:sz="12" w:space="0" w:color="auto"/>
              <w:right w:val="single" w:sz="12" w:space="0" w:color="auto"/>
            </w:tcBorders>
            <w:shd w:val="clear" w:color="auto" w:fill="auto"/>
            <w:tcMar>
              <w:left w:w="28" w:type="dxa"/>
              <w:right w:w="28" w:type="dxa"/>
            </w:tcMar>
          </w:tcPr>
          <w:p w14:paraId="64180B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13322</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bottom w:val="single" w:sz="12" w:space="0" w:color="auto"/>
            </w:tcBorders>
            <w:shd w:val="clear" w:color="auto" w:fill="auto"/>
            <w:tcMar>
              <w:left w:w="28" w:type="dxa"/>
              <w:right w:w="28" w:type="dxa"/>
            </w:tcMar>
          </w:tcPr>
          <w:p w14:paraId="098B73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843" w:type="dxa"/>
            <w:tcBorders>
              <w:top w:val="single" w:sz="12" w:space="0" w:color="auto"/>
              <w:bottom w:val="single" w:sz="12" w:space="0" w:color="auto"/>
              <w:right w:val="single" w:sz="12" w:space="0" w:color="auto"/>
            </w:tcBorders>
            <w:shd w:val="clear" w:color="auto" w:fill="auto"/>
            <w:tcMar>
              <w:left w:w="28" w:type="dxa"/>
              <w:right w:w="28" w:type="dxa"/>
            </w:tcMar>
          </w:tcPr>
          <w:p w14:paraId="45DCBB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147" w:type="dxa"/>
            <w:tcBorders>
              <w:top w:val="single" w:sz="12" w:space="0" w:color="auto"/>
              <w:left w:val="single" w:sz="12" w:space="0" w:color="auto"/>
              <w:bottom w:val="single" w:sz="12" w:space="0" w:color="auto"/>
            </w:tcBorders>
            <w:shd w:val="clear" w:color="auto" w:fill="auto"/>
            <w:tcMar>
              <w:left w:w="28" w:type="dxa"/>
              <w:right w:w="28" w:type="dxa"/>
            </w:tcMar>
          </w:tcPr>
          <w:p w14:paraId="400DDC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adj R2 (VGPR or CR vs. med PFS)</w:t>
            </w:r>
          </w:p>
        </w:tc>
        <w:tc>
          <w:tcPr>
            <w:tcW w:w="1316" w:type="dxa"/>
            <w:tcBorders>
              <w:top w:val="single" w:sz="12" w:space="0" w:color="auto"/>
              <w:bottom w:val="single" w:sz="12" w:space="0" w:color="auto"/>
            </w:tcBorders>
            <w:shd w:val="clear" w:color="auto" w:fill="auto"/>
            <w:tcMar>
              <w:left w:w="28" w:type="dxa"/>
              <w:right w:w="28" w:type="dxa"/>
            </w:tcMar>
          </w:tcPr>
          <w:p w14:paraId="6EE3EB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R2=0.64, p=NR</w:t>
            </w:r>
          </w:p>
        </w:tc>
        <w:tc>
          <w:tcPr>
            <w:tcW w:w="1288" w:type="dxa"/>
            <w:tcBorders>
              <w:top w:val="single" w:sz="12" w:space="0" w:color="auto"/>
              <w:bottom w:val="single" w:sz="12" w:space="0" w:color="auto"/>
            </w:tcBorders>
            <w:shd w:val="clear" w:color="auto" w:fill="auto"/>
            <w:tcMar>
              <w:left w:w="28" w:type="dxa"/>
              <w:right w:w="28" w:type="dxa"/>
            </w:tcMar>
          </w:tcPr>
          <w:p w14:paraId="38C1A3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126E981B" w14:textId="77777777" w:rsidTr="003117A9">
        <w:trPr>
          <w:cantSplit/>
        </w:trPr>
        <w:tc>
          <w:tcPr>
            <w:tcW w:w="14975" w:type="dxa"/>
            <w:gridSpan w:val="13"/>
            <w:tcBorders>
              <w:top w:val="single" w:sz="12" w:space="0" w:color="auto"/>
              <w:bottom w:val="single" w:sz="12" w:space="0" w:color="auto"/>
            </w:tcBorders>
            <w:shd w:val="clear" w:color="auto" w:fill="D9D9D9"/>
            <w:tcMar>
              <w:left w:w="28" w:type="dxa"/>
              <w:right w:w="28" w:type="dxa"/>
            </w:tcMar>
          </w:tcPr>
          <w:p w14:paraId="7494FB03"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t>PR vs. OS</w:t>
            </w:r>
          </w:p>
        </w:tc>
      </w:tr>
      <w:tr w:rsidR="002E26FD" w:rsidRPr="002D1DD7" w14:paraId="0F8D7D73"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tcPr>
          <w:p w14:paraId="37CDFA95" w14:textId="67E7D60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top w:val="single" w:sz="12" w:space="0" w:color="auto"/>
              <w:left w:val="single" w:sz="12" w:space="0" w:color="auto"/>
            </w:tcBorders>
            <w:tcMar>
              <w:left w:w="28" w:type="dxa"/>
              <w:right w:w="28" w:type="dxa"/>
            </w:tcMar>
          </w:tcPr>
          <w:p w14:paraId="7412F780"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w:t>
            </w:r>
          </w:p>
        </w:tc>
        <w:tc>
          <w:tcPr>
            <w:tcW w:w="858" w:type="dxa"/>
            <w:tcBorders>
              <w:top w:val="single" w:sz="12" w:space="0" w:color="auto"/>
              <w:right w:val="single" w:sz="12" w:space="0" w:color="auto"/>
            </w:tcBorders>
            <w:tcMar>
              <w:left w:w="28" w:type="dxa"/>
              <w:right w:w="28" w:type="dxa"/>
            </w:tcMar>
          </w:tcPr>
          <w:p w14:paraId="16ADCD62"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top w:val="single" w:sz="12" w:space="0" w:color="auto"/>
              <w:left w:val="single" w:sz="12" w:space="0" w:color="auto"/>
              <w:right w:val="single" w:sz="12" w:space="0" w:color="auto"/>
            </w:tcBorders>
            <w:shd w:val="clear" w:color="auto" w:fill="auto"/>
            <w:tcMar>
              <w:left w:w="28" w:type="dxa"/>
              <w:right w:w="28" w:type="dxa"/>
            </w:tcMar>
          </w:tcPr>
          <w:p w14:paraId="24ACE106"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tcBorders>
            <w:shd w:val="clear" w:color="auto" w:fill="auto"/>
            <w:tcMar>
              <w:left w:w="28" w:type="dxa"/>
              <w:right w:w="28" w:type="dxa"/>
            </w:tcMar>
          </w:tcPr>
          <w:p w14:paraId="174174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or extensive</w:t>
            </w:r>
          </w:p>
        </w:tc>
        <w:tc>
          <w:tcPr>
            <w:tcW w:w="1701" w:type="dxa"/>
            <w:tcBorders>
              <w:top w:val="single" w:sz="12" w:space="0" w:color="auto"/>
              <w:right w:val="single" w:sz="12" w:space="0" w:color="auto"/>
            </w:tcBorders>
            <w:shd w:val="clear" w:color="auto" w:fill="auto"/>
            <w:tcMar>
              <w:left w:w="28" w:type="dxa"/>
              <w:right w:w="28" w:type="dxa"/>
            </w:tcMar>
          </w:tcPr>
          <w:p w14:paraId="451B69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top w:val="single" w:sz="12" w:space="0" w:color="auto"/>
              <w:left w:val="single" w:sz="12" w:space="0" w:color="auto"/>
            </w:tcBorders>
            <w:shd w:val="clear" w:color="auto" w:fill="auto"/>
            <w:tcMar>
              <w:left w:w="28" w:type="dxa"/>
              <w:right w:w="28" w:type="dxa"/>
            </w:tcMar>
          </w:tcPr>
          <w:p w14:paraId="47A5D5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top w:val="single" w:sz="12" w:space="0" w:color="auto"/>
              <w:right w:val="single" w:sz="12" w:space="0" w:color="auto"/>
            </w:tcBorders>
            <w:shd w:val="clear" w:color="auto" w:fill="auto"/>
            <w:tcMar>
              <w:left w:w="28" w:type="dxa"/>
              <w:right w:w="28" w:type="dxa"/>
            </w:tcMar>
          </w:tcPr>
          <w:p w14:paraId="3FF78D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top w:val="single" w:sz="12" w:space="0" w:color="auto"/>
              <w:left w:val="single" w:sz="12" w:space="0" w:color="auto"/>
            </w:tcBorders>
            <w:shd w:val="clear" w:color="auto" w:fill="auto"/>
            <w:tcMar>
              <w:left w:w="28" w:type="dxa"/>
              <w:right w:w="28" w:type="dxa"/>
            </w:tcMar>
          </w:tcPr>
          <w:p w14:paraId="16F7A3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(PR vs. med OS)</w:t>
            </w:r>
          </w:p>
        </w:tc>
        <w:tc>
          <w:tcPr>
            <w:tcW w:w="1843" w:type="dxa"/>
            <w:tcBorders>
              <w:top w:val="single" w:sz="12" w:space="0" w:color="auto"/>
              <w:right w:val="single" w:sz="12" w:space="0" w:color="auto"/>
            </w:tcBorders>
            <w:shd w:val="clear" w:color="auto" w:fill="auto"/>
            <w:tcMar>
              <w:left w:w="28" w:type="dxa"/>
              <w:right w:w="28" w:type="dxa"/>
            </w:tcMar>
          </w:tcPr>
          <w:p w14:paraId="354250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r=0.29, p=0.018</w:t>
            </w:r>
          </w:p>
        </w:tc>
        <w:tc>
          <w:tcPr>
            <w:tcW w:w="1147" w:type="dxa"/>
            <w:tcBorders>
              <w:top w:val="single" w:sz="12" w:space="0" w:color="auto"/>
              <w:left w:val="single" w:sz="12" w:space="0" w:color="auto"/>
            </w:tcBorders>
            <w:shd w:val="clear" w:color="auto" w:fill="auto"/>
            <w:tcMar>
              <w:left w:w="28" w:type="dxa"/>
              <w:right w:w="28" w:type="dxa"/>
            </w:tcMar>
          </w:tcPr>
          <w:p w14:paraId="4C12FB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top w:val="single" w:sz="12" w:space="0" w:color="auto"/>
            </w:tcBorders>
            <w:shd w:val="clear" w:color="auto" w:fill="auto"/>
            <w:tcMar>
              <w:left w:w="28" w:type="dxa"/>
              <w:right w:w="28" w:type="dxa"/>
            </w:tcMar>
          </w:tcPr>
          <w:p w14:paraId="0F594B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top w:val="single" w:sz="12" w:space="0" w:color="auto"/>
            </w:tcBorders>
            <w:shd w:val="clear" w:color="auto" w:fill="auto"/>
            <w:tcMar>
              <w:left w:w="28" w:type="dxa"/>
              <w:right w:w="28" w:type="dxa"/>
            </w:tcMar>
          </w:tcPr>
          <w:p w14:paraId="6FB861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575BE64" w14:textId="77777777" w:rsidTr="003117A9">
        <w:trPr>
          <w:cantSplit/>
        </w:trPr>
        <w:tc>
          <w:tcPr>
            <w:tcW w:w="988" w:type="dxa"/>
            <w:tcBorders>
              <w:right w:val="single" w:sz="12" w:space="0" w:color="auto"/>
            </w:tcBorders>
            <w:shd w:val="clear" w:color="auto" w:fill="auto"/>
            <w:tcMar>
              <w:left w:w="28" w:type="dxa"/>
              <w:right w:w="28" w:type="dxa"/>
            </w:tcMar>
          </w:tcPr>
          <w:p w14:paraId="42125542" w14:textId="13491C9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left w:val="single" w:sz="12" w:space="0" w:color="auto"/>
            </w:tcBorders>
            <w:tcMar>
              <w:left w:w="28" w:type="dxa"/>
              <w:right w:w="28" w:type="dxa"/>
            </w:tcMar>
          </w:tcPr>
          <w:p w14:paraId="545D8C75"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w:t>
            </w:r>
          </w:p>
        </w:tc>
        <w:tc>
          <w:tcPr>
            <w:tcW w:w="858" w:type="dxa"/>
            <w:tcBorders>
              <w:right w:val="single" w:sz="12" w:space="0" w:color="auto"/>
            </w:tcBorders>
            <w:tcMar>
              <w:left w:w="28" w:type="dxa"/>
              <w:right w:w="28" w:type="dxa"/>
            </w:tcMar>
          </w:tcPr>
          <w:p w14:paraId="23E24949"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right w:val="single" w:sz="12" w:space="0" w:color="auto"/>
            </w:tcBorders>
            <w:shd w:val="clear" w:color="auto" w:fill="auto"/>
            <w:tcMar>
              <w:left w:w="28" w:type="dxa"/>
              <w:right w:w="28" w:type="dxa"/>
            </w:tcMar>
          </w:tcPr>
          <w:p w14:paraId="3B2234C2"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left w:val="single" w:sz="12" w:space="0" w:color="auto"/>
            </w:tcBorders>
            <w:shd w:val="clear" w:color="auto" w:fill="auto"/>
            <w:tcMar>
              <w:left w:w="28" w:type="dxa"/>
              <w:right w:w="28" w:type="dxa"/>
            </w:tcMar>
          </w:tcPr>
          <w:p w14:paraId="2A4EDC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Limited disease</w:t>
            </w:r>
          </w:p>
        </w:tc>
        <w:tc>
          <w:tcPr>
            <w:tcW w:w="1701" w:type="dxa"/>
            <w:tcBorders>
              <w:right w:val="single" w:sz="12" w:space="0" w:color="auto"/>
            </w:tcBorders>
            <w:shd w:val="clear" w:color="auto" w:fill="auto"/>
            <w:tcMar>
              <w:left w:w="28" w:type="dxa"/>
              <w:right w:w="28" w:type="dxa"/>
            </w:tcMar>
          </w:tcPr>
          <w:p w14:paraId="2E5AF0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left w:val="single" w:sz="12" w:space="0" w:color="auto"/>
            </w:tcBorders>
            <w:shd w:val="clear" w:color="auto" w:fill="auto"/>
            <w:tcMar>
              <w:left w:w="28" w:type="dxa"/>
              <w:right w:w="28" w:type="dxa"/>
            </w:tcMar>
          </w:tcPr>
          <w:p w14:paraId="71D970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right w:val="single" w:sz="12" w:space="0" w:color="auto"/>
            </w:tcBorders>
            <w:shd w:val="clear" w:color="auto" w:fill="auto"/>
            <w:tcMar>
              <w:left w:w="28" w:type="dxa"/>
              <w:right w:w="28" w:type="dxa"/>
            </w:tcMar>
          </w:tcPr>
          <w:p w14:paraId="3DBA74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left w:val="single" w:sz="12" w:space="0" w:color="auto"/>
            </w:tcBorders>
            <w:shd w:val="clear" w:color="auto" w:fill="auto"/>
            <w:tcMar>
              <w:left w:w="28" w:type="dxa"/>
              <w:right w:w="28" w:type="dxa"/>
            </w:tcMar>
          </w:tcPr>
          <w:p w14:paraId="352035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(PR vs. med OS)</w:t>
            </w:r>
          </w:p>
        </w:tc>
        <w:tc>
          <w:tcPr>
            <w:tcW w:w="1843" w:type="dxa"/>
            <w:tcBorders>
              <w:right w:val="single" w:sz="12" w:space="0" w:color="auto"/>
            </w:tcBorders>
            <w:shd w:val="clear" w:color="auto" w:fill="auto"/>
            <w:tcMar>
              <w:left w:w="28" w:type="dxa"/>
              <w:right w:w="28" w:type="dxa"/>
            </w:tcMar>
          </w:tcPr>
          <w:p w14:paraId="2FAD11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r=0.60, p=0.009</w:t>
            </w:r>
          </w:p>
        </w:tc>
        <w:tc>
          <w:tcPr>
            <w:tcW w:w="1147" w:type="dxa"/>
            <w:tcBorders>
              <w:left w:val="single" w:sz="12" w:space="0" w:color="auto"/>
            </w:tcBorders>
            <w:shd w:val="clear" w:color="auto" w:fill="auto"/>
            <w:tcMar>
              <w:left w:w="28" w:type="dxa"/>
              <w:right w:w="28" w:type="dxa"/>
            </w:tcMar>
          </w:tcPr>
          <w:p w14:paraId="1D8148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shd w:val="clear" w:color="auto" w:fill="auto"/>
            <w:tcMar>
              <w:left w:w="28" w:type="dxa"/>
              <w:right w:w="28" w:type="dxa"/>
            </w:tcMar>
          </w:tcPr>
          <w:p w14:paraId="03BDA3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shd w:val="clear" w:color="auto" w:fill="auto"/>
            <w:tcMar>
              <w:left w:w="28" w:type="dxa"/>
              <w:right w:w="28" w:type="dxa"/>
            </w:tcMar>
          </w:tcPr>
          <w:p w14:paraId="1D2527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21DD86C0"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tcPr>
          <w:p w14:paraId="0115DC05" w14:textId="31B838B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Nickolich 2014</w:t>
            </w:r>
            <w:r w:rsidRPr="002D1DD7">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PEVuZE5vdGU+PENpdGU+PEF1dGhvcj5OaWNrb2xpY2g8L0F1dGhvcj48WWVhcj4yMDE0PC9ZZWFy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119</w:t>
            </w:r>
            <w:r w:rsidRPr="002D1DD7">
              <w:rPr>
                <w:rFonts w:eastAsia="Times New Roman" w:cs="Times New Roman"/>
                <w:color w:val="000000"/>
                <w:sz w:val="18"/>
                <w:szCs w:val="18"/>
                <w:lang w:eastAsia="zh-CN"/>
              </w:rPr>
              <w:fldChar w:fldCharType="end"/>
            </w:r>
          </w:p>
        </w:tc>
        <w:tc>
          <w:tcPr>
            <w:tcW w:w="858" w:type="dxa"/>
            <w:tcBorders>
              <w:left w:val="single" w:sz="12" w:space="0" w:color="auto"/>
              <w:bottom w:val="single" w:sz="12" w:space="0" w:color="auto"/>
            </w:tcBorders>
            <w:tcMar>
              <w:left w:w="28" w:type="dxa"/>
              <w:right w:w="28" w:type="dxa"/>
            </w:tcMar>
          </w:tcPr>
          <w:p w14:paraId="3EA66F8D"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w:t>
            </w:r>
          </w:p>
        </w:tc>
        <w:tc>
          <w:tcPr>
            <w:tcW w:w="858" w:type="dxa"/>
            <w:tcBorders>
              <w:bottom w:val="single" w:sz="12" w:space="0" w:color="auto"/>
              <w:right w:val="single" w:sz="12" w:space="0" w:color="auto"/>
            </w:tcBorders>
            <w:tcMar>
              <w:left w:w="28" w:type="dxa"/>
              <w:right w:w="28" w:type="dxa"/>
            </w:tcMar>
          </w:tcPr>
          <w:p w14:paraId="121255DC" w14:textId="77777777" w:rsidR="002E26FD" w:rsidRPr="002D1DD7" w:rsidRDefault="002E26FD" w:rsidP="003117A9">
            <w:pPr>
              <w:spacing w:before="0" w:after="160" w:line="259"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858" w:type="dxa"/>
            <w:tcBorders>
              <w:left w:val="single" w:sz="12" w:space="0" w:color="auto"/>
              <w:bottom w:val="single" w:sz="12" w:space="0" w:color="auto"/>
              <w:right w:val="single" w:sz="12" w:space="0" w:color="auto"/>
            </w:tcBorders>
            <w:shd w:val="clear" w:color="auto" w:fill="auto"/>
            <w:tcMar>
              <w:left w:w="28" w:type="dxa"/>
              <w:right w:w="28" w:type="dxa"/>
            </w:tcMar>
          </w:tcPr>
          <w:p w14:paraId="64748B7F"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left w:val="single" w:sz="12" w:space="0" w:color="auto"/>
              <w:bottom w:val="single" w:sz="12" w:space="0" w:color="auto"/>
            </w:tcBorders>
            <w:shd w:val="clear" w:color="auto" w:fill="auto"/>
            <w:tcMar>
              <w:left w:w="28" w:type="dxa"/>
              <w:right w:w="28" w:type="dxa"/>
            </w:tcMar>
          </w:tcPr>
          <w:p w14:paraId="661878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 + maintenance</w:t>
            </w:r>
            <w:r w:rsidRPr="002D1DD7">
              <w:rPr>
                <w:rFonts w:eastAsia="Times New Roman" w:cs="Times New Roman"/>
                <w:color w:val="000000"/>
                <w:sz w:val="18"/>
                <w:szCs w:val="18"/>
                <w:lang w:eastAsia="zh-CN"/>
              </w:rPr>
              <w:br/>
              <w:t>- Extensive disease</w:t>
            </w:r>
          </w:p>
        </w:tc>
        <w:tc>
          <w:tcPr>
            <w:tcW w:w="1701" w:type="dxa"/>
            <w:tcBorders>
              <w:bottom w:val="single" w:sz="12" w:space="0" w:color="auto"/>
              <w:right w:val="single" w:sz="12" w:space="0" w:color="auto"/>
            </w:tcBorders>
            <w:shd w:val="clear" w:color="auto" w:fill="auto"/>
            <w:tcMar>
              <w:left w:w="28" w:type="dxa"/>
              <w:right w:w="28" w:type="dxa"/>
            </w:tcMar>
          </w:tcPr>
          <w:p w14:paraId="53CB20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73" w:type="dxa"/>
            <w:tcBorders>
              <w:left w:val="single" w:sz="12" w:space="0" w:color="auto"/>
              <w:bottom w:val="single" w:sz="12" w:space="0" w:color="auto"/>
            </w:tcBorders>
            <w:shd w:val="clear" w:color="auto" w:fill="auto"/>
            <w:tcMar>
              <w:left w:w="28" w:type="dxa"/>
              <w:right w:w="28" w:type="dxa"/>
            </w:tcMar>
          </w:tcPr>
          <w:p w14:paraId="32A1E7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46" w:type="dxa"/>
            <w:tcBorders>
              <w:bottom w:val="single" w:sz="12" w:space="0" w:color="auto"/>
              <w:right w:val="single" w:sz="12" w:space="0" w:color="auto"/>
            </w:tcBorders>
            <w:shd w:val="clear" w:color="auto" w:fill="auto"/>
            <w:tcMar>
              <w:left w:w="28" w:type="dxa"/>
              <w:right w:w="28" w:type="dxa"/>
            </w:tcMar>
          </w:tcPr>
          <w:p w14:paraId="082DDF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8471</w:t>
            </w:r>
            <w:r w:rsidRPr="002D1DD7">
              <w:rPr>
                <w:rFonts w:eastAsia="Times New Roman" w:cs="Times New Roman"/>
                <w:color w:val="000000"/>
                <w:sz w:val="18"/>
                <w:szCs w:val="18"/>
                <w:vertAlign w:val="superscript"/>
                <w:lang w:eastAsia="zh-CN"/>
              </w:rPr>
              <w:t>†</w:t>
            </w:r>
          </w:p>
        </w:tc>
        <w:tc>
          <w:tcPr>
            <w:tcW w:w="1665" w:type="dxa"/>
            <w:tcBorders>
              <w:left w:val="single" w:sz="12" w:space="0" w:color="auto"/>
              <w:bottom w:val="single" w:sz="12" w:space="0" w:color="auto"/>
            </w:tcBorders>
            <w:shd w:val="clear" w:color="auto" w:fill="auto"/>
            <w:tcMar>
              <w:left w:w="28" w:type="dxa"/>
              <w:right w:w="28" w:type="dxa"/>
            </w:tcMar>
          </w:tcPr>
          <w:p w14:paraId="62E5B4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(PR vs. med OS)</w:t>
            </w:r>
          </w:p>
        </w:tc>
        <w:tc>
          <w:tcPr>
            <w:tcW w:w="1843" w:type="dxa"/>
            <w:tcBorders>
              <w:bottom w:val="single" w:sz="12" w:space="0" w:color="auto"/>
              <w:right w:val="single" w:sz="12" w:space="0" w:color="auto"/>
            </w:tcBorders>
            <w:shd w:val="clear" w:color="auto" w:fill="auto"/>
            <w:tcMar>
              <w:left w:w="28" w:type="dxa"/>
              <w:right w:w="28" w:type="dxa"/>
            </w:tcMar>
          </w:tcPr>
          <w:p w14:paraId="214C9C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r=0.66, p=0.0002</w:t>
            </w:r>
          </w:p>
        </w:tc>
        <w:tc>
          <w:tcPr>
            <w:tcW w:w="1147" w:type="dxa"/>
            <w:tcBorders>
              <w:left w:val="single" w:sz="12" w:space="0" w:color="auto"/>
              <w:bottom w:val="single" w:sz="12" w:space="0" w:color="auto"/>
            </w:tcBorders>
            <w:shd w:val="clear" w:color="auto" w:fill="auto"/>
            <w:tcMar>
              <w:left w:w="28" w:type="dxa"/>
              <w:right w:w="28" w:type="dxa"/>
            </w:tcMar>
          </w:tcPr>
          <w:p w14:paraId="131710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316" w:type="dxa"/>
            <w:tcBorders>
              <w:bottom w:val="single" w:sz="12" w:space="0" w:color="auto"/>
            </w:tcBorders>
            <w:shd w:val="clear" w:color="auto" w:fill="auto"/>
            <w:tcMar>
              <w:left w:w="28" w:type="dxa"/>
              <w:right w:w="28" w:type="dxa"/>
            </w:tcMar>
          </w:tcPr>
          <w:p w14:paraId="76E85A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288" w:type="dxa"/>
            <w:tcBorders>
              <w:bottom w:val="single" w:sz="12" w:space="0" w:color="auto"/>
            </w:tcBorders>
            <w:shd w:val="clear" w:color="auto" w:fill="auto"/>
            <w:tcMar>
              <w:left w:w="28" w:type="dxa"/>
              <w:right w:w="28" w:type="dxa"/>
            </w:tcMar>
          </w:tcPr>
          <w:p w14:paraId="4AF7DC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r>
      <w:tr w:rsidR="002E26FD" w:rsidRPr="002D1DD7" w14:paraId="31F002DA" w14:textId="77777777" w:rsidTr="003117A9">
        <w:trPr>
          <w:cantSplit/>
        </w:trPr>
        <w:tc>
          <w:tcPr>
            <w:tcW w:w="14975" w:type="dxa"/>
            <w:gridSpan w:val="13"/>
            <w:tcBorders>
              <w:top w:val="single" w:sz="12" w:space="0" w:color="auto"/>
              <w:bottom w:val="single" w:sz="12" w:space="0" w:color="auto"/>
            </w:tcBorders>
            <w:shd w:val="clear" w:color="auto" w:fill="auto"/>
            <w:tcMar>
              <w:left w:w="28" w:type="dxa"/>
              <w:right w:w="28" w:type="dxa"/>
            </w:tcMar>
          </w:tcPr>
          <w:p w14:paraId="4A874007" w14:textId="77777777" w:rsidR="002E26FD" w:rsidRPr="002D1DD7" w:rsidRDefault="002E26FD" w:rsidP="003117A9">
            <w:pPr>
              <w:spacing w:before="0" w:after="0" w:line="240" w:lineRule="auto"/>
              <w:rPr>
                <w:rFonts w:eastAsia="DengXian" w:cs="Times New Roman"/>
                <w:sz w:val="18"/>
                <w:szCs w:val="18"/>
                <w:lang w:eastAsia="zh-CN"/>
              </w:rPr>
            </w:pPr>
            <w:r w:rsidRPr="002D1DD7">
              <w:rPr>
                <w:rFonts w:eastAsia="DengXian" w:cs="Times New Roman"/>
                <w:sz w:val="18"/>
                <w:szCs w:val="18"/>
                <w:lang w:eastAsia="zh-CN"/>
              </w:rPr>
              <w:t xml:space="preserve">*Calculated from reported data. </w:t>
            </w:r>
            <w:r w:rsidRPr="002D1DD7">
              <w:rPr>
                <w:rFonts w:eastAsia="Times New Roman" w:cs="Times New Roman"/>
                <w:color w:val="000000"/>
                <w:sz w:val="18"/>
                <w:szCs w:val="18"/>
                <w:vertAlign w:val="superscript"/>
                <w:lang w:eastAsia="zh-CN"/>
              </w:rPr>
              <w:t>†</w:t>
            </w:r>
            <w:r w:rsidRPr="002D1DD7">
              <w:rPr>
                <w:rFonts w:eastAsia="DengXian" w:cs="Times New Roman"/>
                <w:sz w:val="18"/>
                <w:szCs w:val="18"/>
                <w:lang w:eastAsia="zh-CN"/>
              </w:rPr>
              <w:t>Unclear for individual subgroups.</w:t>
            </w:r>
          </w:p>
          <w:p w14:paraId="41B022EF" w14:textId="77777777" w:rsidR="002E26FD" w:rsidRPr="002D1DD7" w:rsidRDefault="002E26FD" w:rsidP="003117A9">
            <w:pPr>
              <w:spacing w:before="0" w:after="0" w:line="240" w:lineRule="auto"/>
              <w:rPr>
                <w:rFonts w:eastAsia="DengXian" w:cs="Times New Roman"/>
                <w:sz w:val="18"/>
                <w:szCs w:val="18"/>
                <w:lang w:eastAsia="zh-CN"/>
              </w:rPr>
            </w:pPr>
          </w:p>
          <w:p w14:paraId="1D39153A" w14:textId="77777777" w:rsidR="002E26FD" w:rsidRPr="002D1DD7" w:rsidRDefault="002E26FD" w:rsidP="003117A9">
            <w:pPr>
              <w:spacing w:before="0" w:after="0" w:line="240" w:lineRule="auto"/>
              <w:rPr>
                <w:rFonts w:eastAsia="DengXian" w:cs="Times New Roman"/>
                <w:sz w:val="18"/>
                <w:szCs w:val="18"/>
                <w:lang w:eastAsia="zh-CN"/>
              </w:rPr>
            </w:pPr>
            <w:r w:rsidRPr="002D1DD7">
              <w:rPr>
                <w:rFonts w:eastAsia="DengXian" w:cs="Times New Roman"/>
                <w:sz w:val="18"/>
                <w:szCs w:val="18"/>
                <w:lang w:eastAsia="zh-CN"/>
              </w:rPr>
              <w:t xml:space="preserve">adj, adjusted; chemo, chemotherapy; CI, confidence interval; CR, complete response; FO, final outcome; HER2, human epidermal growth factor receptor 2; log, logarithm; LR, linear regression; med, median; mo, months; NHL, non-Hodgkin’s lymphoma; NR, not reported; NSCLC, non-small cell lung cancer; </w:t>
            </w:r>
            <w:r>
              <w:rPr>
                <w:rFonts w:eastAsia="DengXian" w:cs="Times New Roman"/>
                <w:sz w:val="18"/>
                <w:szCs w:val="18"/>
                <w:lang w:eastAsia="zh-CN"/>
              </w:rPr>
              <w:t>O</w:t>
            </w:r>
            <w:r w:rsidRPr="002D1DD7">
              <w:rPr>
                <w:rFonts w:eastAsia="DengXian" w:cs="Times New Roman"/>
                <w:sz w:val="18"/>
                <w:szCs w:val="18"/>
                <w:lang w:eastAsia="zh-CN"/>
              </w:rPr>
              <w:t xml:space="preserve">RR, </w:t>
            </w:r>
            <w:r>
              <w:rPr>
                <w:rFonts w:eastAsia="DengXian" w:cs="Times New Roman"/>
                <w:sz w:val="18"/>
                <w:szCs w:val="18"/>
                <w:lang w:eastAsia="zh-CN"/>
              </w:rPr>
              <w:t xml:space="preserve">overall </w:t>
            </w:r>
            <w:r w:rsidRPr="002D1DD7">
              <w:rPr>
                <w:rFonts w:eastAsia="DengXian" w:cs="Times New Roman"/>
                <w:sz w:val="18"/>
                <w:szCs w:val="18"/>
                <w:lang w:eastAsia="zh-CN"/>
              </w:rPr>
              <w:t>response rate (</w:t>
            </w:r>
            <w:r>
              <w:rPr>
                <w:rFonts w:eastAsia="DengXian" w:cs="Times New Roman"/>
                <w:sz w:val="18"/>
                <w:szCs w:val="18"/>
                <w:lang w:eastAsia="zh-CN"/>
              </w:rPr>
              <w:t>O</w:t>
            </w:r>
            <w:r w:rsidRPr="002D1DD7">
              <w:rPr>
                <w:rFonts w:eastAsia="DengXian" w:cs="Times New Roman"/>
                <w:sz w:val="18"/>
                <w:szCs w:val="18"/>
                <w:lang w:eastAsia="zh-CN"/>
              </w:rPr>
              <w:t>RR=PR+CR); OS, overall survival; PFS, progression-free survival; PR, partial response; r, Pearson correlation; R2, regression coefficient of determination; r2s, squared Spearman rank correlation; rs, Spearman rank correlation; SCLC, small cell lung cancer; SO, surrogate outcome; TTP, time to progression; unwtd, unweighted; VGPR, very good partial response; wtd, weighted; WLR, weighted linear regression; WLSR, weighted least squares regression.</w:t>
            </w:r>
          </w:p>
        </w:tc>
      </w:tr>
    </w:tbl>
    <w:p w14:paraId="33BB252A" w14:textId="77777777" w:rsidR="002E26FD" w:rsidRDefault="002E26FD" w:rsidP="00057280">
      <w:pPr>
        <w:spacing w:before="0" w:after="160" w:line="259" w:lineRule="auto"/>
        <w:rPr>
          <w:rFonts w:eastAsia="Times New Roman" w:cs="Times New Roman"/>
          <w:color w:val="000000"/>
          <w:lang w:eastAsia="en-GB"/>
        </w:rPr>
      </w:pPr>
    </w:p>
    <w:p w14:paraId="7CE7ED4F" w14:textId="330DCE96" w:rsidR="00057280" w:rsidRPr="002D1DD7" w:rsidRDefault="00057280" w:rsidP="00057280">
      <w:pPr>
        <w:spacing w:before="0" w:after="160" w:line="259" w:lineRule="auto"/>
        <w:rPr>
          <w:rFonts w:eastAsia="Times New Roman" w:cs="Times New Roman"/>
          <w:color w:val="000000"/>
          <w:lang w:eastAsia="en-GB"/>
        </w:rPr>
      </w:pPr>
      <w:r w:rsidRPr="002D1DD7">
        <w:rPr>
          <w:rFonts w:eastAsia="Times New Roman" w:cs="Times New Roman"/>
          <w:color w:val="000000"/>
          <w:lang w:eastAsia="en-GB"/>
        </w:rPr>
        <w:br w:type="page"/>
      </w:r>
    </w:p>
    <w:p w14:paraId="6887DC1E" w14:textId="6125C881" w:rsidR="00057280" w:rsidRPr="002D1DD7" w:rsidRDefault="00424CC3" w:rsidP="00EC11CD">
      <w:pPr>
        <w:pStyle w:val="NonnumberedH2"/>
      </w:pPr>
      <w:bookmarkStart w:id="297" w:name="_Toc33776256"/>
      <w:r w:rsidRPr="002D1DD7">
        <w:lastRenderedPageBreak/>
        <w:t>Appendix 6</w:t>
      </w:r>
      <w:r w:rsidR="00057280" w:rsidRPr="002D1DD7">
        <w:t>: Treatment effect correlation &amp; regression results</w:t>
      </w:r>
      <w:r w:rsidR="00456444">
        <w:t xml:space="preserve"> (ordered by outcome type then cancer type then author)</w:t>
      </w:r>
      <w:bookmarkEnd w:id="297"/>
    </w:p>
    <w:tbl>
      <w:tblPr>
        <w:tblW w:w="15525" w:type="dxa"/>
        <w:tblInd w:w="-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8"/>
        <w:gridCol w:w="430"/>
        <w:gridCol w:w="425"/>
        <w:gridCol w:w="983"/>
        <w:gridCol w:w="1134"/>
        <w:gridCol w:w="992"/>
        <w:gridCol w:w="567"/>
        <w:gridCol w:w="709"/>
        <w:gridCol w:w="1559"/>
        <w:gridCol w:w="1460"/>
        <w:gridCol w:w="1659"/>
        <w:gridCol w:w="1559"/>
        <w:gridCol w:w="1072"/>
        <w:gridCol w:w="546"/>
        <w:gridCol w:w="798"/>
        <w:gridCol w:w="644"/>
      </w:tblGrid>
      <w:tr w:rsidR="002E26FD" w:rsidRPr="002D1DD7" w14:paraId="6C6D55A7" w14:textId="77777777" w:rsidTr="003117A9">
        <w:trPr>
          <w:cantSplit/>
          <w:tblHeader/>
        </w:trPr>
        <w:tc>
          <w:tcPr>
            <w:tcW w:w="988" w:type="dxa"/>
            <w:tcBorders>
              <w:right w:val="single" w:sz="12" w:space="0" w:color="auto"/>
            </w:tcBorders>
            <w:shd w:val="clear" w:color="auto" w:fill="D9D9D9"/>
            <w:tcMar>
              <w:left w:w="28" w:type="dxa"/>
              <w:right w:w="28" w:type="dxa"/>
            </w:tcMar>
            <w:hideMark/>
          </w:tcPr>
          <w:p w14:paraId="04F92D58"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Ref</w:t>
            </w:r>
          </w:p>
        </w:tc>
        <w:tc>
          <w:tcPr>
            <w:tcW w:w="430" w:type="dxa"/>
            <w:tcBorders>
              <w:top w:val="single" w:sz="12" w:space="0" w:color="auto"/>
              <w:left w:val="single" w:sz="12" w:space="0" w:color="auto"/>
            </w:tcBorders>
            <w:shd w:val="clear" w:color="auto" w:fill="D9D9D9"/>
            <w:tcMar>
              <w:left w:w="28" w:type="dxa"/>
              <w:right w:w="28" w:type="dxa"/>
            </w:tcMar>
          </w:tcPr>
          <w:p w14:paraId="664D36E6"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SO</w:t>
            </w:r>
          </w:p>
        </w:tc>
        <w:tc>
          <w:tcPr>
            <w:tcW w:w="425" w:type="dxa"/>
            <w:tcBorders>
              <w:top w:val="single" w:sz="12" w:space="0" w:color="auto"/>
              <w:right w:val="single" w:sz="12" w:space="0" w:color="auto"/>
            </w:tcBorders>
            <w:shd w:val="clear" w:color="auto" w:fill="D9D9D9"/>
            <w:tcMar>
              <w:left w:w="28" w:type="dxa"/>
              <w:right w:w="28" w:type="dxa"/>
            </w:tcMar>
          </w:tcPr>
          <w:p w14:paraId="3B3FFCA8"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FO</w:t>
            </w:r>
          </w:p>
        </w:tc>
        <w:tc>
          <w:tcPr>
            <w:tcW w:w="983" w:type="dxa"/>
            <w:tcBorders>
              <w:left w:val="single" w:sz="12" w:space="0" w:color="auto"/>
              <w:right w:val="single" w:sz="12" w:space="0" w:color="auto"/>
            </w:tcBorders>
            <w:shd w:val="clear" w:color="auto" w:fill="D9D9D9"/>
            <w:tcMar>
              <w:left w:w="28" w:type="dxa"/>
              <w:right w:w="28" w:type="dxa"/>
            </w:tcMar>
            <w:hideMark/>
          </w:tcPr>
          <w:p w14:paraId="20CC907A"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Cancer</w:t>
            </w:r>
          </w:p>
        </w:tc>
        <w:tc>
          <w:tcPr>
            <w:tcW w:w="1134" w:type="dxa"/>
            <w:tcBorders>
              <w:top w:val="single" w:sz="12" w:space="0" w:color="auto"/>
              <w:left w:val="single" w:sz="12" w:space="0" w:color="auto"/>
            </w:tcBorders>
            <w:shd w:val="clear" w:color="auto" w:fill="D9D9D9"/>
            <w:tcMar>
              <w:left w:w="28" w:type="dxa"/>
              <w:right w:w="28" w:type="dxa"/>
            </w:tcMar>
            <w:hideMark/>
          </w:tcPr>
          <w:p w14:paraId="62CF4AD2"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Line</w:t>
            </w:r>
            <w:r w:rsidRPr="002D1DD7">
              <w:rPr>
                <w:rFonts w:eastAsia="Times New Roman" w:cs="Times New Roman"/>
                <w:b/>
                <w:bCs/>
                <w:color w:val="000000"/>
                <w:sz w:val="18"/>
                <w:szCs w:val="18"/>
                <w:lang w:eastAsia="zh-CN"/>
              </w:rPr>
              <w:br/>
              <w:t>Sub-groups</w:t>
            </w:r>
          </w:p>
        </w:tc>
        <w:tc>
          <w:tcPr>
            <w:tcW w:w="992" w:type="dxa"/>
            <w:tcBorders>
              <w:top w:val="single" w:sz="12" w:space="0" w:color="auto"/>
              <w:right w:val="single" w:sz="12" w:space="0" w:color="auto"/>
            </w:tcBorders>
            <w:shd w:val="clear" w:color="auto" w:fill="D9D9D9"/>
            <w:tcMar>
              <w:left w:w="28" w:type="dxa"/>
              <w:right w:w="28" w:type="dxa"/>
            </w:tcMar>
            <w:hideMark/>
          </w:tcPr>
          <w:p w14:paraId="45764476"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Treatment</w:t>
            </w:r>
          </w:p>
        </w:tc>
        <w:tc>
          <w:tcPr>
            <w:tcW w:w="567" w:type="dxa"/>
            <w:tcBorders>
              <w:left w:val="single" w:sz="12" w:space="0" w:color="auto"/>
            </w:tcBorders>
            <w:shd w:val="clear" w:color="auto" w:fill="D9D9D9"/>
            <w:tcMar>
              <w:left w:w="28" w:type="dxa"/>
              <w:right w:w="28" w:type="dxa"/>
            </w:tcMar>
            <w:hideMark/>
          </w:tcPr>
          <w:p w14:paraId="652D4B77"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N stds</w:t>
            </w:r>
          </w:p>
        </w:tc>
        <w:tc>
          <w:tcPr>
            <w:tcW w:w="709" w:type="dxa"/>
            <w:tcBorders>
              <w:right w:val="single" w:sz="12" w:space="0" w:color="auto"/>
            </w:tcBorders>
            <w:shd w:val="clear" w:color="auto" w:fill="D9D9D9"/>
            <w:tcMar>
              <w:left w:w="28" w:type="dxa"/>
              <w:right w:w="28" w:type="dxa"/>
            </w:tcMar>
            <w:hideMark/>
          </w:tcPr>
          <w:p w14:paraId="15B503F4"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N pts</w:t>
            </w:r>
          </w:p>
        </w:tc>
        <w:tc>
          <w:tcPr>
            <w:tcW w:w="1559" w:type="dxa"/>
            <w:tcBorders>
              <w:top w:val="single" w:sz="12" w:space="0" w:color="auto"/>
              <w:left w:val="single" w:sz="12" w:space="0" w:color="auto"/>
            </w:tcBorders>
            <w:shd w:val="clear" w:color="auto" w:fill="D9D9D9"/>
            <w:tcMar>
              <w:left w:w="28" w:type="dxa"/>
              <w:right w:w="28" w:type="dxa"/>
            </w:tcMar>
            <w:hideMark/>
          </w:tcPr>
          <w:p w14:paraId="5C655472"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Treatment effect correlation methods</w:t>
            </w:r>
          </w:p>
        </w:tc>
        <w:tc>
          <w:tcPr>
            <w:tcW w:w="1460" w:type="dxa"/>
            <w:tcBorders>
              <w:top w:val="single" w:sz="12" w:space="0" w:color="auto"/>
              <w:right w:val="single" w:sz="12" w:space="0" w:color="auto"/>
            </w:tcBorders>
            <w:shd w:val="clear" w:color="auto" w:fill="D9D9D9"/>
            <w:tcMar>
              <w:left w:w="28" w:type="dxa"/>
              <w:right w:w="28" w:type="dxa"/>
            </w:tcMar>
            <w:hideMark/>
          </w:tcPr>
          <w:p w14:paraId="36658B15"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Correlation coefficient (95% CI), p-value</w:t>
            </w:r>
          </w:p>
        </w:tc>
        <w:tc>
          <w:tcPr>
            <w:tcW w:w="1659" w:type="dxa"/>
            <w:tcBorders>
              <w:left w:val="single" w:sz="12" w:space="0" w:color="auto"/>
            </w:tcBorders>
            <w:shd w:val="clear" w:color="auto" w:fill="D9D9D9"/>
            <w:tcMar>
              <w:left w:w="28" w:type="dxa"/>
              <w:right w:w="28" w:type="dxa"/>
            </w:tcMar>
            <w:hideMark/>
          </w:tcPr>
          <w:p w14:paraId="70956D28"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Treatment effect regression methods</w:t>
            </w:r>
          </w:p>
        </w:tc>
        <w:tc>
          <w:tcPr>
            <w:tcW w:w="1559" w:type="dxa"/>
            <w:shd w:val="clear" w:color="auto" w:fill="D9D9D9"/>
            <w:tcMar>
              <w:left w:w="28" w:type="dxa"/>
              <w:right w:w="28" w:type="dxa"/>
            </w:tcMar>
            <w:hideMark/>
          </w:tcPr>
          <w:p w14:paraId="2F899124"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Regression R2 (95% CI), p-value</w:t>
            </w:r>
          </w:p>
        </w:tc>
        <w:tc>
          <w:tcPr>
            <w:tcW w:w="1072" w:type="dxa"/>
            <w:tcBorders>
              <w:right w:val="single" w:sz="12" w:space="0" w:color="auto"/>
            </w:tcBorders>
            <w:shd w:val="clear" w:color="auto" w:fill="D9D9D9"/>
            <w:tcMar>
              <w:left w:w="28" w:type="dxa"/>
              <w:right w:w="28" w:type="dxa"/>
            </w:tcMar>
            <w:hideMark/>
          </w:tcPr>
          <w:p w14:paraId="4B91E46D"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Linear regression equation</w:t>
            </w:r>
          </w:p>
        </w:tc>
        <w:tc>
          <w:tcPr>
            <w:tcW w:w="546" w:type="dxa"/>
            <w:tcBorders>
              <w:top w:val="single" w:sz="12" w:space="0" w:color="auto"/>
              <w:left w:val="single" w:sz="12" w:space="0" w:color="auto"/>
              <w:right w:val="single" w:sz="12" w:space="0" w:color="auto"/>
            </w:tcBorders>
            <w:shd w:val="clear" w:color="auto" w:fill="D9D9D9"/>
            <w:tcMar>
              <w:left w:w="28" w:type="dxa"/>
              <w:right w:w="28" w:type="dxa"/>
            </w:tcMar>
            <w:hideMark/>
          </w:tcPr>
          <w:p w14:paraId="36F4F4FA"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STE</w:t>
            </w:r>
          </w:p>
        </w:tc>
        <w:tc>
          <w:tcPr>
            <w:tcW w:w="798" w:type="dxa"/>
            <w:tcBorders>
              <w:left w:val="single" w:sz="12" w:space="0" w:color="auto"/>
            </w:tcBorders>
            <w:shd w:val="clear" w:color="auto" w:fill="D9D9D9"/>
            <w:tcMar>
              <w:left w:w="28" w:type="dxa"/>
              <w:right w:w="28" w:type="dxa"/>
            </w:tcMar>
            <w:hideMark/>
          </w:tcPr>
          <w:p w14:paraId="6E66EA51"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IQWiG</w:t>
            </w:r>
          </w:p>
        </w:tc>
        <w:tc>
          <w:tcPr>
            <w:tcW w:w="644" w:type="dxa"/>
            <w:shd w:val="clear" w:color="auto" w:fill="D9D9D9"/>
            <w:tcMar>
              <w:left w:w="28" w:type="dxa"/>
              <w:right w:w="28" w:type="dxa"/>
            </w:tcMar>
            <w:hideMark/>
          </w:tcPr>
          <w:p w14:paraId="7D381AE9" w14:textId="77777777" w:rsidR="002E26FD" w:rsidRPr="002D1DD7" w:rsidRDefault="002E26FD" w:rsidP="003117A9">
            <w:pPr>
              <w:spacing w:before="0" w:after="0" w:line="240" w:lineRule="auto"/>
              <w:rPr>
                <w:rFonts w:eastAsia="Times New Roman" w:cs="Times New Roman"/>
                <w:b/>
                <w:bCs/>
                <w:color w:val="000000"/>
                <w:sz w:val="18"/>
                <w:szCs w:val="18"/>
                <w:lang w:eastAsia="zh-CN"/>
              </w:rPr>
            </w:pPr>
            <w:r w:rsidRPr="002D1DD7">
              <w:rPr>
                <w:rFonts w:eastAsia="Times New Roman" w:cs="Times New Roman"/>
                <w:b/>
                <w:bCs/>
                <w:color w:val="000000"/>
                <w:sz w:val="18"/>
                <w:szCs w:val="18"/>
                <w:lang w:eastAsia="zh-CN"/>
              </w:rPr>
              <w:t>BSES2</w:t>
            </w:r>
          </w:p>
        </w:tc>
      </w:tr>
      <w:tr w:rsidR="002E26FD" w:rsidRPr="002D1DD7" w14:paraId="5DC0D2B1" w14:textId="77777777" w:rsidTr="003117A9">
        <w:trPr>
          <w:cantSplit/>
        </w:trPr>
        <w:tc>
          <w:tcPr>
            <w:tcW w:w="15525" w:type="dxa"/>
            <w:gridSpan w:val="16"/>
            <w:tcBorders>
              <w:top w:val="single" w:sz="12" w:space="0" w:color="auto"/>
              <w:bottom w:val="single" w:sz="12" w:space="0" w:color="auto"/>
            </w:tcBorders>
            <w:shd w:val="clear" w:color="auto" w:fill="D9D9D9"/>
            <w:tcMar>
              <w:left w:w="28" w:type="dxa"/>
              <w:right w:w="28" w:type="dxa"/>
            </w:tcMar>
          </w:tcPr>
          <w:p w14:paraId="397BCEFF"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Pr>
                <w:rFonts w:eastAsia="Times New Roman" w:cs="Times New Roman"/>
                <w:b/>
                <w:bCs/>
                <w:color w:val="000000"/>
                <w:sz w:val="18"/>
                <w:szCs w:val="18"/>
                <w:lang w:eastAsia="zh-CN"/>
              </w:rPr>
              <w:t>O</w:t>
            </w:r>
            <w:r w:rsidRPr="002D1DD7">
              <w:rPr>
                <w:rFonts w:eastAsia="Times New Roman" w:cs="Times New Roman"/>
                <w:b/>
                <w:bCs/>
                <w:color w:val="000000"/>
                <w:sz w:val="18"/>
                <w:szCs w:val="18"/>
                <w:lang w:eastAsia="zh-CN"/>
              </w:rPr>
              <w:t>RR vs. PFS</w:t>
            </w:r>
          </w:p>
        </w:tc>
      </w:tr>
      <w:tr w:rsidR="002E26FD" w:rsidRPr="002D1DD7" w14:paraId="281B83B9"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495FCA22" w14:textId="572434E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Burzykowski 2008</w:t>
            </w:r>
            <w:r w:rsidRPr="002D1DD7">
              <w:rPr>
                <w:rFonts w:eastAsia="Times New Roman" w:cs="Times New Roman"/>
                <w:sz w:val="18"/>
                <w:szCs w:val="18"/>
                <w:lang w:eastAsia="zh-CN"/>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84</w:t>
            </w:r>
            <w:r w:rsidRPr="002D1DD7">
              <w:rPr>
                <w:rFonts w:eastAsia="Times New Roman" w:cs="Times New Roman"/>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7ADA618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26DC56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6DED74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left w:val="single" w:sz="12" w:space="0" w:color="auto"/>
              <w:bottom w:val="single" w:sz="12" w:space="0" w:color="auto"/>
            </w:tcBorders>
            <w:shd w:val="clear" w:color="auto" w:fill="auto"/>
            <w:tcMar>
              <w:left w:w="28" w:type="dxa"/>
              <w:right w:w="28" w:type="dxa"/>
            </w:tcMar>
            <w:hideMark/>
          </w:tcPr>
          <w:p w14:paraId="49A9EC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bottom w:val="single" w:sz="12" w:space="0" w:color="auto"/>
              <w:right w:val="single" w:sz="12" w:space="0" w:color="auto"/>
            </w:tcBorders>
            <w:shd w:val="clear" w:color="auto" w:fill="auto"/>
            <w:tcMar>
              <w:left w:w="28" w:type="dxa"/>
              <w:right w:w="28" w:type="dxa"/>
            </w:tcMar>
            <w:hideMark/>
          </w:tcPr>
          <w:p w14:paraId="16E881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bottom w:val="single" w:sz="12" w:space="0" w:color="auto"/>
            </w:tcBorders>
            <w:shd w:val="clear" w:color="auto" w:fill="auto"/>
            <w:tcMar>
              <w:left w:w="28" w:type="dxa"/>
              <w:right w:w="28" w:type="dxa"/>
            </w:tcMar>
            <w:hideMark/>
          </w:tcPr>
          <w:p w14:paraId="70BE27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09" w:type="dxa"/>
            <w:tcBorders>
              <w:bottom w:val="single" w:sz="12" w:space="0" w:color="auto"/>
              <w:right w:val="single" w:sz="12" w:space="0" w:color="auto"/>
            </w:tcBorders>
            <w:shd w:val="clear" w:color="auto" w:fill="auto"/>
            <w:tcMar>
              <w:left w:w="28" w:type="dxa"/>
              <w:right w:w="28" w:type="dxa"/>
            </w:tcMar>
            <w:hideMark/>
          </w:tcPr>
          <w:p w14:paraId="49FC80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3953</w:t>
            </w:r>
          </w:p>
        </w:tc>
        <w:tc>
          <w:tcPr>
            <w:tcW w:w="1559" w:type="dxa"/>
            <w:tcBorders>
              <w:left w:val="single" w:sz="12" w:space="0" w:color="auto"/>
              <w:bottom w:val="single" w:sz="12" w:space="0" w:color="auto"/>
            </w:tcBorders>
            <w:shd w:val="clear" w:color="auto" w:fill="auto"/>
            <w:tcMar>
              <w:left w:w="28" w:type="dxa"/>
              <w:right w:w="28" w:type="dxa"/>
            </w:tcMar>
            <w:hideMark/>
          </w:tcPr>
          <w:p w14:paraId="76D311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via LR with Plackett copula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460" w:type="dxa"/>
            <w:tcBorders>
              <w:bottom w:val="single" w:sz="12" w:space="0" w:color="auto"/>
              <w:right w:val="single" w:sz="12" w:space="0" w:color="auto"/>
            </w:tcBorders>
            <w:shd w:val="clear" w:color="auto" w:fill="auto"/>
            <w:tcMar>
              <w:left w:w="28" w:type="dxa"/>
              <w:right w:w="28" w:type="dxa"/>
            </w:tcMar>
            <w:hideMark/>
          </w:tcPr>
          <w:p w14:paraId="1A4865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rs=0.96 (0.73 to 1.19), p=NR</w:t>
            </w:r>
          </w:p>
        </w:tc>
        <w:tc>
          <w:tcPr>
            <w:tcW w:w="1659" w:type="dxa"/>
            <w:tcBorders>
              <w:left w:val="single" w:sz="12" w:space="0" w:color="auto"/>
              <w:bottom w:val="single" w:sz="12" w:space="0" w:color="auto"/>
            </w:tcBorders>
            <w:shd w:val="clear" w:color="auto" w:fill="auto"/>
            <w:tcMar>
              <w:left w:w="28" w:type="dxa"/>
              <w:right w:w="28" w:type="dxa"/>
            </w:tcMar>
            <w:hideMark/>
          </w:tcPr>
          <w:p w14:paraId="6678A4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w:t>
            </w:r>
          </w:p>
        </w:tc>
        <w:tc>
          <w:tcPr>
            <w:tcW w:w="1559" w:type="dxa"/>
            <w:tcBorders>
              <w:bottom w:val="single" w:sz="12" w:space="0" w:color="auto"/>
            </w:tcBorders>
            <w:shd w:val="clear" w:color="auto" w:fill="auto"/>
            <w:tcMar>
              <w:left w:w="28" w:type="dxa"/>
              <w:right w:w="28" w:type="dxa"/>
            </w:tcMar>
            <w:hideMark/>
          </w:tcPr>
          <w:p w14:paraId="3D5C09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bottom w:val="single" w:sz="12" w:space="0" w:color="auto"/>
              <w:right w:val="single" w:sz="12" w:space="0" w:color="auto"/>
            </w:tcBorders>
            <w:shd w:val="clear" w:color="auto" w:fill="auto"/>
            <w:tcMar>
              <w:left w:w="28" w:type="dxa"/>
              <w:right w:w="28" w:type="dxa"/>
            </w:tcMar>
            <w:hideMark/>
          </w:tcPr>
          <w:p w14:paraId="0EE6CD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PFS = 0.10 + 0.50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4757FD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15B325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bottom w:val="single" w:sz="12" w:space="0" w:color="auto"/>
            </w:tcBorders>
            <w:shd w:val="clear" w:color="auto" w:fill="auto"/>
            <w:tcMar>
              <w:left w:w="28" w:type="dxa"/>
              <w:right w:w="28" w:type="dxa"/>
            </w:tcMar>
            <w:hideMark/>
          </w:tcPr>
          <w:p w14:paraId="14A564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73BD543"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42991956" w14:textId="0524D1D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Ciani 2015</w:t>
            </w:r>
            <w:r w:rsidRPr="002D1DD7">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86</w:t>
            </w:r>
            <w:r w:rsidRPr="002D1DD7">
              <w:rPr>
                <w:rFonts w:eastAsia="Times New Roman" w:cs="Times New Roman"/>
                <w:sz w:val="18"/>
                <w:szCs w:val="18"/>
                <w:lang w:eastAsia="zh-CN"/>
              </w:rPr>
              <w:fldChar w:fldCharType="end"/>
            </w:r>
            <w:r w:rsidRPr="002D1DD7">
              <w:rPr>
                <w:rFonts w:eastAsia="Times New Roman" w:cs="Times New Roman"/>
                <w:color w:val="000000"/>
                <w:sz w:val="18"/>
                <w:szCs w:val="18"/>
                <w:lang w:eastAsia="zh-CN"/>
              </w:rPr>
              <w:br/>
              <w:t>Elia 2018</w:t>
            </w:r>
            <w:r w:rsidRPr="002D1DD7">
              <w:rPr>
                <w:rFonts w:eastAsia="Times New Roman" w:cs="Times New Roman"/>
                <w:sz w:val="18"/>
                <w:szCs w:val="18"/>
                <w:lang w:eastAsia="zh-CN"/>
              </w:rPr>
              <w:fldChar w:fldCharType="begin"/>
            </w:r>
            <w:r w:rsidR="003117A9">
              <w:rPr>
                <w:rFonts w:eastAsia="Times New Roman" w:cs="Times New Roman"/>
                <w:sz w:val="18"/>
                <w:szCs w:val="18"/>
                <w:lang w:eastAsia="zh-CN"/>
              </w:rPr>
              <w:instrText xml:space="preserve"> ADDIN EN.CITE &lt;EndNote&gt;&lt;Cite&gt;&lt;Author&gt;Elia&lt;/Author&gt;&lt;Year&gt;2018&lt;/Year&gt;&lt;RecNum&gt;749&lt;/RecNum&gt;&lt;IDText&gt;$$include full text KC&amp;#xD;Same dataset as Ciani 2015&lt;/IDText&gt;&lt;DisplayText&gt;&lt;style face="superscript"&gt;93&lt;/style&gt;&lt;/DisplayText&gt;&lt;record&gt;&lt;rec-number&gt;749&lt;/rec-number&gt;&lt;foreign-keys&gt;&lt;key app="EN" db-id="dwaevxvazfs2f3ewvzmxrd0k0wasw55p2z2w" timestamp="1557310654"&gt;749&lt;/key&gt;&lt;/foreign-keys&gt;&lt;ref-type name="Journal Article"&gt;17&lt;/ref-type&gt;&lt;contributors&gt;&lt;authors&gt;&lt;author&gt;Elia, Eleni G&lt;/author&gt;&lt;author&gt;Städler, Nicolas&lt;/author&gt;&lt;author&gt;Ciani, Oriana&lt;/author&gt;&lt;author&gt;Taylor, Rod S&lt;/author&gt;&lt;author&gt;Bujkiewicz, Sylwia&lt;/author&gt;&lt;/authors&gt;&lt;/contributors&gt;&lt;titles&gt;&lt;title&gt;Combining tumour response and progression free survival as surrogate endpoints for overall survival in advanced colorectal cancer&lt;/title&gt;&lt;secondary-title&gt;arXiv preprint arXiv:1809.02935&lt;/secondary-title&gt;&lt;short-title&gt;Combining tumour response and progression free survival as surrogate endpoints for overall survival in advanced colorectal cancer&lt;/short-title&gt;&lt;/titles&gt;&lt;periodical&gt;&lt;full-title&gt;arXiv preprint arXiv:1809.02935&lt;/full-title&gt;&lt;/periodical&gt;&lt;keywords&gt;&lt;keyword&gt;$$include abstract KC&lt;/keyword&gt;&lt;keyword&gt;$$Citation search&lt;/keyword&gt;&lt;/keywords&gt;&lt;dates&gt;&lt;year&gt;2018&lt;/year&gt;&lt;/dates&gt;&lt;label&gt;$$include full text KC&amp;#xD;Same dataset as Ciani 2015&lt;/label&gt;&lt;urls&gt;&lt;/urls&gt;&lt;/record&gt;&lt;/Cite&gt;&lt;/EndNote&gt;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93</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066DDCE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3FBF2E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46E90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40AEDB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0F1C69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501A80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33</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23D2B2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651829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6AEBDE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75C465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Adj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tcBorders>
              <w:top w:val="single" w:sz="12" w:space="0" w:color="auto"/>
              <w:bottom w:val="single" w:sz="4" w:space="0" w:color="auto"/>
            </w:tcBorders>
            <w:shd w:val="clear" w:color="auto" w:fill="auto"/>
            <w:tcMar>
              <w:left w:w="28" w:type="dxa"/>
              <w:right w:w="28" w:type="dxa"/>
            </w:tcMar>
            <w:hideMark/>
          </w:tcPr>
          <w:p w14:paraId="0A7275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R2=0.61 (0.27 to 0.87), p=NR</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6411EC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PFS = -0.05 - 0.32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1EB9AE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5460F1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bottom w:val="single" w:sz="4" w:space="0" w:color="auto"/>
            </w:tcBorders>
            <w:shd w:val="clear" w:color="auto" w:fill="auto"/>
            <w:tcMar>
              <w:left w:w="28" w:type="dxa"/>
              <w:right w:w="28" w:type="dxa"/>
            </w:tcMar>
            <w:hideMark/>
          </w:tcPr>
          <w:p w14:paraId="261CBA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CB914D6"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D7149E7" w14:textId="2AF66D6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Ciani 2015</w:t>
            </w:r>
            <w:r w:rsidRPr="002D1DD7">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86</w:t>
            </w:r>
            <w:r w:rsidRPr="002D1DD7">
              <w:rPr>
                <w:rFonts w:eastAsia="Times New Roman" w:cs="Times New Roman"/>
                <w:sz w:val="18"/>
                <w:szCs w:val="18"/>
                <w:lang w:eastAsia="zh-CN"/>
              </w:rPr>
              <w:fldChar w:fldCharType="end"/>
            </w:r>
            <w:r w:rsidRPr="002D1DD7">
              <w:rPr>
                <w:rFonts w:eastAsia="Times New Roman" w:cs="Times New Roman"/>
                <w:color w:val="000000"/>
                <w:sz w:val="18"/>
                <w:szCs w:val="18"/>
                <w:lang w:eastAsia="zh-CN"/>
              </w:rPr>
              <w:br/>
              <w:t>Elia 2018</w:t>
            </w:r>
            <w:r w:rsidRPr="002D1DD7">
              <w:rPr>
                <w:rFonts w:eastAsia="Times New Roman" w:cs="Times New Roman"/>
                <w:sz w:val="18"/>
                <w:szCs w:val="18"/>
                <w:lang w:eastAsia="zh-CN"/>
              </w:rPr>
              <w:fldChar w:fldCharType="begin"/>
            </w:r>
            <w:r w:rsidR="003117A9">
              <w:rPr>
                <w:rFonts w:eastAsia="Times New Roman" w:cs="Times New Roman"/>
                <w:sz w:val="18"/>
                <w:szCs w:val="18"/>
                <w:lang w:eastAsia="zh-CN"/>
              </w:rPr>
              <w:instrText xml:space="preserve"> ADDIN EN.CITE &lt;EndNote&gt;&lt;Cite&gt;&lt;Author&gt;Elia&lt;/Author&gt;&lt;Year&gt;2018&lt;/Year&gt;&lt;RecNum&gt;749&lt;/RecNum&gt;&lt;IDText&gt;$$include full text KC&amp;#xD;Same dataset as Ciani 2015&lt;/IDText&gt;&lt;DisplayText&gt;&lt;style face="superscript"&gt;93&lt;/style&gt;&lt;/DisplayText&gt;&lt;record&gt;&lt;rec-number&gt;749&lt;/rec-number&gt;&lt;foreign-keys&gt;&lt;key app="EN" db-id="dwaevxvazfs2f3ewvzmxrd0k0wasw55p2z2w" timestamp="1557310654"&gt;749&lt;/key&gt;&lt;/foreign-keys&gt;&lt;ref-type name="Journal Article"&gt;17&lt;/ref-type&gt;&lt;contributors&gt;&lt;authors&gt;&lt;author&gt;Elia, Eleni G&lt;/author&gt;&lt;author&gt;Städler, Nicolas&lt;/author&gt;&lt;author&gt;Ciani, Oriana&lt;/author&gt;&lt;author&gt;Taylor, Rod S&lt;/author&gt;&lt;author&gt;Bujkiewicz, Sylwia&lt;/author&gt;&lt;/authors&gt;&lt;/contributors&gt;&lt;titles&gt;&lt;title&gt;Combining tumour response and progression free survival as surrogate endpoints for overall survival in advanced colorectal cancer&lt;/title&gt;&lt;secondary-title&gt;arXiv preprint arXiv:1809.02935&lt;/secondary-title&gt;&lt;short-title&gt;Combining tumour response and progression free survival as surrogate endpoints for overall survival in advanced colorectal cancer&lt;/short-title&gt;&lt;/titles&gt;&lt;periodical&gt;&lt;full-title&gt;arXiv preprint arXiv:1809.02935&lt;/full-title&gt;&lt;/periodical&gt;&lt;keywords&gt;&lt;keyword&gt;$$include abstract KC&lt;/keyword&gt;&lt;keyword&gt;$$Citation search&lt;/keyword&gt;&lt;/keywords&gt;&lt;dates&gt;&lt;year&gt;2018&lt;/year&gt;&lt;/dates&gt;&lt;label&gt;$$include full text KC&amp;#xD;Same dataset as Ciani 2015&lt;/label&gt;&lt;urls&gt;&lt;/urls&gt;&lt;/record&gt;&lt;/Cite&gt;&lt;/EndNote&gt;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93</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4E2CDF3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2A7CE3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42142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AF84B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All</w:t>
            </w:r>
            <w:r w:rsidRPr="002D1DD7">
              <w:rPr>
                <w:rFonts w:eastAsia="Times New Roman" w:cs="Times New Roman"/>
                <w:color w:val="000000"/>
                <w:sz w:val="18"/>
                <w:szCs w:val="18"/>
                <w:lang w:eastAsia="zh-CN"/>
              </w:rPr>
              <w:br/>
              <w:t>- No crossover</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2753F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671973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566F9A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1280BA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6F8436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3E2738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Adj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tcBorders>
              <w:top w:val="single" w:sz="4" w:space="0" w:color="auto"/>
              <w:bottom w:val="single" w:sz="4" w:space="0" w:color="auto"/>
            </w:tcBorders>
            <w:shd w:val="clear" w:color="auto" w:fill="auto"/>
            <w:tcMar>
              <w:left w:w="28" w:type="dxa"/>
              <w:right w:w="28" w:type="dxa"/>
            </w:tcMar>
            <w:hideMark/>
          </w:tcPr>
          <w:p w14:paraId="01B04E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R2=0.63 (0.03 to 0.99),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63B920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PFS = -0.05 - 0.31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02220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485630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2D875A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63416A6"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2361398C" w14:textId="635D31F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63E9879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1103ED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5EB43C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4380FE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46AD30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7D2A92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653CE6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6C5FCC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322E23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2F15E5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(unwtd) R2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559" w:type="dxa"/>
            <w:tcBorders>
              <w:top w:val="single" w:sz="4" w:space="0" w:color="auto"/>
              <w:bottom w:val="single" w:sz="12" w:space="0" w:color="auto"/>
            </w:tcBorders>
            <w:shd w:val="clear" w:color="auto" w:fill="auto"/>
            <w:tcMar>
              <w:left w:w="28" w:type="dxa"/>
              <w:right w:w="28" w:type="dxa"/>
            </w:tcMar>
            <w:hideMark/>
          </w:tcPr>
          <w:p w14:paraId="761842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R2=0.65, p=0.029</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1BB3C5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-0.037</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5AB48C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5B8BF7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12" w:space="0" w:color="auto"/>
            </w:tcBorders>
            <w:shd w:val="clear" w:color="auto" w:fill="auto"/>
            <w:tcMar>
              <w:left w:w="28" w:type="dxa"/>
              <w:right w:w="28" w:type="dxa"/>
            </w:tcMar>
            <w:hideMark/>
          </w:tcPr>
          <w:p w14:paraId="238FFE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4AD1E55"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7755D9DC" w14:textId="5A49667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Blumenthal 2017</w:t>
            </w:r>
            <w:r w:rsidRPr="002D1DD7">
              <w:rPr>
                <w:rFonts w:eastAsia="Times New Roman" w:cs="Times New Roman"/>
                <w:sz w:val="18"/>
                <w:szCs w:val="18"/>
                <w:lang w:eastAsia="zh-CN"/>
              </w:rPr>
              <w:fldChar w:fldCharType="begin">
                <w:fldData xml:space="preserve">PEVuZE5vdGU+PENpdGU+PEF1dGhvcj5CbHVtZW50aGFsPC9BdXRob3I+PFllYXI+MjAxNzwvWWVh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TiZhbXA7UEFHRT1mdWxsdGV4dCZhbXA7RD1tZWQxMyZhbXA7QU49Mjg2MTc5MjAmI3hEO2h0dHA6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PEVuZE5vdGU+PENpdGU+PEF1dGhvcj5CbHVtZW50aGFsPC9BdXRob3I+PFllYXI+MjAxNzwvWWVh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TiZhbXA7UEFHRT1mdWxsdGV4dCZhbXA7RD1tZWQxMyZhbXA7QU49Mjg2MTc5MjAmI3hEO2h0dHA6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82</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3393BAE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457695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715AB7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top w:val="single" w:sz="12" w:space="0" w:color="auto"/>
              <w:left w:val="single" w:sz="12" w:space="0" w:color="auto"/>
            </w:tcBorders>
            <w:shd w:val="clear" w:color="auto" w:fill="auto"/>
            <w:tcMar>
              <w:left w:w="28" w:type="dxa"/>
              <w:right w:w="28" w:type="dxa"/>
            </w:tcMar>
            <w:hideMark/>
          </w:tcPr>
          <w:p w14:paraId="40411B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top w:val="single" w:sz="12" w:space="0" w:color="auto"/>
              <w:right w:val="single" w:sz="12" w:space="0" w:color="auto"/>
            </w:tcBorders>
            <w:shd w:val="clear" w:color="auto" w:fill="auto"/>
            <w:tcMar>
              <w:left w:w="28" w:type="dxa"/>
              <w:right w:w="28" w:type="dxa"/>
            </w:tcMar>
            <w:hideMark/>
          </w:tcPr>
          <w:p w14:paraId="1CDA37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567" w:type="dxa"/>
            <w:tcBorders>
              <w:top w:val="single" w:sz="12" w:space="0" w:color="auto"/>
              <w:left w:val="single" w:sz="12" w:space="0" w:color="auto"/>
            </w:tcBorders>
            <w:shd w:val="clear" w:color="auto" w:fill="auto"/>
            <w:tcMar>
              <w:left w:w="28" w:type="dxa"/>
              <w:right w:w="28" w:type="dxa"/>
            </w:tcMar>
            <w:hideMark/>
          </w:tcPr>
          <w:p w14:paraId="7A85B9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w:t>
            </w:r>
          </w:p>
        </w:tc>
        <w:tc>
          <w:tcPr>
            <w:tcW w:w="709" w:type="dxa"/>
            <w:tcBorders>
              <w:top w:val="single" w:sz="12" w:space="0" w:color="auto"/>
              <w:right w:val="single" w:sz="12" w:space="0" w:color="auto"/>
            </w:tcBorders>
            <w:shd w:val="clear" w:color="auto" w:fill="auto"/>
            <w:tcMar>
              <w:left w:w="28" w:type="dxa"/>
              <w:right w:w="28" w:type="dxa"/>
            </w:tcMar>
            <w:hideMark/>
          </w:tcPr>
          <w:p w14:paraId="772014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20013</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tcBorders>
            <w:shd w:val="clear" w:color="auto" w:fill="auto"/>
            <w:tcMar>
              <w:left w:w="28" w:type="dxa"/>
              <w:right w:w="28" w:type="dxa"/>
            </w:tcMar>
            <w:hideMark/>
          </w:tcPr>
          <w:p w14:paraId="24C80C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right w:val="single" w:sz="12" w:space="0" w:color="auto"/>
            </w:tcBorders>
            <w:shd w:val="clear" w:color="auto" w:fill="auto"/>
            <w:tcMar>
              <w:left w:w="28" w:type="dxa"/>
              <w:right w:w="28" w:type="dxa"/>
            </w:tcMar>
            <w:hideMark/>
          </w:tcPr>
          <w:p w14:paraId="29A75BF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tcBorders>
            <w:shd w:val="clear" w:color="auto" w:fill="auto"/>
            <w:tcMar>
              <w:left w:w="28" w:type="dxa"/>
              <w:right w:w="28" w:type="dxa"/>
            </w:tcMar>
            <w:hideMark/>
          </w:tcPr>
          <w:p w14:paraId="1480F2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r w:rsidRPr="002D1DD7">
              <w:rPr>
                <w:rFonts w:eastAsia="Times New Roman" w:cs="Times New Roman"/>
                <w:color w:val="000000"/>
                <w:sz w:val="18"/>
                <w:szCs w:val="18"/>
                <w:lang w:eastAsia="zh-CN"/>
              </w:rPr>
              <w:br/>
              <w:t xml:space="preserve">b) 6mo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559" w:type="dxa"/>
            <w:tcBorders>
              <w:top w:val="single" w:sz="12" w:space="0" w:color="auto"/>
            </w:tcBorders>
            <w:shd w:val="clear" w:color="auto" w:fill="auto"/>
            <w:tcMar>
              <w:left w:w="28" w:type="dxa"/>
              <w:right w:w="28" w:type="dxa"/>
            </w:tcMar>
            <w:hideMark/>
          </w:tcPr>
          <w:p w14:paraId="31E1CA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R2=0.74 (0.55 to 0.88), p=NR</w:t>
            </w:r>
            <w:r w:rsidRPr="002D1DD7">
              <w:rPr>
                <w:rFonts w:eastAsia="Times New Roman" w:cs="Times New Roman"/>
                <w:color w:val="000000"/>
                <w:sz w:val="18"/>
                <w:szCs w:val="18"/>
                <w:lang w:eastAsia="zh-CN"/>
              </w:rPr>
              <w:br/>
              <w:t>b) R2=0.70 (0.50 to 0.84), p=NR</w:t>
            </w:r>
          </w:p>
        </w:tc>
        <w:tc>
          <w:tcPr>
            <w:tcW w:w="1072" w:type="dxa"/>
            <w:tcBorders>
              <w:top w:val="single" w:sz="12" w:space="0" w:color="auto"/>
              <w:right w:val="single" w:sz="12" w:space="0" w:color="auto"/>
            </w:tcBorders>
            <w:shd w:val="clear" w:color="auto" w:fill="auto"/>
            <w:tcMar>
              <w:left w:w="28" w:type="dxa"/>
              <w:right w:w="28" w:type="dxa"/>
            </w:tcMar>
            <w:hideMark/>
          </w:tcPr>
          <w:p w14:paraId="3E2ABD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08AFDF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5E0F7A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tcBorders>
            <w:shd w:val="clear" w:color="auto" w:fill="auto"/>
            <w:tcMar>
              <w:left w:w="28" w:type="dxa"/>
              <w:right w:w="28" w:type="dxa"/>
            </w:tcMar>
            <w:hideMark/>
          </w:tcPr>
          <w:p w14:paraId="12DC9E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803E633" w14:textId="77777777" w:rsidTr="003117A9">
        <w:trPr>
          <w:cantSplit/>
        </w:trPr>
        <w:tc>
          <w:tcPr>
            <w:tcW w:w="988" w:type="dxa"/>
            <w:tcBorders>
              <w:right w:val="single" w:sz="12" w:space="0" w:color="auto"/>
            </w:tcBorders>
            <w:shd w:val="clear" w:color="auto" w:fill="auto"/>
            <w:tcMar>
              <w:left w:w="28" w:type="dxa"/>
              <w:right w:w="28" w:type="dxa"/>
            </w:tcMar>
            <w:hideMark/>
          </w:tcPr>
          <w:p w14:paraId="707171A0" w14:textId="58E4556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Blumenthal 2015</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&lt;EndNote&gt;&lt;Cite&gt;&lt;Author&gt;Blumenthal&lt;/Author&gt;&lt;Year&gt;2015&lt;/Year&gt;&lt;RecNum&gt;244&lt;/RecNum&gt;&lt;IDText&gt;$$include full text KC&lt;/IDText&gt;&lt;DisplayText&gt;&lt;style face="superscript"&gt;81&lt;/style&gt;&lt;/DisplayText&gt;&lt;record&gt;&lt;rec-number&gt;244&lt;/rec-number&gt;&lt;foreign-keys&gt;&lt;key app="EN" db-id="dwaevxvazfs2f3ewvzmxrd0k0wasw55p2z2w" timestamp="1557310550"&gt;244&lt;/key&gt;&lt;/foreign-keys&gt;&lt;ref-type name="Journal Article"&gt;17&lt;/ref-type&gt;&lt;contributors&gt;&lt;authors&gt;&lt;author&gt;Blumenthal, G. M.&lt;/author&gt;&lt;author&gt;Karuri, S. W.&lt;/author&gt;&lt;author&gt;Zhang, H.&lt;/author&gt;&lt;author&gt;Zhang, L. J.&lt;/author&gt;&lt;author&gt;Khozin, S.&lt;/author&gt;&lt;author&gt;Kazandjian, D.&lt;/author&gt;&lt;author&gt;Tang, S.&lt;/author&gt;&lt;author&gt;Sridhara, R.&lt;/author&gt;&lt;author&gt;Keegan, P.&lt;/author&gt;&lt;author&gt;Pazdur, R.&lt;/author&gt;&lt;/authors&gt;&lt;/contributors&gt;&lt;titles&gt;&lt;title&gt;Overall response rate, progression-free survival, and overall survival with targeted and standard therapies in advanced non-small-cell lung cancer: Us food and drug administration trial-level and patient-level analyses&lt;/title&gt;&lt;secondary-title&gt;Journal of Clinical Oncology&lt;/secondary-title&gt;&lt;/titles&gt;&lt;periodical&gt;&lt;full-title&gt;Journal of Clinical Oncology&lt;/full-title&gt;&lt;abbr-1&gt;J Clin Oncol&lt;/abbr-1&gt;&lt;/periodical&gt;&lt;pages&gt;1008-+&lt;/pages&gt;&lt;volume&gt;33&lt;/volume&gt;&lt;number&gt;9&lt;/number&gt;&lt;keywords&gt;&lt;keyword&gt;$$include abstract KC&lt;/keyword&gt;&lt;keyword&gt;$$Broad search&lt;/keyword&gt;&lt;/keywords&gt;&lt;dates&gt;&lt;year&gt;2015&lt;/year&gt;&lt;pub-dates&gt;&lt;date&gt;Mar&lt;/date&gt;&lt;/pub-dates&gt;&lt;/dates&gt;&lt;isbn&gt;0732-183X&lt;/isbn&gt;&lt;accession-num&gt;WOS:000356056400010&lt;/accession-num&gt;&lt;label&gt;$$include full text KC&lt;/label&gt;&lt;urls&gt;&lt;/urls&gt;&lt;electronic-resource-num&gt;10.1200/jco.2014.59.0489&lt;/electronic-resource-num&gt;&lt;research-notes&gt;&lt;style face="underline" font="default" size="100%"&gt;&amp;lt;Go to ISI&amp;gt;://WOS:000356056400010&lt;/style&gt;&lt;/research-notes&gt;&lt;/record&gt;&lt;/Cite&gt;&lt;/EndNote&gt;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81</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4B2103A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4C9619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hideMark/>
          </w:tcPr>
          <w:p w14:paraId="3563CCED"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50B97A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768D7D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567" w:type="dxa"/>
            <w:tcBorders>
              <w:left w:val="single" w:sz="12" w:space="0" w:color="auto"/>
            </w:tcBorders>
            <w:shd w:val="clear" w:color="auto" w:fill="auto"/>
            <w:tcMar>
              <w:left w:w="28" w:type="dxa"/>
              <w:right w:w="28" w:type="dxa"/>
            </w:tcMar>
            <w:hideMark/>
          </w:tcPr>
          <w:p w14:paraId="2D184E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w:t>
            </w:r>
          </w:p>
        </w:tc>
        <w:tc>
          <w:tcPr>
            <w:tcW w:w="709" w:type="dxa"/>
            <w:tcBorders>
              <w:right w:val="single" w:sz="12" w:space="0" w:color="auto"/>
            </w:tcBorders>
            <w:shd w:val="clear" w:color="auto" w:fill="auto"/>
            <w:tcMar>
              <w:left w:w="28" w:type="dxa"/>
              <w:right w:w="28" w:type="dxa"/>
            </w:tcMar>
            <w:hideMark/>
          </w:tcPr>
          <w:p w14:paraId="1878BD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12567</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6B14FA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1ED107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5428C1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shd w:val="clear" w:color="auto" w:fill="auto"/>
            <w:tcMar>
              <w:left w:w="28" w:type="dxa"/>
              <w:right w:w="28" w:type="dxa"/>
            </w:tcMar>
            <w:hideMark/>
          </w:tcPr>
          <w:p w14:paraId="3A8B4F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R2=0.89 (0.80 to 0.98), p=NR</w:t>
            </w:r>
          </w:p>
        </w:tc>
        <w:tc>
          <w:tcPr>
            <w:tcW w:w="1072" w:type="dxa"/>
            <w:tcBorders>
              <w:right w:val="single" w:sz="12" w:space="0" w:color="auto"/>
            </w:tcBorders>
            <w:shd w:val="clear" w:color="auto" w:fill="auto"/>
            <w:tcMar>
              <w:left w:w="28" w:type="dxa"/>
              <w:right w:w="28" w:type="dxa"/>
            </w:tcMar>
            <w:hideMark/>
          </w:tcPr>
          <w:p w14:paraId="0D696C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207E08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1E0C54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5A158E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267B728" w14:textId="77777777" w:rsidTr="003117A9">
        <w:trPr>
          <w:cantSplit/>
        </w:trPr>
        <w:tc>
          <w:tcPr>
            <w:tcW w:w="988" w:type="dxa"/>
            <w:tcBorders>
              <w:right w:val="single" w:sz="12" w:space="0" w:color="auto"/>
            </w:tcBorders>
            <w:shd w:val="clear" w:color="auto" w:fill="auto"/>
            <w:tcMar>
              <w:left w:w="28" w:type="dxa"/>
              <w:right w:w="28" w:type="dxa"/>
            </w:tcMar>
            <w:hideMark/>
          </w:tcPr>
          <w:p w14:paraId="18A2E688" w14:textId="7290F58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Blumenthal 2015</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&lt;EndNote&gt;&lt;Cite&gt;&lt;Author&gt;Blumenthal&lt;/Author&gt;&lt;Year&gt;2015&lt;/Year&gt;&lt;RecNum&gt;244&lt;/RecNum&gt;&lt;IDText&gt;$$include full text KC&lt;/IDText&gt;&lt;DisplayText&gt;&lt;style face="superscript"&gt;81&lt;/style&gt;&lt;/DisplayText&gt;&lt;record&gt;&lt;rec-number&gt;244&lt;/rec-number&gt;&lt;foreign-keys&gt;&lt;key app="EN" db-id="dwaevxvazfs2f3ewvzmxrd0k0wasw55p2z2w" timestamp="1557310550"&gt;244&lt;/key&gt;&lt;/foreign-keys&gt;&lt;ref-type name="Journal Article"&gt;17&lt;/ref-type&gt;&lt;contributors&gt;&lt;authors&gt;&lt;author&gt;Blumenthal, G. M.&lt;/author&gt;&lt;author&gt;Karuri, S. W.&lt;/author&gt;&lt;author&gt;Zhang, H.&lt;/author&gt;&lt;author&gt;Zhang, L. J.&lt;/author&gt;&lt;author&gt;Khozin, S.&lt;/author&gt;&lt;author&gt;Kazandjian, D.&lt;/author&gt;&lt;author&gt;Tang, S.&lt;/author&gt;&lt;author&gt;Sridhara, R.&lt;/author&gt;&lt;author&gt;Keegan, P.&lt;/author&gt;&lt;author&gt;Pazdur, R.&lt;/author&gt;&lt;/authors&gt;&lt;/contributors&gt;&lt;titles&gt;&lt;title&gt;Overall response rate, progression-free survival, and overall survival with targeted and standard therapies in advanced non-small-cell lung cancer: Us food and drug administration trial-level and patient-level analyses&lt;/title&gt;&lt;secondary-title&gt;Journal of Clinical Oncology&lt;/secondary-title&gt;&lt;/titles&gt;&lt;periodical&gt;&lt;full-title&gt;Journal of Clinical Oncology&lt;/full-title&gt;&lt;abbr-1&gt;J Clin Oncol&lt;/abbr-1&gt;&lt;/periodical&gt;&lt;pages&gt;1008-+&lt;/pages&gt;&lt;volume&gt;33&lt;/volume&gt;&lt;number&gt;9&lt;/number&gt;&lt;keywords&gt;&lt;keyword&gt;$$include abstract KC&lt;/keyword&gt;&lt;keyword&gt;$$Broad search&lt;/keyword&gt;&lt;/keywords&gt;&lt;dates&gt;&lt;year&gt;2015&lt;/year&gt;&lt;pub-dates&gt;&lt;date&gt;Mar&lt;/date&gt;&lt;/pub-dates&gt;&lt;/dates&gt;&lt;isbn&gt;0732-183X&lt;/isbn&gt;&lt;accession-num&gt;WOS:000356056400010&lt;/accession-num&gt;&lt;label&gt;$$include full text KC&lt;/label&gt;&lt;urls&gt;&lt;/urls&gt;&lt;electronic-resource-num&gt;10.1200/jco.2014.59.0489&lt;/electronic-resource-num&gt;&lt;research-notes&gt;&lt;style face="underline" font="default" size="100%"&gt;&amp;lt;Go to ISI&amp;gt;://WOS:000356056400010&lt;/style&gt;&lt;/research-notes&gt;&lt;/record&gt;&lt;/Cite&gt;&lt;/EndNote&gt;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81</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3C72A52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1535C5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hideMark/>
          </w:tcPr>
          <w:p w14:paraId="4AF5B30A"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EE260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5D8D74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16B28F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09" w:type="dxa"/>
            <w:tcBorders>
              <w:right w:val="single" w:sz="12" w:space="0" w:color="auto"/>
            </w:tcBorders>
            <w:shd w:val="clear" w:color="auto" w:fill="auto"/>
            <w:tcMar>
              <w:left w:w="28" w:type="dxa"/>
              <w:right w:w="28" w:type="dxa"/>
            </w:tcMar>
            <w:hideMark/>
          </w:tcPr>
          <w:p w14:paraId="5B3514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11701</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1E718B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0506D2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71C603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shd w:val="clear" w:color="auto" w:fill="auto"/>
            <w:tcMar>
              <w:left w:w="28" w:type="dxa"/>
              <w:right w:w="28" w:type="dxa"/>
            </w:tcMar>
            <w:hideMark/>
          </w:tcPr>
          <w:p w14:paraId="54790D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R2=0.77 (0.58 to 0.96), p=NR</w:t>
            </w:r>
          </w:p>
        </w:tc>
        <w:tc>
          <w:tcPr>
            <w:tcW w:w="1072" w:type="dxa"/>
            <w:tcBorders>
              <w:right w:val="single" w:sz="12" w:space="0" w:color="auto"/>
            </w:tcBorders>
            <w:shd w:val="clear" w:color="auto" w:fill="auto"/>
            <w:tcMar>
              <w:left w:w="28" w:type="dxa"/>
              <w:right w:w="28" w:type="dxa"/>
            </w:tcMar>
            <w:hideMark/>
          </w:tcPr>
          <w:p w14:paraId="43100B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599A29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0A2D64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0A6EA9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A331BD2" w14:textId="77777777" w:rsidTr="003117A9">
        <w:trPr>
          <w:cantSplit/>
        </w:trPr>
        <w:tc>
          <w:tcPr>
            <w:tcW w:w="988" w:type="dxa"/>
            <w:tcBorders>
              <w:right w:val="single" w:sz="12" w:space="0" w:color="auto"/>
            </w:tcBorders>
            <w:shd w:val="clear" w:color="auto" w:fill="auto"/>
            <w:tcMar>
              <w:left w:w="28" w:type="dxa"/>
              <w:right w:w="28" w:type="dxa"/>
            </w:tcMar>
            <w:hideMark/>
          </w:tcPr>
          <w:p w14:paraId="6FEA6893" w14:textId="3BF20C0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0EBAB09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2B1534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hideMark/>
          </w:tcPr>
          <w:p w14:paraId="678F9D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0BA217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646F2E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(PD-(L)1)</w:t>
            </w:r>
          </w:p>
        </w:tc>
        <w:tc>
          <w:tcPr>
            <w:tcW w:w="567" w:type="dxa"/>
            <w:tcBorders>
              <w:left w:val="single" w:sz="12" w:space="0" w:color="auto"/>
            </w:tcBorders>
            <w:shd w:val="clear" w:color="auto" w:fill="auto"/>
            <w:tcMar>
              <w:left w:w="28" w:type="dxa"/>
              <w:right w:w="28" w:type="dxa"/>
            </w:tcMar>
            <w:hideMark/>
          </w:tcPr>
          <w:p w14:paraId="185E9F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09" w:type="dxa"/>
            <w:tcBorders>
              <w:right w:val="single" w:sz="12" w:space="0" w:color="auto"/>
            </w:tcBorders>
            <w:shd w:val="clear" w:color="auto" w:fill="auto"/>
            <w:tcMar>
              <w:left w:w="28" w:type="dxa"/>
              <w:right w:w="28" w:type="dxa"/>
            </w:tcMar>
            <w:hideMark/>
          </w:tcPr>
          <w:p w14:paraId="011DC1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3752</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6D8F24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 xml:space="preserve">(OR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460" w:type="dxa"/>
            <w:tcBorders>
              <w:right w:val="single" w:sz="12" w:space="0" w:color="auto"/>
            </w:tcBorders>
            <w:shd w:val="clear" w:color="auto" w:fill="auto"/>
            <w:tcMar>
              <w:left w:w="28" w:type="dxa"/>
              <w:right w:w="28" w:type="dxa"/>
            </w:tcMar>
            <w:hideMark/>
          </w:tcPr>
          <w:p w14:paraId="276929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 -0.87, p&lt;0.0001</w:t>
            </w:r>
            <w:r w:rsidRPr="002D1DD7">
              <w:rPr>
                <w:rFonts w:eastAsia="Times New Roman" w:cs="Times New Roman"/>
                <w:color w:val="000000"/>
                <w:sz w:val="18"/>
                <w:szCs w:val="18"/>
                <w:lang w:eastAsia="zh-CN"/>
              </w:rPr>
              <w:br/>
              <w:t>b) rs= -0.97, p&lt;0.0001</w:t>
            </w:r>
          </w:p>
        </w:tc>
        <w:tc>
          <w:tcPr>
            <w:tcW w:w="1659" w:type="dxa"/>
            <w:tcBorders>
              <w:left w:val="single" w:sz="12" w:space="0" w:color="auto"/>
            </w:tcBorders>
            <w:shd w:val="clear" w:color="auto" w:fill="auto"/>
            <w:tcMar>
              <w:left w:w="28" w:type="dxa"/>
              <w:right w:w="28" w:type="dxa"/>
            </w:tcMar>
            <w:hideMark/>
          </w:tcPr>
          <w:p w14:paraId="086AFF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559" w:type="dxa"/>
            <w:shd w:val="clear" w:color="auto" w:fill="auto"/>
            <w:tcMar>
              <w:left w:w="28" w:type="dxa"/>
              <w:right w:w="28" w:type="dxa"/>
            </w:tcMar>
            <w:hideMark/>
          </w:tcPr>
          <w:p w14:paraId="0BE71A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R2=0.76, p=0.011</w:t>
            </w:r>
          </w:p>
        </w:tc>
        <w:tc>
          <w:tcPr>
            <w:tcW w:w="1072" w:type="dxa"/>
            <w:tcBorders>
              <w:right w:val="single" w:sz="12" w:space="0" w:color="auto"/>
            </w:tcBorders>
            <w:shd w:val="clear" w:color="auto" w:fill="auto"/>
            <w:tcMar>
              <w:left w:w="28" w:type="dxa"/>
              <w:right w:w="28" w:type="dxa"/>
            </w:tcMar>
            <w:hideMark/>
          </w:tcPr>
          <w:p w14:paraId="3BEDB0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289BBD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79B78B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11782B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Fair</w:t>
            </w:r>
          </w:p>
        </w:tc>
      </w:tr>
      <w:tr w:rsidR="002E26FD" w:rsidRPr="002D1DD7" w14:paraId="04D8FF0F" w14:textId="77777777" w:rsidTr="003117A9">
        <w:trPr>
          <w:cantSplit/>
        </w:trPr>
        <w:tc>
          <w:tcPr>
            <w:tcW w:w="988" w:type="dxa"/>
            <w:tcBorders>
              <w:right w:val="single" w:sz="12" w:space="0" w:color="auto"/>
            </w:tcBorders>
            <w:shd w:val="clear" w:color="auto" w:fill="auto"/>
            <w:tcMar>
              <w:left w:w="28" w:type="dxa"/>
              <w:right w:w="28" w:type="dxa"/>
            </w:tcMar>
            <w:hideMark/>
          </w:tcPr>
          <w:p w14:paraId="25BF3489" w14:textId="543C335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334F3F2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02370E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hideMark/>
          </w:tcPr>
          <w:p w14:paraId="1532CD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590C86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High PD-L1 expression</w:t>
            </w:r>
          </w:p>
        </w:tc>
        <w:tc>
          <w:tcPr>
            <w:tcW w:w="992" w:type="dxa"/>
            <w:tcBorders>
              <w:right w:val="single" w:sz="12" w:space="0" w:color="auto"/>
            </w:tcBorders>
            <w:shd w:val="clear" w:color="auto" w:fill="auto"/>
            <w:tcMar>
              <w:left w:w="28" w:type="dxa"/>
              <w:right w:w="28" w:type="dxa"/>
            </w:tcMar>
            <w:hideMark/>
          </w:tcPr>
          <w:p w14:paraId="5085A4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left w:val="single" w:sz="12" w:space="0" w:color="auto"/>
            </w:tcBorders>
            <w:shd w:val="clear" w:color="auto" w:fill="auto"/>
            <w:tcMar>
              <w:left w:w="28" w:type="dxa"/>
              <w:right w:w="28" w:type="dxa"/>
            </w:tcMar>
            <w:hideMark/>
          </w:tcPr>
          <w:p w14:paraId="31FDF4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right w:val="single" w:sz="12" w:space="0" w:color="auto"/>
            </w:tcBorders>
            <w:shd w:val="clear" w:color="auto" w:fill="auto"/>
            <w:tcMar>
              <w:left w:w="28" w:type="dxa"/>
              <w:right w:w="28" w:type="dxa"/>
            </w:tcMar>
            <w:hideMark/>
          </w:tcPr>
          <w:p w14:paraId="76A403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1381</w:t>
            </w:r>
          </w:p>
        </w:tc>
        <w:tc>
          <w:tcPr>
            <w:tcW w:w="1559" w:type="dxa"/>
            <w:tcBorders>
              <w:left w:val="single" w:sz="12" w:space="0" w:color="auto"/>
            </w:tcBorders>
            <w:shd w:val="clear" w:color="auto" w:fill="auto"/>
            <w:tcMar>
              <w:left w:w="28" w:type="dxa"/>
              <w:right w:w="28" w:type="dxa"/>
            </w:tcMar>
            <w:hideMark/>
          </w:tcPr>
          <w:p w14:paraId="0D2C1E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 xml:space="preserve">(OR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460" w:type="dxa"/>
            <w:tcBorders>
              <w:right w:val="single" w:sz="12" w:space="0" w:color="auto"/>
            </w:tcBorders>
            <w:shd w:val="clear" w:color="auto" w:fill="auto"/>
            <w:tcMar>
              <w:left w:w="28" w:type="dxa"/>
              <w:right w:w="28" w:type="dxa"/>
            </w:tcMar>
            <w:hideMark/>
          </w:tcPr>
          <w:p w14:paraId="708A3F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r=0.67, p&lt;0.0001</w:t>
            </w:r>
            <w:r w:rsidRPr="002D1DD7">
              <w:rPr>
                <w:rFonts w:eastAsia="Times New Roman" w:cs="Times New Roman"/>
                <w:color w:val="000000"/>
                <w:sz w:val="18"/>
                <w:szCs w:val="18"/>
                <w:lang w:eastAsia="zh-CN"/>
              </w:rPr>
              <w:br/>
              <w:t>b) rs=0.56, p&lt;0.0001</w:t>
            </w:r>
          </w:p>
        </w:tc>
        <w:tc>
          <w:tcPr>
            <w:tcW w:w="1659" w:type="dxa"/>
            <w:tcBorders>
              <w:left w:val="single" w:sz="12" w:space="0" w:color="auto"/>
            </w:tcBorders>
            <w:shd w:val="clear" w:color="auto" w:fill="auto"/>
            <w:tcMar>
              <w:left w:w="28" w:type="dxa"/>
              <w:right w:w="28" w:type="dxa"/>
            </w:tcMar>
            <w:hideMark/>
          </w:tcPr>
          <w:p w14:paraId="02AA5D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559" w:type="dxa"/>
            <w:shd w:val="clear" w:color="auto" w:fill="auto"/>
            <w:tcMar>
              <w:left w:w="28" w:type="dxa"/>
              <w:right w:w="28" w:type="dxa"/>
            </w:tcMar>
            <w:hideMark/>
          </w:tcPr>
          <w:p w14:paraId="5CC2DE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R2=0.45, p=0.101</w:t>
            </w:r>
          </w:p>
        </w:tc>
        <w:tc>
          <w:tcPr>
            <w:tcW w:w="1072" w:type="dxa"/>
            <w:tcBorders>
              <w:right w:val="single" w:sz="12" w:space="0" w:color="auto"/>
            </w:tcBorders>
            <w:shd w:val="clear" w:color="auto" w:fill="auto"/>
            <w:tcMar>
              <w:left w:w="28" w:type="dxa"/>
              <w:right w:w="28" w:type="dxa"/>
            </w:tcMar>
            <w:hideMark/>
          </w:tcPr>
          <w:p w14:paraId="3AE295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21830C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3B794E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37D516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Good</w:t>
            </w:r>
          </w:p>
        </w:tc>
      </w:tr>
      <w:tr w:rsidR="002E26FD" w:rsidRPr="002D1DD7" w14:paraId="43F39655" w14:textId="77777777" w:rsidTr="003117A9">
        <w:trPr>
          <w:cantSplit/>
        </w:trPr>
        <w:tc>
          <w:tcPr>
            <w:tcW w:w="988" w:type="dxa"/>
            <w:tcBorders>
              <w:right w:val="single" w:sz="12" w:space="0" w:color="auto"/>
            </w:tcBorders>
            <w:shd w:val="clear" w:color="auto" w:fill="auto"/>
            <w:tcMar>
              <w:left w:w="28" w:type="dxa"/>
              <w:right w:w="28" w:type="dxa"/>
            </w:tcMar>
            <w:hideMark/>
          </w:tcPr>
          <w:p w14:paraId="13BD9F98" w14:textId="7E0ECBB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6CA0461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BAD98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hideMark/>
          </w:tcPr>
          <w:p w14:paraId="2DCDBB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8A056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right w:val="single" w:sz="12" w:space="0" w:color="auto"/>
            </w:tcBorders>
            <w:shd w:val="clear" w:color="auto" w:fill="auto"/>
            <w:tcMar>
              <w:left w:w="28" w:type="dxa"/>
              <w:right w:w="28" w:type="dxa"/>
            </w:tcMar>
            <w:hideMark/>
          </w:tcPr>
          <w:p w14:paraId="4A2458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67" w:type="dxa"/>
            <w:tcBorders>
              <w:left w:val="single" w:sz="12" w:space="0" w:color="auto"/>
            </w:tcBorders>
            <w:shd w:val="clear" w:color="auto" w:fill="auto"/>
            <w:tcMar>
              <w:left w:w="28" w:type="dxa"/>
              <w:right w:w="28" w:type="dxa"/>
            </w:tcMar>
            <w:hideMark/>
          </w:tcPr>
          <w:p w14:paraId="6F55B0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09" w:type="dxa"/>
            <w:tcBorders>
              <w:right w:val="single" w:sz="12" w:space="0" w:color="auto"/>
            </w:tcBorders>
            <w:shd w:val="clear" w:color="auto" w:fill="auto"/>
            <w:tcMar>
              <w:left w:w="28" w:type="dxa"/>
              <w:right w:w="28" w:type="dxa"/>
            </w:tcMar>
            <w:hideMark/>
          </w:tcPr>
          <w:p w14:paraId="45696E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78C758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Correlation (NR), wtd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460" w:type="dxa"/>
            <w:tcBorders>
              <w:right w:val="single" w:sz="12" w:space="0" w:color="auto"/>
            </w:tcBorders>
            <w:shd w:val="clear" w:color="auto" w:fill="auto"/>
            <w:tcMar>
              <w:left w:w="28" w:type="dxa"/>
              <w:right w:w="28" w:type="dxa"/>
            </w:tcMar>
            <w:hideMark/>
          </w:tcPr>
          <w:p w14:paraId="1292AA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r=0.74 (0.38 to 1.08), p=NR</w:t>
            </w:r>
          </w:p>
        </w:tc>
        <w:tc>
          <w:tcPr>
            <w:tcW w:w="1659" w:type="dxa"/>
            <w:tcBorders>
              <w:left w:val="single" w:sz="12" w:space="0" w:color="auto"/>
            </w:tcBorders>
            <w:shd w:val="clear" w:color="auto" w:fill="auto"/>
            <w:tcMar>
              <w:left w:w="28" w:type="dxa"/>
              <w:right w:w="28" w:type="dxa"/>
            </w:tcMar>
            <w:hideMark/>
          </w:tcPr>
          <w:p w14:paraId="1FB35D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3F1F5B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30F5AB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5BC94D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54B755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184C58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Good</w:t>
            </w:r>
          </w:p>
        </w:tc>
      </w:tr>
      <w:tr w:rsidR="002E26FD" w:rsidRPr="002D1DD7" w14:paraId="26352E19" w14:textId="77777777" w:rsidTr="003117A9">
        <w:trPr>
          <w:cantSplit/>
        </w:trPr>
        <w:tc>
          <w:tcPr>
            <w:tcW w:w="988" w:type="dxa"/>
            <w:tcBorders>
              <w:right w:val="single" w:sz="12" w:space="0" w:color="auto"/>
            </w:tcBorders>
            <w:shd w:val="clear" w:color="auto" w:fill="auto"/>
            <w:tcMar>
              <w:left w:w="28" w:type="dxa"/>
              <w:right w:w="28" w:type="dxa"/>
            </w:tcMar>
            <w:hideMark/>
          </w:tcPr>
          <w:p w14:paraId="72DB0368" w14:textId="2AAB17F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571EA66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4DE21C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hideMark/>
          </w:tcPr>
          <w:p w14:paraId="7672E4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30AA54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117B34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567" w:type="dxa"/>
            <w:tcBorders>
              <w:left w:val="single" w:sz="12" w:space="0" w:color="auto"/>
            </w:tcBorders>
            <w:shd w:val="clear" w:color="auto" w:fill="auto"/>
            <w:tcMar>
              <w:left w:w="28" w:type="dxa"/>
              <w:right w:w="28" w:type="dxa"/>
            </w:tcMar>
            <w:hideMark/>
          </w:tcPr>
          <w:p w14:paraId="3E8FE1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right w:val="single" w:sz="12" w:space="0" w:color="auto"/>
            </w:tcBorders>
            <w:shd w:val="clear" w:color="auto" w:fill="auto"/>
            <w:tcMar>
              <w:left w:w="28" w:type="dxa"/>
              <w:right w:w="28" w:type="dxa"/>
            </w:tcMar>
            <w:hideMark/>
          </w:tcPr>
          <w:p w14:paraId="30D54C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3369*</w:t>
            </w:r>
          </w:p>
        </w:tc>
        <w:tc>
          <w:tcPr>
            <w:tcW w:w="1559" w:type="dxa"/>
            <w:tcBorders>
              <w:left w:val="single" w:sz="12" w:space="0" w:color="auto"/>
            </w:tcBorders>
            <w:shd w:val="clear" w:color="auto" w:fill="auto"/>
            <w:tcMar>
              <w:left w:w="28" w:type="dxa"/>
              <w:right w:w="28" w:type="dxa"/>
            </w:tcMar>
            <w:hideMark/>
          </w:tcPr>
          <w:p w14:paraId="01D3C1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33A7B4F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43D74A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shd w:val="clear" w:color="auto" w:fill="auto"/>
            <w:tcMar>
              <w:left w:w="28" w:type="dxa"/>
              <w:right w:w="28" w:type="dxa"/>
            </w:tcMar>
            <w:hideMark/>
          </w:tcPr>
          <w:p w14:paraId="35557D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R2=0.42 (0.003 to 0.85), p=0.06</w:t>
            </w:r>
          </w:p>
        </w:tc>
        <w:tc>
          <w:tcPr>
            <w:tcW w:w="1072" w:type="dxa"/>
            <w:tcBorders>
              <w:right w:val="single" w:sz="12" w:space="0" w:color="auto"/>
            </w:tcBorders>
            <w:shd w:val="clear" w:color="auto" w:fill="auto"/>
            <w:tcMar>
              <w:left w:w="28" w:type="dxa"/>
              <w:right w:w="28" w:type="dxa"/>
            </w:tcMar>
            <w:hideMark/>
          </w:tcPr>
          <w:p w14:paraId="2BB452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3FBDAD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6AA563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65DE8F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00CB469"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613638D1" w14:textId="6FDBBE7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782E8B8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2CACBA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7978BA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bottom w:val="single" w:sz="12" w:space="0" w:color="auto"/>
            </w:tcBorders>
            <w:shd w:val="clear" w:color="auto" w:fill="auto"/>
            <w:tcMar>
              <w:left w:w="28" w:type="dxa"/>
              <w:right w:w="28" w:type="dxa"/>
            </w:tcMar>
            <w:hideMark/>
          </w:tcPr>
          <w:p w14:paraId="279943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bottom w:val="single" w:sz="12" w:space="0" w:color="auto"/>
              <w:right w:val="single" w:sz="12" w:space="0" w:color="auto"/>
            </w:tcBorders>
            <w:shd w:val="clear" w:color="auto" w:fill="auto"/>
            <w:tcMar>
              <w:left w:w="28" w:type="dxa"/>
              <w:right w:w="28" w:type="dxa"/>
            </w:tcMar>
            <w:hideMark/>
          </w:tcPr>
          <w:p w14:paraId="3DB610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left w:val="single" w:sz="12" w:space="0" w:color="auto"/>
              <w:bottom w:val="single" w:sz="12" w:space="0" w:color="auto"/>
            </w:tcBorders>
            <w:shd w:val="clear" w:color="auto" w:fill="auto"/>
            <w:tcMar>
              <w:left w:w="28" w:type="dxa"/>
              <w:right w:w="28" w:type="dxa"/>
            </w:tcMar>
            <w:hideMark/>
          </w:tcPr>
          <w:p w14:paraId="0C916F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09" w:type="dxa"/>
            <w:tcBorders>
              <w:bottom w:val="single" w:sz="12" w:space="0" w:color="auto"/>
              <w:right w:val="single" w:sz="12" w:space="0" w:color="auto"/>
            </w:tcBorders>
            <w:shd w:val="clear" w:color="auto" w:fill="auto"/>
            <w:tcMar>
              <w:left w:w="28" w:type="dxa"/>
              <w:right w:w="28" w:type="dxa"/>
            </w:tcMar>
            <w:hideMark/>
          </w:tcPr>
          <w:p w14:paraId="427DB8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bottom w:val="single" w:sz="12" w:space="0" w:color="auto"/>
            </w:tcBorders>
            <w:shd w:val="clear" w:color="auto" w:fill="auto"/>
            <w:tcMar>
              <w:left w:w="28" w:type="dxa"/>
              <w:right w:w="28" w:type="dxa"/>
            </w:tcMar>
            <w:hideMark/>
          </w:tcPr>
          <w:p w14:paraId="6C2DDE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bottom w:val="single" w:sz="12" w:space="0" w:color="auto"/>
              <w:right w:val="single" w:sz="12" w:space="0" w:color="auto"/>
            </w:tcBorders>
            <w:shd w:val="clear" w:color="auto" w:fill="auto"/>
            <w:tcMar>
              <w:left w:w="28" w:type="dxa"/>
              <w:right w:w="28" w:type="dxa"/>
            </w:tcMar>
            <w:hideMark/>
          </w:tcPr>
          <w:p w14:paraId="36C58C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bottom w:val="single" w:sz="12" w:space="0" w:color="auto"/>
            </w:tcBorders>
            <w:shd w:val="clear" w:color="auto" w:fill="auto"/>
            <w:tcMar>
              <w:left w:w="28" w:type="dxa"/>
              <w:right w:w="28" w:type="dxa"/>
            </w:tcMar>
            <w:hideMark/>
          </w:tcPr>
          <w:p w14:paraId="53B3FC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(unwtd) R2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559" w:type="dxa"/>
            <w:tcBorders>
              <w:bottom w:val="single" w:sz="12" w:space="0" w:color="auto"/>
            </w:tcBorders>
            <w:shd w:val="clear" w:color="auto" w:fill="auto"/>
            <w:tcMar>
              <w:left w:w="28" w:type="dxa"/>
              <w:right w:w="28" w:type="dxa"/>
            </w:tcMar>
            <w:hideMark/>
          </w:tcPr>
          <w:p w14:paraId="3AECB6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R2=0.94, p=0.002</w:t>
            </w:r>
          </w:p>
        </w:tc>
        <w:tc>
          <w:tcPr>
            <w:tcW w:w="1072" w:type="dxa"/>
            <w:tcBorders>
              <w:bottom w:val="single" w:sz="12" w:space="0" w:color="auto"/>
              <w:right w:val="single" w:sz="12" w:space="0" w:color="auto"/>
            </w:tcBorders>
            <w:shd w:val="clear" w:color="auto" w:fill="auto"/>
            <w:tcMar>
              <w:left w:w="28" w:type="dxa"/>
              <w:right w:w="28" w:type="dxa"/>
            </w:tcMar>
            <w:hideMark/>
          </w:tcPr>
          <w:p w14:paraId="262790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-0.015</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56DA11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06CB4F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bottom w:val="single" w:sz="12" w:space="0" w:color="auto"/>
            </w:tcBorders>
            <w:shd w:val="clear" w:color="auto" w:fill="auto"/>
            <w:tcMar>
              <w:left w:w="28" w:type="dxa"/>
              <w:right w:w="28" w:type="dxa"/>
            </w:tcMar>
            <w:hideMark/>
          </w:tcPr>
          <w:p w14:paraId="40BC3A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471C14B"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5271DAE3" w14:textId="4C559F9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74E71FE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61BF37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7FB1F9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9BE67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4883D1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03F811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29</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5ED3A2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780E3C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PFS)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5521BA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rs=0.64, p&lt;0.001</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09FB9D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PFS)</w:t>
            </w:r>
          </w:p>
        </w:tc>
        <w:tc>
          <w:tcPr>
            <w:tcW w:w="1559" w:type="dxa"/>
            <w:tcBorders>
              <w:top w:val="single" w:sz="12" w:space="0" w:color="auto"/>
              <w:bottom w:val="single" w:sz="4" w:space="0" w:color="auto"/>
            </w:tcBorders>
            <w:shd w:val="clear" w:color="auto" w:fill="auto"/>
            <w:tcMar>
              <w:left w:w="28" w:type="dxa"/>
              <w:right w:w="28" w:type="dxa"/>
            </w:tcMar>
            <w:hideMark/>
          </w:tcPr>
          <w:p w14:paraId="14D181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R2=0.28, p=0.005</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447087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C038A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1EEF23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hideMark/>
          </w:tcPr>
          <w:p w14:paraId="571E67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812F057"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5B114325" w14:textId="6BBD37D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4049C7A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697DD4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B4168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375DC7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Published 1990-2002</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23C7DD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458BDD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21BB02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1E6583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PFS)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37775EF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rs=0.64, p=0.018</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79836C1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PFS)</w:t>
            </w:r>
          </w:p>
        </w:tc>
        <w:tc>
          <w:tcPr>
            <w:tcW w:w="1559" w:type="dxa"/>
            <w:tcBorders>
              <w:top w:val="single" w:sz="4" w:space="0" w:color="auto"/>
              <w:bottom w:val="single" w:sz="4" w:space="0" w:color="auto"/>
            </w:tcBorders>
            <w:shd w:val="clear" w:color="auto" w:fill="auto"/>
            <w:tcMar>
              <w:left w:w="28" w:type="dxa"/>
              <w:right w:w="28" w:type="dxa"/>
            </w:tcMar>
            <w:hideMark/>
          </w:tcPr>
          <w:p w14:paraId="41D6B5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R2=0.32, p=0.046</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64F62A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2B848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02B5F8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1A0C61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A89BB08"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399B2C06" w14:textId="3105830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10F4A3A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1437A7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6226F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215FD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Published 2003-2016</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0B666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7094C1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16</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15BE82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48A2A8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PFS)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23212B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rs=0.58, p=0.019</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4A8937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PFS)</w:t>
            </w:r>
          </w:p>
        </w:tc>
        <w:tc>
          <w:tcPr>
            <w:tcW w:w="1559" w:type="dxa"/>
            <w:tcBorders>
              <w:top w:val="single" w:sz="4" w:space="0" w:color="auto"/>
              <w:bottom w:val="single" w:sz="4" w:space="0" w:color="auto"/>
            </w:tcBorders>
            <w:shd w:val="clear" w:color="auto" w:fill="auto"/>
            <w:tcMar>
              <w:left w:w="28" w:type="dxa"/>
              <w:right w:w="28" w:type="dxa"/>
            </w:tcMar>
            <w:hideMark/>
          </w:tcPr>
          <w:p w14:paraId="0D2D68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R2=0.53, p=0.003</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20021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7A1D02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45F694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1FB4EA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F68F542"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10D92290" w14:textId="14145BD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Siddiqui 2017</w:t>
            </w:r>
            <w:r w:rsidRPr="002D1DD7">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132</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750F9D2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730C5C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C3511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5AE3C8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6F7E61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5E734A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0805BB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9223</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5EFD9E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wtd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42C8F9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r=0.42, p=NR</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tcPr>
          <w:p w14:paraId="3323CF31"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1559" w:type="dxa"/>
            <w:tcBorders>
              <w:top w:val="single" w:sz="4" w:space="0" w:color="auto"/>
              <w:bottom w:val="single" w:sz="12" w:space="0" w:color="auto"/>
            </w:tcBorders>
            <w:shd w:val="clear" w:color="auto" w:fill="auto"/>
            <w:tcMar>
              <w:left w:w="28" w:type="dxa"/>
              <w:right w:w="28" w:type="dxa"/>
            </w:tcMar>
          </w:tcPr>
          <w:p w14:paraId="7FD05A99"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tcPr>
          <w:p w14:paraId="77308A94"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1C4138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0D1957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hideMark/>
          </w:tcPr>
          <w:p w14:paraId="204699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03DBF7D1"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0895D7C5" w14:textId="2814A61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77835E8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05CE69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5AB491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12" w:space="0" w:color="auto"/>
              <w:left w:val="single" w:sz="12" w:space="0" w:color="auto"/>
            </w:tcBorders>
            <w:shd w:val="clear" w:color="auto" w:fill="auto"/>
            <w:tcMar>
              <w:left w:w="28" w:type="dxa"/>
              <w:right w:w="28" w:type="dxa"/>
            </w:tcMar>
            <w:hideMark/>
          </w:tcPr>
          <w:p w14:paraId="5C3913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right w:val="single" w:sz="12" w:space="0" w:color="auto"/>
            </w:tcBorders>
            <w:shd w:val="clear" w:color="auto" w:fill="auto"/>
            <w:tcMar>
              <w:left w:w="28" w:type="dxa"/>
              <w:right w:w="28" w:type="dxa"/>
            </w:tcMar>
            <w:hideMark/>
          </w:tcPr>
          <w:p w14:paraId="14BEF4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chemo or targeted</w:t>
            </w:r>
          </w:p>
        </w:tc>
        <w:tc>
          <w:tcPr>
            <w:tcW w:w="567" w:type="dxa"/>
            <w:tcBorders>
              <w:top w:val="single" w:sz="12" w:space="0" w:color="auto"/>
              <w:left w:val="single" w:sz="12" w:space="0" w:color="auto"/>
            </w:tcBorders>
            <w:shd w:val="clear" w:color="auto" w:fill="auto"/>
            <w:tcMar>
              <w:left w:w="28" w:type="dxa"/>
              <w:right w:w="28" w:type="dxa"/>
            </w:tcMar>
            <w:hideMark/>
          </w:tcPr>
          <w:p w14:paraId="7CA80E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33*</w:t>
            </w:r>
          </w:p>
        </w:tc>
        <w:tc>
          <w:tcPr>
            <w:tcW w:w="709" w:type="dxa"/>
            <w:tcBorders>
              <w:top w:val="single" w:sz="12" w:space="0" w:color="auto"/>
              <w:right w:val="single" w:sz="12" w:space="0" w:color="auto"/>
            </w:tcBorders>
            <w:shd w:val="clear" w:color="auto" w:fill="auto"/>
            <w:tcMar>
              <w:left w:w="28" w:type="dxa"/>
              <w:right w:w="28" w:type="dxa"/>
            </w:tcMar>
            <w:hideMark/>
          </w:tcPr>
          <w:p w14:paraId="5640F1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tcBorders>
            <w:shd w:val="clear" w:color="auto" w:fill="auto"/>
            <w:tcMar>
              <w:left w:w="28" w:type="dxa"/>
              <w:right w:w="28" w:type="dxa"/>
            </w:tcMar>
            <w:hideMark/>
          </w:tcPr>
          <w:p w14:paraId="14848E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PFS)</w:t>
            </w:r>
          </w:p>
        </w:tc>
        <w:tc>
          <w:tcPr>
            <w:tcW w:w="1460" w:type="dxa"/>
            <w:tcBorders>
              <w:top w:val="single" w:sz="12" w:space="0" w:color="auto"/>
              <w:right w:val="single" w:sz="12" w:space="0" w:color="auto"/>
            </w:tcBorders>
            <w:shd w:val="clear" w:color="auto" w:fill="auto"/>
            <w:tcMar>
              <w:left w:w="28" w:type="dxa"/>
              <w:right w:w="28" w:type="dxa"/>
            </w:tcMar>
            <w:hideMark/>
          </w:tcPr>
          <w:p w14:paraId="3C58F3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rs=0.34, p=NR</w:t>
            </w:r>
          </w:p>
        </w:tc>
        <w:tc>
          <w:tcPr>
            <w:tcW w:w="1659" w:type="dxa"/>
            <w:tcBorders>
              <w:top w:val="single" w:sz="12" w:space="0" w:color="auto"/>
              <w:left w:val="single" w:sz="12" w:space="0" w:color="auto"/>
            </w:tcBorders>
            <w:shd w:val="clear" w:color="auto" w:fill="auto"/>
            <w:tcMar>
              <w:left w:w="28" w:type="dxa"/>
              <w:right w:w="28" w:type="dxa"/>
            </w:tcMar>
            <w:hideMark/>
          </w:tcPr>
          <w:p w14:paraId="3B777C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tcBorders>
            <w:shd w:val="clear" w:color="auto" w:fill="auto"/>
            <w:tcMar>
              <w:left w:w="28" w:type="dxa"/>
              <w:right w:w="28" w:type="dxa"/>
            </w:tcMar>
            <w:hideMark/>
          </w:tcPr>
          <w:p w14:paraId="71E9FD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right w:val="single" w:sz="12" w:space="0" w:color="auto"/>
            </w:tcBorders>
            <w:shd w:val="clear" w:color="auto" w:fill="auto"/>
            <w:tcMar>
              <w:left w:w="28" w:type="dxa"/>
              <w:right w:w="28" w:type="dxa"/>
            </w:tcMar>
            <w:hideMark/>
          </w:tcPr>
          <w:p w14:paraId="389C02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541F95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5ABD8D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tcBorders>
            <w:shd w:val="clear" w:color="auto" w:fill="auto"/>
            <w:tcMar>
              <w:left w:w="28" w:type="dxa"/>
              <w:right w:w="28" w:type="dxa"/>
            </w:tcMar>
            <w:hideMark/>
          </w:tcPr>
          <w:p w14:paraId="34E658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BBB1AF0"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28BEBDB5" w14:textId="5CF9785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388085B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3597C4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1A612E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left w:val="single" w:sz="12" w:space="0" w:color="auto"/>
              <w:bottom w:val="single" w:sz="12" w:space="0" w:color="auto"/>
            </w:tcBorders>
            <w:shd w:val="clear" w:color="auto" w:fill="auto"/>
            <w:tcMar>
              <w:left w:w="28" w:type="dxa"/>
              <w:right w:w="28" w:type="dxa"/>
            </w:tcMar>
            <w:hideMark/>
          </w:tcPr>
          <w:p w14:paraId="1D3A8A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bottom w:val="single" w:sz="12" w:space="0" w:color="auto"/>
              <w:right w:val="single" w:sz="12" w:space="0" w:color="auto"/>
            </w:tcBorders>
            <w:shd w:val="clear" w:color="auto" w:fill="auto"/>
            <w:tcMar>
              <w:left w:w="28" w:type="dxa"/>
              <w:right w:w="28" w:type="dxa"/>
            </w:tcMar>
            <w:hideMark/>
          </w:tcPr>
          <w:p w14:paraId="69E04F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targeted</w:t>
            </w:r>
          </w:p>
        </w:tc>
        <w:tc>
          <w:tcPr>
            <w:tcW w:w="567" w:type="dxa"/>
            <w:tcBorders>
              <w:left w:val="single" w:sz="12" w:space="0" w:color="auto"/>
              <w:bottom w:val="single" w:sz="12" w:space="0" w:color="auto"/>
            </w:tcBorders>
            <w:shd w:val="clear" w:color="auto" w:fill="auto"/>
            <w:tcMar>
              <w:left w:w="28" w:type="dxa"/>
              <w:right w:w="28" w:type="dxa"/>
            </w:tcMar>
            <w:hideMark/>
          </w:tcPr>
          <w:p w14:paraId="5D5F7C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w:t>
            </w:r>
          </w:p>
        </w:tc>
        <w:tc>
          <w:tcPr>
            <w:tcW w:w="709" w:type="dxa"/>
            <w:tcBorders>
              <w:bottom w:val="single" w:sz="12" w:space="0" w:color="auto"/>
              <w:right w:val="single" w:sz="12" w:space="0" w:color="auto"/>
            </w:tcBorders>
            <w:shd w:val="clear" w:color="auto" w:fill="auto"/>
            <w:tcMar>
              <w:left w:w="28" w:type="dxa"/>
              <w:right w:w="28" w:type="dxa"/>
            </w:tcMar>
            <w:hideMark/>
          </w:tcPr>
          <w:p w14:paraId="33416D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bottom w:val="single" w:sz="12" w:space="0" w:color="auto"/>
            </w:tcBorders>
            <w:shd w:val="clear" w:color="auto" w:fill="auto"/>
            <w:tcMar>
              <w:left w:w="28" w:type="dxa"/>
              <w:right w:w="28" w:type="dxa"/>
            </w:tcMar>
            <w:hideMark/>
          </w:tcPr>
          <w:p w14:paraId="70175C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PFS)</w:t>
            </w:r>
          </w:p>
        </w:tc>
        <w:tc>
          <w:tcPr>
            <w:tcW w:w="1460" w:type="dxa"/>
            <w:tcBorders>
              <w:bottom w:val="single" w:sz="12" w:space="0" w:color="auto"/>
              <w:right w:val="single" w:sz="12" w:space="0" w:color="auto"/>
            </w:tcBorders>
            <w:shd w:val="clear" w:color="auto" w:fill="auto"/>
            <w:tcMar>
              <w:left w:w="28" w:type="dxa"/>
              <w:right w:w="28" w:type="dxa"/>
            </w:tcMar>
            <w:hideMark/>
          </w:tcPr>
          <w:p w14:paraId="4B43AD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rs=0.25, p=NR</w:t>
            </w:r>
          </w:p>
        </w:tc>
        <w:tc>
          <w:tcPr>
            <w:tcW w:w="1659" w:type="dxa"/>
            <w:tcBorders>
              <w:left w:val="single" w:sz="12" w:space="0" w:color="auto"/>
              <w:bottom w:val="single" w:sz="12" w:space="0" w:color="auto"/>
            </w:tcBorders>
            <w:shd w:val="clear" w:color="auto" w:fill="auto"/>
            <w:tcMar>
              <w:left w:w="28" w:type="dxa"/>
              <w:right w:w="28" w:type="dxa"/>
            </w:tcMar>
            <w:hideMark/>
          </w:tcPr>
          <w:p w14:paraId="7E7176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bottom w:val="single" w:sz="12" w:space="0" w:color="auto"/>
            </w:tcBorders>
            <w:shd w:val="clear" w:color="auto" w:fill="auto"/>
            <w:tcMar>
              <w:left w:w="28" w:type="dxa"/>
              <w:right w:w="28" w:type="dxa"/>
            </w:tcMar>
            <w:hideMark/>
          </w:tcPr>
          <w:p w14:paraId="61C927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bottom w:val="single" w:sz="12" w:space="0" w:color="auto"/>
              <w:right w:val="single" w:sz="12" w:space="0" w:color="auto"/>
            </w:tcBorders>
            <w:shd w:val="clear" w:color="auto" w:fill="auto"/>
            <w:tcMar>
              <w:left w:w="28" w:type="dxa"/>
              <w:right w:w="28" w:type="dxa"/>
            </w:tcMar>
            <w:hideMark/>
          </w:tcPr>
          <w:p w14:paraId="7CFF64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6CB01A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3AF1BD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bottom w:val="single" w:sz="12" w:space="0" w:color="auto"/>
            </w:tcBorders>
            <w:shd w:val="clear" w:color="auto" w:fill="auto"/>
            <w:tcMar>
              <w:left w:w="28" w:type="dxa"/>
              <w:right w:w="28" w:type="dxa"/>
            </w:tcMar>
            <w:hideMark/>
          </w:tcPr>
          <w:p w14:paraId="66EEA1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A11482D"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040562A6" w14:textId="7AA3AF4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5DA63EB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4DC0C6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777CA2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03672E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286948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6A1007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040677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10828</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0721EF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Correlation (NR), wtd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3BFADC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r=0.63 (0.35 to 0.89), p=NR</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21E078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bottom w:val="single" w:sz="4" w:space="0" w:color="auto"/>
            </w:tcBorders>
            <w:shd w:val="clear" w:color="auto" w:fill="auto"/>
            <w:tcMar>
              <w:left w:w="28" w:type="dxa"/>
              <w:right w:w="28" w:type="dxa"/>
            </w:tcMar>
            <w:hideMark/>
          </w:tcPr>
          <w:p w14:paraId="3B7EFD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11D26C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50A4FF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64E94F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bottom w:val="single" w:sz="4" w:space="0" w:color="auto"/>
            </w:tcBorders>
            <w:shd w:val="clear" w:color="auto" w:fill="auto"/>
            <w:tcMar>
              <w:left w:w="28" w:type="dxa"/>
              <w:right w:w="28" w:type="dxa"/>
            </w:tcMar>
            <w:hideMark/>
          </w:tcPr>
          <w:p w14:paraId="65AAF1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259A1080"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340AD013" w14:textId="7130DF4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1DDD27B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484893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34AE7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BA0E0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35C289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0325ED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611BF5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08946F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419017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4FF1DC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tcBorders>
              <w:top w:val="single" w:sz="4" w:space="0" w:color="auto"/>
              <w:bottom w:val="single" w:sz="4" w:space="0" w:color="auto"/>
            </w:tcBorders>
            <w:shd w:val="clear" w:color="auto" w:fill="auto"/>
            <w:tcMar>
              <w:left w:w="28" w:type="dxa"/>
              <w:right w:w="28" w:type="dxa"/>
            </w:tcMar>
            <w:hideMark/>
          </w:tcPr>
          <w:p w14:paraId="0C967D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R2=0.32 (0.02 to 0.76), p=0.01</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046BF5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PFS = -0.1281 - 0.2384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CB712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565696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52CD35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C4B666A"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277C4B6" w14:textId="7EC8E02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67C2352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207E44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72358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11FA840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52A8A8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(CTLA-4)</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2B4430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1FCCB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0A1F0C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64205A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484363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tcBorders>
              <w:top w:val="single" w:sz="4" w:space="0" w:color="auto"/>
              <w:bottom w:val="single" w:sz="4" w:space="0" w:color="auto"/>
            </w:tcBorders>
            <w:shd w:val="clear" w:color="auto" w:fill="auto"/>
            <w:tcMar>
              <w:left w:w="28" w:type="dxa"/>
              <w:right w:w="28" w:type="dxa"/>
            </w:tcMar>
            <w:hideMark/>
          </w:tcPr>
          <w:p w14:paraId="5C57CD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R2=0.67 (0.02 to 1.00), p=0.05</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F7AD791"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6ACAE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79ADEE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20A105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AFFFA1C"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53A4CE2B" w14:textId="3CB6C35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7486236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59093A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209B1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8F238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5F61F9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4CB262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285B0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0DDBE61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4816B6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2A653F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PFS)</w:t>
            </w:r>
          </w:p>
        </w:tc>
        <w:tc>
          <w:tcPr>
            <w:tcW w:w="1559" w:type="dxa"/>
            <w:tcBorders>
              <w:top w:val="single" w:sz="4" w:space="0" w:color="auto"/>
              <w:bottom w:val="single" w:sz="4" w:space="0" w:color="auto"/>
            </w:tcBorders>
            <w:shd w:val="clear" w:color="auto" w:fill="auto"/>
            <w:tcMar>
              <w:left w:w="28" w:type="dxa"/>
              <w:right w:w="28" w:type="dxa"/>
            </w:tcMar>
            <w:hideMark/>
          </w:tcPr>
          <w:p w14:paraId="093DE4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R2=0.25 (0.02 to 1.00), p=0.08</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6676E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8F61B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449845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20BBAD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418E273"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92AE61B" w14:textId="2378C8E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6DCA5CC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0756C0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620BF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1647F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178A55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310187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22B51B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18F521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0F0E87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3B766C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(unwtd) R2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p>
        </w:tc>
        <w:tc>
          <w:tcPr>
            <w:tcW w:w="1559" w:type="dxa"/>
            <w:tcBorders>
              <w:top w:val="single" w:sz="4" w:space="0" w:color="auto"/>
              <w:bottom w:val="single" w:sz="4" w:space="0" w:color="auto"/>
            </w:tcBorders>
            <w:shd w:val="clear" w:color="auto" w:fill="auto"/>
            <w:tcMar>
              <w:left w:w="28" w:type="dxa"/>
              <w:right w:w="28" w:type="dxa"/>
            </w:tcMar>
            <w:hideMark/>
          </w:tcPr>
          <w:p w14:paraId="493326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R2=0.50, p=0.001</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4A66270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-0.022</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BF4FD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10BB96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077AFB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7A826BA"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19B40642" w14:textId="5BC5D88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Wilkerson+Fojo 2009</w:t>
            </w:r>
            <w:r w:rsidRPr="002D1DD7">
              <w:rPr>
                <w:rFonts w:eastAsia="Times New Roman" w:cs="Times New Roman"/>
                <w:color w:val="000000"/>
                <w:sz w:val="18"/>
                <w:szCs w:val="18"/>
                <w:lang w:eastAsia="zh-CN"/>
              </w:rPr>
              <w:fldChar w:fldCharType="begin">
                <w:fldData xml:space="preserve">PEVuZE5vdGU+PENpdGU+PEF1dGhvcj5XaWxrZXJzb248L0F1dGhvcj48WWVhcj4yMDA5PC9ZZWFy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RT1mdWxsdGV4dCZhbXA7RD1tZWQ2JmFtcDtBTj0xOTgyNjM1Nzwvc3R5bGU+PHN0eWxlIGZhY2U9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c2VydmljZXNfcGFnZT9zaWQ9T1ZJRDptZWRsaW5lJmFtcDtpZD1wbWlkOjE5ODI2MzU3JmFtcDtp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PEVuZE5vdGU+PENpdGU+PEF1dGhvcj5XaWxrZXJzb248L0F1dGhvcj48WWVhcj4yMDA5PC9ZZWFy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RT1mdWxsdGV4dCZhbXA7RD1tZWQ2JmFtcDtBTj0xOTgyNjM1Nzwvc3R5bGU+PHN0eWxlIGZhY2U9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c2VydmljZXNfcGFnZT9zaWQ9T1ZJRDptZWRsaW5lJmFtcDtpZD1wbWlkOjE5ODI2MzU3JmFtcDtp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139</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2A60D97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608342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2692A9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63875D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5B07CD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5573B9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539CF9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482886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55B87E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21D5E1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(unwtd R2):</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PFS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PFS</w:t>
            </w:r>
          </w:p>
        </w:tc>
        <w:tc>
          <w:tcPr>
            <w:tcW w:w="1559" w:type="dxa"/>
            <w:tcBorders>
              <w:top w:val="single" w:sz="4" w:space="0" w:color="auto"/>
              <w:bottom w:val="single" w:sz="12" w:space="0" w:color="auto"/>
            </w:tcBorders>
            <w:shd w:val="clear" w:color="auto" w:fill="auto"/>
            <w:tcMar>
              <w:left w:w="28" w:type="dxa"/>
              <w:right w:w="28" w:type="dxa"/>
            </w:tcMar>
            <w:hideMark/>
          </w:tcPr>
          <w:p w14:paraId="252F38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R2=0.45, p&lt;0.0001</w:t>
            </w:r>
            <w:r w:rsidRPr="002D1DD7">
              <w:rPr>
                <w:rFonts w:eastAsia="Times New Roman" w:cs="Times New Roman"/>
                <w:color w:val="000000"/>
                <w:sz w:val="18"/>
                <w:szCs w:val="18"/>
                <w:lang w:eastAsia="zh-CN"/>
              </w:rPr>
              <w:br/>
              <w:t>b) R2=0.62, p&lt;0.0001</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1F8648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DA4BB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33B5C5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12" w:space="0" w:color="auto"/>
            </w:tcBorders>
            <w:shd w:val="clear" w:color="auto" w:fill="auto"/>
            <w:tcMar>
              <w:left w:w="28" w:type="dxa"/>
              <w:right w:w="28" w:type="dxa"/>
            </w:tcMar>
            <w:hideMark/>
          </w:tcPr>
          <w:p w14:paraId="5F5414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2F93545" w14:textId="77777777" w:rsidTr="003117A9">
        <w:trPr>
          <w:cantSplit/>
        </w:trPr>
        <w:tc>
          <w:tcPr>
            <w:tcW w:w="15525" w:type="dxa"/>
            <w:gridSpan w:val="16"/>
            <w:shd w:val="clear" w:color="auto" w:fill="D9D9D9"/>
            <w:tcMar>
              <w:left w:w="28" w:type="dxa"/>
              <w:right w:w="28" w:type="dxa"/>
            </w:tcMar>
          </w:tcPr>
          <w:p w14:paraId="48E276ED"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Pr>
                <w:rFonts w:eastAsia="Times New Roman" w:cs="Times New Roman"/>
                <w:b/>
                <w:bCs/>
                <w:color w:val="000000"/>
                <w:sz w:val="18"/>
                <w:szCs w:val="18"/>
                <w:lang w:eastAsia="zh-CN"/>
              </w:rPr>
              <w:t>O</w:t>
            </w:r>
            <w:r w:rsidRPr="002D1DD7">
              <w:rPr>
                <w:rFonts w:eastAsia="Times New Roman" w:cs="Times New Roman"/>
                <w:b/>
                <w:bCs/>
                <w:color w:val="000000"/>
                <w:sz w:val="18"/>
                <w:szCs w:val="18"/>
                <w:lang w:eastAsia="zh-CN"/>
              </w:rPr>
              <w:t>RR vs. OS</w:t>
            </w:r>
          </w:p>
        </w:tc>
      </w:tr>
      <w:tr w:rsidR="002E26FD" w:rsidRPr="002D1DD7" w14:paraId="72723BAC"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1D7D635F" w14:textId="314495C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Moriwaki 2016</w:t>
            </w:r>
            <w:r w:rsidRPr="002D1DD7">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116</w:t>
            </w:r>
            <w:r w:rsidRPr="002D1DD7">
              <w:rPr>
                <w:rFonts w:eastAsia="Times New Roman" w:cs="Times New Roman"/>
                <w:color w:val="000000"/>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6E59FC0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0D27053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D00ED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Biliary tract</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17B24F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2E9C7ED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44BA5A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3C20E9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2040</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55B345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597C7E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181C74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ratio med OS)</w:t>
            </w:r>
          </w:p>
        </w:tc>
        <w:tc>
          <w:tcPr>
            <w:tcW w:w="1559" w:type="dxa"/>
            <w:tcBorders>
              <w:top w:val="single" w:sz="12" w:space="0" w:color="auto"/>
              <w:bottom w:val="single" w:sz="4" w:space="0" w:color="auto"/>
            </w:tcBorders>
            <w:shd w:val="clear" w:color="auto" w:fill="auto"/>
            <w:tcMar>
              <w:left w:w="28" w:type="dxa"/>
              <w:right w:w="28" w:type="dxa"/>
            </w:tcMar>
            <w:hideMark/>
          </w:tcPr>
          <w:p w14:paraId="16B6C8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R2=0.29 (0.01 to 0.65), p=0.021</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7D287B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 ratio med OS = 0.013 + 0.282 *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151870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659B9D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hideMark/>
          </w:tcPr>
          <w:p w14:paraId="1DE843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9E53CAE"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3681BD7" w14:textId="76E49AE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Moriwaki 2016</w:t>
            </w:r>
            <w:r w:rsidRPr="002D1DD7">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116</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6C00BF6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73BAAF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BEC86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Biliary tract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1BDE15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31E420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(gemcitabine)</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17C3E1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50A559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1880</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726C0E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36840A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029020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ratio med OS)</w:t>
            </w:r>
          </w:p>
        </w:tc>
        <w:tc>
          <w:tcPr>
            <w:tcW w:w="1559" w:type="dxa"/>
            <w:tcBorders>
              <w:top w:val="single" w:sz="4" w:space="0" w:color="auto"/>
              <w:bottom w:val="single" w:sz="4" w:space="0" w:color="auto"/>
            </w:tcBorders>
            <w:shd w:val="clear" w:color="auto" w:fill="auto"/>
            <w:tcMar>
              <w:left w:w="28" w:type="dxa"/>
              <w:right w:w="28" w:type="dxa"/>
            </w:tcMar>
            <w:hideMark/>
          </w:tcPr>
          <w:p w14:paraId="6E28B9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R2=0.39 (0.02 to 0.75), p=0.013</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B6530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 ratio med OS = 0.020 + 0.268 *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40B09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167DA9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6DE233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22AE17C"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0A55A7F8" w14:textId="04673AE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Moriwaki 2016</w:t>
            </w:r>
            <w:r w:rsidRPr="002D1DD7">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PEVuZE5vdGU+PENpdGU+PEF1dGhvcj5Nb3Jpd2FraTwvQXV0aG9yPjxZZWFyPjIwMTY8L1llYXI+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116</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131996E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57BE22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42B92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Biliary tract</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06A4CD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7B603B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35D287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689D5C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953</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77E253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40ACB5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3CBC93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ratio med OS)</w:t>
            </w:r>
          </w:p>
        </w:tc>
        <w:tc>
          <w:tcPr>
            <w:tcW w:w="1559" w:type="dxa"/>
            <w:tcBorders>
              <w:top w:val="single" w:sz="4" w:space="0" w:color="auto"/>
              <w:bottom w:val="single" w:sz="12" w:space="0" w:color="auto"/>
            </w:tcBorders>
            <w:shd w:val="clear" w:color="auto" w:fill="auto"/>
            <w:tcMar>
              <w:left w:w="28" w:type="dxa"/>
              <w:right w:w="28" w:type="dxa"/>
            </w:tcMar>
            <w:hideMark/>
          </w:tcPr>
          <w:p w14:paraId="296204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R2=0.43 (0.03 to 0.89), p=0.090</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30455E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 ratio med OS = 0.119 +  0.155 *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705484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755E6D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hideMark/>
          </w:tcPr>
          <w:p w14:paraId="428ACE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BEA2CCB"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2219394D" w14:textId="31B168C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Bruzzi 2005</w:t>
            </w:r>
            <w:r w:rsidRPr="002D1DD7">
              <w:rPr>
                <w:rFonts w:eastAsia="Times New Roman" w:cs="Times New Roman"/>
                <w:sz w:val="18"/>
                <w:szCs w:val="18"/>
                <w:lang w:eastAsia="zh-CN"/>
              </w:rPr>
              <w:fldChar w:fldCharType="begin">
                <w:fldData xml:space="preserve">PEVuZE5vdGU+PENpdGU+PEF1dGhvcj5CcnV6emk8L0F1dGhvcj48WWVhcj4yMDA1PC9ZZWFyPjxS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PEVuZE5vdGU+PENpdGU+PEF1dGhvcj5CcnV6emk8L0F1dGhvcj48WWVhcj4yMDA1PC9ZZWFyPjxS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83</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3CB7FDF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7997A3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496983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12" w:space="0" w:color="auto"/>
              <w:left w:val="single" w:sz="12" w:space="0" w:color="auto"/>
            </w:tcBorders>
            <w:shd w:val="clear" w:color="auto" w:fill="auto"/>
            <w:tcMar>
              <w:left w:w="28" w:type="dxa"/>
              <w:right w:w="28" w:type="dxa"/>
            </w:tcMar>
            <w:hideMark/>
          </w:tcPr>
          <w:p w14:paraId="6FE00F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top w:val="single" w:sz="12" w:space="0" w:color="auto"/>
              <w:right w:val="single" w:sz="12" w:space="0" w:color="auto"/>
            </w:tcBorders>
            <w:shd w:val="clear" w:color="auto" w:fill="auto"/>
            <w:tcMar>
              <w:left w:w="28" w:type="dxa"/>
              <w:right w:w="28" w:type="dxa"/>
            </w:tcMar>
            <w:hideMark/>
          </w:tcPr>
          <w:p w14:paraId="01B1F2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tcBorders>
            <w:shd w:val="clear" w:color="auto" w:fill="auto"/>
            <w:tcMar>
              <w:left w:w="28" w:type="dxa"/>
              <w:right w:w="28" w:type="dxa"/>
            </w:tcMar>
            <w:hideMark/>
          </w:tcPr>
          <w:p w14:paraId="22A887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w:t>
            </w:r>
          </w:p>
        </w:tc>
        <w:tc>
          <w:tcPr>
            <w:tcW w:w="709" w:type="dxa"/>
            <w:tcBorders>
              <w:top w:val="single" w:sz="12" w:space="0" w:color="auto"/>
              <w:right w:val="single" w:sz="12" w:space="0" w:color="auto"/>
            </w:tcBorders>
            <w:shd w:val="clear" w:color="auto" w:fill="auto"/>
            <w:tcMar>
              <w:left w:w="28" w:type="dxa"/>
              <w:right w:w="28" w:type="dxa"/>
            </w:tcMar>
            <w:hideMark/>
          </w:tcPr>
          <w:p w14:paraId="3653CD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2126</w:t>
            </w:r>
          </w:p>
        </w:tc>
        <w:tc>
          <w:tcPr>
            <w:tcW w:w="1559" w:type="dxa"/>
            <w:tcBorders>
              <w:top w:val="single" w:sz="12" w:space="0" w:color="auto"/>
              <w:left w:val="single" w:sz="12" w:space="0" w:color="auto"/>
            </w:tcBorders>
            <w:shd w:val="clear" w:color="auto" w:fill="auto"/>
            <w:tcMar>
              <w:left w:w="28" w:type="dxa"/>
              <w:right w:w="28" w:type="dxa"/>
            </w:tcMar>
            <w:hideMark/>
          </w:tcPr>
          <w:p w14:paraId="47F456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right w:val="single" w:sz="12" w:space="0" w:color="auto"/>
            </w:tcBorders>
            <w:shd w:val="clear" w:color="auto" w:fill="auto"/>
            <w:tcMar>
              <w:left w:w="28" w:type="dxa"/>
              <w:right w:w="28" w:type="dxa"/>
            </w:tcMar>
            <w:hideMark/>
          </w:tcPr>
          <w:p w14:paraId="0399DF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tcBorders>
            <w:shd w:val="clear" w:color="auto" w:fill="auto"/>
            <w:tcMar>
              <w:left w:w="28" w:type="dxa"/>
              <w:right w:w="28" w:type="dxa"/>
            </w:tcMar>
            <w:hideMark/>
          </w:tcPr>
          <w:p w14:paraId="41156B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 xml:space="preserve">a)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12" w:space="0" w:color="auto"/>
            </w:tcBorders>
            <w:shd w:val="clear" w:color="auto" w:fill="auto"/>
            <w:tcMar>
              <w:left w:w="28" w:type="dxa"/>
              <w:right w:w="28" w:type="dxa"/>
            </w:tcMar>
            <w:hideMark/>
          </w:tcPr>
          <w:p w14:paraId="6DC4D0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R2=0.10 (0.00 to 0.43), p=NR</w:t>
            </w:r>
            <w:r w:rsidRPr="002D1DD7">
              <w:rPr>
                <w:rFonts w:eastAsia="Times New Roman" w:cs="Times New Roman"/>
                <w:color w:val="000000"/>
                <w:sz w:val="18"/>
                <w:szCs w:val="18"/>
                <w:lang w:eastAsia="zh-CN"/>
              </w:rPr>
              <w:br/>
              <w:t>b) R2=0.20 (0 to 0.65), p=NR</w:t>
            </w:r>
          </w:p>
        </w:tc>
        <w:tc>
          <w:tcPr>
            <w:tcW w:w="1072" w:type="dxa"/>
            <w:tcBorders>
              <w:top w:val="single" w:sz="12" w:space="0" w:color="auto"/>
              <w:right w:val="single" w:sz="12" w:space="0" w:color="auto"/>
            </w:tcBorders>
            <w:shd w:val="clear" w:color="auto" w:fill="auto"/>
            <w:tcMar>
              <w:left w:w="28" w:type="dxa"/>
              <w:right w:w="28" w:type="dxa"/>
            </w:tcMar>
            <w:hideMark/>
          </w:tcPr>
          <w:p w14:paraId="32904E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65159B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090213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tcBorders>
            <w:shd w:val="clear" w:color="auto" w:fill="auto"/>
            <w:tcMar>
              <w:left w:w="28" w:type="dxa"/>
              <w:right w:w="28" w:type="dxa"/>
            </w:tcMar>
            <w:hideMark/>
          </w:tcPr>
          <w:p w14:paraId="2FBEF5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9BFBD3F" w14:textId="77777777" w:rsidTr="003117A9">
        <w:trPr>
          <w:cantSplit/>
        </w:trPr>
        <w:tc>
          <w:tcPr>
            <w:tcW w:w="988" w:type="dxa"/>
            <w:tcBorders>
              <w:right w:val="single" w:sz="12" w:space="0" w:color="auto"/>
            </w:tcBorders>
            <w:shd w:val="clear" w:color="auto" w:fill="auto"/>
            <w:tcMar>
              <w:left w:w="28" w:type="dxa"/>
              <w:right w:w="28" w:type="dxa"/>
            </w:tcMar>
            <w:hideMark/>
          </w:tcPr>
          <w:p w14:paraId="71C552F7" w14:textId="2EC394A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Burzykowski 2008</w:t>
            </w:r>
            <w:r w:rsidRPr="002D1DD7">
              <w:rPr>
                <w:rFonts w:eastAsia="Times New Roman" w:cs="Times New Roman"/>
                <w:sz w:val="18"/>
                <w:szCs w:val="18"/>
                <w:lang w:eastAsia="zh-CN"/>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PEVuZE5vdGU+PENpdGU+PEF1dGhvcj5CdXJ6eWtvd3NraTwvQXV0aG9yPjxZZWFyPjIwMDg8L1ll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dGV4dCZhbXA7RD1tZWQ2JmFtcDtBTj0xODQyMTA1MCYjeEQ7aHR0cDovL3Jlc29sdmVyLnNoZWYu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84</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3A0CCB2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17DAC0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3E1522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left w:val="single" w:sz="12" w:space="0" w:color="auto"/>
            </w:tcBorders>
            <w:shd w:val="clear" w:color="auto" w:fill="auto"/>
            <w:tcMar>
              <w:left w:w="28" w:type="dxa"/>
              <w:right w:w="28" w:type="dxa"/>
            </w:tcMar>
            <w:hideMark/>
          </w:tcPr>
          <w:p w14:paraId="4BD235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hideMark/>
          </w:tcPr>
          <w:p w14:paraId="5A5D17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405E22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09" w:type="dxa"/>
            <w:tcBorders>
              <w:right w:val="single" w:sz="12" w:space="0" w:color="auto"/>
            </w:tcBorders>
            <w:shd w:val="clear" w:color="auto" w:fill="auto"/>
            <w:tcMar>
              <w:left w:w="28" w:type="dxa"/>
              <w:right w:w="28" w:type="dxa"/>
            </w:tcMar>
            <w:hideMark/>
          </w:tcPr>
          <w:p w14:paraId="765D14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3953</w:t>
            </w:r>
          </w:p>
        </w:tc>
        <w:tc>
          <w:tcPr>
            <w:tcW w:w="1559" w:type="dxa"/>
            <w:tcBorders>
              <w:left w:val="single" w:sz="12" w:space="0" w:color="auto"/>
            </w:tcBorders>
            <w:shd w:val="clear" w:color="auto" w:fill="auto"/>
            <w:tcMar>
              <w:left w:w="28" w:type="dxa"/>
              <w:right w:w="28" w:type="dxa"/>
            </w:tcMar>
            <w:hideMark/>
          </w:tcPr>
          <w:p w14:paraId="6BEF55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via LR with Plackett copula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460" w:type="dxa"/>
            <w:tcBorders>
              <w:right w:val="single" w:sz="12" w:space="0" w:color="auto"/>
            </w:tcBorders>
            <w:shd w:val="clear" w:color="auto" w:fill="auto"/>
            <w:tcMar>
              <w:left w:w="28" w:type="dxa"/>
              <w:right w:w="28" w:type="dxa"/>
            </w:tcMar>
            <w:hideMark/>
          </w:tcPr>
          <w:p w14:paraId="57A313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rs=0.57 (-0.31 to 1.44), p=NR</w:t>
            </w:r>
          </w:p>
        </w:tc>
        <w:tc>
          <w:tcPr>
            <w:tcW w:w="1659" w:type="dxa"/>
            <w:tcBorders>
              <w:left w:val="single" w:sz="12" w:space="0" w:color="auto"/>
            </w:tcBorders>
            <w:shd w:val="clear" w:color="auto" w:fill="auto"/>
            <w:tcMar>
              <w:left w:w="28" w:type="dxa"/>
              <w:right w:w="28" w:type="dxa"/>
            </w:tcMar>
            <w:hideMark/>
          </w:tcPr>
          <w:p w14:paraId="2621E8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7DDAA4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47DFCF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701F0A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71E627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257738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D81E3FA" w14:textId="77777777" w:rsidTr="003117A9">
        <w:trPr>
          <w:cantSplit/>
        </w:trPr>
        <w:tc>
          <w:tcPr>
            <w:tcW w:w="988" w:type="dxa"/>
            <w:tcBorders>
              <w:right w:val="single" w:sz="12" w:space="0" w:color="auto"/>
            </w:tcBorders>
            <w:shd w:val="clear" w:color="auto" w:fill="auto"/>
            <w:tcMar>
              <w:left w:w="28" w:type="dxa"/>
              <w:right w:w="28" w:type="dxa"/>
            </w:tcMar>
            <w:hideMark/>
          </w:tcPr>
          <w:p w14:paraId="7BCC1AE9" w14:textId="066D1F8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6031549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F8790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6ECB08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left w:val="single" w:sz="12" w:space="0" w:color="auto"/>
            </w:tcBorders>
            <w:shd w:val="clear" w:color="auto" w:fill="auto"/>
            <w:tcMar>
              <w:left w:w="28" w:type="dxa"/>
              <w:right w:w="28" w:type="dxa"/>
            </w:tcMar>
            <w:hideMark/>
          </w:tcPr>
          <w:p w14:paraId="7E0487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hideMark/>
          </w:tcPr>
          <w:p w14:paraId="0ECC30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4A6F3D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42*</w:t>
            </w:r>
          </w:p>
        </w:tc>
        <w:tc>
          <w:tcPr>
            <w:tcW w:w="709" w:type="dxa"/>
            <w:tcBorders>
              <w:right w:val="single" w:sz="12" w:space="0" w:color="auto"/>
            </w:tcBorders>
            <w:shd w:val="clear" w:color="auto" w:fill="auto"/>
            <w:tcMar>
              <w:left w:w="28" w:type="dxa"/>
              <w:right w:w="28" w:type="dxa"/>
            </w:tcMar>
            <w:hideMark/>
          </w:tcPr>
          <w:p w14:paraId="289765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9163</w:t>
            </w:r>
          </w:p>
        </w:tc>
        <w:tc>
          <w:tcPr>
            <w:tcW w:w="1559" w:type="dxa"/>
            <w:tcBorders>
              <w:left w:val="single" w:sz="12" w:space="0" w:color="auto"/>
            </w:tcBorders>
            <w:shd w:val="clear" w:color="auto" w:fill="auto"/>
            <w:tcMar>
              <w:left w:w="28" w:type="dxa"/>
              <w:right w:w="28" w:type="dxa"/>
            </w:tcMar>
            <w:hideMark/>
          </w:tcPr>
          <w:p w14:paraId="530EEE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EF057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655EA6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7B22EB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R2=0.34, p&lt;0.0001</w:t>
            </w:r>
          </w:p>
        </w:tc>
        <w:tc>
          <w:tcPr>
            <w:tcW w:w="1072" w:type="dxa"/>
            <w:tcBorders>
              <w:right w:val="single" w:sz="12" w:space="0" w:color="auto"/>
            </w:tcBorders>
            <w:shd w:val="clear" w:color="auto" w:fill="auto"/>
            <w:tcMar>
              <w:left w:w="28" w:type="dxa"/>
              <w:right w:w="28" w:type="dxa"/>
            </w:tcMar>
            <w:hideMark/>
          </w:tcPr>
          <w:p w14:paraId="05BBFE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OS = -0.0081 + 0.28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r w:rsidRPr="002D1DD7">
              <w:rPr>
                <w:rFonts w:eastAsia="Times New Roman" w:cs="Times New Roman"/>
                <w:color w:val="000000"/>
                <w:sz w:val="18"/>
                <w:szCs w:val="18"/>
                <w:lang w:eastAsia="zh-CN"/>
              </w:rPr>
              <w:br/>
            </w:r>
            <w:r w:rsidRPr="002D1DD7">
              <w:rPr>
                <w:rFonts w:eastAsia="Times New Roman" w:cs="Times New Roman"/>
                <w:color w:val="000000"/>
                <w:sz w:val="18"/>
                <w:szCs w:val="18"/>
                <w:lang w:eastAsia="zh-CN"/>
              </w:rPr>
              <w:br/>
              <w:t>Slope 0.28</w:t>
            </w:r>
          </w:p>
        </w:tc>
        <w:tc>
          <w:tcPr>
            <w:tcW w:w="546" w:type="dxa"/>
            <w:tcBorders>
              <w:left w:val="single" w:sz="12" w:space="0" w:color="auto"/>
              <w:right w:val="single" w:sz="12" w:space="0" w:color="auto"/>
            </w:tcBorders>
            <w:shd w:val="clear" w:color="auto" w:fill="auto"/>
            <w:tcMar>
              <w:left w:w="28" w:type="dxa"/>
              <w:right w:w="28" w:type="dxa"/>
            </w:tcMar>
            <w:hideMark/>
          </w:tcPr>
          <w:p w14:paraId="18299E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0FB2E4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5CEF25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0B0B853" w14:textId="77777777" w:rsidTr="003117A9">
        <w:trPr>
          <w:cantSplit/>
        </w:trPr>
        <w:tc>
          <w:tcPr>
            <w:tcW w:w="988" w:type="dxa"/>
            <w:tcBorders>
              <w:right w:val="single" w:sz="12" w:space="0" w:color="auto"/>
            </w:tcBorders>
            <w:shd w:val="clear" w:color="auto" w:fill="auto"/>
            <w:tcMar>
              <w:left w:w="28" w:type="dxa"/>
              <w:right w:w="28" w:type="dxa"/>
            </w:tcMar>
            <w:hideMark/>
          </w:tcPr>
          <w:p w14:paraId="5B13CAA8" w14:textId="0A170CE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21526AE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71DBA1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11C3B2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left w:val="single" w:sz="12" w:space="0" w:color="auto"/>
            </w:tcBorders>
            <w:shd w:val="clear" w:color="auto" w:fill="auto"/>
            <w:tcMar>
              <w:left w:w="28" w:type="dxa"/>
              <w:right w:w="28" w:type="dxa"/>
            </w:tcMar>
            <w:hideMark/>
          </w:tcPr>
          <w:p w14:paraId="1B90F5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Recruited pre-1990</w:t>
            </w:r>
          </w:p>
        </w:tc>
        <w:tc>
          <w:tcPr>
            <w:tcW w:w="992" w:type="dxa"/>
            <w:tcBorders>
              <w:right w:val="single" w:sz="12" w:space="0" w:color="auto"/>
            </w:tcBorders>
            <w:shd w:val="clear" w:color="auto" w:fill="auto"/>
            <w:tcMar>
              <w:left w:w="28" w:type="dxa"/>
              <w:right w:w="28" w:type="dxa"/>
            </w:tcMar>
            <w:hideMark/>
          </w:tcPr>
          <w:p w14:paraId="23245C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4505DD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26*</w:t>
            </w:r>
          </w:p>
        </w:tc>
        <w:tc>
          <w:tcPr>
            <w:tcW w:w="709" w:type="dxa"/>
            <w:tcBorders>
              <w:right w:val="single" w:sz="12" w:space="0" w:color="auto"/>
            </w:tcBorders>
            <w:shd w:val="clear" w:color="auto" w:fill="auto"/>
            <w:tcMar>
              <w:left w:w="28" w:type="dxa"/>
              <w:right w:w="28" w:type="dxa"/>
            </w:tcMar>
            <w:hideMark/>
          </w:tcPr>
          <w:p w14:paraId="0D1FBA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5244*</w:t>
            </w:r>
          </w:p>
        </w:tc>
        <w:tc>
          <w:tcPr>
            <w:tcW w:w="1559" w:type="dxa"/>
            <w:tcBorders>
              <w:left w:val="single" w:sz="12" w:space="0" w:color="auto"/>
            </w:tcBorders>
            <w:shd w:val="clear" w:color="auto" w:fill="auto"/>
            <w:tcMar>
              <w:left w:w="28" w:type="dxa"/>
              <w:right w:w="28" w:type="dxa"/>
            </w:tcMar>
            <w:hideMark/>
          </w:tcPr>
          <w:p w14:paraId="1536D5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3AE1D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79A382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10CE5E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R2=0.26, p=0.004</w:t>
            </w:r>
          </w:p>
        </w:tc>
        <w:tc>
          <w:tcPr>
            <w:tcW w:w="1072" w:type="dxa"/>
            <w:tcBorders>
              <w:right w:val="single" w:sz="12" w:space="0" w:color="auto"/>
            </w:tcBorders>
            <w:shd w:val="clear" w:color="auto" w:fill="auto"/>
            <w:tcMar>
              <w:left w:w="28" w:type="dxa"/>
              <w:right w:w="28" w:type="dxa"/>
            </w:tcMar>
            <w:hideMark/>
          </w:tcPr>
          <w:p w14:paraId="580DCC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0.28</w:t>
            </w:r>
          </w:p>
        </w:tc>
        <w:tc>
          <w:tcPr>
            <w:tcW w:w="546" w:type="dxa"/>
            <w:tcBorders>
              <w:left w:val="single" w:sz="12" w:space="0" w:color="auto"/>
              <w:right w:val="single" w:sz="12" w:space="0" w:color="auto"/>
            </w:tcBorders>
            <w:shd w:val="clear" w:color="auto" w:fill="auto"/>
            <w:tcMar>
              <w:left w:w="28" w:type="dxa"/>
              <w:right w:w="28" w:type="dxa"/>
            </w:tcMar>
            <w:hideMark/>
          </w:tcPr>
          <w:p w14:paraId="245B87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665C42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7C6D1A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17B5817"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169BF0FE" w14:textId="5000023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7778F38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76234A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42E6AD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left w:val="single" w:sz="12" w:space="0" w:color="auto"/>
              <w:bottom w:val="single" w:sz="12" w:space="0" w:color="auto"/>
            </w:tcBorders>
            <w:shd w:val="clear" w:color="auto" w:fill="auto"/>
            <w:tcMar>
              <w:left w:w="28" w:type="dxa"/>
              <w:right w:w="28" w:type="dxa"/>
            </w:tcMar>
            <w:hideMark/>
          </w:tcPr>
          <w:p w14:paraId="268FDB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Recruited 1990 or after</w:t>
            </w:r>
          </w:p>
        </w:tc>
        <w:tc>
          <w:tcPr>
            <w:tcW w:w="992" w:type="dxa"/>
            <w:tcBorders>
              <w:bottom w:val="single" w:sz="12" w:space="0" w:color="auto"/>
              <w:right w:val="single" w:sz="12" w:space="0" w:color="auto"/>
            </w:tcBorders>
            <w:shd w:val="clear" w:color="auto" w:fill="auto"/>
            <w:tcMar>
              <w:left w:w="28" w:type="dxa"/>
              <w:right w:w="28" w:type="dxa"/>
            </w:tcMar>
            <w:hideMark/>
          </w:tcPr>
          <w:p w14:paraId="77F19E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bottom w:val="single" w:sz="12" w:space="0" w:color="auto"/>
            </w:tcBorders>
            <w:shd w:val="clear" w:color="auto" w:fill="auto"/>
            <w:tcMar>
              <w:left w:w="28" w:type="dxa"/>
              <w:right w:w="28" w:type="dxa"/>
            </w:tcMar>
            <w:hideMark/>
          </w:tcPr>
          <w:p w14:paraId="0B4DDA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16*</w:t>
            </w:r>
          </w:p>
        </w:tc>
        <w:tc>
          <w:tcPr>
            <w:tcW w:w="709" w:type="dxa"/>
            <w:tcBorders>
              <w:bottom w:val="single" w:sz="12" w:space="0" w:color="auto"/>
              <w:right w:val="single" w:sz="12" w:space="0" w:color="auto"/>
            </w:tcBorders>
            <w:shd w:val="clear" w:color="auto" w:fill="auto"/>
            <w:tcMar>
              <w:left w:w="28" w:type="dxa"/>
              <w:right w:w="28" w:type="dxa"/>
            </w:tcMar>
            <w:hideMark/>
          </w:tcPr>
          <w:p w14:paraId="44BF47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3919*</w:t>
            </w:r>
          </w:p>
        </w:tc>
        <w:tc>
          <w:tcPr>
            <w:tcW w:w="1559" w:type="dxa"/>
            <w:tcBorders>
              <w:left w:val="single" w:sz="12" w:space="0" w:color="auto"/>
              <w:bottom w:val="single" w:sz="12" w:space="0" w:color="auto"/>
            </w:tcBorders>
            <w:shd w:val="clear" w:color="auto" w:fill="auto"/>
            <w:tcMar>
              <w:left w:w="28" w:type="dxa"/>
              <w:right w:w="28" w:type="dxa"/>
            </w:tcMar>
            <w:hideMark/>
          </w:tcPr>
          <w:p w14:paraId="7913B8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bottom w:val="single" w:sz="12" w:space="0" w:color="auto"/>
              <w:right w:val="single" w:sz="12" w:space="0" w:color="auto"/>
            </w:tcBorders>
            <w:shd w:val="clear" w:color="auto" w:fill="auto"/>
            <w:tcMar>
              <w:left w:w="28" w:type="dxa"/>
              <w:right w:w="28" w:type="dxa"/>
            </w:tcMar>
            <w:hideMark/>
          </w:tcPr>
          <w:p w14:paraId="04A15B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bottom w:val="single" w:sz="12" w:space="0" w:color="auto"/>
            </w:tcBorders>
            <w:shd w:val="clear" w:color="auto" w:fill="auto"/>
            <w:tcMar>
              <w:left w:w="28" w:type="dxa"/>
              <w:right w:w="28" w:type="dxa"/>
            </w:tcMar>
            <w:hideMark/>
          </w:tcPr>
          <w:p w14:paraId="3D4051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bottom w:val="single" w:sz="12" w:space="0" w:color="auto"/>
            </w:tcBorders>
            <w:shd w:val="clear" w:color="auto" w:fill="auto"/>
            <w:tcMar>
              <w:left w:w="28" w:type="dxa"/>
              <w:right w:w="28" w:type="dxa"/>
            </w:tcMar>
            <w:hideMark/>
          </w:tcPr>
          <w:p w14:paraId="678E51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R2=0.41, p=0.005</w:t>
            </w:r>
          </w:p>
        </w:tc>
        <w:tc>
          <w:tcPr>
            <w:tcW w:w="1072" w:type="dxa"/>
            <w:tcBorders>
              <w:bottom w:val="single" w:sz="12" w:space="0" w:color="auto"/>
              <w:right w:val="single" w:sz="12" w:space="0" w:color="auto"/>
            </w:tcBorders>
            <w:shd w:val="clear" w:color="auto" w:fill="auto"/>
            <w:tcMar>
              <w:left w:w="28" w:type="dxa"/>
              <w:right w:w="28" w:type="dxa"/>
            </w:tcMar>
            <w:hideMark/>
          </w:tcPr>
          <w:p w14:paraId="59D5BD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0.24</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77E306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5B7B91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bottom w:val="single" w:sz="12" w:space="0" w:color="auto"/>
            </w:tcBorders>
            <w:shd w:val="clear" w:color="auto" w:fill="auto"/>
            <w:tcMar>
              <w:left w:w="28" w:type="dxa"/>
              <w:right w:w="28" w:type="dxa"/>
            </w:tcMar>
            <w:hideMark/>
          </w:tcPr>
          <w:p w14:paraId="2E8B4F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69ECD67"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63EF3A74" w14:textId="168BFC03"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Buyse 2000</w:t>
            </w:r>
            <w:r w:rsidRPr="002D1DD7">
              <w:rPr>
                <w:rFonts w:eastAsia="Times New Roman" w:cs="Times New Roman"/>
                <w:sz w:val="18"/>
                <w:szCs w:val="18"/>
                <w:lang w:eastAsia="zh-CN"/>
              </w:rPr>
              <w:fldChar w:fldCharType="begin"/>
            </w:r>
            <w:r w:rsidR="00054FE8">
              <w:rPr>
                <w:rFonts w:eastAsia="Times New Roman" w:cs="Times New Roman"/>
                <w:sz w:val="18"/>
                <w:szCs w:val="18"/>
                <w:lang w:eastAsia="zh-CN"/>
              </w:rPr>
              <w:instrText xml:space="preserve"> ADDIN EN.CITE &lt;EndNote&gt;&lt;Cite&gt;&lt;Author&gt;Buyse&lt;/Author&gt;&lt;Year&gt;2000&lt;/Year&gt;&lt;RecNum&gt;3579&lt;/RecNum&gt;&lt;IDText&gt;$$include full text KC&amp;#xD;$$From Savina&amp;#xD;$$From Haslam (ref 43)&lt;/IDText&gt;&lt;DisplayText&gt;&lt;style face="superscript"&gt;85&lt;/style&gt;&lt;/DisplayText&gt;&lt;record&gt;&lt;rec-number&gt;3579&lt;/rec-number&gt;&lt;foreign-keys&gt;&lt;key app="EN" db-id="dwaevxvazfs2f3ewvzmxrd0k0wasw55p2z2w" timestamp="1580715967"&gt;3579&lt;/key&gt;&lt;/foreign-keys&gt;&lt;ref-type name="Journal Article"&gt;17&lt;/ref-type&gt;&lt;contributors&gt;&lt;authors&gt;&lt;author&gt;Buyse, M.&lt;/author&gt;&lt;author&gt;Thirion, P.&lt;/author&gt;&lt;author&gt;Carlson, R. W.&lt;/author&gt;&lt;author&gt;Burzykowski, T.&lt;/author&gt;&lt;author&gt;Molenberghs, G.&lt;/author&gt;&lt;author&gt;Piedbois, P.&lt;/author&gt;&lt;/authors&gt;&lt;/contributors&gt;&lt;titles&gt;&lt;title&gt;Relation between tumour response to first-line chemotherapy and survival in advanced colorectal cancer: A meta-analysis&lt;/title&gt;&lt;secondary-title&gt;Lancet&lt;/secondary-title&gt;&lt;/titles&gt;&lt;pages&gt;373-378&lt;/pages&gt;&lt;volume&gt;356&lt;/volume&gt;&lt;number&gt;9227&lt;/number&gt;&lt;keywords&gt;&lt;keyword&gt;$$include abstract KC&lt;/keyword&gt;&lt;keyword&gt;$$Broad search&lt;/keyword&gt;&lt;keyword&gt;$$include full text KC&lt;/keyword&gt;&lt;keyword&gt;$$From Savina&lt;/keyword&gt;&lt;keyword&gt;$$From Haslam (ref 43)&lt;/keyword&gt;&lt;/keywords&gt;&lt;dates&gt;&lt;year&gt;2000&lt;/year&gt;&lt;pub-dates&gt;&lt;date&gt;29 Jul&lt;/date&gt;&lt;/pub-dates&gt;&lt;/dates&gt;&lt;urls&gt;&lt;/urls&gt;&lt;remote-database-name&gt;Embase&lt;/remote-database-name&gt;&lt;remote-database-provider&gt;Ovid Technologies&lt;/remote-database-provider&gt;&lt;research-notes&gt;http://ovidsp.ovid.com/ovidweb.cgi?T=JS&amp;amp;CSC=Y&amp;amp;NEWS=N&amp;amp;PAGE=fulltext&amp;amp;D=emed7&amp;amp;AN=30487493&lt;/research-notes&gt;&lt;/record&gt;&lt;/Cite&gt;&lt;/EndNote&gt;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85</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6BA254A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4D963C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1795E6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CB09B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4E473F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1E560D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664A1A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3791</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43F0D2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08D98B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1CCF0A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12" w:space="0" w:color="auto"/>
              <w:bottom w:val="single" w:sz="4" w:space="0" w:color="auto"/>
            </w:tcBorders>
            <w:shd w:val="clear" w:color="auto" w:fill="auto"/>
            <w:tcMar>
              <w:left w:w="28" w:type="dxa"/>
              <w:right w:w="28" w:type="dxa"/>
            </w:tcMar>
            <w:hideMark/>
          </w:tcPr>
          <w:p w14:paraId="4DDFA2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R2=0.38 (0.09 to 0.68), p=NR</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17581B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A23A4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3457EE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hideMark/>
          </w:tcPr>
          <w:p w14:paraId="2C7384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DE463D0"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753AD5F6" w14:textId="22BD0C8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Ciani 2015</w:t>
            </w:r>
            <w:r w:rsidRPr="002D1DD7">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86</w:t>
            </w:r>
            <w:r w:rsidRPr="002D1DD7">
              <w:rPr>
                <w:rFonts w:eastAsia="Times New Roman" w:cs="Times New Roman"/>
                <w:sz w:val="18"/>
                <w:szCs w:val="18"/>
                <w:lang w:eastAsia="zh-CN"/>
              </w:rPr>
              <w:fldChar w:fldCharType="end"/>
            </w:r>
            <w:r w:rsidRPr="002D1DD7">
              <w:rPr>
                <w:rFonts w:eastAsia="Times New Roman" w:cs="Times New Roman"/>
                <w:sz w:val="18"/>
                <w:szCs w:val="18"/>
                <w:lang w:eastAsia="zh-CN"/>
              </w:rPr>
              <w:br/>
              <w:t>Elia 2018</w:t>
            </w:r>
            <w:r w:rsidRPr="002D1DD7">
              <w:rPr>
                <w:rFonts w:eastAsia="Times New Roman" w:cs="Times New Roman"/>
                <w:sz w:val="18"/>
                <w:szCs w:val="18"/>
                <w:lang w:eastAsia="zh-CN"/>
              </w:rPr>
              <w:fldChar w:fldCharType="begin"/>
            </w:r>
            <w:r w:rsidR="003117A9">
              <w:rPr>
                <w:rFonts w:eastAsia="Times New Roman" w:cs="Times New Roman"/>
                <w:sz w:val="18"/>
                <w:szCs w:val="18"/>
                <w:lang w:eastAsia="zh-CN"/>
              </w:rPr>
              <w:instrText xml:space="preserve"> ADDIN EN.CITE &lt;EndNote&gt;&lt;Cite&gt;&lt;Author&gt;Elia&lt;/Author&gt;&lt;Year&gt;2018&lt;/Year&gt;&lt;RecNum&gt;749&lt;/RecNum&gt;&lt;IDText&gt;$$include full text KC&amp;#xD;Same dataset as Ciani 2015&lt;/IDText&gt;&lt;DisplayText&gt;&lt;style face="superscript"&gt;93&lt;/style&gt;&lt;/DisplayText&gt;&lt;record&gt;&lt;rec-number&gt;749&lt;/rec-number&gt;&lt;foreign-keys&gt;&lt;key app="EN" db-id="dwaevxvazfs2f3ewvzmxrd0k0wasw55p2z2w" timestamp="1557310654"&gt;749&lt;/key&gt;&lt;/foreign-keys&gt;&lt;ref-type name="Journal Article"&gt;17&lt;/ref-type&gt;&lt;contributors&gt;&lt;authors&gt;&lt;author&gt;Elia, Eleni G&lt;/author&gt;&lt;author&gt;Städler, Nicolas&lt;/author&gt;&lt;author&gt;Ciani, Oriana&lt;/author&gt;&lt;author&gt;Taylor, Rod S&lt;/author&gt;&lt;author&gt;Bujkiewicz, Sylwia&lt;/author&gt;&lt;/authors&gt;&lt;/contributors&gt;&lt;titles&gt;&lt;title&gt;Combining tumour response and progression free survival as surrogate endpoints for overall survival in advanced colorectal cancer&lt;/title&gt;&lt;secondary-title&gt;arXiv preprint arXiv:1809.02935&lt;/secondary-title&gt;&lt;short-title&gt;Combining tumour response and progression free survival as surrogate endpoints for overall survival in advanced colorectal cancer&lt;/short-title&gt;&lt;/titles&gt;&lt;periodical&gt;&lt;full-title&gt;arXiv preprint arXiv:1809.02935&lt;/full-title&gt;&lt;/periodical&gt;&lt;keywords&gt;&lt;keyword&gt;$$include abstract KC&lt;/keyword&gt;&lt;keyword&gt;$$Citation search&lt;/keyword&gt;&lt;/keywords&gt;&lt;dates&gt;&lt;year&gt;2018&lt;/year&gt;&lt;/dates&gt;&lt;label&gt;$$include full text KC&amp;#xD;Same dataset as Ciani 2015&lt;/label&gt;&lt;urls&gt;&lt;/urls&gt;&lt;/record&gt;&lt;/Cite&gt;&lt;/EndNote&gt;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93</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6D2F2DA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45F696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FE5DC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03C00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28E7BA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5CEE30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32</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38D63B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0DC3B7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logOR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286FDD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rs=0.53, p&lt;0.01</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667EA1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a) WLSR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logOR OS) (timepoint NR)</w:t>
            </w:r>
            <w:r w:rsidRPr="002D1DD7">
              <w:rPr>
                <w:rFonts w:eastAsia="Times New Roman" w:cs="Times New Roman"/>
                <w:color w:val="000000"/>
                <w:sz w:val="18"/>
                <w:szCs w:val="18"/>
                <w:lang w:eastAsia="zh-CN"/>
              </w:rPr>
              <w:br/>
              <w:t xml:space="preserve">b) Adj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4" w:space="0" w:color="auto"/>
              <w:bottom w:val="single" w:sz="4" w:space="0" w:color="auto"/>
            </w:tcBorders>
            <w:shd w:val="clear" w:color="auto" w:fill="auto"/>
            <w:tcMar>
              <w:left w:w="28" w:type="dxa"/>
              <w:right w:w="28" w:type="dxa"/>
            </w:tcMar>
            <w:hideMark/>
          </w:tcPr>
          <w:p w14:paraId="22FCA9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R2=0.06 (0.01 to 0.29), p=NR</w:t>
            </w:r>
            <w:r w:rsidRPr="002D1DD7">
              <w:rPr>
                <w:rFonts w:eastAsia="Times New Roman" w:cs="Times New Roman"/>
                <w:color w:val="000000"/>
                <w:sz w:val="18"/>
                <w:szCs w:val="18"/>
                <w:lang w:eastAsia="zh-CN"/>
              </w:rPr>
              <w:br/>
              <w:t>b) Adj R2=0.33 (0.00 to 0.91),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520370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OS = -0.03 - 0.05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8F567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0.28</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299E80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40BD01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04467FF"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DD5EB52" w14:textId="08CFDDF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sz w:val="18"/>
                <w:szCs w:val="18"/>
                <w:lang w:eastAsia="zh-CN"/>
              </w:rPr>
              <w:t>Ciani 2015</w:t>
            </w:r>
            <w:r w:rsidRPr="002D1DD7">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PEVuZE5vdGU+PENpdGU+PEF1dGhvcj5DaWFuaTwvQXV0aG9yPjxZZWFyPjIwMTU8L1llYXI+PFJl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86</w:t>
            </w:r>
            <w:r w:rsidRPr="002D1DD7">
              <w:rPr>
                <w:rFonts w:eastAsia="Times New Roman" w:cs="Times New Roman"/>
                <w:sz w:val="18"/>
                <w:szCs w:val="18"/>
                <w:lang w:eastAsia="zh-CN"/>
              </w:rPr>
              <w:fldChar w:fldCharType="end"/>
            </w:r>
            <w:r w:rsidRPr="002D1DD7">
              <w:rPr>
                <w:rFonts w:eastAsia="Times New Roman" w:cs="Times New Roman"/>
                <w:sz w:val="18"/>
                <w:szCs w:val="18"/>
                <w:lang w:eastAsia="zh-CN"/>
              </w:rPr>
              <w:br/>
              <w:t>Elia 2018</w:t>
            </w:r>
            <w:r w:rsidRPr="002D1DD7">
              <w:rPr>
                <w:rFonts w:eastAsia="Times New Roman" w:cs="Times New Roman"/>
                <w:sz w:val="18"/>
                <w:szCs w:val="18"/>
                <w:lang w:eastAsia="zh-CN"/>
              </w:rPr>
              <w:fldChar w:fldCharType="begin"/>
            </w:r>
            <w:r w:rsidR="003117A9">
              <w:rPr>
                <w:rFonts w:eastAsia="Times New Roman" w:cs="Times New Roman"/>
                <w:sz w:val="18"/>
                <w:szCs w:val="18"/>
                <w:lang w:eastAsia="zh-CN"/>
              </w:rPr>
              <w:instrText xml:space="preserve"> ADDIN EN.CITE &lt;EndNote&gt;&lt;Cite&gt;&lt;Author&gt;Elia&lt;/Author&gt;&lt;Year&gt;2018&lt;/Year&gt;&lt;RecNum&gt;749&lt;/RecNum&gt;&lt;IDText&gt;$$include full text KC&amp;#xD;Same dataset as Ciani 2015&lt;/IDText&gt;&lt;DisplayText&gt;&lt;style face="superscript"&gt;93&lt;/style&gt;&lt;/DisplayText&gt;&lt;record&gt;&lt;rec-number&gt;749&lt;/rec-number&gt;&lt;foreign-keys&gt;&lt;key app="EN" db-id="dwaevxvazfs2f3ewvzmxrd0k0wasw55p2z2w" timestamp="1557310654"&gt;749&lt;/key&gt;&lt;/foreign-keys&gt;&lt;ref-type name="Journal Article"&gt;17&lt;/ref-type&gt;&lt;contributors&gt;&lt;authors&gt;&lt;author&gt;Elia, Eleni G&lt;/author&gt;&lt;author&gt;Städler, Nicolas&lt;/author&gt;&lt;author&gt;Ciani, Oriana&lt;/author&gt;&lt;author&gt;Taylor, Rod S&lt;/author&gt;&lt;author&gt;Bujkiewicz, Sylwia&lt;/author&gt;&lt;/authors&gt;&lt;/contributors&gt;&lt;titles&gt;&lt;title&gt;Combining tumour response and progression free survival as surrogate endpoints for overall survival in advanced colorectal cancer&lt;/title&gt;&lt;secondary-title&gt;arXiv preprint arXiv:1809.02935&lt;/secondary-title&gt;&lt;short-title&gt;Combining tumour response and progression free survival as surrogate endpoints for overall survival in advanced colorectal cancer&lt;/short-title&gt;&lt;/titles&gt;&lt;periodical&gt;&lt;full-title&gt;arXiv preprint arXiv:1809.02935&lt;/full-title&gt;&lt;/periodical&gt;&lt;keywords&gt;&lt;keyword&gt;$$include abstract KC&lt;/keyword&gt;&lt;keyword&gt;$$Citation search&lt;/keyword&gt;&lt;/keywords&gt;&lt;dates&gt;&lt;year&gt;2018&lt;/year&gt;&lt;/dates&gt;&lt;label&gt;$$include full text KC&amp;#xD;Same dataset as Ciani 2015&lt;/label&gt;&lt;urls&gt;&lt;/urls&gt;&lt;/record&gt;&lt;/Cite&gt;&lt;/EndNote&gt;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93</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02B16A9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6B5275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57933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25B516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All</w:t>
            </w:r>
            <w:r w:rsidRPr="002D1DD7">
              <w:rPr>
                <w:rFonts w:eastAsia="Times New Roman" w:cs="Times New Roman"/>
                <w:color w:val="000000"/>
                <w:sz w:val="18"/>
                <w:szCs w:val="18"/>
                <w:lang w:eastAsia="zh-CN"/>
              </w:rPr>
              <w:br/>
              <w:t>- No crossover</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2F3605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468BA1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5BC26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4E2ADC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5D6B1D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716460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Adj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4" w:space="0" w:color="auto"/>
              <w:bottom w:val="single" w:sz="4" w:space="0" w:color="auto"/>
            </w:tcBorders>
            <w:shd w:val="clear" w:color="auto" w:fill="auto"/>
            <w:tcMar>
              <w:left w:w="28" w:type="dxa"/>
              <w:right w:w="28" w:type="dxa"/>
            </w:tcMar>
            <w:hideMark/>
          </w:tcPr>
          <w:p w14:paraId="32C88D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R2=0.40 (0.00 to 0.96),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52DA2A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OS = -0.04 - 0.10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6A843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50202D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7D7E45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4F134CF"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B56939B" w14:textId="6E90853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2016b</w:t>
            </w:r>
            <w:r w:rsidRPr="002D1DD7">
              <w:rPr>
                <w:rFonts w:eastAsia="Times New Roman" w:cs="Times New Roman"/>
                <w:sz w:val="18"/>
                <w:szCs w:val="18"/>
                <w:lang w:eastAsia="zh-CN"/>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89</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13695F6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4C7EA2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12640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237868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5D46DC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Bevacizumab + 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027A2B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23EF35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2AF013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573B3D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rs=0.82, p&lt;0.001</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16A4F6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519637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R2=0.58, p=0.002</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0ADF38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08F28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7F15AC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7D8C93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72586A1"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483A4C5" w14:textId="6FDC044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Cremolini 2017</w:t>
            </w:r>
            <w:r w:rsidRPr="002D1DD7">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4954DC8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579DF5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1EF48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33CBAE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27FD47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3A9BF5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0C325E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7571</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035837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(via WLR):</w:t>
            </w:r>
            <w:r w:rsidRPr="002D1DD7">
              <w:rPr>
                <w:rFonts w:eastAsia="Times New Roman" w:cs="Times New Roman"/>
                <w:color w:val="000000"/>
                <w:sz w:val="18"/>
                <w:szCs w:val="18"/>
                <w:lang w:eastAsia="zh-CN"/>
              </w:rPr>
              <w:br/>
              <w:t xml:space="preserve">a)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6A51D0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r=0.17, p=0.476</w:t>
            </w:r>
            <w:r w:rsidRPr="002D1DD7">
              <w:rPr>
                <w:rFonts w:eastAsia="Times New Roman" w:cs="Times New Roman"/>
                <w:color w:val="000000"/>
                <w:sz w:val="18"/>
                <w:szCs w:val="18"/>
                <w:lang w:eastAsia="zh-CN"/>
              </w:rPr>
              <w:br/>
              <w:t>b) r=0.35, p=0.092</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5FB851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 xml:space="preserve">a)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3D19CD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 R2=0.03, p=0.476</w:t>
            </w:r>
            <w:r w:rsidRPr="002D1DD7">
              <w:rPr>
                <w:rFonts w:eastAsia="Times New Roman" w:cs="Times New Roman"/>
                <w:color w:val="000000"/>
                <w:sz w:val="18"/>
                <w:szCs w:val="18"/>
                <w:lang w:eastAsia="zh-CN"/>
              </w:rPr>
              <w:br/>
              <w:t>b) R2=0.12, p=0.092</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1F217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Slope -0.029</w:t>
            </w:r>
            <w:r w:rsidRPr="002D1DD7">
              <w:rPr>
                <w:rFonts w:eastAsia="Times New Roman" w:cs="Times New Roman"/>
                <w:color w:val="000000"/>
                <w:sz w:val="18"/>
                <w:szCs w:val="18"/>
                <w:lang w:eastAsia="zh-CN"/>
              </w:rPr>
              <w:br/>
              <w:t>b) Slope 0.071</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F80CD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6B57D3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235FA4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A3A7758"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65AA8449" w14:textId="1CEA4E6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Cremolini 2017</w:t>
            </w:r>
            <w:r w:rsidRPr="002D1DD7">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59A1CE6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2F77C5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0DD73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AACDE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4EBC4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anti-angiogenic</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63E8AE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06E00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470DBC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(via WLR):</w:t>
            </w:r>
            <w:r w:rsidRPr="002D1DD7">
              <w:rPr>
                <w:rFonts w:eastAsia="Times New Roman" w:cs="Times New Roman"/>
                <w:color w:val="000000"/>
                <w:sz w:val="18"/>
                <w:szCs w:val="18"/>
                <w:lang w:eastAsia="zh-CN"/>
              </w:rPr>
              <w:br/>
              <w:t xml:space="preserve">a)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750535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r=0.36, p=0.249</w:t>
            </w:r>
            <w:r w:rsidRPr="002D1DD7">
              <w:rPr>
                <w:rFonts w:eastAsia="Times New Roman" w:cs="Times New Roman"/>
                <w:color w:val="000000"/>
                <w:sz w:val="18"/>
                <w:szCs w:val="18"/>
                <w:lang w:eastAsia="zh-CN"/>
              </w:rPr>
              <w:br/>
              <w:t>b) r=0.52, p=0.038</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63D595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 xml:space="preserve">a)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13C4ED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 R2=0.13, p=0.249</w:t>
            </w:r>
            <w:r w:rsidRPr="002D1DD7">
              <w:rPr>
                <w:rFonts w:eastAsia="Times New Roman" w:cs="Times New Roman"/>
                <w:color w:val="000000"/>
                <w:sz w:val="18"/>
                <w:szCs w:val="18"/>
                <w:lang w:eastAsia="zh-CN"/>
              </w:rPr>
              <w:br/>
              <w:t>b) R2=0.27, p=0.038</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04E444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Slope -0.113</w:t>
            </w:r>
            <w:r w:rsidRPr="002D1DD7">
              <w:rPr>
                <w:rFonts w:eastAsia="Times New Roman" w:cs="Times New Roman"/>
                <w:color w:val="000000"/>
                <w:sz w:val="18"/>
                <w:szCs w:val="18"/>
                <w:lang w:eastAsia="zh-CN"/>
              </w:rPr>
              <w:br/>
              <w:t>b) Slope 0.133</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42C05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67C8D4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1E9B63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C288B44"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40014B8D" w14:textId="739AD3E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Cremolini 2017</w:t>
            </w:r>
            <w:r w:rsidRPr="002D1DD7">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PEVuZE5vdGU+PENpdGU+PEF1dGhvcj5DcmVtb2xpbmk8L0F1dGhvcj48WWVhcj4yMDE3PC9ZZWFy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0CBC3F3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2CD2A0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7667D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21F87B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54B632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not anti-angiogenic</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6CB17E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0497E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4E857C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Pearson (via WLR):</w:t>
            </w:r>
            <w:r w:rsidRPr="002D1DD7">
              <w:rPr>
                <w:rFonts w:eastAsia="Times New Roman" w:cs="Times New Roman"/>
                <w:color w:val="000000"/>
                <w:sz w:val="18"/>
                <w:szCs w:val="18"/>
                <w:lang w:eastAsia="zh-CN"/>
              </w:rPr>
              <w:br/>
              <w:t xml:space="preserve">a)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720878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r=0.44, p=0.274</w:t>
            </w:r>
            <w:r w:rsidRPr="002D1DD7">
              <w:rPr>
                <w:rFonts w:eastAsia="Times New Roman" w:cs="Times New Roman"/>
                <w:color w:val="000000"/>
                <w:sz w:val="18"/>
                <w:szCs w:val="18"/>
                <w:lang w:eastAsia="zh-CN"/>
              </w:rPr>
              <w:br/>
              <w:t>b) r=0.63, p=0.068</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49FDFE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 xml:space="preserve">a)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302A53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 R2=0.20, p=0.274</w:t>
            </w:r>
            <w:r w:rsidRPr="002D1DD7">
              <w:rPr>
                <w:rFonts w:eastAsia="Times New Roman" w:cs="Times New Roman"/>
                <w:color w:val="000000"/>
                <w:sz w:val="18"/>
                <w:szCs w:val="18"/>
                <w:lang w:eastAsia="zh-CN"/>
              </w:rPr>
              <w:br/>
              <w:t>b) R2=0.40, p=0.068</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62C951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Slope -0.064</w:t>
            </w:r>
            <w:r w:rsidRPr="002D1DD7">
              <w:rPr>
                <w:rFonts w:eastAsia="Times New Roman" w:cs="Times New Roman"/>
                <w:color w:val="000000"/>
                <w:sz w:val="18"/>
                <w:szCs w:val="18"/>
                <w:lang w:eastAsia="zh-CN"/>
              </w:rPr>
              <w:br/>
              <w:t>b) Slope 0.143</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03E5C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536E09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3F7951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25FB7FC"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A73741D" w14:textId="7B5CF10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Johnson 2006</w:t>
            </w:r>
            <w:r w:rsidRPr="002D1DD7">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106</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2A3A502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1A21DD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032E9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C2DEA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688F9F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68E4BA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146</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29D92A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35337</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0B4BD2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76DD95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2DC036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WLSR R2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41E7FC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R2=0.10, p&lt;0.0001</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7BD931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Diff med OS = 0.340 + 0.096 *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656ED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5FCF90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38F822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41872FB"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4D21FDA3" w14:textId="0ACA2E4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Sidhu 2013</w:t>
            </w:r>
            <w:r w:rsidRPr="002D1DD7">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133</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2C0C2DC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6A461E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F1235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188DB5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(most)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F83EF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 targeted</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5376E2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24</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12E694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20438</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32EE2C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763BDF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r=0.62 (0.37 to 0.79), p=NR</w:t>
            </w:r>
            <w:r w:rsidRPr="002D1DD7">
              <w:rPr>
                <w:rFonts w:eastAsia="Times New Roman" w:cs="Times New Roman"/>
                <w:color w:val="000000"/>
                <w:sz w:val="18"/>
                <w:szCs w:val="18"/>
                <w:lang w:eastAsia="zh-CN"/>
              </w:rPr>
              <w:br/>
              <w:t>b) r=0.64 (0.39 to 0.79), p=NR</w:t>
            </w:r>
            <w:r w:rsidRPr="002D1DD7">
              <w:rPr>
                <w:rFonts w:eastAsia="Times New Roman" w:cs="Times New Roman"/>
                <w:color w:val="000000"/>
                <w:sz w:val="18"/>
                <w:szCs w:val="18"/>
                <w:lang w:eastAsia="zh-CN"/>
              </w:rPr>
              <w:br/>
              <w:t>c) r=0.52 (0.23 to 0.72), p=NR</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71F2253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(unwtd) R2:</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tcBorders>
              <w:top w:val="single" w:sz="4" w:space="0" w:color="auto"/>
              <w:bottom w:val="single" w:sz="4" w:space="0" w:color="auto"/>
            </w:tcBorders>
            <w:shd w:val="clear" w:color="auto" w:fill="auto"/>
            <w:tcMar>
              <w:left w:w="28" w:type="dxa"/>
              <w:right w:w="28" w:type="dxa"/>
            </w:tcMar>
            <w:hideMark/>
          </w:tcPr>
          <w:p w14:paraId="718BDC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R2=0.39 (0.13 to 0.62), p=NR</w:t>
            </w:r>
            <w:r w:rsidRPr="002D1DD7">
              <w:rPr>
                <w:rFonts w:eastAsia="Times New Roman" w:cs="Times New Roman"/>
                <w:color w:val="000000"/>
                <w:sz w:val="18"/>
                <w:szCs w:val="18"/>
                <w:lang w:eastAsia="zh-CN"/>
              </w:rPr>
              <w:br/>
              <w:t>b) R2=0.41 (0.15 to 0.63), p=NR</w:t>
            </w:r>
            <w:r w:rsidRPr="002D1DD7">
              <w:rPr>
                <w:rFonts w:eastAsia="Times New Roman" w:cs="Times New Roman"/>
                <w:color w:val="000000"/>
                <w:sz w:val="18"/>
                <w:szCs w:val="18"/>
                <w:lang w:eastAsia="zh-CN"/>
              </w:rPr>
              <w:br/>
              <w:t>c) R2=0.27 (0.05 to 0.52),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1D92E7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7D87C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372118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0BB1EE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A26B5F1"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78FFDB06" w14:textId="4C23DD2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Sidhu 2013</w:t>
            </w:r>
            <w:r w:rsidRPr="002D1DD7">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133</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0A827F3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4B5691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31800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ACDF4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(most)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2A3767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 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2A8884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5244F8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12060*</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3B0C09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57DC38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r=0.50 (0.05 to 0.75), p=NR</w:t>
            </w:r>
            <w:r w:rsidRPr="002D1DD7">
              <w:rPr>
                <w:rFonts w:eastAsia="Times New Roman" w:cs="Times New Roman"/>
                <w:color w:val="000000"/>
                <w:sz w:val="18"/>
                <w:szCs w:val="18"/>
                <w:lang w:eastAsia="zh-CN"/>
              </w:rPr>
              <w:br/>
              <w:t>b) r=0.58 (0.19 to 0.80), p=NR</w:t>
            </w:r>
            <w:r w:rsidRPr="002D1DD7">
              <w:rPr>
                <w:rFonts w:eastAsia="Times New Roman" w:cs="Times New Roman"/>
                <w:color w:val="000000"/>
                <w:sz w:val="18"/>
                <w:szCs w:val="18"/>
                <w:lang w:eastAsia="zh-CN"/>
              </w:rPr>
              <w:br/>
              <w:t>c) r=0.42 (0.00 to 0.71), p=NR</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366D43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(unwtd) R2:</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tcBorders>
              <w:top w:val="single" w:sz="4" w:space="0" w:color="auto"/>
              <w:bottom w:val="single" w:sz="4" w:space="0" w:color="auto"/>
            </w:tcBorders>
            <w:shd w:val="clear" w:color="auto" w:fill="auto"/>
            <w:tcMar>
              <w:left w:w="28" w:type="dxa"/>
              <w:right w:w="28" w:type="dxa"/>
            </w:tcMar>
            <w:hideMark/>
          </w:tcPr>
          <w:p w14:paraId="18BF9A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R2=0.25 (0.00 to 0.57), p=NR</w:t>
            </w:r>
            <w:r w:rsidRPr="002D1DD7">
              <w:rPr>
                <w:rFonts w:eastAsia="Times New Roman" w:cs="Times New Roman"/>
                <w:color w:val="000000"/>
                <w:sz w:val="18"/>
                <w:szCs w:val="18"/>
                <w:lang w:eastAsia="zh-CN"/>
              </w:rPr>
              <w:br/>
              <w:t>b) R2=0.33 (0.04 to 0.64), p=NR</w:t>
            </w:r>
            <w:r w:rsidRPr="002D1DD7">
              <w:rPr>
                <w:rFonts w:eastAsia="Times New Roman" w:cs="Times New Roman"/>
                <w:color w:val="000000"/>
                <w:sz w:val="18"/>
                <w:szCs w:val="18"/>
                <w:lang w:eastAsia="zh-CN"/>
              </w:rPr>
              <w:br/>
              <w:t>c) R2=0.18 (0.00 to 0.51),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09A1FF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6C3E8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44C20E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63A348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0ED91E1"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A1E836B" w14:textId="00F6DBD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Sidhu 2013</w:t>
            </w:r>
            <w:r w:rsidRPr="002D1DD7">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133</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4FA4616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703AB6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77F76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FE64A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(most)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10C632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(anti-EGFR)</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1E9006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165DE9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7792*</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2BC74F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18464C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r=0.67 (0.27 to 0.86), p=NR</w:t>
            </w:r>
            <w:r w:rsidRPr="002D1DD7">
              <w:rPr>
                <w:rFonts w:eastAsia="Times New Roman" w:cs="Times New Roman"/>
                <w:color w:val="000000"/>
                <w:sz w:val="18"/>
                <w:szCs w:val="18"/>
                <w:lang w:eastAsia="zh-CN"/>
              </w:rPr>
              <w:br/>
              <w:t>b) r=0.72 (0.35 to 0.88), p=NR</w:t>
            </w:r>
            <w:r w:rsidRPr="002D1DD7">
              <w:rPr>
                <w:rFonts w:eastAsia="Times New Roman" w:cs="Times New Roman"/>
                <w:color w:val="000000"/>
                <w:sz w:val="18"/>
                <w:szCs w:val="18"/>
                <w:lang w:eastAsia="zh-CN"/>
              </w:rPr>
              <w:br/>
              <w:t>c) r=0.52 (0.00 to 0.79), p=NR</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5BE9C8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(unwtd) R2:</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tcBorders>
              <w:top w:val="single" w:sz="4" w:space="0" w:color="auto"/>
              <w:bottom w:val="single" w:sz="4" w:space="0" w:color="auto"/>
            </w:tcBorders>
            <w:shd w:val="clear" w:color="auto" w:fill="auto"/>
            <w:tcMar>
              <w:left w:w="28" w:type="dxa"/>
              <w:right w:w="28" w:type="dxa"/>
            </w:tcMar>
            <w:hideMark/>
          </w:tcPr>
          <w:p w14:paraId="32C3FF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R2=0.45 (0.07 to 0.74), p=NR</w:t>
            </w:r>
            <w:r w:rsidRPr="002D1DD7">
              <w:rPr>
                <w:rFonts w:eastAsia="Times New Roman" w:cs="Times New Roman"/>
                <w:color w:val="000000"/>
                <w:sz w:val="18"/>
                <w:szCs w:val="18"/>
                <w:lang w:eastAsia="zh-CN"/>
              </w:rPr>
              <w:br/>
              <w:t>b) R2=0.52 (0.12 to 0.78), p=NR</w:t>
            </w:r>
            <w:r w:rsidRPr="002D1DD7">
              <w:rPr>
                <w:rFonts w:eastAsia="Times New Roman" w:cs="Times New Roman"/>
                <w:color w:val="000000"/>
                <w:sz w:val="18"/>
                <w:szCs w:val="18"/>
                <w:lang w:eastAsia="zh-CN"/>
              </w:rPr>
              <w:br/>
              <w:t>c) R2=0.27 (0.00 to 0.62),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42A87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EA325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23DFA7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563A2D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6C13454"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05023211" w14:textId="0272AD0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Sidhu 2013</w:t>
            </w:r>
            <w:r w:rsidRPr="002D1DD7">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PEVuZE5vdGU+PENpdGU+PEF1dGhvcj5TaWRodTwvQXV0aG9yPjxZZWFyPjIwMTM8L1llYXI+PFJl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133</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40477B0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1147DF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D4FC2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47EA72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(most)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846EE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 (anti-EGFR), KRAS non-mutant</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243E0A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B352D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4916*</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421B17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24585F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r=0.68 (0.07 to 0.89), p=NR</w:t>
            </w:r>
            <w:r w:rsidRPr="002D1DD7">
              <w:rPr>
                <w:rFonts w:eastAsia="Times New Roman" w:cs="Times New Roman"/>
                <w:color w:val="000000"/>
                <w:sz w:val="18"/>
                <w:szCs w:val="18"/>
                <w:lang w:eastAsia="zh-CN"/>
              </w:rPr>
              <w:br/>
              <w:t>b) r=0.81 (0.38 to 0.94), p=NR</w:t>
            </w:r>
            <w:r w:rsidRPr="002D1DD7">
              <w:rPr>
                <w:rFonts w:eastAsia="Times New Roman" w:cs="Times New Roman"/>
                <w:color w:val="000000"/>
                <w:sz w:val="18"/>
                <w:szCs w:val="18"/>
                <w:lang w:eastAsia="zh-CN"/>
              </w:rPr>
              <w:br/>
              <w:t>c) r=0.48 (0.00 to 0.82), p=NR</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6D5661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(unwtd) R2:</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c)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tcBorders>
              <w:top w:val="single" w:sz="4" w:space="0" w:color="auto"/>
              <w:bottom w:val="single" w:sz="4" w:space="0" w:color="auto"/>
            </w:tcBorders>
            <w:shd w:val="clear" w:color="auto" w:fill="auto"/>
            <w:tcMar>
              <w:left w:w="28" w:type="dxa"/>
              <w:right w:w="28" w:type="dxa"/>
            </w:tcMar>
            <w:hideMark/>
          </w:tcPr>
          <w:p w14:paraId="25E7CE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R2=0.46 (0.01 to 0.80), p=NR</w:t>
            </w:r>
            <w:r w:rsidRPr="002D1DD7">
              <w:rPr>
                <w:rFonts w:eastAsia="Times New Roman" w:cs="Times New Roman"/>
                <w:color w:val="000000"/>
                <w:sz w:val="18"/>
                <w:szCs w:val="18"/>
                <w:lang w:eastAsia="zh-CN"/>
              </w:rPr>
              <w:br/>
              <w:t>b) R2=0.65 (0.15 to 0.88), p=NR</w:t>
            </w:r>
            <w:r w:rsidRPr="002D1DD7">
              <w:rPr>
                <w:rFonts w:eastAsia="Times New Roman" w:cs="Times New Roman"/>
                <w:color w:val="000000"/>
                <w:sz w:val="18"/>
                <w:szCs w:val="18"/>
                <w:lang w:eastAsia="zh-CN"/>
              </w:rPr>
              <w:br/>
              <w:t>c) R2=0.23 (0.00 to 0.67),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48F3BF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9F9B4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0B8F8C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4" w:space="0" w:color="auto"/>
            </w:tcBorders>
            <w:shd w:val="clear" w:color="auto" w:fill="auto"/>
            <w:tcMar>
              <w:left w:w="28" w:type="dxa"/>
              <w:right w:w="28" w:type="dxa"/>
            </w:tcMar>
            <w:hideMark/>
          </w:tcPr>
          <w:p w14:paraId="1CFD26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3F7F55F"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D015BED" w14:textId="23751DC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Tang 2007</w:t>
            </w:r>
            <w:r w:rsidRPr="002D1DD7">
              <w:rPr>
                <w:rFonts w:eastAsia="Times New Roman" w:cs="Times New Roman"/>
                <w:color w:val="000000"/>
                <w:sz w:val="18"/>
                <w:szCs w:val="18"/>
                <w:lang w:eastAsia="zh-CN"/>
              </w:rPr>
              <w:fldChar w:fldCharType="begin">
                <w:fldData xml:space="preserve">PEVuZE5vdGU+PENpdGU+PEF1dGhvcj5UYW5nPC9BdXRob3I+PFllYXI+MjAwNzwvWWVhcj48UmVj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bXA7TkVXUz1OJmFtcDtQQUdFPWZ1bGx0ZXh0JmFtcDtEPW1lZDUmYW1wO0FOPTE3ODc2MDEwPC9z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aWQ6MTc4NzYwMTAmYW1wO2lkPWRvaToxMC4xMjAwJTJGSkNPLjIwMDYuMDguMTkzNSZhbXA7aXNz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PEVuZE5vdGU+PENpdGU+PEF1dGhvcj5UYW5nPC9BdXRob3I+PFllYXI+MjAwNzwvWWVhcj48UmVj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135</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28304BA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5FD3BE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59379D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45AFC2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2BC46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0BF504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51C367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18668</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50575A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422D55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rs=0.39 (0.08 to 0.63), p=0.015</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60327E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4" w:space="0" w:color="auto"/>
              <w:bottom w:val="single" w:sz="4" w:space="0" w:color="auto"/>
            </w:tcBorders>
            <w:shd w:val="clear" w:color="auto" w:fill="auto"/>
            <w:tcMar>
              <w:left w:w="28" w:type="dxa"/>
              <w:right w:w="28" w:type="dxa"/>
            </w:tcMar>
            <w:hideMark/>
          </w:tcPr>
          <w:p w14:paraId="0C19A7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4F2AE6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3BD7E1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63F5EB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6C49BD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79FF15F6"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3A8D32ED" w14:textId="644C9AF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55E779C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2C378C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6A0E4A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415F2C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7B4CD8E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4E29A8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2F4071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565199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137A84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5E388F36" w14:textId="77777777" w:rsidR="002E26FD" w:rsidRPr="00103770" w:rsidRDefault="002E26FD" w:rsidP="003117A9">
            <w:pPr>
              <w:spacing w:before="0" w:after="0" w:line="240" w:lineRule="auto"/>
              <w:rPr>
                <w:rFonts w:eastAsia="Times New Roman" w:cs="Times New Roman"/>
                <w:color w:val="000000"/>
                <w:sz w:val="18"/>
                <w:szCs w:val="18"/>
                <w:lang w:eastAsia="zh-CN"/>
              </w:rPr>
            </w:pPr>
            <w:r w:rsidRPr="00103770">
              <w:rPr>
                <w:rFonts w:eastAsia="Times New Roman" w:cs="Times New Roman"/>
                <w:color w:val="000000"/>
                <w:sz w:val="18"/>
                <w:szCs w:val="18"/>
                <w:lang w:eastAsia="zh-CN"/>
              </w:rPr>
              <w:t>LR (unwtd) R2 (diff ORR vs. HR OS)</w:t>
            </w:r>
          </w:p>
        </w:tc>
        <w:tc>
          <w:tcPr>
            <w:tcW w:w="1559" w:type="dxa"/>
            <w:tcBorders>
              <w:top w:val="single" w:sz="4" w:space="0" w:color="auto"/>
              <w:bottom w:val="single" w:sz="12" w:space="0" w:color="auto"/>
            </w:tcBorders>
            <w:shd w:val="clear" w:color="auto" w:fill="auto"/>
            <w:tcMar>
              <w:left w:w="28" w:type="dxa"/>
              <w:right w:w="28" w:type="dxa"/>
            </w:tcMar>
            <w:hideMark/>
          </w:tcPr>
          <w:p w14:paraId="3ADAFD7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R2=0.51, p=0.072</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7E3B42F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-0.029</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428575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14EEBD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12" w:space="0" w:color="auto"/>
            </w:tcBorders>
            <w:shd w:val="clear" w:color="auto" w:fill="auto"/>
            <w:tcMar>
              <w:left w:w="28" w:type="dxa"/>
              <w:right w:w="28" w:type="dxa"/>
            </w:tcMar>
            <w:hideMark/>
          </w:tcPr>
          <w:p w14:paraId="25EFC2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F6A7ACB"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49FA6B76" w14:textId="6E83392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Blumenthal 2017</w:t>
            </w:r>
            <w:r w:rsidRPr="002D1DD7">
              <w:rPr>
                <w:rFonts w:eastAsia="Times New Roman" w:cs="Times New Roman"/>
                <w:sz w:val="18"/>
                <w:szCs w:val="18"/>
                <w:lang w:eastAsia="zh-CN"/>
              </w:rPr>
              <w:fldChar w:fldCharType="begin">
                <w:fldData xml:space="preserve">PEVuZE5vdGU+PENpdGU+PEF1dGhvcj5CbHVtZW50aGFsPC9BdXRob3I+PFllYXI+MjAxNzwvWWVh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TiZhbXA7UEFHRT1mdWxsdGV4dCZhbXA7RD1tZWQxMyZhbXA7QU49Mjg2MTc5MjAmI3hEO2h0dHA6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PEVuZE5vdGU+PENpdGU+PEF1dGhvcj5CbHVtZW50aGFsPC9BdXRob3I+PFllYXI+MjAxNzwvWWVh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82</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26F979B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4BBE3D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5C45E0BF"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top w:val="single" w:sz="12" w:space="0" w:color="auto"/>
              <w:left w:val="single" w:sz="12" w:space="0" w:color="auto"/>
            </w:tcBorders>
            <w:shd w:val="clear" w:color="auto" w:fill="auto"/>
            <w:tcMar>
              <w:left w:w="28" w:type="dxa"/>
              <w:right w:w="28" w:type="dxa"/>
            </w:tcMar>
            <w:hideMark/>
          </w:tcPr>
          <w:p w14:paraId="7FCBDA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top w:val="single" w:sz="12" w:space="0" w:color="auto"/>
              <w:right w:val="single" w:sz="12" w:space="0" w:color="auto"/>
            </w:tcBorders>
            <w:shd w:val="clear" w:color="auto" w:fill="auto"/>
            <w:tcMar>
              <w:left w:w="28" w:type="dxa"/>
              <w:right w:w="28" w:type="dxa"/>
            </w:tcMar>
            <w:hideMark/>
          </w:tcPr>
          <w:p w14:paraId="4A95B5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immune or targeted</w:t>
            </w:r>
          </w:p>
        </w:tc>
        <w:tc>
          <w:tcPr>
            <w:tcW w:w="567" w:type="dxa"/>
            <w:tcBorders>
              <w:top w:val="single" w:sz="12" w:space="0" w:color="auto"/>
              <w:left w:val="single" w:sz="12" w:space="0" w:color="auto"/>
            </w:tcBorders>
            <w:shd w:val="clear" w:color="auto" w:fill="auto"/>
            <w:tcMar>
              <w:left w:w="28" w:type="dxa"/>
              <w:right w:w="28" w:type="dxa"/>
            </w:tcMar>
            <w:hideMark/>
          </w:tcPr>
          <w:p w14:paraId="6C4E9D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w:t>
            </w:r>
          </w:p>
        </w:tc>
        <w:tc>
          <w:tcPr>
            <w:tcW w:w="709" w:type="dxa"/>
            <w:tcBorders>
              <w:top w:val="single" w:sz="12" w:space="0" w:color="auto"/>
              <w:right w:val="single" w:sz="12" w:space="0" w:color="auto"/>
            </w:tcBorders>
            <w:shd w:val="clear" w:color="auto" w:fill="auto"/>
            <w:tcMar>
              <w:left w:w="28" w:type="dxa"/>
              <w:right w:w="28" w:type="dxa"/>
            </w:tcMar>
            <w:hideMark/>
          </w:tcPr>
          <w:p w14:paraId="1EF13D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20013</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tcBorders>
            <w:shd w:val="clear" w:color="auto" w:fill="auto"/>
            <w:tcMar>
              <w:left w:w="28" w:type="dxa"/>
              <w:right w:w="28" w:type="dxa"/>
            </w:tcMar>
            <w:hideMark/>
          </w:tcPr>
          <w:p w14:paraId="27DF11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right w:val="single" w:sz="12" w:space="0" w:color="auto"/>
            </w:tcBorders>
            <w:shd w:val="clear" w:color="auto" w:fill="auto"/>
            <w:tcMar>
              <w:left w:w="28" w:type="dxa"/>
              <w:right w:w="28" w:type="dxa"/>
            </w:tcMar>
            <w:hideMark/>
          </w:tcPr>
          <w:p w14:paraId="33BC34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tcBorders>
            <w:shd w:val="clear" w:color="auto" w:fill="auto"/>
            <w:tcMar>
              <w:left w:w="28" w:type="dxa"/>
              <w:right w:w="28" w:type="dxa"/>
            </w:tcMar>
            <w:hideMark/>
          </w:tcPr>
          <w:p w14:paraId="563DCD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w:t>
            </w:r>
            <w:r w:rsidRPr="002D1DD7">
              <w:rPr>
                <w:rFonts w:eastAsia="Times New Roman" w:cs="Times New Roman"/>
                <w:color w:val="000000"/>
                <w:sz w:val="18"/>
                <w:szCs w:val="18"/>
                <w:lang w:eastAsia="zh-CN"/>
              </w:rPr>
              <w:br/>
              <w:t xml:space="preserve">a)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6mo ratio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tcBorders>
              <w:top w:val="single" w:sz="12" w:space="0" w:color="auto"/>
            </w:tcBorders>
            <w:shd w:val="clear" w:color="auto" w:fill="auto"/>
            <w:tcMar>
              <w:left w:w="28" w:type="dxa"/>
              <w:right w:w="28" w:type="dxa"/>
            </w:tcMar>
            <w:hideMark/>
          </w:tcPr>
          <w:p w14:paraId="1BF9F7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R2=0.04 (0.0002 to 0.28), p=NR</w:t>
            </w:r>
            <w:r w:rsidRPr="002D1DD7">
              <w:rPr>
                <w:rFonts w:eastAsia="Times New Roman" w:cs="Times New Roman"/>
                <w:color w:val="000000"/>
                <w:sz w:val="18"/>
                <w:szCs w:val="18"/>
                <w:lang w:eastAsia="zh-CN"/>
              </w:rPr>
              <w:br/>
              <w:t>b) R2=0.05 (0.0001 to 0.31), p=NR</w:t>
            </w:r>
          </w:p>
        </w:tc>
        <w:tc>
          <w:tcPr>
            <w:tcW w:w="1072" w:type="dxa"/>
            <w:tcBorders>
              <w:top w:val="single" w:sz="12" w:space="0" w:color="auto"/>
              <w:right w:val="single" w:sz="12" w:space="0" w:color="auto"/>
            </w:tcBorders>
            <w:shd w:val="clear" w:color="auto" w:fill="auto"/>
            <w:tcMar>
              <w:left w:w="28" w:type="dxa"/>
              <w:right w:w="28" w:type="dxa"/>
            </w:tcMar>
            <w:hideMark/>
          </w:tcPr>
          <w:p w14:paraId="5FA69A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1583CE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7C9E24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tcBorders>
            <w:shd w:val="clear" w:color="auto" w:fill="auto"/>
            <w:tcMar>
              <w:left w:w="28" w:type="dxa"/>
              <w:right w:w="28" w:type="dxa"/>
            </w:tcMar>
            <w:hideMark/>
          </w:tcPr>
          <w:p w14:paraId="59F8F8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931F5ED" w14:textId="77777777" w:rsidTr="003117A9">
        <w:trPr>
          <w:cantSplit/>
        </w:trPr>
        <w:tc>
          <w:tcPr>
            <w:tcW w:w="988" w:type="dxa"/>
            <w:tcBorders>
              <w:right w:val="single" w:sz="12" w:space="0" w:color="auto"/>
            </w:tcBorders>
            <w:shd w:val="clear" w:color="auto" w:fill="auto"/>
            <w:tcMar>
              <w:left w:w="28" w:type="dxa"/>
              <w:right w:w="28" w:type="dxa"/>
            </w:tcMar>
            <w:hideMark/>
          </w:tcPr>
          <w:p w14:paraId="72F59050" w14:textId="449CC43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lastRenderedPageBreak/>
              <w:t>Blumenthal 2015</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&lt;EndNote&gt;&lt;Cite&gt;&lt;Author&gt;Blumenthal&lt;/Author&gt;&lt;Year&gt;2015&lt;/Year&gt;&lt;RecNum&gt;244&lt;/RecNum&gt;&lt;IDText&gt;$$include full text KC&lt;/IDText&gt;&lt;DisplayText&gt;&lt;style face="superscript"&gt;81&lt;/style&gt;&lt;/DisplayText&gt;&lt;record&gt;&lt;rec-number&gt;244&lt;/rec-number&gt;&lt;foreign-keys&gt;&lt;key app="EN" db-id="dwaevxvazfs2f3ewvzmxrd0k0wasw55p2z2w" timestamp="1557310550"&gt;244&lt;/key&gt;&lt;/foreign-keys&gt;&lt;ref-type name="Journal Article"&gt;17&lt;/ref-type&gt;&lt;contributors&gt;&lt;authors&gt;&lt;author&gt;Blumenthal, G. M.&lt;/author&gt;&lt;author&gt;Karuri, S. W.&lt;/author&gt;&lt;author&gt;Zhang, H.&lt;/author&gt;&lt;author&gt;Zhang, L. J.&lt;/author&gt;&lt;author&gt;Khozin, S.&lt;/author&gt;&lt;author&gt;Kazandjian, D.&lt;/author&gt;&lt;author&gt;Tang, S.&lt;/author&gt;&lt;author&gt;Sridhara, R.&lt;/author&gt;&lt;author&gt;Keegan, P.&lt;/author&gt;&lt;author&gt;Pazdur, R.&lt;/author&gt;&lt;/authors&gt;&lt;/contributors&gt;&lt;titles&gt;&lt;title&gt;Overall response rate, progression-free survival, and overall survival with targeted and standard therapies in advanced non-small-cell lung cancer: Us food and drug administration trial-level and patient-level analyses&lt;/title&gt;&lt;secondary-title&gt;Journal of Clinical Oncology&lt;/secondary-title&gt;&lt;/titles&gt;&lt;periodical&gt;&lt;full-title&gt;Journal of Clinical Oncology&lt;/full-title&gt;&lt;abbr-1&gt;J Clin Oncol&lt;/abbr-1&gt;&lt;/periodical&gt;&lt;pages&gt;1008-+&lt;/pages&gt;&lt;volume&gt;33&lt;/volume&gt;&lt;number&gt;9&lt;/number&gt;&lt;keywords&gt;&lt;keyword&gt;$$include abstract KC&lt;/keyword&gt;&lt;keyword&gt;$$Broad search&lt;/keyword&gt;&lt;/keywords&gt;&lt;dates&gt;&lt;year&gt;2015&lt;/year&gt;&lt;pub-dates&gt;&lt;date&gt;Mar&lt;/date&gt;&lt;/pub-dates&gt;&lt;/dates&gt;&lt;isbn&gt;0732-183X&lt;/isbn&gt;&lt;accession-num&gt;WOS:000356056400010&lt;/accession-num&gt;&lt;label&gt;$$include full text KC&lt;/label&gt;&lt;urls&gt;&lt;/urls&gt;&lt;electronic-resource-num&gt;10.1200/jco.2014.59.0489&lt;/electronic-resource-num&gt;&lt;research-notes&gt;&lt;style face="underline" font="default" size="100%"&gt;&amp;lt;Go to ISI&amp;gt;://WOS:000356056400010&lt;/style&gt;&lt;/research-notes&gt;&lt;/record&gt;&lt;/Cite&gt;&lt;/EndNote&gt;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81</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51AE53B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27CE30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C20DDBC"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03E739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588C69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targeted</w:t>
            </w:r>
          </w:p>
        </w:tc>
        <w:tc>
          <w:tcPr>
            <w:tcW w:w="567" w:type="dxa"/>
            <w:tcBorders>
              <w:left w:val="single" w:sz="12" w:space="0" w:color="auto"/>
            </w:tcBorders>
            <w:shd w:val="clear" w:color="auto" w:fill="auto"/>
            <w:tcMar>
              <w:left w:w="28" w:type="dxa"/>
              <w:right w:w="28" w:type="dxa"/>
            </w:tcMar>
            <w:hideMark/>
          </w:tcPr>
          <w:p w14:paraId="1DAABE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w:t>
            </w:r>
          </w:p>
        </w:tc>
        <w:tc>
          <w:tcPr>
            <w:tcW w:w="709" w:type="dxa"/>
            <w:tcBorders>
              <w:right w:val="single" w:sz="12" w:space="0" w:color="auto"/>
            </w:tcBorders>
            <w:shd w:val="clear" w:color="auto" w:fill="auto"/>
            <w:tcMar>
              <w:left w:w="28" w:type="dxa"/>
              <w:right w:w="28" w:type="dxa"/>
            </w:tcMar>
            <w:hideMark/>
          </w:tcPr>
          <w:p w14:paraId="3A52A4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12567</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0F6D57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0C39B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1B3A05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1BF43A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R2=0.09 (0 to 0.33), p=NR</w:t>
            </w:r>
          </w:p>
        </w:tc>
        <w:tc>
          <w:tcPr>
            <w:tcW w:w="1072" w:type="dxa"/>
            <w:tcBorders>
              <w:right w:val="single" w:sz="12" w:space="0" w:color="auto"/>
            </w:tcBorders>
            <w:shd w:val="clear" w:color="auto" w:fill="auto"/>
            <w:tcMar>
              <w:left w:w="28" w:type="dxa"/>
              <w:right w:w="28" w:type="dxa"/>
            </w:tcMar>
            <w:hideMark/>
          </w:tcPr>
          <w:p w14:paraId="0380D4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005EEF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5523C3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5813C3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37E556B" w14:textId="77777777" w:rsidTr="003117A9">
        <w:trPr>
          <w:cantSplit/>
        </w:trPr>
        <w:tc>
          <w:tcPr>
            <w:tcW w:w="988" w:type="dxa"/>
            <w:tcBorders>
              <w:right w:val="single" w:sz="12" w:space="0" w:color="auto"/>
            </w:tcBorders>
            <w:shd w:val="clear" w:color="auto" w:fill="auto"/>
            <w:tcMar>
              <w:left w:w="28" w:type="dxa"/>
              <w:right w:w="28" w:type="dxa"/>
            </w:tcMar>
            <w:hideMark/>
          </w:tcPr>
          <w:p w14:paraId="5CB44143" w14:textId="1D26966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Blumenthal 2015</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&lt;EndNote&gt;&lt;Cite&gt;&lt;Author&gt;Blumenthal&lt;/Author&gt;&lt;Year&gt;2015&lt;/Year&gt;&lt;RecNum&gt;244&lt;/RecNum&gt;&lt;IDText&gt;$$include full text KC&lt;/IDText&gt;&lt;DisplayText&gt;&lt;style face="superscript"&gt;81&lt;/style&gt;&lt;/DisplayText&gt;&lt;record&gt;&lt;rec-number&gt;244&lt;/rec-number&gt;&lt;foreign-keys&gt;&lt;key app="EN" db-id="dwaevxvazfs2f3ewvzmxrd0k0wasw55p2z2w" timestamp="1557310550"&gt;244&lt;/key&gt;&lt;/foreign-keys&gt;&lt;ref-type name="Journal Article"&gt;17&lt;/ref-type&gt;&lt;contributors&gt;&lt;authors&gt;&lt;author&gt;Blumenthal, G. M.&lt;/author&gt;&lt;author&gt;Karuri, S. W.&lt;/author&gt;&lt;author&gt;Zhang, H.&lt;/author&gt;&lt;author&gt;Zhang, L. J.&lt;/author&gt;&lt;author&gt;Khozin, S.&lt;/author&gt;&lt;author&gt;Kazandjian, D.&lt;/author&gt;&lt;author&gt;Tang, S.&lt;/author&gt;&lt;author&gt;Sridhara, R.&lt;/author&gt;&lt;author&gt;Keegan, P.&lt;/author&gt;&lt;author&gt;Pazdur, R.&lt;/author&gt;&lt;/authors&gt;&lt;/contributors&gt;&lt;titles&gt;&lt;title&gt;Overall response rate, progression-free survival, and overall survival with targeted and standard therapies in advanced non-small-cell lung cancer: Us food and drug administration trial-level and patient-level analyses&lt;/title&gt;&lt;secondary-title&gt;Journal of Clinical Oncology&lt;/secondary-title&gt;&lt;/titles&gt;&lt;periodical&gt;&lt;full-title&gt;Journal of Clinical Oncology&lt;/full-title&gt;&lt;abbr-1&gt;J Clin Oncol&lt;/abbr-1&gt;&lt;/periodical&gt;&lt;pages&gt;1008-+&lt;/pages&gt;&lt;volume&gt;33&lt;/volume&gt;&lt;number&gt;9&lt;/number&gt;&lt;keywords&gt;&lt;keyword&gt;$$include abstract KC&lt;/keyword&gt;&lt;keyword&gt;$$Broad search&lt;/keyword&gt;&lt;/keywords&gt;&lt;dates&gt;&lt;year&gt;2015&lt;/year&gt;&lt;pub-dates&gt;&lt;date&gt;Mar&lt;/date&gt;&lt;/pub-dates&gt;&lt;/dates&gt;&lt;isbn&gt;0732-183X&lt;/isbn&gt;&lt;accession-num&gt;WOS:000356056400010&lt;/accession-num&gt;&lt;label&gt;$$include full text KC&lt;/label&gt;&lt;urls&gt;&lt;/urls&gt;&lt;electronic-resource-num&gt;10.1200/jco.2014.59.0489&lt;/electronic-resource-num&gt;&lt;research-notes&gt;&lt;style face="underline" font="default" size="100%"&gt;&amp;lt;Go to ISI&amp;gt;://WOS:000356056400010&lt;/style&gt;&lt;/research-notes&gt;&lt;/record&gt;&lt;/Cite&gt;&lt;/EndNote&gt;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81</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0A38A21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39AE7A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75A285FD"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76FB3A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1F009A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752CF0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09" w:type="dxa"/>
            <w:tcBorders>
              <w:right w:val="single" w:sz="12" w:space="0" w:color="auto"/>
            </w:tcBorders>
            <w:shd w:val="clear" w:color="auto" w:fill="auto"/>
            <w:tcMar>
              <w:left w:w="28" w:type="dxa"/>
              <w:right w:w="28" w:type="dxa"/>
            </w:tcMar>
            <w:hideMark/>
          </w:tcPr>
          <w:p w14:paraId="5811D3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11701</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3EE43B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54D1CA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0F624A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48E035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R2=0.44 (0.08 to 0.80), p=NR</w:t>
            </w:r>
          </w:p>
        </w:tc>
        <w:tc>
          <w:tcPr>
            <w:tcW w:w="1072" w:type="dxa"/>
            <w:tcBorders>
              <w:right w:val="single" w:sz="12" w:space="0" w:color="auto"/>
            </w:tcBorders>
            <w:shd w:val="clear" w:color="auto" w:fill="auto"/>
            <w:tcMar>
              <w:left w:w="28" w:type="dxa"/>
              <w:right w:w="28" w:type="dxa"/>
            </w:tcMar>
            <w:hideMark/>
          </w:tcPr>
          <w:p w14:paraId="5C7F57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1C3D1E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6FCA7B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45E7AA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168C506" w14:textId="77777777" w:rsidTr="003117A9">
        <w:trPr>
          <w:cantSplit/>
        </w:trPr>
        <w:tc>
          <w:tcPr>
            <w:tcW w:w="988" w:type="dxa"/>
            <w:tcBorders>
              <w:right w:val="single" w:sz="12" w:space="0" w:color="auto"/>
            </w:tcBorders>
            <w:shd w:val="clear" w:color="auto" w:fill="auto"/>
            <w:tcMar>
              <w:left w:w="28" w:type="dxa"/>
              <w:right w:w="28" w:type="dxa"/>
            </w:tcMar>
            <w:hideMark/>
          </w:tcPr>
          <w:p w14:paraId="009FE236" w14:textId="3ABB01E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Hashim 2018</w:t>
            </w:r>
            <w:r w:rsidRPr="002D1DD7">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99</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10B5DA2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2B7EEE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3F87CC2F"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57B0F3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992" w:type="dxa"/>
            <w:tcBorders>
              <w:right w:val="single" w:sz="12" w:space="0" w:color="auto"/>
            </w:tcBorders>
            <w:shd w:val="clear" w:color="auto" w:fill="auto"/>
            <w:tcMar>
              <w:left w:w="28" w:type="dxa"/>
              <w:right w:w="28" w:type="dxa"/>
            </w:tcMar>
            <w:hideMark/>
          </w:tcPr>
          <w:p w14:paraId="3A7EA9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67" w:type="dxa"/>
            <w:tcBorders>
              <w:left w:val="single" w:sz="12" w:space="0" w:color="auto"/>
            </w:tcBorders>
            <w:shd w:val="clear" w:color="auto" w:fill="auto"/>
            <w:tcMar>
              <w:left w:w="28" w:type="dxa"/>
              <w:right w:w="28" w:type="dxa"/>
            </w:tcMar>
            <w:hideMark/>
          </w:tcPr>
          <w:p w14:paraId="283D2B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140</w:t>
            </w:r>
          </w:p>
        </w:tc>
        <w:tc>
          <w:tcPr>
            <w:tcW w:w="709" w:type="dxa"/>
            <w:tcBorders>
              <w:right w:val="single" w:sz="12" w:space="0" w:color="auto"/>
            </w:tcBorders>
            <w:shd w:val="clear" w:color="auto" w:fill="auto"/>
            <w:tcMar>
              <w:left w:w="28" w:type="dxa"/>
              <w:right w:w="28" w:type="dxa"/>
            </w:tcMar>
            <w:hideMark/>
          </w:tcPr>
          <w:p w14:paraId="4DAA3F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41725</w:t>
            </w:r>
          </w:p>
        </w:tc>
        <w:tc>
          <w:tcPr>
            <w:tcW w:w="1559" w:type="dxa"/>
            <w:tcBorders>
              <w:left w:val="single" w:sz="12" w:space="0" w:color="auto"/>
            </w:tcBorders>
            <w:shd w:val="clear" w:color="auto" w:fill="auto"/>
            <w:tcMar>
              <w:left w:w="28" w:type="dxa"/>
              <w:right w:w="28" w:type="dxa"/>
            </w:tcMar>
            <w:hideMark/>
          </w:tcPr>
          <w:p w14:paraId="1748B7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via WLR:</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5BB9D6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r=0.17 (0.00 to 0.38), p=NR</w:t>
            </w:r>
            <w:r w:rsidRPr="002D1DD7">
              <w:rPr>
                <w:rFonts w:eastAsia="Times New Roman" w:cs="Times New Roman"/>
                <w:color w:val="000000"/>
                <w:sz w:val="18"/>
                <w:szCs w:val="18"/>
                <w:lang w:eastAsia="zh-CN"/>
              </w:rPr>
              <w:br/>
              <w:t>b) r=0.18 (0.02 to 0.34), p=0.032</w:t>
            </w:r>
          </w:p>
        </w:tc>
        <w:tc>
          <w:tcPr>
            <w:tcW w:w="1659" w:type="dxa"/>
            <w:tcBorders>
              <w:left w:val="single" w:sz="12" w:space="0" w:color="auto"/>
            </w:tcBorders>
            <w:shd w:val="clear" w:color="auto" w:fill="auto"/>
            <w:tcMar>
              <w:left w:w="28" w:type="dxa"/>
              <w:right w:w="28" w:type="dxa"/>
            </w:tcMar>
            <w:hideMark/>
          </w:tcPr>
          <w:p w14:paraId="0355E2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10D4B0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4A8A9C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428FFD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NA</w:t>
            </w:r>
          </w:p>
        </w:tc>
        <w:tc>
          <w:tcPr>
            <w:tcW w:w="798" w:type="dxa"/>
            <w:tcBorders>
              <w:left w:val="single" w:sz="12" w:space="0" w:color="auto"/>
            </w:tcBorders>
            <w:shd w:val="clear" w:color="auto" w:fill="auto"/>
            <w:tcMar>
              <w:left w:w="28" w:type="dxa"/>
              <w:right w:w="28" w:type="dxa"/>
            </w:tcMar>
            <w:hideMark/>
          </w:tcPr>
          <w:p w14:paraId="2902AB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668CC4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46EF2D2" w14:textId="77777777" w:rsidTr="003117A9">
        <w:trPr>
          <w:cantSplit/>
        </w:trPr>
        <w:tc>
          <w:tcPr>
            <w:tcW w:w="988" w:type="dxa"/>
            <w:tcBorders>
              <w:right w:val="single" w:sz="12" w:space="0" w:color="auto"/>
            </w:tcBorders>
            <w:shd w:val="clear" w:color="auto" w:fill="auto"/>
            <w:tcMar>
              <w:left w:w="28" w:type="dxa"/>
              <w:right w:w="28" w:type="dxa"/>
            </w:tcMar>
            <w:hideMark/>
          </w:tcPr>
          <w:p w14:paraId="6B5B4B3F" w14:textId="0BB3458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Hashim 2018</w:t>
            </w:r>
            <w:r w:rsidRPr="002D1DD7">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99</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2862A87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6BE501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4B6F78F5"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0E8019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w:t>
            </w:r>
            <w:r w:rsidRPr="002D1DD7">
              <w:rPr>
                <w:rFonts w:eastAsia="Times New Roman" w:cs="Times New Roman"/>
                <w:color w:val="000000"/>
                <w:sz w:val="18"/>
                <w:szCs w:val="18"/>
                <w:lang w:eastAsia="zh-CN"/>
              </w:rPr>
              <w:br/>
              <w:t>- Phase III</w:t>
            </w:r>
          </w:p>
        </w:tc>
        <w:tc>
          <w:tcPr>
            <w:tcW w:w="992" w:type="dxa"/>
            <w:tcBorders>
              <w:right w:val="single" w:sz="12" w:space="0" w:color="auto"/>
            </w:tcBorders>
            <w:shd w:val="clear" w:color="auto" w:fill="auto"/>
            <w:tcMar>
              <w:left w:w="28" w:type="dxa"/>
              <w:right w:w="28" w:type="dxa"/>
            </w:tcMar>
            <w:hideMark/>
          </w:tcPr>
          <w:p w14:paraId="6355D3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67" w:type="dxa"/>
            <w:tcBorders>
              <w:left w:val="single" w:sz="12" w:space="0" w:color="auto"/>
            </w:tcBorders>
            <w:shd w:val="clear" w:color="auto" w:fill="auto"/>
            <w:tcMar>
              <w:left w:w="28" w:type="dxa"/>
              <w:right w:w="28" w:type="dxa"/>
            </w:tcMar>
            <w:hideMark/>
          </w:tcPr>
          <w:p w14:paraId="6E8E0D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59</w:t>
            </w:r>
          </w:p>
        </w:tc>
        <w:tc>
          <w:tcPr>
            <w:tcW w:w="709" w:type="dxa"/>
            <w:tcBorders>
              <w:right w:val="single" w:sz="12" w:space="0" w:color="auto"/>
            </w:tcBorders>
            <w:shd w:val="clear" w:color="auto" w:fill="auto"/>
            <w:tcMar>
              <w:left w:w="28" w:type="dxa"/>
              <w:right w:w="28" w:type="dxa"/>
            </w:tcMar>
            <w:hideMark/>
          </w:tcPr>
          <w:p w14:paraId="5A9D9D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32348</w:t>
            </w:r>
            <w:r w:rsidRPr="002D1DD7">
              <w:rPr>
                <w:rFonts w:eastAsia="Times New Roman" w:cs="Times New Roman"/>
                <w:color w:val="000000"/>
                <w:sz w:val="18"/>
                <w:szCs w:val="18"/>
                <w:lang w:eastAsia="zh-CN"/>
              </w:rPr>
              <w:br/>
            </w:r>
          </w:p>
        </w:tc>
        <w:tc>
          <w:tcPr>
            <w:tcW w:w="1559" w:type="dxa"/>
            <w:tcBorders>
              <w:left w:val="single" w:sz="12" w:space="0" w:color="auto"/>
            </w:tcBorders>
            <w:shd w:val="clear" w:color="auto" w:fill="auto"/>
            <w:tcMar>
              <w:left w:w="28" w:type="dxa"/>
              <w:right w:w="28" w:type="dxa"/>
            </w:tcMar>
            <w:hideMark/>
          </w:tcPr>
          <w:p w14:paraId="6BB592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via WLR:</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2FBA08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r=0.37 (0.09 to 0.60), p=NR</w:t>
            </w:r>
            <w:r w:rsidRPr="002D1DD7">
              <w:rPr>
                <w:rFonts w:eastAsia="Times New Roman" w:cs="Times New Roman"/>
                <w:color w:val="000000"/>
                <w:sz w:val="18"/>
                <w:szCs w:val="18"/>
                <w:lang w:eastAsia="zh-CN"/>
              </w:rPr>
              <w:br/>
              <w:t>b) r=0.13 (0.00 to 0.38), p=0.32</w:t>
            </w:r>
          </w:p>
        </w:tc>
        <w:tc>
          <w:tcPr>
            <w:tcW w:w="1659" w:type="dxa"/>
            <w:tcBorders>
              <w:left w:val="single" w:sz="12" w:space="0" w:color="auto"/>
            </w:tcBorders>
            <w:shd w:val="clear" w:color="auto" w:fill="auto"/>
            <w:tcMar>
              <w:left w:w="28" w:type="dxa"/>
              <w:right w:w="28" w:type="dxa"/>
            </w:tcMar>
            <w:hideMark/>
          </w:tcPr>
          <w:p w14:paraId="0EE265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1E576E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1B44D2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3A3D03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NA</w:t>
            </w:r>
          </w:p>
        </w:tc>
        <w:tc>
          <w:tcPr>
            <w:tcW w:w="798" w:type="dxa"/>
            <w:tcBorders>
              <w:left w:val="single" w:sz="12" w:space="0" w:color="auto"/>
            </w:tcBorders>
            <w:shd w:val="clear" w:color="auto" w:fill="auto"/>
            <w:tcMar>
              <w:left w:w="28" w:type="dxa"/>
              <w:right w:w="28" w:type="dxa"/>
            </w:tcMar>
            <w:hideMark/>
          </w:tcPr>
          <w:p w14:paraId="51C270E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2B71B6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CB5A962" w14:textId="77777777" w:rsidTr="003117A9">
        <w:trPr>
          <w:cantSplit/>
        </w:trPr>
        <w:tc>
          <w:tcPr>
            <w:tcW w:w="988" w:type="dxa"/>
            <w:tcBorders>
              <w:right w:val="single" w:sz="12" w:space="0" w:color="auto"/>
            </w:tcBorders>
            <w:shd w:val="clear" w:color="auto" w:fill="auto"/>
            <w:tcMar>
              <w:left w:w="28" w:type="dxa"/>
              <w:right w:w="28" w:type="dxa"/>
            </w:tcMar>
            <w:hideMark/>
          </w:tcPr>
          <w:p w14:paraId="6F66299E" w14:textId="62A93C2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Hashim 2018</w:t>
            </w:r>
            <w:r w:rsidRPr="002D1DD7">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99</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3D578F9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632CF4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4EBAAE08"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6AB34A63" w14:textId="77777777" w:rsidR="002E26FD" w:rsidRPr="00D6492A" w:rsidRDefault="002E26FD" w:rsidP="003117A9">
            <w:pPr>
              <w:spacing w:before="0" w:after="0" w:line="240" w:lineRule="auto"/>
              <w:rPr>
                <w:rFonts w:eastAsia="Times New Roman" w:cs="Times New Roman"/>
                <w:color w:val="000000"/>
                <w:sz w:val="18"/>
                <w:szCs w:val="18"/>
                <w:lang w:val="it-IT" w:eastAsia="zh-CN"/>
              </w:rPr>
            </w:pPr>
            <w:r w:rsidRPr="00D6492A">
              <w:rPr>
                <w:rFonts w:eastAsia="Times New Roman" w:cs="Times New Roman"/>
                <w:color w:val="000000"/>
                <w:sz w:val="18"/>
                <w:szCs w:val="18"/>
                <w:lang w:val="it-IT" w:eastAsia="zh-CN"/>
              </w:rPr>
              <w:t>- 2nd +</w:t>
            </w:r>
            <w:r w:rsidRPr="00D6492A">
              <w:rPr>
                <w:rFonts w:eastAsia="Times New Roman" w:cs="Times New Roman"/>
                <w:color w:val="000000"/>
                <w:sz w:val="18"/>
                <w:szCs w:val="18"/>
                <w:lang w:val="it-IT" w:eastAsia="zh-CN"/>
              </w:rPr>
              <w:br/>
              <w:t>- Phase III excl per-protocol crossover</w:t>
            </w:r>
          </w:p>
        </w:tc>
        <w:tc>
          <w:tcPr>
            <w:tcW w:w="992" w:type="dxa"/>
            <w:tcBorders>
              <w:right w:val="single" w:sz="12" w:space="0" w:color="auto"/>
            </w:tcBorders>
            <w:shd w:val="clear" w:color="auto" w:fill="auto"/>
            <w:tcMar>
              <w:left w:w="28" w:type="dxa"/>
              <w:right w:w="28" w:type="dxa"/>
            </w:tcMar>
            <w:hideMark/>
          </w:tcPr>
          <w:p w14:paraId="7B399D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67" w:type="dxa"/>
            <w:tcBorders>
              <w:left w:val="single" w:sz="12" w:space="0" w:color="auto"/>
            </w:tcBorders>
            <w:shd w:val="clear" w:color="auto" w:fill="auto"/>
            <w:tcMar>
              <w:left w:w="28" w:type="dxa"/>
              <w:right w:w="28" w:type="dxa"/>
            </w:tcMar>
            <w:hideMark/>
          </w:tcPr>
          <w:p w14:paraId="6C6A28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54</w:t>
            </w:r>
          </w:p>
        </w:tc>
        <w:tc>
          <w:tcPr>
            <w:tcW w:w="709" w:type="dxa"/>
            <w:tcBorders>
              <w:right w:val="single" w:sz="12" w:space="0" w:color="auto"/>
            </w:tcBorders>
            <w:shd w:val="clear" w:color="auto" w:fill="auto"/>
            <w:tcMar>
              <w:left w:w="28" w:type="dxa"/>
              <w:right w:w="28" w:type="dxa"/>
            </w:tcMar>
            <w:hideMark/>
          </w:tcPr>
          <w:p w14:paraId="3FA7B61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30654</w:t>
            </w:r>
          </w:p>
        </w:tc>
        <w:tc>
          <w:tcPr>
            <w:tcW w:w="1559" w:type="dxa"/>
            <w:tcBorders>
              <w:left w:val="single" w:sz="12" w:space="0" w:color="auto"/>
            </w:tcBorders>
            <w:shd w:val="clear" w:color="auto" w:fill="auto"/>
            <w:tcMar>
              <w:left w:w="28" w:type="dxa"/>
              <w:right w:w="28" w:type="dxa"/>
            </w:tcMar>
            <w:hideMark/>
          </w:tcPr>
          <w:p w14:paraId="200155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via WLR:</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6E2EF6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r=0.40 (0.10 to 0.63), p=NR</w:t>
            </w:r>
            <w:r w:rsidRPr="002D1DD7">
              <w:rPr>
                <w:rFonts w:eastAsia="Times New Roman" w:cs="Times New Roman"/>
                <w:color w:val="000000"/>
                <w:sz w:val="18"/>
                <w:szCs w:val="18"/>
                <w:lang w:eastAsia="zh-CN"/>
              </w:rPr>
              <w:br/>
              <w:t>b) r=0.36 (0.10 to 0.57), p=0.0074</w:t>
            </w:r>
          </w:p>
        </w:tc>
        <w:tc>
          <w:tcPr>
            <w:tcW w:w="1659" w:type="dxa"/>
            <w:tcBorders>
              <w:left w:val="single" w:sz="12" w:space="0" w:color="auto"/>
            </w:tcBorders>
            <w:shd w:val="clear" w:color="auto" w:fill="auto"/>
            <w:tcMar>
              <w:left w:w="28" w:type="dxa"/>
              <w:right w:w="28" w:type="dxa"/>
            </w:tcMar>
            <w:hideMark/>
          </w:tcPr>
          <w:p w14:paraId="1AA206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54E9A5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228D70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271139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NA</w:t>
            </w:r>
          </w:p>
        </w:tc>
        <w:tc>
          <w:tcPr>
            <w:tcW w:w="798" w:type="dxa"/>
            <w:tcBorders>
              <w:left w:val="single" w:sz="12" w:space="0" w:color="auto"/>
            </w:tcBorders>
            <w:shd w:val="clear" w:color="auto" w:fill="auto"/>
            <w:tcMar>
              <w:left w:w="28" w:type="dxa"/>
              <w:right w:w="28" w:type="dxa"/>
            </w:tcMar>
            <w:hideMark/>
          </w:tcPr>
          <w:p w14:paraId="5AD32C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724F06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3FE7491" w14:textId="77777777" w:rsidTr="003117A9">
        <w:trPr>
          <w:cantSplit/>
        </w:trPr>
        <w:tc>
          <w:tcPr>
            <w:tcW w:w="988" w:type="dxa"/>
            <w:tcBorders>
              <w:right w:val="single" w:sz="12" w:space="0" w:color="auto"/>
            </w:tcBorders>
            <w:shd w:val="clear" w:color="auto" w:fill="auto"/>
            <w:tcMar>
              <w:left w:w="28" w:type="dxa"/>
              <w:right w:w="28" w:type="dxa"/>
            </w:tcMar>
            <w:hideMark/>
          </w:tcPr>
          <w:p w14:paraId="402FFA21" w14:textId="70BC7B8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Hashim 2018</w:t>
            </w:r>
            <w:r w:rsidRPr="002D1DD7">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99</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0B9BA28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6CB7B7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5F090B70"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7908AD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w:t>
            </w:r>
            <w:r w:rsidRPr="002D1DD7">
              <w:rPr>
                <w:rFonts w:eastAsia="Times New Roman" w:cs="Times New Roman"/>
                <w:color w:val="000000"/>
                <w:sz w:val="18"/>
                <w:szCs w:val="18"/>
                <w:lang w:eastAsia="zh-CN"/>
              </w:rPr>
              <w:br/>
              <w:t>- Phase III excl any crossover</w:t>
            </w:r>
          </w:p>
        </w:tc>
        <w:tc>
          <w:tcPr>
            <w:tcW w:w="992" w:type="dxa"/>
            <w:tcBorders>
              <w:right w:val="single" w:sz="12" w:space="0" w:color="auto"/>
            </w:tcBorders>
            <w:shd w:val="clear" w:color="auto" w:fill="auto"/>
            <w:tcMar>
              <w:left w:w="28" w:type="dxa"/>
              <w:right w:w="28" w:type="dxa"/>
            </w:tcMar>
            <w:hideMark/>
          </w:tcPr>
          <w:p w14:paraId="5CF575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67" w:type="dxa"/>
            <w:tcBorders>
              <w:left w:val="single" w:sz="12" w:space="0" w:color="auto"/>
            </w:tcBorders>
            <w:shd w:val="clear" w:color="auto" w:fill="auto"/>
            <w:tcMar>
              <w:left w:w="28" w:type="dxa"/>
              <w:right w:w="28" w:type="dxa"/>
            </w:tcMar>
            <w:hideMark/>
          </w:tcPr>
          <w:p w14:paraId="4F9739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38</w:t>
            </w:r>
          </w:p>
        </w:tc>
        <w:tc>
          <w:tcPr>
            <w:tcW w:w="709" w:type="dxa"/>
            <w:tcBorders>
              <w:right w:val="single" w:sz="12" w:space="0" w:color="auto"/>
            </w:tcBorders>
            <w:shd w:val="clear" w:color="auto" w:fill="auto"/>
            <w:tcMar>
              <w:left w:w="28" w:type="dxa"/>
              <w:right w:w="28" w:type="dxa"/>
            </w:tcMar>
            <w:hideMark/>
          </w:tcPr>
          <w:p w14:paraId="7786BB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22574</w:t>
            </w:r>
          </w:p>
        </w:tc>
        <w:tc>
          <w:tcPr>
            <w:tcW w:w="1559" w:type="dxa"/>
            <w:tcBorders>
              <w:left w:val="single" w:sz="12" w:space="0" w:color="auto"/>
            </w:tcBorders>
            <w:shd w:val="clear" w:color="auto" w:fill="auto"/>
            <w:tcMar>
              <w:left w:w="28" w:type="dxa"/>
              <w:right w:w="28" w:type="dxa"/>
            </w:tcMar>
            <w:hideMark/>
          </w:tcPr>
          <w:p w14:paraId="06D0ED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via WLR:</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183D14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r=0.52 (0.18 to 0.75), p=NR</w:t>
            </w:r>
            <w:r w:rsidRPr="002D1DD7">
              <w:rPr>
                <w:rFonts w:eastAsia="Times New Roman" w:cs="Times New Roman"/>
                <w:color w:val="000000"/>
                <w:sz w:val="18"/>
                <w:szCs w:val="18"/>
                <w:lang w:eastAsia="zh-CN"/>
              </w:rPr>
              <w:br/>
              <w:t>b) r=0.45 (0.15 to 0.67), p=0.0051</w:t>
            </w:r>
          </w:p>
        </w:tc>
        <w:tc>
          <w:tcPr>
            <w:tcW w:w="1659" w:type="dxa"/>
            <w:tcBorders>
              <w:left w:val="single" w:sz="12" w:space="0" w:color="auto"/>
            </w:tcBorders>
            <w:shd w:val="clear" w:color="auto" w:fill="auto"/>
            <w:tcMar>
              <w:left w:w="28" w:type="dxa"/>
              <w:right w:w="28" w:type="dxa"/>
            </w:tcMar>
            <w:hideMark/>
          </w:tcPr>
          <w:p w14:paraId="7A4825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3CDD19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0936B2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126D38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55%</w:t>
            </w:r>
            <w:r w:rsidRPr="002D1DD7">
              <w:rPr>
                <w:rFonts w:eastAsia="Times New Roman" w:cs="Times New Roman"/>
                <w:color w:val="000000"/>
                <w:sz w:val="18"/>
                <w:szCs w:val="18"/>
                <w:lang w:eastAsia="zh-CN"/>
              </w:rPr>
              <w:br/>
              <w:t>b) NA</w:t>
            </w:r>
          </w:p>
        </w:tc>
        <w:tc>
          <w:tcPr>
            <w:tcW w:w="798" w:type="dxa"/>
            <w:tcBorders>
              <w:left w:val="single" w:sz="12" w:space="0" w:color="auto"/>
            </w:tcBorders>
            <w:shd w:val="clear" w:color="auto" w:fill="auto"/>
            <w:tcMar>
              <w:left w:w="28" w:type="dxa"/>
              <w:right w:w="28" w:type="dxa"/>
            </w:tcMar>
            <w:hideMark/>
          </w:tcPr>
          <w:p w14:paraId="0326C9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02103C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EF4036F" w14:textId="77777777" w:rsidTr="003117A9">
        <w:trPr>
          <w:cantSplit/>
        </w:trPr>
        <w:tc>
          <w:tcPr>
            <w:tcW w:w="988" w:type="dxa"/>
            <w:tcBorders>
              <w:right w:val="single" w:sz="12" w:space="0" w:color="auto"/>
            </w:tcBorders>
            <w:shd w:val="clear" w:color="auto" w:fill="auto"/>
            <w:tcMar>
              <w:left w:w="28" w:type="dxa"/>
              <w:right w:w="28" w:type="dxa"/>
            </w:tcMar>
            <w:hideMark/>
          </w:tcPr>
          <w:p w14:paraId="13CAC40D" w14:textId="037851E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Hashim 2018</w:t>
            </w:r>
            <w:r w:rsidRPr="002D1DD7">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PEVuZE5vdGU+PENpdGU+PEF1dGhvcj5IYXNoaW08L0F1dGhvcj48WWVhcj4yMDE4PC9ZZWFyPjxS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99</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64CFEFB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182BA3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5D1C3C89"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1F4B40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- 2nd +</w:t>
            </w:r>
            <w:r w:rsidRPr="002D1DD7">
              <w:rPr>
                <w:rFonts w:eastAsia="Times New Roman" w:cs="Times New Roman"/>
                <w:color w:val="000000"/>
                <w:sz w:val="18"/>
                <w:szCs w:val="18"/>
                <w:lang w:eastAsia="zh-CN"/>
              </w:rPr>
              <w:br/>
              <w:t>- Phase III excl crossover or  unbalanced post-progression treatments</w:t>
            </w:r>
          </w:p>
        </w:tc>
        <w:tc>
          <w:tcPr>
            <w:tcW w:w="992" w:type="dxa"/>
            <w:tcBorders>
              <w:right w:val="single" w:sz="12" w:space="0" w:color="auto"/>
            </w:tcBorders>
            <w:shd w:val="clear" w:color="auto" w:fill="auto"/>
            <w:tcMar>
              <w:left w:w="28" w:type="dxa"/>
              <w:right w:w="28" w:type="dxa"/>
            </w:tcMar>
            <w:hideMark/>
          </w:tcPr>
          <w:p w14:paraId="25016A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567" w:type="dxa"/>
            <w:tcBorders>
              <w:left w:val="single" w:sz="12" w:space="0" w:color="auto"/>
            </w:tcBorders>
            <w:shd w:val="clear" w:color="auto" w:fill="auto"/>
            <w:tcMar>
              <w:left w:w="28" w:type="dxa"/>
              <w:right w:w="28" w:type="dxa"/>
            </w:tcMar>
            <w:hideMark/>
          </w:tcPr>
          <w:p w14:paraId="42556C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09" w:type="dxa"/>
            <w:tcBorders>
              <w:right w:val="single" w:sz="12" w:space="0" w:color="auto"/>
            </w:tcBorders>
            <w:shd w:val="clear" w:color="auto" w:fill="auto"/>
            <w:tcMar>
              <w:left w:w="28" w:type="dxa"/>
              <w:right w:w="28" w:type="dxa"/>
            </w:tcMar>
            <w:hideMark/>
          </w:tcPr>
          <w:p w14:paraId="622B33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13349</w:t>
            </w:r>
          </w:p>
        </w:tc>
        <w:tc>
          <w:tcPr>
            <w:tcW w:w="1559" w:type="dxa"/>
            <w:tcBorders>
              <w:left w:val="single" w:sz="12" w:space="0" w:color="auto"/>
            </w:tcBorders>
            <w:shd w:val="clear" w:color="auto" w:fill="auto"/>
            <w:tcMar>
              <w:left w:w="28" w:type="dxa"/>
              <w:right w:w="28" w:type="dxa"/>
            </w:tcMar>
            <w:hideMark/>
          </w:tcPr>
          <w:p w14:paraId="2E65AD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Correlation (NR) via WLR:</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0DBEA6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r=0.16 (0.00 to 0.60), p=NR</w:t>
            </w:r>
            <w:r w:rsidRPr="002D1DD7">
              <w:rPr>
                <w:rFonts w:eastAsia="Times New Roman" w:cs="Times New Roman"/>
                <w:color w:val="000000"/>
                <w:sz w:val="18"/>
                <w:szCs w:val="18"/>
                <w:lang w:eastAsia="zh-CN"/>
              </w:rPr>
              <w:br/>
              <w:t>b) r=0.53 (0.08 to 0.80), p=0.024</w:t>
            </w:r>
          </w:p>
        </w:tc>
        <w:tc>
          <w:tcPr>
            <w:tcW w:w="1659" w:type="dxa"/>
            <w:tcBorders>
              <w:left w:val="single" w:sz="12" w:space="0" w:color="auto"/>
            </w:tcBorders>
            <w:shd w:val="clear" w:color="auto" w:fill="auto"/>
            <w:tcMar>
              <w:left w:w="28" w:type="dxa"/>
              <w:right w:w="28" w:type="dxa"/>
            </w:tcMar>
            <w:hideMark/>
          </w:tcPr>
          <w:p w14:paraId="660564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77DAFB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26EFDF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5B68B3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NA</w:t>
            </w:r>
            <w:r w:rsidRPr="002D1DD7">
              <w:rPr>
                <w:rFonts w:eastAsia="Times New Roman" w:cs="Times New Roman"/>
                <w:color w:val="000000"/>
                <w:sz w:val="18"/>
                <w:szCs w:val="18"/>
                <w:lang w:eastAsia="zh-CN"/>
              </w:rPr>
              <w:br/>
              <w:t>b) 41%</w:t>
            </w:r>
          </w:p>
        </w:tc>
        <w:tc>
          <w:tcPr>
            <w:tcW w:w="798" w:type="dxa"/>
            <w:tcBorders>
              <w:left w:val="single" w:sz="12" w:space="0" w:color="auto"/>
            </w:tcBorders>
            <w:shd w:val="clear" w:color="auto" w:fill="auto"/>
            <w:tcMar>
              <w:left w:w="28" w:type="dxa"/>
              <w:right w:w="28" w:type="dxa"/>
            </w:tcMar>
            <w:hideMark/>
          </w:tcPr>
          <w:p w14:paraId="5ABFF5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1130FA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430B92D" w14:textId="77777777" w:rsidTr="003117A9">
        <w:trPr>
          <w:cantSplit/>
        </w:trPr>
        <w:tc>
          <w:tcPr>
            <w:tcW w:w="988" w:type="dxa"/>
            <w:tcBorders>
              <w:right w:val="single" w:sz="12" w:space="0" w:color="auto"/>
            </w:tcBorders>
            <w:shd w:val="clear" w:color="auto" w:fill="auto"/>
            <w:tcMar>
              <w:left w:w="28" w:type="dxa"/>
              <w:right w:w="28" w:type="dxa"/>
            </w:tcMar>
            <w:hideMark/>
          </w:tcPr>
          <w:p w14:paraId="12347199" w14:textId="3BF1E7A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2015</w:t>
            </w:r>
            <w:r w:rsidRPr="002D1DD7">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100</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00F6BDD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14DECB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423E9095"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753D80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536B30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left w:val="single" w:sz="12" w:space="0" w:color="auto"/>
            </w:tcBorders>
            <w:shd w:val="clear" w:color="auto" w:fill="auto"/>
            <w:tcMar>
              <w:left w:w="28" w:type="dxa"/>
              <w:right w:w="28" w:type="dxa"/>
            </w:tcMar>
            <w:hideMark/>
          </w:tcPr>
          <w:p w14:paraId="524330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09" w:type="dxa"/>
            <w:tcBorders>
              <w:right w:val="single" w:sz="12" w:space="0" w:color="auto"/>
            </w:tcBorders>
            <w:shd w:val="clear" w:color="auto" w:fill="auto"/>
            <w:tcMar>
              <w:left w:w="28" w:type="dxa"/>
              <w:right w:w="28" w:type="dxa"/>
            </w:tcMar>
            <w:hideMark/>
          </w:tcPr>
          <w:p w14:paraId="76A6A4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7633</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71F2BB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080D75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0761AA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48C9A7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R2=0.10, p=NR</w:t>
            </w:r>
          </w:p>
        </w:tc>
        <w:tc>
          <w:tcPr>
            <w:tcW w:w="1072" w:type="dxa"/>
            <w:tcBorders>
              <w:right w:val="single" w:sz="12" w:space="0" w:color="auto"/>
            </w:tcBorders>
            <w:shd w:val="clear" w:color="auto" w:fill="auto"/>
            <w:tcMar>
              <w:left w:w="28" w:type="dxa"/>
              <w:right w:w="28" w:type="dxa"/>
            </w:tcMar>
            <w:hideMark/>
          </w:tcPr>
          <w:p w14:paraId="7B30C9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19A71B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3AC7EB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22A2375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0A0B443" w14:textId="77777777" w:rsidTr="003117A9">
        <w:trPr>
          <w:cantSplit/>
        </w:trPr>
        <w:tc>
          <w:tcPr>
            <w:tcW w:w="988" w:type="dxa"/>
            <w:tcBorders>
              <w:right w:val="single" w:sz="12" w:space="0" w:color="auto"/>
            </w:tcBorders>
            <w:shd w:val="clear" w:color="auto" w:fill="auto"/>
            <w:tcMar>
              <w:left w:w="28" w:type="dxa"/>
              <w:right w:w="28" w:type="dxa"/>
            </w:tcMar>
            <w:hideMark/>
          </w:tcPr>
          <w:p w14:paraId="1C3CC745" w14:textId="583171C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2015</w:t>
            </w:r>
            <w:r w:rsidRPr="002D1DD7">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100</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62B5665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64236A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3DADFD85"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56E3AC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Molecularly selected</w:t>
            </w:r>
          </w:p>
        </w:tc>
        <w:tc>
          <w:tcPr>
            <w:tcW w:w="992" w:type="dxa"/>
            <w:tcBorders>
              <w:right w:val="single" w:sz="12" w:space="0" w:color="auto"/>
            </w:tcBorders>
            <w:shd w:val="clear" w:color="auto" w:fill="auto"/>
            <w:tcMar>
              <w:left w:w="28" w:type="dxa"/>
              <w:right w:w="28" w:type="dxa"/>
            </w:tcMar>
            <w:hideMark/>
          </w:tcPr>
          <w:p w14:paraId="776684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left w:val="single" w:sz="12" w:space="0" w:color="auto"/>
            </w:tcBorders>
            <w:shd w:val="clear" w:color="auto" w:fill="auto"/>
            <w:tcMar>
              <w:left w:w="28" w:type="dxa"/>
              <w:right w:w="28" w:type="dxa"/>
            </w:tcMar>
            <w:hideMark/>
          </w:tcPr>
          <w:p w14:paraId="3302C5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09" w:type="dxa"/>
            <w:tcBorders>
              <w:right w:val="single" w:sz="12" w:space="0" w:color="auto"/>
            </w:tcBorders>
            <w:shd w:val="clear" w:color="auto" w:fill="auto"/>
            <w:tcMar>
              <w:left w:w="28" w:type="dxa"/>
              <w:right w:w="28" w:type="dxa"/>
            </w:tcMar>
            <w:hideMark/>
          </w:tcPr>
          <w:p w14:paraId="0C6875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1E7325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426BBF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3A982C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7AEDE1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R2=0.04, p=NR</w:t>
            </w:r>
          </w:p>
        </w:tc>
        <w:tc>
          <w:tcPr>
            <w:tcW w:w="1072" w:type="dxa"/>
            <w:tcBorders>
              <w:right w:val="single" w:sz="12" w:space="0" w:color="auto"/>
            </w:tcBorders>
            <w:shd w:val="clear" w:color="auto" w:fill="auto"/>
            <w:tcMar>
              <w:left w:w="28" w:type="dxa"/>
              <w:right w:w="28" w:type="dxa"/>
            </w:tcMar>
            <w:hideMark/>
          </w:tcPr>
          <w:p w14:paraId="13027E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61B4F5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763F82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7D7D07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AE5429E" w14:textId="77777777" w:rsidTr="003117A9">
        <w:trPr>
          <w:cantSplit/>
        </w:trPr>
        <w:tc>
          <w:tcPr>
            <w:tcW w:w="988" w:type="dxa"/>
            <w:tcBorders>
              <w:right w:val="single" w:sz="12" w:space="0" w:color="auto"/>
            </w:tcBorders>
            <w:shd w:val="clear" w:color="auto" w:fill="auto"/>
            <w:tcMar>
              <w:left w:w="28" w:type="dxa"/>
              <w:right w:w="28" w:type="dxa"/>
            </w:tcMar>
            <w:hideMark/>
          </w:tcPr>
          <w:p w14:paraId="70304D1F" w14:textId="34E2574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2015</w:t>
            </w:r>
            <w:r w:rsidRPr="002D1DD7">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PEVuZE5vdGU+PENpdGU+PEF1dGhvcj5Ib3R0YTwvQXV0aG9yPjxZZWFyPjIwMTU8L1llYXI+PFJl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100</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080B95D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3F807B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3F1941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70144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Non-molecularly selected</w:t>
            </w:r>
          </w:p>
        </w:tc>
        <w:tc>
          <w:tcPr>
            <w:tcW w:w="992" w:type="dxa"/>
            <w:tcBorders>
              <w:right w:val="single" w:sz="12" w:space="0" w:color="auto"/>
            </w:tcBorders>
            <w:shd w:val="clear" w:color="auto" w:fill="auto"/>
            <w:tcMar>
              <w:left w:w="28" w:type="dxa"/>
              <w:right w:w="28" w:type="dxa"/>
            </w:tcMar>
            <w:hideMark/>
          </w:tcPr>
          <w:p w14:paraId="16B1CF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left w:val="single" w:sz="12" w:space="0" w:color="auto"/>
            </w:tcBorders>
            <w:shd w:val="clear" w:color="auto" w:fill="auto"/>
            <w:tcMar>
              <w:left w:w="28" w:type="dxa"/>
              <w:right w:w="28" w:type="dxa"/>
            </w:tcMar>
            <w:hideMark/>
          </w:tcPr>
          <w:p w14:paraId="3E6EFE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w:t>
            </w:r>
          </w:p>
        </w:tc>
        <w:tc>
          <w:tcPr>
            <w:tcW w:w="709" w:type="dxa"/>
            <w:tcBorders>
              <w:right w:val="single" w:sz="12" w:space="0" w:color="auto"/>
            </w:tcBorders>
            <w:shd w:val="clear" w:color="auto" w:fill="auto"/>
            <w:tcMar>
              <w:left w:w="28" w:type="dxa"/>
              <w:right w:w="28" w:type="dxa"/>
            </w:tcMar>
            <w:hideMark/>
          </w:tcPr>
          <w:p w14:paraId="4336E0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2B4038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59B19A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0D8182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3C6942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R2=0.43, p=NR</w:t>
            </w:r>
          </w:p>
        </w:tc>
        <w:tc>
          <w:tcPr>
            <w:tcW w:w="1072" w:type="dxa"/>
            <w:tcBorders>
              <w:right w:val="single" w:sz="12" w:space="0" w:color="auto"/>
            </w:tcBorders>
            <w:shd w:val="clear" w:color="auto" w:fill="auto"/>
            <w:tcMar>
              <w:left w:w="28" w:type="dxa"/>
              <w:right w:w="28" w:type="dxa"/>
            </w:tcMar>
            <w:hideMark/>
          </w:tcPr>
          <w:p w14:paraId="2D39D8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1F22C6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142E19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478F2E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7A91889" w14:textId="77777777" w:rsidTr="003117A9">
        <w:trPr>
          <w:cantSplit/>
        </w:trPr>
        <w:tc>
          <w:tcPr>
            <w:tcW w:w="988" w:type="dxa"/>
            <w:tcBorders>
              <w:right w:val="single" w:sz="12" w:space="0" w:color="auto"/>
            </w:tcBorders>
            <w:shd w:val="clear" w:color="auto" w:fill="auto"/>
            <w:tcMar>
              <w:left w:w="28" w:type="dxa"/>
              <w:right w:w="28" w:type="dxa"/>
            </w:tcMar>
            <w:hideMark/>
          </w:tcPr>
          <w:p w14:paraId="28398835" w14:textId="20E042D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422B26C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0C7C86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0448CA7"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00D499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771DB4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left w:val="single" w:sz="12" w:space="0" w:color="auto"/>
            </w:tcBorders>
            <w:shd w:val="clear" w:color="auto" w:fill="auto"/>
            <w:tcMar>
              <w:left w:w="28" w:type="dxa"/>
              <w:right w:w="28" w:type="dxa"/>
            </w:tcMar>
            <w:hideMark/>
          </w:tcPr>
          <w:p w14:paraId="49AD05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p>
        </w:tc>
        <w:tc>
          <w:tcPr>
            <w:tcW w:w="709" w:type="dxa"/>
            <w:tcBorders>
              <w:right w:val="single" w:sz="12" w:space="0" w:color="auto"/>
            </w:tcBorders>
            <w:shd w:val="clear" w:color="auto" w:fill="auto"/>
            <w:tcMar>
              <w:left w:w="28" w:type="dxa"/>
              <w:right w:w="28" w:type="dxa"/>
            </w:tcMar>
            <w:hideMark/>
          </w:tcPr>
          <w:p w14:paraId="0DBB77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3752</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6BEFAB1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 xml:space="preserve">(OR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right w:val="single" w:sz="12" w:space="0" w:color="auto"/>
            </w:tcBorders>
            <w:shd w:val="clear" w:color="auto" w:fill="auto"/>
            <w:tcMar>
              <w:left w:w="28" w:type="dxa"/>
              <w:right w:w="28" w:type="dxa"/>
            </w:tcMar>
            <w:hideMark/>
          </w:tcPr>
          <w:p w14:paraId="6482A2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 -0.75, p&lt;0.0001</w:t>
            </w:r>
            <w:r w:rsidRPr="002D1DD7">
              <w:rPr>
                <w:rFonts w:eastAsia="Times New Roman" w:cs="Times New Roman"/>
                <w:color w:val="000000"/>
                <w:sz w:val="18"/>
                <w:szCs w:val="18"/>
                <w:lang w:eastAsia="zh-CN"/>
              </w:rPr>
              <w:br/>
              <w:t>b) rs= -0.96, p&lt;0.0001</w:t>
            </w:r>
          </w:p>
        </w:tc>
        <w:tc>
          <w:tcPr>
            <w:tcW w:w="1659" w:type="dxa"/>
            <w:tcBorders>
              <w:left w:val="single" w:sz="12" w:space="0" w:color="auto"/>
            </w:tcBorders>
            <w:shd w:val="clear" w:color="auto" w:fill="auto"/>
            <w:tcMar>
              <w:left w:w="28" w:type="dxa"/>
              <w:right w:w="28" w:type="dxa"/>
            </w:tcMar>
            <w:hideMark/>
          </w:tcPr>
          <w:p w14:paraId="02ADC8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5FFA71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R2=0.57, p=0.051</w:t>
            </w:r>
          </w:p>
        </w:tc>
        <w:tc>
          <w:tcPr>
            <w:tcW w:w="1072" w:type="dxa"/>
            <w:tcBorders>
              <w:right w:val="single" w:sz="12" w:space="0" w:color="auto"/>
            </w:tcBorders>
            <w:shd w:val="clear" w:color="auto" w:fill="auto"/>
            <w:tcMar>
              <w:left w:w="28" w:type="dxa"/>
              <w:right w:w="28" w:type="dxa"/>
            </w:tcMar>
            <w:hideMark/>
          </w:tcPr>
          <w:p w14:paraId="25DC0F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0642BF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49A75E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34D342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22858AC2" w14:textId="77777777" w:rsidTr="003117A9">
        <w:trPr>
          <w:cantSplit/>
        </w:trPr>
        <w:tc>
          <w:tcPr>
            <w:tcW w:w="988" w:type="dxa"/>
            <w:tcBorders>
              <w:right w:val="single" w:sz="12" w:space="0" w:color="auto"/>
            </w:tcBorders>
            <w:shd w:val="clear" w:color="auto" w:fill="auto"/>
            <w:tcMar>
              <w:left w:w="28" w:type="dxa"/>
              <w:right w:w="28" w:type="dxa"/>
            </w:tcMar>
            <w:hideMark/>
          </w:tcPr>
          <w:p w14:paraId="1D1F02AF" w14:textId="411D381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Ito 2019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&lt;EndNote&gt;&lt;Cite&gt;&lt;Author&gt;Iezzi&lt;/Author&gt;&lt;Year&gt;2019&lt;/Year&gt;&lt;RecNum&gt;1286&lt;/RecNum&gt;&lt;DisplayText&gt;&lt;style face="superscript"&gt;105&lt;/style&gt;&lt;/DisplayText&gt;&lt;record&gt;&lt;rec-number&gt;1286&lt;/rec-number&gt;&lt;foreign-keys&gt;&lt;key app="EN" db-id="dwaevxvazfs2f3ewvzmxrd0k0wasw55p2z2w" timestamp="1557310756"&gt;1286&lt;/key&gt;&lt;/foreign-keys&gt;&lt;ref-type name="Journal Article"&gt;17&lt;/ref-type&gt;&lt;contributors&gt;&lt;authors&gt;&lt;author&gt;Iezzi, R.&lt;/author&gt;&lt;author&gt;Pompili, M.&lt;/author&gt;&lt;author&gt;Rinninella, E.&lt;/author&gt;&lt;author&gt;Annicchiarico, E.&lt;/author&gt;&lt;author&gt;Garcovich, M.&lt;/author&gt;&lt;author&gt;Cerrito, L.&lt;/author&gt;&lt;author&gt;Ponziani, F.&lt;/author&gt;&lt;author&gt;De Gaetano, A.&lt;/author&gt;&lt;author&gt;Siciliano, M.&lt;/author&gt;&lt;author&gt;Basso, M.&lt;/author&gt;&lt;author&gt;Zocco, M. A.&lt;/author&gt;&lt;author&gt;Rapaccini, G.&lt;/author&gt;&lt;author&gt;Posa, A.&lt;/author&gt;&lt;author&gt;Carchesio, F.&lt;/author&gt;&lt;author&gt;Biolato, M.&lt;/author&gt;&lt;author&gt;Giuliante, F.&lt;/author&gt;&lt;author&gt;Gasbarrini, A.&lt;/author&gt;&lt;author&gt;Manfredi, R.&lt;/author&gt;&lt;author&gt;HepatoCatt Study, Grp&lt;/author&gt;&lt;/authors&gt;&lt;/contributors&gt;&lt;titles&gt;&lt;title&gt;TACE with degradable starch microspheres (DSM-TACE) as second-line treatment in HCC patients dismissing or ineligible for sorafenib&lt;/title&gt;&lt;secondary-title&gt;European Radiology&lt;/secondary-title&gt;&lt;short-title&gt;TACE with degradable starch microspheres (DSM-TACE) as second-line treatment in HCC patients dismissing or ineligible for sorafenib&lt;/short-title&gt;&lt;/titles&gt;&lt;periodical&gt;&lt;full-title&gt;European Radiology&lt;/full-title&gt;&lt;abbr-1&gt;Eur Radiol&lt;/abbr-1&gt;&lt;/periodical&gt;&lt;pages&gt;1285-1292&lt;/pages&gt;&lt;volume&gt;29&lt;/volume&gt;&lt;number&gt;3&lt;/number&gt;&lt;keywords&gt;&lt;keyword&gt;$$exclude title KC&lt;/keyword&gt;&lt;keyword&gt;$$Citation search&lt;/keyword&gt;&lt;/keywords&gt;&lt;dates&gt;&lt;year&gt;2019&lt;/year&gt;&lt;pub-dates&gt;&lt;date&gt;Mar&lt;/date&gt;&lt;/pub-dates&gt;&lt;/dates&gt;&lt;isbn&gt;0938-7994&lt;/isbn&gt;&lt;accession-num&gt;WOS:000457396100024&lt;/accession-num&gt;&lt;urls&gt;&lt;/urls&gt;&lt;electronic-resource-num&gt;10.1007/s00330-018-5692-8&lt;/electronic-resource-num&gt;&lt;research-notes&gt;&amp;lt;Go to ISI&amp;gt;://WOS:000457396100024&lt;/research-notes&gt;&lt;/record&gt;&lt;/Cite&gt;&lt;/EndNote&gt;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105</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49B6AEE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006141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E26BD9A"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1F448C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Various</w:t>
            </w:r>
            <w:r w:rsidRPr="002D1DD7">
              <w:rPr>
                <w:rFonts w:eastAsia="Times New Roman" w:cs="Times New Roman"/>
                <w:color w:val="000000"/>
                <w:sz w:val="18"/>
                <w:szCs w:val="18"/>
                <w:lang w:eastAsia="zh-CN"/>
              </w:rPr>
              <w:br/>
              <w:t>- High PD-L1 expression</w:t>
            </w:r>
          </w:p>
        </w:tc>
        <w:tc>
          <w:tcPr>
            <w:tcW w:w="992" w:type="dxa"/>
            <w:tcBorders>
              <w:right w:val="single" w:sz="12" w:space="0" w:color="auto"/>
            </w:tcBorders>
            <w:shd w:val="clear" w:color="auto" w:fill="auto"/>
            <w:tcMar>
              <w:left w:w="28" w:type="dxa"/>
              <w:right w:w="28" w:type="dxa"/>
            </w:tcMar>
            <w:hideMark/>
          </w:tcPr>
          <w:p w14:paraId="23C14F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left w:val="single" w:sz="12" w:space="0" w:color="auto"/>
            </w:tcBorders>
            <w:shd w:val="clear" w:color="auto" w:fill="auto"/>
            <w:tcMar>
              <w:left w:w="28" w:type="dxa"/>
              <w:right w:w="28" w:type="dxa"/>
            </w:tcMar>
            <w:hideMark/>
          </w:tcPr>
          <w:p w14:paraId="4A1180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right w:val="single" w:sz="12" w:space="0" w:color="auto"/>
            </w:tcBorders>
            <w:shd w:val="clear" w:color="auto" w:fill="auto"/>
            <w:tcMar>
              <w:left w:w="28" w:type="dxa"/>
              <w:right w:w="28" w:type="dxa"/>
            </w:tcMar>
            <w:hideMark/>
          </w:tcPr>
          <w:p w14:paraId="1C7723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1381</w:t>
            </w:r>
          </w:p>
        </w:tc>
        <w:tc>
          <w:tcPr>
            <w:tcW w:w="1559" w:type="dxa"/>
            <w:tcBorders>
              <w:left w:val="single" w:sz="12" w:space="0" w:color="auto"/>
            </w:tcBorders>
            <w:shd w:val="clear" w:color="auto" w:fill="auto"/>
            <w:tcMar>
              <w:left w:w="28" w:type="dxa"/>
              <w:right w:w="28" w:type="dxa"/>
            </w:tcMar>
            <w:hideMark/>
          </w:tcPr>
          <w:p w14:paraId="21A2F8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 xml:space="preserve">(OR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right w:val="single" w:sz="12" w:space="0" w:color="auto"/>
            </w:tcBorders>
            <w:shd w:val="clear" w:color="auto" w:fill="auto"/>
            <w:tcMar>
              <w:left w:w="28" w:type="dxa"/>
              <w:right w:w="28" w:type="dxa"/>
            </w:tcMar>
            <w:hideMark/>
          </w:tcPr>
          <w:p w14:paraId="041D93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 -0.50, p&lt;0.0001</w:t>
            </w:r>
            <w:r w:rsidRPr="002D1DD7">
              <w:rPr>
                <w:rFonts w:eastAsia="Times New Roman" w:cs="Times New Roman"/>
                <w:color w:val="000000"/>
                <w:sz w:val="18"/>
                <w:szCs w:val="18"/>
                <w:lang w:eastAsia="zh-CN"/>
              </w:rPr>
              <w:br/>
              <w:t>b) rs= -0.21, p&lt;0.0001</w:t>
            </w:r>
          </w:p>
        </w:tc>
        <w:tc>
          <w:tcPr>
            <w:tcW w:w="1659" w:type="dxa"/>
            <w:tcBorders>
              <w:left w:val="single" w:sz="12" w:space="0" w:color="auto"/>
            </w:tcBorders>
            <w:shd w:val="clear" w:color="auto" w:fill="auto"/>
            <w:tcMar>
              <w:left w:w="28" w:type="dxa"/>
              <w:right w:w="28" w:type="dxa"/>
            </w:tcMar>
            <w:hideMark/>
          </w:tcPr>
          <w:p w14:paraId="7DA5A9F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5776C57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R2=0.25, p=0.253</w:t>
            </w:r>
          </w:p>
        </w:tc>
        <w:tc>
          <w:tcPr>
            <w:tcW w:w="1072" w:type="dxa"/>
            <w:tcBorders>
              <w:right w:val="single" w:sz="12" w:space="0" w:color="auto"/>
            </w:tcBorders>
            <w:shd w:val="clear" w:color="auto" w:fill="auto"/>
            <w:tcMar>
              <w:left w:w="28" w:type="dxa"/>
              <w:right w:w="28" w:type="dxa"/>
            </w:tcMar>
            <w:hideMark/>
          </w:tcPr>
          <w:p w14:paraId="02826A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604CFA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0428BE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2A1FD6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Fair</w:t>
            </w:r>
          </w:p>
        </w:tc>
      </w:tr>
      <w:tr w:rsidR="002E26FD" w:rsidRPr="002D1DD7" w14:paraId="717FC388" w14:textId="77777777" w:rsidTr="003117A9">
        <w:trPr>
          <w:cantSplit/>
        </w:trPr>
        <w:tc>
          <w:tcPr>
            <w:tcW w:w="988" w:type="dxa"/>
            <w:tcBorders>
              <w:right w:val="single" w:sz="12" w:space="0" w:color="auto"/>
            </w:tcBorders>
            <w:shd w:val="clear" w:color="auto" w:fill="auto"/>
            <w:tcMar>
              <w:left w:w="28" w:type="dxa"/>
              <w:right w:w="28" w:type="dxa"/>
            </w:tcMar>
            <w:hideMark/>
          </w:tcPr>
          <w:p w14:paraId="7828F895" w14:textId="615274A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Johnson 2006</w:t>
            </w:r>
            <w:r w:rsidRPr="002D1DD7">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PEVuZE5vdGU+PENpdGU+PEF1dGhvcj5Kb2huc29uPC9BdXRob3I+PFllYXI+MjAwNjwvWWVhcj48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=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106</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56D5709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54DA3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1E79F0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7079C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hideMark/>
          </w:tcPr>
          <w:p w14:paraId="0A17E7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520A91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191</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7A7775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44125</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53DDCB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EE7C8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1D0119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WLSR R2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shd w:val="clear" w:color="auto" w:fill="auto"/>
            <w:tcMar>
              <w:left w:w="28" w:type="dxa"/>
              <w:right w:w="28" w:type="dxa"/>
            </w:tcMar>
            <w:hideMark/>
          </w:tcPr>
          <w:p w14:paraId="4E2EA3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R2=0.16, p&lt;0.0001</w:t>
            </w:r>
          </w:p>
        </w:tc>
        <w:tc>
          <w:tcPr>
            <w:tcW w:w="1072" w:type="dxa"/>
            <w:tcBorders>
              <w:right w:val="single" w:sz="12" w:space="0" w:color="auto"/>
            </w:tcBorders>
            <w:shd w:val="clear" w:color="auto" w:fill="auto"/>
            <w:tcMar>
              <w:left w:w="28" w:type="dxa"/>
              <w:right w:w="28" w:type="dxa"/>
            </w:tcMar>
            <w:hideMark/>
          </w:tcPr>
          <w:p w14:paraId="6E5425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Diff med OS = -0.048 + 0.090 *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left w:val="single" w:sz="12" w:space="0" w:color="auto"/>
              <w:right w:val="single" w:sz="12" w:space="0" w:color="auto"/>
            </w:tcBorders>
            <w:shd w:val="clear" w:color="auto" w:fill="auto"/>
            <w:tcMar>
              <w:left w:w="28" w:type="dxa"/>
              <w:right w:w="28" w:type="dxa"/>
            </w:tcMar>
            <w:hideMark/>
          </w:tcPr>
          <w:p w14:paraId="2D3FB2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7FB40F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39CFBC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C98A37A" w14:textId="77777777" w:rsidTr="003117A9">
        <w:trPr>
          <w:cantSplit/>
        </w:trPr>
        <w:tc>
          <w:tcPr>
            <w:tcW w:w="988" w:type="dxa"/>
            <w:tcBorders>
              <w:right w:val="single" w:sz="12" w:space="0" w:color="auto"/>
            </w:tcBorders>
            <w:shd w:val="clear" w:color="auto" w:fill="auto"/>
            <w:tcMar>
              <w:left w:w="28" w:type="dxa"/>
              <w:right w:w="28" w:type="dxa"/>
            </w:tcMar>
            <w:hideMark/>
          </w:tcPr>
          <w:p w14:paraId="4D7D1F5B" w14:textId="600F2E4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Nakashima 2016</w:t>
            </w:r>
            <w:r w:rsidRPr="002D1DD7">
              <w:rPr>
                <w:rFonts w:eastAsia="Times New Roman" w:cs="Times New Roman"/>
                <w:color w:val="000000"/>
                <w:sz w:val="18"/>
                <w:szCs w:val="18"/>
                <w:lang w:eastAsia="zh-CN"/>
              </w:rPr>
              <w:fldChar w:fldCharType="begin">
                <w:fldData xml:space="preserve">PEVuZE5vdGU+PENpdGU+PEF1dGhvcj5OYWthc2hpbWE8L0F1dGhvcj48WWVhcj4yMDE2PC9ZZWFy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dGV4dCZhbXA7RD1tZWQxMiZhbXA7QU49MjcxNzg5ODM8L3N0eWxlPjxzdHlsZSBmYWNlPSJub3Jt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Y2VzX3BhZ2U/c2lkPU9WSUQ6bWVkbGluZSZhbXA7aWQ9cG1pZDoyNzE3ODk4MyZhbXA7aWQ9ZG9p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=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PEVuZE5vdGU+PENpdGU+PEF1dGhvcj5OYWthc2hpbWE8L0F1dGhvcj48WWVhcj4yMDE2PC9ZZWFy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=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118</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5428D61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3DA985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B8476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13B3671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hideMark/>
          </w:tcPr>
          <w:p w14:paraId="648788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3E93E1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44</w:t>
            </w:r>
          </w:p>
        </w:tc>
        <w:tc>
          <w:tcPr>
            <w:tcW w:w="709" w:type="dxa"/>
            <w:tcBorders>
              <w:right w:val="single" w:sz="12" w:space="0" w:color="auto"/>
            </w:tcBorders>
            <w:shd w:val="clear" w:color="auto" w:fill="auto"/>
            <w:tcMar>
              <w:left w:w="28" w:type="dxa"/>
              <w:right w:w="28" w:type="dxa"/>
            </w:tcMar>
            <w:hideMark/>
          </w:tcPr>
          <w:p w14:paraId="4A34D3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22709</w:t>
            </w:r>
          </w:p>
        </w:tc>
        <w:tc>
          <w:tcPr>
            <w:tcW w:w="1559" w:type="dxa"/>
            <w:tcBorders>
              <w:left w:val="single" w:sz="12" w:space="0" w:color="auto"/>
            </w:tcBorders>
            <w:shd w:val="clear" w:color="auto" w:fill="auto"/>
            <w:tcMar>
              <w:left w:w="28" w:type="dxa"/>
              <w:right w:w="28" w:type="dxa"/>
            </w:tcMar>
            <w:hideMark/>
          </w:tcPr>
          <w:p w14:paraId="679FD6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wtd (lnOR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right w:val="single" w:sz="12" w:space="0" w:color="auto"/>
            </w:tcBorders>
            <w:shd w:val="clear" w:color="auto" w:fill="auto"/>
            <w:tcMar>
              <w:left w:w="28" w:type="dxa"/>
              <w:right w:w="28" w:type="dxa"/>
            </w:tcMar>
            <w:hideMark/>
          </w:tcPr>
          <w:p w14:paraId="79F5383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rs=0.57, p=NR</w:t>
            </w:r>
          </w:p>
        </w:tc>
        <w:tc>
          <w:tcPr>
            <w:tcW w:w="1659" w:type="dxa"/>
            <w:tcBorders>
              <w:left w:val="single" w:sz="12" w:space="0" w:color="auto"/>
            </w:tcBorders>
            <w:shd w:val="clear" w:color="auto" w:fill="auto"/>
            <w:tcMar>
              <w:left w:w="28" w:type="dxa"/>
              <w:right w:w="28" w:type="dxa"/>
            </w:tcMar>
            <w:hideMark/>
          </w:tcPr>
          <w:p w14:paraId="4F7B04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WLSR adj R2 (lnOR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lnHR OS)</w:t>
            </w:r>
          </w:p>
        </w:tc>
        <w:tc>
          <w:tcPr>
            <w:tcW w:w="1559" w:type="dxa"/>
            <w:shd w:val="clear" w:color="auto" w:fill="auto"/>
            <w:tcMar>
              <w:left w:w="28" w:type="dxa"/>
              <w:right w:w="28" w:type="dxa"/>
            </w:tcMar>
            <w:hideMark/>
          </w:tcPr>
          <w:p w14:paraId="3D703C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R2=0.35, p=NR</w:t>
            </w:r>
          </w:p>
        </w:tc>
        <w:tc>
          <w:tcPr>
            <w:tcW w:w="1072" w:type="dxa"/>
            <w:tcBorders>
              <w:right w:val="single" w:sz="12" w:space="0" w:color="auto"/>
            </w:tcBorders>
            <w:shd w:val="clear" w:color="auto" w:fill="auto"/>
            <w:tcMar>
              <w:left w:w="28" w:type="dxa"/>
              <w:right w:w="28" w:type="dxa"/>
            </w:tcMar>
            <w:hideMark/>
          </w:tcPr>
          <w:p w14:paraId="15C007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lnHR OS = -0.023 -0.133 x lnOR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left w:val="single" w:sz="12" w:space="0" w:color="auto"/>
              <w:right w:val="single" w:sz="12" w:space="0" w:color="auto"/>
            </w:tcBorders>
            <w:shd w:val="clear" w:color="auto" w:fill="auto"/>
            <w:tcMar>
              <w:left w:w="28" w:type="dxa"/>
              <w:right w:w="28" w:type="dxa"/>
            </w:tcMar>
            <w:hideMark/>
          </w:tcPr>
          <w:p w14:paraId="02E2D1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528759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2D8AB0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6D00B42" w14:textId="77777777" w:rsidTr="003117A9">
        <w:trPr>
          <w:cantSplit/>
        </w:trPr>
        <w:tc>
          <w:tcPr>
            <w:tcW w:w="988" w:type="dxa"/>
            <w:tcBorders>
              <w:right w:val="single" w:sz="12" w:space="0" w:color="auto"/>
            </w:tcBorders>
            <w:shd w:val="clear" w:color="auto" w:fill="auto"/>
            <w:tcMar>
              <w:left w:w="28" w:type="dxa"/>
              <w:right w:w="28" w:type="dxa"/>
            </w:tcMar>
            <w:hideMark/>
          </w:tcPr>
          <w:p w14:paraId="46C44E72" w14:textId="16A4183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74023E0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1513AC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ED534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444E0A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right w:val="single" w:sz="12" w:space="0" w:color="auto"/>
            </w:tcBorders>
            <w:shd w:val="clear" w:color="auto" w:fill="auto"/>
            <w:tcMar>
              <w:left w:w="28" w:type="dxa"/>
              <w:right w:w="28" w:type="dxa"/>
            </w:tcMar>
            <w:hideMark/>
          </w:tcPr>
          <w:p w14:paraId="00E810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67" w:type="dxa"/>
            <w:tcBorders>
              <w:left w:val="single" w:sz="12" w:space="0" w:color="auto"/>
            </w:tcBorders>
            <w:shd w:val="clear" w:color="auto" w:fill="auto"/>
            <w:tcMar>
              <w:left w:w="28" w:type="dxa"/>
              <w:right w:w="28" w:type="dxa"/>
            </w:tcMar>
            <w:hideMark/>
          </w:tcPr>
          <w:p w14:paraId="61BF57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09" w:type="dxa"/>
            <w:tcBorders>
              <w:right w:val="single" w:sz="12" w:space="0" w:color="auto"/>
            </w:tcBorders>
            <w:shd w:val="clear" w:color="auto" w:fill="auto"/>
            <w:tcMar>
              <w:left w:w="28" w:type="dxa"/>
              <w:right w:w="28" w:type="dxa"/>
            </w:tcMar>
            <w:hideMark/>
          </w:tcPr>
          <w:p w14:paraId="048F3B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05EAA3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Correlation (NR), wtd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right w:val="single" w:sz="12" w:space="0" w:color="auto"/>
            </w:tcBorders>
            <w:shd w:val="clear" w:color="auto" w:fill="auto"/>
            <w:tcMar>
              <w:left w:w="28" w:type="dxa"/>
              <w:right w:w="28" w:type="dxa"/>
            </w:tcMar>
            <w:hideMark/>
          </w:tcPr>
          <w:p w14:paraId="158B4A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r=0.68 (0.08 to 1.10), p=NR</w:t>
            </w:r>
          </w:p>
        </w:tc>
        <w:tc>
          <w:tcPr>
            <w:tcW w:w="1659" w:type="dxa"/>
            <w:tcBorders>
              <w:left w:val="single" w:sz="12" w:space="0" w:color="auto"/>
            </w:tcBorders>
            <w:shd w:val="clear" w:color="auto" w:fill="auto"/>
            <w:tcMar>
              <w:left w:w="28" w:type="dxa"/>
              <w:right w:w="28" w:type="dxa"/>
            </w:tcMar>
            <w:hideMark/>
          </w:tcPr>
          <w:p w14:paraId="1BABB2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24FABF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42926A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061401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488BBA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3380FF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Good</w:t>
            </w:r>
          </w:p>
        </w:tc>
      </w:tr>
      <w:tr w:rsidR="002E26FD" w:rsidRPr="002D1DD7" w14:paraId="172EE5DA" w14:textId="77777777" w:rsidTr="003117A9">
        <w:trPr>
          <w:cantSplit/>
        </w:trPr>
        <w:tc>
          <w:tcPr>
            <w:tcW w:w="988" w:type="dxa"/>
            <w:tcBorders>
              <w:right w:val="single" w:sz="12" w:space="0" w:color="auto"/>
            </w:tcBorders>
            <w:shd w:val="clear" w:color="auto" w:fill="auto"/>
            <w:tcMar>
              <w:left w:w="28" w:type="dxa"/>
              <w:right w:w="28" w:type="dxa"/>
            </w:tcMar>
            <w:hideMark/>
          </w:tcPr>
          <w:p w14:paraId="264CE9B3" w14:textId="20EDAE3D"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6FAE424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0B319E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098FB1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tcBorders>
            <w:shd w:val="clear" w:color="auto" w:fill="auto"/>
            <w:tcMar>
              <w:left w:w="28" w:type="dxa"/>
              <w:right w:w="28" w:type="dxa"/>
            </w:tcMar>
            <w:hideMark/>
          </w:tcPr>
          <w:p w14:paraId="6888DA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65334D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567" w:type="dxa"/>
            <w:tcBorders>
              <w:left w:val="single" w:sz="12" w:space="0" w:color="auto"/>
            </w:tcBorders>
            <w:shd w:val="clear" w:color="auto" w:fill="auto"/>
            <w:tcMar>
              <w:left w:w="28" w:type="dxa"/>
              <w:right w:w="28" w:type="dxa"/>
            </w:tcMar>
            <w:hideMark/>
          </w:tcPr>
          <w:p w14:paraId="7C430B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p>
        </w:tc>
        <w:tc>
          <w:tcPr>
            <w:tcW w:w="709" w:type="dxa"/>
            <w:tcBorders>
              <w:right w:val="single" w:sz="12" w:space="0" w:color="auto"/>
            </w:tcBorders>
            <w:shd w:val="clear" w:color="auto" w:fill="auto"/>
            <w:tcMar>
              <w:left w:w="28" w:type="dxa"/>
              <w:right w:w="28" w:type="dxa"/>
            </w:tcMar>
            <w:hideMark/>
          </w:tcPr>
          <w:p w14:paraId="3318F5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3369*</w:t>
            </w:r>
          </w:p>
        </w:tc>
        <w:tc>
          <w:tcPr>
            <w:tcW w:w="1559" w:type="dxa"/>
            <w:tcBorders>
              <w:left w:val="single" w:sz="12" w:space="0" w:color="auto"/>
            </w:tcBorders>
            <w:shd w:val="clear" w:color="auto" w:fill="auto"/>
            <w:tcMar>
              <w:left w:w="28" w:type="dxa"/>
              <w:right w:w="28" w:type="dxa"/>
            </w:tcMar>
            <w:hideMark/>
          </w:tcPr>
          <w:p w14:paraId="5F906C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429F3B4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71B1BE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4AF663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R2=0.0007 (0.09 to 0.91), p=0.94</w:t>
            </w:r>
          </w:p>
        </w:tc>
        <w:tc>
          <w:tcPr>
            <w:tcW w:w="1072" w:type="dxa"/>
            <w:tcBorders>
              <w:right w:val="single" w:sz="12" w:space="0" w:color="auto"/>
            </w:tcBorders>
            <w:shd w:val="clear" w:color="auto" w:fill="auto"/>
            <w:tcMar>
              <w:left w:w="28" w:type="dxa"/>
              <w:right w:w="28" w:type="dxa"/>
            </w:tcMar>
            <w:hideMark/>
          </w:tcPr>
          <w:p w14:paraId="6950A0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55344F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52CA7D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3D4B92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70FBB2C"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7D348999" w14:textId="3B29C64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638FB5A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1B37D5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4813E9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(NSCLC)</w:t>
            </w:r>
          </w:p>
        </w:tc>
        <w:tc>
          <w:tcPr>
            <w:tcW w:w="1134" w:type="dxa"/>
            <w:tcBorders>
              <w:left w:val="single" w:sz="12" w:space="0" w:color="auto"/>
              <w:bottom w:val="single" w:sz="12" w:space="0" w:color="auto"/>
            </w:tcBorders>
            <w:shd w:val="clear" w:color="auto" w:fill="auto"/>
            <w:tcMar>
              <w:left w:w="28" w:type="dxa"/>
              <w:right w:w="28" w:type="dxa"/>
            </w:tcMar>
            <w:hideMark/>
          </w:tcPr>
          <w:p w14:paraId="3EEE13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bottom w:val="single" w:sz="12" w:space="0" w:color="auto"/>
              <w:right w:val="single" w:sz="12" w:space="0" w:color="auto"/>
            </w:tcBorders>
            <w:shd w:val="clear" w:color="auto" w:fill="auto"/>
            <w:tcMar>
              <w:left w:w="28" w:type="dxa"/>
              <w:right w:w="28" w:type="dxa"/>
            </w:tcMar>
            <w:hideMark/>
          </w:tcPr>
          <w:p w14:paraId="4E606C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left w:val="single" w:sz="12" w:space="0" w:color="auto"/>
              <w:bottom w:val="single" w:sz="12" w:space="0" w:color="auto"/>
            </w:tcBorders>
            <w:shd w:val="clear" w:color="auto" w:fill="auto"/>
            <w:tcMar>
              <w:left w:w="28" w:type="dxa"/>
              <w:right w:w="28" w:type="dxa"/>
            </w:tcMar>
            <w:hideMark/>
          </w:tcPr>
          <w:p w14:paraId="641CDA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09" w:type="dxa"/>
            <w:tcBorders>
              <w:bottom w:val="single" w:sz="12" w:space="0" w:color="auto"/>
              <w:right w:val="single" w:sz="12" w:space="0" w:color="auto"/>
            </w:tcBorders>
            <w:shd w:val="clear" w:color="auto" w:fill="auto"/>
            <w:tcMar>
              <w:left w:w="28" w:type="dxa"/>
              <w:right w:w="28" w:type="dxa"/>
            </w:tcMar>
            <w:hideMark/>
          </w:tcPr>
          <w:p w14:paraId="420696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bottom w:val="single" w:sz="12" w:space="0" w:color="auto"/>
            </w:tcBorders>
            <w:shd w:val="clear" w:color="auto" w:fill="auto"/>
            <w:tcMar>
              <w:left w:w="28" w:type="dxa"/>
              <w:right w:w="28" w:type="dxa"/>
            </w:tcMar>
            <w:hideMark/>
          </w:tcPr>
          <w:p w14:paraId="11CE4A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bottom w:val="single" w:sz="12" w:space="0" w:color="auto"/>
              <w:right w:val="single" w:sz="12" w:space="0" w:color="auto"/>
            </w:tcBorders>
            <w:shd w:val="clear" w:color="auto" w:fill="auto"/>
            <w:tcMar>
              <w:left w:w="28" w:type="dxa"/>
              <w:right w:w="28" w:type="dxa"/>
            </w:tcMar>
            <w:hideMark/>
          </w:tcPr>
          <w:p w14:paraId="31FE96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bottom w:val="single" w:sz="12" w:space="0" w:color="auto"/>
            </w:tcBorders>
            <w:shd w:val="clear" w:color="auto" w:fill="auto"/>
            <w:tcMar>
              <w:left w:w="28" w:type="dxa"/>
              <w:right w:w="28" w:type="dxa"/>
            </w:tcMar>
            <w:hideMark/>
          </w:tcPr>
          <w:p w14:paraId="0ED038B0" w14:textId="77777777" w:rsidR="002E26FD" w:rsidRPr="00103770" w:rsidRDefault="002E26FD" w:rsidP="003117A9">
            <w:pPr>
              <w:spacing w:before="0" w:after="0" w:line="240" w:lineRule="auto"/>
              <w:rPr>
                <w:rFonts w:eastAsia="Times New Roman" w:cs="Times New Roman"/>
                <w:color w:val="000000"/>
                <w:sz w:val="18"/>
                <w:szCs w:val="18"/>
                <w:lang w:eastAsia="zh-CN"/>
              </w:rPr>
            </w:pPr>
            <w:r w:rsidRPr="00103770">
              <w:rPr>
                <w:rFonts w:eastAsia="Times New Roman" w:cs="Times New Roman"/>
                <w:color w:val="000000"/>
                <w:sz w:val="18"/>
                <w:szCs w:val="18"/>
                <w:lang w:eastAsia="zh-CN"/>
              </w:rPr>
              <w:t>LR (unwtd) R2 (diff ORR vs. HR OS)</w:t>
            </w:r>
          </w:p>
        </w:tc>
        <w:tc>
          <w:tcPr>
            <w:tcW w:w="1559" w:type="dxa"/>
            <w:tcBorders>
              <w:bottom w:val="single" w:sz="12" w:space="0" w:color="auto"/>
            </w:tcBorders>
            <w:shd w:val="clear" w:color="auto" w:fill="auto"/>
            <w:tcMar>
              <w:left w:w="28" w:type="dxa"/>
              <w:right w:w="28" w:type="dxa"/>
            </w:tcMar>
            <w:hideMark/>
          </w:tcPr>
          <w:p w14:paraId="651B6C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R2=0.84, p=0.030</w:t>
            </w:r>
          </w:p>
        </w:tc>
        <w:tc>
          <w:tcPr>
            <w:tcW w:w="1072" w:type="dxa"/>
            <w:tcBorders>
              <w:bottom w:val="single" w:sz="12" w:space="0" w:color="auto"/>
              <w:right w:val="single" w:sz="12" w:space="0" w:color="auto"/>
            </w:tcBorders>
            <w:shd w:val="clear" w:color="auto" w:fill="auto"/>
            <w:tcMar>
              <w:left w:w="28" w:type="dxa"/>
              <w:right w:w="28" w:type="dxa"/>
            </w:tcMar>
            <w:hideMark/>
          </w:tcPr>
          <w:p w14:paraId="6830F0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-0.011</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3885D4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0141B8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bottom w:val="single" w:sz="12" w:space="0" w:color="auto"/>
            </w:tcBorders>
            <w:shd w:val="clear" w:color="auto" w:fill="auto"/>
            <w:tcMar>
              <w:left w:w="28" w:type="dxa"/>
              <w:right w:w="28" w:type="dxa"/>
            </w:tcMar>
            <w:hideMark/>
          </w:tcPr>
          <w:p w14:paraId="516050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7DE324A"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318C744E" w14:textId="333CA01E"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Foster 2011</w:t>
            </w:r>
            <w:r w:rsidRPr="002D1DD7">
              <w:rPr>
                <w:rFonts w:eastAsia="Times New Roman" w:cs="Times New Roman"/>
                <w:sz w:val="18"/>
                <w:szCs w:val="18"/>
                <w:lang w:eastAsia="zh-CN"/>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eastAsia="Times New Roman" w:cs="Times New Roman"/>
                <w:sz w:val="18"/>
                <w:szCs w:val="18"/>
                <w:lang w:eastAsia="zh-CN"/>
              </w:rPr>
              <w:instrText xml:space="preserve"> ADDIN EN.CITE </w:instrText>
            </w:r>
            <w:r w:rsidR="00054FE8">
              <w:rPr>
                <w:rFonts w:eastAsia="Times New Roman" w:cs="Times New Roman"/>
                <w:sz w:val="18"/>
                <w:szCs w:val="18"/>
                <w:lang w:eastAsia="zh-CN"/>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eastAsia="Times New Roman" w:cs="Times New Roman"/>
                <w:sz w:val="18"/>
                <w:szCs w:val="18"/>
                <w:lang w:eastAsia="zh-CN"/>
              </w:rPr>
              <w:instrText xml:space="preserve"> ADDIN EN.CITE.DATA </w:instrText>
            </w:r>
            <w:r w:rsidR="00054FE8">
              <w:rPr>
                <w:rFonts w:eastAsia="Times New Roman" w:cs="Times New Roman"/>
                <w:sz w:val="18"/>
                <w:szCs w:val="18"/>
                <w:lang w:eastAsia="zh-CN"/>
              </w:rPr>
            </w:r>
            <w:r w:rsidR="00054FE8">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94</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7456AEC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3C7BC4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7340D6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19710B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20E02B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52EAB8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 (32 centres)</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11A41E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596</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602EE7B3" w14:textId="77777777" w:rsidR="002E26FD" w:rsidRPr="00D6492A" w:rsidRDefault="002E26FD" w:rsidP="003117A9">
            <w:pPr>
              <w:spacing w:before="0" w:after="0" w:line="240" w:lineRule="auto"/>
              <w:rPr>
                <w:rFonts w:eastAsia="Times New Roman" w:cs="Times New Roman"/>
                <w:color w:val="000000"/>
                <w:sz w:val="18"/>
                <w:szCs w:val="18"/>
                <w:lang w:val="it-IT" w:eastAsia="zh-CN"/>
              </w:rPr>
            </w:pPr>
            <w:r w:rsidRPr="00D6492A">
              <w:rPr>
                <w:rFonts w:eastAsia="Times New Roman" w:cs="Times New Roman"/>
                <w:color w:val="000000"/>
                <w:sz w:val="18"/>
                <w:szCs w:val="18"/>
                <w:lang w:val="it-IT" w:eastAsia="zh-CN"/>
              </w:rPr>
              <w:t xml:space="preserve">Spearman (logOR </w:t>
            </w:r>
            <w:r>
              <w:rPr>
                <w:rFonts w:eastAsia="Times New Roman" w:cs="Times New Roman"/>
                <w:color w:val="000000"/>
                <w:sz w:val="18"/>
                <w:szCs w:val="18"/>
                <w:lang w:val="it-IT" w:eastAsia="zh-CN"/>
              </w:rPr>
              <w:t>O</w:t>
            </w:r>
            <w:r w:rsidRPr="00D6492A">
              <w:rPr>
                <w:rFonts w:eastAsia="Times New Roman" w:cs="Times New Roman"/>
                <w:color w:val="000000"/>
                <w:sz w:val="18"/>
                <w:szCs w:val="18"/>
                <w:lang w:val="it-IT" w:eastAsia="zh-CN"/>
              </w:rPr>
              <w:t>RR vs. logHR OS)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027BA4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rs=0.52, p=NR</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5C555C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WLSR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12" w:space="0" w:color="auto"/>
              <w:bottom w:val="single" w:sz="4" w:space="0" w:color="auto"/>
            </w:tcBorders>
            <w:shd w:val="clear" w:color="auto" w:fill="auto"/>
            <w:tcMar>
              <w:left w:w="28" w:type="dxa"/>
              <w:right w:w="28" w:type="dxa"/>
            </w:tcMar>
            <w:hideMark/>
          </w:tcPr>
          <w:p w14:paraId="51BB86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R2=0.21, p=NR</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221A1B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5E920D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24266E9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hideMark/>
          </w:tcPr>
          <w:p w14:paraId="716E84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741AFFC"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623C0A3C" w14:textId="107A529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3461995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1F441D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3205C9C"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B8D79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5D7D0E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21AFD2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48</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124DA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8779</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2DDF2F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662480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21623E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50FA63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R2=0.33,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30BBBE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Diff med OS = 0.00 + 0.06 *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D8104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49A096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30C597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8A403B4"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1E092899" w14:textId="37F1C54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6067251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70069C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8C0F072"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2CD526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Clear criteria</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82546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190A21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43 comp</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34C172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7C535F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258BAB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7A41F3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4F38B1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R2=0.19,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4CFAAD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7E40B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12924E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11DD7A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34149B9"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472F12EA" w14:textId="30C6957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73F5850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2CFD5E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F21D8CA"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208677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WHO criteria</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619E8E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1AC792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23 comp</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53C91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2FA827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60FCBD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5B05DA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0AABEB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R2=0.13,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007817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A2E3C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7AC82E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6CA9A5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DAE3B62"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3AB611E7" w14:textId="6854A0B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75D9A0A2"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38F45F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1F76349"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AA8A8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Non-WHO criteria</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134603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0007E4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 comp</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49E74E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49AAAB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338081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63EEDE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5DE012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R2=0.28,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784482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77484F8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2C2053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6F3209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665273C"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50291703" w14:textId="069E370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5364A40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56F5AD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A1B9A6E"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000028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Published 1990-1996</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21266A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59DC9D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26 comp</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7F87D4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18E62E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51849F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67E7C0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4" w:space="0" w:color="auto"/>
            </w:tcBorders>
            <w:shd w:val="clear" w:color="auto" w:fill="auto"/>
            <w:tcMar>
              <w:left w:w="28" w:type="dxa"/>
              <w:right w:w="28" w:type="dxa"/>
            </w:tcMar>
            <w:hideMark/>
          </w:tcPr>
          <w:p w14:paraId="40CFCD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R2=0.23,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7EF975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Diff med OS = 0.00 + 0.04 *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30BBE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34A755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128012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5ABA334"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019F12E6" w14:textId="6B0B260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Hotta 2009</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&lt;EndNote&gt;&lt;Cite&gt;&lt;Author&gt;Hotta&lt;/Author&gt;&lt;Year&gt;2009&lt;/Year&gt;&lt;RecNum&gt;1225&lt;/RecNum&gt;&lt;IDText&gt;$$include full text KC&amp;#xD;$$From Haslam (ref 85)&lt;/IDText&gt;&lt;DisplayText&gt;&lt;style face="superscript"&gt;101&lt;/style&gt;&lt;/DisplayText&gt;&lt;record&gt;&lt;rec-number&gt;1225&lt;/rec-number&gt;&lt;foreign-keys&gt;&lt;key app="EN" db-id="dwaevxvazfs2f3ewvzmxrd0k0wasw55p2z2w" timestamp="1557310745"&gt;1225&lt;/key&gt;&lt;/foreign-keys&gt;&lt;ref-type name="Journal Article"&gt;17&lt;/ref-type&gt;&lt;contributors&gt;&lt;authors&gt;&lt;author&gt;Hotta, K.&lt;/author&gt;&lt;author&gt;Kiura, K.&lt;/author&gt;&lt;author&gt;Fujiwara, Y.&lt;/author&gt;&lt;author&gt;Takigawa, N.&lt;/author&gt;&lt;author&gt;Oze, I.&lt;/author&gt;&lt;author&gt;Ochi, N.&lt;/author&gt;&lt;author&gt;Tabata, M.&lt;/author&gt;&lt;author&gt;Tanimoto, M.&lt;/author&gt;&lt;/authors&gt;&lt;/contributors&gt;&lt;titles&gt;&lt;title&gt;Association between incremental gains in the objective response rate and survival improvement in phase III trials of first-line chemotherapy for extensive disease small-cell lung cancer&lt;/title&gt;&lt;secondary-title&gt;Annals of Oncology&lt;/secondary-title&gt;&lt;/titles&gt;&lt;periodical&gt;&lt;full-title&gt;Annals of Oncology&lt;/full-title&gt;&lt;abbr-1&gt;Ann Oncol&lt;/abbr-1&gt;&lt;/periodical&gt;&lt;pages&gt;829-834&lt;/pages&gt;&lt;volume&gt;20&lt;/volume&gt;&lt;number&gt;5&lt;/number&gt;&lt;keywords&gt;&lt;keyword&gt;$$include abstract KC&lt;/keyword&gt;&lt;keyword&gt;$$Broad search&lt;/keyword&gt;&lt;/keywords&gt;&lt;dates&gt;&lt;year&gt;2009&lt;/year&gt;&lt;/dates&gt;&lt;label&gt;$$include full text KC&amp;#xD;$$From Haslam (ref 85)&lt;/label&gt;&lt;urls&gt;&lt;/urls&gt;&lt;remote-database-name&gt;Embase&lt;/remote-database-name&gt;&lt;remote-database-provider&gt;Ovid Technologies&lt;/remote-database-provider&gt;&lt;research-notes&gt;http://ovidsp.ovid.com/ovidweb.cgi?T=JS&amp;amp;CSC=Y&amp;amp;NEWS=N&amp;amp;PAGE=fulltext&amp;amp;D=emed11&amp;amp;AN=354564562&lt;/research-notes&gt;&lt;/record&gt;&lt;/Cite&gt;&lt;/EndNote&gt;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101</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4EA4BCD3"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20ECB8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3460A840"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Lung (SCLC)</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7B2366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Published 1997-2008</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180F19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16608A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26 comp</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10B5FD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30CCBB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394B91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2308E4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tcBorders>
              <w:top w:val="single" w:sz="4" w:space="0" w:color="auto"/>
              <w:bottom w:val="single" w:sz="12" w:space="0" w:color="auto"/>
            </w:tcBorders>
            <w:shd w:val="clear" w:color="auto" w:fill="auto"/>
            <w:tcMar>
              <w:left w:w="28" w:type="dxa"/>
              <w:right w:w="28" w:type="dxa"/>
            </w:tcMar>
            <w:hideMark/>
          </w:tcPr>
          <w:p w14:paraId="2729A2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R2=0.47, p=NR</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0358533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Diff med OS = 0.00 + 0.09 *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6E7E3C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7BD67A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hideMark/>
          </w:tcPr>
          <w:p w14:paraId="6E2E6A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8C6CF22"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24A0C28E" w14:textId="31A5998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4654920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357426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43F35A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12" w:space="0" w:color="auto"/>
              <w:left w:val="single" w:sz="12" w:space="0" w:color="auto"/>
            </w:tcBorders>
            <w:shd w:val="clear" w:color="auto" w:fill="auto"/>
            <w:tcMar>
              <w:left w:w="28" w:type="dxa"/>
              <w:right w:w="28" w:type="dxa"/>
            </w:tcMar>
            <w:hideMark/>
          </w:tcPr>
          <w:p w14:paraId="69D5436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right w:val="single" w:sz="12" w:space="0" w:color="auto"/>
            </w:tcBorders>
            <w:shd w:val="clear" w:color="auto" w:fill="auto"/>
            <w:tcMar>
              <w:left w:w="28" w:type="dxa"/>
              <w:right w:w="28" w:type="dxa"/>
            </w:tcMar>
            <w:hideMark/>
          </w:tcPr>
          <w:p w14:paraId="3586E4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tcBorders>
            <w:shd w:val="clear" w:color="auto" w:fill="auto"/>
            <w:tcMar>
              <w:left w:w="28" w:type="dxa"/>
              <w:right w:w="28" w:type="dxa"/>
            </w:tcMar>
            <w:hideMark/>
          </w:tcPr>
          <w:p w14:paraId="12FB39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27</w:t>
            </w:r>
          </w:p>
        </w:tc>
        <w:tc>
          <w:tcPr>
            <w:tcW w:w="709" w:type="dxa"/>
            <w:tcBorders>
              <w:top w:val="single" w:sz="12" w:space="0" w:color="auto"/>
              <w:right w:val="single" w:sz="12" w:space="0" w:color="auto"/>
            </w:tcBorders>
            <w:shd w:val="clear" w:color="auto" w:fill="auto"/>
            <w:tcMar>
              <w:left w:w="28" w:type="dxa"/>
              <w:right w:w="28" w:type="dxa"/>
            </w:tcMar>
            <w:hideMark/>
          </w:tcPr>
          <w:p w14:paraId="4ADDF2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tcBorders>
            <w:shd w:val="clear" w:color="auto" w:fill="auto"/>
            <w:tcMar>
              <w:left w:w="28" w:type="dxa"/>
              <w:right w:w="28" w:type="dxa"/>
            </w:tcMar>
            <w:hideMark/>
          </w:tcPr>
          <w:p w14:paraId="3FB020F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12" w:space="0" w:color="auto"/>
              <w:right w:val="single" w:sz="12" w:space="0" w:color="auto"/>
            </w:tcBorders>
            <w:shd w:val="clear" w:color="auto" w:fill="auto"/>
            <w:tcMar>
              <w:left w:w="28" w:type="dxa"/>
              <w:right w:w="28" w:type="dxa"/>
            </w:tcMar>
            <w:hideMark/>
          </w:tcPr>
          <w:p w14:paraId="62ED473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rs=0.41, p=0.035</w:t>
            </w:r>
          </w:p>
        </w:tc>
        <w:tc>
          <w:tcPr>
            <w:tcW w:w="1659" w:type="dxa"/>
            <w:tcBorders>
              <w:top w:val="single" w:sz="12" w:space="0" w:color="auto"/>
              <w:left w:val="single" w:sz="12" w:space="0" w:color="auto"/>
            </w:tcBorders>
            <w:shd w:val="clear" w:color="auto" w:fill="auto"/>
            <w:tcMar>
              <w:left w:w="28" w:type="dxa"/>
              <w:right w:w="28" w:type="dxa"/>
            </w:tcMar>
            <w:hideMark/>
          </w:tcPr>
          <w:p w14:paraId="43D319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OS)</w:t>
            </w:r>
          </w:p>
        </w:tc>
        <w:tc>
          <w:tcPr>
            <w:tcW w:w="1559" w:type="dxa"/>
            <w:tcBorders>
              <w:top w:val="single" w:sz="12" w:space="0" w:color="auto"/>
            </w:tcBorders>
            <w:shd w:val="clear" w:color="auto" w:fill="auto"/>
            <w:tcMar>
              <w:left w:w="28" w:type="dxa"/>
              <w:right w:w="28" w:type="dxa"/>
            </w:tcMar>
            <w:hideMark/>
          </w:tcPr>
          <w:p w14:paraId="14850B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R2=0.12, p=0.073</w:t>
            </w:r>
          </w:p>
        </w:tc>
        <w:tc>
          <w:tcPr>
            <w:tcW w:w="1072" w:type="dxa"/>
            <w:tcBorders>
              <w:top w:val="single" w:sz="12" w:space="0" w:color="auto"/>
              <w:right w:val="single" w:sz="12" w:space="0" w:color="auto"/>
            </w:tcBorders>
            <w:shd w:val="clear" w:color="auto" w:fill="auto"/>
            <w:tcMar>
              <w:left w:w="28" w:type="dxa"/>
              <w:right w:w="28" w:type="dxa"/>
            </w:tcMar>
            <w:hideMark/>
          </w:tcPr>
          <w:p w14:paraId="4F219C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577BA2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3D10F2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tcBorders>
            <w:shd w:val="clear" w:color="auto" w:fill="auto"/>
            <w:tcMar>
              <w:left w:w="28" w:type="dxa"/>
              <w:right w:w="28" w:type="dxa"/>
            </w:tcMar>
            <w:hideMark/>
          </w:tcPr>
          <w:p w14:paraId="4E20BB8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4953B4E" w14:textId="77777777" w:rsidTr="003117A9">
        <w:trPr>
          <w:cantSplit/>
        </w:trPr>
        <w:tc>
          <w:tcPr>
            <w:tcW w:w="988" w:type="dxa"/>
            <w:tcBorders>
              <w:right w:val="single" w:sz="12" w:space="0" w:color="auto"/>
            </w:tcBorders>
            <w:shd w:val="clear" w:color="auto" w:fill="auto"/>
            <w:tcMar>
              <w:left w:w="28" w:type="dxa"/>
              <w:right w:w="28" w:type="dxa"/>
            </w:tcMar>
            <w:hideMark/>
          </w:tcPr>
          <w:p w14:paraId="5E0521D1" w14:textId="30EA842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05EF404C"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468250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104E24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left w:val="single" w:sz="12" w:space="0" w:color="auto"/>
            </w:tcBorders>
            <w:shd w:val="clear" w:color="auto" w:fill="auto"/>
            <w:tcMar>
              <w:left w:w="28" w:type="dxa"/>
              <w:right w:w="28" w:type="dxa"/>
            </w:tcMar>
            <w:hideMark/>
          </w:tcPr>
          <w:p w14:paraId="20D887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Published 1990-2002</w:t>
            </w:r>
          </w:p>
        </w:tc>
        <w:tc>
          <w:tcPr>
            <w:tcW w:w="992" w:type="dxa"/>
            <w:tcBorders>
              <w:right w:val="single" w:sz="12" w:space="0" w:color="auto"/>
            </w:tcBorders>
            <w:shd w:val="clear" w:color="auto" w:fill="auto"/>
            <w:tcMar>
              <w:left w:w="28" w:type="dxa"/>
              <w:right w:w="28" w:type="dxa"/>
            </w:tcMar>
            <w:hideMark/>
          </w:tcPr>
          <w:p w14:paraId="2DC39C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445AB3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09" w:type="dxa"/>
            <w:tcBorders>
              <w:right w:val="single" w:sz="12" w:space="0" w:color="auto"/>
            </w:tcBorders>
            <w:shd w:val="clear" w:color="auto" w:fill="auto"/>
            <w:tcMar>
              <w:left w:w="28" w:type="dxa"/>
              <w:right w:w="28" w:type="dxa"/>
            </w:tcMar>
            <w:hideMark/>
          </w:tcPr>
          <w:p w14:paraId="6694F3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7B5D1B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3DEEA4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rs=0.65, p=0.016</w:t>
            </w:r>
          </w:p>
        </w:tc>
        <w:tc>
          <w:tcPr>
            <w:tcW w:w="1659" w:type="dxa"/>
            <w:tcBorders>
              <w:left w:val="single" w:sz="12" w:space="0" w:color="auto"/>
            </w:tcBorders>
            <w:shd w:val="clear" w:color="auto" w:fill="auto"/>
            <w:tcMar>
              <w:left w:w="28" w:type="dxa"/>
              <w:right w:w="28" w:type="dxa"/>
            </w:tcMar>
            <w:hideMark/>
          </w:tcPr>
          <w:p w14:paraId="071E69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OS)</w:t>
            </w:r>
          </w:p>
        </w:tc>
        <w:tc>
          <w:tcPr>
            <w:tcW w:w="1559" w:type="dxa"/>
            <w:shd w:val="clear" w:color="auto" w:fill="auto"/>
            <w:tcMar>
              <w:left w:w="28" w:type="dxa"/>
              <w:right w:w="28" w:type="dxa"/>
            </w:tcMar>
            <w:hideMark/>
          </w:tcPr>
          <w:p w14:paraId="34CB1B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R2=0.15, p=0.199</w:t>
            </w:r>
          </w:p>
        </w:tc>
        <w:tc>
          <w:tcPr>
            <w:tcW w:w="1072" w:type="dxa"/>
            <w:tcBorders>
              <w:right w:val="single" w:sz="12" w:space="0" w:color="auto"/>
            </w:tcBorders>
            <w:shd w:val="clear" w:color="auto" w:fill="auto"/>
            <w:tcMar>
              <w:left w:w="28" w:type="dxa"/>
              <w:right w:w="28" w:type="dxa"/>
            </w:tcMar>
            <w:hideMark/>
          </w:tcPr>
          <w:p w14:paraId="6ED8AB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092C53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049A0F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255E7A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6DF95C4" w14:textId="77777777" w:rsidTr="003117A9">
        <w:trPr>
          <w:cantSplit/>
        </w:trPr>
        <w:tc>
          <w:tcPr>
            <w:tcW w:w="988" w:type="dxa"/>
            <w:tcBorders>
              <w:right w:val="single" w:sz="12" w:space="0" w:color="auto"/>
            </w:tcBorders>
            <w:shd w:val="clear" w:color="auto" w:fill="auto"/>
            <w:tcMar>
              <w:left w:w="28" w:type="dxa"/>
              <w:right w:w="28" w:type="dxa"/>
            </w:tcMar>
            <w:hideMark/>
          </w:tcPr>
          <w:p w14:paraId="5C10EDDC" w14:textId="495C085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1081F88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6528F4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6F40F2D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left w:val="single" w:sz="12" w:space="0" w:color="auto"/>
            </w:tcBorders>
            <w:shd w:val="clear" w:color="auto" w:fill="auto"/>
            <w:tcMar>
              <w:left w:w="28" w:type="dxa"/>
              <w:right w:w="28" w:type="dxa"/>
            </w:tcMar>
            <w:hideMark/>
          </w:tcPr>
          <w:p w14:paraId="29B1CE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Published 2003-2016</w:t>
            </w:r>
          </w:p>
        </w:tc>
        <w:tc>
          <w:tcPr>
            <w:tcW w:w="992" w:type="dxa"/>
            <w:tcBorders>
              <w:right w:val="single" w:sz="12" w:space="0" w:color="auto"/>
            </w:tcBorders>
            <w:shd w:val="clear" w:color="auto" w:fill="auto"/>
            <w:tcMar>
              <w:left w:w="28" w:type="dxa"/>
              <w:right w:w="28" w:type="dxa"/>
            </w:tcMar>
            <w:hideMark/>
          </w:tcPr>
          <w:p w14:paraId="255438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hideMark/>
          </w:tcPr>
          <w:p w14:paraId="2B1396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w:t>
            </w:r>
          </w:p>
        </w:tc>
        <w:tc>
          <w:tcPr>
            <w:tcW w:w="709" w:type="dxa"/>
            <w:tcBorders>
              <w:right w:val="single" w:sz="12" w:space="0" w:color="auto"/>
            </w:tcBorders>
            <w:shd w:val="clear" w:color="auto" w:fill="auto"/>
            <w:tcMar>
              <w:left w:w="28" w:type="dxa"/>
              <w:right w:w="28" w:type="dxa"/>
            </w:tcMar>
            <w:hideMark/>
          </w:tcPr>
          <w:p w14:paraId="297A81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5BCEE6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2B641B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 -0.02, p=0.940</w:t>
            </w:r>
          </w:p>
        </w:tc>
        <w:tc>
          <w:tcPr>
            <w:tcW w:w="1659" w:type="dxa"/>
            <w:tcBorders>
              <w:left w:val="single" w:sz="12" w:space="0" w:color="auto"/>
            </w:tcBorders>
            <w:shd w:val="clear" w:color="auto" w:fill="auto"/>
            <w:tcMar>
              <w:left w:w="28" w:type="dxa"/>
              <w:right w:w="28" w:type="dxa"/>
            </w:tcMar>
            <w:hideMark/>
          </w:tcPr>
          <w:p w14:paraId="3A8DB5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OS)</w:t>
            </w:r>
          </w:p>
        </w:tc>
        <w:tc>
          <w:tcPr>
            <w:tcW w:w="1559" w:type="dxa"/>
            <w:shd w:val="clear" w:color="auto" w:fill="auto"/>
            <w:tcMar>
              <w:left w:w="28" w:type="dxa"/>
              <w:right w:w="28" w:type="dxa"/>
            </w:tcMar>
            <w:hideMark/>
          </w:tcPr>
          <w:p w14:paraId="6973A6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R2=0.34, p=0.027</w:t>
            </w:r>
          </w:p>
        </w:tc>
        <w:tc>
          <w:tcPr>
            <w:tcW w:w="1072" w:type="dxa"/>
            <w:tcBorders>
              <w:right w:val="single" w:sz="12" w:space="0" w:color="auto"/>
            </w:tcBorders>
            <w:shd w:val="clear" w:color="auto" w:fill="auto"/>
            <w:tcMar>
              <w:left w:w="28" w:type="dxa"/>
              <w:right w:w="28" w:type="dxa"/>
            </w:tcMar>
            <w:hideMark/>
          </w:tcPr>
          <w:p w14:paraId="14D87C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503CDF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4A4A5D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21ECDC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9E69938"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1A814C42" w14:textId="6962F98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Siddiqui 2017</w:t>
            </w:r>
            <w:r w:rsidRPr="002D1DD7">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PEVuZE5vdGU+PENpdGU+PEF1dGhvcj5TaWRkaXF1aTwvQXV0aG9yPjxZZWFyPjIwMTc8L1llYXI+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132</w:t>
            </w:r>
            <w:r w:rsidRPr="002D1DD7">
              <w:rPr>
                <w:rFonts w:eastAsia="Times New Roman" w:cs="Times New Roman"/>
                <w:color w:val="000000"/>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6D57417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477742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4543F0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left w:val="single" w:sz="12" w:space="0" w:color="auto"/>
              <w:bottom w:val="single" w:sz="12" w:space="0" w:color="auto"/>
            </w:tcBorders>
            <w:shd w:val="clear" w:color="auto" w:fill="auto"/>
            <w:tcMar>
              <w:left w:w="28" w:type="dxa"/>
              <w:right w:w="28" w:type="dxa"/>
            </w:tcMar>
            <w:hideMark/>
          </w:tcPr>
          <w:p w14:paraId="5A7152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2nd +</w:t>
            </w:r>
          </w:p>
        </w:tc>
        <w:tc>
          <w:tcPr>
            <w:tcW w:w="992" w:type="dxa"/>
            <w:tcBorders>
              <w:bottom w:val="single" w:sz="12" w:space="0" w:color="auto"/>
              <w:right w:val="single" w:sz="12" w:space="0" w:color="auto"/>
            </w:tcBorders>
            <w:shd w:val="clear" w:color="auto" w:fill="auto"/>
            <w:tcMar>
              <w:left w:w="28" w:type="dxa"/>
              <w:right w:w="28" w:type="dxa"/>
            </w:tcMar>
            <w:hideMark/>
          </w:tcPr>
          <w:p w14:paraId="487CB84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bottom w:val="single" w:sz="12" w:space="0" w:color="auto"/>
            </w:tcBorders>
            <w:shd w:val="clear" w:color="auto" w:fill="auto"/>
            <w:tcMar>
              <w:left w:w="28" w:type="dxa"/>
              <w:right w:w="28" w:type="dxa"/>
            </w:tcMar>
            <w:hideMark/>
          </w:tcPr>
          <w:p w14:paraId="73B6F7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31</w:t>
            </w:r>
            <w:r w:rsidRPr="002D1DD7">
              <w:rPr>
                <w:rFonts w:eastAsia="Times New Roman" w:cs="Times New Roman"/>
                <w:color w:val="000000"/>
                <w:sz w:val="18"/>
                <w:szCs w:val="18"/>
                <w:vertAlign w:val="superscript"/>
                <w:lang w:eastAsia="zh-CN"/>
              </w:rPr>
              <w:t>†</w:t>
            </w:r>
          </w:p>
        </w:tc>
        <w:tc>
          <w:tcPr>
            <w:tcW w:w="709" w:type="dxa"/>
            <w:tcBorders>
              <w:bottom w:val="single" w:sz="12" w:space="0" w:color="auto"/>
              <w:right w:val="single" w:sz="12" w:space="0" w:color="auto"/>
            </w:tcBorders>
            <w:shd w:val="clear" w:color="auto" w:fill="auto"/>
            <w:tcMar>
              <w:left w:w="28" w:type="dxa"/>
              <w:right w:w="28" w:type="dxa"/>
            </w:tcMar>
            <w:hideMark/>
          </w:tcPr>
          <w:p w14:paraId="4D3282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9223</w:t>
            </w:r>
            <w:r w:rsidRPr="002D1DD7">
              <w:rPr>
                <w:rFonts w:eastAsia="Times New Roman" w:cs="Times New Roman"/>
                <w:color w:val="000000"/>
                <w:sz w:val="18"/>
                <w:szCs w:val="18"/>
                <w:vertAlign w:val="superscript"/>
                <w:lang w:eastAsia="zh-CN"/>
              </w:rPr>
              <w:t>†</w:t>
            </w:r>
          </w:p>
        </w:tc>
        <w:tc>
          <w:tcPr>
            <w:tcW w:w="1559" w:type="dxa"/>
            <w:tcBorders>
              <w:left w:val="single" w:sz="12" w:space="0" w:color="auto"/>
              <w:bottom w:val="single" w:sz="12" w:space="0" w:color="auto"/>
            </w:tcBorders>
            <w:shd w:val="clear" w:color="auto" w:fill="auto"/>
            <w:tcMar>
              <w:left w:w="28" w:type="dxa"/>
              <w:right w:w="28" w:type="dxa"/>
            </w:tcMar>
            <w:hideMark/>
          </w:tcPr>
          <w:p w14:paraId="25D1C5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bottom w:val="single" w:sz="12" w:space="0" w:color="auto"/>
              <w:right w:val="single" w:sz="12" w:space="0" w:color="auto"/>
            </w:tcBorders>
            <w:shd w:val="clear" w:color="auto" w:fill="auto"/>
            <w:tcMar>
              <w:left w:w="28" w:type="dxa"/>
              <w:right w:w="28" w:type="dxa"/>
            </w:tcMar>
            <w:hideMark/>
          </w:tcPr>
          <w:p w14:paraId="7B937C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bottom w:val="single" w:sz="12" w:space="0" w:color="auto"/>
            </w:tcBorders>
            <w:shd w:val="clear" w:color="auto" w:fill="auto"/>
            <w:tcMar>
              <w:left w:w="28" w:type="dxa"/>
              <w:right w:w="28" w:type="dxa"/>
            </w:tcMar>
            <w:hideMark/>
          </w:tcPr>
          <w:p w14:paraId="641FC8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bottom w:val="single" w:sz="12" w:space="0" w:color="auto"/>
            </w:tcBorders>
            <w:shd w:val="clear" w:color="auto" w:fill="auto"/>
            <w:tcMar>
              <w:left w:w="28" w:type="dxa"/>
              <w:right w:w="28" w:type="dxa"/>
            </w:tcMar>
            <w:hideMark/>
          </w:tcPr>
          <w:p w14:paraId="3249BB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bottom w:val="single" w:sz="12" w:space="0" w:color="auto"/>
              <w:right w:val="single" w:sz="12" w:space="0" w:color="auto"/>
            </w:tcBorders>
            <w:shd w:val="clear" w:color="auto" w:fill="auto"/>
            <w:tcMar>
              <w:left w:w="28" w:type="dxa"/>
              <w:right w:w="28" w:type="dxa"/>
            </w:tcMar>
            <w:hideMark/>
          </w:tcPr>
          <w:p w14:paraId="51B049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72F387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03ACCD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c>
          <w:tcPr>
            <w:tcW w:w="644" w:type="dxa"/>
            <w:tcBorders>
              <w:bottom w:val="single" w:sz="12" w:space="0" w:color="auto"/>
            </w:tcBorders>
            <w:shd w:val="clear" w:color="auto" w:fill="auto"/>
            <w:tcMar>
              <w:left w:w="28" w:type="dxa"/>
              <w:right w:w="28" w:type="dxa"/>
            </w:tcMar>
            <w:hideMark/>
          </w:tcPr>
          <w:p w14:paraId="17671D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0AF0EAD"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4E90ED1B" w14:textId="4D4C46C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28E51700"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77B02D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3CDF79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44BB6E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47B428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chemo or targeted</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659161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36*</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154559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207681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7D5D3C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rs=0.29, p=0.067</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7CF752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bottom w:val="single" w:sz="4" w:space="0" w:color="auto"/>
            </w:tcBorders>
            <w:shd w:val="clear" w:color="auto" w:fill="auto"/>
            <w:tcMar>
              <w:left w:w="28" w:type="dxa"/>
              <w:right w:w="28" w:type="dxa"/>
            </w:tcMar>
            <w:hideMark/>
          </w:tcPr>
          <w:p w14:paraId="3726A7D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6101BAF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1A6FA4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4817CF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hideMark/>
          </w:tcPr>
          <w:p w14:paraId="5488D7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25D45AD"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76D2CD79" w14:textId="35079FE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102197DE"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73CBCB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6C4451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1400EC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027E85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4AE5C1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6B2DC5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5604AC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0C50F4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rs=0.23, p=0.250</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18C3D0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4" w:space="0" w:color="auto"/>
              <w:bottom w:val="single" w:sz="4" w:space="0" w:color="auto"/>
            </w:tcBorders>
            <w:shd w:val="clear" w:color="auto" w:fill="auto"/>
            <w:tcMar>
              <w:left w:w="28" w:type="dxa"/>
              <w:right w:w="28" w:type="dxa"/>
            </w:tcMar>
            <w:hideMark/>
          </w:tcPr>
          <w:p w14:paraId="2B130C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R2=0.15,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14C029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2AFE40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76F879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356AEE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A8EBFAA"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2F46EB8B" w14:textId="7C9D4AC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4EC70A5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44E473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0B1FF7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647126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63D225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targeted</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0FE801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52892F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73EECA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Spearman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2ADCCF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rs=0.55, p=0.035</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7414F4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4" w:space="0" w:color="auto"/>
              <w:bottom w:val="single" w:sz="4" w:space="0" w:color="auto"/>
            </w:tcBorders>
            <w:shd w:val="clear" w:color="auto" w:fill="auto"/>
            <w:tcMar>
              <w:left w:w="28" w:type="dxa"/>
              <w:right w:w="28" w:type="dxa"/>
            </w:tcMar>
            <w:hideMark/>
          </w:tcPr>
          <w:p w14:paraId="62FD5C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R2=0.28, p=NR</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CDB78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7A9C70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5E8318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6653DE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55B24A8"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hideMark/>
          </w:tcPr>
          <w:p w14:paraId="115BA5D1" w14:textId="1F0440B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Hamada 2016</w:t>
            </w:r>
            <w:r w:rsidRPr="002D1DD7">
              <w:rPr>
                <w:rFonts w:eastAsia="Times New Roman" w:cs="Times New Roman"/>
                <w:sz w:val="18"/>
                <w:szCs w:val="18"/>
                <w:lang w:eastAsia="zh-CN"/>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PEVuZE5vdGU+PENpdGU+PEF1dGhvcj5IYW1hZGE8L0F1dGhvcj48WWVhcj4yMDE2PC9ZZWFyPjxS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97</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03F4FA3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4" w:space="0" w:color="auto"/>
              <w:right w:val="single" w:sz="12" w:space="0" w:color="auto"/>
            </w:tcBorders>
            <w:tcMar>
              <w:left w:w="28" w:type="dxa"/>
              <w:right w:w="28" w:type="dxa"/>
            </w:tcMar>
          </w:tcPr>
          <w:p w14:paraId="683038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1CF427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hideMark/>
          </w:tcPr>
          <w:p w14:paraId="5D8F7D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hideMark/>
          </w:tcPr>
          <w:p w14:paraId="64DFD1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hideMark/>
          </w:tcPr>
          <w:p w14:paraId="79790A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36</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hideMark/>
          </w:tcPr>
          <w:p w14:paraId="339810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15906</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hideMark/>
          </w:tcPr>
          <w:p w14:paraId="6BB19FEE" w14:textId="77777777" w:rsidR="002E26FD" w:rsidRPr="00103770" w:rsidRDefault="002E26FD" w:rsidP="003117A9">
            <w:pPr>
              <w:spacing w:before="0" w:after="0" w:line="240" w:lineRule="auto"/>
              <w:rPr>
                <w:rFonts w:eastAsia="Times New Roman" w:cs="Times New Roman"/>
                <w:color w:val="000000"/>
                <w:sz w:val="18"/>
                <w:szCs w:val="18"/>
                <w:lang w:val="it-IT" w:eastAsia="zh-CN"/>
              </w:rPr>
            </w:pPr>
            <w:r w:rsidRPr="00103770">
              <w:rPr>
                <w:rFonts w:eastAsia="Times New Roman" w:cs="Times New Roman"/>
                <w:color w:val="000000"/>
                <w:sz w:val="18"/>
                <w:szCs w:val="18"/>
                <w:lang w:val="it-IT" w:eastAsia="zh-CN"/>
              </w:rPr>
              <w:t>Spearman via WLSR (logOR ORR vs. logHR OS)</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hideMark/>
          </w:tcPr>
          <w:p w14:paraId="18516A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 -0.16 (-0.27 to -0.05), p=0.007</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hideMark/>
          </w:tcPr>
          <w:p w14:paraId="067E89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WLSR adj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4" w:space="0" w:color="auto"/>
              <w:bottom w:val="single" w:sz="4" w:space="0" w:color="auto"/>
            </w:tcBorders>
            <w:shd w:val="clear" w:color="auto" w:fill="auto"/>
            <w:tcMar>
              <w:left w:w="28" w:type="dxa"/>
              <w:right w:w="28" w:type="dxa"/>
            </w:tcMar>
            <w:hideMark/>
          </w:tcPr>
          <w:p w14:paraId="3F689B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R2=0.30, p=0.007</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hideMark/>
          </w:tcPr>
          <w:p w14:paraId="2B146C3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hideMark/>
          </w:tcPr>
          <w:p w14:paraId="4987BC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hideMark/>
          </w:tcPr>
          <w:p w14:paraId="774D569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hideMark/>
          </w:tcPr>
          <w:p w14:paraId="6CFF9D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1E9E29BC"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349A0F7B" w14:textId="6DB8893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Makris 2017</w:t>
            </w:r>
            <w:r w:rsidRPr="002D1DD7">
              <w:rPr>
                <w:rFonts w:eastAsia="Times New Roman" w:cs="Times New Roman"/>
                <w:color w:val="000000"/>
                <w:sz w:val="18"/>
                <w:szCs w:val="18"/>
                <w:lang w:eastAsia="zh-CN"/>
              </w:rPr>
              <w:fldChar w:fldCharType="begin">
                <w:fldData xml:space="preserve">PEVuZE5vdGU+PENpdGU+PEF1dGhvcj5NYWtyaXM8L0F1dGhvcj48WWVhcj4yMDE3PC9ZZWFyPjxS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PVkmYW1wO05FV1M9TiZhbXA7UEFHRT1mdWxsdGV4dCZhbXA7RD1tZWQxMyZhbXA7QU49MjgzOTcx
OTA8L3N0eWxlPjxzdHlsZSBmYWNlPSJub3JtYWwiIGZvbnQ9ImRlZmF1bHQiIHNpemU9IjEwMCUi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aWQ9cG1pZDoyODM5NzE5MCZhbXA7aWQ9ZG9pOjEwLjEyNDUlMkZzMTA0MzQtMDE3LTU4MjYtMiZh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PEVuZE5vdGU+PENpdGU+PEF1dGhvcj5NYWtyaXM8L0F1dGhvcj48WWVhcj4yMDE3PC9ZZWFyPjxS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PVkmYW1wO05FV1M9TiZhbXA7UEFHRT1mdWxsdGV4dCZhbXA7RD1tZWQxMyZhbXA7QU49MjgzOTcx
OTA8L3N0eWxlPjxzdHlsZSBmYWNlPSJub3JtYWwiIGZvbnQ9ImRlZmF1bHQiIHNpemU9IjEwMCUi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aWQ9cG1pZDoyODM5NzE5MCZhbXA7aWQ9ZG9pOjEwLjEyNDUlMkZzMTA0MzQtMDE3LTU4MjYtMiZh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113</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1550C25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563C69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66AB5B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  (adenocarcinoma)</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56D417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219CDF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(gemcitabine)</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1A3DC0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4E1086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10379*</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6B0061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(log HR OS vs. log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r w:rsidRPr="002D1DD7">
              <w:rPr>
                <w:rFonts w:eastAsia="Times New Roman" w:cs="Times New Roman"/>
                <w:color w:val="000000"/>
                <w:sz w:val="18"/>
                <w:szCs w:val="18"/>
                <w:lang w:eastAsia="zh-CN"/>
              </w:rPr>
              <w:br/>
              <w:t>a) wtd by sample size</w:t>
            </w:r>
            <w:r w:rsidRPr="002D1DD7">
              <w:rPr>
                <w:rFonts w:eastAsia="Times New Roman" w:cs="Times New Roman"/>
                <w:color w:val="000000"/>
                <w:sz w:val="18"/>
                <w:szCs w:val="18"/>
                <w:lang w:eastAsia="zh-CN"/>
              </w:rPr>
              <w:br/>
              <w:t>b) fixed effect</w:t>
            </w:r>
            <w:r w:rsidRPr="002D1DD7">
              <w:rPr>
                <w:rFonts w:eastAsia="Times New Roman" w:cs="Times New Roman"/>
                <w:color w:val="000000"/>
                <w:sz w:val="18"/>
                <w:szCs w:val="18"/>
                <w:lang w:eastAsia="zh-CN"/>
              </w:rPr>
              <w:br/>
              <w:t>c) random effects</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08A573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r=0.27 (-0.14 to 0.60), p=0.20</w:t>
            </w:r>
            <w:r w:rsidRPr="002D1DD7">
              <w:rPr>
                <w:rFonts w:eastAsia="Times New Roman" w:cs="Times New Roman"/>
                <w:color w:val="000000"/>
                <w:sz w:val="18"/>
                <w:szCs w:val="18"/>
                <w:lang w:eastAsia="zh-CN"/>
              </w:rPr>
              <w:br/>
              <w:t>b) r=0.52 (0.16 to 0.76), p=0.007</w:t>
            </w:r>
            <w:r w:rsidRPr="002D1DD7">
              <w:rPr>
                <w:rFonts w:eastAsia="Times New Roman" w:cs="Times New Roman"/>
                <w:color w:val="000000"/>
                <w:sz w:val="18"/>
                <w:szCs w:val="18"/>
                <w:lang w:eastAsia="zh-CN"/>
              </w:rPr>
              <w:br/>
              <w:t>c) r=0.45 (0.07 to 0.72), p=0.02</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4E4524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4" w:space="0" w:color="auto"/>
              <w:bottom w:val="single" w:sz="12" w:space="0" w:color="auto"/>
            </w:tcBorders>
            <w:shd w:val="clear" w:color="auto" w:fill="auto"/>
            <w:tcMar>
              <w:left w:w="28" w:type="dxa"/>
              <w:right w:w="28" w:type="dxa"/>
            </w:tcMar>
            <w:hideMark/>
          </w:tcPr>
          <w:p w14:paraId="4D96CA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2CD3FB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5B5F40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703F47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hideMark/>
          </w:tcPr>
          <w:p w14:paraId="46A763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D8D2D42"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34B3E2AC" w14:textId="5AA3203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2016c</w:t>
            </w:r>
            <w:r w:rsidRPr="002D1DD7">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90</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740B9DFF"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7CB944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6A8DC4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Prostate</w:t>
            </w:r>
          </w:p>
        </w:tc>
        <w:tc>
          <w:tcPr>
            <w:tcW w:w="1134" w:type="dxa"/>
            <w:tcBorders>
              <w:top w:val="single" w:sz="12" w:space="0" w:color="auto"/>
              <w:left w:val="single" w:sz="12" w:space="0" w:color="auto"/>
            </w:tcBorders>
            <w:shd w:val="clear" w:color="auto" w:fill="auto"/>
            <w:tcMar>
              <w:left w:w="28" w:type="dxa"/>
              <w:right w:w="28" w:type="dxa"/>
            </w:tcMar>
            <w:hideMark/>
          </w:tcPr>
          <w:p w14:paraId="5BB34A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 + 2nd</w:t>
            </w:r>
          </w:p>
        </w:tc>
        <w:tc>
          <w:tcPr>
            <w:tcW w:w="992" w:type="dxa"/>
            <w:tcBorders>
              <w:top w:val="single" w:sz="12" w:space="0" w:color="auto"/>
              <w:right w:val="single" w:sz="12" w:space="0" w:color="auto"/>
            </w:tcBorders>
            <w:shd w:val="clear" w:color="auto" w:fill="auto"/>
            <w:tcMar>
              <w:left w:w="28" w:type="dxa"/>
              <w:right w:w="28" w:type="dxa"/>
            </w:tcMar>
            <w:hideMark/>
          </w:tcPr>
          <w:p w14:paraId="0843AFD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hormonal + targeted</w:t>
            </w:r>
          </w:p>
        </w:tc>
        <w:tc>
          <w:tcPr>
            <w:tcW w:w="567" w:type="dxa"/>
            <w:tcBorders>
              <w:top w:val="single" w:sz="12" w:space="0" w:color="auto"/>
              <w:left w:val="single" w:sz="12" w:space="0" w:color="auto"/>
            </w:tcBorders>
            <w:shd w:val="clear" w:color="auto" w:fill="auto"/>
            <w:tcMar>
              <w:left w:w="28" w:type="dxa"/>
              <w:right w:w="28" w:type="dxa"/>
            </w:tcMar>
            <w:hideMark/>
          </w:tcPr>
          <w:p w14:paraId="27BE07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p>
        </w:tc>
        <w:tc>
          <w:tcPr>
            <w:tcW w:w="709" w:type="dxa"/>
            <w:tcBorders>
              <w:top w:val="single" w:sz="12" w:space="0" w:color="auto"/>
              <w:right w:val="single" w:sz="12" w:space="0" w:color="auto"/>
            </w:tcBorders>
            <w:shd w:val="clear" w:color="auto" w:fill="auto"/>
            <w:tcMar>
              <w:left w:w="28" w:type="dxa"/>
              <w:right w:w="28" w:type="dxa"/>
            </w:tcMar>
            <w:hideMark/>
          </w:tcPr>
          <w:p w14:paraId="402340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tcBorders>
            <w:shd w:val="clear" w:color="auto" w:fill="auto"/>
            <w:tcMar>
              <w:left w:w="28" w:type="dxa"/>
              <w:right w:w="28" w:type="dxa"/>
            </w:tcMar>
            <w:hideMark/>
          </w:tcPr>
          <w:p w14:paraId="236195A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top w:val="single" w:sz="12" w:space="0" w:color="auto"/>
              <w:right w:val="single" w:sz="12" w:space="0" w:color="auto"/>
            </w:tcBorders>
            <w:shd w:val="clear" w:color="auto" w:fill="auto"/>
            <w:tcMar>
              <w:left w:w="28" w:type="dxa"/>
              <w:right w:w="28" w:type="dxa"/>
            </w:tcMar>
            <w:hideMark/>
          </w:tcPr>
          <w:p w14:paraId="71B6ED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r=0.38, p=0.132</w:t>
            </w:r>
          </w:p>
        </w:tc>
        <w:tc>
          <w:tcPr>
            <w:tcW w:w="1659" w:type="dxa"/>
            <w:tcBorders>
              <w:top w:val="single" w:sz="12" w:space="0" w:color="auto"/>
              <w:left w:val="single" w:sz="12" w:space="0" w:color="auto"/>
            </w:tcBorders>
            <w:shd w:val="clear" w:color="auto" w:fill="auto"/>
            <w:tcMar>
              <w:left w:w="28" w:type="dxa"/>
              <w:right w:w="28" w:type="dxa"/>
            </w:tcMar>
            <w:hideMark/>
          </w:tcPr>
          <w:p w14:paraId="11D36B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OS)</w:t>
            </w:r>
          </w:p>
        </w:tc>
        <w:tc>
          <w:tcPr>
            <w:tcW w:w="1559" w:type="dxa"/>
            <w:tcBorders>
              <w:top w:val="single" w:sz="12" w:space="0" w:color="auto"/>
            </w:tcBorders>
            <w:shd w:val="clear" w:color="auto" w:fill="auto"/>
            <w:tcMar>
              <w:left w:w="28" w:type="dxa"/>
              <w:right w:w="28" w:type="dxa"/>
            </w:tcMar>
            <w:hideMark/>
          </w:tcPr>
          <w:p w14:paraId="76D5C0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R2=0.007, p=0.789</w:t>
            </w:r>
          </w:p>
        </w:tc>
        <w:tc>
          <w:tcPr>
            <w:tcW w:w="1072" w:type="dxa"/>
            <w:tcBorders>
              <w:top w:val="single" w:sz="12" w:space="0" w:color="auto"/>
              <w:right w:val="single" w:sz="12" w:space="0" w:color="auto"/>
            </w:tcBorders>
            <w:shd w:val="clear" w:color="auto" w:fill="auto"/>
            <w:tcMar>
              <w:left w:w="28" w:type="dxa"/>
              <w:right w:w="28" w:type="dxa"/>
            </w:tcMar>
            <w:hideMark/>
          </w:tcPr>
          <w:p w14:paraId="0148EE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65E2AE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4449EB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tcBorders>
            <w:shd w:val="clear" w:color="auto" w:fill="auto"/>
            <w:tcMar>
              <w:left w:w="28" w:type="dxa"/>
              <w:right w:w="28" w:type="dxa"/>
            </w:tcMar>
            <w:hideMark/>
          </w:tcPr>
          <w:p w14:paraId="62EEC8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5489F26" w14:textId="77777777" w:rsidTr="003117A9">
        <w:trPr>
          <w:cantSplit/>
        </w:trPr>
        <w:tc>
          <w:tcPr>
            <w:tcW w:w="988" w:type="dxa"/>
            <w:tcBorders>
              <w:right w:val="single" w:sz="12" w:space="0" w:color="auto"/>
            </w:tcBorders>
            <w:shd w:val="clear" w:color="auto" w:fill="auto"/>
            <w:tcMar>
              <w:left w:w="28" w:type="dxa"/>
              <w:right w:w="28" w:type="dxa"/>
            </w:tcMar>
            <w:hideMark/>
          </w:tcPr>
          <w:p w14:paraId="2C0E2760" w14:textId="10022C7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2016c</w:t>
            </w:r>
            <w:r w:rsidRPr="002D1DD7">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90</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3609650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21752D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76B32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Prostate</w:t>
            </w:r>
          </w:p>
        </w:tc>
        <w:tc>
          <w:tcPr>
            <w:tcW w:w="1134" w:type="dxa"/>
            <w:tcBorders>
              <w:left w:val="single" w:sz="12" w:space="0" w:color="auto"/>
            </w:tcBorders>
            <w:shd w:val="clear" w:color="auto" w:fill="auto"/>
            <w:tcMar>
              <w:left w:w="28" w:type="dxa"/>
              <w:right w:w="28" w:type="dxa"/>
            </w:tcMar>
            <w:hideMark/>
          </w:tcPr>
          <w:p w14:paraId="567CF2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w:t>
            </w:r>
            <w:r w:rsidRPr="002D1DD7">
              <w:rPr>
                <w:rFonts w:eastAsia="Times New Roman" w:cs="Times New Roman"/>
                <w:color w:val="000000"/>
                <w:sz w:val="18"/>
                <w:szCs w:val="18"/>
                <w:lang w:eastAsia="zh-CN"/>
              </w:rPr>
              <w:br/>
              <w:t>- Published 1995-2004</w:t>
            </w:r>
          </w:p>
        </w:tc>
        <w:tc>
          <w:tcPr>
            <w:tcW w:w="992" w:type="dxa"/>
            <w:tcBorders>
              <w:right w:val="single" w:sz="12" w:space="0" w:color="auto"/>
            </w:tcBorders>
            <w:shd w:val="clear" w:color="auto" w:fill="auto"/>
            <w:tcMar>
              <w:left w:w="28" w:type="dxa"/>
              <w:right w:w="28" w:type="dxa"/>
            </w:tcMar>
            <w:hideMark/>
          </w:tcPr>
          <w:p w14:paraId="127E52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hormonal + targeted</w:t>
            </w:r>
          </w:p>
        </w:tc>
        <w:tc>
          <w:tcPr>
            <w:tcW w:w="567" w:type="dxa"/>
            <w:tcBorders>
              <w:left w:val="single" w:sz="12" w:space="0" w:color="auto"/>
            </w:tcBorders>
            <w:shd w:val="clear" w:color="auto" w:fill="auto"/>
            <w:tcMar>
              <w:left w:w="28" w:type="dxa"/>
              <w:right w:w="28" w:type="dxa"/>
            </w:tcMar>
            <w:hideMark/>
          </w:tcPr>
          <w:p w14:paraId="133BF4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09" w:type="dxa"/>
            <w:tcBorders>
              <w:right w:val="single" w:sz="12" w:space="0" w:color="auto"/>
            </w:tcBorders>
            <w:shd w:val="clear" w:color="auto" w:fill="auto"/>
            <w:tcMar>
              <w:left w:w="28" w:type="dxa"/>
              <w:right w:w="28" w:type="dxa"/>
            </w:tcMar>
            <w:hideMark/>
          </w:tcPr>
          <w:p w14:paraId="7E2AD3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4C02D7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right w:val="single" w:sz="12" w:space="0" w:color="auto"/>
            </w:tcBorders>
            <w:shd w:val="clear" w:color="auto" w:fill="auto"/>
            <w:tcMar>
              <w:left w:w="28" w:type="dxa"/>
              <w:right w:w="28" w:type="dxa"/>
            </w:tcMar>
            <w:hideMark/>
          </w:tcPr>
          <w:p w14:paraId="240615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r=0.35, p=0.560</w:t>
            </w:r>
          </w:p>
        </w:tc>
        <w:tc>
          <w:tcPr>
            <w:tcW w:w="1659" w:type="dxa"/>
            <w:tcBorders>
              <w:left w:val="single" w:sz="12" w:space="0" w:color="auto"/>
            </w:tcBorders>
            <w:shd w:val="clear" w:color="auto" w:fill="auto"/>
            <w:tcMar>
              <w:left w:w="28" w:type="dxa"/>
              <w:right w:w="28" w:type="dxa"/>
            </w:tcMar>
            <w:hideMark/>
          </w:tcPr>
          <w:p w14:paraId="187EDFE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OS)</w:t>
            </w:r>
          </w:p>
        </w:tc>
        <w:tc>
          <w:tcPr>
            <w:tcW w:w="1559" w:type="dxa"/>
            <w:shd w:val="clear" w:color="auto" w:fill="auto"/>
            <w:tcMar>
              <w:left w:w="28" w:type="dxa"/>
              <w:right w:w="28" w:type="dxa"/>
            </w:tcMar>
            <w:hideMark/>
          </w:tcPr>
          <w:p w14:paraId="566105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R2=0.53, p=0.275</w:t>
            </w:r>
          </w:p>
        </w:tc>
        <w:tc>
          <w:tcPr>
            <w:tcW w:w="1072" w:type="dxa"/>
            <w:tcBorders>
              <w:right w:val="single" w:sz="12" w:space="0" w:color="auto"/>
            </w:tcBorders>
            <w:shd w:val="clear" w:color="auto" w:fill="auto"/>
            <w:tcMar>
              <w:left w:w="28" w:type="dxa"/>
              <w:right w:w="28" w:type="dxa"/>
            </w:tcMar>
            <w:hideMark/>
          </w:tcPr>
          <w:p w14:paraId="632386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64E70A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0E8A09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hideMark/>
          </w:tcPr>
          <w:p w14:paraId="609453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9D15F49"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hideMark/>
          </w:tcPr>
          <w:p w14:paraId="3E0E438E" w14:textId="514E78F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2016c</w:t>
            </w:r>
            <w:r w:rsidRPr="002D1DD7">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PEVuZE5vdGU+PENpdGU+PEF1dGhvcj5Db2xsb2NhPC9BdXRob3I+PFllYXI+MjAxNmM8L1llYXI+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90</w:t>
            </w:r>
            <w:r w:rsidRPr="002D1DD7">
              <w:rPr>
                <w:rFonts w:eastAsia="Times New Roman" w:cs="Times New Roman"/>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444274C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bottom w:val="single" w:sz="12" w:space="0" w:color="auto"/>
              <w:right w:val="single" w:sz="12" w:space="0" w:color="auto"/>
            </w:tcBorders>
            <w:tcMar>
              <w:left w:w="28" w:type="dxa"/>
              <w:right w:w="28" w:type="dxa"/>
            </w:tcMar>
          </w:tcPr>
          <w:p w14:paraId="4485E5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5FC64E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Prostate</w:t>
            </w:r>
          </w:p>
        </w:tc>
        <w:tc>
          <w:tcPr>
            <w:tcW w:w="1134" w:type="dxa"/>
            <w:tcBorders>
              <w:left w:val="single" w:sz="12" w:space="0" w:color="auto"/>
              <w:bottom w:val="single" w:sz="12" w:space="0" w:color="auto"/>
            </w:tcBorders>
            <w:shd w:val="clear" w:color="auto" w:fill="auto"/>
            <w:tcMar>
              <w:left w:w="28" w:type="dxa"/>
              <w:right w:w="28" w:type="dxa"/>
            </w:tcMar>
            <w:hideMark/>
          </w:tcPr>
          <w:p w14:paraId="55CA63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 + 2nd</w:t>
            </w:r>
            <w:r w:rsidRPr="002D1DD7">
              <w:rPr>
                <w:rFonts w:eastAsia="Times New Roman" w:cs="Times New Roman"/>
                <w:color w:val="000000"/>
                <w:sz w:val="18"/>
                <w:szCs w:val="18"/>
                <w:lang w:eastAsia="zh-CN"/>
              </w:rPr>
              <w:br/>
              <w:t>- Published 2005-2014</w:t>
            </w:r>
          </w:p>
        </w:tc>
        <w:tc>
          <w:tcPr>
            <w:tcW w:w="992" w:type="dxa"/>
            <w:tcBorders>
              <w:bottom w:val="single" w:sz="12" w:space="0" w:color="auto"/>
              <w:right w:val="single" w:sz="12" w:space="0" w:color="auto"/>
            </w:tcBorders>
            <w:shd w:val="clear" w:color="auto" w:fill="auto"/>
            <w:tcMar>
              <w:left w:w="28" w:type="dxa"/>
              <w:right w:w="28" w:type="dxa"/>
            </w:tcMar>
            <w:hideMark/>
          </w:tcPr>
          <w:p w14:paraId="506341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hormonal + targeted</w:t>
            </w:r>
          </w:p>
        </w:tc>
        <w:tc>
          <w:tcPr>
            <w:tcW w:w="567" w:type="dxa"/>
            <w:tcBorders>
              <w:left w:val="single" w:sz="12" w:space="0" w:color="auto"/>
              <w:bottom w:val="single" w:sz="12" w:space="0" w:color="auto"/>
            </w:tcBorders>
            <w:shd w:val="clear" w:color="auto" w:fill="auto"/>
            <w:tcMar>
              <w:left w:w="28" w:type="dxa"/>
              <w:right w:w="28" w:type="dxa"/>
            </w:tcMar>
            <w:hideMark/>
          </w:tcPr>
          <w:p w14:paraId="0AD8AF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w:t>
            </w:r>
          </w:p>
        </w:tc>
        <w:tc>
          <w:tcPr>
            <w:tcW w:w="709" w:type="dxa"/>
            <w:tcBorders>
              <w:bottom w:val="single" w:sz="12" w:space="0" w:color="auto"/>
              <w:right w:val="single" w:sz="12" w:space="0" w:color="auto"/>
            </w:tcBorders>
            <w:shd w:val="clear" w:color="auto" w:fill="auto"/>
            <w:tcMar>
              <w:left w:w="28" w:type="dxa"/>
              <w:right w:w="28" w:type="dxa"/>
            </w:tcMar>
            <w:hideMark/>
          </w:tcPr>
          <w:p w14:paraId="35D193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bottom w:val="single" w:sz="12" w:space="0" w:color="auto"/>
            </w:tcBorders>
            <w:shd w:val="clear" w:color="auto" w:fill="auto"/>
            <w:tcMar>
              <w:left w:w="28" w:type="dxa"/>
              <w:right w:w="28" w:type="dxa"/>
            </w:tcMar>
            <w:hideMark/>
          </w:tcPr>
          <w:p w14:paraId="440D98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460" w:type="dxa"/>
            <w:tcBorders>
              <w:bottom w:val="single" w:sz="12" w:space="0" w:color="auto"/>
              <w:right w:val="single" w:sz="12" w:space="0" w:color="auto"/>
            </w:tcBorders>
            <w:shd w:val="clear" w:color="auto" w:fill="auto"/>
            <w:tcMar>
              <w:left w:w="28" w:type="dxa"/>
              <w:right w:w="28" w:type="dxa"/>
            </w:tcMar>
            <w:hideMark/>
          </w:tcPr>
          <w:p w14:paraId="58917CE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r=0.41, p=0.185</w:t>
            </w:r>
          </w:p>
        </w:tc>
        <w:tc>
          <w:tcPr>
            <w:tcW w:w="1659" w:type="dxa"/>
            <w:tcBorders>
              <w:left w:val="single" w:sz="12" w:space="0" w:color="auto"/>
              <w:bottom w:val="single" w:sz="12" w:space="0" w:color="auto"/>
            </w:tcBorders>
            <w:shd w:val="clear" w:color="auto" w:fill="auto"/>
            <w:tcMar>
              <w:left w:w="28" w:type="dxa"/>
              <w:right w:w="28" w:type="dxa"/>
            </w:tcMar>
            <w:hideMark/>
          </w:tcPr>
          <w:p w14:paraId="6070B69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LR R2 (log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 HR OS)</w:t>
            </w:r>
          </w:p>
        </w:tc>
        <w:tc>
          <w:tcPr>
            <w:tcW w:w="1559" w:type="dxa"/>
            <w:tcBorders>
              <w:bottom w:val="single" w:sz="12" w:space="0" w:color="auto"/>
            </w:tcBorders>
            <w:shd w:val="clear" w:color="auto" w:fill="auto"/>
            <w:tcMar>
              <w:left w:w="28" w:type="dxa"/>
              <w:right w:w="28" w:type="dxa"/>
            </w:tcMar>
            <w:hideMark/>
          </w:tcPr>
          <w:p w14:paraId="5F1A1D3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R2=0.02, p=0.690</w:t>
            </w:r>
          </w:p>
        </w:tc>
        <w:tc>
          <w:tcPr>
            <w:tcW w:w="1072" w:type="dxa"/>
            <w:tcBorders>
              <w:bottom w:val="single" w:sz="12" w:space="0" w:color="auto"/>
              <w:right w:val="single" w:sz="12" w:space="0" w:color="auto"/>
            </w:tcBorders>
            <w:shd w:val="clear" w:color="auto" w:fill="auto"/>
            <w:tcMar>
              <w:left w:w="28" w:type="dxa"/>
              <w:right w:w="28" w:type="dxa"/>
            </w:tcMar>
            <w:hideMark/>
          </w:tcPr>
          <w:p w14:paraId="07E0B1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hideMark/>
          </w:tcPr>
          <w:p w14:paraId="520893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hideMark/>
          </w:tcPr>
          <w:p w14:paraId="2E047DC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bottom w:val="single" w:sz="12" w:space="0" w:color="auto"/>
            </w:tcBorders>
            <w:shd w:val="clear" w:color="auto" w:fill="auto"/>
            <w:tcMar>
              <w:left w:w="28" w:type="dxa"/>
              <w:right w:w="28" w:type="dxa"/>
            </w:tcMar>
            <w:hideMark/>
          </w:tcPr>
          <w:p w14:paraId="7D59D1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1619230"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704162EF" w14:textId="5D0479E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Delea 2012</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&lt;EndNote&gt;&lt;Cite&gt;&lt;Author&gt;Delea&lt;/Author&gt;&lt;Year&gt;2012&lt;/Year&gt;&lt;RecNum&gt;633&lt;/RecNum&gt;&lt;IDText&gt;$$include full text KC&amp;#xD;$$From Haslam (ref 81)&lt;/IDText&gt;&lt;DisplayText&gt;&lt;style face="superscript"&gt;92&lt;/style&gt;&lt;/DisplayText&gt;&lt;record&gt;&lt;rec-number&gt;633&lt;/rec-number&gt;&lt;foreign-keys&gt;&lt;key app="EN" db-id="dwaevxvazfs2f3ewvzmxrd0k0wasw55p2z2w" timestamp="1557310629"&gt;633&lt;/key&gt;&lt;/foreign-keys&gt;&lt;ref-type name="Journal Article"&gt;17&lt;/ref-type&gt;&lt;contributors&gt;&lt;authors&gt;&lt;author&gt;Delea, T. E.&lt;/author&gt;&lt;author&gt;Khuu, A.&lt;/author&gt;&lt;author&gt;Heng, D. Y. C.&lt;/author&gt;&lt;author&gt;Haas, T.&lt;/author&gt;&lt;author&gt;Soulieres, D.&lt;/author&gt;&lt;/authors&gt;&lt;/contributors&gt;&lt;titles&gt;&lt;title&gt;Association between treatment effects on disease progression end points and overall survival in clinical studies of patients with metastatic renal cell carcinoma&lt;/title&gt;&lt;secondary-title&gt;British Journal of Cancer&lt;/secondary-title&gt;&lt;/titles&gt;&lt;periodical&gt;&lt;full-title&gt;British Journal of Cancer&lt;/full-title&gt;&lt;abbr-1&gt;Br J Cancer&lt;/abbr-1&gt;&lt;/periodical&gt;&lt;pages&gt;1059-1068&lt;/pages&gt;&lt;volume&gt;107&lt;/volume&gt;&lt;number&gt;7&lt;/number&gt;&lt;keywords&gt;&lt;keyword&gt;$$include abstract KC&lt;/keyword&gt;&lt;keyword&gt;$$Broad search&lt;/keyword&gt;&lt;/keywords&gt;&lt;dates&gt;&lt;year&gt;2012&lt;/year&gt;&lt;pub-dates&gt;&lt;date&gt;Sep&lt;/date&gt;&lt;/pub-dates&gt;&lt;/dates&gt;&lt;isbn&gt;0007-0920&lt;/isbn&gt;&lt;accession-num&gt;WOS:000309540800009&lt;/accession-num&gt;&lt;label&gt;$$include full text KC&amp;#xD;$$From Haslam (ref 81)&lt;/label&gt;&lt;urls&gt;&lt;/urls&gt;&lt;electronic-resource-num&gt;10.1038/bjc.2012.367&lt;/electronic-resource-num&gt;&lt;research-notes&gt;&lt;style face="underline" font="default" size="100%"&gt;&amp;lt;Go to ISI&amp;gt;://WOS:000309540800009&lt;/style&gt;&lt;/research-notes&gt;&lt;/record&gt;&lt;/Cite&gt;&lt;/EndNote&gt;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92</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177D6EED"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421536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42DB22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Renal cell</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6BC97F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2C208FC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Cytokine or targeted</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78399C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554876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10943</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5804FE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Pearson, wtd (ln(rr)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-lnHR OS)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529C15F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r=0.78, p&lt;0.0001</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490401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WLSR adj R2 (ln 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-lnHR OS)</w:t>
            </w:r>
          </w:p>
        </w:tc>
        <w:tc>
          <w:tcPr>
            <w:tcW w:w="1559" w:type="dxa"/>
            <w:tcBorders>
              <w:top w:val="single" w:sz="12" w:space="0" w:color="auto"/>
              <w:bottom w:val="single" w:sz="4" w:space="0" w:color="auto"/>
            </w:tcBorders>
            <w:shd w:val="clear" w:color="auto" w:fill="auto"/>
            <w:tcMar>
              <w:left w:w="28" w:type="dxa"/>
              <w:right w:w="28" w:type="dxa"/>
            </w:tcMar>
            <w:hideMark/>
          </w:tcPr>
          <w:p w14:paraId="39B656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R2=0.59, p&lt;0.0001</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2330EC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-lnHR OS = -0.11 + 0.30 * lnrr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26F1C67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245844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bottom w:val="single" w:sz="4" w:space="0" w:color="auto"/>
            </w:tcBorders>
            <w:shd w:val="clear" w:color="auto" w:fill="auto"/>
            <w:tcMar>
              <w:left w:w="28" w:type="dxa"/>
              <w:right w:w="28" w:type="dxa"/>
            </w:tcMar>
            <w:hideMark/>
          </w:tcPr>
          <w:p w14:paraId="693BACD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4EA8CAD"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07320120" w14:textId="744B405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Petrelli 2013</w:t>
            </w:r>
            <w:r w:rsidRPr="002D1DD7">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PEVuZE5vdGU+PENpdGU+PEF1dGhvcj5QZXRyZWxsaTwvQXV0aG9yPjxZZWFyPjIwMTM8L1llYXI+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=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123</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2461D94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58D868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11BD7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Renal cell</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2424F06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38277D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5E15EE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0A5D5D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3188</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3AC6A4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Pearson, wtd</w:t>
            </w:r>
            <w:r w:rsidRPr="002D1DD7">
              <w:rPr>
                <w:rFonts w:eastAsia="Times New Roman" w:cs="Times New Roman"/>
                <w:color w:val="000000"/>
                <w:sz w:val="18"/>
                <w:szCs w:val="18"/>
                <w:lang w:eastAsia="zh-CN"/>
              </w:rPr>
              <w:br/>
              <w:t>b) Spearman, wtd</w:t>
            </w:r>
            <w:r w:rsidRPr="002D1DD7">
              <w:rPr>
                <w:rFonts w:eastAsia="Times New Roman" w:cs="Times New Roman"/>
                <w:color w:val="000000"/>
                <w:sz w:val="18"/>
                <w:szCs w:val="18"/>
                <w:lang w:eastAsia="zh-CN"/>
              </w:rPr>
              <w:br/>
              <w:t xml:space="preserve">(diff med OS vs.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71AAE6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 =0.52, p&lt;0.0001</w:t>
            </w:r>
            <w:r w:rsidRPr="002D1DD7">
              <w:rPr>
                <w:rFonts w:eastAsia="Times New Roman" w:cs="Times New Roman"/>
                <w:color w:val="000000"/>
                <w:sz w:val="18"/>
                <w:szCs w:val="18"/>
                <w:lang w:eastAsia="zh-CN"/>
              </w:rPr>
              <w:br/>
              <w:t>b) rs = 0.49, p&lt;0.0001</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445EDE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w:t>
            </w:r>
          </w:p>
        </w:tc>
        <w:tc>
          <w:tcPr>
            <w:tcW w:w="1559" w:type="dxa"/>
            <w:tcBorders>
              <w:top w:val="single" w:sz="4" w:space="0" w:color="auto"/>
              <w:bottom w:val="single" w:sz="12" w:space="0" w:color="auto"/>
            </w:tcBorders>
            <w:shd w:val="clear" w:color="auto" w:fill="auto"/>
            <w:tcMar>
              <w:left w:w="28" w:type="dxa"/>
              <w:right w:w="28" w:type="dxa"/>
            </w:tcMar>
            <w:hideMark/>
          </w:tcPr>
          <w:p w14:paraId="0684BB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R2=0.27, p=NR</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2D25552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C4197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4B6D83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hideMark/>
          </w:tcPr>
          <w:p w14:paraId="434ABA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Fair</w:t>
            </w:r>
          </w:p>
        </w:tc>
      </w:tr>
      <w:tr w:rsidR="002E26FD" w:rsidRPr="002D1DD7" w14:paraId="645206F4"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hideMark/>
          </w:tcPr>
          <w:p w14:paraId="55237C2C" w14:textId="0CAE99B0"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Tanaka 2019</w:t>
            </w:r>
            <w:r w:rsidRPr="002D1DD7">
              <w:rPr>
                <w:rFonts w:eastAsia="Times New Roman" w:cs="Times New Roman"/>
                <w:color w:val="000000"/>
                <w:sz w:val="18"/>
                <w:szCs w:val="18"/>
                <w:lang w:eastAsia="zh-CN"/>
              </w:rPr>
              <w:fldChar w:fldCharType="begin"/>
            </w:r>
            <w:r w:rsidR="00054FE8">
              <w:rPr>
                <w:rFonts w:eastAsia="Times New Roman" w:cs="Times New Roman"/>
                <w:color w:val="000000"/>
                <w:sz w:val="18"/>
                <w:szCs w:val="18"/>
                <w:lang w:eastAsia="zh-CN"/>
              </w:rPr>
              <w:instrText xml:space="preserve"> ADDIN EN.CITE &lt;EndNote&gt;&lt;Cite&gt;&lt;Author&gt;Tanaka&lt;/Author&gt;&lt;Year&gt;2019&lt;/Year&gt;&lt;RecNum&gt;2902&lt;/RecNum&gt;&lt;IDText&gt;$$include full text PT&lt;/IDText&gt;&lt;DisplayText&gt;&lt;style face="superscript"&gt;134&lt;/style&gt;&lt;/DisplayText&gt;&lt;record&gt;&lt;rec-number&gt;2902&lt;/rec-number&gt;&lt;foreign-keys&gt;&lt;key app="EN" db-id="dwaevxvazfs2f3ewvzmxrd0k0wasw55p2z2w" timestamp="1557311070"&gt;2902&lt;/key&gt;&lt;/foreign-keys&gt;&lt;ref-type name="Journal Article"&gt;17&lt;/ref-type&gt;&lt;contributors&gt;&lt;authors&gt;&lt;author&gt;Tanaka, K.&lt;/author&gt;&lt;author&gt;Kawano, M.&lt;/author&gt;&lt;author&gt;Iwasaki, T.&lt;/author&gt;&lt;author&gt;Itonaga, I.&lt;/author&gt;&lt;author&gt;Tsumura, H.&lt;/author&gt;&lt;/authors&gt;&lt;/contributors&gt;&lt;titles&gt;&lt;title&gt;Surrogacy of intermediate endpoints for overall survival in randomized controlled trials of first-line treatment for advanced soft tissue sarcoma in the pre- and post-pazopanib era: A meta-analytic evaluation&lt;/title&gt;&lt;secondary-title&gt;BMC Cancer&lt;/secondary-title&gt;&lt;/titles&gt;&lt;periodical&gt;&lt;full-title&gt;BMC CANCER&lt;/full-title&gt;&lt;abbr-1&gt;BMC Cancer&lt;/abbr-1&gt;&lt;/periodical&gt;&lt;volume&gt;19 (1)&lt;/volume&gt;&lt;number&gt;56&lt;/number&gt;&lt;keywords&gt;&lt;keyword&gt;$$include abstract PT&lt;/keyword&gt;&lt;keyword&gt;$$Broad search $$Citation search&lt;/keyword&gt;&lt;/keywords&gt;&lt;dates&gt;&lt;year&gt;2019&lt;/year&gt;&lt;pub-dates&gt;&lt;date&gt;11 Jan&lt;/date&gt;&lt;/pub-dates&gt;&lt;/dates&gt;&lt;label&gt;$$include full text PT&lt;/label&gt;&lt;urls&gt;&lt;/urls&gt;&lt;remote-database-name&gt;Embase&lt;/remote-database-name&gt;&lt;remote-database-provider&gt;Ovid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size="100%"&gt;http://ovidsp.ovid.com/ovidweb.cgi?T=JS&amp;amp;CSC=Y&amp;amp;NEWS=N&amp;amp;PAGE=fulltext&amp;amp;D=emexb&amp;amp;AN=625859009&lt;/style&gt;&lt;/research-notes&gt;&lt;/record&gt;&lt;/Cite&gt;&lt;/EndNote&gt;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134</w:t>
            </w:r>
            <w:r w:rsidRPr="002D1DD7">
              <w:rPr>
                <w:rFonts w:eastAsia="Times New Roman" w:cs="Times New Roman"/>
                <w:color w:val="000000"/>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4D5F8E1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bottom w:val="single" w:sz="4" w:space="0" w:color="auto"/>
              <w:right w:val="single" w:sz="12" w:space="0" w:color="auto"/>
            </w:tcBorders>
            <w:tcMar>
              <w:left w:w="28" w:type="dxa"/>
              <w:right w:w="28" w:type="dxa"/>
            </w:tcMar>
          </w:tcPr>
          <w:p w14:paraId="65DA9D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0ECFE0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Soft tissue sarcoma</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hideMark/>
          </w:tcPr>
          <w:p w14:paraId="57F084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hideMark/>
          </w:tcPr>
          <w:p w14:paraId="41207C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hideMark/>
          </w:tcPr>
          <w:p w14:paraId="16431C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27</w:t>
            </w:r>
            <w:r w:rsidRPr="002D1DD7">
              <w:rPr>
                <w:rFonts w:eastAsia="Times New Roman" w:cs="Times New Roman"/>
                <w:color w:val="000000"/>
                <w:sz w:val="18"/>
                <w:szCs w:val="18"/>
                <w:vertAlign w:val="superscript"/>
                <w:lang w:eastAsia="zh-CN"/>
              </w:rPr>
              <w:t>†</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hideMark/>
          </w:tcPr>
          <w:p w14:paraId="2797A3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6156</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hideMark/>
          </w:tcPr>
          <w:p w14:paraId="7F63310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Kendall's Tau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hideMark/>
          </w:tcPr>
          <w:p w14:paraId="1B5CB8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τ=0.41, p=NR</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hideMark/>
          </w:tcPr>
          <w:p w14:paraId="4F155F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Regression (NR)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tcBorders>
              <w:top w:val="single" w:sz="12" w:space="0" w:color="auto"/>
              <w:bottom w:val="single" w:sz="4" w:space="0" w:color="auto"/>
            </w:tcBorders>
            <w:shd w:val="clear" w:color="auto" w:fill="auto"/>
            <w:tcMar>
              <w:left w:w="28" w:type="dxa"/>
              <w:right w:w="28" w:type="dxa"/>
            </w:tcMar>
            <w:hideMark/>
          </w:tcPr>
          <w:p w14:paraId="020BA1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R2=0.28 (0.02 to 0.54), p=NR</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hideMark/>
          </w:tcPr>
          <w:p w14:paraId="1347A9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hideMark/>
          </w:tcPr>
          <w:p w14:paraId="3F45DE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hideMark/>
          </w:tcPr>
          <w:p w14:paraId="767D12A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hideMark/>
          </w:tcPr>
          <w:p w14:paraId="37416F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3978E08"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hideMark/>
          </w:tcPr>
          <w:p w14:paraId="39E1AC09" w14:textId="53EBC1C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Zer 2016</w:t>
            </w:r>
            <w:r w:rsidRPr="002D1DD7">
              <w:rPr>
                <w:rFonts w:eastAsia="Times New Roman" w:cs="Times New Roman"/>
                <w:color w:val="000000"/>
                <w:sz w:val="18"/>
                <w:szCs w:val="18"/>
                <w:lang w:eastAsia="zh-CN"/>
              </w:rPr>
              <w:fldChar w:fldCharType="begin">
                <w:fldData xml:space="preserve">PEVuZE5vdGU+PENpdGU+PEF1dGhvcj5aZXI8L0F1dGhvcj48WWVhcj4yMDE2PC9ZZWFyPjxSZWNO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PVkmYW1wO05FV1M9TiZhbXA7UEFHRT1mdWxsdGV4dCZhbXA7RD1tZWQxMiZhbXA7QU49MjY5NTEz
MDg8L3N0eWxlPjxzdHlsZSBmYWNlPSJub3JtYWwiIGZvbnQ9ImRlZmF1bHQiIHNpemU9IjEwMCUi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aWQ9cG1pZDoyNjk1MTMwOCZhbXA7aWQ9ZG9pOjEwLjEyMDAlMkZKQ08uMjAxNS42NC4zNDM3JmFt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PEVuZE5vdGU+PENpdGU+PEF1dGhvcj5aZXI8L0F1dGhvcj48WWVhcj4yMDE2PC9ZZWFyPjxSZWNO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140</w:t>
            </w:r>
            <w:r w:rsidRPr="002D1DD7">
              <w:rPr>
                <w:rFonts w:eastAsia="Times New Roman" w:cs="Times New Roman"/>
                <w:color w:val="000000"/>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2191B69B"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4" w:space="0" w:color="auto"/>
              <w:bottom w:val="single" w:sz="12" w:space="0" w:color="auto"/>
              <w:right w:val="single" w:sz="12" w:space="0" w:color="auto"/>
            </w:tcBorders>
            <w:tcMar>
              <w:left w:w="28" w:type="dxa"/>
              <w:right w:w="28" w:type="dxa"/>
            </w:tcMar>
          </w:tcPr>
          <w:p w14:paraId="6E1709E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4E412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Soft tissue sarcoma</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hideMark/>
          </w:tcPr>
          <w:p w14:paraId="3CB6DB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hideMark/>
          </w:tcPr>
          <w:p w14:paraId="4E0F89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Systemic</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hideMark/>
          </w:tcPr>
          <w:p w14:paraId="45142E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52</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hideMark/>
          </w:tcPr>
          <w:p w14:paraId="324741A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9762</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hideMark/>
          </w:tcPr>
          <w:p w14:paraId="72AD92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Correlation (NR) via WLR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hideMark/>
          </w:tcPr>
          <w:p w14:paraId="07D58BB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r=0.51, p=NR</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hideMark/>
          </w:tcPr>
          <w:p w14:paraId="265E15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4" w:space="0" w:color="auto"/>
              <w:bottom w:val="single" w:sz="12" w:space="0" w:color="auto"/>
            </w:tcBorders>
            <w:shd w:val="clear" w:color="auto" w:fill="auto"/>
            <w:tcMar>
              <w:left w:w="28" w:type="dxa"/>
              <w:right w:w="28" w:type="dxa"/>
            </w:tcMar>
            <w:hideMark/>
          </w:tcPr>
          <w:p w14:paraId="025A22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hideMark/>
          </w:tcPr>
          <w:p w14:paraId="56F81F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hideMark/>
          </w:tcPr>
          <w:p w14:paraId="07ED7D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hideMark/>
          </w:tcPr>
          <w:p w14:paraId="3D059C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hideMark/>
          </w:tcPr>
          <w:p w14:paraId="1B4866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B79017D"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hideMark/>
          </w:tcPr>
          <w:p w14:paraId="28308F91" w14:textId="5970D84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Kaufman 2018</w:t>
            </w:r>
            <w:r w:rsidRPr="002D1DD7">
              <w:rPr>
                <w:rFonts w:eastAsia="Times New Roman" w:cs="Times New Roman"/>
                <w:sz w:val="18"/>
                <w:szCs w:val="18"/>
                <w:lang w:eastAsia="zh-CN"/>
              </w:rPr>
              <w:fldChar w:fldCharType="begin">
                <w:fldData xml:space="preserve">PEVuZE5vdGU+PENpdGU+PEF1dGhvcj5LYXVmbWFuPC9BdXRob3I+PFllYXI+MjAxODwvWWVhcj48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dGV4dCZhbXA7RD1tZWQxMyZhbXA7QU49MzAxMzIxMTgmI3hEO2h0dHA6Ly9yZXNvbHZlci5zaGVm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PEVuZE5vdGU+PENpdGU+PEF1dGhvcj5LYXVmbWFuPC9BdXRob3I+PFllYXI+MjAxODwvWWVhcj48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dGV4dCZhbXA7RD1tZWQxMyZhbXA7QU49MzAxMzIxMTgmI3hEO2h0dHA6Ly9yZXNvbHZlci5zaGVm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107</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6A006C2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top w:val="single" w:sz="12" w:space="0" w:color="auto"/>
              <w:right w:val="single" w:sz="12" w:space="0" w:color="auto"/>
            </w:tcBorders>
            <w:tcMar>
              <w:left w:w="28" w:type="dxa"/>
              <w:right w:w="28" w:type="dxa"/>
            </w:tcMar>
          </w:tcPr>
          <w:p w14:paraId="2D4273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hideMark/>
          </w:tcPr>
          <w:p w14:paraId="69626D6C"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Various solid tumours</w:t>
            </w:r>
          </w:p>
        </w:tc>
        <w:tc>
          <w:tcPr>
            <w:tcW w:w="1134" w:type="dxa"/>
            <w:tcBorders>
              <w:top w:val="single" w:sz="12" w:space="0" w:color="auto"/>
              <w:left w:val="single" w:sz="12" w:space="0" w:color="auto"/>
            </w:tcBorders>
            <w:shd w:val="clear" w:color="auto" w:fill="auto"/>
            <w:tcMar>
              <w:left w:w="28" w:type="dxa"/>
              <w:right w:w="28" w:type="dxa"/>
            </w:tcMar>
            <w:hideMark/>
          </w:tcPr>
          <w:p w14:paraId="000CA7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top w:val="single" w:sz="12" w:space="0" w:color="auto"/>
              <w:right w:val="single" w:sz="12" w:space="0" w:color="auto"/>
            </w:tcBorders>
            <w:shd w:val="clear" w:color="auto" w:fill="auto"/>
            <w:tcMar>
              <w:left w:w="28" w:type="dxa"/>
              <w:right w:w="28" w:type="dxa"/>
            </w:tcMar>
            <w:hideMark/>
          </w:tcPr>
          <w:p w14:paraId="0075FB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 chemo</w:t>
            </w:r>
          </w:p>
        </w:tc>
        <w:tc>
          <w:tcPr>
            <w:tcW w:w="567" w:type="dxa"/>
            <w:tcBorders>
              <w:top w:val="single" w:sz="12" w:space="0" w:color="auto"/>
              <w:left w:val="single" w:sz="12" w:space="0" w:color="auto"/>
            </w:tcBorders>
            <w:shd w:val="clear" w:color="auto" w:fill="auto"/>
            <w:tcMar>
              <w:left w:w="28" w:type="dxa"/>
              <w:right w:w="28" w:type="dxa"/>
            </w:tcMar>
            <w:hideMark/>
          </w:tcPr>
          <w:p w14:paraId="4948F5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27</w:t>
            </w:r>
            <w:r w:rsidRPr="002D1DD7">
              <w:rPr>
                <w:rFonts w:eastAsia="Times New Roman" w:cs="Times New Roman"/>
                <w:color w:val="000000"/>
                <w:sz w:val="18"/>
                <w:szCs w:val="18"/>
                <w:vertAlign w:val="superscript"/>
                <w:lang w:eastAsia="zh-CN"/>
              </w:rPr>
              <w:t>†</w:t>
            </w:r>
          </w:p>
        </w:tc>
        <w:tc>
          <w:tcPr>
            <w:tcW w:w="709" w:type="dxa"/>
            <w:tcBorders>
              <w:top w:val="single" w:sz="12" w:space="0" w:color="auto"/>
              <w:right w:val="single" w:sz="12" w:space="0" w:color="auto"/>
            </w:tcBorders>
            <w:shd w:val="clear" w:color="auto" w:fill="auto"/>
            <w:tcMar>
              <w:left w:w="28" w:type="dxa"/>
              <w:right w:w="28" w:type="dxa"/>
            </w:tcMar>
            <w:hideMark/>
          </w:tcPr>
          <w:p w14:paraId="0EF999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10300</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tcBorders>
            <w:shd w:val="clear" w:color="auto" w:fill="auto"/>
            <w:tcMar>
              <w:left w:w="28" w:type="dxa"/>
              <w:right w:w="28" w:type="dxa"/>
            </w:tcMar>
            <w:hideMark/>
          </w:tcPr>
          <w:p w14:paraId="187F55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right w:val="single" w:sz="12" w:space="0" w:color="auto"/>
            </w:tcBorders>
            <w:shd w:val="clear" w:color="auto" w:fill="auto"/>
            <w:tcMar>
              <w:left w:w="28" w:type="dxa"/>
              <w:right w:w="28" w:type="dxa"/>
            </w:tcMar>
            <w:hideMark/>
          </w:tcPr>
          <w:p w14:paraId="67ED6E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tcBorders>
            <w:shd w:val="clear" w:color="auto" w:fill="auto"/>
            <w:tcMar>
              <w:left w:w="28" w:type="dxa"/>
              <w:right w:w="28" w:type="dxa"/>
            </w:tcMar>
            <w:hideMark/>
          </w:tcPr>
          <w:p w14:paraId="1ABB65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adj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tcBorders>
              <w:top w:val="single" w:sz="12" w:space="0" w:color="auto"/>
            </w:tcBorders>
            <w:shd w:val="clear" w:color="auto" w:fill="auto"/>
            <w:tcMar>
              <w:left w:w="28" w:type="dxa"/>
              <w:right w:w="28" w:type="dxa"/>
            </w:tcMar>
            <w:hideMark/>
          </w:tcPr>
          <w:p w14:paraId="222DB4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 -0.07, p=0.866</w:t>
            </w:r>
          </w:p>
        </w:tc>
        <w:tc>
          <w:tcPr>
            <w:tcW w:w="1072" w:type="dxa"/>
            <w:tcBorders>
              <w:top w:val="single" w:sz="12" w:space="0" w:color="auto"/>
              <w:right w:val="single" w:sz="12" w:space="0" w:color="auto"/>
            </w:tcBorders>
            <w:shd w:val="clear" w:color="auto" w:fill="auto"/>
            <w:tcMar>
              <w:left w:w="28" w:type="dxa"/>
              <w:right w:w="28" w:type="dxa"/>
            </w:tcMar>
            <w:hideMark/>
          </w:tcPr>
          <w:p w14:paraId="4E69C0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hideMark/>
          </w:tcPr>
          <w:p w14:paraId="4A086E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hideMark/>
          </w:tcPr>
          <w:p w14:paraId="409011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c>
          <w:tcPr>
            <w:tcW w:w="644" w:type="dxa"/>
            <w:tcBorders>
              <w:top w:val="single" w:sz="12" w:space="0" w:color="auto"/>
            </w:tcBorders>
            <w:shd w:val="clear" w:color="auto" w:fill="auto"/>
            <w:tcMar>
              <w:left w:w="28" w:type="dxa"/>
              <w:right w:w="28" w:type="dxa"/>
            </w:tcMar>
            <w:hideMark/>
          </w:tcPr>
          <w:p w14:paraId="71FC69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E8700C7" w14:textId="77777777" w:rsidTr="003117A9">
        <w:trPr>
          <w:cantSplit/>
        </w:trPr>
        <w:tc>
          <w:tcPr>
            <w:tcW w:w="988" w:type="dxa"/>
            <w:tcBorders>
              <w:right w:val="single" w:sz="12" w:space="0" w:color="auto"/>
            </w:tcBorders>
            <w:shd w:val="clear" w:color="auto" w:fill="auto"/>
            <w:tcMar>
              <w:left w:w="28" w:type="dxa"/>
              <w:right w:w="28" w:type="dxa"/>
            </w:tcMar>
            <w:hideMark/>
          </w:tcPr>
          <w:p w14:paraId="6C3B086D" w14:textId="2D8E3A1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Kaufman 2018</w:t>
            </w:r>
            <w:r w:rsidRPr="002D1DD7">
              <w:rPr>
                <w:rFonts w:eastAsia="Times New Roman" w:cs="Times New Roman"/>
                <w:sz w:val="18"/>
                <w:szCs w:val="18"/>
                <w:lang w:eastAsia="zh-CN"/>
              </w:rPr>
              <w:fldChar w:fldCharType="begin">
                <w:fldData xml:space="preserve">PEVuZE5vdGU+PENpdGU+PEF1dGhvcj5LYXVmbWFuPC9BdXRob3I+PFllYXI+MjAxODwvWWVhcj48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dGV4dCZhbXA7RD1tZWQxMyZhbXA7QU49MzAxMzIxMTgmI3hEO2h0dHA6Ly9yZXNvbHZlci5zaGVm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PEVuZE5vdGU+PENpdGU+PEF1dGhvcj5LYXVmbWFuPC9BdXRob3I+PFllYXI+MjAxODwvWWVhcj48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107</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2FBF2CB8"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42350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69DBFCA1"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377794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017FBE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alone</w:t>
            </w:r>
          </w:p>
        </w:tc>
        <w:tc>
          <w:tcPr>
            <w:tcW w:w="567" w:type="dxa"/>
            <w:tcBorders>
              <w:left w:val="single" w:sz="12" w:space="0" w:color="auto"/>
            </w:tcBorders>
            <w:shd w:val="clear" w:color="auto" w:fill="auto"/>
            <w:tcMar>
              <w:left w:w="28" w:type="dxa"/>
              <w:right w:w="28" w:type="dxa"/>
            </w:tcMar>
            <w:hideMark/>
          </w:tcPr>
          <w:p w14:paraId="1CADF8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09" w:type="dxa"/>
            <w:tcBorders>
              <w:right w:val="single" w:sz="12" w:space="0" w:color="auto"/>
            </w:tcBorders>
            <w:shd w:val="clear" w:color="auto" w:fill="auto"/>
            <w:tcMar>
              <w:left w:w="28" w:type="dxa"/>
              <w:right w:w="28" w:type="dxa"/>
            </w:tcMar>
            <w:hideMark/>
          </w:tcPr>
          <w:p w14:paraId="5922C0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25514B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3AC6D9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7994F1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adj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61FB0E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Adj R2= -0.08, p=0.799</w:t>
            </w:r>
          </w:p>
        </w:tc>
        <w:tc>
          <w:tcPr>
            <w:tcW w:w="1072" w:type="dxa"/>
            <w:tcBorders>
              <w:right w:val="single" w:sz="12" w:space="0" w:color="auto"/>
            </w:tcBorders>
            <w:shd w:val="clear" w:color="auto" w:fill="auto"/>
            <w:tcMar>
              <w:left w:w="28" w:type="dxa"/>
              <w:right w:w="28" w:type="dxa"/>
            </w:tcMar>
            <w:hideMark/>
          </w:tcPr>
          <w:p w14:paraId="775761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6E32A5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280AF7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c>
          <w:tcPr>
            <w:tcW w:w="644" w:type="dxa"/>
            <w:shd w:val="clear" w:color="auto" w:fill="auto"/>
            <w:tcMar>
              <w:left w:w="28" w:type="dxa"/>
              <w:right w:w="28" w:type="dxa"/>
            </w:tcMar>
            <w:hideMark/>
          </w:tcPr>
          <w:p w14:paraId="47C6BE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FAFCF63" w14:textId="77777777" w:rsidTr="003117A9">
        <w:trPr>
          <w:cantSplit/>
        </w:trPr>
        <w:tc>
          <w:tcPr>
            <w:tcW w:w="988" w:type="dxa"/>
            <w:tcBorders>
              <w:right w:val="single" w:sz="12" w:space="0" w:color="auto"/>
            </w:tcBorders>
            <w:shd w:val="clear" w:color="auto" w:fill="auto"/>
            <w:tcMar>
              <w:left w:w="28" w:type="dxa"/>
              <w:right w:w="28" w:type="dxa"/>
            </w:tcMar>
            <w:hideMark/>
          </w:tcPr>
          <w:p w14:paraId="0C35A8B0" w14:textId="1879333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Mushti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&lt;EndNote&gt;&lt;Cite&gt;&lt;Author&gt;Mushti&lt;/Author&gt;&lt;Year&gt;2018&lt;/Year&gt;&lt;RecNum&gt;2115&lt;/RecNum&gt;&lt;IDText&gt;$$include full text PT&amp;#xD;$$From Haslam (ref 92)&lt;/IDText&gt;&lt;DisplayText&gt;&lt;style face="superscript"&gt;117&lt;/style&gt;&lt;/DisplayText&gt;&lt;record&gt;&lt;rec-number&gt;2115&lt;/rec-number&gt;&lt;foreign-keys&gt;&lt;key app="EN" db-id="dwaevxvazfs2f3ewvzmxrd0k0wasw55p2z2w" timestamp="1557310915"&gt;2115&lt;/key&gt;&lt;/foreign-keys&gt;&lt;ref-type name="Journal Article"&gt;17&lt;/ref-type&gt;&lt;contributors&gt;&lt;authors&gt;&lt;author&gt;Mushti, S. L.&lt;/author&gt;&lt;author&gt;Mulkey, F.&lt;/author&gt;&lt;author&gt;Sridhara, R.&lt;/author&gt;&lt;/authors&gt;&lt;/contributors&gt;&lt;titles&gt;&lt;title&gt;Evaluation of overall response rate and progression-free survival as potential surrogate endpoints for overall survival in immunotherapy trials&lt;/title&gt;&lt;secondary-title&gt;Clinical Cancer Research&lt;/secondary-title&gt;&lt;/titles&gt;&lt;periodical&gt;&lt;full-title&gt;Clinical Cancer Research&lt;/full-title&gt;&lt;abbr-1&gt;Clin Cancer Res&lt;/abbr-1&gt;&lt;/periodical&gt;&lt;pages&gt;2268-2275&lt;/pages&gt;&lt;volume&gt;24&lt;/volume&gt;&lt;number&gt;10&lt;/number&gt;&lt;keywords&gt;&lt;keyword&gt;$$include abstract PT&lt;/keyword&gt;&lt;keyword&gt;$$Broad search $$Citation search&lt;/keyword&gt;&lt;/keywords&gt;&lt;dates&gt;&lt;year&gt;2018&lt;/year&gt;&lt;pub-dates&gt;&lt;date&gt;May&lt;/date&gt;&lt;/pub-dates&gt;&lt;/dates&gt;&lt;isbn&gt;1078-0432&lt;/isbn&gt;&lt;accession-num&gt;WOS:000432329600006&lt;/accession-num&gt;&lt;label&gt;$$include full text PT&amp;#xD;$$From Haslam (ref 92)&lt;/label&gt;&lt;urls&gt;&lt;/urls&gt;&lt;electronic-resource-num&gt;10.1158/1078.0432.Ccr17.1902&lt;/electronic-resource-num&gt;&lt;research-notes&gt;&lt;style face="underline" font="default" size="100%"&gt;&amp;lt;Go to ISI&amp;gt;://WOS:000432329600006&lt;/style&gt;&lt;/research-notes&gt;&lt;/record&gt;&lt;/Cite&gt;&lt;/EndNote&gt;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117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01952BFA"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2C4C6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6203BE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44C0DC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right w:val="single" w:sz="12" w:space="0" w:color="auto"/>
            </w:tcBorders>
            <w:shd w:val="clear" w:color="auto" w:fill="auto"/>
            <w:tcMar>
              <w:left w:w="28" w:type="dxa"/>
              <w:right w:w="28" w:type="dxa"/>
            </w:tcMar>
            <w:hideMark/>
          </w:tcPr>
          <w:p w14:paraId="35E90F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left w:val="single" w:sz="12" w:space="0" w:color="auto"/>
            </w:tcBorders>
            <w:shd w:val="clear" w:color="auto" w:fill="auto"/>
            <w:tcMar>
              <w:left w:w="28" w:type="dxa"/>
              <w:right w:w="28" w:type="dxa"/>
            </w:tcMar>
            <w:hideMark/>
          </w:tcPr>
          <w:p w14:paraId="48F139B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09" w:type="dxa"/>
            <w:tcBorders>
              <w:right w:val="single" w:sz="12" w:space="0" w:color="auto"/>
            </w:tcBorders>
            <w:shd w:val="clear" w:color="auto" w:fill="auto"/>
            <w:tcMar>
              <w:left w:w="28" w:type="dxa"/>
              <w:right w:w="28" w:type="dxa"/>
            </w:tcMar>
            <w:hideMark/>
          </w:tcPr>
          <w:p w14:paraId="6940A6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6722</w:t>
            </w:r>
          </w:p>
        </w:tc>
        <w:tc>
          <w:tcPr>
            <w:tcW w:w="1559" w:type="dxa"/>
            <w:tcBorders>
              <w:left w:val="single" w:sz="12" w:space="0" w:color="auto"/>
            </w:tcBorders>
            <w:shd w:val="clear" w:color="auto" w:fill="auto"/>
            <w:tcMar>
              <w:left w:w="28" w:type="dxa"/>
              <w:right w:w="28" w:type="dxa"/>
            </w:tcMar>
            <w:hideMark/>
          </w:tcPr>
          <w:p w14:paraId="704A22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671CD01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5768043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559" w:type="dxa"/>
            <w:shd w:val="clear" w:color="auto" w:fill="auto"/>
            <w:tcMar>
              <w:left w:w="28" w:type="dxa"/>
              <w:right w:w="28" w:type="dxa"/>
            </w:tcMar>
            <w:hideMark/>
          </w:tcPr>
          <w:p w14:paraId="4C7636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R2=0.13, p=NR</w:t>
            </w:r>
          </w:p>
        </w:tc>
        <w:tc>
          <w:tcPr>
            <w:tcW w:w="1072" w:type="dxa"/>
            <w:tcBorders>
              <w:right w:val="single" w:sz="12" w:space="0" w:color="auto"/>
            </w:tcBorders>
            <w:shd w:val="clear" w:color="auto" w:fill="auto"/>
            <w:tcMar>
              <w:left w:w="28" w:type="dxa"/>
              <w:right w:w="28" w:type="dxa"/>
            </w:tcMar>
            <w:hideMark/>
          </w:tcPr>
          <w:p w14:paraId="6E203B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65A0E4D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687870B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6F88D7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DE484B2" w14:textId="77777777" w:rsidTr="003117A9">
        <w:trPr>
          <w:cantSplit/>
        </w:trPr>
        <w:tc>
          <w:tcPr>
            <w:tcW w:w="988" w:type="dxa"/>
            <w:tcBorders>
              <w:right w:val="single" w:sz="12" w:space="0" w:color="auto"/>
            </w:tcBorders>
            <w:shd w:val="clear" w:color="auto" w:fill="auto"/>
            <w:tcMar>
              <w:left w:w="28" w:type="dxa"/>
              <w:right w:w="28" w:type="dxa"/>
            </w:tcMar>
            <w:hideMark/>
          </w:tcPr>
          <w:p w14:paraId="46B400ED" w14:textId="60FFC6B0"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Nie 2019</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&lt;EndNote&gt;&lt;Cite&gt;&lt;Author&gt;Nie&lt;/Author&gt;&lt;Year&gt;2019&lt;/Year&gt;&lt;RecNum&gt;2179&lt;/RecNum&gt;&lt;IDText&gt;$$include full text PT&lt;/IDText&gt;&lt;DisplayText&gt;&lt;style face="superscript"&gt;120&lt;/style&gt;&lt;/DisplayText&gt;&lt;record&gt;&lt;rec-number&gt;2179&lt;/rec-number&gt;&lt;foreign-keys&gt;&lt;key app="EN" db-id="dwaevxvazfs2f3ewvzmxrd0k0wasw55p2z2w" timestamp="1557310928"&gt;2179&lt;/key&gt;&lt;/foreign-keys&gt;&lt;ref-type name="Journal Article"&gt;17&lt;/ref-type&gt;&lt;contributors&gt;&lt;authors&gt;&lt;author&gt;Nie, R. C.&lt;/author&gt;&lt;author&gt;Chen, F. P.&lt;/author&gt;&lt;author&gt;Yuan, S. Q.&lt;/author&gt;&lt;author&gt;Luo, Y. S.&lt;/author&gt;&lt;author&gt;Chen, S.&lt;/author&gt;&lt;author&gt;Chen, Y. M.&lt;/author&gt;&lt;author&gt;Chen, X. J.&lt;/author&gt;&lt;author&gt;Chen, Y. B.&lt;/author&gt;&lt;author&gt;Li, Y. F.&lt;/author&gt;&lt;author&gt;Zhou, Z. W.&lt;/author&gt;&lt;/authors&gt;&lt;/contributors&gt;&lt;titles&gt;&lt;title&gt;Evaluation of objective response, disease control and progression-free survival as surrogate end-points for overall survival in anti-programmed death-1 and anti-programmed death ligand 1 trials&lt;/title&gt;&lt;secondary-title&gt;European Journal of Cancer&lt;/secondary-title&gt;&lt;/titles&gt;&lt;periodical&gt;&lt;full-title&gt;European Journal of Cancer&lt;/full-title&gt;&lt;abbr-1&gt;Eur J Cancer&lt;/abbr-1&gt;&lt;/periodical&gt;&lt;pages&gt;1-11&lt;/pages&gt;&lt;volume&gt;106&lt;/volume&gt;&lt;keywords&gt;&lt;keyword&gt;$$include abstract PT&lt;/keyword&gt;&lt;keyword&gt;$$Broad search $$Citation search&lt;/keyword&gt;&lt;/keywords&gt;&lt;dates&gt;&lt;year&gt;2019&lt;/year&gt;&lt;pub-dates&gt;&lt;date&gt;January&lt;/date&gt;&lt;/pub-dates&gt;&lt;/dates&gt;&lt;label&gt;$$include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size="100%"&gt;http://ovidsp.ovid.com/ovidweb.cgi?T=JS&amp;amp;CSC=Y&amp;amp;NEWS=N&amp;amp;PAGE=fulltext&amp;amp;D=emexa&amp;amp;AN=2001288035&lt;/style&gt;&lt;/research-notes&gt;&lt;/record&gt;&lt;/Cite&gt;&lt;/EndNote&gt;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120</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0294569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0FCADE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74C7F5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360FF4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Various </w:t>
            </w:r>
          </w:p>
        </w:tc>
        <w:tc>
          <w:tcPr>
            <w:tcW w:w="992" w:type="dxa"/>
            <w:tcBorders>
              <w:right w:val="single" w:sz="12" w:space="0" w:color="auto"/>
            </w:tcBorders>
            <w:shd w:val="clear" w:color="auto" w:fill="auto"/>
            <w:tcMar>
              <w:left w:w="28" w:type="dxa"/>
              <w:right w:w="28" w:type="dxa"/>
            </w:tcMar>
            <w:hideMark/>
          </w:tcPr>
          <w:p w14:paraId="1D2095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left w:val="single" w:sz="12" w:space="0" w:color="auto"/>
            </w:tcBorders>
            <w:shd w:val="clear" w:color="auto" w:fill="auto"/>
            <w:tcMar>
              <w:left w:w="28" w:type="dxa"/>
              <w:right w:w="28" w:type="dxa"/>
            </w:tcMar>
            <w:hideMark/>
          </w:tcPr>
          <w:p w14:paraId="06216B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43</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4B2C3D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15088</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7B4756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ABF73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1DCB1EA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(lnOR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lnHR OS)</w:t>
            </w:r>
          </w:p>
        </w:tc>
        <w:tc>
          <w:tcPr>
            <w:tcW w:w="1559" w:type="dxa"/>
            <w:shd w:val="clear" w:color="auto" w:fill="auto"/>
            <w:tcMar>
              <w:left w:w="28" w:type="dxa"/>
              <w:right w:w="28" w:type="dxa"/>
            </w:tcMar>
            <w:hideMark/>
          </w:tcPr>
          <w:p w14:paraId="14648F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R2=0.10, p=0.053</w:t>
            </w:r>
          </w:p>
        </w:tc>
        <w:tc>
          <w:tcPr>
            <w:tcW w:w="1072" w:type="dxa"/>
            <w:tcBorders>
              <w:right w:val="single" w:sz="12" w:space="0" w:color="auto"/>
            </w:tcBorders>
            <w:shd w:val="clear" w:color="auto" w:fill="auto"/>
            <w:tcMar>
              <w:left w:w="28" w:type="dxa"/>
              <w:right w:w="28" w:type="dxa"/>
            </w:tcMar>
            <w:hideMark/>
          </w:tcPr>
          <w:p w14:paraId="70D520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3B4F1A2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64AAAB3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027782E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61B92027" w14:textId="77777777" w:rsidTr="003117A9">
        <w:trPr>
          <w:cantSplit/>
        </w:trPr>
        <w:tc>
          <w:tcPr>
            <w:tcW w:w="988" w:type="dxa"/>
            <w:tcBorders>
              <w:right w:val="single" w:sz="12" w:space="0" w:color="auto"/>
            </w:tcBorders>
            <w:shd w:val="clear" w:color="auto" w:fill="auto"/>
            <w:tcMar>
              <w:left w:w="28" w:type="dxa"/>
              <w:right w:w="28" w:type="dxa"/>
            </w:tcMar>
            <w:hideMark/>
          </w:tcPr>
          <w:p w14:paraId="02C378C9" w14:textId="1D62812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Ritchie 2018</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&lt;EndNote&gt;&lt;Cite&gt;&lt;Author&gt;Ritchie&lt;/Author&gt;&lt;Year&gt;2018&lt;/Year&gt;&lt;RecNum&gt;2536&lt;/RecNum&gt;&lt;IDText&gt;$$include full text PT&lt;/IDText&gt;&lt;DisplayText&gt;&lt;style face="superscript"&gt;125&lt;/style&gt;&lt;/DisplayText&gt;&lt;record&gt;&lt;rec-number&gt;2536&lt;/rec-number&gt;&lt;foreign-keys&gt;&lt;key app="EN" db-id="dwaevxvazfs2f3ewvzmxrd0k0wasw55p2z2w" timestamp="1557310996"&gt;2536&lt;/key&gt;&lt;/foreign-keys&gt;&lt;ref-type name="Journal Article"&gt;17&lt;/ref-type&gt;&lt;contributors&gt;&lt;authors&gt;&lt;author&gt;Ritchie, G.&lt;/author&gt;&lt;author&gt;Gasper, H.&lt;/author&gt;&lt;author&gt;Man, J.&lt;/author&gt;&lt;author&gt;Lord, S.&lt;/author&gt;&lt;author&gt;Marschner, I.&lt;/author&gt;&lt;author&gt;Friedlander, M.&lt;/author&gt;&lt;author&gt;Lee, C. K.&lt;/author&gt;&lt;/authors&gt;&lt;/contributors&gt;&lt;titles&gt;&lt;title&gt;Defining the most appropriate primary end point in phase 2 trials of immune checkpoint inhibitors for advanced solid cancers a systematic review and meta-analysis&lt;/title&gt;&lt;secondary-title&gt;JAMA Oncology&lt;/secondary-title&gt;&lt;/titles&gt;&lt;periodical&gt;&lt;full-title&gt;JAMA Oncology&lt;/full-title&gt;&lt;abbr-1&gt;JAMA Oncol&lt;/abbr-1&gt;&lt;/periodical&gt;&lt;pages&gt;522-528&lt;/pages&gt;&lt;volume&gt;4&lt;/volume&gt;&lt;number&gt;4&lt;/number&gt;&lt;keywords&gt;&lt;keyword&gt;$$include abstract PT&lt;/keyword&gt;&lt;keyword&gt;$$Broad search&lt;/keyword&gt;&lt;/keywords&gt;&lt;dates&gt;&lt;year&gt;2018&lt;/year&gt;&lt;pub-dates&gt;&lt;date&gt;April&lt;/date&gt;&lt;/pub-dates&gt;&lt;/dates&gt;&lt;label&gt;$$include full text PT&lt;/label&gt;&lt;work-type&gt;Review&lt;/work-type&gt;&lt;urls&gt;&lt;/urls&gt;&lt;remote-database-name&gt;Embase&lt;/remote-database-name&gt;&lt;remote-database-provider&gt;Ovid Technologies&lt;/remote-database-provider&gt;&lt;research-notes&gt;&lt;style face="underline" font="default" size="100%"&gt;http://ovidsp.ovid.com/ovidweb.cgi?T=JS&amp;amp;CSC=Y&amp;amp;NEWS=N&amp;amp;PAGE=fulltext&amp;amp;D=emexb&amp;amp;AN=622325753&lt;/style&gt;&lt;/research-notes&gt;&lt;/record&gt;&lt;/Cite&gt;&lt;/EndNote&gt;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125</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1FFD7284"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91EED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129C46E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105886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All</w:t>
            </w:r>
          </w:p>
        </w:tc>
        <w:tc>
          <w:tcPr>
            <w:tcW w:w="992" w:type="dxa"/>
            <w:tcBorders>
              <w:right w:val="single" w:sz="12" w:space="0" w:color="auto"/>
            </w:tcBorders>
            <w:shd w:val="clear" w:color="auto" w:fill="auto"/>
            <w:tcMar>
              <w:left w:w="28" w:type="dxa"/>
              <w:right w:w="28" w:type="dxa"/>
            </w:tcMar>
            <w:hideMark/>
          </w:tcPr>
          <w:p w14:paraId="2F1C5A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 or CTLA4)</w:t>
            </w:r>
          </w:p>
        </w:tc>
        <w:tc>
          <w:tcPr>
            <w:tcW w:w="567" w:type="dxa"/>
            <w:tcBorders>
              <w:left w:val="single" w:sz="12" w:space="0" w:color="auto"/>
            </w:tcBorders>
            <w:shd w:val="clear" w:color="auto" w:fill="auto"/>
            <w:tcMar>
              <w:left w:w="28" w:type="dxa"/>
              <w:right w:w="28" w:type="dxa"/>
            </w:tcMar>
            <w:hideMark/>
          </w:tcPr>
          <w:p w14:paraId="6DC0F5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20</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1EA335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10828</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76469DF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Correlation (NR), wtd (OR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p>
        </w:tc>
        <w:tc>
          <w:tcPr>
            <w:tcW w:w="1460" w:type="dxa"/>
            <w:tcBorders>
              <w:right w:val="single" w:sz="12" w:space="0" w:color="auto"/>
            </w:tcBorders>
            <w:shd w:val="clear" w:color="auto" w:fill="auto"/>
            <w:tcMar>
              <w:left w:w="28" w:type="dxa"/>
              <w:right w:w="28" w:type="dxa"/>
            </w:tcMar>
            <w:hideMark/>
          </w:tcPr>
          <w:p w14:paraId="0E2641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r=0.57 (0.23 to 0.89), p=NR</w:t>
            </w:r>
          </w:p>
        </w:tc>
        <w:tc>
          <w:tcPr>
            <w:tcW w:w="1659" w:type="dxa"/>
            <w:tcBorders>
              <w:left w:val="single" w:sz="12" w:space="0" w:color="auto"/>
            </w:tcBorders>
            <w:shd w:val="clear" w:color="auto" w:fill="auto"/>
            <w:tcMar>
              <w:left w:w="28" w:type="dxa"/>
              <w:right w:w="28" w:type="dxa"/>
            </w:tcMar>
            <w:hideMark/>
          </w:tcPr>
          <w:p w14:paraId="6CBCFCF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hideMark/>
          </w:tcPr>
          <w:p w14:paraId="29425D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hideMark/>
          </w:tcPr>
          <w:p w14:paraId="720852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44615C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6620F3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1925FF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Poor</w:t>
            </w:r>
          </w:p>
        </w:tc>
      </w:tr>
      <w:tr w:rsidR="002E26FD" w:rsidRPr="002D1DD7" w14:paraId="37F4A467" w14:textId="77777777" w:rsidTr="003117A9">
        <w:trPr>
          <w:cantSplit/>
        </w:trPr>
        <w:tc>
          <w:tcPr>
            <w:tcW w:w="988" w:type="dxa"/>
            <w:tcBorders>
              <w:right w:val="single" w:sz="12" w:space="0" w:color="auto"/>
            </w:tcBorders>
            <w:shd w:val="clear" w:color="auto" w:fill="auto"/>
            <w:tcMar>
              <w:left w:w="28" w:type="dxa"/>
              <w:right w:w="28" w:type="dxa"/>
            </w:tcMar>
            <w:hideMark/>
          </w:tcPr>
          <w:p w14:paraId="1613547C" w14:textId="7118E26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7E9CC421"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F1D10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791BBC7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381A93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6E8FCC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w:t>
            </w:r>
          </w:p>
        </w:tc>
        <w:tc>
          <w:tcPr>
            <w:tcW w:w="567" w:type="dxa"/>
            <w:tcBorders>
              <w:left w:val="single" w:sz="12" w:space="0" w:color="auto"/>
            </w:tcBorders>
            <w:shd w:val="clear" w:color="auto" w:fill="auto"/>
            <w:tcMar>
              <w:left w:w="28" w:type="dxa"/>
              <w:right w:w="28" w:type="dxa"/>
            </w:tcMar>
            <w:hideMark/>
          </w:tcPr>
          <w:p w14:paraId="1DACCF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09A852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19798C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6721EE2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1BBACC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685469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R2=0.47 (0.03 to 0.77), p=0.001</w:t>
            </w:r>
          </w:p>
        </w:tc>
        <w:tc>
          <w:tcPr>
            <w:tcW w:w="1072" w:type="dxa"/>
            <w:tcBorders>
              <w:right w:val="single" w:sz="12" w:space="0" w:color="auto"/>
            </w:tcBorders>
            <w:shd w:val="clear" w:color="auto" w:fill="auto"/>
            <w:tcMar>
              <w:left w:w="28" w:type="dxa"/>
              <w:right w:w="28" w:type="dxa"/>
            </w:tcMar>
            <w:hideMark/>
          </w:tcPr>
          <w:p w14:paraId="0969D9C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logHR OS = -0.1329 -0.2575 *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546" w:type="dxa"/>
            <w:tcBorders>
              <w:left w:val="single" w:sz="12" w:space="0" w:color="auto"/>
              <w:right w:val="single" w:sz="12" w:space="0" w:color="auto"/>
            </w:tcBorders>
            <w:shd w:val="clear" w:color="auto" w:fill="auto"/>
            <w:tcMar>
              <w:left w:w="28" w:type="dxa"/>
              <w:right w:w="28" w:type="dxa"/>
            </w:tcMar>
            <w:hideMark/>
          </w:tcPr>
          <w:p w14:paraId="3CD521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578371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68A5B3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5B6D54A" w14:textId="77777777" w:rsidTr="003117A9">
        <w:trPr>
          <w:cantSplit/>
        </w:trPr>
        <w:tc>
          <w:tcPr>
            <w:tcW w:w="988" w:type="dxa"/>
            <w:tcBorders>
              <w:right w:val="single" w:sz="12" w:space="0" w:color="auto"/>
            </w:tcBorders>
            <w:shd w:val="clear" w:color="auto" w:fill="auto"/>
            <w:tcMar>
              <w:left w:w="28" w:type="dxa"/>
              <w:right w:w="28" w:type="dxa"/>
            </w:tcMar>
            <w:hideMark/>
          </w:tcPr>
          <w:p w14:paraId="3F53CF52" w14:textId="1970DB28"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0D4556B5"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381C100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279FD82D"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3A3504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1F0BA68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(CTLA-4)</w:t>
            </w:r>
          </w:p>
        </w:tc>
        <w:tc>
          <w:tcPr>
            <w:tcW w:w="567" w:type="dxa"/>
            <w:tcBorders>
              <w:left w:val="single" w:sz="12" w:space="0" w:color="auto"/>
            </w:tcBorders>
            <w:shd w:val="clear" w:color="auto" w:fill="auto"/>
            <w:tcMar>
              <w:left w:w="28" w:type="dxa"/>
              <w:right w:w="28" w:type="dxa"/>
            </w:tcMar>
            <w:hideMark/>
          </w:tcPr>
          <w:p w14:paraId="1CFFA6F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16B50E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3AEBA4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D13FD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02F005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4D19FE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R2=0.00 (0.00 to 0.97), p=0.96</w:t>
            </w:r>
          </w:p>
        </w:tc>
        <w:tc>
          <w:tcPr>
            <w:tcW w:w="1072" w:type="dxa"/>
            <w:tcBorders>
              <w:right w:val="single" w:sz="12" w:space="0" w:color="auto"/>
            </w:tcBorders>
            <w:shd w:val="clear" w:color="auto" w:fill="auto"/>
            <w:tcMar>
              <w:left w:w="28" w:type="dxa"/>
              <w:right w:w="28" w:type="dxa"/>
            </w:tcMar>
            <w:hideMark/>
          </w:tcPr>
          <w:p w14:paraId="7956ACCF" w14:textId="77777777" w:rsidR="002E26FD" w:rsidRPr="002D1DD7" w:rsidRDefault="002E26FD" w:rsidP="003117A9">
            <w:pPr>
              <w:spacing w:before="0" w:after="0" w:line="240" w:lineRule="auto"/>
              <w:rPr>
                <w:rFonts w:eastAsia="Times New Roman" w:cs="Times New Roman"/>
                <w:color w:val="000000"/>
                <w:sz w:val="18"/>
                <w:szCs w:val="18"/>
                <w:lang w:eastAsia="zh-CN"/>
              </w:rPr>
            </w:pPr>
          </w:p>
        </w:tc>
        <w:tc>
          <w:tcPr>
            <w:tcW w:w="546" w:type="dxa"/>
            <w:tcBorders>
              <w:left w:val="single" w:sz="12" w:space="0" w:color="auto"/>
              <w:right w:val="single" w:sz="12" w:space="0" w:color="auto"/>
            </w:tcBorders>
            <w:shd w:val="clear" w:color="auto" w:fill="auto"/>
            <w:tcMar>
              <w:left w:w="28" w:type="dxa"/>
              <w:right w:w="28" w:type="dxa"/>
            </w:tcMar>
            <w:hideMark/>
          </w:tcPr>
          <w:p w14:paraId="0D306D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15ED20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44F568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9B1C253" w14:textId="77777777" w:rsidTr="003117A9">
        <w:trPr>
          <w:cantSplit/>
        </w:trPr>
        <w:tc>
          <w:tcPr>
            <w:tcW w:w="988" w:type="dxa"/>
            <w:tcBorders>
              <w:right w:val="single" w:sz="12" w:space="0" w:color="auto"/>
            </w:tcBorders>
            <w:shd w:val="clear" w:color="auto" w:fill="auto"/>
            <w:tcMar>
              <w:left w:w="28" w:type="dxa"/>
              <w:right w:w="28" w:type="dxa"/>
            </w:tcMar>
            <w:hideMark/>
          </w:tcPr>
          <w:p w14:paraId="222122BE" w14:textId="2A0A992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Roviello 2017</w:t>
            </w:r>
            <w:r w:rsidRPr="002D1DD7">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PEVuZE5vdGU+PENpdGU+PEF1dGhvcj5Sb3ZpZWxsbzwvQXV0aG9yPjxZZWFyPjIwMTc8L1llYXI+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6C3EA8F7"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3AE4F2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7C3EED3A" w14:textId="77777777" w:rsidR="002E26FD" w:rsidRPr="002D1DD7" w:rsidRDefault="002E26FD" w:rsidP="003117A9">
            <w:pPr>
              <w:spacing w:before="0" w:after="160" w:line="259" w:lineRule="auto"/>
              <w:rPr>
                <w:rFonts w:eastAsia="DengXian" w:cs="Times New Roman"/>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151FB9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w:t>
            </w:r>
          </w:p>
        </w:tc>
        <w:tc>
          <w:tcPr>
            <w:tcW w:w="992" w:type="dxa"/>
            <w:tcBorders>
              <w:right w:val="single" w:sz="12" w:space="0" w:color="auto"/>
            </w:tcBorders>
            <w:shd w:val="clear" w:color="auto" w:fill="auto"/>
            <w:tcMar>
              <w:left w:w="28" w:type="dxa"/>
              <w:right w:w="28" w:type="dxa"/>
            </w:tcMar>
            <w:hideMark/>
          </w:tcPr>
          <w:p w14:paraId="7D0D6E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Immune checkpoint inhibitors (PD-(L)1)</w:t>
            </w:r>
          </w:p>
        </w:tc>
        <w:tc>
          <w:tcPr>
            <w:tcW w:w="567" w:type="dxa"/>
            <w:tcBorders>
              <w:left w:val="single" w:sz="12" w:space="0" w:color="auto"/>
            </w:tcBorders>
            <w:shd w:val="clear" w:color="auto" w:fill="auto"/>
            <w:tcMar>
              <w:left w:w="28" w:type="dxa"/>
              <w:right w:w="28" w:type="dxa"/>
            </w:tcMar>
            <w:hideMark/>
          </w:tcPr>
          <w:p w14:paraId="076312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17</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7ECDF4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8994</w:t>
            </w:r>
            <w:r w:rsidRPr="002D1DD7">
              <w:rPr>
                <w:rFonts w:eastAsia="Times New Roman" w:cs="Times New Roman"/>
                <w:color w:val="000000"/>
                <w:sz w:val="18"/>
                <w:szCs w:val="18"/>
                <w:vertAlign w:val="superscript"/>
                <w:lang w:eastAsia="zh-CN"/>
              </w:rPr>
              <w:t>†</w:t>
            </w:r>
          </w:p>
        </w:tc>
        <w:tc>
          <w:tcPr>
            <w:tcW w:w="1559" w:type="dxa"/>
            <w:tcBorders>
              <w:left w:val="single" w:sz="12" w:space="0" w:color="auto"/>
            </w:tcBorders>
            <w:shd w:val="clear" w:color="auto" w:fill="auto"/>
            <w:tcMar>
              <w:left w:w="28" w:type="dxa"/>
              <w:right w:w="28" w:type="dxa"/>
            </w:tcMar>
            <w:hideMark/>
          </w:tcPr>
          <w:p w14:paraId="3E2854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2C3E48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6C7FAB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xml:space="preserve">WLR R2 (logOR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logHR OS)</w:t>
            </w:r>
          </w:p>
        </w:tc>
        <w:tc>
          <w:tcPr>
            <w:tcW w:w="1559" w:type="dxa"/>
            <w:shd w:val="clear" w:color="auto" w:fill="auto"/>
            <w:tcMar>
              <w:left w:w="28" w:type="dxa"/>
              <w:right w:w="28" w:type="dxa"/>
            </w:tcMar>
            <w:hideMark/>
          </w:tcPr>
          <w:p w14:paraId="78E9B29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R2=0.18 (0.00 to 0.97), p=0.17</w:t>
            </w:r>
          </w:p>
        </w:tc>
        <w:tc>
          <w:tcPr>
            <w:tcW w:w="1072" w:type="dxa"/>
            <w:tcBorders>
              <w:right w:val="single" w:sz="12" w:space="0" w:color="auto"/>
            </w:tcBorders>
            <w:shd w:val="clear" w:color="auto" w:fill="auto"/>
            <w:tcMar>
              <w:left w:w="28" w:type="dxa"/>
              <w:right w:w="28" w:type="dxa"/>
            </w:tcMar>
            <w:hideMark/>
          </w:tcPr>
          <w:p w14:paraId="3874FA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7AC99A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233BD78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49C79BD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2CC5C32" w14:textId="77777777" w:rsidTr="003117A9">
        <w:trPr>
          <w:cantSplit/>
        </w:trPr>
        <w:tc>
          <w:tcPr>
            <w:tcW w:w="988" w:type="dxa"/>
            <w:tcBorders>
              <w:right w:val="single" w:sz="12" w:space="0" w:color="auto"/>
            </w:tcBorders>
            <w:shd w:val="clear" w:color="auto" w:fill="auto"/>
            <w:tcMar>
              <w:left w:w="28" w:type="dxa"/>
              <w:right w:w="28" w:type="dxa"/>
            </w:tcMar>
            <w:hideMark/>
          </w:tcPr>
          <w:p w14:paraId="0378A75F" w14:textId="12BCF142"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Tsujino 2010</w:t>
            </w:r>
            <w:r w:rsidRPr="002D1DD7">
              <w:rPr>
                <w:rFonts w:eastAsia="Times New Roman" w:cs="Times New Roman"/>
                <w:color w:val="000000"/>
                <w:sz w:val="18"/>
                <w:szCs w:val="18"/>
                <w:lang w:eastAsia="zh-CN"/>
              </w:rPr>
              <w:fldChar w:fldCharType="begin"/>
            </w:r>
            <w:r w:rsidR="000E66DE">
              <w:rPr>
                <w:rFonts w:eastAsia="Times New Roman" w:cs="Times New Roman"/>
                <w:color w:val="000000"/>
                <w:sz w:val="18"/>
                <w:szCs w:val="18"/>
                <w:lang w:eastAsia="zh-CN"/>
              </w:rPr>
              <w:instrText xml:space="preserve"> ADDIN EN.CITE &lt;EndNote&gt;&lt;Cite&gt;&lt;Author&gt;Tsujino&lt;/Author&gt;&lt;Year&gt;2010&lt;/Year&gt;&lt;RecNum&gt;2979&lt;/RecNum&gt;&lt;IDText&gt;$$include full text PT&lt;/IDText&gt;&lt;DisplayText&gt;&lt;style face="superscript"&gt;137&lt;/style&gt;&lt;/DisplayText&gt;&lt;record&gt;&lt;rec-number&gt;2979&lt;/rec-number&gt;&lt;foreign-keys&gt;&lt;key app="EN" db-id="dwaevxvazfs2f3ewvzmxrd0k0wasw55p2z2w" timestamp="1557311085"&gt;2979&lt;/key&gt;&lt;/foreign-keys&gt;&lt;ref-type name="Journal Article"&gt;17&lt;/ref-type&gt;&lt;contributors&gt;&lt;authors&gt;&lt;author&gt;Tsujino, K.&lt;/author&gt;&lt;author&gt;Shiraishi, J.&lt;/author&gt;&lt;author&gt;Tsuji, T.&lt;/author&gt;&lt;author&gt;Kurata, T.&lt;/author&gt;&lt;author&gt;Kawaguchi, T.&lt;/author&gt;&lt;author&gt;Kubo, A.&lt;/author&gt;&lt;author&gt;Takada, M.&lt;/author&gt;&lt;/authors&gt;&lt;/contributors&gt;&lt;titles&gt;&lt;title&gt;Is response rate increment obtained by molecular targeted agents related to survival benefit in the phase III trials of advanced cancer?&lt;/title&gt;&lt;secondary-title&gt;Annals of Oncology&lt;/secondary-title&gt;&lt;/titles&gt;&lt;periodical&gt;&lt;full-title&gt;Annals of Oncology&lt;/full-title&gt;&lt;abbr-1&gt;Ann Oncol&lt;/abbr-1&gt;&lt;/periodical&gt;&lt;pages&gt;1668-1674&lt;/pages&gt;&lt;volume&gt;21&lt;/volume&gt;&lt;number&gt;8&lt;/number&gt;&lt;keywords&gt;&lt;keyword&gt;$$include abstract PT&lt;/keyword&gt;&lt;keyword&gt;$$Broad search&lt;/keyword&gt;&lt;/keywords&gt;&lt;dates&gt;&lt;year&gt;2010&lt;/year&gt;&lt;pub-dates&gt;&lt;date&gt;Aug&lt;/date&gt;&lt;/pub-dates&gt;&lt;/dates&gt;&lt;isbn&gt;0923-7534&lt;/isbn&gt;&lt;accession-num&gt;WOS:000280532000018&lt;/accession-num&gt;&lt;label&gt;$$include full text PT&lt;/label&gt;&lt;urls&gt;&lt;/urls&gt;&lt;electronic-resource-num&gt;10.1093/annonc/mdp588&lt;/electronic-resource-num&gt;&lt;research-notes&gt;&lt;style face="underline" font="default" size="100%"&gt;&amp;lt;Go to ISI&amp;gt;://WOS:000280532000018&lt;/style&gt;&lt;/research-notes&gt;&lt;/record&gt;&lt;/Cite&gt;&lt;/EndNote&gt;</w:instrText>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137</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46B9AA59"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5BC8F3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4721D2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778624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right w:val="single" w:sz="12" w:space="0" w:color="auto"/>
            </w:tcBorders>
            <w:shd w:val="clear" w:color="auto" w:fill="auto"/>
            <w:tcMar>
              <w:left w:w="28" w:type="dxa"/>
              <w:right w:w="28" w:type="dxa"/>
            </w:tcMar>
            <w:hideMark/>
          </w:tcPr>
          <w:p w14:paraId="702418E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Targeted</w:t>
            </w:r>
          </w:p>
        </w:tc>
        <w:tc>
          <w:tcPr>
            <w:tcW w:w="567" w:type="dxa"/>
            <w:tcBorders>
              <w:left w:val="single" w:sz="12" w:space="0" w:color="auto"/>
            </w:tcBorders>
            <w:shd w:val="clear" w:color="auto" w:fill="auto"/>
            <w:tcMar>
              <w:left w:w="28" w:type="dxa"/>
              <w:right w:w="28" w:type="dxa"/>
            </w:tcMar>
            <w:hideMark/>
          </w:tcPr>
          <w:p w14:paraId="33DBD1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w:t>
            </w:r>
          </w:p>
        </w:tc>
        <w:tc>
          <w:tcPr>
            <w:tcW w:w="709" w:type="dxa"/>
            <w:tcBorders>
              <w:right w:val="single" w:sz="12" w:space="0" w:color="auto"/>
            </w:tcBorders>
            <w:shd w:val="clear" w:color="auto" w:fill="auto"/>
            <w:tcMar>
              <w:left w:w="28" w:type="dxa"/>
              <w:right w:w="28" w:type="dxa"/>
            </w:tcMar>
            <w:hideMark/>
          </w:tcPr>
          <w:p w14:paraId="12EF9A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0D0E50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792A23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60B347DF" w14:textId="77777777" w:rsidR="002E26FD" w:rsidRPr="00103770" w:rsidRDefault="002E26FD" w:rsidP="003117A9">
            <w:pPr>
              <w:spacing w:before="0" w:after="0" w:line="240" w:lineRule="auto"/>
              <w:rPr>
                <w:rFonts w:eastAsia="Times New Roman" w:cs="Times New Roman"/>
                <w:color w:val="000000"/>
                <w:sz w:val="18"/>
                <w:szCs w:val="18"/>
                <w:lang w:eastAsia="zh-CN"/>
              </w:rPr>
            </w:pPr>
            <w:r w:rsidRPr="00103770">
              <w:rPr>
                <w:rFonts w:eastAsia="Times New Roman" w:cs="Times New Roman"/>
                <w:color w:val="000000"/>
                <w:sz w:val="18"/>
                <w:szCs w:val="18"/>
                <w:lang w:eastAsia="zh-CN"/>
              </w:rPr>
              <w:t>LR (unwtd) R2 (diff ORR vs. HR OS)</w:t>
            </w:r>
          </w:p>
        </w:tc>
        <w:tc>
          <w:tcPr>
            <w:tcW w:w="1559" w:type="dxa"/>
            <w:shd w:val="clear" w:color="auto" w:fill="auto"/>
            <w:tcMar>
              <w:left w:w="28" w:type="dxa"/>
              <w:right w:w="28" w:type="dxa"/>
            </w:tcMar>
            <w:hideMark/>
          </w:tcPr>
          <w:p w14:paraId="58D921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R2=0.47, p=0.002</w:t>
            </w:r>
          </w:p>
        </w:tc>
        <w:tc>
          <w:tcPr>
            <w:tcW w:w="1072" w:type="dxa"/>
            <w:tcBorders>
              <w:right w:val="single" w:sz="12" w:space="0" w:color="auto"/>
            </w:tcBorders>
            <w:shd w:val="clear" w:color="auto" w:fill="auto"/>
            <w:tcMar>
              <w:left w:w="28" w:type="dxa"/>
              <w:right w:w="28" w:type="dxa"/>
            </w:tcMar>
            <w:hideMark/>
          </w:tcPr>
          <w:p w14:paraId="1CDCD1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-0.016</w:t>
            </w:r>
          </w:p>
        </w:tc>
        <w:tc>
          <w:tcPr>
            <w:tcW w:w="546" w:type="dxa"/>
            <w:tcBorders>
              <w:left w:val="single" w:sz="12" w:space="0" w:color="auto"/>
              <w:right w:val="single" w:sz="12" w:space="0" w:color="auto"/>
            </w:tcBorders>
            <w:shd w:val="clear" w:color="auto" w:fill="auto"/>
            <w:tcMar>
              <w:left w:w="28" w:type="dxa"/>
              <w:right w:w="28" w:type="dxa"/>
            </w:tcMar>
            <w:hideMark/>
          </w:tcPr>
          <w:p w14:paraId="5E6BE7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21%</w:t>
            </w:r>
          </w:p>
        </w:tc>
        <w:tc>
          <w:tcPr>
            <w:tcW w:w="798" w:type="dxa"/>
            <w:tcBorders>
              <w:left w:val="single" w:sz="12" w:space="0" w:color="auto"/>
            </w:tcBorders>
            <w:shd w:val="clear" w:color="auto" w:fill="auto"/>
            <w:tcMar>
              <w:left w:w="28" w:type="dxa"/>
              <w:right w:w="28" w:type="dxa"/>
            </w:tcMar>
            <w:hideMark/>
          </w:tcPr>
          <w:p w14:paraId="6CA389E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58EE23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FFDD660" w14:textId="77777777" w:rsidTr="003117A9">
        <w:trPr>
          <w:cantSplit/>
        </w:trPr>
        <w:tc>
          <w:tcPr>
            <w:tcW w:w="988" w:type="dxa"/>
            <w:tcBorders>
              <w:right w:val="single" w:sz="12" w:space="0" w:color="auto"/>
            </w:tcBorders>
            <w:shd w:val="clear" w:color="auto" w:fill="auto"/>
            <w:tcMar>
              <w:left w:w="28" w:type="dxa"/>
              <w:right w:w="28" w:type="dxa"/>
            </w:tcMar>
            <w:hideMark/>
          </w:tcPr>
          <w:p w14:paraId="34F9B83E" w14:textId="16A96A2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Wilkerson+Fojo 2009</w:t>
            </w:r>
            <w:r w:rsidRPr="002D1DD7">
              <w:rPr>
                <w:rFonts w:eastAsia="Times New Roman" w:cs="Times New Roman"/>
                <w:color w:val="000000"/>
                <w:sz w:val="18"/>
                <w:szCs w:val="18"/>
                <w:lang w:eastAsia="zh-CN"/>
              </w:rPr>
              <w:fldChar w:fldCharType="begin">
                <w:fldData xml:space="preserve">PEVuZE5vdGU+PENpdGU+PEF1dGhvcj5XaWxrZXJzb248L0F1dGhvcj48WWVhcj4yMDA5PC9ZZWFy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RT1mdWxsdGV4dCZhbXA7RD1tZWQ2JmFtcDtBTj0xOTgyNjM1Nzwvc3R5bGU+PHN0eWxlIGZhY2U9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c2VydmljZXNfcGFnZT9zaWQ9T1ZJRDptZWRsaW5lJmFtcDtpZD1wbWlkOjE5ODI2MzU3JmFtcDtp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PEVuZE5vdGU+PENpdGU+PEF1dGhvcj5XaWxrZXJzb248L0F1dGhvcj48WWVhcj4yMDA5PC9ZZWFy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139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6B1DE056" w14:textId="77777777" w:rsidR="002E26FD" w:rsidRPr="002D1DD7" w:rsidRDefault="002E26FD" w:rsidP="003117A9">
            <w:pPr>
              <w:spacing w:before="0" w:after="0" w:line="240" w:lineRule="auto"/>
              <w:rPr>
                <w:rFonts w:eastAsia="Times New Roman" w:cs="Times New Roman"/>
                <w:color w:val="000000"/>
                <w:sz w:val="18"/>
                <w:szCs w:val="18"/>
                <w:lang w:eastAsia="zh-CN"/>
              </w:rPr>
            </w:pP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w:t>
            </w:r>
          </w:p>
        </w:tc>
        <w:tc>
          <w:tcPr>
            <w:tcW w:w="425" w:type="dxa"/>
            <w:tcBorders>
              <w:right w:val="single" w:sz="12" w:space="0" w:color="auto"/>
            </w:tcBorders>
            <w:tcMar>
              <w:left w:w="28" w:type="dxa"/>
              <w:right w:w="28" w:type="dxa"/>
            </w:tcMar>
          </w:tcPr>
          <w:p w14:paraId="74343D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hideMark/>
          </w:tcPr>
          <w:p w14:paraId="1334A7C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Various solid tumours</w:t>
            </w:r>
          </w:p>
        </w:tc>
        <w:tc>
          <w:tcPr>
            <w:tcW w:w="1134" w:type="dxa"/>
            <w:tcBorders>
              <w:left w:val="single" w:sz="12" w:space="0" w:color="auto"/>
            </w:tcBorders>
            <w:shd w:val="clear" w:color="auto" w:fill="auto"/>
            <w:tcMar>
              <w:left w:w="28" w:type="dxa"/>
              <w:right w:w="28" w:type="dxa"/>
            </w:tcMar>
            <w:hideMark/>
          </w:tcPr>
          <w:p w14:paraId="6615A5A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992" w:type="dxa"/>
            <w:tcBorders>
              <w:right w:val="single" w:sz="12" w:space="0" w:color="auto"/>
            </w:tcBorders>
            <w:shd w:val="clear" w:color="auto" w:fill="auto"/>
            <w:tcMar>
              <w:left w:w="28" w:type="dxa"/>
              <w:right w:w="28" w:type="dxa"/>
            </w:tcMar>
            <w:hideMark/>
          </w:tcPr>
          <w:p w14:paraId="6780FD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567" w:type="dxa"/>
            <w:tcBorders>
              <w:left w:val="single" w:sz="12" w:space="0" w:color="auto"/>
            </w:tcBorders>
            <w:shd w:val="clear" w:color="auto" w:fill="auto"/>
            <w:tcMar>
              <w:left w:w="28" w:type="dxa"/>
              <w:right w:w="28" w:type="dxa"/>
            </w:tcMar>
            <w:hideMark/>
          </w:tcPr>
          <w:p w14:paraId="5A898D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66</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hideMark/>
          </w:tcPr>
          <w:p w14:paraId="6A18D3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hideMark/>
          </w:tcPr>
          <w:p w14:paraId="5580CA2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hideMark/>
          </w:tcPr>
          <w:p w14:paraId="48D87D6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hideMark/>
          </w:tcPr>
          <w:p w14:paraId="3450CC7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LR (unwtd R2):</w:t>
            </w:r>
            <w:r w:rsidRPr="002D1DD7">
              <w:rPr>
                <w:rFonts w:eastAsia="Times New Roman" w:cs="Times New Roman"/>
                <w:color w:val="000000"/>
                <w:sz w:val="18"/>
                <w:szCs w:val="18"/>
                <w:lang w:eastAsia="zh-CN"/>
              </w:rPr>
              <w:br/>
              <w:t xml:space="preserve">a)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HR OS</w:t>
            </w:r>
            <w:r w:rsidRPr="002D1DD7">
              <w:rPr>
                <w:rFonts w:eastAsia="Times New Roman" w:cs="Times New Roman"/>
                <w:color w:val="000000"/>
                <w:sz w:val="18"/>
                <w:szCs w:val="18"/>
                <w:lang w:eastAsia="zh-CN"/>
              </w:rPr>
              <w:br/>
              <w:t xml:space="preserve">b) diff </w:t>
            </w:r>
            <w:r>
              <w:rPr>
                <w:rFonts w:eastAsia="Times New Roman" w:cs="Times New Roman"/>
                <w:color w:val="000000"/>
                <w:sz w:val="18"/>
                <w:szCs w:val="18"/>
                <w:lang w:eastAsia="zh-CN"/>
              </w:rPr>
              <w:t>O</w:t>
            </w:r>
            <w:r w:rsidRPr="002D1DD7">
              <w:rPr>
                <w:rFonts w:eastAsia="Times New Roman" w:cs="Times New Roman"/>
                <w:color w:val="000000"/>
                <w:sz w:val="18"/>
                <w:szCs w:val="18"/>
                <w:lang w:eastAsia="zh-CN"/>
              </w:rPr>
              <w:t>RR vs. diff med OS</w:t>
            </w:r>
          </w:p>
        </w:tc>
        <w:tc>
          <w:tcPr>
            <w:tcW w:w="1559" w:type="dxa"/>
            <w:shd w:val="clear" w:color="auto" w:fill="auto"/>
            <w:tcMar>
              <w:left w:w="28" w:type="dxa"/>
              <w:right w:w="28" w:type="dxa"/>
            </w:tcMar>
            <w:hideMark/>
          </w:tcPr>
          <w:p w14:paraId="1ABFB8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R2=0.37, p&lt;0.0001</w:t>
            </w:r>
            <w:r w:rsidRPr="002D1DD7">
              <w:rPr>
                <w:rFonts w:eastAsia="Times New Roman" w:cs="Times New Roman"/>
                <w:color w:val="000000"/>
                <w:sz w:val="18"/>
                <w:szCs w:val="18"/>
                <w:lang w:eastAsia="zh-CN"/>
              </w:rPr>
              <w:br/>
              <w:t>b) R2=0.34, p&lt;0.0001</w:t>
            </w:r>
          </w:p>
        </w:tc>
        <w:tc>
          <w:tcPr>
            <w:tcW w:w="1072" w:type="dxa"/>
            <w:tcBorders>
              <w:right w:val="single" w:sz="12" w:space="0" w:color="auto"/>
            </w:tcBorders>
            <w:shd w:val="clear" w:color="auto" w:fill="auto"/>
            <w:tcMar>
              <w:left w:w="28" w:type="dxa"/>
              <w:right w:w="28" w:type="dxa"/>
            </w:tcMar>
            <w:hideMark/>
          </w:tcPr>
          <w:p w14:paraId="4819FC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hideMark/>
          </w:tcPr>
          <w:p w14:paraId="280922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hideMark/>
          </w:tcPr>
          <w:p w14:paraId="017DAC3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hideMark/>
          </w:tcPr>
          <w:p w14:paraId="4D44B5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1D7E6C4" w14:textId="77777777" w:rsidTr="003117A9">
        <w:trPr>
          <w:cantSplit/>
        </w:trPr>
        <w:tc>
          <w:tcPr>
            <w:tcW w:w="15525" w:type="dxa"/>
            <w:gridSpan w:val="16"/>
            <w:tcBorders>
              <w:top w:val="single" w:sz="12" w:space="0" w:color="auto"/>
              <w:bottom w:val="single" w:sz="12" w:space="0" w:color="auto"/>
            </w:tcBorders>
            <w:shd w:val="clear" w:color="auto" w:fill="D9D9D9"/>
            <w:tcMar>
              <w:left w:w="28" w:type="dxa"/>
              <w:right w:w="28" w:type="dxa"/>
            </w:tcMar>
          </w:tcPr>
          <w:p w14:paraId="281612B1"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t>CR vs. PFS</w:t>
            </w:r>
          </w:p>
        </w:tc>
      </w:tr>
      <w:tr w:rsidR="002E26FD" w:rsidRPr="002D1DD7" w14:paraId="18C9061D" w14:textId="77777777" w:rsidTr="003117A9">
        <w:trPr>
          <w:cantSplit/>
        </w:trPr>
        <w:tc>
          <w:tcPr>
            <w:tcW w:w="988" w:type="dxa"/>
            <w:tcBorders>
              <w:right w:val="single" w:sz="12" w:space="0" w:color="auto"/>
            </w:tcBorders>
            <w:shd w:val="clear" w:color="auto" w:fill="auto"/>
            <w:tcMar>
              <w:left w:w="28" w:type="dxa"/>
              <w:right w:w="28" w:type="dxa"/>
            </w:tcMar>
          </w:tcPr>
          <w:p w14:paraId="02BCDE93" w14:textId="07EAFCB5"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Lee 2011</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&lt;EndNote&gt;&lt;Cite&gt;&lt;Author&gt;Lee&lt;/Author&gt;&lt;Year&gt;2011&lt;/Year&gt;&lt;RecNum&gt;1713&lt;/RecNum&gt;&lt;IDText&gt;$$include full text KC&amp;#xD;$$not advanced/metastatic/palliative (but keep in for now)&amp;#xD;$$From Haslam (ref 65)&amp;#xD;$$From Savina&lt;/IDText&gt;&lt;DisplayText&gt;&lt;style face="superscript"&gt;108&lt;/style&gt;&lt;/DisplayText&gt;&lt;record&gt;&lt;rec-number&gt;1713&lt;/rec-number&gt;&lt;foreign-keys&gt;&lt;key app="EN" db-id="dwaevxvazfs2f3ewvzmxrd0k0wasw55p2z2w" timestamp="1557310838"&gt;1713&lt;/key&gt;&lt;/foreign-keys&gt;&lt;ref-type name="Journal Article"&gt;17&lt;/ref-type&gt;&lt;contributors&gt;&lt;authors&gt;&lt;author&gt;Lee, L.&lt;/author&gt;&lt;author&gt;Wang, L.&lt;/author&gt;&lt;author&gt;Crump, M.&lt;/author&gt;&lt;/authors&gt;&lt;/contributors&gt;&lt;auth-address&gt;Lee, L. Division of Medical Oncology and Hematology, Princess Margaret Hospital, Toronto, Canada.&lt;/auth-address&gt;&lt;titles&gt;&lt;title&gt;Identification of potential surrogate end points in randomized clinical trials of aggressive and indolent non-Hodgkin&amp;apos;s lymphoma: correlation of complete response, time-to-event and overall survival end points&lt;/title&gt;&lt;secondary-title&gt;Annals of Oncology&lt;/secondary-title&gt;&lt;/titles&gt;&lt;periodical&gt;&lt;full-title&gt;Annals of Oncology&lt;/full-title&gt;&lt;abbr-1&gt;Ann Oncol&lt;/abbr-1&gt;&lt;/periodical&gt;&lt;pages&gt;1392-403&lt;/pages&gt;&lt;volume&gt;22&lt;/volume&gt;&lt;number&gt;6&lt;/number&gt;&lt;keywords&gt;&lt;keyword&gt;$$include abstract KC&lt;/keyword&gt;&lt;keyword&gt;$$Extra response terms&lt;/keyword&gt;&lt;keyword&gt;$$Broad search&lt;/keyword&gt;&lt;/keywords&gt;&lt;dates&gt;&lt;year&gt;2011&lt;/year&gt;&lt;/dates&gt;&lt;accession-num&gt;21266519&lt;/accession-num&gt;&lt;label&gt;$$include full text KC&amp;#xD;$$not advanced/metastatic/palliative (but keep in for now)&amp;#xD;$$From Haslam (ref 65)&amp;#xD;$$From Savina&lt;/label&gt;&lt;urls&gt;&lt;/urls&gt;&lt;remote-database-name&gt;MEDLINE&lt;/remote-database-name&gt;&lt;remote-database-provider&gt;Ovid Technologies&lt;/remote-database-provider&gt;&lt;research-notes&gt;http://ovidsp.ovid.com/ovidweb.cgi?T=JS&amp;amp;CSC=Y&amp;amp;NEWS=N&amp;amp;PAGE=fulltext&amp;amp;D=med7&amp;amp;AN=21266519&lt;/research-notes&gt;&lt;/record&gt;&lt;/Cite&gt;&lt;/EndNote&gt;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108</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22B35A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5595B50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6B4F976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(aggressive)</w:t>
            </w:r>
          </w:p>
        </w:tc>
        <w:tc>
          <w:tcPr>
            <w:tcW w:w="1134" w:type="dxa"/>
            <w:tcBorders>
              <w:left w:val="single" w:sz="12" w:space="0" w:color="auto"/>
            </w:tcBorders>
            <w:shd w:val="clear" w:color="auto" w:fill="auto"/>
            <w:tcMar>
              <w:left w:w="28" w:type="dxa"/>
              <w:right w:w="28" w:type="dxa"/>
            </w:tcMar>
          </w:tcPr>
          <w:p w14:paraId="676F2E0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2F4632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tcPr>
          <w:p w14:paraId="331369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tcPr>
          <w:p w14:paraId="0AD070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tcPr>
          <w:p w14:paraId="797850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CR vs. diff 3yr PFS)</w:t>
            </w:r>
          </w:p>
        </w:tc>
        <w:tc>
          <w:tcPr>
            <w:tcW w:w="1460" w:type="dxa"/>
            <w:tcBorders>
              <w:right w:val="single" w:sz="12" w:space="0" w:color="auto"/>
            </w:tcBorders>
            <w:shd w:val="clear" w:color="auto" w:fill="auto"/>
            <w:tcMar>
              <w:left w:w="28" w:type="dxa"/>
              <w:right w:w="28" w:type="dxa"/>
            </w:tcMar>
          </w:tcPr>
          <w:p w14:paraId="17AC06E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rs=0.63 (0.21 to 0.84), p=0.005</w:t>
            </w:r>
          </w:p>
        </w:tc>
        <w:tc>
          <w:tcPr>
            <w:tcW w:w="1659" w:type="dxa"/>
            <w:tcBorders>
              <w:left w:val="single" w:sz="12" w:space="0" w:color="auto"/>
            </w:tcBorders>
            <w:shd w:val="clear" w:color="auto" w:fill="auto"/>
            <w:tcMar>
              <w:left w:w="28" w:type="dxa"/>
              <w:right w:w="28" w:type="dxa"/>
            </w:tcMar>
          </w:tcPr>
          <w:p w14:paraId="3D91FA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tcPr>
          <w:p w14:paraId="2435838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tcPr>
          <w:p w14:paraId="3403AD1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0C13CC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6EA0F99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30932A4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65E5944" w14:textId="77777777" w:rsidTr="003117A9">
        <w:trPr>
          <w:cantSplit/>
        </w:trPr>
        <w:tc>
          <w:tcPr>
            <w:tcW w:w="988" w:type="dxa"/>
            <w:tcBorders>
              <w:right w:val="single" w:sz="12" w:space="0" w:color="auto"/>
            </w:tcBorders>
            <w:shd w:val="clear" w:color="auto" w:fill="auto"/>
            <w:tcMar>
              <w:left w:w="28" w:type="dxa"/>
              <w:right w:w="28" w:type="dxa"/>
            </w:tcMar>
          </w:tcPr>
          <w:p w14:paraId="72FC3BBB" w14:textId="55A25F8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Lee 2011</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&lt;EndNote&gt;&lt;Cite&gt;&lt;Author&gt;Lee&lt;/Author&gt;&lt;Year&gt;2011&lt;/Year&gt;&lt;RecNum&gt;1713&lt;/RecNum&gt;&lt;IDText&gt;$$include full text KC&amp;#xD;$$not advanced/metastatic/palliative (but keep in for now)&amp;#xD;$$From Haslam (ref 65)&amp;#xD;$$From Savina&lt;/IDText&gt;&lt;DisplayText&gt;&lt;style face="superscript"&gt;108&lt;/style&gt;&lt;/DisplayText&gt;&lt;record&gt;&lt;rec-number&gt;1713&lt;/rec-number&gt;&lt;foreign-keys&gt;&lt;key app="EN" db-id="dwaevxvazfs2f3ewvzmxrd0k0wasw55p2z2w" timestamp="1557310838"&gt;1713&lt;/key&gt;&lt;/foreign-keys&gt;&lt;ref-type name="Journal Article"&gt;17&lt;/ref-type&gt;&lt;contributors&gt;&lt;authors&gt;&lt;author&gt;Lee, L.&lt;/author&gt;&lt;author&gt;Wang, L.&lt;/author&gt;&lt;author&gt;Crump, M.&lt;/author&gt;&lt;/authors&gt;&lt;/contributors&gt;&lt;auth-address&gt;Lee, L. Division of Medical Oncology and Hematology, Princess Margaret Hospital, Toronto, Canada.&lt;/auth-address&gt;&lt;titles&gt;&lt;title&gt;Identification of potential surrogate end points in randomized clinical trials of aggressive and indolent non-Hodgkin&amp;apos;s lymphoma: correlation of complete response, time-to-event and overall survival end points&lt;/title&gt;&lt;secondary-title&gt;Annals of Oncology&lt;/secondary-title&gt;&lt;/titles&gt;&lt;periodical&gt;&lt;full-title&gt;Annals of Oncology&lt;/full-title&gt;&lt;abbr-1&gt;Ann Oncol&lt;/abbr-1&gt;&lt;/periodical&gt;&lt;pages&gt;1392-403&lt;/pages&gt;&lt;volume&gt;22&lt;/volume&gt;&lt;number&gt;6&lt;/number&gt;&lt;keywords&gt;&lt;keyword&gt;$$include abstract KC&lt;/keyword&gt;&lt;keyword&gt;$$Extra response terms&lt;/keyword&gt;&lt;keyword&gt;$$Broad search&lt;/keyword&gt;&lt;/keywords&gt;&lt;dates&gt;&lt;year&gt;2011&lt;/year&gt;&lt;/dates&gt;&lt;accession-num&gt;21266519&lt;/accession-num&gt;&lt;label&gt;$$include full text KC&amp;#xD;$$not advanced/metastatic/palliative (but keep in for now)&amp;#xD;$$From Haslam (ref 65)&amp;#xD;$$From Savina&lt;/label&gt;&lt;urls&gt;&lt;/urls&gt;&lt;remote-database-name&gt;MEDLINE&lt;/remote-database-name&gt;&lt;remote-database-provider&gt;Ovid Technologies&lt;/remote-database-provider&gt;&lt;research-notes&gt;http://ovidsp.ovid.com/ovidweb.cgi?T=JS&amp;amp;CSC=Y&amp;amp;NEWS=N&amp;amp;PAGE=fulltext&amp;amp;D=med7&amp;amp;AN=21266519&lt;/research-notes&gt;&lt;/record&gt;&lt;/Cite&gt;&lt;/EndNote&gt;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108</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518C73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1442D3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62C3CA3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w:t>
            </w:r>
          </w:p>
        </w:tc>
        <w:tc>
          <w:tcPr>
            <w:tcW w:w="1134" w:type="dxa"/>
            <w:tcBorders>
              <w:left w:val="single" w:sz="12" w:space="0" w:color="auto"/>
            </w:tcBorders>
            <w:shd w:val="clear" w:color="auto" w:fill="auto"/>
            <w:tcMar>
              <w:left w:w="28" w:type="dxa"/>
              <w:right w:w="28" w:type="dxa"/>
            </w:tcMar>
          </w:tcPr>
          <w:p w14:paraId="0C30A3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40FE30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left w:val="single" w:sz="12" w:space="0" w:color="auto"/>
            </w:tcBorders>
            <w:shd w:val="clear" w:color="auto" w:fill="auto"/>
            <w:tcMar>
              <w:left w:w="28" w:type="dxa"/>
              <w:right w:w="28" w:type="dxa"/>
            </w:tcMar>
          </w:tcPr>
          <w:p w14:paraId="72A43D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6</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tcPr>
          <w:p w14:paraId="21D6A8C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tcPr>
          <w:p w14:paraId="43162D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CR vs. diff 3yr PFS)</w:t>
            </w:r>
          </w:p>
        </w:tc>
        <w:tc>
          <w:tcPr>
            <w:tcW w:w="1460" w:type="dxa"/>
            <w:tcBorders>
              <w:right w:val="single" w:sz="12" w:space="0" w:color="auto"/>
            </w:tcBorders>
            <w:shd w:val="clear" w:color="auto" w:fill="auto"/>
            <w:tcMar>
              <w:left w:w="28" w:type="dxa"/>
              <w:right w:w="28" w:type="dxa"/>
            </w:tcMar>
          </w:tcPr>
          <w:p w14:paraId="44E87C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rs=0.41 (-0.52 to 0.88), p=0.35</w:t>
            </w:r>
          </w:p>
        </w:tc>
        <w:tc>
          <w:tcPr>
            <w:tcW w:w="1659" w:type="dxa"/>
            <w:tcBorders>
              <w:left w:val="single" w:sz="12" w:space="0" w:color="auto"/>
            </w:tcBorders>
            <w:shd w:val="clear" w:color="auto" w:fill="auto"/>
            <w:tcMar>
              <w:left w:w="28" w:type="dxa"/>
              <w:right w:w="28" w:type="dxa"/>
            </w:tcMar>
          </w:tcPr>
          <w:p w14:paraId="25E9D40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tcPr>
          <w:p w14:paraId="167719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tcPr>
          <w:p w14:paraId="721C4B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429120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549A3A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3BC52D0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FB30511" w14:textId="77777777" w:rsidTr="003117A9">
        <w:trPr>
          <w:cantSplit/>
        </w:trPr>
        <w:tc>
          <w:tcPr>
            <w:tcW w:w="988" w:type="dxa"/>
            <w:tcBorders>
              <w:right w:val="single" w:sz="12" w:space="0" w:color="auto"/>
            </w:tcBorders>
            <w:shd w:val="clear" w:color="auto" w:fill="auto"/>
            <w:tcMar>
              <w:left w:w="28" w:type="dxa"/>
              <w:right w:w="28" w:type="dxa"/>
            </w:tcMar>
          </w:tcPr>
          <w:p w14:paraId="3C933DC0" w14:textId="2F15BA6F"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77B4C37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6CBCA3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1BD266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71A0909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37D751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immuno (induction or maintenance)</w:t>
            </w:r>
          </w:p>
        </w:tc>
        <w:tc>
          <w:tcPr>
            <w:tcW w:w="567" w:type="dxa"/>
            <w:tcBorders>
              <w:left w:val="single" w:sz="12" w:space="0" w:color="auto"/>
            </w:tcBorders>
            <w:shd w:val="clear" w:color="auto" w:fill="auto"/>
            <w:tcMar>
              <w:left w:w="28" w:type="dxa"/>
              <w:right w:w="28" w:type="dxa"/>
            </w:tcMar>
          </w:tcPr>
          <w:p w14:paraId="5A5FD1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13</w:t>
            </w:r>
          </w:p>
        </w:tc>
        <w:tc>
          <w:tcPr>
            <w:tcW w:w="709" w:type="dxa"/>
            <w:tcBorders>
              <w:right w:val="single" w:sz="12" w:space="0" w:color="auto"/>
            </w:tcBorders>
            <w:shd w:val="clear" w:color="auto" w:fill="auto"/>
            <w:tcMar>
              <w:left w:w="28" w:type="dxa"/>
              <w:right w:w="28" w:type="dxa"/>
            </w:tcMar>
          </w:tcPr>
          <w:p w14:paraId="28F903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3837</w:t>
            </w:r>
          </w:p>
        </w:tc>
        <w:tc>
          <w:tcPr>
            <w:tcW w:w="1559" w:type="dxa"/>
            <w:tcBorders>
              <w:left w:val="single" w:sz="12" w:space="0" w:color="auto"/>
            </w:tcBorders>
            <w:shd w:val="clear" w:color="auto" w:fill="auto"/>
            <w:tcMar>
              <w:left w:w="28" w:type="dxa"/>
              <w:right w:w="28" w:type="dxa"/>
            </w:tcMar>
          </w:tcPr>
          <w:p w14:paraId="73FB7C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11F6AC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3F4E66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shd w:val="clear" w:color="auto" w:fill="auto"/>
            <w:tcMar>
              <w:left w:w="28" w:type="dxa"/>
              <w:right w:w="28" w:type="dxa"/>
            </w:tcMar>
          </w:tcPr>
          <w:p w14:paraId="3DCB3F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R2WLS=0.88 (0.77 to 0.96), p=NR</w:t>
            </w:r>
            <w:r w:rsidRPr="002D1DD7">
              <w:rPr>
                <w:rFonts w:eastAsia="Times New Roman" w:cs="Times New Roman"/>
                <w:color w:val="000000"/>
                <w:sz w:val="18"/>
                <w:szCs w:val="18"/>
                <w:lang w:eastAsia="zh-CN"/>
              </w:rPr>
              <w:br/>
              <w:t>b) R2Copula=0.86 (0.72 to 1.00), p=NR</w:t>
            </w:r>
          </w:p>
        </w:tc>
        <w:tc>
          <w:tcPr>
            <w:tcW w:w="1072" w:type="dxa"/>
            <w:tcBorders>
              <w:right w:val="single" w:sz="12" w:space="0" w:color="auto"/>
            </w:tcBorders>
            <w:shd w:val="clear" w:color="auto" w:fill="auto"/>
            <w:tcMar>
              <w:left w:w="28" w:type="dxa"/>
              <w:right w:w="28" w:type="dxa"/>
            </w:tcMar>
          </w:tcPr>
          <w:p w14:paraId="3956FBA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logHR PFS = -0.093 - 0.636 * logOR CR 30mo</w:t>
            </w:r>
          </w:p>
        </w:tc>
        <w:tc>
          <w:tcPr>
            <w:tcW w:w="546" w:type="dxa"/>
            <w:tcBorders>
              <w:left w:val="single" w:sz="12" w:space="0" w:color="auto"/>
              <w:right w:val="single" w:sz="12" w:space="0" w:color="auto"/>
            </w:tcBorders>
            <w:shd w:val="clear" w:color="auto" w:fill="auto"/>
            <w:tcMar>
              <w:left w:w="28" w:type="dxa"/>
              <w:right w:w="28" w:type="dxa"/>
            </w:tcMar>
          </w:tcPr>
          <w:p w14:paraId="590149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1.56</w:t>
            </w:r>
          </w:p>
        </w:tc>
        <w:tc>
          <w:tcPr>
            <w:tcW w:w="798" w:type="dxa"/>
            <w:tcBorders>
              <w:left w:val="single" w:sz="12" w:space="0" w:color="auto"/>
            </w:tcBorders>
            <w:shd w:val="clear" w:color="auto" w:fill="auto"/>
            <w:tcMar>
              <w:left w:w="28" w:type="dxa"/>
              <w:right w:w="28" w:type="dxa"/>
            </w:tcMar>
          </w:tcPr>
          <w:p w14:paraId="215F3C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5D9EC9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6D30EA6" w14:textId="77777777" w:rsidTr="003117A9">
        <w:trPr>
          <w:cantSplit/>
        </w:trPr>
        <w:tc>
          <w:tcPr>
            <w:tcW w:w="988" w:type="dxa"/>
            <w:tcBorders>
              <w:right w:val="single" w:sz="12" w:space="0" w:color="auto"/>
            </w:tcBorders>
            <w:shd w:val="clear" w:color="auto" w:fill="auto"/>
            <w:tcMar>
              <w:left w:w="28" w:type="dxa"/>
              <w:right w:w="28" w:type="dxa"/>
            </w:tcMar>
          </w:tcPr>
          <w:p w14:paraId="01D63898" w14:textId="5D0C12CA"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1245C3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196662B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07E619F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217DF80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78A04D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Rituximab-based (induction or maintenance)</w:t>
            </w:r>
          </w:p>
        </w:tc>
        <w:tc>
          <w:tcPr>
            <w:tcW w:w="567" w:type="dxa"/>
            <w:tcBorders>
              <w:left w:val="single" w:sz="12" w:space="0" w:color="auto"/>
            </w:tcBorders>
            <w:shd w:val="clear" w:color="auto" w:fill="auto"/>
            <w:tcMar>
              <w:left w:w="28" w:type="dxa"/>
              <w:right w:w="28" w:type="dxa"/>
            </w:tcMar>
          </w:tcPr>
          <w:p w14:paraId="38BD99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w:t>
            </w:r>
          </w:p>
        </w:tc>
        <w:tc>
          <w:tcPr>
            <w:tcW w:w="709" w:type="dxa"/>
            <w:tcBorders>
              <w:right w:val="single" w:sz="12" w:space="0" w:color="auto"/>
            </w:tcBorders>
            <w:shd w:val="clear" w:color="auto" w:fill="auto"/>
            <w:tcMar>
              <w:left w:w="28" w:type="dxa"/>
              <w:right w:w="28" w:type="dxa"/>
            </w:tcMar>
          </w:tcPr>
          <w:p w14:paraId="5CA862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2851</w:t>
            </w:r>
          </w:p>
        </w:tc>
        <w:tc>
          <w:tcPr>
            <w:tcW w:w="1559" w:type="dxa"/>
            <w:tcBorders>
              <w:left w:val="single" w:sz="12" w:space="0" w:color="auto"/>
            </w:tcBorders>
            <w:shd w:val="clear" w:color="auto" w:fill="auto"/>
            <w:tcMar>
              <w:left w:w="28" w:type="dxa"/>
              <w:right w:w="28" w:type="dxa"/>
            </w:tcMar>
          </w:tcPr>
          <w:p w14:paraId="42D6B3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41BE30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3867A43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shd w:val="clear" w:color="auto" w:fill="auto"/>
            <w:tcMar>
              <w:left w:w="28" w:type="dxa"/>
              <w:right w:w="28" w:type="dxa"/>
            </w:tcMar>
          </w:tcPr>
          <w:p w14:paraId="7B1329E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R2WLS=0.85 (0.62 to 0.97), p=NR</w:t>
            </w:r>
            <w:r w:rsidRPr="002D1DD7">
              <w:rPr>
                <w:rFonts w:eastAsia="Times New Roman" w:cs="Times New Roman"/>
                <w:color w:val="000000"/>
                <w:sz w:val="18"/>
                <w:szCs w:val="18"/>
                <w:lang w:eastAsia="zh-CN"/>
              </w:rPr>
              <w:br/>
              <w:t>b) R2Copula=0.80 (0.56 to 1.00), p=NR</w:t>
            </w:r>
          </w:p>
        </w:tc>
        <w:tc>
          <w:tcPr>
            <w:tcW w:w="1072" w:type="dxa"/>
            <w:tcBorders>
              <w:right w:val="single" w:sz="12" w:space="0" w:color="auto"/>
            </w:tcBorders>
            <w:shd w:val="clear" w:color="auto" w:fill="auto"/>
            <w:tcMar>
              <w:left w:w="28" w:type="dxa"/>
              <w:right w:w="28" w:type="dxa"/>
            </w:tcMar>
          </w:tcPr>
          <w:p w14:paraId="293B09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58DD405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3AFA67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335249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B7868DA" w14:textId="77777777" w:rsidTr="003117A9">
        <w:trPr>
          <w:cantSplit/>
        </w:trPr>
        <w:tc>
          <w:tcPr>
            <w:tcW w:w="988" w:type="dxa"/>
            <w:tcBorders>
              <w:right w:val="single" w:sz="12" w:space="0" w:color="auto"/>
            </w:tcBorders>
            <w:shd w:val="clear" w:color="auto" w:fill="auto"/>
            <w:tcMar>
              <w:left w:w="28" w:type="dxa"/>
              <w:right w:w="28" w:type="dxa"/>
            </w:tcMar>
          </w:tcPr>
          <w:p w14:paraId="19E5E3ED" w14:textId="7B500B9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2365CB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132B5D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01BF53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23FC89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2A34A9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Non-rituximab-based (induction or maintenance)</w:t>
            </w:r>
          </w:p>
        </w:tc>
        <w:tc>
          <w:tcPr>
            <w:tcW w:w="567" w:type="dxa"/>
            <w:tcBorders>
              <w:left w:val="single" w:sz="12" w:space="0" w:color="auto"/>
            </w:tcBorders>
            <w:shd w:val="clear" w:color="auto" w:fill="auto"/>
            <w:tcMar>
              <w:left w:w="28" w:type="dxa"/>
              <w:right w:w="28" w:type="dxa"/>
            </w:tcMar>
          </w:tcPr>
          <w:p w14:paraId="4167EE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w:t>
            </w:r>
          </w:p>
        </w:tc>
        <w:tc>
          <w:tcPr>
            <w:tcW w:w="709" w:type="dxa"/>
            <w:tcBorders>
              <w:right w:val="single" w:sz="12" w:space="0" w:color="auto"/>
            </w:tcBorders>
            <w:shd w:val="clear" w:color="auto" w:fill="auto"/>
            <w:tcMar>
              <w:left w:w="28" w:type="dxa"/>
              <w:right w:w="28" w:type="dxa"/>
            </w:tcMar>
          </w:tcPr>
          <w:p w14:paraId="4B37379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986</w:t>
            </w:r>
          </w:p>
        </w:tc>
        <w:tc>
          <w:tcPr>
            <w:tcW w:w="1559" w:type="dxa"/>
            <w:tcBorders>
              <w:left w:val="single" w:sz="12" w:space="0" w:color="auto"/>
            </w:tcBorders>
            <w:shd w:val="clear" w:color="auto" w:fill="auto"/>
            <w:tcMar>
              <w:left w:w="28" w:type="dxa"/>
              <w:right w:w="28" w:type="dxa"/>
            </w:tcMar>
          </w:tcPr>
          <w:p w14:paraId="205C87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18CDE0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2D22A5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shd w:val="clear" w:color="auto" w:fill="auto"/>
            <w:tcMar>
              <w:left w:w="28" w:type="dxa"/>
              <w:right w:w="28" w:type="dxa"/>
            </w:tcMar>
          </w:tcPr>
          <w:p w14:paraId="252FC8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R2WLS=0.91 (0.05 to 1.00), p=NR</w:t>
            </w:r>
            <w:r w:rsidRPr="002D1DD7">
              <w:rPr>
                <w:rFonts w:eastAsia="Times New Roman" w:cs="Times New Roman"/>
                <w:color w:val="000000"/>
                <w:sz w:val="18"/>
                <w:szCs w:val="18"/>
                <w:lang w:eastAsia="zh-CN"/>
              </w:rPr>
              <w:br/>
              <w:t>b) R2Copula=0.96 (0.90 to 1.00), p=NR</w:t>
            </w:r>
          </w:p>
        </w:tc>
        <w:tc>
          <w:tcPr>
            <w:tcW w:w="1072" w:type="dxa"/>
            <w:tcBorders>
              <w:right w:val="single" w:sz="12" w:space="0" w:color="auto"/>
            </w:tcBorders>
            <w:shd w:val="clear" w:color="auto" w:fill="auto"/>
            <w:tcMar>
              <w:left w:w="28" w:type="dxa"/>
              <w:right w:w="28" w:type="dxa"/>
            </w:tcMar>
          </w:tcPr>
          <w:p w14:paraId="3534EB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4A3E5C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55694BB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4389E0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D4DF691" w14:textId="77777777" w:rsidTr="003117A9">
        <w:trPr>
          <w:cantSplit/>
        </w:trPr>
        <w:tc>
          <w:tcPr>
            <w:tcW w:w="988" w:type="dxa"/>
            <w:tcBorders>
              <w:right w:val="single" w:sz="12" w:space="0" w:color="auto"/>
            </w:tcBorders>
            <w:shd w:val="clear" w:color="auto" w:fill="auto"/>
            <w:tcMar>
              <w:left w:w="28" w:type="dxa"/>
              <w:right w:w="28" w:type="dxa"/>
            </w:tcMar>
          </w:tcPr>
          <w:p w14:paraId="755B2EAF" w14:textId="09BFF52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461AF8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13B5284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27D7C2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1B4E83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2E17596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Induction</w:t>
            </w:r>
          </w:p>
        </w:tc>
        <w:tc>
          <w:tcPr>
            <w:tcW w:w="567" w:type="dxa"/>
            <w:tcBorders>
              <w:left w:val="single" w:sz="12" w:space="0" w:color="auto"/>
            </w:tcBorders>
            <w:shd w:val="clear" w:color="auto" w:fill="auto"/>
            <w:tcMar>
              <w:left w:w="28" w:type="dxa"/>
              <w:right w:w="28" w:type="dxa"/>
            </w:tcMar>
          </w:tcPr>
          <w:p w14:paraId="50CEB6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8</w:t>
            </w:r>
          </w:p>
        </w:tc>
        <w:tc>
          <w:tcPr>
            <w:tcW w:w="709" w:type="dxa"/>
            <w:tcBorders>
              <w:right w:val="single" w:sz="12" w:space="0" w:color="auto"/>
            </w:tcBorders>
            <w:shd w:val="clear" w:color="auto" w:fill="auto"/>
            <w:tcMar>
              <w:left w:w="28" w:type="dxa"/>
              <w:right w:w="28" w:type="dxa"/>
            </w:tcMar>
          </w:tcPr>
          <w:p w14:paraId="254CF73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2207</w:t>
            </w:r>
          </w:p>
        </w:tc>
        <w:tc>
          <w:tcPr>
            <w:tcW w:w="1559" w:type="dxa"/>
            <w:tcBorders>
              <w:left w:val="single" w:sz="12" w:space="0" w:color="auto"/>
            </w:tcBorders>
            <w:shd w:val="clear" w:color="auto" w:fill="auto"/>
            <w:tcMar>
              <w:left w:w="28" w:type="dxa"/>
              <w:right w:w="28" w:type="dxa"/>
            </w:tcMar>
          </w:tcPr>
          <w:p w14:paraId="14B403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58E87A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69AE84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shd w:val="clear" w:color="auto" w:fill="auto"/>
            <w:tcMar>
              <w:left w:w="28" w:type="dxa"/>
              <w:right w:w="28" w:type="dxa"/>
            </w:tcMar>
          </w:tcPr>
          <w:p w14:paraId="672AF7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R2WLS=0.89 (0.75 to 0.98), p=NR</w:t>
            </w:r>
            <w:r w:rsidRPr="002D1DD7">
              <w:rPr>
                <w:rFonts w:eastAsia="Times New Roman" w:cs="Times New Roman"/>
                <w:color w:val="000000"/>
                <w:sz w:val="18"/>
                <w:szCs w:val="18"/>
                <w:lang w:eastAsia="zh-CN"/>
              </w:rPr>
              <w:br/>
              <w:t>b) R2Copula=0.89 (0.74 to 1.00), p=NR</w:t>
            </w:r>
          </w:p>
        </w:tc>
        <w:tc>
          <w:tcPr>
            <w:tcW w:w="1072" w:type="dxa"/>
            <w:tcBorders>
              <w:right w:val="single" w:sz="12" w:space="0" w:color="auto"/>
            </w:tcBorders>
            <w:shd w:val="clear" w:color="auto" w:fill="auto"/>
            <w:tcMar>
              <w:left w:w="28" w:type="dxa"/>
              <w:right w:w="28" w:type="dxa"/>
            </w:tcMar>
          </w:tcPr>
          <w:p w14:paraId="766ADF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7D04E0C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3F2F92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1F1D979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5D82AF9" w14:textId="77777777" w:rsidTr="003117A9">
        <w:trPr>
          <w:cantSplit/>
        </w:trPr>
        <w:tc>
          <w:tcPr>
            <w:tcW w:w="988" w:type="dxa"/>
            <w:tcBorders>
              <w:right w:val="single" w:sz="12" w:space="0" w:color="auto"/>
            </w:tcBorders>
            <w:shd w:val="clear" w:color="auto" w:fill="auto"/>
            <w:tcMar>
              <w:left w:w="28" w:type="dxa"/>
              <w:right w:w="28" w:type="dxa"/>
            </w:tcMar>
          </w:tcPr>
          <w:p w14:paraId="42F8E9AC" w14:textId="6C94F94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622952E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665D9B6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302020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5B8222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2A8292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Maintenance</w:t>
            </w:r>
          </w:p>
        </w:tc>
        <w:tc>
          <w:tcPr>
            <w:tcW w:w="567" w:type="dxa"/>
            <w:tcBorders>
              <w:left w:val="single" w:sz="12" w:space="0" w:color="auto"/>
            </w:tcBorders>
            <w:shd w:val="clear" w:color="auto" w:fill="auto"/>
            <w:tcMar>
              <w:left w:w="28" w:type="dxa"/>
              <w:right w:w="28" w:type="dxa"/>
            </w:tcMar>
          </w:tcPr>
          <w:p w14:paraId="6E3164E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09" w:type="dxa"/>
            <w:tcBorders>
              <w:right w:val="single" w:sz="12" w:space="0" w:color="auto"/>
            </w:tcBorders>
            <w:shd w:val="clear" w:color="auto" w:fill="auto"/>
            <w:tcMar>
              <w:left w:w="28" w:type="dxa"/>
              <w:right w:w="28" w:type="dxa"/>
            </w:tcMar>
          </w:tcPr>
          <w:p w14:paraId="77F919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1630</w:t>
            </w:r>
          </w:p>
        </w:tc>
        <w:tc>
          <w:tcPr>
            <w:tcW w:w="1559" w:type="dxa"/>
            <w:tcBorders>
              <w:left w:val="single" w:sz="12" w:space="0" w:color="auto"/>
            </w:tcBorders>
            <w:shd w:val="clear" w:color="auto" w:fill="auto"/>
            <w:tcMar>
              <w:left w:w="28" w:type="dxa"/>
              <w:right w:w="28" w:type="dxa"/>
            </w:tcMar>
          </w:tcPr>
          <w:p w14:paraId="2A4CBD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5D0C9E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4836BBE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wtd least squares (reported as R2WLS) and bivariate Plackett copula model (reported as R2copula), CR30 vs PFS</w:t>
            </w:r>
          </w:p>
        </w:tc>
        <w:tc>
          <w:tcPr>
            <w:tcW w:w="1559" w:type="dxa"/>
            <w:shd w:val="clear" w:color="auto" w:fill="auto"/>
            <w:tcMar>
              <w:left w:w="28" w:type="dxa"/>
              <w:right w:w="28" w:type="dxa"/>
            </w:tcMar>
          </w:tcPr>
          <w:p w14:paraId="76D37B4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R2WLS=0.93 (0.84 to 1.00), p=NR</w:t>
            </w:r>
            <w:r w:rsidRPr="002D1DD7">
              <w:rPr>
                <w:rFonts w:eastAsia="Times New Roman" w:cs="Times New Roman"/>
                <w:color w:val="000000"/>
                <w:sz w:val="18"/>
                <w:szCs w:val="18"/>
                <w:lang w:eastAsia="zh-CN"/>
              </w:rPr>
              <w:br/>
              <w:t>b) R2Copula=0.89 (0.71 to 1.00), p=NR</w:t>
            </w:r>
          </w:p>
        </w:tc>
        <w:tc>
          <w:tcPr>
            <w:tcW w:w="1072" w:type="dxa"/>
            <w:tcBorders>
              <w:right w:val="single" w:sz="12" w:space="0" w:color="auto"/>
            </w:tcBorders>
            <w:shd w:val="clear" w:color="auto" w:fill="auto"/>
            <w:tcMar>
              <w:left w:w="28" w:type="dxa"/>
              <w:right w:w="28" w:type="dxa"/>
            </w:tcMar>
          </w:tcPr>
          <w:p w14:paraId="2A2D8E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30C8CB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2229A4F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32A9C4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4D3496F" w14:textId="77777777" w:rsidTr="003117A9">
        <w:trPr>
          <w:cantSplit/>
        </w:trPr>
        <w:tc>
          <w:tcPr>
            <w:tcW w:w="988" w:type="dxa"/>
            <w:tcBorders>
              <w:right w:val="single" w:sz="12" w:space="0" w:color="auto"/>
            </w:tcBorders>
            <w:shd w:val="clear" w:color="auto" w:fill="auto"/>
            <w:tcMar>
              <w:left w:w="28" w:type="dxa"/>
              <w:right w:w="28" w:type="dxa"/>
            </w:tcMar>
          </w:tcPr>
          <w:p w14:paraId="40F55B83" w14:textId="74994F6B"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1FC48E4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5292090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47718B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6A07DA1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High FLIPI score</w:t>
            </w:r>
          </w:p>
        </w:tc>
        <w:tc>
          <w:tcPr>
            <w:tcW w:w="992" w:type="dxa"/>
            <w:tcBorders>
              <w:right w:val="single" w:sz="12" w:space="0" w:color="auto"/>
            </w:tcBorders>
            <w:shd w:val="clear" w:color="auto" w:fill="auto"/>
            <w:tcMar>
              <w:left w:w="28" w:type="dxa"/>
              <w:right w:w="28" w:type="dxa"/>
            </w:tcMar>
          </w:tcPr>
          <w:p w14:paraId="4A467C5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immuno (induction or maintenance)</w:t>
            </w:r>
          </w:p>
        </w:tc>
        <w:tc>
          <w:tcPr>
            <w:tcW w:w="567" w:type="dxa"/>
            <w:tcBorders>
              <w:left w:val="single" w:sz="12" w:space="0" w:color="auto"/>
            </w:tcBorders>
            <w:shd w:val="clear" w:color="auto" w:fill="auto"/>
            <w:tcMar>
              <w:left w:w="28" w:type="dxa"/>
              <w:right w:w="28" w:type="dxa"/>
            </w:tcMar>
          </w:tcPr>
          <w:p w14:paraId="0D1C391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w:t>
            </w:r>
          </w:p>
        </w:tc>
        <w:tc>
          <w:tcPr>
            <w:tcW w:w="709" w:type="dxa"/>
            <w:tcBorders>
              <w:right w:val="single" w:sz="12" w:space="0" w:color="auto"/>
            </w:tcBorders>
            <w:shd w:val="clear" w:color="auto" w:fill="auto"/>
            <w:tcMar>
              <w:left w:w="28" w:type="dxa"/>
              <w:right w:w="28" w:type="dxa"/>
            </w:tcMar>
          </w:tcPr>
          <w:p w14:paraId="0EC634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1415</w:t>
            </w:r>
          </w:p>
        </w:tc>
        <w:tc>
          <w:tcPr>
            <w:tcW w:w="1559" w:type="dxa"/>
            <w:tcBorders>
              <w:left w:val="single" w:sz="12" w:space="0" w:color="auto"/>
            </w:tcBorders>
            <w:shd w:val="clear" w:color="auto" w:fill="auto"/>
            <w:tcMar>
              <w:left w:w="28" w:type="dxa"/>
              <w:right w:w="28" w:type="dxa"/>
            </w:tcMar>
          </w:tcPr>
          <w:p w14:paraId="64E6ED8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0A326B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4B4AF8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shd w:val="clear" w:color="auto" w:fill="auto"/>
            <w:tcMar>
              <w:left w:w="28" w:type="dxa"/>
              <w:right w:w="28" w:type="dxa"/>
            </w:tcMar>
          </w:tcPr>
          <w:p w14:paraId="163137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R2WLS=0.87 (0.68 to 0.98), p=NR</w:t>
            </w:r>
            <w:r w:rsidRPr="002D1DD7">
              <w:rPr>
                <w:rFonts w:eastAsia="Times New Roman" w:cs="Times New Roman"/>
                <w:color w:val="000000"/>
                <w:sz w:val="18"/>
                <w:szCs w:val="18"/>
                <w:lang w:eastAsia="zh-CN"/>
              </w:rPr>
              <w:br/>
              <w:t>b) R2Copula=0.73 (0.42 to 1.00), p=NR</w:t>
            </w:r>
          </w:p>
        </w:tc>
        <w:tc>
          <w:tcPr>
            <w:tcW w:w="1072" w:type="dxa"/>
            <w:tcBorders>
              <w:right w:val="single" w:sz="12" w:space="0" w:color="auto"/>
            </w:tcBorders>
            <w:shd w:val="clear" w:color="auto" w:fill="auto"/>
            <w:tcMar>
              <w:left w:w="28" w:type="dxa"/>
              <w:right w:w="28" w:type="dxa"/>
            </w:tcMar>
          </w:tcPr>
          <w:p w14:paraId="792212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2B29E0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00A6AB5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150891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567E6DC" w14:textId="77777777" w:rsidTr="003117A9">
        <w:trPr>
          <w:cantSplit/>
        </w:trPr>
        <w:tc>
          <w:tcPr>
            <w:tcW w:w="988" w:type="dxa"/>
            <w:tcBorders>
              <w:right w:val="single" w:sz="12" w:space="0" w:color="auto"/>
            </w:tcBorders>
            <w:shd w:val="clear" w:color="auto" w:fill="auto"/>
            <w:tcMar>
              <w:left w:w="28" w:type="dxa"/>
              <w:right w:w="28" w:type="dxa"/>
            </w:tcMar>
          </w:tcPr>
          <w:p w14:paraId="38B4CA81" w14:textId="21FF80CE"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0AC988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707DB9A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2247F57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3D9FA55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Low to intermediate FLIPI score</w:t>
            </w:r>
          </w:p>
        </w:tc>
        <w:tc>
          <w:tcPr>
            <w:tcW w:w="992" w:type="dxa"/>
            <w:tcBorders>
              <w:right w:val="single" w:sz="12" w:space="0" w:color="auto"/>
            </w:tcBorders>
            <w:shd w:val="clear" w:color="auto" w:fill="auto"/>
            <w:tcMar>
              <w:left w:w="28" w:type="dxa"/>
              <w:right w:w="28" w:type="dxa"/>
            </w:tcMar>
          </w:tcPr>
          <w:p w14:paraId="3096409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immuno (induction or maintenance)</w:t>
            </w:r>
          </w:p>
        </w:tc>
        <w:tc>
          <w:tcPr>
            <w:tcW w:w="567" w:type="dxa"/>
            <w:tcBorders>
              <w:left w:val="single" w:sz="12" w:space="0" w:color="auto"/>
            </w:tcBorders>
            <w:shd w:val="clear" w:color="auto" w:fill="auto"/>
            <w:tcMar>
              <w:left w:w="28" w:type="dxa"/>
              <w:right w:w="28" w:type="dxa"/>
            </w:tcMar>
          </w:tcPr>
          <w:p w14:paraId="0F398A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10</w:t>
            </w:r>
          </w:p>
        </w:tc>
        <w:tc>
          <w:tcPr>
            <w:tcW w:w="709" w:type="dxa"/>
            <w:tcBorders>
              <w:right w:val="single" w:sz="12" w:space="0" w:color="auto"/>
            </w:tcBorders>
            <w:shd w:val="clear" w:color="auto" w:fill="auto"/>
            <w:tcMar>
              <w:left w:w="28" w:type="dxa"/>
              <w:right w:w="28" w:type="dxa"/>
            </w:tcMar>
          </w:tcPr>
          <w:p w14:paraId="2D796A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1882</w:t>
            </w:r>
          </w:p>
        </w:tc>
        <w:tc>
          <w:tcPr>
            <w:tcW w:w="1559" w:type="dxa"/>
            <w:tcBorders>
              <w:left w:val="single" w:sz="12" w:space="0" w:color="auto"/>
            </w:tcBorders>
            <w:shd w:val="clear" w:color="auto" w:fill="auto"/>
            <w:tcMar>
              <w:left w:w="28" w:type="dxa"/>
              <w:right w:w="28" w:type="dxa"/>
            </w:tcMar>
          </w:tcPr>
          <w:p w14:paraId="25E851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5C95C2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785CB4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shd w:val="clear" w:color="auto" w:fill="auto"/>
            <w:tcMar>
              <w:left w:w="28" w:type="dxa"/>
              <w:right w:w="28" w:type="dxa"/>
            </w:tcMar>
          </w:tcPr>
          <w:p w14:paraId="177776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R2WLS=0.45 (0.02 to 0.93), p=NR</w:t>
            </w:r>
            <w:r w:rsidRPr="002D1DD7">
              <w:rPr>
                <w:rFonts w:eastAsia="Times New Roman" w:cs="Times New Roman"/>
                <w:color w:val="000000"/>
                <w:sz w:val="18"/>
                <w:szCs w:val="18"/>
                <w:lang w:eastAsia="zh-CN"/>
              </w:rPr>
              <w:br/>
              <w:t>b) R2Copula=0.57 (0.17 to 0.97), p=NR</w:t>
            </w:r>
          </w:p>
        </w:tc>
        <w:tc>
          <w:tcPr>
            <w:tcW w:w="1072" w:type="dxa"/>
            <w:tcBorders>
              <w:right w:val="single" w:sz="12" w:space="0" w:color="auto"/>
            </w:tcBorders>
            <w:shd w:val="clear" w:color="auto" w:fill="auto"/>
            <w:tcMar>
              <w:left w:w="28" w:type="dxa"/>
              <w:right w:w="28" w:type="dxa"/>
            </w:tcMar>
          </w:tcPr>
          <w:p w14:paraId="5D0F0F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25D181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714EDA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tcPr>
          <w:p w14:paraId="791BAA7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2169684" w14:textId="77777777" w:rsidTr="003117A9">
        <w:trPr>
          <w:cantSplit/>
        </w:trPr>
        <w:tc>
          <w:tcPr>
            <w:tcW w:w="988" w:type="dxa"/>
            <w:tcBorders>
              <w:right w:val="single" w:sz="12" w:space="0" w:color="auto"/>
            </w:tcBorders>
            <w:shd w:val="clear" w:color="auto" w:fill="auto"/>
            <w:tcMar>
              <w:left w:w="28" w:type="dxa"/>
              <w:right w:w="28" w:type="dxa"/>
            </w:tcMar>
          </w:tcPr>
          <w:p w14:paraId="6E1045FC" w14:textId="03B0F6E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tcBorders>
            <w:tcMar>
              <w:left w:w="28" w:type="dxa"/>
              <w:right w:w="28" w:type="dxa"/>
            </w:tcMar>
          </w:tcPr>
          <w:p w14:paraId="0159BA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right w:val="single" w:sz="12" w:space="0" w:color="auto"/>
            </w:tcBorders>
            <w:tcMar>
              <w:left w:w="28" w:type="dxa"/>
              <w:right w:w="28" w:type="dxa"/>
            </w:tcMar>
          </w:tcPr>
          <w:p w14:paraId="6A4169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right w:val="single" w:sz="12" w:space="0" w:color="auto"/>
            </w:tcBorders>
            <w:shd w:val="clear" w:color="auto" w:fill="auto"/>
            <w:tcMar>
              <w:left w:w="28" w:type="dxa"/>
              <w:right w:w="28" w:type="dxa"/>
            </w:tcMar>
          </w:tcPr>
          <w:p w14:paraId="6A826C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tcBorders>
            <w:shd w:val="clear" w:color="auto" w:fill="auto"/>
            <w:tcMar>
              <w:left w:w="28" w:type="dxa"/>
              <w:right w:w="28" w:type="dxa"/>
            </w:tcMar>
          </w:tcPr>
          <w:p w14:paraId="28856A3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214855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immuno (induction or maintenance)</w:t>
            </w:r>
          </w:p>
        </w:tc>
        <w:tc>
          <w:tcPr>
            <w:tcW w:w="567" w:type="dxa"/>
            <w:tcBorders>
              <w:left w:val="single" w:sz="12" w:space="0" w:color="auto"/>
            </w:tcBorders>
            <w:shd w:val="clear" w:color="auto" w:fill="auto"/>
            <w:tcMar>
              <w:left w:w="28" w:type="dxa"/>
              <w:right w:w="28" w:type="dxa"/>
            </w:tcMar>
          </w:tcPr>
          <w:p w14:paraId="6EFE952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11</w:t>
            </w:r>
          </w:p>
        </w:tc>
        <w:tc>
          <w:tcPr>
            <w:tcW w:w="709" w:type="dxa"/>
            <w:tcBorders>
              <w:right w:val="single" w:sz="12" w:space="0" w:color="auto"/>
            </w:tcBorders>
            <w:shd w:val="clear" w:color="auto" w:fill="auto"/>
            <w:tcMar>
              <w:left w:w="28" w:type="dxa"/>
              <w:right w:w="28" w:type="dxa"/>
            </w:tcMar>
          </w:tcPr>
          <w:p w14:paraId="37AD4C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2728</w:t>
            </w:r>
          </w:p>
        </w:tc>
        <w:tc>
          <w:tcPr>
            <w:tcW w:w="1559" w:type="dxa"/>
            <w:tcBorders>
              <w:left w:val="single" w:sz="12" w:space="0" w:color="auto"/>
            </w:tcBorders>
            <w:shd w:val="clear" w:color="auto" w:fill="auto"/>
            <w:tcMar>
              <w:left w:w="28" w:type="dxa"/>
              <w:right w:w="28" w:type="dxa"/>
            </w:tcMar>
          </w:tcPr>
          <w:p w14:paraId="0E63F37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right w:val="single" w:sz="12" w:space="0" w:color="auto"/>
            </w:tcBorders>
            <w:shd w:val="clear" w:color="auto" w:fill="auto"/>
            <w:tcMar>
              <w:left w:w="28" w:type="dxa"/>
              <w:right w:w="28" w:type="dxa"/>
            </w:tcMar>
          </w:tcPr>
          <w:p w14:paraId="2B7F51C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tcBorders>
            <w:shd w:val="clear" w:color="auto" w:fill="auto"/>
            <w:tcMar>
              <w:left w:w="28" w:type="dxa"/>
              <w:right w:w="28" w:type="dxa"/>
            </w:tcMar>
          </w:tcPr>
          <w:p w14:paraId="4E701DD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24mo vs. logHR PFS)</w:t>
            </w:r>
          </w:p>
        </w:tc>
        <w:tc>
          <w:tcPr>
            <w:tcW w:w="1559" w:type="dxa"/>
            <w:shd w:val="clear" w:color="auto" w:fill="auto"/>
            <w:tcMar>
              <w:left w:w="28" w:type="dxa"/>
              <w:right w:w="28" w:type="dxa"/>
            </w:tcMar>
          </w:tcPr>
          <w:p w14:paraId="3E34F0C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R2WLS=0.84 (0.63 to 0.95), p=NR</w:t>
            </w:r>
            <w:r w:rsidRPr="002D1DD7">
              <w:rPr>
                <w:rFonts w:eastAsia="Times New Roman" w:cs="Times New Roman"/>
                <w:color w:val="000000"/>
                <w:sz w:val="18"/>
                <w:szCs w:val="18"/>
                <w:lang w:eastAsia="zh-CN"/>
              </w:rPr>
              <w:br/>
              <w:t>b) R2Copula=0.67 (0.35 to 0.99), p=NR</w:t>
            </w:r>
          </w:p>
        </w:tc>
        <w:tc>
          <w:tcPr>
            <w:tcW w:w="1072" w:type="dxa"/>
            <w:tcBorders>
              <w:right w:val="single" w:sz="12" w:space="0" w:color="auto"/>
            </w:tcBorders>
            <w:shd w:val="clear" w:color="auto" w:fill="auto"/>
            <w:tcMar>
              <w:left w:w="28" w:type="dxa"/>
              <w:right w:w="28" w:type="dxa"/>
            </w:tcMar>
          </w:tcPr>
          <w:p w14:paraId="10060D4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logHR PFS = 0.043 - 0.726 * logOR CR24mo</w:t>
            </w:r>
          </w:p>
        </w:tc>
        <w:tc>
          <w:tcPr>
            <w:tcW w:w="546" w:type="dxa"/>
            <w:tcBorders>
              <w:left w:val="single" w:sz="12" w:space="0" w:color="auto"/>
              <w:right w:val="single" w:sz="12" w:space="0" w:color="auto"/>
            </w:tcBorders>
            <w:shd w:val="clear" w:color="auto" w:fill="auto"/>
            <w:tcMar>
              <w:left w:w="28" w:type="dxa"/>
              <w:right w:w="28" w:type="dxa"/>
            </w:tcMar>
          </w:tcPr>
          <w:p w14:paraId="533881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39C0D5D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shd w:val="clear" w:color="auto" w:fill="auto"/>
            <w:tcMar>
              <w:left w:w="28" w:type="dxa"/>
              <w:right w:w="28" w:type="dxa"/>
            </w:tcMar>
          </w:tcPr>
          <w:p w14:paraId="35D89D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66D4E2F8" w14:textId="77777777" w:rsidTr="003117A9">
        <w:trPr>
          <w:cantSplit/>
        </w:trPr>
        <w:tc>
          <w:tcPr>
            <w:tcW w:w="988" w:type="dxa"/>
            <w:tcBorders>
              <w:bottom w:val="single" w:sz="12" w:space="0" w:color="auto"/>
              <w:right w:val="single" w:sz="12" w:space="0" w:color="auto"/>
            </w:tcBorders>
            <w:shd w:val="clear" w:color="auto" w:fill="auto"/>
            <w:tcMar>
              <w:left w:w="28" w:type="dxa"/>
              <w:right w:w="28" w:type="dxa"/>
            </w:tcMar>
          </w:tcPr>
          <w:p w14:paraId="47992B1B" w14:textId="5FE8578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Shi 2017</w:t>
            </w:r>
            <w:r w:rsidRPr="002D1DD7">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 </w:instrText>
            </w:r>
            <w:r w:rsidR="000E66DE">
              <w:rPr>
                <w:rFonts w:eastAsia="Times New Roman" w:cs="Times New Roman"/>
                <w:color w:val="000000"/>
                <w:sz w:val="18"/>
                <w:szCs w:val="18"/>
                <w:lang w:eastAsia="zh-CN"/>
              </w:rPr>
              <w:fldChar w:fldCharType="begin">
                <w:fldData xml:space="preserve">PEVuZE5vdGU+PENpdGU+PEF1dGhvcj5TaGk8L0F1dGhvcj48WWVhcj4yMDE3PC9ZZWFyPjxSZWNO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ciBDZW50ZXIsIEhvdXN0b24sIFRYLiYjeEQ7TWFyY3VzLCBSb2JlcnQuIFFpYW4gU2hpIGFuZCBE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eSBvZiBUZXhhcyBNRCBBbmRlcnNvbiBDYW5jZXIgQ2VudGVyLCBIb3VzdG9uLCBUWC4mI3hEO0hl
cm9sZCwgTWljaGFlbC4gUWlhbiBTaGkgYW5kIERhbmllbCBKLiBTYXJnZW50LCBNYXlvIENsaW5p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ciBDZW50ZXIsIEhvdXN0b24sIFRYLiYjeEQ7SGFnZW5iZWVrLCBBbnRvbi4gUWlhbiBTaGkgYW5k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S2ltYnksIEV2YS4gUWlhbiBTaGkgYW5kIERhbmllbCBKLiBTYXJnZW50LCBNYXlvIENsaW5pYywg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ZW50ZXIsIEhvdXN0b24sIFRYLiYjeEQ7SG9jaHN0ZXIsIEhvd2FyZC4gUWlhbiBTaGkgYW5kIERh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ZXIgQ2VudGVyLCBIb3VzdG9uLCBUWC4mI3hEO0doaWVsbWluaSwgTWljaGVsZS4gUWlhbiBTaGkg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bmNlciBDZW50ZXIsIEhvdXN0b24sIFRYLiYjeEQ7RGUgQmVkb3V0LCBTYWJpbmUuIFFpYW4gU2hp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bmQ7IFRvbW15IEZ1LCBDZWxnZW5lLCBTdW1taXQsIE5KOyBOYW5jeSBWYWxlbnRlLCBHZW5lbnRl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==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000E66DE">
              <w:rPr>
                <w:rFonts w:eastAsia="Times New Roman" w:cs="Times New Roman"/>
                <w:color w:val="000000"/>
                <w:sz w:val="18"/>
                <w:szCs w:val="18"/>
                <w:lang w:eastAsia="zh-CN"/>
              </w:rPr>
              <w:fldChar w:fldCharType="begin">
                <w:fldData xml:space="preserve">bmVudGVjaCwgU291dGggU2FuIEZyYW5jaXNjbywgQ0E7IGFuZCBOYXRoYW4gSC4gRm93bGVyLCBV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</w:fldData>
              </w:fldChar>
            </w:r>
            <w:r w:rsidR="000E66DE">
              <w:rPr>
                <w:rFonts w:eastAsia="Times New Roman" w:cs="Times New Roman"/>
                <w:color w:val="000000"/>
                <w:sz w:val="18"/>
                <w:szCs w:val="18"/>
                <w:lang w:eastAsia="zh-CN"/>
              </w:rPr>
              <w:instrText xml:space="preserve"> ADDIN EN.CITE.DATA </w:instrText>
            </w:r>
            <w:r w:rsidR="000E66DE">
              <w:rPr>
                <w:rFonts w:eastAsia="Times New Roman" w:cs="Times New Roman"/>
                <w:color w:val="000000"/>
                <w:sz w:val="18"/>
                <w:szCs w:val="18"/>
                <w:lang w:eastAsia="zh-CN"/>
              </w:rPr>
            </w:r>
            <w:r w:rsidR="000E66DE">
              <w:rPr>
                <w:rFonts w:eastAsia="Times New Roman" w:cs="Times New Roman"/>
                <w:color w:val="000000"/>
                <w:sz w:val="18"/>
                <w:szCs w:val="18"/>
                <w:lang w:eastAsia="zh-CN"/>
              </w:rPr>
              <w:fldChar w:fldCharType="end"/>
            </w:r>
            <w:r w:rsidRPr="002D1DD7">
              <w:rPr>
                <w:rFonts w:eastAsia="Times New Roman" w:cs="Times New Roman"/>
                <w:color w:val="000000"/>
                <w:sz w:val="18"/>
                <w:szCs w:val="18"/>
                <w:lang w:eastAsia="zh-CN"/>
              </w:rPr>
            </w:r>
            <w:r w:rsidRPr="002D1DD7">
              <w:rPr>
                <w:rFonts w:eastAsia="Times New Roman" w:cs="Times New Roman"/>
                <w:color w:val="000000"/>
                <w:sz w:val="18"/>
                <w:szCs w:val="18"/>
                <w:lang w:eastAsia="zh-CN"/>
              </w:rPr>
              <w:fldChar w:fldCharType="separate"/>
            </w:r>
            <w:r w:rsidR="003117A9" w:rsidRPr="003117A9">
              <w:rPr>
                <w:rFonts w:eastAsia="Times New Roman" w:cs="Times New Roman"/>
                <w:noProof/>
                <w:color w:val="000000"/>
                <w:sz w:val="18"/>
                <w:szCs w:val="18"/>
                <w:vertAlign w:val="superscript"/>
                <w:lang w:eastAsia="zh-CN"/>
              </w:rPr>
              <w:t>129</w:t>
            </w:r>
            <w:r w:rsidRPr="002D1DD7">
              <w:rPr>
                <w:rFonts w:eastAsia="Times New Roman" w:cs="Times New Roman"/>
                <w:color w:val="000000"/>
                <w:sz w:val="18"/>
                <w:szCs w:val="18"/>
                <w:lang w:eastAsia="zh-CN"/>
              </w:rPr>
              <w:fldChar w:fldCharType="end"/>
            </w:r>
          </w:p>
        </w:tc>
        <w:tc>
          <w:tcPr>
            <w:tcW w:w="430" w:type="dxa"/>
            <w:tcBorders>
              <w:left w:val="single" w:sz="12" w:space="0" w:color="auto"/>
              <w:bottom w:val="single" w:sz="12" w:space="0" w:color="auto"/>
            </w:tcBorders>
            <w:tcMar>
              <w:left w:w="28" w:type="dxa"/>
              <w:right w:w="28" w:type="dxa"/>
            </w:tcMar>
          </w:tcPr>
          <w:p w14:paraId="5A178CE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bottom w:val="single" w:sz="12" w:space="0" w:color="auto"/>
              <w:right w:val="single" w:sz="12" w:space="0" w:color="auto"/>
            </w:tcBorders>
            <w:tcMar>
              <w:left w:w="28" w:type="dxa"/>
              <w:right w:w="28" w:type="dxa"/>
            </w:tcMar>
          </w:tcPr>
          <w:p w14:paraId="5484D7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left w:val="single" w:sz="12" w:space="0" w:color="auto"/>
              <w:bottom w:val="single" w:sz="12" w:space="0" w:color="auto"/>
              <w:right w:val="single" w:sz="12" w:space="0" w:color="auto"/>
            </w:tcBorders>
            <w:shd w:val="clear" w:color="auto" w:fill="auto"/>
            <w:tcMar>
              <w:left w:w="28" w:type="dxa"/>
              <w:right w:w="28" w:type="dxa"/>
            </w:tcMar>
          </w:tcPr>
          <w:p w14:paraId="0755C1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 follicular)</w:t>
            </w:r>
          </w:p>
        </w:tc>
        <w:tc>
          <w:tcPr>
            <w:tcW w:w="1134" w:type="dxa"/>
            <w:tcBorders>
              <w:left w:val="single" w:sz="12" w:space="0" w:color="auto"/>
              <w:bottom w:val="single" w:sz="12" w:space="0" w:color="auto"/>
            </w:tcBorders>
            <w:shd w:val="clear" w:color="auto" w:fill="auto"/>
            <w:tcMar>
              <w:left w:w="28" w:type="dxa"/>
              <w:right w:w="28" w:type="dxa"/>
            </w:tcMar>
          </w:tcPr>
          <w:p w14:paraId="7FE0F92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Stage IV</w:t>
            </w:r>
          </w:p>
        </w:tc>
        <w:tc>
          <w:tcPr>
            <w:tcW w:w="992" w:type="dxa"/>
            <w:tcBorders>
              <w:bottom w:val="single" w:sz="12" w:space="0" w:color="auto"/>
              <w:right w:val="single" w:sz="12" w:space="0" w:color="auto"/>
            </w:tcBorders>
            <w:shd w:val="clear" w:color="auto" w:fill="auto"/>
            <w:tcMar>
              <w:left w:w="28" w:type="dxa"/>
              <w:right w:w="28" w:type="dxa"/>
            </w:tcMar>
          </w:tcPr>
          <w:p w14:paraId="74C2EEC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 or immuno (induction or maintenance)</w:t>
            </w:r>
          </w:p>
        </w:tc>
        <w:tc>
          <w:tcPr>
            <w:tcW w:w="567" w:type="dxa"/>
            <w:tcBorders>
              <w:left w:val="single" w:sz="12" w:space="0" w:color="auto"/>
              <w:bottom w:val="single" w:sz="12" w:space="0" w:color="auto"/>
            </w:tcBorders>
            <w:shd w:val="clear" w:color="auto" w:fill="auto"/>
            <w:tcMar>
              <w:left w:w="28" w:type="dxa"/>
              <w:right w:w="28" w:type="dxa"/>
            </w:tcMar>
          </w:tcPr>
          <w:p w14:paraId="75506A7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09" w:type="dxa"/>
            <w:tcBorders>
              <w:bottom w:val="single" w:sz="12" w:space="0" w:color="auto"/>
              <w:right w:val="single" w:sz="12" w:space="0" w:color="auto"/>
            </w:tcBorders>
            <w:shd w:val="clear" w:color="auto" w:fill="auto"/>
            <w:tcMar>
              <w:left w:w="28" w:type="dxa"/>
              <w:right w:w="28" w:type="dxa"/>
            </w:tcMar>
          </w:tcPr>
          <w:p w14:paraId="29114D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2585</w:t>
            </w:r>
          </w:p>
        </w:tc>
        <w:tc>
          <w:tcPr>
            <w:tcW w:w="1559" w:type="dxa"/>
            <w:tcBorders>
              <w:left w:val="single" w:sz="12" w:space="0" w:color="auto"/>
              <w:bottom w:val="single" w:sz="12" w:space="0" w:color="auto"/>
            </w:tcBorders>
            <w:shd w:val="clear" w:color="auto" w:fill="auto"/>
            <w:tcMar>
              <w:left w:w="28" w:type="dxa"/>
              <w:right w:w="28" w:type="dxa"/>
            </w:tcMar>
          </w:tcPr>
          <w:p w14:paraId="17D2E0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bottom w:val="single" w:sz="12" w:space="0" w:color="auto"/>
              <w:right w:val="single" w:sz="12" w:space="0" w:color="auto"/>
            </w:tcBorders>
            <w:shd w:val="clear" w:color="auto" w:fill="auto"/>
            <w:tcMar>
              <w:left w:w="28" w:type="dxa"/>
              <w:right w:w="28" w:type="dxa"/>
            </w:tcMar>
          </w:tcPr>
          <w:p w14:paraId="0FF7988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left w:val="single" w:sz="12" w:space="0" w:color="auto"/>
              <w:bottom w:val="single" w:sz="12" w:space="0" w:color="auto"/>
            </w:tcBorders>
            <w:shd w:val="clear" w:color="auto" w:fill="auto"/>
            <w:tcMar>
              <w:left w:w="28" w:type="dxa"/>
              <w:right w:w="28" w:type="dxa"/>
            </w:tcMar>
          </w:tcPr>
          <w:p w14:paraId="28A4177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WLSR R2</w:t>
            </w:r>
            <w:r w:rsidRPr="002D1DD7">
              <w:rPr>
                <w:rFonts w:eastAsia="Times New Roman" w:cs="Times New Roman"/>
                <w:color w:val="000000"/>
                <w:sz w:val="18"/>
                <w:szCs w:val="18"/>
                <w:lang w:eastAsia="zh-CN"/>
              </w:rPr>
              <w:br/>
              <w:t>b) Bivariate Plackett copula model</w:t>
            </w:r>
            <w:r w:rsidRPr="002D1DD7">
              <w:rPr>
                <w:rFonts w:eastAsia="Times New Roman" w:cs="Times New Roman"/>
                <w:color w:val="000000"/>
                <w:sz w:val="18"/>
                <w:szCs w:val="18"/>
                <w:lang w:eastAsia="zh-CN"/>
              </w:rPr>
              <w:br/>
              <w:t>(logOR CR 30mo vs. logHR PFS)</w:t>
            </w:r>
          </w:p>
        </w:tc>
        <w:tc>
          <w:tcPr>
            <w:tcW w:w="1559" w:type="dxa"/>
            <w:tcBorders>
              <w:bottom w:val="single" w:sz="12" w:space="0" w:color="auto"/>
            </w:tcBorders>
            <w:shd w:val="clear" w:color="auto" w:fill="auto"/>
            <w:tcMar>
              <w:left w:w="28" w:type="dxa"/>
              <w:right w:w="28" w:type="dxa"/>
            </w:tcMar>
          </w:tcPr>
          <w:p w14:paraId="3A25EE1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R2WLS=0.92 (0.85 to 0.97), p=NR</w:t>
            </w:r>
            <w:r w:rsidRPr="002D1DD7">
              <w:rPr>
                <w:rFonts w:eastAsia="Times New Roman" w:cs="Times New Roman"/>
                <w:color w:val="000000"/>
                <w:sz w:val="18"/>
                <w:szCs w:val="18"/>
                <w:lang w:eastAsia="zh-CN"/>
              </w:rPr>
              <w:br/>
              <w:t>b) R2Copula=0.94 (0.87 to 1.00), p=NR</w:t>
            </w:r>
          </w:p>
        </w:tc>
        <w:tc>
          <w:tcPr>
            <w:tcW w:w="1072" w:type="dxa"/>
            <w:tcBorders>
              <w:bottom w:val="single" w:sz="12" w:space="0" w:color="auto"/>
              <w:right w:val="single" w:sz="12" w:space="0" w:color="auto"/>
            </w:tcBorders>
            <w:shd w:val="clear" w:color="auto" w:fill="auto"/>
            <w:tcMar>
              <w:left w:w="28" w:type="dxa"/>
              <w:right w:w="28" w:type="dxa"/>
            </w:tcMar>
          </w:tcPr>
          <w:p w14:paraId="5C2B3C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bottom w:val="single" w:sz="12" w:space="0" w:color="auto"/>
              <w:right w:val="single" w:sz="12" w:space="0" w:color="auto"/>
            </w:tcBorders>
            <w:shd w:val="clear" w:color="auto" w:fill="auto"/>
            <w:tcMar>
              <w:left w:w="28" w:type="dxa"/>
              <w:right w:w="28" w:type="dxa"/>
            </w:tcMar>
          </w:tcPr>
          <w:p w14:paraId="01C370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bottom w:val="single" w:sz="12" w:space="0" w:color="auto"/>
            </w:tcBorders>
            <w:shd w:val="clear" w:color="auto" w:fill="auto"/>
            <w:tcMar>
              <w:left w:w="28" w:type="dxa"/>
              <w:right w:w="28" w:type="dxa"/>
            </w:tcMar>
          </w:tcPr>
          <w:p w14:paraId="41B7D6F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bottom w:val="single" w:sz="12" w:space="0" w:color="auto"/>
            </w:tcBorders>
            <w:shd w:val="clear" w:color="auto" w:fill="auto"/>
            <w:tcMar>
              <w:left w:w="28" w:type="dxa"/>
              <w:right w:w="28" w:type="dxa"/>
            </w:tcMar>
          </w:tcPr>
          <w:p w14:paraId="44BECD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6F2C74D"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10143251" w14:textId="3C867CB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12" w:space="0" w:color="auto"/>
            </w:tcBorders>
            <w:tcMar>
              <w:left w:w="28" w:type="dxa"/>
              <w:right w:w="28" w:type="dxa"/>
            </w:tcMar>
          </w:tcPr>
          <w:p w14:paraId="71DB085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12" w:space="0" w:color="auto"/>
              <w:bottom w:val="single" w:sz="12" w:space="0" w:color="auto"/>
              <w:right w:val="single" w:sz="12" w:space="0" w:color="auto"/>
            </w:tcBorders>
            <w:tcMar>
              <w:left w:w="28" w:type="dxa"/>
              <w:right w:w="28" w:type="dxa"/>
            </w:tcMar>
          </w:tcPr>
          <w:p w14:paraId="7ADB02C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PFS</w:t>
            </w:r>
          </w:p>
        </w:tc>
        <w:tc>
          <w:tcPr>
            <w:tcW w:w="98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3F06C07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01139C2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12" w:space="0" w:color="auto"/>
              <w:right w:val="single" w:sz="12" w:space="0" w:color="auto"/>
            </w:tcBorders>
            <w:shd w:val="clear" w:color="auto" w:fill="auto"/>
            <w:tcMar>
              <w:left w:w="28" w:type="dxa"/>
              <w:right w:w="28" w:type="dxa"/>
            </w:tcMar>
          </w:tcPr>
          <w:p w14:paraId="68598F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12" w:space="0" w:color="auto"/>
            </w:tcBorders>
            <w:shd w:val="clear" w:color="auto" w:fill="auto"/>
            <w:tcMar>
              <w:left w:w="28" w:type="dxa"/>
              <w:right w:w="28" w:type="dxa"/>
            </w:tcMar>
          </w:tcPr>
          <w:p w14:paraId="4EE608B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w:t>
            </w:r>
          </w:p>
        </w:tc>
        <w:tc>
          <w:tcPr>
            <w:tcW w:w="709" w:type="dxa"/>
            <w:tcBorders>
              <w:top w:val="single" w:sz="12" w:space="0" w:color="auto"/>
              <w:bottom w:val="single" w:sz="12" w:space="0" w:color="auto"/>
              <w:right w:val="single" w:sz="12" w:space="0" w:color="auto"/>
            </w:tcBorders>
            <w:shd w:val="clear" w:color="auto" w:fill="auto"/>
            <w:tcMar>
              <w:left w:w="28" w:type="dxa"/>
              <w:right w:w="28" w:type="dxa"/>
            </w:tcMar>
          </w:tcPr>
          <w:p w14:paraId="69E8512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bottom w:val="single" w:sz="12" w:space="0" w:color="auto"/>
            </w:tcBorders>
            <w:shd w:val="clear" w:color="auto" w:fill="auto"/>
            <w:tcMar>
              <w:left w:w="28" w:type="dxa"/>
              <w:right w:w="28" w:type="dxa"/>
            </w:tcMar>
          </w:tcPr>
          <w:p w14:paraId="107D4F3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RR vs. diff med PFS)</w:t>
            </w:r>
          </w:p>
        </w:tc>
        <w:tc>
          <w:tcPr>
            <w:tcW w:w="1460" w:type="dxa"/>
            <w:tcBorders>
              <w:top w:val="single" w:sz="12" w:space="0" w:color="auto"/>
              <w:bottom w:val="single" w:sz="12" w:space="0" w:color="auto"/>
              <w:right w:val="single" w:sz="12" w:space="0" w:color="auto"/>
            </w:tcBorders>
            <w:shd w:val="clear" w:color="auto" w:fill="auto"/>
            <w:tcMar>
              <w:left w:w="28" w:type="dxa"/>
              <w:right w:w="28" w:type="dxa"/>
            </w:tcMar>
          </w:tcPr>
          <w:p w14:paraId="325568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rs=0.19, p=0.555</w:t>
            </w:r>
          </w:p>
        </w:tc>
        <w:tc>
          <w:tcPr>
            <w:tcW w:w="1659" w:type="dxa"/>
            <w:tcBorders>
              <w:top w:val="single" w:sz="12" w:space="0" w:color="auto"/>
              <w:left w:val="single" w:sz="12" w:space="0" w:color="auto"/>
              <w:bottom w:val="single" w:sz="12" w:space="0" w:color="auto"/>
            </w:tcBorders>
            <w:shd w:val="clear" w:color="auto" w:fill="auto"/>
            <w:tcMar>
              <w:left w:w="28" w:type="dxa"/>
              <w:right w:w="28" w:type="dxa"/>
            </w:tcMar>
          </w:tcPr>
          <w:p w14:paraId="11845CA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bottom w:val="single" w:sz="12" w:space="0" w:color="auto"/>
            </w:tcBorders>
            <w:shd w:val="clear" w:color="auto" w:fill="auto"/>
            <w:tcMar>
              <w:left w:w="28" w:type="dxa"/>
              <w:right w:w="28" w:type="dxa"/>
            </w:tcMar>
          </w:tcPr>
          <w:p w14:paraId="1DE2A4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bottom w:val="single" w:sz="12" w:space="0" w:color="auto"/>
              <w:right w:val="single" w:sz="12" w:space="0" w:color="auto"/>
            </w:tcBorders>
            <w:shd w:val="clear" w:color="auto" w:fill="auto"/>
            <w:tcMar>
              <w:left w:w="28" w:type="dxa"/>
              <w:right w:w="28" w:type="dxa"/>
            </w:tcMar>
          </w:tcPr>
          <w:p w14:paraId="1AC88B1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A8D664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12" w:space="0" w:color="auto"/>
            </w:tcBorders>
            <w:shd w:val="clear" w:color="auto" w:fill="auto"/>
            <w:tcMar>
              <w:left w:w="28" w:type="dxa"/>
              <w:right w:w="28" w:type="dxa"/>
            </w:tcMar>
          </w:tcPr>
          <w:p w14:paraId="3D9A432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12" w:space="0" w:color="auto"/>
            </w:tcBorders>
            <w:shd w:val="clear" w:color="auto" w:fill="auto"/>
            <w:tcMar>
              <w:left w:w="28" w:type="dxa"/>
              <w:right w:w="28" w:type="dxa"/>
            </w:tcMar>
          </w:tcPr>
          <w:p w14:paraId="620E3AC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0FC9CAA1" w14:textId="77777777" w:rsidTr="003117A9">
        <w:trPr>
          <w:cantSplit/>
        </w:trPr>
        <w:tc>
          <w:tcPr>
            <w:tcW w:w="15525" w:type="dxa"/>
            <w:gridSpan w:val="16"/>
            <w:shd w:val="clear" w:color="auto" w:fill="D9D9D9"/>
            <w:tcMar>
              <w:left w:w="28" w:type="dxa"/>
              <w:right w:w="28" w:type="dxa"/>
            </w:tcMar>
          </w:tcPr>
          <w:p w14:paraId="3AD4C657"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t>CR vs. OS</w:t>
            </w:r>
          </w:p>
        </w:tc>
      </w:tr>
      <w:tr w:rsidR="002E26FD" w:rsidRPr="002D1DD7" w14:paraId="5D6CFEC7"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tcPr>
          <w:p w14:paraId="4B6F3FDB" w14:textId="5AF4B92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05F1855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12" w:space="0" w:color="auto"/>
              <w:bottom w:val="single" w:sz="4" w:space="0" w:color="auto"/>
              <w:right w:val="single" w:sz="12" w:space="0" w:color="auto"/>
            </w:tcBorders>
            <w:tcMar>
              <w:left w:w="28" w:type="dxa"/>
              <w:right w:w="28" w:type="dxa"/>
            </w:tcMar>
          </w:tcPr>
          <w:p w14:paraId="1D94E0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3709C3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tcPr>
          <w:p w14:paraId="4224CB0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tcPr>
          <w:p w14:paraId="188ECE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tcPr>
          <w:p w14:paraId="3990F1A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41*</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tcPr>
          <w:p w14:paraId="0892676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9163</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tcPr>
          <w:p w14:paraId="7395EA4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tcPr>
          <w:p w14:paraId="59499C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tcPr>
          <w:p w14:paraId="780209E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(logOR CR vs. logHR OS)</w:t>
            </w:r>
          </w:p>
        </w:tc>
        <w:tc>
          <w:tcPr>
            <w:tcW w:w="1559" w:type="dxa"/>
            <w:tcBorders>
              <w:top w:val="single" w:sz="12" w:space="0" w:color="auto"/>
              <w:bottom w:val="single" w:sz="4" w:space="0" w:color="auto"/>
            </w:tcBorders>
            <w:shd w:val="clear" w:color="auto" w:fill="auto"/>
            <w:tcMar>
              <w:left w:w="28" w:type="dxa"/>
              <w:right w:w="28" w:type="dxa"/>
            </w:tcMar>
          </w:tcPr>
          <w:p w14:paraId="014412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R2=0.12, p=0.02</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tcPr>
          <w:p w14:paraId="2B9801A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logHR OS = -0.0097 + 0.13 * logOR CR</w:t>
            </w:r>
            <w:r w:rsidRPr="002D1DD7">
              <w:rPr>
                <w:rFonts w:eastAsia="Times New Roman" w:cs="Times New Roman"/>
                <w:color w:val="000000"/>
                <w:sz w:val="18"/>
                <w:szCs w:val="18"/>
                <w:lang w:eastAsia="zh-CN"/>
              </w:rPr>
              <w:br/>
            </w:r>
            <w:r w:rsidRPr="002D1DD7">
              <w:rPr>
                <w:rFonts w:eastAsia="Times New Roman" w:cs="Times New Roman"/>
                <w:color w:val="000000"/>
                <w:sz w:val="18"/>
                <w:szCs w:val="18"/>
                <w:lang w:eastAsia="zh-CN"/>
              </w:rPr>
              <w:br/>
              <w:t>Slope 0.13</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184CD9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tcPr>
          <w:p w14:paraId="5ED028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4" w:space="0" w:color="auto"/>
            </w:tcBorders>
            <w:shd w:val="clear" w:color="auto" w:fill="auto"/>
            <w:tcMar>
              <w:left w:w="28" w:type="dxa"/>
              <w:right w:w="28" w:type="dxa"/>
            </w:tcMar>
          </w:tcPr>
          <w:p w14:paraId="72B679D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50E6EFE7" w14:textId="77777777" w:rsidTr="003117A9">
        <w:trPr>
          <w:cantSplit/>
        </w:trPr>
        <w:tc>
          <w:tcPr>
            <w:tcW w:w="988" w:type="dxa"/>
            <w:tcBorders>
              <w:top w:val="single" w:sz="4" w:space="0" w:color="auto"/>
              <w:bottom w:val="single" w:sz="4" w:space="0" w:color="auto"/>
              <w:right w:val="single" w:sz="12" w:space="0" w:color="auto"/>
            </w:tcBorders>
            <w:shd w:val="clear" w:color="auto" w:fill="auto"/>
            <w:tcMar>
              <w:left w:w="28" w:type="dxa"/>
              <w:right w:w="28" w:type="dxa"/>
            </w:tcMar>
          </w:tcPr>
          <w:p w14:paraId="3976F1D5" w14:textId="057EEE11"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4" w:space="0" w:color="auto"/>
            </w:tcBorders>
            <w:tcMar>
              <w:left w:w="28" w:type="dxa"/>
              <w:right w:w="28" w:type="dxa"/>
            </w:tcMar>
          </w:tcPr>
          <w:p w14:paraId="2328548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4" w:space="0" w:color="auto"/>
              <w:bottom w:val="single" w:sz="4" w:space="0" w:color="auto"/>
              <w:right w:val="single" w:sz="12" w:space="0" w:color="auto"/>
            </w:tcBorders>
            <w:tcMar>
              <w:left w:w="28" w:type="dxa"/>
              <w:right w:w="28" w:type="dxa"/>
            </w:tcMar>
          </w:tcPr>
          <w:p w14:paraId="5D401C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7F457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4" w:space="0" w:color="auto"/>
            </w:tcBorders>
            <w:shd w:val="clear" w:color="auto" w:fill="auto"/>
            <w:tcMar>
              <w:left w:w="28" w:type="dxa"/>
              <w:right w:w="28" w:type="dxa"/>
            </w:tcMar>
          </w:tcPr>
          <w:p w14:paraId="50984CF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Recruited pre-1990</w:t>
            </w:r>
          </w:p>
        </w:tc>
        <w:tc>
          <w:tcPr>
            <w:tcW w:w="992" w:type="dxa"/>
            <w:tcBorders>
              <w:top w:val="single" w:sz="4" w:space="0" w:color="auto"/>
              <w:bottom w:val="single" w:sz="4" w:space="0" w:color="auto"/>
              <w:right w:val="single" w:sz="12" w:space="0" w:color="auto"/>
            </w:tcBorders>
            <w:shd w:val="clear" w:color="auto" w:fill="auto"/>
            <w:tcMar>
              <w:left w:w="28" w:type="dxa"/>
              <w:right w:w="28" w:type="dxa"/>
            </w:tcMar>
          </w:tcPr>
          <w:p w14:paraId="7DCE0AE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4" w:space="0" w:color="auto"/>
            </w:tcBorders>
            <w:shd w:val="clear" w:color="auto" w:fill="auto"/>
            <w:tcMar>
              <w:left w:w="28" w:type="dxa"/>
              <w:right w:w="28" w:type="dxa"/>
            </w:tcMar>
          </w:tcPr>
          <w:p w14:paraId="64862CD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26*</w:t>
            </w:r>
          </w:p>
        </w:tc>
        <w:tc>
          <w:tcPr>
            <w:tcW w:w="709" w:type="dxa"/>
            <w:tcBorders>
              <w:top w:val="single" w:sz="4" w:space="0" w:color="auto"/>
              <w:bottom w:val="single" w:sz="4" w:space="0" w:color="auto"/>
              <w:right w:val="single" w:sz="12" w:space="0" w:color="auto"/>
            </w:tcBorders>
            <w:shd w:val="clear" w:color="auto" w:fill="auto"/>
            <w:tcMar>
              <w:left w:w="28" w:type="dxa"/>
              <w:right w:w="28" w:type="dxa"/>
            </w:tcMar>
          </w:tcPr>
          <w:p w14:paraId="0A723E8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5244</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4" w:space="0" w:color="auto"/>
            </w:tcBorders>
            <w:shd w:val="clear" w:color="auto" w:fill="auto"/>
            <w:tcMar>
              <w:left w:w="28" w:type="dxa"/>
              <w:right w:w="28" w:type="dxa"/>
            </w:tcMar>
          </w:tcPr>
          <w:p w14:paraId="5BD6348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4" w:space="0" w:color="auto"/>
              <w:right w:val="single" w:sz="12" w:space="0" w:color="auto"/>
            </w:tcBorders>
            <w:shd w:val="clear" w:color="auto" w:fill="auto"/>
            <w:tcMar>
              <w:left w:w="28" w:type="dxa"/>
              <w:right w:w="28" w:type="dxa"/>
            </w:tcMar>
          </w:tcPr>
          <w:p w14:paraId="43AB388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4" w:space="0" w:color="auto"/>
            </w:tcBorders>
            <w:shd w:val="clear" w:color="auto" w:fill="auto"/>
            <w:tcMar>
              <w:left w:w="28" w:type="dxa"/>
              <w:right w:w="28" w:type="dxa"/>
            </w:tcMar>
          </w:tcPr>
          <w:p w14:paraId="1AA460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(logOR CR vs. logHR OS)</w:t>
            </w:r>
          </w:p>
        </w:tc>
        <w:tc>
          <w:tcPr>
            <w:tcW w:w="1559" w:type="dxa"/>
            <w:tcBorders>
              <w:top w:val="single" w:sz="4" w:space="0" w:color="auto"/>
              <w:bottom w:val="single" w:sz="4" w:space="0" w:color="auto"/>
            </w:tcBorders>
            <w:shd w:val="clear" w:color="auto" w:fill="auto"/>
            <w:tcMar>
              <w:left w:w="28" w:type="dxa"/>
              <w:right w:w="28" w:type="dxa"/>
            </w:tcMar>
          </w:tcPr>
          <w:p w14:paraId="2F0661E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R2=0.05, p=0.24</w:t>
            </w:r>
          </w:p>
        </w:tc>
        <w:tc>
          <w:tcPr>
            <w:tcW w:w="1072" w:type="dxa"/>
            <w:tcBorders>
              <w:top w:val="single" w:sz="4" w:space="0" w:color="auto"/>
              <w:bottom w:val="single" w:sz="4" w:space="0" w:color="auto"/>
              <w:right w:val="single" w:sz="12" w:space="0" w:color="auto"/>
            </w:tcBorders>
            <w:shd w:val="clear" w:color="auto" w:fill="auto"/>
            <w:tcMar>
              <w:left w:w="28" w:type="dxa"/>
              <w:right w:w="28" w:type="dxa"/>
            </w:tcMar>
          </w:tcPr>
          <w:p w14:paraId="22E6290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0.09</w:t>
            </w:r>
          </w:p>
        </w:tc>
        <w:tc>
          <w:tcPr>
            <w:tcW w:w="546"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2C0595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4" w:space="0" w:color="auto"/>
            </w:tcBorders>
            <w:shd w:val="clear" w:color="auto" w:fill="auto"/>
            <w:tcMar>
              <w:left w:w="28" w:type="dxa"/>
              <w:right w:w="28" w:type="dxa"/>
            </w:tcMar>
          </w:tcPr>
          <w:p w14:paraId="5830451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4" w:space="0" w:color="auto"/>
            </w:tcBorders>
            <w:shd w:val="clear" w:color="auto" w:fill="auto"/>
            <w:tcMar>
              <w:left w:w="28" w:type="dxa"/>
              <w:right w:w="28" w:type="dxa"/>
            </w:tcMar>
          </w:tcPr>
          <w:p w14:paraId="4ED8093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0EB2666"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tcPr>
          <w:p w14:paraId="468E5818" w14:textId="1D804574"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Hackshaw 2005</w:t>
            </w:r>
            <w:r w:rsidRPr="002D1DD7">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PEVuZE5vdGU+PENpdGU+PEF1dGhvcj5IYWNrc2hhdzwvQXV0aG9yPjxZZWFyPjIwMDU8L1llYXI+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96</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5DD66F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4" w:space="0" w:color="auto"/>
              <w:bottom w:val="single" w:sz="12" w:space="0" w:color="auto"/>
              <w:right w:val="single" w:sz="12" w:space="0" w:color="auto"/>
            </w:tcBorders>
            <w:tcMar>
              <w:left w:w="28" w:type="dxa"/>
              <w:right w:w="28" w:type="dxa"/>
            </w:tcMar>
          </w:tcPr>
          <w:p w14:paraId="067219B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625205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Breast</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tcPr>
          <w:p w14:paraId="7FA924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- 1st</w:t>
            </w:r>
            <w:r w:rsidRPr="002D1DD7">
              <w:rPr>
                <w:rFonts w:eastAsia="Times New Roman" w:cs="Times New Roman"/>
                <w:color w:val="000000"/>
                <w:sz w:val="18"/>
                <w:szCs w:val="18"/>
                <w:lang w:eastAsia="zh-CN"/>
              </w:rPr>
              <w:br/>
              <w:t>- Recruited 1990 or after</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tcPr>
          <w:p w14:paraId="16F427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tcPr>
          <w:p w14:paraId="2FAD90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tcPr>
          <w:p w14:paraId="309469A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3919</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tcPr>
          <w:p w14:paraId="48A5407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tcPr>
          <w:p w14:paraId="06A632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tcPr>
          <w:p w14:paraId="30D9FD8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WLR R2 (logOR CR vs. logHR OS)</w:t>
            </w:r>
          </w:p>
        </w:tc>
        <w:tc>
          <w:tcPr>
            <w:tcW w:w="1559" w:type="dxa"/>
            <w:tcBorders>
              <w:top w:val="single" w:sz="4" w:space="0" w:color="auto"/>
              <w:bottom w:val="single" w:sz="12" w:space="0" w:color="auto"/>
            </w:tcBorders>
            <w:shd w:val="clear" w:color="auto" w:fill="auto"/>
            <w:tcMar>
              <w:left w:w="28" w:type="dxa"/>
              <w:right w:w="28" w:type="dxa"/>
            </w:tcMar>
          </w:tcPr>
          <w:p w14:paraId="35DEF1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R2=0.36, p=0.01</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tcPr>
          <w:p w14:paraId="44F1875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Slope 0.16</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00E32A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tcPr>
          <w:p w14:paraId="25DF1BB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4" w:space="0" w:color="auto"/>
              <w:bottom w:val="single" w:sz="12" w:space="0" w:color="auto"/>
            </w:tcBorders>
            <w:shd w:val="clear" w:color="auto" w:fill="auto"/>
            <w:tcMar>
              <w:left w:w="28" w:type="dxa"/>
              <w:right w:w="28" w:type="dxa"/>
            </w:tcMar>
          </w:tcPr>
          <w:p w14:paraId="7B373B4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901FCAE"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282CC716" w14:textId="3E17D265" w:rsidR="002E26FD" w:rsidRPr="002D1DD7" w:rsidRDefault="002E26FD" w:rsidP="00054FE8">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Foster 2011</w:t>
            </w:r>
            <w:r w:rsidRPr="002D1DD7">
              <w:rPr>
                <w:rFonts w:eastAsia="Times New Roman" w:cs="Times New Roman"/>
                <w:sz w:val="18"/>
                <w:szCs w:val="18"/>
                <w:lang w:eastAsia="zh-CN"/>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eastAsia="Times New Roman" w:cs="Times New Roman"/>
                <w:sz w:val="18"/>
                <w:szCs w:val="18"/>
                <w:lang w:eastAsia="zh-CN"/>
              </w:rPr>
              <w:instrText xml:space="preserve"> ADDIN EN.CITE </w:instrText>
            </w:r>
            <w:r w:rsidR="00054FE8">
              <w:rPr>
                <w:rFonts w:eastAsia="Times New Roman" w:cs="Times New Roman"/>
                <w:sz w:val="18"/>
                <w:szCs w:val="18"/>
                <w:lang w:eastAsia="zh-CN"/>
              </w:rPr>
              <w:fldChar w:fldCharType="begin">
                <w:fldData xml:space="preserve">PEVuZE5vdGU+PENpdGU+PEF1dGhvcj5Gb3N0ZXI8L0F1dGhvcj48WWVhcj4yMDExPC9ZZWFyPjxS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</w:fldData>
              </w:fldChar>
            </w:r>
            <w:r w:rsidR="00054FE8">
              <w:rPr>
                <w:rFonts w:eastAsia="Times New Roman" w:cs="Times New Roman"/>
                <w:sz w:val="18"/>
                <w:szCs w:val="18"/>
                <w:lang w:eastAsia="zh-CN"/>
              </w:rPr>
              <w:instrText xml:space="preserve"> ADDIN EN.CITE.DATA </w:instrText>
            </w:r>
            <w:r w:rsidR="00054FE8">
              <w:rPr>
                <w:rFonts w:eastAsia="Times New Roman" w:cs="Times New Roman"/>
                <w:sz w:val="18"/>
                <w:szCs w:val="18"/>
                <w:lang w:eastAsia="zh-CN"/>
              </w:rPr>
            </w:r>
            <w:r w:rsidR="00054FE8">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94</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12" w:space="0" w:color="auto"/>
            </w:tcBorders>
            <w:tcMar>
              <w:left w:w="28" w:type="dxa"/>
              <w:right w:w="28" w:type="dxa"/>
            </w:tcMar>
          </w:tcPr>
          <w:p w14:paraId="58DE5B0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12" w:space="0" w:color="auto"/>
              <w:bottom w:val="single" w:sz="12" w:space="0" w:color="auto"/>
              <w:right w:val="single" w:sz="12" w:space="0" w:color="auto"/>
            </w:tcBorders>
            <w:tcMar>
              <w:left w:w="28" w:type="dxa"/>
              <w:right w:w="28" w:type="dxa"/>
            </w:tcMar>
          </w:tcPr>
          <w:p w14:paraId="6556F2A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53A906E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Lung (SCLC)</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167BACC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12" w:space="0" w:color="auto"/>
              <w:right w:val="single" w:sz="12" w:space="0" w:color="auto"/>
            </w:tcBorders>
            <w:shd w:val="clear" w:color="auto" w:fill="auto"/>
            <w:tcMar>
              <w:left w:w="28" w:type="dxa"/>
              <w:right w:w="28" w:type="dxa"/>
            </w:tcMar>
          </w:tcPr>
          <w:p w14:paraId="219F4F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12" w:space="0" w:color="auto"/>
            </w:tcBorders>
            <w:shd w:val="clear" w:color="auto" w:fill="auto"/>
            <w:tcMar>
              <w:left w:w="28" w:type="dxa"/>
              <w:right w:w="28" w:type="dxa"/>
            </w:tcMar>
          </w:tcPr>
          <w:p w14:paraId="77AEC8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 (32 centres)</w:t>
            </w:r>
          </w:p>
        </w:tc>
        <w:tc>
          <w:tcPr>
            <w:tcW w:w="709" w:type="dxa"/>
            <w:tcBorders>
              <w:top w:val="single" w:sz="12" w:space="0" w:color="auto"/>
              <w:bottom w:val="single" w:sz="12" w:space="0" w:color="auto"/>
              <w:right w:val="single" w:sz="12" w:space="0" w:color="auto"/>
            </w:tcBorders>
            <w:shd w:val="clear" w:color="auto" w:fill="auto"/>
            <w:tcMar>
              <w:left w:w="28" w:type="dxa"/>
              <w:right w:w="28" w:type="dxa"/>
            </w:tcMar>
          </w:tcPr>
          <w:p w14:paraId="074BB0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596</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12" w:space="0" w:color="auto"/>
            </w:tcBorders>
            <w:shd w:val="clear" w:color="auto" w:fill="auto"/>
            <w:tcMar>
              <w:left w:w="28" w:type="dxa"/>
              <w:right w:w="28" w:type="dxa"/>
            </w:tcMar>
          </w:tcPr>
          <w:p w14:paraId="7DAF99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(logOR CR vs. logHR OS)</w:t>
            </w:r>
          </w:p>
        </w:tc>
        <w:tc>
          <w:tcPr>
            <w:tcW w:w="1460" w:type="dxa"/>
            <w:tcBorders>
              <w:top w:val="single" w:sz="12" w:space="0" w:color="auto"/>
              <w:bottom w:val="single" w:sz="12" w:space="0" w:color="auto"/>
              <w:right w:val="single" w:sz="12" w:space="0" w:color="auto"/>
            </w:tcBorders>
            <w:shd w:val="clear" w:color="auto" w:fill="auto"/>
            <w:tcMar>
              <w:left w:w="28" w:type="dxa"/>
              <w:right w:w="28" w:type="dxa"/>
            </w:tcMar>
          </w:tcPr>
          <w:p w14:paraId="549CFA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rs=0.50, p=NR</w:t>
            </w:r>
          </w:p>
        </w:tc>
        <w:tc>
          <w:tcPr>
            <w:tcW w:w="1659" w:type="dxa"/>
            <w:tcBorders>
              <w:top w:val="single" w:sz="12" w:space="0" w:color="auto"/>
              <w:left w:val="single" w:sz="12" w:space="0" w:color="auto"/>
              <w:bottom w:val="single" w:sz="12" w:space="0" w:color="auto"/>
            </w:tcBorders>
            <w:shd w:val="clear" w:color="auto" w:fill="auto"/>
            <w:tcMar>
              <w:left w:w="28" w:type="dxa"/>
              <w:right w:w="28" w:type="dxa"/>
            </w:tcMar>
          </w:tcPr>
          <w:p w14:paraId="25544A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WLSR R2 (logOR CR vs. logHR OS)</w:t>
            </w:r>
          </w:p>
        </w:tc>
        <w:tc>
          <w:tcPr>
            <w:tcW w:w="1559" w:type="dxa"/>
            <w:tcBorders>
              <w:top w:val="single" w:sz="12" w:space="0" w:color="auto"/>
              <w:bottom w:val="single" w:sz="12" w:space="0" w:color="auto"/>
            </w:tcBorders>
            <w:shd w:val="clear" w:color="auto" w:fill="auto"/>
            <w:tcMar>
              <w:left w:w="28" w:type="dxa"/>
              <w:right w:w="28" w:type="dxa"/>
            </w:tcMar>
          </w:tcPr>
          <w:p w14:paraId="2DB1F49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R2=0.48, p=NR</w:t>
            </w:r>
          </w:p>
        </w:tc>
        <w:tc>
          <w:tcPr>
            <w:tcW w:w="1072" w:type="dxa"/>
            <w:tcBorders>
              <w:top w:val="single" w:sz="12" w:space="0" w:color="auto"/>
              <w:bottom w:val="single" w:sz="12" w:space="0" w:color="auto"/>
              <w:right w:val="single" w:sz="12" w:space="0" w:color="auto"/>
            </w:tcBorders>
            <w:shd w:val="clear" w:color="auto" w:fill="auto"/>
            <w:tcMar>
              <w:left w:w="28" w:type="dxa"/>
              <w:right w:w="28" w:type="dxa"/>
            </w:tcMar>
          </w:tcPr>
          <w:p w14:paraId="1EFFF45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5C4D27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12" w:space="0" w:color="auto"/>
            </w:tcBorders>
            <w:shd w:val="clear" w:color="auto" w:fill="auto"/>
            <w:tcMar>
              <w:left w:w="28" w:type="dxa"/>
              <w:right w:w="28" w:type="dxa"/>
            </w:tcMar>
          </w:tcPr>
          <w:p w14:paraId="16E9F80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bottom w:val="single" w:sz="12" w:space="0" w:color="auto"/>
            </w:tcBorders>
            <w:shd w:val="clear" w:color="auto" w:fill="auto"/>
            <w:tcMar>
              <w:left w:w="28" w:type="dxa"/>
              <w:right w:w="28" w:type="dxa"/>
            </w:tcMar>
          </w:tcPr>
          <w:p w14:paraId="28DC5D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D87258D" w14:textId="77777777" w:rsidTr="003117A9">
        <w:trPr>
          <w:cantSplit/>
        </w:trPr>
        <w:tc>
          <w:tcPr>
            <w:tcW w:w="988" w:type="dxa"/>
            <w:tcBorders>
              <w:top w:val="single" w:sz="12" w:space="0" w:color="auto"/>
              <w:bottom w:val="single" w:sz="4" w:space="0" w:color="auto"/>
              <w:right w:val="single" w:sz="12" w:space="0" w:color="auto"/>
            </w:tcBorders>
            <w:shd w:val="clear" w:color="auto" w:fill="auto"/>
            <w:tcMar>
              <w:left w:w="28" w:type="dxa"/>
              <w:right w:w="28" w:type="dxa"/>
            </w:tcMar>
          </w:tcPr>
          <w:p w14:paraId="4C476259" w14:textId="6B5B760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Lee 2011</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&lt;EndNote&gt;&lt;Cite&gt;&lt;Author&gt;Lee&lt;/Author&gt;&lt;Year&gt;2011&lt;/Year&gt;&lt;RecNum&gt;1713&lt;/RecNum&gt;&lt;IDText&gt;$$include full text KC&amp;#xD;$$not advanced/metastatic/palliative (but keep in for now)&amp;#xD;$$From Haslam (ref 65)&amp;#xD;$$From Savina&lt;/IDText&gt;&lt;DisplayText&gt;&lt;style face="superscript"&gt;108&lt;/style&gt;&lt;/DisplayText&gt;&lt;record&gt;&lt;rec-number&gt;1713&lt;/rec-number&gt;&lt;foreign-keys&gt;&lt;key app="EN" db-id="dwaevxvazfs2f3ewvzmxrd0k0wasw55p2z2w" timestamp="1557310838"&gt;1713&lt;/key&gt;&lt;/foreign-keys&gt;&lt;ref-type name="Journal Article"&gt;17&lt;/ref-type&gt;&lt;contributors&gt;&lt;authors&gt;&lt;author&gt;Lee, L.&lt;/author&gt;&lt;author&gt;Wang, L.&lt;/author&gt;&lt;author&gt;Crump, M.&lt;/author&gt;&lt;/authors&gt;&lt;/contributors&gt;&lt;auth-address&gt;Lee, L. Division of Medical Oncology and Hematology, Princess Margaret Hospital, Toronto, Canada.&lt;/auth-address&gt;&lt;titles&gt;&lt;title&gt;Identification of potential surrogate end points in randomized clinical trials of aggressive and indolent non-Hodgkin&amp;apos;s lymphoma: correlation of complete response, time-to-event and overall survival end points&lt;/title&gt;&lt;secondary-title&gt;Annals of Oncology&lt;/secondary-title&gt;&lt;/titles&gt;&lt;periodical&gt;&lt;full-title&gt;Annals of Oncology&lt;/full-title&gt;&lt;abbr-1&gt;Ann Oncol&lt;/abbr-1&gt;&lt;/periodical&gt;&lt;pages&gt;1392-403&lt;/pages&gt;&lt;volume&gt;22&lt;/volume&gt;&lt;number&gt;6&lt;/number&gt;&lt;keywords&gt;&lt;keyword&gt;$$include abstract KC&lt;/keyword&gt;&lt;keyword&gt;$$Extra response terms&lt;/keyword&gt;&lt;keyword&gt;$$Broad search&lt;/keyword&gt;&lt;/keywords&gt;&lt;dates&gt;&lt;year&gt;2011&lt;/year&gt;&lt;/dates&gt;&lt;accession-num&gt;21266519&lt;/accession-num&gt;&lt;label&gt;$$include full text KC&amp;#xD;$$not advanced/metastatic/palliative (but keep in for now)&amp;#xD;$$From Haslam (ref 65)&amp;#xD;$$From Savina&lt;/label&gt;&lt;urls&gt;&lt;/urls&gt;&lt;remote-database-name&gt;MEDLINE&lt;/remote-database-name&gt;&lt;remote-database-provider&gt;Ovid Technologies&lt;/remote-database-provider&gt;&lt;research-notes&gt;http://ovidsp.ovid.com/ovidweb.cgi?T=JS&amp;amp;CSC=Y&amp;amp;NEWS=N&amp;amp;PAGE=fulltext&amp;amp;D=med7&amp;amp;AN=21266519&lt;/research-notes&gt;&lt;/record&gt;&lt;/Cite&gt;&lt;/EndNote&gt;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108</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4" w:space="0" w:color="auto"/>
            </w:tcBorders>
            <w:tcMar>
              <w:left w:w="28" w:type="dxa"/>
              <w:right w:w="28" w:type="dxa"/>
            </w:tcMar>
          </w:tcPr>
          <w:p w14:paraId="6994C0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12" w:space="0" w:color="auto"/>
              <w:bottom w:val="single" w:sz="4" w:space="0" w:color="auto"/>
              <w:right w:val="single" w:sz="12" w:space="0" w:color="auto"/>
            </w:tcBorders>
            <w:tcMar>
              <w:left w:w="28" w:type="dxa"/>
              <w:right w:w="28" w:type="dxa"/>
            </w:tcMar>
          </w:tcPr>
          <w:p w14:paraId="0AACDC3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488D3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(aggressive)</w:t>
            </w:r>
          </w:p>
        </w:tc>
        <w:tc>
          <w:tcPr>
            <w:tcW w:w="1134" w:type="dxa"/>
            <w:tcBorders>
              <w:top w:val="single" w:sz="12" w:space="0" w:color="auto"/>
              <w:left w:val="single" w:sz="12" w:space="0" w:color="auto"/>
              <w:bottom w:val="single" w:sz="4" w:space="0" w:color="auto"/>
            </w:tcBorders>
            <w:shd w:val="clear" w:color="auto" w:fill="auto"/>
            <w:tcMar>
              <w:left w:w="28" w:type="dxa"/>
              <w:right w:w="28" w:type="dxa"/>
            </w:tcMar>
          </w:tcPr>
          <w:p w14:paraId="3023748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4" w:space="0" w:color="auto"/>
              <w:right w:val="single" w:sz="12" w:space="0" w:color="auto"/>
            </w:tcBorders>
            <w:shd w:val="clear" w:color="auto" w:fill="auto"/>
            <w:tcMar>
              <w:left w:w="28" w:type="dxa"/>
              <w:right w:w="28" w:type="dxa"/>
            </w:tcMar>
          </w:tcPr>
          <w:p w14:paraId="5B39616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bottom w:val="single" w:sz="4" w:space="0" w:color="auto"/>
            </w:tcBorders>
            <w:shd w:val="clear" w:color="auto" w:fill="auto"/>
            <w:tcMar>
              <w:left w:w="28" w:type="dxa"/>
              <w:right w:w="28" w:type="dxa"/>
            </w:tcMar>
          </w:tcPr>
          <w:p w14:paraId="4359FBB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36</w:t>
            </w:r>
            <w:r w:rsidRPr="002D1DD7">
              <w:rPr>
                <w:rFonts w:eastAsia="Times New Roman" w:cs="Times New Roman"/>
                <w:color w:val="000000"/>
                <w:sz w:val="18"/>
                <w:szCs w:val="18"/>
                <w:vertAlign w:val="superscript"/>
                <w:lang w:eastAsia="zh-CN"/>
              </w:rPr>
              <w:t>†</w:t>
            </w:r>
          </w:p>
        </w:tc>
        <w:tc>
          <w:tcPr>
            <w:tcW w:w="709" w:type="dxa"/>
            <w:tcBorders>
              <w:top w:val="single" w:sz="12" w:space="0" w:color="auto"/>
              <w:bottom w:val="single" w:sz="4" w:space="0" w:color="auto"/>
              <w:right w:val="single" w:sz="12" w:space="0" w:color="auto"/>
            </w:tcBorders>
            <w:shd w:val="clear" w:color="auto" w:fill="auto"/>
            <w:tcMar>
              <w:left w:w="28" w:type="dxa"/>
              <w:right w:w="28" w:type="dxa"/>
            </w:tcMar>
          </w:tcPr>
          <w:p w14:paraId="6E1A72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16103</w:t>
            </w:r>
            <w:r w:rsidRPr="002D1DD7">
              <w:rPr>
                <w:rFonts w:eastAsia="Times New Roman" w:cs="Times New Roman"/>
                <w:color w:val="000000"/>
                <w:sz w:val="18"/>
                <w:szCs w:val="18"/>
                <w:vertAlign w:val="superscript"/>
                <w:lang w:eastAsia="zh-CN"/>
              </w:rPr>
              <w:t>†</w:t>
            </w:r>
          </w:p>
        </w:tc>
        <w:tc>
          <w:tcPr>
            <w:tcW w:w="1559" w:type="dxa"/>
            <w:tcBorders>
              <w:top w:val="single" w:sz="12" w:space="0" w:color="auto"/>
              <w:left w:val="single" w:sz="12" w:space="0" w:color="auto"/>
              <w:bottom w:val="single" w:sz="4" w:space="0" w:color="auto"/>
            </w:tcBorders>
            <w:shd w:val="clear" w:color="auto" w:fill="auto"/>
            <w:tcMar>
              <w:left w:w="28" w:type="dxa"/>
              <w:right w:w="28" w:type="dxa"/>
            </w:tcMar>
          </w:tcPr>
          <w:p w14:paraId="07B1E0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w:t>
            </w:r>
            <w:r w:rsidRPr="002D1DD7">
              <w:rPr>
                <w:rFonts w:eastAsia="Times New Roman" w:cs="Times New Roman"/>
                <w:color w:val="000000"/>
                <w:sz w:val="18"/>
                <w:szCs w:val="18"/>
                <w:lang w:eastAsia="zh-CN"/>
              </w:rPr>
              <w:br/>
              <w:t>a) diff CR vs. diff 3yr OS</w:t>
            </w:r>
            <w:r w:rsidRPr="002D1DD7">
              <w:rPr>
                <w:rFonts w:eastAsia="Times New Roman" w:cs="Times New Roman"/>
                <w:color w:val="000000"/>
                <w:sz w:val="18"/>
                <w:szCs w:val="18"/>
                <w:lang w:eastAsia="zh-CN"/>
              </w:rPr>
              <w:br/>
              <w:t>b) diff CR vs. diff 5yr OS</w:t>
            </w:r>
          </w:p>
        </w:tc>
        <w:tc>
          <w:tcPr>
            <w:tcW w:w="1460" w:type="dxa"/>
            <w:tcBorders>
              <w:top w:val="single" w:sz="12" w:space="0" w:color="auto"/>
              <w:bottom w:val="single" w:sz="4" w:space="0" w:color="auto"/>
              <w:right w:val="single" w:sz="12" w:space="0" w:color="auto"/>
            </w:tcBorders>
            <w:shd w:val="clear" w:color="auto" w:fill="auto"/>
            <w:tcMar>
              <w:left w:w="28" w:type="dxa"/>
              <w:right w:w="28" w:type="dxa"/>
            </w:tcMar>
          </w:tcPr>
          <w:p w14:paraId="4E0C23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rs=0.58 (0.29 to 0.77), p=0.004</w:t>
            </w:r>
            <w:r w:rsidRPr="002D1DD7">
              <w:rPr>
                <w:rFonts w:eastAsia="Times New Roman" w:cs="Times New Roman"/>
                <w:color w:val="000000"/>
                <w:sz w:val="18"/>
                <w:szCs w:val="18"/>
                <w:lang w:eastAsia="zh-CN"/>
              </w:rPr>
              <w:br/>
              <w:t>b) rs=0.50 (0.23 to 0.74), p=0.01</w:t>
            </w:r>
          </w:p>
        </w:tc>
        <w:tc>
          <w:tcPr>
            <w:tcW w:w="1659" w:type="dxa"/>
            <w:tcBorders>
              <w:top w:val="single" w:sz="12" w:space="0" w:color="auto"/>
              <w:left w:val="single" w:sz="12" w:space="0" w:color="auto"/>
              <w:bottom w:val="single" w:sz="4" w:space="0" w:color="auto"/>
            </w:tcBorders>
            <w:shd w:val="clear" w:color="auto" w:fill="auto"/>
            <w:tcMar>
              <w:left w:w="28" w:type="dxa"/>
              <w:right w:w="28" w:type="dxa"/>
            </w:tcMar>
          </w:tcPr>
          <w:p w14:paraId="42CCEF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bottom w:val="single" w:sz="4" w:space="0" w:color="auto"/>
            </w:tcBorders>
            <w:shd w:val="clear" w:color="auto" w:fill="auto"/>
            <w:tcMar>
              <w:left w:w="28" w:type="dxa"/>
              <w:right w:w="28" w:type="dxa"/>
            </w:tcMar>
          </w:tcPr>
          <w:p w14:paraId="4B057A1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bottom w:val="single" w:sz="4" w:space="0" w:color="auto"/>
              <w:right w:val="single" w:sz="12" w:space="0" w:color="auto"/>
            </w:tcBorders>
            <w:shd w:val="clear" w:color="auto" w:fill="auto"/>
            <w:tcMar>
              <w:left w:w="28" w:type="dxa"/>
              <w:right w:w="28" w:type="dxa"/>
            </w:tcMar>
          </w:tcPr>
          <w:p w14:paraId="2C29E71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E93980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4" w:space="0" w:color="auto"/>
            </w:tcBorders>
            <w:shd w:val="clear" w:color="auto" w:fill="auto"/>
            <w:tcMar>
              <w:left w:w="28" w:type="dxa"/>
              <w:right w:w="28" w:type="dxa"/>
            </w:tcMar>
          </w:tcPr>
          <w:p w14:paraId="5F3B23B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bottom w:val="single" w:sz="4" w:space="0" w:color="auto"/>
            </w:tcBorders>
            <w:shd w:val="clear" w:color="auto" w:fill="auto"/>
            <w:tcMar>
              <w:left w:w="28" w:type="dxa"/>
              <w:right w:w="28" w:type="dxa"/>
            </w:tcMar>
          </w:tcPr>
          <w:p w14:paraId="7AD737D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22105FC9" w14:textId="77777777" w:rsidTr="003117A9">
        <w:trPr>
          <w:cantSplit/>
        </w:trPr>
        <w:tc>
          <w:tcPr>
            <w:tcW w:w="988" w:type="dxa"/>
            <w:tcBorders>
              <w:top w:val="single" w:sz="4" w:space="0" w:color="auto"/>
              <w:bottom w:val="single" w:sz="12" w:space="0" w:color="auto"/>
              <w:right w:val="single" w:sz="12" w:space="0" w:color="auto"/>
            </w:tcBorders>
            <w:shd w:val="clear" w:color="auto" w:fill="auto"/>
            <w:tcMar>
              <w:left w:w="28" w:type="dxa"/>
              <w:right w:w="28" w:type="dxa"/>
            </w:tcMar>
          </w:tcPr>
          <w:p w14:paraId="34B86D43" w14:textId="2B316516"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Lee 2011</w:t>
            </w:r>
            <w:r w:rsidRPr="002D1DD7">
              <w:rPr>
                <w:rFonts w:eastAsia="Times New Roman" w:cs="Times New Roman"/>
                <w:sz w:val="18"/>
                <w:szCs w:val="18"/>
                <w:lang w:eastAsia="zh-CN"/>
              </w:rPr>
              <w:fldChar w:fldCharType="begin"/>
            </w:r>
            <w:r w:rsidR="000E66DE">
              <w:rPr>
                <w:rFonts w:eastAsia="Times New Roman" w:cs="Times New Roman"/>
                <w:sz w:val="18"/>
                <w:szCs w:val="18"/>
                <w:lang w:eastAsia="zh-CN"/>
              </w:rPr>
              <w:instrText xml:space="preserve"> ADDIN EN.CITE &lt;EndNote&gt;&lt;Cite&gt;&lt;Author&gt;Lee&lt;/Author&gt;&lt;Year&gt;2011&lt;/Year&gt;&lt;RecNum&gt;1713&lt;/RecNum&gt;&lt;IDText&gt;$$include full text KC&amp;#xD;$$not advanced/metastatic/palliative (but keep in for now)&amp;#xD;$$From Haslam (ref 65)&amp;#xD;$$From Savina&lt;/IDText&gt;&lt;DisplayText&gt;&lt;style face="superscript"&gt;108&lt;/style&gt;&lt;/DisplayText&gt;&lt;record&gt;&lt;rec-number&gt;1713&lt;/rec-number&gt;&lt;foreign-keys&gt;&lt;key app="EN" db-id="dwaevxvazfs2f3ewvzmxrd0k0wasw55p2z2w" timestamp="1557310838"&gt;1713&lt;/key&gt;&lt;/foreign-keys&gt;&lt;ref-type name="Journal Article"&gt;17&lt;/ref-type&gt;&lt;contributors&gt;&lt;authors&gt;&lt;author&gt;Lee, L.&lt;/author&gt;&lt;author&gt;Wang, L.&lt;/author&gt;&lt;author&gt;Crump, M.&lt;/author&gt;&lt;/authors&gt;&lt;/contributors&gt;&lt;auth-address&gt;Lee, L. Division of Medical Oncology and Hematology, Princess Margaret Hospital, Toronto, Canada.&lt;/auth-address&gt;&lt;titles&gt;&lt;title&gt;Identification of potential surrogate end points in randomized clinical trials of aggressive and indolent non-Hodgkin&amp;apos;s lymphoma: correlation of complete response, time-to-event and overall survival end points&lt;/title&gt;&lt;secondary-title&gt;Annals of Oncology&lt;/secondary-title&gt;&lt;/titles&gt;&lt;periodical&gt;&lt;full-title&gt;Annals of Oncology&lt;/full-title&gt;&lt;abbr-1&gt;Ann Oncol&lt;/abbr-1&gt;&lt;/periodical&gt;&lt;pages&gt;1392-403&lt;/pages&gt;&lt;volume&gt;22&lt;/volume&gt;&lt;number&gt;6&lt;/number&gt;&lt;keywords&gt;&lt;keyword&gt;$$include abstract KC&lt;/keyword&gt;&lt;keyword&gt;$$Extra response terms&lt;/keyword&gt;&lt;keyword&gt;$$Broad search&lt;/keyword&gt;&lt;/keywords&gt;&lt;dates&gt;&lt;year&gt;2011&lt;/year&gt;&lt;/dates&gt;&lt;accession-num&gt;21266519&lt;/accession-num&gt;&lt;label&gt;$$include full text KC&amp;#xD;$$not advanced/metastatic/palliative (but keep in for now)&amp;#xD;$$From Haslam (ref 65)&amp;#xD;$$From Savina&lt;/label&gt;&lt;urls&gt;&lt;/urls&gt;&lt;remote-database-name&gt;MEDLINE&lt;/remote-database-name&gt;&lt;remote-database-provider&gt;Ovid Technologies&lt;/remote-database-provider&gt;&lt;research-notes&gt;http://ovidsp.ovid.com/ovidweb.cgi?T=JS&amp;amp;CSC=Y&amp;amp;NEWS=N&amp;amp;PAGE=fulltext&amp;amp;D=med7&amp;amp;AN=21266519&lt;/research-notes&gt;&lt;/record&gt;&lt;/Cite&gt;&lt;/EndNote&gt;</w:instrText>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108</w:t>
            </w:r>
            <w:r w:rsidRPr="002D1DD7">
              <w:rPr>
                <w:rFonts w:eastAsia="Times New Roman" w:cs="Times New Roman"/>
                <w:sz w:val="18"/>
                <w:szCs w:val="18"/>
                <w:lang w:eastAsia="zh-CN"/>
              </w:rPr>
              <w:fldChar w:fldCharType="end"/>
            </w:r>
          </w:p>
        </w:tc>
        <w:tc>
          <w:tcPr>
            <w:tcW w:w="430" w:type="dxa"/>
            <w:tcBorders>
              <w:top w:val="single" w:sz="4" w:space="0" w:color="auto"/>
              <w:left w:val="single" w:sz="12" w:space="0" w:color="auto"/>
              <w:bottom w:val="single" w:sz="12" w:space="0" w:color="auto"/>
            </w:tcBorders>
            <w:tcMar>
              <w:left w:w="28" w:type="dxa"/>
              <w:right w:w="28" w:type="dxa"/>
            </w:tcMar>
          </w:tcPr>
          <w:p w14:paraId="2244716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4" w:space="0" w:color="auto"/>
              <w:bottom w:val="single" w:sz="12" w:space="0" w:color="auto"/>
              <w:right w:val="single" w:sz="12" w:space="0" w:color="auto"/>
            </w:tcBorders>
            <w:tcMar>
              <w:left w:w="28" w:type="dxa"/>
              <w:right w:w="28" w:type="dxa"/>
            </w:tcMar>
          </w:tcPr>
          <w:p w14:paraId="36BFD3B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7828DB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NHL (indolent)</w:t>
            </w:r>
          </w:p>
        </w:tc>
        <w:tc>
          <w:tcPr>
            <w:tcW w:w="1134" w:type="dxa"/>
            <w:tcBorders>
              <w:top w:val="single" w:sz="4" w:space="0" w:color="auto"/>
              <w:left w:val="single" w:sz="12" w:space="0" w:color="auto"/>
              <w:bottom w:val="single" w:sz="12" w:space="0" w:color="auto"/>
            </w:tcBorders>
            <w:shd w:val="clear" w:color="auto" w:fill="auto"/>
            <w:tcMar>
              <w:left w:w="28" w:type="dxa"/>
              <w:right w:w="28" w:type="dxa"/>
            </w:tcMar>
          </w:tcPr>
          <w:p w14:paraId="526C6DA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4" w:space="0" w:color="auto"/>
              <w:bottom w:val="single" w:sz="12" w:space="0" w:color="auto"/>
              <w:right w:val="single" w:sz="12" w:space="0" w:color="auto"/>
            </w:tcBorders>
            <w:shd w:val="clear" w:color="auto" w:fill="auto"/>
            <w:tcMar>
              <w:left w:w="28" w:type="dxa"/>
              <w:right w:w="28" w:type="dxa"/>
            </w:tcMar>
          </w:tcPr>
          <w:p w14:paraId="24B7EE6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4" w:space="0" w:color="auto"/>
              <w:left w:val="single" w:sz="12" w:space="0" w:color="auto"/>
              <w:bottom w:val="single" w:sz="12" w:space="0" w:color="auto"/>
            </w:tcBorders>
            <w:shd w:val="clear" w:color="auto" w:fill="auto"/>
            <w:tcMar>
              <w:left w:w="28" w:type="dxa"/>
              <w:right w:w="28" w:type="dxa"/>
            </w:tcMar>
          </w:tcPr>
          <w:p w14:paraId="3F4178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15</w:t>
            </w:r>
            <w:r w:rsidRPr="002D1DD7">
              <w:rPr>
                <w:rFonts w:eastAsia="Times New Roman" w:cs="Times New Roman"/>
                <w:color w:val="000000"/>
                <w:sz w:val="18"/>
                <w:szCs w:val="18"/>
                <w:vertAlign w:val="superscript"/>
                <w:lang w:eastAsia="zh-CN"/>
              </w:rPr>
              <w:t>†</w:t>
            </w:r>
          </w:p>
        </w:tc>
        <w:tc>
          <w:tcPr>
            <w:tcW w:w="709" w:type="dxa"/>
            <w:tcBorders>
              <w:top w:val="single" w:sz="4" w:space="0" w:color="auto"/>
              <w:bottom w:val="single" w:sz="12" w:space="0" w:color="auto"/>
              <w:right w:val="single" w:sz="12" w:space="0" w:color="auto"/>
            </w:tcBorders>
            <w:shd w:val="clear" w:color="auto" w:fill="auto"/>
            <w:tcMar>
              <w:left w:w="28" w:type="dxa"/>
              <w:right w:w="28" w:type="dxa"/>
            </w:tcMar>
          </w:tcPr>
          <w:p w14:paraId="4DAB336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5128</w:t>
            </w:r>
            <w:r w:rsidRPr="002D1DD7">
              <w:rPr>
                <w:rFonts w:eastAsia="Times New Roman" w:cs="Times New Roman"/>
                <w:color w:val="000000"/>
                <w:sz w:val="18"/>
                <w:szCs w:val="18"/>
                <w:vertAlign w:val="superscript"/>
                <w:lang w:eastAsia="zh-CN"/>
              </w:rPr>
              <w:t>†</w:t>
            </w:r>
          </w:p>
        </w:tc>
        <w:tc>
          <w:tcPr>
            <w:tcW w:w="1559" w:type="dxa"/>
            <w:tcBorders>
              <w:top w:val="single" w:sz="4" w:space="0" w:color="auto"/>
              <w:left w:val="single" w:sz="12" w:space="0" w:color="auto"/>
              <w:bottom w:val="single" w:sz="12" w:space="0" w:color="auto"/>
            </w:tcBorders>
            <w:shd w:val="clear" w:color="auto" w:fill="auto"/>
            <w:tcMar>
              <w:left w:w="28" w:type="dxa"/>
              <w:right w:w="28" w:type="dxa"/>
            </w:tcMar>
          </w:tcPr>
          <w:p w14:paraId="3BDEE77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w:t>
            </w:r>
            <w:r w:rsidRPr="002D1DD7">
              <w:rPr>
                <w:rFonts w:eastAsia="Times New Roman" w:cs="Times New Roman"/>
                <w:color w:val="000000"/>
                <w:sz w:val="18"/>
                <w:szCs w:val="18"/>
                <w:lang w:eastAsia="zh-CN"/>
              </w:rPr>
              <w:br/>
              <w:t>a) diff CR vs. diff 3yr OS</w:t>
            </w:r>
            <w:r w:rsidRPr="002D1DD7">
              <w:rPr>
                <w:rFonts w:eastAsia="Times New Roman" w:cs="Times New Roman"/>
                <w:color w:val="000000"/>
                <w:sz w:val="18"/>
                <w:szCs w:val="18"/>
                <w:lang w:eastAsia="zh-CN"/>
              </w:rPr>
              <w:br/>
              <w:t>b) diff CR vs. diff 5yr OS</w:t>
            </w:r>
          </w:p>
        </w:tc>
        <w:tc>
          <w:tcPr>
            <w:tcW w:w="1460" w:type="dxa"/>
            <w:tcBorders>
              <w:top w:val="single" w:sz="4" w:space="0" w:color="auto"/>
              <w:bottom w:val="single" w:sz="12" w:space="0" w:color="auto"/>
              <w:right w:val="single" w:sz="12" w:space="0" w:color="auto"/>
            </w:tcBorders>
            <w:shd w:val="clear" w:color="auto" w:fill="auto"/>
            <w:tcMar>
              <w:left w:w="28" w:type="dxa"/>
              <w:right w:w="28" w:type="dxa"/>
            </w:tcMar>
          </w:tcPr>
          <w:p w14:paraId="7162377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a) rs=0.41 (-0.10 to 0.74), p=0.098</w:t>
            </w:r>
            <w:r w:rsidRPr="002D1DD7">
              <w:rPr>
                <w:rFonts w:eastAsia="Times New Roman" w:cs="Times New Roman"/>
                <w:color w:val="000000"/>
                <w:sz w:val="18"/>
                <w:szCs w:val="18"/>
                <w:lang w:eastAsia="zh-CN"/>
              </w:rPr>
              <w:br/>
              <w:t>b) rs=0.21 (-0.34 to 0.50), p=0.44</w:t>
            </w:r>
          </w:p>
        </w:tc>
        <w:tc>
          <w:tcPr>
            <w:tcW w:w="1659" w:type="dxa"/>
            <w:tcBorders>
              <w:top w:val="single" w:sz="4" w:space="0" w:color="auto"/>
              <w:left w:val="single" w:sz="12" w:space="0" w:color="auto"/>
              <w:bottom w:val="single" w:sz="12" w:space="0" w:color="auto"/>
            </w:tcBorders>
            <w:shd w:val="clear" w:color="auto" w:fill="auto"/>
            <w:tcMar>
              <w:left w:w="28" w:type="dxa"/>
              <w:right w:w="28" w:type="dxa"/>
            </w:tcMar>
          </w:tcPr>
          <w:p w14:paraId="5FF6A06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4" w:space="0" w:color="auto"/>
              <w:bottom w:val="single" w:sz="12" w:space="0" w:color="auto"/>
            </w:tcBorders>
            <w:shd w:val="clear" w:color="auto" w:fill="auto"/>
            <w:tcMar>
              <w:left w:w="28" w:type="dxa"/>
              <w:right w:w="28" w:type="dxa"/>
            </w:tcMar>
          </w:tcPr>
          <w:p w14:paraId="1374770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4" w:space="0" w:color="auto"/>
              <w:bottom w:val="single" w:sz="12" w:space="0" w:color="auto"/>
              <w:right w:val="single" w:sz="12" w:space="0" w:color="auto"/>
            </w:tcBorders>
            <w:shd w:val="clear" w:color="auto" w:fill="auto"/>
            <w:tcMar>
              <w:left w:w="28" w:type="dxa"/>
              <w:right w:w="28" w:type="dxa"/>
            </w:tcMar>
          </w:tcPr>
          <w:p w14:paraId="7607C2D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22CB079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4" w:space="0" w:color="auto"/>
              <w:left w:val="single" w:sz="12" w:space="0" w:color="auto"/>
              <w:bottom w:val="single" w:sz="12" w:space="0" w:color="auto"/>
            </w:tcBorders>
            <w:shd w:val="clear" w:color="auto" w:fill="auto"/>
            <w:tcMar>
              <w:left w:w="28" w:type="dxa"/>
              <w:right w:w="28" w:type="dxa"/>
            </w:tcMar>
          </w:tcPr>
          <w:p w14:paraId="61EE7F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4" w:space="0" w:color="auto"/>
              <w:bottom w:val="single" w:sz="12" w:space="0" w:color="auto"/>
            </w:tcBorders>
            <w:shd w:val="clear" w:color="auto" w:fill="auto"/>
            <w:tcMar>
              <w:left w:w="28" w:type="dxa"/>
              <w:right w:w="28" w:type="dxa"/>
            </w:tcMar>
          </w:tcPr>
          <w:p w14:paraId="1595775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3C6FB541"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tcPr>
          <w:p w14:paraId="69375C50" w14:textId="7870DFC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&amp; Venturino 2017</w:t>
            </w:r>
            <w:r w:rsidRPr="002D1DD7">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PEVuZE5vdGU+PENpdGU+PEF1dGhvcj5Db2xsb2NhPC9BdXRob3I+PFllYXI+MjAxNzwvWWVhcj48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87</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0BDD4F0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CR</w:t>
            </w:r>
          </w:p>
        </w:tc>
        <w:tc>
          <w:tcPr>
            <w:tcW w:w="425" w:type="dxa"/>
            <w:tcBorders>
              <w:top w:val="single" w:sz="12" w:space="0" w:color="auto"/>
              <w:right w:val="single" w:sz="12" w:space="0" w:color="auto"/>
            </w:tcBorders>
            <w:tcMar>
              <w:left w:w="28" w:type="dxa"/>
              <w:right w:w="28" w:type="dxa"/>
            </w:tcMar>
          </w:tcPr>
          <w:p w14:paraId="442E14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tcPr>
          <w:p w14:paraId="36DAA1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Ovarian</w:t>
            </w:r>
          </w:p>
        </w:tc>
        <w:tc>
          <w:tcPr>
            <w:tcW w:w="1134" w:type="dxa"/>
            <w:tcBorders>
              <w:top w:val="single" w:sz="12" w:space="0" w:color="auto"/>
              <w:left w:val="single" w:sz="12" w:space="0" w:color="auto"/>
            </w:tcBorders>
            <w:shd w:val="clear" w:color="auto" w:fill="auto"/>
            <w:tcMar>
              <w:left w:w="28" w:type="dxa"/>
              <w:right w:w="28" w:type="dxa"/>
            </w:tcMar>
          </w:tcPr>
          <w:p w14:paraId="7C73C2F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right w:val="single" w:sz="12" w:space="0" w:color="auto"/>
            </w:tcBorders>
            <w:shd w:val="clear" w:color="auto" w:fill="auto"/>
            <w:tcMar>
              <w:left w:w="28" w:type="dxa"/>
              <w:right w:w="28" w:type="dxa"/>
            </w:tcMar>
          </w:tcPr>
          <w:p w14:paraId="000B28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Chemo</w:t>
            </w:r>
          </w:p>
        </w:tc>
        <w:tc>
          <w:tcPr>
            <w:tcW w:w="567" w:type="dxa"/>
            <w:tcBorders>
              <w:top w:val="single" w:sz="12" w:space="0" w:color="auto"/>
              <w:left w:val="single" w:sz="12" w:space="0" w:color="auto"/>
            </w:tcBorders>
            <w:shd w:val="clear" w:color="auto" w:fill="auto"/>
            <w:tcMar>
              <w:left w:w="28" w:type="dxa"/>
              <w:right w:w="28" w:type="dxa"/>
            </w:tcMar>
          </w:tcPr>
          <w:p w14:paraId="470CDFC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12</w:t>
            </w:r>
          </w:p>
        </w:tc>
        <w:tc>
          <w:tcPr>
            <w:tcW w:w="709" w:type="dxa"/>
            <w:tcBorders>
              <w:top w:val="single" w:sz="12" w:space="0" w:color="auto"/>
              <w:right w:val="single" w:sz="12" w:space="0" w:color="auto"/>
            </w:tcBorders>
            <w:shd w:val="clear" w:color="auto" w:fill="auto"/>
            <w:tcMar>
              <w:left w:w="28" w:type="dxa"/>
              <w:right w:w="28" w:type="dxa"/>
            </w:tcMar>
          </w:tcPr>
          <w:p w14:paraId="53F1B9B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tcBorders>
            <w:shd w:val="clear" w:color="auto" w:fill="auto"/>
            <w:tcMar>
              <w:left w:w="28" w:type="dxa"/>
              <w:right w:w="28" w:type="dxa"/>
            </w:tcMar>
          </w:tcPr>
          <w:p w14:paraId="7B6DD8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pCR vs. diff med OS)</w:t>
            </w:r>
          </w:p>
        </w:tc>
        <w:tc>
          <w:tcPr>
            <w:tcW w:w="1460" w:type="dxa"/>
            <w:tcBorders>
              <w:top w:val="single" w:sz="12" w:space="0" w:color="auto"/>
              <w:right w:val="single" w:sz="12" w:space="0" w:color="auto"/>
            </w:tcBorders>
            <w:shd w:val="clear" w:color="auto" w:fill="auto"/>
            <w:tcMar>
              <w:left w:w="28" w:type="dxa"/>
              <w:right w:w="28" w:type="dxa"/>
            </w:tcMar>
          </w:tcPr>
          <w:p w14:paraId="4014A3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rs=0.42, p=0.180</w:t>
            </w:r>
          </w:p>
        </w:tc>
        <w:tc>
          <w:tcPr>
            <w:tcW w:w="1659" w:type="dxa"/>
            <w:tcBorders>
              <w:top w:val="single" w:sz="12" w:space="0" w:color="auto"/>
              <w:left w:val="single" w:sz="12" w:space="0" w:color="auto"/>
            </w:tcBorders>
            <w:shd w:val="clear" w:color="auto" w:fill="auto"/>
            <w:tcMar>
              <w:left w:w="28" w:type="dxa"/>
              <w:right w:w="28" w:type="dxa"/>
            </w:tcMar>
          </w:tcPr>
          <w:p w14:paraId="72D5ABF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tcBorders>
            <w:shd w:val="clear" w:color="auto" w:fill="auto"/>
            <w:tcMar>
              <w:left w:w="28" w:type="dxa"/>
              <w:right w:w="28" w:type="dxa"/>
            </w:tcMar>
          </w:tcPr>
          <w:p w14:paraId="0A329B6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right w:val="single" w:sz="12" w:space="0" w:color="auto"/>
            </w:tcBorders>
            <w:shd w:val="clear" w:color="auto" w:fill="auto"/>
            <w:tcMar>
              <w:left w:w="28" w:type="dxa"/>
              <w:right w:w="28" w:type="dxa"/>
            </w:tcMar>
          </w:tcPr>
          <w:p w14:paraId="5280069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tcPr>
          <w:p w14:paraId="1489E91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tcPr>
          <w:p w14:paraId="09BEB74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tcBorders>
              <w:top w:val="single" w:sz="12" w:space="0" w:color="auto"/>
            </w:tcBorders>
            <w:shd w:val="clear" w:color="auto" w:fill="auto"/>
            <w:tcMar>
              <w:left w:w="28" w:type="dxa"/>
              <w:right w:w="28" w:type="dxa"/>
            </w:tcMar>
          </w:tcPr>
          <w:p w14:paraId="7488BAB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2D13A4C" w14:textId="77777777" w:rsidTr="003117A9">
        <w:trPr>
          <w:cantSplit/>
        </w:trPr>
        <w:tc>
          <w:tcPr>
            <w:tcW w:w="15525" w:type="dxa"/>
            <w:gridSpan w:val="16"/>
            <w:tcBorders>
              <w:top w:val="single" w:sz="12" w:space="0" w:color="auto"/>
              <w:bottom w:val="single" w:sz="12" w:space="0" w:color="auto"/>
            </w:tcBorders>
            <w:shd w:val="clear" w:color="auto" w:fill="D9D9D9"/>
            <w:tcMar>
              <w:left w:w="28" w:type="dxa"/>
              <w:right w:w="28" w:type="dxa"/>
            </w:tcMar>
          </w:tcPr>
          <w:p w14:paraId="24895010" w14:textId="77777777" w:rsidR="002E26FD" w:rsidRPr="002D1DD7" w:rsidRDefault="002E26FD" w:rsidP="003117A9">
            <w:pPr>
              <w:keepNext/>
              <w:spacing w:before="0" w:after="0" w:line="240" w:lineRule="auto"/>
              <w:rPr>
                <w:rFonts w:eastAsia="Times New Roman" w:cs="Times New Roman"/>
                <w:color w:val="000000"/>
                <w:sz w:val="18"/>
                <w:szCs w:val="18"/>
                <w:lang w:eastAsia="zh-CN"/>
              </w:rPr>
            </w:pPr>
            <w:r w:rsidRPr="002D1DD7">
              <w:rPr>
                <w:rFonts w:eastAsia="Times New Roman" w:cs="Times New Roman"/>
                <w:b/>
                <w:bCs/>
                <w:color w:val="000000"/>
                <w:sz w:val="18"/>
                <w:szCs w:val="18"/>
                <w:lang w:eastAsia="zh-CN"/>
              </w:rPr>
              <w:t>DoR vs. OS</w:t>
            </w:r>
          </w:p>
        </w:tc>
      </w:tr>
      <w:tr w:rsidR="002E26FD" w:rsidRPr="002D1DD7" w14:paraId="7E6880F7" w14:textId="77777777" w:rsidTr="003117A9">
        <w:trPr>
          <w:cantSplit/>
        </w:trPr>
        <w:tc>
          <w:tcPr>
            <w:tcW w:w="988" w:type="dxa"/>
            <w:tcBorders>
              <w:top w:val="single" w:sz="12" w:space="0" w:color="auto"/>
              <w:bottom w:val="single" w:sz="12" w:space="0" w:color="auto"/>
              <w:right w:val="single" w:sz="12" w:space="0" w:color="auto"/>
            </w:tcBorders>
            <w:shd w:val="clear" w:color="auto" w:fill="auto"/>
            <w:tcMar>
              <w:left w:w="28" w:type="dxa"/>
              <w:right w:w="28" w:type="dxa"/>
            </w:tcMar>
          </w:tcPr>
          <w:p w14:paraId="6FB65032" w14:textId="78A82287"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2016b</w:t>
            </w:r>
            <w:r w:rsidRPr="002D1DD7">
              <w:rPr>
                <w:rFonts w:eastAsia="Times New Roman" w:cs="Times New Roman"/>
                <w:sz w:val="18"/>
                <w:szCs w:val="18"/>
                <w:lang w:eastAsia="zh-CN"/>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PEVuZE5vdGU+PENpdGU+PEF1dGhvcj5Db2xsb2NhPC9BdXRob3I+PFllYXI+MjAxNmI8L1llYXI+
PFJlY051bT41MzQ8L1JlY051bT48SURUZXh0PiQkaW5jbHVkZSBmdWxsIHRleHQgS0MmI3hEOzIw
MTZiJiN4RDskJEZyb20gU2F2aW5hJiN4RDskJEZyb20gSGFzbGFtIChyZWYgNTQpPC9JRFRleHQ+
PERpc3BsYXlUZXh0PjxzdHlsZSBmYWNlPSJzdXBlcnNjcmlwdCI+ODk8L3N0eWxlPjwvRGlzcGxh
eVRleHQ+PHJlY29yZD48cmVjLW51bWJlcj41MzQ8L3JlYy1udW1iZXI+PGZvcmVpZ24ta2V5cz48
a2V5IGFwcD0iRU4iIGRiLWlkPSJkd2Fldnh2YXpmczJmM2V3dnpteHJkMGswd2FzdzU1cDJ6Mnci
IHRpbWVzdGFtcD0iMTU1NzMxMDYwOSI+NTM0PC9rZXk+PC9mb3JlaWduLWtleXM+PHJlZi10eXBl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PjxhdXRoLWFkZHJlc3M+Q29sbG9jYSwgRy4gRGVwYXJ0bWVudCBvZiBPbmNvbG9neSwgRy4gQm9y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89</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bottom w:val="single" w:sz="12" w:space="0" w:color="auto"/>
            </w:tcBorders>
            <w:tcMar>
              <w:left w:w="28" w:type="dxa"/>
              <w:right w:w="28" w:type="dxa"/>
            </w:tcMar>
          </w:tcPr>
          <w:p w14:paraId="402F7F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DoR</w:t>
            </w:r>
          </w:p>
        </w:tc>
        <w:tc>
          <w:tcPr>
            <w:tcW w:w="425" w:type="dxa"/>
            <w:tcBorders>
              <w:top w:val="single" w:sz="12" w:space="0" w:color="auto"/>
              <w:bottom w:val="single" w:sz="12" w:space="0" w:color="auto"/>
              <w:right w:val="single" w:sz="12" w:space="0" w:color="auto"/>
            </w:tcBorders>
            <w:tcMar>
              <w:left w:w="28" w:type="dxa"/>
              <w:right w:w="28" w:type="dxa"/>
            </w:tcMar>
          </w:tcPr>
          <w:p w14:paraId="792DF81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7392C2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Colorectal</w:t>
            </w:r>
          </w:p>
        </w:tc>
        <w:tc>
          <w:tcPr>
            <w:tcW w:w="1134" w:type="dxa"/>
            <w:tcBorders>
              <w:top w:val="single" w:sz="12" w:space="0" w:color="auto"/>
              <w:left w:val="single" w:sz="12" w:space="0" w:color="auto"/>
              <w:bottom w:val="single" w:sz="12" w:space="0" w:color="auto"/>
            </w:tcBorders>
            <w:shd w:val="clear" w:color="auto" w:fill="auto"/>
            <w:tcMar>
              <w:left w:w="28" w:type="dxa"/>
              <w:right w:w="28" w:type="dxa"/>
            </w:tcMar>
          </w:tcPr>
          <w:p w14:paraId="604ADA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bottom w:val="single" w:sz="12" w:space="0" w:color="auto"/>
              <w:right w:val="single" w:sz="12" w:space="0" w:color="auto"/>
            </w:tcBorders>
            <w:shd w:val="clear" w:color="auto" w:fill="auto"/>
            <w:tcMar>
              <w:left w:w="28" w:type="dxa"/>
              <w:right w:w="28" w:type="dxa"/>
            </w:tcMar>
          </w:tcPr>
          <w:p w14:paraId="32AA535A"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Bevacizumab + chemo</w:t>
            </w:r>
          </w:p>
        </w:tc>
        <w:tc>
          <w:tcPr>
            <w:tcW w:w="567" w:type="dxa"/>
            <w:tcBorders>
              <w:top w:val="single" w:sz="12" w:space="0" w:color="auto"/>
              <w:left w:val="single" w:sz="12" w:space="0" w:color="auto"/>
              <w:bottom w:val="single" w:sz="12" w:space="0" w:color="auto"/>
            </w:tcBorders>
            <w:shd w:val="clear" w:color="auto" w:fill="auto"/>
            <w:tcMar>
              <w:left w:w="28" w:type="dxa"/>
              <w:right w:w="28" w:type="dxa"/>
            </w:tcMar>
          </w:tcPr>
          <w:p w14:paraId="4B4C6F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5</w:t>
            </w:r>
          </w:p>
        </w:tc>
        <w:tc>
          <w:tcPr>
            <w:tcW w:w="709" w:type="dxa"/>
            <w:tcBorders>
              <w:top w:val="single" w:sz="12" w:space="0" w:color="auto"/>
              <w:bottom w:val="single" w:sz="12" w:space="0" w:color="auto"/>
              <w:right w:val="single" w:sz="12" w:space="0" w:color="auto"/>
            </w:tcBorders>
            <w:shd w:val="clear" w:color="auto" w:fill="auto"/>
            <w:tcMar>
              <w:left w:w="28" w:type="dxa"/>
              <w:right w:w="28" w:type="dxa"/>
            </w:tcMar>
          </w:tcPr>
          <w:p w14:paraId="4E64FA5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bottom w:val="single" w:sz="12" w:space="0" w:color="auto"/>
            </w:tcBorders>
            <w:shd w:val="clear" w:color="auto" w:fill="auto"/>
            <w:tcMar>
              <w:left w:w="28" w:type="dxa"/>
              <w:right w:w="28" w:type="dxa"/>
            </w:tcMar>
          </w:tcPr>
          <w:p w14:paraId="12E5BCA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med DoR vs. diff med OS)</w:t>
            </w:r>
          </w:p>
        </w:tc>
        <w:tc>
          <w:tcPr>
            <w:tcW w:w="1460" w:type="dxa"/>
            <w:tcBorders>
              <w:top w:val="single" w:sz="12" w:space="0" w:color="auto"/>
              <w:bottom w:val="single" w:sz="12" w:space="0" w:color="auto"/>
              <w:right w:val="single" w:sz="12" w:space="0" w:color="auto"/>
            </w:tcBorders>
            <w:shd w:val="clear" w:color="auto" w:fill="auto"/>
            <w:tcMar>
              <w:left w:w="28" w:type="dxa"/>
              <w:right w:w="28" w:type="dxa"/>
            </w:tcMar>
          </w:tcPr>
          <w:p w14:paraId="1283C1C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rs=0.70, p=0.188</w:t>
            </w:r>
          </w:p>
        </w:tc>
        <w:tc>
          <w:tcPr>
            <w:tcW w:w="1659" w:type="dxa"/>
            <w:tcBorders>
              <w:top w:val="single" w:sz="12" w:space="0" w:color="auto"/>
              <w:left w:val="single" w:sz="12" w:space="0" w:color="auto"/>
              <w:bottom w:val="single" w:sz="12" w:space="0" w:color="auto"/>
            </w:tcBorders>
            <w:shd w:val="clear" w:color="auto" w:fill="auto"/>
            <w:tcMar>
              <w:left w:w="28" w:type="dxa"/>
              <w:right w:w="28" w:type="dxa"/>
            </w:tcMar>
          </w:tcPr>
          <w:p w14:paraId="63AD474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bottom w:val="single" w:sz="12" w:space="0" w:color="auto"/>
            </w:tcBorders>
            <w:shd w:val="clear" w:color="auto" w:fill="auto"/>
            <w:tcMar>
              <w:left w:w="28" w:type="dxa"/>
              <w:right w:w="28" w:type="dxa"/>
            </w:tcMar>
          </w:tcPr>
          <w:p w14:paraId="09946F2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bottom w:val="single" w:sz="12" w:space="0" w:color="auto"/>
              <w:right w:val="single" w:sz="12" w:space="0" w:color="auto"/>
            </w:tcBorders>
            <w:shd w:val="clear" w:color="auto" w:fill="auto"/>
            <w:tcMar>
              <w:left w:w="28" w:type="dxa"/>
              <w:right w:w="28" w:type="dxa"/>
            </w:tcMar>
          </w:tcPr>
          <w:p w14:paraId="1E78BE0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91FC9D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bottom w:val="single" w:sz="12" w:space="0" w:color="auto"/>
            </w:tcBorders>
            <w:shd w:val="clear" w:color="auto" w:fill="auto"/>
            <w:tcMar>
              <w:left w:w="28" w:type="dxa"/>
              <w:right w:w="28" w:type="dxa"/>
            </w:tcMar>
          </w:tcPr>
          <w:p w14:paraId="73903E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bottom w:val="single" w:sz="12" w:space="0" w:color="auto"/>
            </w:tcBorders>
            <w:shd w:val="clear" w:color="auto" w:fill="auto"/>
            <w:tcMar>
              <w:left w:w="28" w:type="dxa"/>
              <w:right w:w="28" w:type="dxa"/>
            </w:tcMar>
          </w:tcPr>
          <w:p w14:paraId="7FCD349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79B1A092" w14:textId="77777777" w:rsidTr="003117A9">
        <w:trPr>
          <w:cantSplit/>
        </w:trPr>
        <w:tc>
          <w:tcPr>
            <w:tcW w:w="988" w:type="dxa"/>
            <w:tcBorders>
              <w:top w:val="single" w:sz="12" w:space="0" w:color="auto"/>
              <w:right w:val="single" w:sz="12" w:space="0" w:color="auto"/>
            </w:tcBorders>
            <w:shd w:val="clear" w:color="auto" w:fill="auto"/>
            <w:tcMar>
              <w:left w:w="28" w:type="dxa"/>
              <w:right w:w="28" w:type="dxa"/>
            </w:tcMar>
          </w:tcPr>
          <w:p w14:paraId="0A286F68" w14:textId="3EBC4E93"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top w:val="single" w:sz="12" w:space="0" w:color="auto"/>
              <w:left w:val="single" w:sz="12" w:space="0" w:color="auto"/>
            </w:tcBorders>
            <w:tcMar>
              <w:left w:w="28" w:type="dxa"/>
              <w:right w:w="28" w:type="dxa"/>
            </w:tcMar>
          </w:tcPr>
          <w:p w14:paraId="4C469D01"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DoR</w:t>
            </w:r>
          </w:p>
        </w:tc>
        <w:tc>
          <w:tcPr>
            <w:tcW w:w="425" w:type="dxa"/>
            <w:tcBorders>
              <w:top w:val="single" w:sz="12" w:space="0" w:color="auto"/>
              <w:right w:val="single" w:sz="12" w:space="0" w:color="auto"/>
            </w:tcBorders>
            <w:tcMar>
              <w:left w:w="28" w:type="dxa"/>
              <w:right w:w="28" w:type="dxa"/>
            </w:tcMar>
          </w:tcPr>
          <w:p w14:paraId="4C02205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top w:val="single" w:sz="12" w:space="0" w:color="auto"/>
              <w:left w:val="single" w:sz="12" w:space="0" w:color="auto"/>
              <w:right w:val="single" w:sz="12" w:space="0" w:color="auto"/>
            </w:tcBorders>
            <w:shd w:val="clear" w:color="auto" w:fill="auto"/>
            <w:tcMar>
              <w:left w:w="28" w:type="dxa"/>
              <w:right w:w="28" w:type="dxa"/>
            </w:tcMar>
          </w:tcPr>
          <w:p w14:paraId="08A019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top w:val="single" w:sz="12" w:space="0" w:color="auto"/>
              <w:left w:val="single" w:sz="12" w:space="0" w:color="auto"/>
            </w:tcBorders>
            <w:shd w:val="clear" w:color="auto" w:fill="auto"/>
            <w:tcMar>
              <w:left w:w="28" w:type="dxa"/>
              <w:right w:w="28" w:type="dxa"/>
            </w:tcMar>
          </w:tcPr>
          <w:p w14:paraId="0102FA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top w:val="single" w:sz="12" w:space="0" w:color="auto"/>
              <w:right w:val="single" w:sz="12" w:space="0" w:color="auto"/>
            </w:tcBorders>
            <w:shd w:val="clear" w:color="auto" w:fill="auto"/>
            <w:tcMar>
              <w:left w:w="28" w:type="dxa"/>
              <w:right w:w="28" w:type="dxa"/>
            </w:tcMar>
          </w:tcPr>
          <w:p w14:paraId="6A60D8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chemo or targeted</w:t>
            </w:r>
          </w:p>
        </w:tc>
        <w:tc>
          <w:tcPr>
            <w:tcW w:w="567" w:type="dxa"/>
            <w:tcBorders>
              <w:top w:val="single" w:sz="12" w:space="0" w:color="auto"/>
              <w:left w:val="single" w:sz="12" w:space="0" w:color="auto"/>
            </w:tcBorders>
            <w:shd w:val="clear" w:color="auto" w:fill="auto"/>
            <w:tcMar>
              <w:left w:w="28" w:type="dxa"/>
              <w:right w:w="28" w:type="dxa"/>
            </w:tcMar>
          </w:tcPr>
          <w:p w14:paraId="2055B32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7</w:t>
            </w:r>
            <w:r w:rsidRPr="002D1DD7">
              <w:rPr>
                <w:rFonts w:eastAsia="Times New Roman" w:cs="Times New Roman"/>
                <w:color w:val="000000"/>
                <w:sz w:val="18"/>
                <w:szCs w:val="18"/>
                <w:vertAlign w:val="superscript"/>
                <w:lang w:eastAsia="zh-CN"/>
              </w:rPr>
              <w:t>†</w:t>
            </w:r>
          </w:p>
        </w:tc>
        <w:tc>
          <w:tcPr>
            <w:tcW w:w="709" w:type="dxa"/>
            <w:tcBorders>
              <w:top w:val="single" w:sz="12" w:space="0" w:color="auto"/>
              <w:right w:val="single" w:sz="12" w:space="0" w:color="auto"/>
            </w:tcBorders>
            <w:shd w:val="clear" w:color="auto" w:fill="auto"/>
            <w:tcMar>
              <w:left w:w="28" w:type="dxa"/>
              <w:right w:w="28" w:type="dxa"/>
            </w:tcMar>
          </w:tcPr>
          <w:p w14:paraId="12C777B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top w:val="single" w:sz="12" w:space="0" w:color="auto"/>
              <w:left w:val="single" w:sz="12" w:space="0" w:color="auto"/>
            </w:tcBorders>
            <w:shd w:val="clear" w:color="auto" w:fill="auto"/>
            <w:tcMar>
              <w:left w:w="28" w:type="dxa"/>
              <w:right w:w="28" w:type="dxa"/>
            </w:tcMar>
          </w:tcPr>
          <w:p w14:paraId="0947EA4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med DoR vs. diff med OS)</w:t>
            </w:r>
          </w:p>
        </w:tc>
        <w:tc>
          <w:tcPr>
            <w:tcW w:w="1460" w:type="dxa"/>
            <w:tcBorders>
              <w:top w:val="single" w:sz="12" w:space="0" w:color="auto"/>
              <w:right w:val="single" w:sz="12" w:space="0" w:color="auto"/>
            </w:tcBorders>
            <w:shd w:val="clear" w:color="auto" w:fill="auto"/>
            <w:tcMar>
              <w:left w:w="28" w:type="dxa"/>
              <w:right w:w="28" w:type="dxa"/>
            </w:tcMar>
          </w:tcPr>
          <w:p w14:paraId="26F2FD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rs=0.76, p=0.049</w:t>
            </w:r>
          </w:p>
        </w:tc>
        <w:tc>
          <w:tcPr>
            <w:tcW w:w="1659" w:type="dxa"/>
            <w:tcBorders>
              <w:top w:val="single" w:sz="12" w:space="0" w:color="auto"/>
              <w:left w:val="single" w:sz="12" w:space="0" w:color="auto"/>
            </w:tcBorders>
            <w:shd w:val="clear" w:color="auto" w:fill="auto"/>
            <w:tcMar>
              <w:left w:w="28" w:type="dxa"/>
              <w:right w:w="28" w:type="dxa"/>
            </w:tcMar>
          </w:tcPr>
          <w:p w14:paraId="52E7BC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tcBorders>
              <w:top w:val="single" w:sz="12" w:space="0" w:color="auto"/>
            </w:tcBorders>
            <w:shd w:val="clear" w:color="auto" w:fill="auto"/>
            <w:tcMar>
              <w:left w:w="28" w:type="dxa"/>
              <w:right w:w="28" w:type="dxa"/>
            </w:tcMar>
          </w:tcPr>
          <w:p w14:paraId="1F3E396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top w:val="single" w:sz="12" w:space="0" w:color="auto"/>
              <w:right w:val="single" w:sz="12" w:space="0" w:color="auto"/>
            </w:tcBorders>
            <w:shd w:val="clear" w:color="auto" w:fill="auto"/>
            <w:tcMar>
              <w:left w:w="28" w:type="dxa"/>
              <w:right w:w="28" w:type="dxa"/>
            </w:tcMar>
          </w:tcPr>
          <w:p w14:paraId="312DD8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top w:val="single" w:sz="12" w:space="0" w:color="auto"/>
              <w:left w:val="single" w:sz="12" w:space="0" w:color="auto"/>
              <w:right w:val="single" w:sz="12" w:space="0" w:color="auto"/>
            </w:tcBorders>
            <w:shd w:val="clear" w:color="auto" w:fill="auto"/>
            <w:tcMar>
              <w:left w:w="28" w:type="dxa"/>
              <w:right w:w="28" w:type="dxa"/>
            </w:tcMar>
          </w:tcPr>
          <w:p w14:paraId="46E1028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top w:val="single" w:sz="12" w:space="0" w:color="auto"/>
              <w:left w:val="single" w:sz="12" w:space="0" w:color="auto"/>
            </w:tcBorders>
            <w:shd w:val="clear" w:color="auto" w:fill="auto"/>
            <w:tcMar>
              <w:left w:w="28" w:type="dxa"/>
              <w:right w:w="28" w:type="dxa"/>
            </w:tcMar>
          </w:tcPr>
          <w:p w14:paraId="412B11D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Medium</w:t>
            </w:r>
          </w:p>
        </w:tc>
        <w:tc>
          <w:tcPr>
            <w:tcW w:w="644" w:type="dxa"/>
            <w:tcBorders>
              <w:top w:val="single" w:sz="12" w:space="0" w:color="auto"/>
            </w:tcBorders>
            <w:shd w:val="clear" w:color="auto" w:fill="auto"/>
            <w:tcMar>
              <w:left w:w="28" w:type="dxa"/>
              <w:right w:w="28" w:type="dxa"/>
            </w:tcMar>
          </w:tcPr>
          <w:p w14:paraId="2C595228"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0C058FB" w14:textId="77777777" w:rsidTr="003117A9">
        <w:trPr>
          <w:cantSplit/>
        </w:trPr>
        <w:tc>
          <w:tcPr>
            <w:tcW w:w="988" w:type="dxa"/>
            <w:tcBorders>
              <w:right w:val="single" w:sz="12" w:space="0" w:color="auto"/>
            </w:tcBorders>
            <w:shd w:val="clear" w:color="auto" w:fill="auto"/>
            <w:tcMar>
              <w:left w:w="28" w:type="dxa"/>
              <w:right w:w="28" w:type="dxa"/>
            </w:tcMar>
          </w:tcPr>
          <w:p w14:paraId="2E69EB4A" w14:textId="42E174BC"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30743F3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DoR</w:t>
            </w:r>
          </w:p>
        </w:tc>
        <w:tc>
          <w:tcPr>
            <w:tcW w:w="425" w:type="dxa"/>
            <w:tcBorders>
              <w:right w:val="single" w:sz="12" w:space="0" w:color="auto"/>
            </w:tcBorders>
            <w:tcMar>
              <w:left w:w="28" w:type="dxa"/>
              <w:right w:w="28" w:type="dxa"/>
            </w:tcMar>
          </w:tcPr>
          <w:p w14:paraId="76AADA5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tcPr>
          <w:p w14:paraId="1386BA2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left w:val="single" w:sz="12" w:space="0" w:color="auto"/>
            </w:tcBorders>
            <w:shd w:val="clear" w:color="auto" w:fill="auto"/>
            <w:tcMar>
              <w:left w:w="28" w:type="dxa"/>
              <w:right w:w="28" w:type="dxa"/>
            </w:tcMar>
          </w:tcPr>
          <w:p w14:paraId="32A165A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74C69E6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chemo</w:t>
            </w:r>
          </w:p>
        </w:tc>
        <w:tc>
          <w:tcPr>
            <w:tcW w:w="567" w:type="dxa"/>
            <w:tcBorders>
              <w:left w:val="single" w:sz="12" w:space="0" w:color="auto"/>
            </w:tcBorders>
            <w:shd w:val="clear" w:color="auto" w:fill="auto"/>
            <w:tcMar>
              <w:left w:w="28" w:type="dxa"/>
              <w:right w:w="28" w:type="dxa"/>
            </w:tcMar>
          </w:tcPr>
          <w:p w14:paraId="02B889C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3</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tcPr>
          <w:p w14:paraId="7C894F9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tcPr>
          <w:p w14:paraId="3ABFEAB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med DoR vs. diff med OS)</w:t>
            </w:r>
          </w:p>
        </w:tc>
        <w:tc>
          <w:tcPr>
            <w:tcW w:w="1460" w:type="dxa"/>
            <w:tcBorders>
              <w:right w:val="single" w:sz="12" w:space="0" w:color="auto"/>
            </w:tcBorders>
            <w:shd w:val="clear" w:color="auto" w:fill="auto"/>
            <w:tcMar>
              <w:left w:w="28" w:type="dxa"/>
              <w:right w:w="28" w:type="dxa"/>
            </w:tcMar>
          </w:tcPr>
          <w:p w14:paraId="6F9D481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rs=0.50, p=0.667</w:t>
            </w:r>
          </w:p>
        </w:tc>
        <w:tc>
          <w:tcPr>
            <w:tcW w:w="1659" w:type="dxa"/>
            <w:tcBorders>
              <w:left w:val="single" w:sz="12" w:space="0" w:color="auto"/>
            </w:tcBorders>
            <w:shd w:val="clear" w:color="auto" w:fill="auto"/>
            <w:tcMar>
              <w:left w:w="28" w:type="dxa"/>
              <w:right w:w="28" w:type="dxa"/>
            </w:tcMar>
          </w:tcPr>
          <w:p w14:paraId="7FE4C9F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tcPr>
          <w:p w14:paraId="072405F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tcPr>
          <w:p w14:paraId="0C064986"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683F5D43"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61E9CD6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tcPr>
          <w:p w14:paraId="617997C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47CCFE11" w14:textId="77777777" w:rsidTr="003117A9">
        <w:trPr>
          <w:cantSplit/>
        </w:trPr>
        <w:tc>
          <w:tcPr>
            <w:tcW w:w="988" w:type="dxa"/>
            <w:tcBorders>
              <w:right w:val="single" w:sz="12" w:space="0" w:color="auto"/>
            </w:tcBorders>
            <w:shd w:val="clear" w:color="auto" w:fill="auto"/>
            <w:tcMar>
              <w:left w:w="28" w:type="dxa"/>
              <w:right w:w="28" w:type="dxa"/>
            </w:tcMar>
          </w:tcPr>
          <w:p w14:paraId="3E2244B0" w14:textId="159BF359" w:rsidR="002E26FD" w:rsidRPr="002D1DD7" w:rsidRDefault="002E26FD" w:rsidP="000E66DE">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Colloca 2016a</w:t>
            </w:r>
            <w:r w:rsidRPr="002D1DD7">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 </w:instrText>
            </w:r>
            <w:r w:rsidR="000E66DE">
              <w:rPr>
                <w:rFonts w:eastAsia="Times New Roman" w:cs="Times New Roman"/>
                <w:sz w:val="18"/>
                <w:szCs w:val="18"/>
                <w:lang w:eastAsia="zh-CN"/>
              </w:rPr>
              <w:fldChar w:fldCharType="begin">
                <w:fldData xml:space="preserve">PEVuZE5vdGU+PENpdGU+PEF1dGhvcj5Db2xsb2NhPC9BdXRob3I+PFllYXI+MjAxNmE8L1llYXI+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</w:fldData>
              </w:fldChar>
            </w:r>
            <w:r w:rsidR="000E66DE">
              <w:rPr>
                <w:rFonts w:eastAsia="Times New Roman" w:cs="Times New Roman"/>
                <w:sz w:val="18"/>
                <w:szCs w:val="18"/>
                <w:lang w:eastAsia="zh-CN"/>
              </w:rPr>
              <w:instrText xml:space="preserve"> ADDIN EN.CITE.DATA </w:instrText>
            </w:r>
            <w:r w:rsidR="000E66DE">
              <w:rPr>
                <w:rFonts w:eastAsia="Times New Roman" w:cs="Times New Roman"/>
                <w:sz w:val="18"/>
                <w:szCs w:val="18"/>
                <w:lang w:eastAsia="zh-CN"/>
              </w:rPr>
            </w:r>
            <w:r w:rsidR="000E66DE">
              <w:rPr>
                <w:rFonts w:eastAsia="Times New Roman" w:cs="Times New Roman"/>
                <w:sz w:val="18"/>
                <w:szCs w:val="18"/>
                <w:lang w:eastAsia="zh-CN"/>
              </w:rPr>
              <w:fldChar w:fldCharType="end"/>
            </w:r>
            <w:r w:rsidRPr="002D1DD7">
              <w:rPr>
                <w:rFonts w:eastAsia="Times New Roman" w:cs="Times New Roman"/>
                <w:sz w:val="18"/>
                <w:szCs w:val="18"/>
                <w:lang w:eastAsia="zh-CN"/>
              </w:rPr>
            </w:r>
            <w:r w:rsidRPr="002D1DD7">
              <w:rPr>
                <w:rFonts w:eastAsia="Times New Roman" w:cs="Times New Roman"/>
                <w:sz w:val="18"/>
                <w:szCs w:val="18"/>
                <w:lang w:eastAsia="zh-CN"/>
              </w:rPr>
              <w:fldChar w:fldCharType="separate"/>
            </w:r>
            <w:r w:rsidR="003117A9" w:rsidRPr="003117A9">
              <w:rPr>
                <w:rFonts w:eastAsia="Times New Roman" w:cs="Times New Roman"/>
                <w:noProof/>
                <w:sz w:val="18"/>
                <w:szCs w:val="18"/>
                <w:vertAlign w:val="superscript"/>
                <w:lang w:eastAsia="zh-CN"/>
              </w:rPr>
              <w:t>88</w:t>
            </w:r>
            <w:r w:rsidRPr="002D1DD7">
              <w:rPr>
                <w:rFonts w:eastAsia="Times New Roman" w:cs="Times New Roman"/>
                <w:sz w:val="18"/>
                <w:szCs w:val="18"/>
                <w:lang w:eastAsia="zh-CN"/>
              </w:rPr>
              <w:fldChar w:fldCharType="end"/>
            </w:r>
          </w:p>
        </w:tc>
        <w:tc>
          <w:tcPr>
            <w:tcW w:w="430" w:type="dxa"/>
            <w:tcBorders>
              <w:left w:val="single" w:sz="12" w:space="0" w:color="auto"/>
            </w:tcBorders>
            <w:tcMar>
              <w:left w:w="28" w:type="dxa"/>
              <w:right w:w="28" w:type="dxa"/>
            </w:tcMar>
          </w:tcPr>
          <w:p w14:paraId="43B1F3E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DoR</w:t>
            </w:r>
          </w:p>
        </w:tc>
        <w:tc>
          <w:tcPr>
            <w:tcW w:w="425" w:type="dxa"/>
            <w:tcBorders>
              <w:right w:val="single" w:sz="12" w:space="0" w:color="auto"/>
            </w:tcBorders>
            <w:tcMar>
              <w:left w:w="28" w:type="dxa"/>
              <w:right w:w="28" w:type="dxa"/>
            </w:tcMar>
          </w:tcPr>
          <w:p w14:paraId="1CE7725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OS</w:t>
            </w:r>
          </w:p>
        </w:tc>
        <w:tc>
          <w:tcPr>
            <w:tcW w:w="983" w:type="dxa"/>
            <w:tcBorders>
              <w:left w:val="single" w:sz="12" w:space="0" w:color="auto"/>
              <w:right w:val="single" w:sz="12" w:space="0" w:color="auto"/>
            </w:tcBorders>
            <w:shd w:val="clear" w:color="auto" w:fill="auto"/>
            <w:tcMar>
              <w:left w:w="28" w:type="dxa"/>
              <w:right w:w="28" w:type="dxa"/>
            </w:tcMar>
          </w:tcPr>
          <w:p w14:paraId="761B1427"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Pancreatic</w:t>
            </w:r>
          </w:p>
        </w:tc>
        <w:tc>
          <w:tcPr>
            <w:tcW w:w="1134" w:type="dxa"/>
            <w:tcBorders>
              <w:left w:val="single" w:sz="12" w:space="0" w:color="auto"/>
            </w:tcBorders>
            <w:shd w:val="clear" w:color="auto" w:fill="auto"/>
            <w:tcMar>
              <w:left w:w="28" w:type="dxa"/>
              <w:right w:w="28" w:type="dxa"/>
            </w:tcMar>
          </w:tcPr>
          <w:p w14:paraId="07E1091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1st</w:t>
            </w:r>
          </w:p>
        </w:tc>
        <w:tc>
          <w:tcPr>
            <w:tcW w:w="992" w:type="dxa"/>
            <w:tcBorders>
              <w:right w:val="single" w:sz="12" w:space="0" w:color="auto"/>
            </w:tcBorders>
            <w:shd w:val="clear" w:color="auto" w:fill="auto"/>
            <w:tcMar>
              <w:left w:w="28" w:type="dxa"/>
              <w:right w:w="28" w:type="dxa"/>
            </w:tcMar>
          </w:tcPr>
          <w:p w14:paraId="5F277B92"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Gemcitabine + targeted</w:t>
            </w:r>
          </w:p>
        </w:tc>
        <w:tc>
          <w:tcPr>
            <w:tcW w:w="567" w:type="dxa"/>
            <w:tcBorders>
              <w:left w:val="single" w:sz="12" w:space="0" w:color="auto"/>
            </w:tcBorders>
            <w:shd w:val="clear" w:color="auto" w:fill="auto"/>
            <w:tcMar>
              <w:left w:w="28" w:type="dxa"/>
              <w:right w:w="28" w:type="dxa"/>
            </w:tcMar>
          </w:tcPr>
          <w:p w14:paraId="08BC684F"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4</w:t>
            </w:r>
            <w:r w:rsidRPr="002D1DD7">
              <w:rPr>
                <w:rFonts w:eastAsia="Times New Roman" w:cs="Times New Roman"/>
                <w:color w:val="000000"/>
                <w:sz w:val="18"/>
                <w:szCs w:val="18"/>
                <w:vertAlign w:val="superscript"/>
                <w:lang w:eastAsia="zh-CN"/>
              </w:rPr>
              <w:t>†</w:t>
            </w:r>
          </w:p>
        </w:tc>
        <w:tc>
          <w:tcPr>
            <w:tcW w:w="709" w:type="dxa"/>
            <w:tcBorders>
              <w:right w:val="single" w:sz="12" w:space="0" w:color="auto"/>
            </w:tcBorders>
            <w:shd w:val="clear" w:color="auto" w:fill="auto"/>
            <w:tcMar>
              <w:left w:w="28" w:type="dxa"/>
              <w:right w:w="28" w:type="dxa"/>
            </w:tcMar>
          </w:tcPr>
          <w:p w14:paraId="3EFA5120"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1559" w:type="dxa"/>
            <w:tcBorders>
              <w:left w:val="single" w:sz="12" w:space="0" w:color="auto"/>
            </w:tcBorders>
            <w:shd w:val="clear" w:color="auto" w:fill="auto"/>
            <w:tcMar>
              <w:left w:w="28" w:type="dxa"/>
              <w:right w:w="28" w:type="dxa"/>
            </w:tcMar>
          </w:tcPr>
          <w:p w14:paraId="24071BD5"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Spearman (diff med DoR vs. diff med OS)</w:t>
            </w:r>
          </w:p>
        </w:tc>
        <w:tc>
          <w:tcPr>
            <w:tcW w:w="1460" w:type="dxa"/>
            <w:tcBorders>
              <w:right w:val="single" w:sz="12" w:space="0" w:color="auto"/>
            </w:tcBorders>
            <w:shd w:val="clear" w:color="auto" w:fill="auto"/>
            <w:tcMar>
              <w:left w:w="28" w:type="dxa"/>
              <w:right w:w="28" w:type="dxa"/>
            </w:tcMar>
          </w:tcPr>
          <w:p w14:paraId="3FC380BD"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rs=0.40, p=0.600</w:t>
            </w:r>
          </w:p>
        </w:tc>
        <w:tc>
          <w:tcPr>
            <w:tcW w:w="1659" w:type="dxa"/>
            <w:tcBorders>
              <w:left w:val="single" w:sz="12" w:space="0" w:color="auto"/>
            </w:tcBorders>
            <w:shd w:val="clear" w:color="auto" w:fill="auto"/>
            <w:tcMar>
              <w:left w:w="28" w:type="dxa"/>
              <w:right w:w="28" w:type="dxa"/>
            </w:tcMar>
          </w:tcPr>
          <w:p w14:paraId="4A2E9BA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559" w:type="dxa"/>
            <w:shd w:val="clear" w:color="auto" w:fill="auto"/>
            <w:tcMar>
              <w:left w:w="28" w:type="dxa"/>
              <w:right w:w="28" w:type="dxa"/>
            </w:tcMar>
          </w:tcPr>
          <w:p w14:paraId="7915B944"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1072" w:type="dxa"/>
            <w:tcBorders>
              <w:right w:val="single" w:sz="12" w:space="0" w:color="auto"/>
            </w:tcBorders>
            <w:shd w:val="clear" w:color="auto" w:fill="auto"/>
            <w:tcMar>
              <w:left w:w="28" w:type="dxa"/>
              <w:right w:w="28" w:type="dxa"/>
            </w:tcMar>
          </w:tcPr>
          <w:p w14:paraId="51716BF9"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 </w:t>
            </w:r>
          </w:p>
        </w:tc>
        <w:tc>
          <w:tcPr>
            <w:tcW w:w="546" w:type="dxa"/>
            <w:tcBorders>
              <w:left w:val="single" w:sz="12" w:space="0" w:color="auto"/>
              <w:right w:val="single" w:sz="12" w:space="0" w:color="auto"/>
            </w:tcBorders>
            <w:shd w:val="clear" w:color="auto" w:fill="auto"/>
            <w:tcMar>
              <w:left w:w="28" w:type="dxa"/>
              <w:right w:w="28" w:type="dxa"/>
            </w:tcMar>
          </w:tcPr>
          <w:p w14:paraId="07481C7B"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NR</w:t>
            </w:r>
          </w:p>
        </w:tc>
        <w:tc>
          <w:tcPr>
            <w:tcW w:w="798" w:type="dxa"/>
            <w:tcBorders>
              <w:left w:val="single" w:sz="12" w:space="0" w:color="auto"/>
            </w:tcBorders>
            <w:shd w:val="clear" w:color="auto" w:fill="auto"/>
            <w:tcMar>
              <w:left w:w="28" w:type="dxa"/>
              <w:right w:w="28" w:type="dxa"/>
            </w:tcMar>
          </w:tcPr>
          <w:p w14:paraId="7479592C"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Low</w:t>
            </w:r>
          </w:p>
        </w:tc>
        <w:tc>
          <w:tcPr>
            <w:tcW w:w="644" w:type="dxa"/>
            <w:shd w:val="clear" w:color="auto" w:fill="auto"/>
            <w:tcMar>
              <w:left w:w="28" w:type="dxa"/>
              <w:right w:w="28" w:type="dxa"/>
            </w:tcMar>
          </w:tcPr>
          <w:p w14:paraId="6E5ED98E" w14:textId="77777777" w:rsidR="002E26FD" w:rsidRPr="002D1DD7" w:rsidRDefault="002E26FD" w:rsidP="003117A9">
            <w:pPr>
              <w:spacing w:before="0" w:after="0" w:line="240" w:lineRule="auto"/>
              <w:rPr>
                <w:rFonts w:eastAsia="Times New Roman" w:cs="Times New Roman"/>
                <w:color w:val="000000"/>
                <w:sz w:val="18"/>
                <w:szCs w:val="18"/>
                <w:lang w:eastAsia="zh-CN"/>
              </w:rPr>
            </w:pPr>
            <w:r w:rsidRPr="002D1DD7">
              <w:rPr>
                <w:rFonts w:eastAsia="Times New Roman" w:cs="Times New Roman"/>
                <w:color w:val="000000"/>
                <w:sz w:val="18"/>
                <w:szCs w:val="18"/>
                <w:lang w:eastAsia="zh-CN"/>
              </w:rPr>
              <w:t>NE</w:t>
            </w:r>
          </w:p>
        </w:tc>
      </w:tr>
      <w:tr w:rsidR="002E26FD" w:rsidRPr="002D1DD7" w14:paraId="1951789B" w14:textId="77777777" w:rsidTr="003117A9">
        <w:trPr>
          <w:cantSplit/>
        </w:trPr>
        <w:tc>
          <w:tcPr>
            <w:tcW w:w="15525" w:type="dxa"/>
            <w:gridSpan w:val="16"/>
            <w:shd w:val="clear" w:color="auto" w:fill="auto"/>
            <w:tcMar>
              <w:left w:w="28" w:type="dxa"/>
              <w:right w:w="28" w:type="dxa"/>
            </w:tcMar>
          </w:tcPr>
          <w:p w14:paraId="1E3BB828" w14:textId="77777777" w:rsidR="002E26FD" w:rsidRPr="002D1DD7" w:rsidRDefault="002E26FD" w:rsidP="003117A9">
            <w:pPr>
              <w:spacing w:before="0" w:after="0" w:line="240" w:lineRule="auto"/>
              <w:rPr>
                <w:rFonts w:eastAsia="DengXian" w:cs="Times New Roman"/>
                <w:sz w:val="18"/>
                <w:szCs w:val="18"/>
                <w:lang w:eastAsia="zh-CN"/>
              </w:rPr>
            </w:pPr>
            <w:r w:rsidRPr="002D1DD7">
              <w:rPr>
                <w:rFonts w:eastAsia="DengXian" w:cs="Times New Roman"/>
                <w:sz w:val="18"/>
                <w:szCs w:val="18"/>
                <w:lang w:eastAsia="zh-CN"/>
              </w:rPr>
              <w:t xml:space="preserve">*Calculated from reported data. </w:t>
            </w:r>
            <w:r w:rsidRPr="002D1DD7">
              <w:rPr>
                <w:rFonts w:eastAsia="Times New Roman" w:cs="Times New Roman"/>
                <w:color w:val="000000"/>
                <w:sz w:val="18"/>
                <w:szCs w:val="18"/>
                <w:vertAlign w:val="superscript"/>
                <w:lang w:eastAsia="zh-CN"/>
              </w:rPr>
              <w:t>†</w:t>
            </w:r>
            <w:r w:rsidRPr="002D1DD7">
              <w:rPr>
                <w:rFonts w:eastAsia="DengXian" w:cs="Times New Roman"/>
                <w:sz w:val="18"/>
                <w:szCs w:val="18"/>
                <w:lang w:eastAsia="zh-CN"/>
              </w:rPr>
              <w:t>Unclear for individual subgroups.</w:t>
            </w:r>
          </w:p>
          <w:p w14:paraId="7414922C" w14:textId="77777777" w:rsidR="002E26FD" w:rsidRPr="002D1DD7" w:rsidRDefault="002E26FD" w:rsidP="003117A9">
            <w:pPr>
              <w:spacing w:before="0" w:after="0" w:line="240" w:lineRule="auto"/>
              <w:rPr>
                <w:rFonts w:eastAsia="DengXian" w:cs="Times New Roman"/>
                <w:sz w:val="18"/>
                <w:szCs w:val="18"/>
                <w:lang w:eastAsia="zh-CN"/>
              </w:rPr>
            </w:pPr>
          </w:p>
          <w:p w14:paraId="5438924D" w14:textId="77777777" w:rsidR="002E26FD" w:rsidRPr="002D1DD7" w:rsidRDefault="002E26FD" w:rsidP="003117A9">
            <w:pPr>
              <w:spacing w:before="0" w:after="0" w:line="240" w:lineRule="auto"/>
              <w:rPr>
                <w:rFonts w:eastAsia="DengXian" w:cs="Times New Roman"/>
                <w:sz w:val="18"/>
                <w:szCs w:val="18"/>
                <w:lang w:eastAsia="zh-CN"/>
              </w:rPr>
            </w:pPr>
            <w:r w:rsidRPr="002D1DD7">
              <w:rPr>
                <w:rFonts w:eastAsia="DengXian" w:cs="Times New Roman"/>
                <w:sz w:val="18"/>
                <w:szCs w:val="18"/>
                <w:lang w:eastAsia="zh-CN"/>
              </w:rPr>
              <w:t xml:space="preserve">adj, adjusted; BSES2, Biomarker-Surrogate Evaluation Schema criteria 2; chemo, chemotherapy; CI, confidence interval; CR, complete response; diff, difference;; DoR, duration of response; FO, final outcome; HR, hazard ratio; IQWiG, Institute of Quality and Efficiency in Health Care; ln, natural logarithm; log, logarithm; LR, linear regression; med, median; mo, months; NE, not estimable; NHL, non-Hodgkin’s lymphoma; NR, not reported; NSCLC, non-small cell lung cancer; OR, odds ratio; </w:t>
            </w:r>
            <w:r>
              <w:rPr>
                <w:rFonts w:eastAsia="DengXian" w:cs="Times New Roman"/>
                <w:sz w:val="18"/>
                <w:szCs w:val="18"/>
                <w:lang w:eastAsia="zh-CN"/>
              </w:rPr>
              <w:t>O</w:t>
            </w:r>
            <w:r w:rsidRPr="002D1DD7">
              <w:rPr>
                <w:rFonts w:eastAsia="DengXian" w:cs="Times New Roman"/>
                <w:sz w:val="18"/>
                <w:szCs w:val="18"/>
                <w:lang w:eastAsia="zh-CN"/>
              </w:rPr>
              <w:t xml:space="preserve">RR, </w:t>
            </w:r>
            <w:r>
              <w:rPr>
                <w:rFonts w:eastAsia="DengXian" w:cs="Times New Roman"/>
                <w:sz w:val="18"/>
                <w:szCs w:val="18"/>
                <w:lang w:eastAsia="zh-CN"/>
              </w:rPr>
              <w:t xml:space="preserve">overall </w:t>
            </w:r>
            <w:r w:rsidRPr="002D1DD7">
              <w:rPr>
                <w:rFonts w:eastAsia="DengXian" w:cs="Times New Roman"/>
                <w:sz w:val="18"/>
                <w:szCs w:val="18"/>
                <w:lang w:eastAsia="zh-CN"/>
              </w:rPr>
              <w:t>response rate (</w:t>
            </w:r>
            <w:r>
              <w:rPr>
                <w:rFonts w:eastAsia="DengXian" w:cs="Times New Roman"/>
                <w:sz w:val="18"/>
                <w:szCs w:val="18"/>
                <w:lang w:eastAsia="zh-CN"/>
              </w:rPr>
              <w:t>O</w:t>
            </w:r>
            <w:r w:rsidRPr="002D1DD7">
              <w:rPr>
                <w:rFonts w:eastAsia="DengXian" w:cs="Times New Roman"/>
                <w:sz w:val="18"/>
                <w:szCs w:val="18"/>
                <w:lang w:eastAsia="zh-CN"/>
              </w:rPr>
              <w:t>RR=PR+CR); OS, overall survival; PFS, progression-free survival; r, Pearson correlation; R2, regression coefficient of determination; rs, Spearman rank correlation; rr, relative risk; SCLC, small cell lung cancer; SO, surrogate outcome; STE, surrogate threshold effect; unwtd, unweighted; wtd, weighted; WLR, weighted linear regression; WLSR, weighted least squares regression.</w:t>
            </w:r>
          </w:p>
        </w:tc>
      </w:tr>
    </w:tbl>
    <w:p w14:paraId="72760E56" w14:textId="50F677F7" w:rsidR="00057280" w:rsidRDefault="00057280" w:rsidP="00057280">
      <w:pPr>
        <w:spacing w:before="0" w:after="160" w:line="259" w:lineRule="auto"/>
        <w:jc w:val="both"/>
        <w:rPr>
          <w:rFonts w:eastAsia="Times New Roman" w:cs="Times New Roman"/>
          <w:color w:val="000000"/>
          <w:lang w:eastAsia="en-GB"/>
        </w:rPr>
      </w:pPr>
    </w:p>
    <w:p w14:paraId="1A651D38" w14:textId="188F43D1" w:rsidR="002E26FD" w:rsidRDefault="002E26FD" w:rsidP="00057280">
      <w:pPr>
        <w:spacing w:before="0" w:after="160" w:line="259" w:lineRule="auto"/>
        <w:jc w:val="both"/>
        <w:rPr>
          <w:rFonts w:eastAsia="Times New Roman" w:cs="Times New Roman"/>
          <w:color w:val="000000"/>
          <w:lang w:eastAsia="en-GB"/>
        </w:rPr>
      </w:pPr>
    </w:p>
    <w:p w14:paraId="4B297487" w14:textId="77777777" w:rsidR="002E26FD" w:rsidRPr="002D1DD7" w:rsidRDefault="002E26FD" w:rsidP="00057280">
      <w:pPr>
        <w:spacing w:before="0" w:after="160" w:line="259" w:lineRule="auto"/>
        <w:jc w:val="both"/>
        <w:rPr>
          <w:rFonts w:eastAsia="Times New Roman" w:cs="Times New Roman"/>
          <w:color w:val="000000"/>
          <w:lang w:eastAsia="en-GB"/>
        </w:rPr>
      </w:pPr>
    </w:p>
    <w:p w14:paraId="3610E4C4" w14:textId="77777777" w:rsidR="00057280" w:rsidRPr="002D1DD7" w:rsidRDefault="00057280" w:rsidP="00057280">
      <w:pPr>
        <w:spacing w:before="0" w:after="160" w:line="259" w:lineRule="auto"/>
        <w:jc w:val="both"/>
        <w:rPr>
          <w:rFonts w:eastAsia="Times New Roman" w:cs="Times New Roman"/>
          <w:color w:val="000000"/>
          <w:lang w:eastAsia="en-GB"/>
        </w:rPr>
        <w:sectPr w:rsidR="00057280" w:rsidRPr="002D1DD7" w:rsidSect="000514C7">
          <w:pgSz w:w="16838" w:h="11906" w:orient="landscape"/>
          <w:pgMar w:top="1440" w:right="1440" w:bottom="1440" w:left="1440" w:header="708" w:footer="708" w:gutter="0"/>
          <w:cols w:space="708"/>
          <w:docGrid w:linePitch="360"/>
        </w:sectPr>
      </w:pPr>
    </w:p>
    <w:p w14:paraId="4124FFDB" w14:textId="3FDF39F4" w:rsidR="00057280" w:rsidRPr="002D1DD7" w:rsidRDefault="00424CC3" w:rsidP="00EC11CD">
      <w:pPr>
        <w:pStyle w:val="NonnumberedH2"/>
      </w:pPr>
      <w:bookmarkStart w:id="298" w:name="_Toc13832969"/>
      <w:bookmarkStart w:id="299" w:name="_Toc33776257"/>
      <w:r w:rsidRPr="002D1DD7">
        <w:t>Appendix 7</w:t>
      </w:r>
      <w:r w:rsidR="00057280" w:rsidRPr="002D1DD7">
        <w:t>: Studies excluded at full-text screening</w:t>
      </w:r>
      <w:bookmarkEnd w:id="298"/>
      <w:r w:rsidR="00057280" w:rsidRPr="002D1DD7">
        <w:t xml:space="preserve"> (n=135)</w:t>
      </w:r>
      <w:bookmarkEnd w:id="299"/>
    </w:p>
    <w:p w14:paraId="3CF7DB7A" w14:textId="77777777" w:rsidR="00C9471F" w:rsidRDefault="00C9471F" w:rsidP="00C9471F">
      <w:pPr>
        <w:rPr>
          <w:b/>
          <w:bCs/>
          <w:lang w:eastAsia="zh-CN"/>
        </w:rPr>
      </w:pPr>
      <w:bookmarkStart w:id="300" w:name="_Toc33198793"/>
      <w:bookmarkStart w:id="301" w:name="_Toc33695105"/>
      <w:bookmarkStart w:id="302" w:name="_Toc33696067"/>
      <w:bookmarkStart w:id="303" w:name="_Toc33696965"/>
    </w:p>
    <w:p w14:paraId="4378476E" w14:textId="0349B02A" w:rsidR="00057280" w:rsidRPr="00C9471F" w:rsidRDefault="00057280" w:rsidP="00C9471F">
      <w:pPr>
        <w:rPr>
          <w:b/>
          <w:bCs/>
          <w:lang w:eastAsia="zh-CN"/>
        </w:rPr>
      </w:pPr>
      <w:r w:rsidRPr="00C9471F">
        <w:rPr>
          <w:b/>
          <w:bCs/>
          <w:lang w:eastAsia="zh-CN"/>
        </w:rPr>
        <w:t>Not clinical study (n=4)</w:t>
      </w:r>
      <w:bookmarkEnd w:id="300"/>
      <w:bookmarkEnd w:id="301"/>
      <w:bookmarkEnd w:id="302"/>
      <w:bookmarkEnd w:id="303"/>
    </w:p>
    <w:p w14:paraId="78591CC0" w14:textId="77777777" w:rsidR="00057280" w:rsidRPr="00D6492A" w:rsidRDefault="00057280" w:rsidP="00057280">
      <w:pPr>
        <w:spacing w:before="0" w:after="120" w:line="240" w:lineRule="auto"/>
        <w:ind w:left="425" w:hanging="425"/>
        <w:jc w:val="both"/>
        <w:rPr>
          <w:rFonts w:eastAsia="DengXian" w:cs="Times New Roman"/>
          <w:sz w:val="20"/>
          <w:szCs w:val="20"/>
          <w:lang w:val="it-IT" w:eastAsia="zh-CN"/>
        </w:rPr>
      </w:pPr>
      <w:r w:rsidRPr="002D1DD7">
        <w:rPr>
          <w:rFonts w:eastAsia="DengXian" w:cs="Times New Roman"/>
          <w:sz w:val="20"/>
          <w:szCs w:val="20"/>
          <w:lang w:eastAsia="zh-CN"/>
        </w:rPr>
        <w:t>1.</w:t>
      </w:r>
      <w:r w:rsidRPr="002D1DD7">
        <w:rPr>
          <w:rFonts w:eastAsia="DengXian" w:cs="Times New Roman"/>
          <w:sz w:val="20"/>
          <w:szCs w:val="20"/>
          <w:lang w:eastAsia="zh-CN"/>
        </w:rPr>
        <w:tab/>
        <w:t xml:space="preserve">Ascierto PA, Long GV. Progression-free survival landmark analysis: a critical endpoint in melanoma clinical trials. </w:t>
      </w:r>
      <w:r w:rsidRPr="00D6492A">
        <w:rPr>
          <w:rFonts w:eastAsia="DengXian" w:cs="Times New Roman"/>
          <w:sz w:val="20"/>
          <w:szCs w:val="20"/>
          <w:lang w:val="it-IT" w:eastAsia="zh-CN"/>
        </w:rPr>
        <w:t>Lancet Oncology 2016;17:1037-9.</w:t>
      </w:r>
    </w:p>
    <w:p w14:paraId="0DB0F122"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D6492A">
        <w:rPr>
          <w:rFonts w:eastAsia="DengXian" w:cs="Times New Roman"/>
          <w:sz w:val="20"/>
          <w:szCs w:val="20"/>
          <w:lang w:val="it-IT" w:eastAsia="zh-CN"/>
        </w:rPr>
        <w:t>2.</w:t>
      </w:r>
      <w:r w:rsidRPr="00D6492A">
        <w:rPr>
          <w:rFonts w:eastAsia="DengXian" w:cs="Times New Roman"/>
          <w:sz w:val="20"/>
          <w:szCs w:val="20"/>
          <w:lang w:val="it-IT" w:eastAsia="zh-CN"/>
        </w:rPr>
        <w:tab/>
        <w:t xml:space="preserve">Buyse M, Molenberghs G, Paoletti X, et al. </w:t>
      </w:r>
      <w:r w:rsidRPr="002D1DD7">
        <w:rPr>
          <w:rFonts w:eastAsia="DengXian" w:cs="Times New Roman"/>
          <w:sz w:val="20"/>
          <w:szCs w:val="20"/>
          <w:lang w:eastAsia="zh-CN"/>
        </w:rPr>
        <w:t>Statistical evaluation of surrogate endpoints with examples from cancer clinical trials. Biometrical Journal 2016;58:104-32.</w:t>
      </w:r>
    </w:p>
    <w:p w14:paraId="581F50BC"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w:t>
      </w:r>
      <w:r w:rsidRPr="002D1DD7">
        <w:rPr>
          <w:rFonts w:eastAsia="DengXian" w:cs="Times New Roman"/>
          <w:sz w:val="20"/>
          <w:szCs w:val="20"/>
          <w:lang w:eastAsia="zh-CN"/>
        </w:rPr>
        <w:tab/>
        <w:t>Estey E, Othus M, Lee SJ, Appelbaum FR, Gale RP. New drug approvals in acute myeloid leukemia: what's the best end point? Leukemia 2016;30:521-5.</w:t>
      </w:r>
    </w:p>
    <w:p w14:paraId="44691CA8"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4.</w:t>
      </w:r>
      <w:r w:rsidRPr="002D1DD7">
        <w:rPr>
          <w:rFonts w:eastAsia="DengXian" w:cs="Times New Roman"/>
          <w:sz w:val="20"/>
          <w:szCs w:val="20"/>
          <w:lang w:eastAsia="zh-CN"/>
        </w:rPr>
        <w:tab/>
        <w:t>Xia Y, Cui L, Yang B. A note on breast cancer trials with pCR-based accelerated approval. Journal of Biopharmaceutical Statistics 2014;24:1102-14.</w:t>
      </w:r>
    </w:p>
    <w:p w14:paraId="4EB9C1D7" w14:textId="77777777" w:rsidR="00057280" w:rsidRPr="00C9471F" w:rsidRDefault="00057280" w:rsidP="00C9471F">
      <w:pPr>
        <w:rPr>
          <w:b/>
          <w:bCs/>
          <w:lang w:eastAsia="zh-CN"/>
        </w:rPr>
      </w:pPr>
      <w:bookmarkStart w:id="304" w:name="_Toc33198794"/>
      <w:bookmarkStart w:id="305" w:name="_Toc33695106"/>
      <w:bookmarkStart w:id="306" w:name="_Toc33696068"/>
      <w:bookmarkStart w:id="307" w:name="_Toc33696966"/>
      <w:r w:rsidRPr="00C9471F">
        <w:rPr>
          <w:b/>
          <w:bCs/>
          <w:lang w:eastAsia="zh-CN"/>
        </w:rPr>
        <w:t>Not meta-analysis of multiple studies (n=28)</w:t>
      </w:r>
      <w:bookmarkEnd w:id="304"/>
      <w:bookmarkEnd w:id="305"/>
      <w:bookmarkEnd w:id="306"/>
      <w:bookmarkEnd w:id="307"/>
    </w:p>
    <w:p w14:paraId="474E43ED"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D6492A">
        <w:rPr>
          <w:rFonts w:eastAsia="DengXian" w:cs="Times New Roman"/>
          <w:sz w:val="20"/>
          <w:szCs w:val="20"/>
          <w:lang w:val="fr-FR" w:eastAsia="zh-CN"/>
        </w:rPr>
        <w:t>5.</w:t>
      </w:r>
      <w:r w:rsidRPr="00D6492A">
        <w:rPr>
          <w:rFonts w:eastAsia="DengXian" w:cs="Times New Roman"/>
          <w:sz w:val="20"/>
          <w:szCs w:val="20"/>
          <w:lang w:val="fr-FR" w:eastAsia="zh-CN"/>
        </w:rPr>
        <w:tab/>
        <w:t xml:space="preserve">Choi SI, Yu A, Kim BH, et al. </w:t>
      </w:r>
      <w:r w:rsidRPr="002D1DD7">
        <w:rPr>
          <w:rFonts w:eastAsia="DengXian" w:cs="Times New Roman"/>
          <w:sz w:val="20"/>
          <w:szCs w:val="20"/>
          <w:lang w:eastAsia="zh-CN"/>
        </w:rPr>
        <w:t>A model predicting survival of patients with recurrent or progressive hepatocellular carcinoma: the MORE score. Journal of Gastroenterology and Hepatology 2017;32:651-8.</w:t>
      </w:r>
    </w:p>
    <w:p w14:paraId="2090A760"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6.</w:t>
      </w:r>
      <w:r w:rsidRPr="002D1DD7">
        <w:rPr>
          <w:rFonts w:eastAsia="DengXian" w:cs="Times New Roman"/>
          <w:sz w:val="20"/>
          <w:szCs w:val="20"/>
          <w:lang w:eastAsia="zh-CN"/>
        </w:rPr>
        <w:tab/>
        <w:t>Fiteni F, Bonnetain F. Surrogate end points for overall survival in breast cancer trials: A review. Breast 2016;29:44-8.</w:t>
      </w:r>
    </w:p>
    <w:p w14:paraId="6871E444"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7.</w:t>
      </w:r>
      <w:r w:rsidRPr="002D1DD7">
        <w:rPr>
          <w:rFonts w:eastAsia="DengXian" w:cs="Times New Roman"/>
          <w:sz w:val="20"/>
          <w:szCs w:val="20"/>
          <w:lang w:eastAsia="zh-CN"/>
        </w:rPr>
        <w:tab/>
        <w:t>Fiteni F, Westeel V, Bonnetain F. Surrogate endpoints for overall survival in lung cancer trials: a review. Expert Review of Anticancer Therapy 2017;17:447-54.</w:t>
      </w:r>
    </w:p>
    <w:p w14:paraId="744EEF19" w14:textId="696E97EF"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8.</w:t>
      </w:r>
      <w:r w:rsidRPr="002D1DD7">
        <w:rPr>
          <w:rFonts w:eastAsia="DengXian" w:cs="Times New Roman"/>
          <w:sz w:val="20"/>
          <w:szCs w:val="20"/>
          <w:lang w:eastAsia="zh-CN"/>
        </w:rPr>
        <w:tab/>
        <w:t xml:space="preserve">Goorts B, van Nijnatten TJ, de Munck L, et al. Clinical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stage is the most important predictor of pathological complete response rate after neoadjuvant chemotherapy in breast cancer patients. Breast Cancer Research &amp; Treatment 2017;163:83-91.</w:t>
      </w:r>
    </w:p>
    <w:p w14:paraId="13378F97"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9.</w:t>
      </w:r>
      <w:r w:rsidRPr="002D1DD7">
        <w:rPr>
          <w:rFonts w:eastAsia="DengXian" w:cs="Times New Roman"/>
          <w:sz w:val="20"/>
          <w:szCs w:val="20"/>
          <w:lang w:eastAsia="zh-CN"/>
        </w:rPr>
        <w:tab/>
        <w:t>Liu L, Zhao Y, Jia J, et al. The Prognostic Value of Alpha-Fetoprotein Response for Advanced-Stage Hepatocellular Carcinoma Treated with Sorafenib Combined with Transarterial Chemoembolization. Scientific Reports 2016;6.</w:t>
      </w:r>
    </w:p>
    <w:p w14:paraId="558C50EC" w14:textId="4D7EE3FD" w:rsidR="00057280" w:rsidRPr="00D6492A" w:rsidRDefault="00057280" w:rsidP="00057280">
      <w:pPr>
        <w:spacing w:before="0" w:after="120" w:line="240" w:lineRule="auto"/>
        <w:ind w:left="425" w:hanging="425"/>
        <w:jc w:val="both"/>
        <w:rPr>
          <w:rFonts w:eastAsia="DengXian" w:cs="Times New Roman"/>
          <w:sz w:val="20"/>
          <w:szCs w:val="20"/>
          <w:lang w:val="de-DE" w:eastAsia="zh-CN"/>
        </w:rPr>
      </w:pPr>
      <w:r w:rsidRPr="002D1DD7">
        <w:rPr>
          <w:rFonts w:eastAsia="DengXian" w:cs="Times New Roman"/>
          <w:sz w:val="20"/>
          <w:szCs w:val="20"/>
          <w:lang w:eastAsia="zh-CN"/>
        </w:rPr>
        <w:t>10.</w:t>
      </w:r>
      <w:r w:rsidRPr="002D1DD7">
        <w:rPr>
          <w:rFonts w:eastAsia="DengXian" w:cs="Times New Roman"/>
          <w:sz w:val="20"/>
          <w:szCs w:val="20"/>
          <w:lang w:eastAsia="zh-CN"/>
        </w:rPr>
        <w:tab/>
        <w:t xml:space="preserve">Long J, Zheng JS, Sun B, Lu NN. Microwave ablation of hepatocellular carcinoma with portal vein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thrombosis after transarterial chemoembolization: a prospective study. </w:t>
      </w:r>
      <w:r w:rsidRPr="00D6492A">
        <w:rPr>
          <w:rFonts w:eastAsia="DengXian" w:cs="Times New Roman"/>
          <w:sz w:val="20"/>
          <w:szCs w:val="20"/>
          <w:lang w:val="de-DE" w:eastAsia="zh-CN"/>
        </w:rPr>
        <w:t>Hepatology International 2016;10:175-84.</w:t>
      </w:r>
    </w:p>
    <w:p w14:paraId="03094900" w14:textId="77777777" w:rsidR="00057280" w:rsidRPr="00D6492A" w:rsidRDefault="00057280" w:rsidP="00057280">
      <w:pPr>
        <w:spacing w:before="0" w:after="120" w:line="240" w:lineRule="auto"/>
        <w:ind w:left="425" w:hanging="425"/>
        <w:jc w:val="both"/>
        <w:rPr>
          <w:rFonts w:eastAsia="DengXian" w:cs="Times New Roman"/>
          <w:sz w:val="20"/>
          <w:szCs w:val="20"/>
          <w:lang w:val="fr-FR" w:eastAsia="zh-CN"/>
        </w:rPr>
      </w:pPr>
      <w:r w:rsidRPr="00D6492A">
        <w:rPr>
          <w:rFonts w:eastAsia="DengXian" w:cs="Times New Roman"/>
          <w:sz w:val="20"/>
          <w:szCs w:val="20"/>
          <w:lang w:val="de-DE" w:eastAsia="zh-CN"/>
        </w:rPr>
        <w:t>11.</w:t>
      </w:r>
      <w:r w:rsidRPr="00D6492A">
        <w:rPr>
          <w:rFonts w:eastAsia="DengXian" w:cs="Times New Roman"/>
          <w:sz w:val="20"/>
          <w:szCs w:val="20"/>
          <w:lang w:val="de-DE" w:eastAsia="zh-CN"/>
        </w:rPr>
        <w:tab/>
        <w:t xml:space="preserve">Mahringer-Kunz A, Weinmann A, Schmidtmann I, et al. </w:t>
      </w:r>
      <w:r w:rsidRPr="002D1DD7">
        <w:rPr>
          <w:rFonts w:eastAsia="DengXian" w:cs="Times New Roman"/>
          <w:sz w:val="20"/>
          <w:szCs w:val="20"/>
          <w:lang w:eastAsia="zh-CN"/>
        </w:rPr>
        <w:t xml:space="preserve">Validation of the SNACOR clinical scoring system after transarterial chemoembolisation in patients with hepatocellular carcinoma. </w:t>
      </w:r>
      <w:r w:rsidRPr="00D6492A">
        <w:rPr>
          <w:rFonts w:eastAsia="DengXian" w:cs="Times New Roman"/>
          <w:sz w:val="20"/>
          <w:szCs w:val="20"/>
          <w:lang w:val="fr-FR" w:eastAsia="zh-CN"/>
        </w:rPr>
        <w:t>Bmc Cancer 2018;18.</w:t>
      </w:r>
    </w:p>
    <w:p w14:paraId="1642419F" w14:textId="66F4DE3E"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D6492A">
        <w:rPr>
          <w:rFonts w:eastAsia="DengXian" w:cs="Times New Roman"/>
          <w:sz w:val="20"/>
          <w:szCs w:val="20"/>
          <w:lang w:val="fr-FR" w:eastAsia="zh-CN"/>
        </w:rPr>
        <w:t>12.</w:t>
      </w:r>
      <w:r w:rsidRPr="00D6492A">
        <w:rPr>
          <w:rFonts w:eastAsia="DengXian" w:cs="Times New Roman"/>
          <w:sz w:val="20"/>
          <w:szCs w:val="20"/>
          <w:lang w:val="fr-FR" w:eastAsia="zh-CN"/>
        </w:rPr>
        <w:tab/>
        <w:t xml:space="preserve">Matsubara Y, Sakabayashi S, Nishimura T, et al. </w:t>
      </w:r>
      <w:r w:rsidRPr="002D1DD7">
        <w:rPr>
          <w:rFonts w:eastAsia="DengXian" w:cs="Times New Roman"/>
          <w:sz w:val="20"/>
          <w:szCs w:val="20"/>
          <w:lang w:eastAsia="zh-CN"/>
        </w:rPr>
        <w:t xml:space="preserve">Surrogacy of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response and progression-free survival for overall survival in metastatic breast cancer resistant to both anthracyclines and taxanes. International Journal of Clinical Oncology 2011;16:623-9.</w:t>
      </w:r>
    </w:p>
    <w:p w14:paraId="06DC2238"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13.</w:t>
      </w:r>
      <w:r w:rsidRPr="002D1DD7">
        <w:rPr>
          <w:rFonts w:eastAsia="DengXian" w:cs="Times New Roman"/>
          <w:sz w:val="20"/>
          <w:szCs w:val="20"/>
          <w:lang w:eastAsia="zh-CN"/>
        </w:rPr>
        <w:tab/>
        <w:t>Mauguen A, Michiels S, Rondeau V. Joint model imputation to estimate the treatment effect on long-term survival using auxiliary events. Journal of Biopharmaceutical Statistics 2017;27:1043-53.</w:t>
      </w:r>
    </w:p>
    <w:p w14:paraId="46198454" w14:textId="7D46F0B4"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14.</w:t>
      </w:r>
      <w:r w:rsidRPr="002D1DD7">
        <w:rPr>
          <w:rFonts w:eastAsia="DengXian" w:cs="Times New Roman"/>
          <w:sz w:val="20"/>
          <w:szCs w:val="20"/>
          <w:lang w:eastAsia="zh-CN"/>
        </w:rPr>
        <w:tab/>
        <w:t xml:space="preserve">Meyer M, Hohenberger P, Apfaltrer P, et al. CT-based response assessment of advanced gastrointestinal stromal </w:t>
      </w:r>
      <w:r w:rsidR="00787BBC" w:rsidRPr="002D1DD7">
        <w:rPr>
          <w:rFonts w:eastAsia="DengXian" w:cs="Times New Roman"/>
          <w:sz w:val="20"/>
          <w:szCs w:val="20"/>
          <w:lang w:eastAsia="zh-CN"/>
        </w:rPr>
        <w:t>tumour</w:t>
      </w:r>
      <w:r w:rsidRPr="002D1DD7">
        <w:rPr>
          <w:rFonts w:eastAsia="DengXian" w:cs="Times New Roman"/>
          <w:sz w:val="20"/>
          <w:szCs w:val="20"/>
          <w:lang w:eastAsia="zh-CN"/>
        </w:rPr>
        <w:t>: dual energy CT provides a more predictive imaging biomarker of clinical benefit than RECIST or Choi criteria. European Journal of Radiology 2013;82:923-8.</w:t>
      </w:r>
    </w:p>
    <w:p w14:paraId="5BF65704" w14:textId="302044F8" w:rsidR="00057280" w:rsidRPr="00D6492A" w:rsidRDefault="00057280" w:rsidP="00057280">
      <w:pPr>
        <w:spacing w:before="0" w:after="120" w:line="240" w:lineRule="auto"/>
        <w:ind w:left="425" w:hanging="425"/>
        <w:jc w:val="both"/>
        <w:rPr>
          <w:rFonts w:eastAsia="DengXian" w:cs="Times New Roman"/>
          <w:sz w:val="20"/>
          <w:szCs w:val="20"/>
          <w:lang w:val="it-IT" w:eastAsia="zh-CN"/>
        </w:rPr>
      </w:pPr>
      <w:r w:rsidRPr="002D1DD7">
        <w:rPr>
          <w:rFonts w:eastAsia="DengXian" w:cs="Times New Roman"/>
          <w:sz w:val="20"/>
          <w:szCs w:val="20"/>
          <w:lang w:eastAsia="zh-CN"/>
        </w:rPr>
        <w:t>15.</w:t>
      </w:r>
      <w:r w:rsidRPr="002D1DD7">
        <w:rPr>
          <w:rFonts w:eastAsia="DengXian" w:cs="Times New Roman"/>
          <w:sz w:val="20"/>
          <w:szCs w:val="20"/>
          <w:lang w:eastAsia="zh-CN"/>
        </w:rPr>
        <w:tab/>
        <w:t xml:space="preserve">Michl M, Stintzing S, von Weikersthal LF, et al. CEA response is associated with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response and survival in patients with KRAS exon 2 wild-type and extended RAS wild-type metastatic colorectal cancer receiving first-line FOLFIRI plus cetuximab or bevacizumab (FIRE-3 trial)(aEuro). </w:t>
      </w:r>
      <w:r w:rsidRPr="00D6492A">
        <w:rPr>
          <w:rFonts w:eastAsia="DengXian" w:cs="Times New Roman"/>
          <w:sz w:val="20"/>
          <w:szCs w:val="20"/>
          <w:lang w:val="it-IT" w:eastAsia="zh-CN"/>
        </w:rPr>
        <w:t>Annals of Oncology 2016;27:1565-72.</w:t>
      </w:r>
    </w:p>
    <w:p w14:paraId="14751FC1"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D6492A">
        <w:rPr>
          <w:rFonts w:eastAsia="DengXian" w:cs="Times New Roman"/>
          <w:sz w:val="20"/>
          <w:szCs w:val="20"/>
          <w:lang w:val="it-IT" w:eastAsia="zh-CN"/>
        </w:rPr>
        <w:t>16.</w:t>
      </w:r>
      <w:r w:rsidRPr="00D6492A">
        <w:rPr>
          <w:rFonts w:eastAsia="DengXian" w:cs="Times New Roman"/>
          <w:sz w:val="20"/>
          <w:szCs w:val="20"/>
          <w:lang w:val="it-IT" w:eastAsia="zh-CN"/>
        </w:rPr>
        <w:tab/>
        <w:t xml:space="preserve">Mosconi C, Gramenzi A, Ascanio S, et al. </w:t>
      </w:r>
      <w:r w:rsidRPr="002D1DD7">
        <w:rPr>
          <w:rFonts w:eastAsia="DengXian" w:cs="Times New Roman"/>
          <w:sz w:val="20"/>
          <w:szCs w:val="20"/>
          <w:lang w:eastAsia="zh-CN"/>
        </w:rPr>
        <w:t>Yttrium-90 radioembolization for unresectable/recurrent intrahepatic cholangiocarcinoma: a survival, efficacy and safety study. British Journal of Cancer 2016;115:297-302.</w:t>
      </w:r>
    </w:p>
    <w:p w14:paraId="6C4FE6C8"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17.</w:t>
      </w:r>
      <w:r w:rsidRPr="002D1DD7">
        <w:rPr>
          <w:rFonts w:eastAsia="DengXian" w:cs="Times New Roman"/>
          <w:sz w:val="20"/>
          <w:szCs w:val="20"/>
          <w:lang w:eastAsia="zh-CN"/>
        </w:rPr>
        <w:tab/>
        <w:t>Motzer RJ, Bukowski RM, Figlin RA, et al. Prognostic nomogram for sunitinib in patients with metastatic renal cell carcinoma. Cancer 2008;113:1552-8.</w:t>
      </w:r>
    </w:p>
    <w:p w14:paraId="50558549"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18.</w:t>
      </w:r>
      <w:r w:rsidRPr="002D1DD7">
        <w:rPr>
          <w:rFonts w:eastAsia="DengXian" w:cs="Times New Roman"/>
          <w:sz w:val="20"/>
          <w:szCs w:val="20"/>
          <w:lang w:eastAsia="zh-CN"/>
        </w:rPr>
        <w:tab/>
        <w:t>Nault JC, Nkontchou G, Nahon P, et al. Percutaneous Treatment of Localized Infiltrative Hepatocellular Carcinoma Developing on Cirrhosis. Annals of Surgical Oncology 2016;23:1906-15.</w:t>
      </w:r>
    </w:p>
    <w:p w14:paraId="7BE71A75"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19.</w:t>
      </w:r>
      <w:r w:rsidRPr="002D1DD7">
        <w:rPr>
          <w:rFonts w:eastAsia="DengXian" w:cs="Times New Roman"/>
          <w:sz w:val="20"/>
          <w:szCs w:val="20"/>
          <w:lang w:eastAsia="zh-CN"/>
        </w:rPr>
        <w:tab/>
        <w:t>Negrier S, Bushmakin AG, Cappelleri JC, et al. Assessment of progression-free survival as a surrogate end-point for overall survival in patients with metastatic renal cell carcinoma. European Journal of Cancer 2014;50:1766-71.</w:t>
      </w:r>
    </w:p>
    <w:p w14:paraId="6BEEEBA5"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20.</w:t>
      </w:r>
      <w:r w:rsidRPr="002D1DD7">
        <w:rPr>
          <w:rFonts w:eastAsia="DengXian" w:cs="Times New Roman"/>
          <w:sz w:val="20"/>
          <w:szCs w:val="20"/>
          <w:lang w:eastAsia="zh-CN"/>
        </w:rPr>
        <w:tab/>
        <w:t>Ogasawara S, Chiba T, Ooka Y, et al. Analysis of Sorafenib Outcome: Focusing on the Clinical Course in Patients with Hepatocellular Carcinoma. Plos One 2016;11.</w:t>
      </w:r>
    </w:p>
    <w:p w14:paraId="47D2FD92" w14:textId="77777777" w:rsidR="00057280" w:rsidRPr="00D6492A" w:rsidRDefault="00057280" w:rsidP="00057280">
      <w:pPr>
        <w:spacing w:before="0" w:after="120" w:line="240" w:lineRule="auto"/>
        <w:ind w:left="425" w:hanging="425"/>
        <w:jc w:val="both"/>
        <w:rPr>
          <w:rFonts w:eastAsia="DengXian" w:cs="Times New Roman"/>
          <w:sz w:val="20"/>
          <w:szCs w:val="20"/>
          <w:lang w:val="it-IT" w:eastAsia="zh-CN"/>
        </w:rPr>
      </w:pPr>
      <w:r w:rsidRPr="002D1DD7">
        <w:rPr>
          <w:rFonts w:eastAsia="DengXian" w:cs="Times New Roman"/>
          <w:sz w:val="20"/>
          <w:szCs w:val="20"/>
          <w:lang w:eastAsia="zh-CN"/>
        </w:rPr>
        <w:t>21.</w:t>
      </w:r>
      <w:r w:rsidRPr="002D1DD7">
        <w:rPr>
          <w:rFonts w:eastAsia="DengXian" w:cs="Times New Roman"/>
          <w:sz w:val="20"/>
          <w:szCs w:val="20"/>
          <w:lang w:eastAsia="zh-CN"/>
        </w:rPr>
        <w:tab/>
        <w:t xml:space="preserve">Park S, Kim HJ, Choi CM, et al. Predictive factors for a long-term response duration in non-squamous cell lung cancer patients treated with pemetrexed. </w:t>
      </w:r>
      <w:r w:rsidRPr="00D6492A">
        <w:rPr>
          <w:rFonts w:eastAsia="DengXian" w:cs="Times New Roman"/>
          <w:sz w:val="20"/>
          <w:szCs w:val="20"/>
          <w:lang w:val="it-IT" w:eastAsia="zh-CN"/>
        </w:rPr>
        <w:t>Bmc Cancer 2016;16.</w:t>
      </w:r>
    </w:p>
    <w:p w14:paraId="0456A1C9"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D6492A">
        <w:rPr>
          <w:rFonts w:eastAsia="DengXian" w:cs="Times New Roman"/>
          <w:sz w:val="20"/>
          <w:szCs w:val="20"/>
          <w:lang w:val="it-IT" w:eastAsia="zh-CN"/>
        </w:rPr>
        <w:t>22.</w:t>
      </w:r>
      <w:r w:rsidRPr="00D6492A">
        <w:rPr>
          <w:rFonts w:eastAsia="DengXian" w:cs="Times New Roman"/>
          <w:sz w:val="20"/>
          <w:szCs w:val="20"/>
          <w:lang w:val="it-IT" w:eastAsia="zh-CN"/>
        </w:rPr>
        <w:tab/>
        <w:t xml:space="preserve">Plano Sánchez AI, Velasco Roces L, Zapico García I, et al. </w:t>
      </w:r>
      <w:r w:rsidRPr="002D1DD7">
        <w:rPr>
          <w:rFonts w:eastAsia="DengXian" w:cs="Times New Roman"/>
          <w:sz w:val="20"/>
          <w:szCs w:val="20"/>
          <w:lang w:eastAsia="zh-CN"/>
        </w:rPr>
        <w:t>Value of αfetoprotein as an early biomarker for treatment response to sorafenib therapy in advanced hepatocellular carcinoma. Oncology letters 2018;15:8863-70.</w:t>
      </w:r>
    </w:p>
    <w:p w14:paraId="0A894409"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23.</w:t>
      </w:r>
      <w:r w:rsidRPr="002D1DD7">
        <w:rPr>
          <w:rFonts w:eastAsia="DengXian" w:cs="Times New Roman"/>
          <w:sz w:val="20"/>
          <w:szCs w:val="20"/>
          <w:lang w:eastAsia="zh-CN"/>
        </w:rPr>
        <w:tab/>
        <w:t>Prados M, Cloughesy T, Samant M, et al. Response as a predictor of survival in patients with recurrent glioblastoma treated with bevacizumab. Neuro-Oncology 2011;13:143-51.</w:t>
      </w:r>
    </w:p>
    <w:p w14:paraId="4F03C098"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24.</w:t>
      </w:r>
      <w:r w:rsidRPr="002D1DD7">
        <w:rPr>
          <w:rFonts w:eastAsia="DengXian" w:cs="Times New Roman"/>
          <w:sz w:val="20"/>
          <w:szCs w:val="20"/>
          <w:lang w:eastAsia="zh-CN"/>
        </w:rPr>
        <w:tab/>
        <w:t>Qian Q, Zhan P, Yu L, et al. Baseline levels and decrease in serum soluble intercellular adhesion molecule-1 during chemotherapy predict objective response and survival in patients who have advanced non-small-cell lung cancer. Clinical Lung Cancer 2011;12:131-7.</w:t>
      </w:r>
    </w:p>
    <w:p w14:paraId="5E007151"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25.</w:t>
      </w:r>
      <w:r w:rsidRPr="002D1DD7">
        <w:rPr>
          <w:rFonts w:eastAsia="DengXian" w:cs="Times New Roman"/>
          <w:sz w:val="20"/>
          <w:szCs w:val="20"/>
          <w:lang w:eastAsia="zh-CN"/>
        </w:rPr>
        <w:tab/>
        <w:t>Ramanathan RK, Goldstein D, Korn RL, et al. Positron emission tomography response evaluation from a randomized phase III trial of weekly nab-paclitaxel plus gemcitabine versus gemcitabine alone for patients with metastatic adenocarcinoma of the pancreas. Annals of Oncology 2016;27:648-53.</w:t>
      </w:r>
    </w:p>
    <w:p w14:paraId="5208120E"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26.</w:t>
      </w:r>
      <w:r w:rsidRPr="002D1DD7">
        <w:rPr>
          <w:rFonts w:eastAsia="DengXian" w:cs="Times New Roman"/>
          <w:sz w:val="20"/>
          <w:szCs w:val="20"/>
          <w:lang w:eastAsia="zh-CN"/>
        </w:rPr>
        <w:tab/>
        <w:t>Riaz A, Gabr A, Abouchaleh N, et al. Radioembolization for hepatocellular carcinoma: Statistical confirmation of improved survival in responders by landmark analyses. Hepatology 2018;67:873-83.</w:t>
      </w:r>
    </w:p>
    <w:p w14:paraId="1AA996ED"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27.</w:t>
      </w:r>
      <w:r w:rsidRPr="002D1DD7">
        <w:rPr>
          <w:rFonts w:eastAsia="DengXian" w:cs="Times New Roman"/>
          <w:sz w:val="20"/>
          <w:szCs w:val="20"/>
          <w:lang w:eastAsia="zh-CN"/>
        </w:rPr>
        <w:tab/>
        <w:t>Riedl CC, Pinker K, Ulaner GA, et al. Comparison of FDG-PET/CT and contrast-enhanced CT for monitoring therapy response in patients with metastatic breast cancer. European Journal of Nuclear Medicine &amp; Molecular Imaging 2017;44:1428-37.</w:t>
      </w:r>
    </w:p>
    <w:p w14:paraId="770FD4E4"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28.</w:t>
      </w:r>
      <w:r w:rsidRPr="002D1DD7">
        <w:rPr>
          <w:rFonts w:eastAsia="DengXian" w:cs="Times New Roman"/>
          <w:sz w:val="20"/>
          <w:szCs w:val="20"/>
          <w:lang w:eastAsia="zh-CN"/>
        </w:rPr>
        <w:tab/>
        <w:t>Salvador-Coloma C, Lorente D, Palanca S, et al. Early radiological response as predictor of overall survival in non-small cell lung cancer (NSCLC) patients with epidermal growth factor receptor mutations. Journal of Thoracic Disease 2018;10:1386-93.</w:t>
      </w:r>
    </w:p>
    <w:p w14:paraId="35672404" w14:textId="3E885251" w:rsidR="00057280" w:rsidRPr="00D6492A" w:rsidRDefault="00057280" w:rsidP="00057280">
      <w:pPr>
        <w:spacing w:before="0" w:after="120" w:line="240" w:lineRule="auto"/>
        <w:ind w:left="425" w:hanging="425"/>
        <w:jc w:val="both"/>
        <w:rPr>
          <w:rFonts w:eastAsia="DengXian" w:cs="Times New Roman"/>
          <w:sz w:val="20"/>
          <w:szCs w:val="20"/>
          <w:lang w:val="nl-NL" w:eastAsia="zh-CN"/>
        </w:rPr>
      </w:pPr>
      <w:r w:rsidRPr="002D1DD7">
        <w:rPr>
          <w:rFonts w:eastAsia="DengXian" w:cs="Times New Roman"/>
          <w:sz w:val="20"/>
          <w:szCs w:val="20"/>
          <w:lang w:eastAsia="zh-CN"/>
        </w:rPr>
        <w:t>29.</w:t>
      </w:r>
      <w:r w:rsidRPr="002D1DD7">
        <w:rPr>
          <w:rFonts w:eastAsia="DengXian" w:cs="Times New Roman"/>
          <w:sz w:val="20"/>
          <w:szCs w:val="20"/>
          <w:lang w:eastAsia="zh-CN"/>
        </w:rPr>
        <w:tab/>
        <w:t xml:space="preserve">Schwarz JK, Siegel BA, Dehdashti F, Grigsby PW. Association of posttherapy positron emission tomography with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response and survival in cervical carcinoma. </w:t>
      </w:r>
      <w:r w:rsidRPr="00D6492A">
        <w:rPr>
          <w:rFonts w:eastAsia="DengXian" w:cs="Times New Roman"/>
          <w:sz w:val="20"/>
          <w:szCs w:val="20"/>
          <w:lang w:val="nl-NL" w:eastAsia="zh-CN"/>
        </w:rPr>
        <w:t>JAMA 2007;298:2289-95.</w:t>
      </w:r>
    </w:p>
    <w:p w14:paraId="50DD8A97" w14:textId="5715AD54"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D6492A">
        <w:rPr>
          <w:rFonts w:eastAsia="DengXian" w:cs="Times New Roman"/>
          <w:sz w:val="20"/>
          <w:szCs w:val="20"/>
          <w:lang w:val="nl-NL" w:eastAsia="zh-CN"/>
        </w:rPr>
        <w:t>30.</w:t>
      </w:r>
      <w:r w:rsidRPr="00D6492A">
        <w:rPr>
          <w:rFonts w:eastAsia="DengXian" w:cs="Times New Roman"/>
          <w:sz w:val="20"/>
          <w:szCs w:val="20"/>
          <w:lang w:val="nl-NL" w:eastAsia="zh-CN"/>
        </w:rPr>
        <w:tab/>
        <w:t xml:space="preserve">Ter-Minassian M, Zhang S, Brooks NV, et al. </w:t>
      </w:r>
      <w:r w:rsidRPr="002D1DD7">
        <w:rPr>
          <w:rFonts w:eastAsia="DengXian" w:cs="Times New Roman"/>
          <w:sz w:val="20"/>
          <w:szCs w:val="20"/>
          <w:lang w:eastAsia="zh-CN"/>
        </w:rPr>
        <w:t xml:space="preserve">Association Between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Progression Endpoints and Overall Survival in Patients with Advanced Neuroendocrine </w:t>
      </w:r>
      <w:r w:rsidR="00787BBC" w:rsidRPr="002D1DD7">
        <w:rPr>
          <w:rFonts w:eastAsia="DengXian" w:cs="Times New Roman"/>
          <w:sz w:val="20"/>
          <w:szCs w:val="20"/>
          <w:lang w:eastAsia="zh-CN"/>
        </w:rPr>
        <w:t>Tumour</w:t>
      </w:r>
      <w:r w:rsidRPr="002D1DD7">
        <w:rPr>
          <w:rFonts w:eastAsia="DengXian" w:cs="Times New Roman"/>
          <w:sz w:val="20"/>
          <w:szCs w:val="20"/>
          <w:lang w:eastAsia="zh-CN"/>
        </w:rPr>
        <w:t>s. Oncologist 2017;22:165-72.</w:t>
      </w:r>
    </w:p>
    <w:p w14:paraId="5E1A943A"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31.</w:t>
      </w:r>
      <w:r w:rsidRPr="002D1DD7">
        <w:rPr>
          <w:rFonts w:eastAsia="DengXian" w:cs="Times New Roman"/>
          <w:sz w:val="20"/>
          <w:szCs w:val="20"/>
          <w:lang w:eastAsia="zh-CN"/>
        </w:rPr>
        <w:tab/>
        <w:t>Yau T, Yao TJ, Chan P, et al. The Significance of Early Alpha-Fetoprotein Level Changes in Predicting Clinical and Survival Benefits in Advanced Hepatocellular Carcinoma Patients Receiving Sorafenib. Oncologist 2011;16:1270-9.</w:t>
      </w:r>
    </w:p>
    <w:p w14:paraId="3CB558F3"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32.</w:t>
      </w:r>
      <w:r w:rsidRPr="002D1DD7">
        <w:rPr>
          <w:rFonts w:eastAsia="DengXian" w:cs="Times New Roman"/>
          <w:sz w:val="20"/>
          <w:szCs w:val="20"/>
          <w:lang w:eastAsia="zh-CN"/>
        </w:rPr>
        <w:tab/>
        <w:t>Zabor EC, Heller G, Schwartz LH, Chapman PB. Correlating Surrogate Endpoints with Overall Survival at the Individual Patient Level in BRAFV600E-Mutated Metastatic Melanoma Patients Treated with Vemurafenib. Clinical Cancer Research 2016;22:1341-7.</w:t>
      </w:r>
    </w:p>
    <w:p w14:paraId="1DD34279" w14:textId="77777777" w:rsidR="00C9471F" w:rsidRDefault="00C9471F" w:rsidP="00C9471F">
      <w:pPr>
        <w:rPr>
          <w:b/>
          <w:bCs/>
          <w:lang w:eastAsia="zh-CN"/>
        </w:rPr>
      </w:pPr>
      <w:bookmarkStart w:id="308" w:name="_Toc33198795"/>
      <w:bookmarkStart w:id="309" w:name="_Toc33695107"/>
      <w:bookmarkStart w:id="310" w:name="_Toc33696069"/>
      <w:bookmarkStart w:id="311" w:name="_Toc33696967"/>
    </w:p>
    <w:p w14:paraId="142240FD" w14:textId="524AE22A" w:rsidR="00057280" w:rsidRPr="00C9471F" w:rsidRDefault="00057280" w:rsidP="00C9471F">
      <w:pPr>
        <w:rPr>
          <w:b/>
          <w:bCs/>
          <w:lang w:eastAsia="zh-CN"/>
        </w:rPr>
      </w:pPr>
      <w:r w:rsidRPr="00C9471F">
        <w:rPr>
          <w:b/>
          <w:bCs/>
          <w:lang w:eastAsia="zh-CN"/>
        </w:rPr>
        <w:t>Neoadjuvant or adjuvant treatment (n=10)</w:t>
      </w:r>
      <w:bookmarkEnd w:id="308"/>
      <w:bookmarkEnd w:id="309"/>
      <w:bookmarkEnd w:id="310"/>
      <w:bookmarkEnd w:id="311"/>
    </w:p>
    <w:p w14:paraId="0123F42B"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33.</w:t>
      </w:r>
      <w:r w:rsidRPr="002D1DD7">
        <w:rPr>
          <w:rFonts w:eastAsia="DengXian" w:cs="Times New Roman"/>
          <w:sz w:val="20"/>
          <w:szCs w:val="20"/>
          <w:lang w:eastAsia="zh-CN"/>
        </w:rPr>
        <w:tab/>
        <w:t>Berruti A, Amoroso V, Gallo F, et al. Pathologic complete response as a potential surrogate for the clinical outcome in patients with breast cancer after neoadjuvant therapy: a meta-regression of 29 randomized prospective studies. Journal of Clinical Oncology 2014;32:3883-91.</w:t>
      </w:r>
    </w:p>
    <w:p w14:paraId="5B5AC952"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34.</w:t>
      </w:r>
      <w:r w:rsidRPr="002D1DD7">
        <w:rPr>
          <w:rFonts w:eastAsia="DengXian" w:cs="Times New Roman"/>
          <w:sz w:val="20"/>
          <w:szCs w:val="20"/>
          <w:lang w:eastAsia="zh-CN"/>
        </w:rPr>
        <w:tab/>
        <w:t>Bonnetain F, Bosset JF, Gerard JP, et al. What is the clinical benefit of preoperative chemoradiotherapy with 5FU/leucovorin for T3-4 rectal cancer in a pooled analysis of EORTC 22921 and FFCD 9203 trials: surrogacy in question? European Journal of Cancer 2012;48:1781-90.</w:t>
      </w:r>
    </w:p>
    <w:p w14:paraId="44EA355E"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35.</w:t>
      </w:r>
      <w:r w:rsidRPr="002D1DD7">
        <w:rPr>
          <w:rFonts w:eastAsia="DengXian" w:cs="Times New Roman"/>
          <w:sz w:val="20"/>
          <w:szCs w:val="20"/>
          <w:lang w:eastAsia="zh-CN"/>
        </w:rPr>
        <w:tab/>
        <w:t>Broglio KR, Quintana M, Foster M, et al. Association of Pathologic Complete Response to Neoadjuvant Therapy in HER2-Positive Breast Cancer With Long-Term Outcomes: A Meta-Analysis. JAMA Oncol 2016;2:751-60.</w:t>
      </w:r>
    </w:p>
    <w:p w14:paraId="680E2FA3"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36.</w:t>
      </w:r>
      <w:r w:rsidRPr="002D1DD7">
        <w:rPr>
          <w:rFonts w:eastAsia="DengXian" w:cs="Times New Roman"/>
          <w:sz w:val="20"/>
          <w:szCs w:val="20"/>
          <w:lang w:eastAsia="zh-CN"/>
        </w:rPr>
        <w:tab/>
        <w:t>Cortazar P, Zhang L, Untch M, et al. Pathological complete response and long-term clinical benefit in breast cancer: the CTNeoBC pooled analysis. Lancet 2014;384:164-72.</w:t>
      </w:r>
    </w:p>
    <w:p w14:paraId="03466DEA"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37.</w:t>
      </w:r>
      <w:r w:rsidRPr="002D1DD7">
        <w:rPr>
          <w:rFonts w:eastAsia="DengXian" w:cs="Times New Roman"/>
          <w:sz w:val="20"/>
          <w:szCs w:val="20"/>
          <w:lang w:eastAsia="zh-CN"/>
        </w:rPr>
        <w:tab/>
        <w:t>Korn EL, Sachs MC, McShane LM. Statistical controversies in clinical research: assessing pathologic complete response as a trial-level surrogate end point for early-stage breast cancer. Annals of Oncology 2016;27:10-5.</w:t>
      </w:r>
    </w:p>
    <w:p w14:paraId="3FF35A7D"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38.</w:t>
      </w:r>
      <w:r w:rsidRPr="002D1DD7">
        <w:rPr>
          <w:rFonts w:eastAsia="DengXian" w:cs="Times New Roman"/>
          <w:sz w:val="20"/>
          <w:szCs w:val="20"/>
          <w:lang w:eastAsia="zh-CN"/>
        </w:rPr>
        <w:tab/>
        <w:t>Nekljudova V, Loibl S, von Minckwitz G, et al. Trial-level prediction of long-term outcome based on pathologic complete response (pCR) after neoadjuvant chemotherapy for early-stage breast cancer (EBC). Contemporary Clinical Trials 2018;71:194-8.</w:t>
      </w:r>
    </w:p>
    <w:p w14:paraId="75E334E4"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39.</w:t>
      </w:r>
      <w:r w:rsidRPr="002D1DD7">
        <w:rPr>
          <w:rFonts w:eastAsia="DengXian" w:cs="Times New Roman"/>
          <w:sz w:val="20"/>
          <w:szCs w:val="20"/>
          <w:lang w:eastAsia="zh-CN"/>
        </w:rPr>
        <w:tab/>
        <w:t>Petrelli F, Borgonovo K, Cabiddu M, Ghilardi M, Lonati V, Barni S. Pathologic complete response and disease-free survival are not surrogate endpoints for 5-year survival in rectal cancer: an analysis of 22 randomized trials. Journal of Gastrointestinal Oncology 2017;8:39-48.</w:t>
      </w:r>
    </w:p>
    <w:p w14:paraId="28710A9D"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40.</w:t>
      </w:r>
      <w:r w:rsidRPr="002D1DD7">
        <w:rPr>
          <w:rFonts w:eastAsia="DengXian" w:cs="Times New Roman"/>
          <w:sz w:val="20"/>
          <w:szCs w:val="20"/>
          <w:lang w:eastAsia="zh-CN"/>
        </w:rPr>
        <w:tab/>
        <w:t>Petrelli F, Coinu A, Cabiddu M, Ghilardi M, Vavassori I, Barni S. Correlation of pathologic complete response with survival after neoadjuvant chemotherapy in bladder cancer treated with cystectomy: a meta-analysis. European Urology 2014;65:350-7.</w:t>
      </w:r>
    </w:p>
    <w:p w14:paraId="13B0DF36"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41.</w:t>
      </w:r>
      <w:r w:rsidRPr="002D1DD7">
        <w:rPr>
          <w:rFonts w:eastAsia="DengXian" w:cs="Times New Roman"/>
          <w:sz w:val="20"/>
          <w:szCs w:val="20"/>
          <w:lang w:eastAsia="zh-CN"/>
        </w:rPr>
        <w:tab/>
        <w:t>Petrelli F, Tomasello G, Barni S. Surrogate end-points for overall survival in 22 neoadjuvant trials of gastro-oesophageal cancers. European Journal of Cancer 2017;76:8-16.</w:t>
      </w:r>
    </w:p>
    <w:p w14:paraId="036FDA9C" w14:textId="77777777" w:rsidR="00057280" w:rsidRPr="002D1DD7" w:rsidRDefault="00057280" w:rsidP="00057280">
      <w:pPr>
        <w:spacing w:before="0" w:after="120" w:line="240" w:lineRule="auto"/>
        <w:ind w:left="425" w:hanging="425"/>
        <w:jc w:val="both"/>
        <w:rPr>
          <w:rFonts w:eastAsia="DengXian" w:cs="Times New Roman"/>
          <w:sz w:val="20"/>
          <w:szCs w:val="20"/>
          <w:lang w:eastAsia="zh-CN"/>
        </w:rPr>
      </w:pPr>
      <w:r w:rsidRPr="002D1DD7">
        <w:rPr>
          <w:rFonts w:eastAsia="DengXian" w:cs="Times New Roman"/>
          <w:sz w:val="20"/>
          <w:szCs w:val="20"/>
          <w:lang w:eastAsia="zh-CN"/>
        </w:rPr>
        <w:t>42.</w:t>
      </w:r>
      <w:r w:rsidRPr="002D1DD7">
        <w:rPr>
          <w:rFonts w:eastAsia="DengXian" w:cs="Times New Roman"/>
          <w:sz w:val="20"/>
          <w:szCs w:val="20"/>
          <w:lang w:eastAsia="zh-CN"/>
        </w:rPr>
        <w:tab/>
        <w:t>Petrelli F, Tomasello G, Ghidini M, Lonati V, Passalacqua R, Barni S. Disease-free survival is not a surrogate endpoint for overall survival in adjuvant trials of pancreatic cancer: a systematic review of randomized trials. Hpb 2017;19:944-50.</w:t>
      </w:r>
    </w:p>
    <w:p w14:paraId="4CBB8E32" w14:textId="77777777" w:rsidR="00C9471F" w:rsidRDefault="00C9471F" w:rsidP="00C9471F">
      <w:pPr>
        <w:rPr>
          <w:b/>
          <w:bCs/>
          <w:lang w:eastAsia="zh-CN"/>
        </w:rPr>
      </w:pPr>
      <w:bookmarkStart w:id="312" w:name="_Toc33198796"/>
      <w:bookmarkStart w:id="313" w:name="_Toc33695108"/>
      <w:bookmarkStart w:id="314" w:name="_Toc33696070"/>
      <w:bookmarkStart w:id="315" w:name="_Toc33696968"/>
    </w:p>
    <w:p w14:paraId="3F9C2975" w14:textId="27D90C5A" w:rsidR="00057280" w:rsidRPr="00C9471F" w:rsidRDefault="00057280" w:rsidP="00C9471F">
      <w:pPr>
        <w:rPr>
          <w:b/>
          <w:bCs/>
          <w:lang w:eastAsia="zh-CN"/>
        </w:rPr>
      </w:pPr>
      <w:r w:rsidRPr="00C9471F">
        <w:rPr>
          <w:b/>
          <w:bCs/>
          <w:lang w:eastAsia="zh-CN"/>
        </w:rPr>
        <w:t xml:space="preserve">No relevant outcomes </w:t>
      </w:r>
      <w:r w:rsidRPr="00C9471F">
        <w:rPr>
          <w:b/>
          <w:bCs/>
          <w:lang w:eastAsia="zh-CN"/>
        </w:rPr>
        <w:tab/>
        <w:t>(n=67)</w:t>
      </w:r>
      <w:bookmarkEnd w:id="312"/>
      <w:bookmarkEnd w:id="313"/>
      <w:bookmarkEnd w:id="314"/>
      <w:bookmarkEnd w:id="315"/>
    </w:p>
    <w:p w14:paraId="64EF53E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43.</w:t>
      </w:r>
      <w:r w:rsidRPr="002D1DD7">
        <w:rPr>
          <w:rFonts w:eastAsia="DengXian" w:cs="Times New Roman"/>
          <w:sz w:val="20"/>
          <w:szCs w:val="20"/>
          <w:lang w:eastAsia="zh-CN"/>
        </w:rPr>
        <w:tab/>
        <w:t>Aggarwal C, Borghaei H. Treatment Paradigms for Advanced Non-Small Cell Lung Cancer at Academic Medical Centers: Involvement in Clinical Trial Endpoint Design. Oncologist 2017;22:700-8.</w:t>
      </w:r>
    </w:p>
    <w:p w14:paraId="4C73B6EA"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44.</w:t>
      </w:r>
      <w:r w:rsidRPr="002D1DD7">
        <w:rPr>
          <w:rFonts w:eastAsia="DengXian" w:cs="Times New Roman"/>
          <w:sz w:val="20"/>
          <w:szCs w:val="20"/>
          <w:lang w:eastAsia="zh-CN"/>
        </w:rPr>
        <w:tab/>
        <w:t>Araujo RLC, Herman P, Riechelmann RP. Recurrence-free survival as a putative surrogate for overall survival in phase. trials of curative-intent treatment of colorectal liver metastases: Systematic review. World Journal of Clinical Oncology 2017;8:266-72.</w:t>
      </w:r>
    </w:p>
    <w:p w14:paraId="0E3D069A"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45.</w:t>
      </w:r>
      <w:r w:rsidRPr="002D1DD7">
        <w:rPr>
          <w:rFonts w:eastAsia="DengXian" w:cs="Times New Roman"/>
          <w:sz w:val="20"/>
          <w:szCs w:val="20"/>
          <w:lang w:eastAsia="zh-CN"/>
        </w:rPr>
        <w:tab/>
        <w:t>Buyse M, Burzykowski T, Carroll K, et al. Progression-free survival is a surrogate for survival in advanced colorectal cancer. Journal of Clinical Oncology 2007;25:5218-24.</w:t>
      </w:r>
    </w:p>
    <w:p w14:paraId="5633026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46.</w:t>
      </w:r>
      <w:r w:rsidRPr="002D1DD7">
        <w:rPr>
          <w:rFonts w:eastAsia="DengXian" w:cs="Times New Roman"/>
          <w:sz w:val="20"/>
          <w:szCs w:val="20"/>
          <w:lang w:eastAsia="zh-CN"/>
        </w:rPr>
        <w:tab/>
        <w:t>Cai J, Ma H, Huang F, et al. Correlation of bevacizumab-induced hypertension and outcomes of metastatic colorectal cancer patients treated with bevacizumab: a systematic review and meta-analysis. World Journal of Surgical Oncology 2013;11:306.</w:t>
      </w:r>
    </w:p>
    <w:p w14:paraId="7DEF4B88"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47.</w:t>
      </w:r>
      <w:r w:rsidRPr="002D1DD7">
        <w:rPr>
          <w:rFonts w:eastAsia="DengXian" w:cs="Times New Roman"/>
          <w:sz w:val="20"/>
          <w:szCs w:val="20"/>
          <w:lang w:eastAsia="zh-CN"/>
        </w:rPr>
        <w:tab/>
        <w:t>Chirila C, Odom D, Devercelli G, et al. Meta-analysis of the association between progression-free survival and overall survival in metastatic colorectal cancer. International Journal of Colorectal Disease 2012;27:623-34.</w:t>
      </w:r>
    </w:p>
    <w:p w14:paraId="603189C1" w14:textId="2F904465"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48.</w:t>
      </w:r>
      <w:r w:rsidRPr="002D1DD7">
        <w:rPr>
          <w:rFonts w:eastAsia="DengXian" w:cs="Times New Roman"/>
          <w:sz w:val="20"/>
          <w:szCs w:val="20"/>
          <w:lang w:eastAsia="zh-CN"/>
        </w:rPr>
        <w:tab/>
        <w:t xml:space="preserve">Colloca GA, Venturino A, Guarneri D. Early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shrinkage after first-line medical treatment of metastatic colorectal cancer: a meta-analysis. International journal of clinical oncology 2019:1-10.</w:t>
      </w:r>
    </w:p>
    <w:p w14:paraId="677E99F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49.</w:t>
      </w:r>
      <w:r w:rsidRPr="002D1DD7">
        <w:rPr>
          <w:rFonts w:eastAsia="DengXian" w:cs="Times New Roman"/>
          <w:sz w:val="20"/>
          <w:szCs w:val="20"/>
          <w:lang w:eastAsia="zh-CN"/>
        </w:rPr>
        <w:tab/>
        <w:t>Forsythe A, Chandiwana D, Barth J, et al. Is progression-free survival a more relevant endpoint than overall survival in first-line HR+/ HER2- Metastatic breast cancer? Cancer Management and Research 2018;10:1015-25.</w:t>
      </w:r>
    </w:p>
    <w:p w14:paraId="7EE46A7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50.</w:t>
      </w:r>
      <w:r w:rsidRPr="002D1DD7">
        <w:rPr>
          <w:rFonts w:eastAsia="DengXian" w:cs="Times New Roman"/>
          <w:sz w:val="20"/>
          <w:szCs w:val="20"/>
          <w:lang w:eastAsia="zh-CN"/>
        </w:rPr>
        <w:tab/>
        <w:t>Forsythe A, Chandiwana D, Barth J, Thabane M, Baeck J, Tremblay G. Progression-free survival/time to progression as a potential surrogate for overall survival in HR+, HER2- metastatic breast cancer. Breast Cancer-Targets and Therapy 2018;10:69-78.</w:t>
      </w:r>
    </w:p>
    <w:p w14:paraId="1BD48496"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51.</w:t>
      </w:r>
      <w:r w:rsidRPr="002D1DD7">
        <w:rPr>
          <w:rFonts w:eastAsia="DengXian" w:cs="Times New Roman"/>
          <w:sz w:val="20"/>
          <w:szCs w:val="20"/>
          <w:lang w:eastAsia="zh-CN"/>
        </w:rPr>
        <w:tab/>
        <w:t>Foster NR, Renfro LA, Schild SE, et al. Multitrial Evaluation of Progression-Free Survival as a Surrogate End Point for Overall Survival in First-Line Extensive-Stage Small-Cell Lung Cancer. Journal of Thoracic Oncology 2015;10:1099-106.</w:t>
      </w:r>
    </w:p>
    <w:p w14:paraId="42EF3AF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52.</w:t>
      </w:r>
      <w:r w:rsidRPr="002D1DD7">
        <w:rPr>
          <w:rFonts w:eastAsia="DengXian" w:cs="Times New Roman"/>
          <w:sz w:val="20"/>
          <w:szCs w:val="20"/>
          <w:lang w:eastAsia="zh-CN"/>
        </w:rPr>
        <w:tab/>
        <w:t>Francini E, Petrioli R, Rossi G, Laera L, Roviello G. PSA response rate as a surrogate marker for median overall survival in docetaxel-based first-line treatments for patients with metastatic castration-resistant prostate cancer: an analysis of 22 trials. Tumour Biology 2014;35:10601-7.</w:t>
      </w:r>
    </w:p>
    <w:p w14:paraId="6EB70D91"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53.</w:t>
      </w:r>
      <w:r w:rsidRPr="002D1DD7">
        <w:rPr>
          <w:rFonts w:eastAsia="DengXian" w:cs="Times New Roman"/>
          <w:sz w:val="20"/>
          <w:szCs w:val="20"/>
          <w:lang w:eastAsia="zh-CN"/>
        </w:rPr>
        <w:tab/>
        <w:t>Glynne-Jones R, Mawdsley S, Pearce T, Buyse M. Alternative clinical end points in rectal cancer--are we getting closer? Annals of Oncology 2006;17:1239-48.</w:t>
      </w:r>
    </w:p>
    <w:p w14:paraId="7F90781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54.</w:t>
      </w:r>
      <w:r w:rsidRPr="002D1DD7">
        <w:rPr>
          <w:rFonts w:eastAsia="DengXian" w:cs="Times New Roman"/>
          <w:sz w:val="20"/>
          <w:szCs w:val="20"/>
          <w:lang w:eastAsia="zh-CN"/>
        </w:rPr>
        <w:tab/>
        <w:t>Grunwald V, Lin X, Kalanovic D, Simantov R. Early Tumour Shrinkage: A Tool for the Detection of Early Clinical Activity in Metastatic Renal Cell Carcinoma. European Urology 2016;70:1006-15.</w:t>
      </w:r>
    </w:p>
    <w:p w14:paraId="645B493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55.</w:t>
      </w:r>
      <w:r w:rsidRPr="002D1DD7">
        <w:rPr>
          <w:rFonts w:eastAsia="DengXian" w:cs="Times New Roman"/>
          <w:sz w:val="20"/>
          <w:szCs w:val="20"/>
          <w:lang w:eastAsia="zh-CN"/>
        </w:rPr>
        <w:tab/>
        <w:t>Grunwald V, McKay RR, Krajewski KM, et al. Depth of remission is a prognostic factor for survival in patients with metastatic renal cell carcinoma. European Urology 2015;67:952-8.</w:t>
      </w:r>
    </w:p>
    <w:p w14:paraId="1D15AF5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56.</w:t>
      </w:r>
      <w:r w:rsidRPr="002D1DD7">
        <w:rPr>
          <w:rFonts w:eastAsia="DengXian" w:cs="Times New Roman"/>
          <w:sz w:val="20"/>
          <w:szCs w:val="20"/>
          <w:lang w:eastAsia="zh-CN"/>
        </w:rPr>
        <w:tab/>
        <w:t>Gyawali B, Hey SP, Kesselheim AS. A Comparison of Response Patterns for Progression-Free Survival and Overall Survival Following Treatment for Cancer With PD-1 Inhibitors A Meta-analysis of Correlation and Differences in Effect Sizes. Jama Network Open 2018;1.</w:t>
      </w:r>
    </w:p>
    <w:p w14:paraId="63F51C1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57.</w:t>
      </w:r>
      <w:r w:rsidRPr="002D1DD7">
        <w:rPr>
          <w:rFonts w:eastAsia="DengXian" w:cs="Times New Roman"/>
          <w:sz w:val="20"/>
          <w:szCs w:val="20"/>
          <w:lang w:eastAsia="zh-CN"/>
        </w:rPr>
        <w:tab/>
        <w:t>Harshman LC, Xie WL, Moreira RB, et al. Evaluation of Disease-Free Survival as an Intermediate Metric of Overall Survival in Patients With Localized Renal Cell Carcinoma: A Trial-Level Meta-Analysis. Cancer 2018;124:925-33.</w:t>
      </w:r>
    </w:p>
    <w:p w14:paraId="4D444725"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58.</w:t>
      </w:r>
      <w:r w:rsidRPr="002D1DD7">
        <w:rPr>
          <w:rFonts w:eastAsia="DengXian" w:cs="Times New Roman"/>
          <w:sz w:val="20"/>
          <w:szCs w:val="20"/>
          <w:lang w:eastAsia="zh-CN"/>
        </w:rPr>
        <w:tab/>
        <w:t>Hasan B, Greillier L, Pallis A, et al. Progression free survival rate at 9 and 18 weeks predict overall survival in patients with malignant pleural mesothelioma: an individual patient pooled analysis of 10 European Organisation for Research and Treatment of Cancer Lung Cancer Group studies and an independent study validation. European Journal of Cancer 2014;50:2771-82.</w:t>
      </w:r>
    </w:p>
    <w:p w14:paraId="4F6A42A3"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59.</w:t>
      </w:r>
      <w:r w:rsidRPr="002D1DD7">
        <w:rPr>
          <w:rFonts w:eastAsia="DengXian" w:cs="Times New Roman"/>
          <w:sz w:val="20"/>
          <w:szCs w:val="20"/>
          <w:lang w:eastAsia="zh-CN"/>
        </w:rPr>
        <w:tab/>
        <w:t>Hotta K, Kiura K, Fujiwara Y, et al. Role of Survival Post-Progression in Phase III Trials of Systemic Chemotherapy in Advanced Non-Small-Cell Lung Cancer: A Systematic Review. Plos One 2011;6.</w:t>
      </w:r>
    </w:p>
    <w:p w14:paraId="3A8B4C25"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60.</w:t>
      </w:r>
      <w:r w:rsidRPr="002D1DD7">
        <w:rPr>
          <w:rFonts w:eastAsia="DengXian" w:cs="Times New Roman"/>
          <w:sz w:val="20"/>
          <w:szCs w:val="20"/>
          <w:lang w:eastAsia="zh-CN"/>
        </w:rPr>
        <w:tab/>
        <w:t>Huan HB, Wu LL, Lau WY, et al. Surrogate endpoint for overall survival in assessment of adjuvant therapies after curative treatment for hepatocellular carcinoma: a re-analysis of meta-analyses of individual patients' data. Oncotarget 2017;8:90291-300.</w:t>
      </w:r>
    </w:p>
    <w:p w14:paraId="0CF4F49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61.</w:t>
      </w:r>
      <w:r w:rsidRPr="002D1DD7">
        <w:rPr>
          <w:rFonts w:eastAsia="DengXian" w:cs="Times New Roman"/>
          <w:sz w:val="20"/>
          <w:szCs w:val="20"/>
          <w:lang w:eastAsia="zh-CN"/>
        </w:rPr>
        <w:tab/>
        <w:t>Jiang ZC, Ding P, Geng Z. Principal causal effect identification and surrogate end point evaluation by multiple trials. Journal of the Royal Statistical Society Series B-Statistical Methodology 2016;78:829-48.</w:t>
      </w:r>
    </w:p>
    <w:p w14:paraId="2C592EB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62.</w:t>
      </w:r>
      <w:r w:rsidRPr="002D1DD7">
        <w:rPr>
          <w:rFonts w:eastAsia="DengXian" w:cs="Times New Roman"/>
          <w:sz w:val="20"/>
          <w:szCs w:val="20"/>
          <w:lang w:eastAsia="zh-CN"/>
        </w:rPr>
        <w:tab/>
        <w:t>Kasuga A, Hamamoto Y, Takeuchi A, et al. Positive relationship between subsequent chemotherapy and overall survival in pancreatic cancer: meta-analysis of postprogression survival for first-line chemotherapy. Cancer Chemotherapy and Pharmacology 2017;79:595-602.</w:t>
      </w:r>
    </w:p>
    <w:p w14:paraId="7460CEE1"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63.</w:t>
      </w:r>
      <w:r w:rsidRPr="002D1DD7">
        <w:rPr>
          <w:rFonts w:eastAsia="DengXian" w:cs="Times New Roman"/>
          <w:sz w:val="20"/>
          <w:szCs w:val="20"/>
          <w:lang w:eastAsia="zh-CN"/>
        </w:rPr>
        <w:tab/>
        <w:t>Kasuga A, Hamamoto Y, Takeuchi A, et al. Post-progression survival following second-line chemotherapy in patients with advanced pancreatic cancer previously treated with gemcitabine: a meta-analysis. Investigational New Drugs 2018;36:939-48.</w:t>
      </w:r>
    </w:p>
    <w:p w14:paraId="40ED8FBD"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64.</w:t>
      </w:r>
      <w:r w:rsidRPr="002D1DD7">
        <w:rPr>
          <w:rFonts w:eastAsia="DengXian" w:cs="Times New Roman"/>
          <w:sz w:val="20"/>
          <w:szCs w:val="20"/>
          <w:lang w:eastAsia="zh-CN"/>
        </w:rPr>
        <w:tab/>
        <w:t>Kataoka K, Nakamura K, Mizusawa J, et al. Surrogacy of progression-free survival (PFS) for overall survival (OS) in esophageal cancer trials with preoperative therapy: Literature-based meta-analysis. Ejso 2017;43:1956-61.</w:t>
      </w:r>
    </w:p>
    <w:p w14:paraId="74B02531"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65.</w:t>
      </w:r>
      <w:r w:rsidRPr="002D1DD7">
        <w:rPr>
          <w:rFonts w:eastAsia="DengXian" w:cs="Times New Roman"/>
          <w:sz w:val="20"/>
          <w:szCs w:val="20"/>
          <w:lang w:eastAsia="zh-CN"/>
        </w:rPr>
        <w:tab/>
        <w:t>Kudo M, Izumi N, Sakamoto M, et al. Survival Analysis over 28 Years of 173,378 Patients with Hepatocellular Carcinoma in Japan. Liver Cancer 2016;5:190-7.</w:t>
      </w:r>
    </w:p>
    <w:p w14:paraId="248FB958"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66.</w:t>
      </w:r>
      <w:r w:rsidRPr="002D1DD7">
        <w:rPr>
          <w:rFonts w:eastAsia="DengXian" w:cs="Times New Roman"/>
          <w:sz w:val="20"/>
          <w:szCs w:val="20"/>
          <w:lang w:eastAsia="zh-CN"/>
        </w:rPr>
        <w:tab/>
        <w:t>Kundu MG, Acharyya S. Surrogacy of progression free survival for overall survival in metastatic breast cancer studies: Meta-analyses of published studies. Contemporary Clinical Trials 2017;53:20-8.</w:t>
      </w:r>
    </w:p>
    <w:p w14:paraId="38C63837" w14:textId="77777777" w:rsidR="00057280" w:rsidRPr="00D6492A" w:rsidRDefault="00057280" w:rsidP="00057280">
      <w:pPr>
        <w:spacing w:before="0" w:after="120" w:line="240" w:lineRule="auto"/>
        <w:ind w:left="426" w:hanging="426"/>
        <w:jc w:val="both"/>
        <w:rPr>
          <w:rFonts w:eastAsia="DengXian" w:cs="Times New Roman"/>
          <w:sz w:val="20"/>
          <w:szCs w:val="20"/>
          <w:lang w:val="nl-NL" w:eastAsia="zh-CN"/>
        </w:rPr>
      </w:pPr>
      <w:r w:rsidRPr="002D1DD7">
        <w:rPr>
          <w:rFonts w:eastAsia="DengXian" w:cs="Times New Roman"/>
          <w:sz w:val="20"/>
          <w:szCs w:val="20"/>
          <w:lang w:eastAsia="zh-CN"/>
        </w:rPr>
        <w:t>67.</w:t>
      </w:r>
      <w:r w:rsidRPr="002D1DD7">
        <w:rPr>
          <w:rFonts w:eastAsia="DengXian" w:cs="Times New Roman"/>
          <w:sz w:val="20"/>
          <w:szCs w:val="20"/>
          <w:lang w:eastAsia="zh-CN"/>
        </w:rPr>
        <w:tab/>
        <w:t xml:space="preserve">Kurokawa Y, Shibata T, Sasako M, et al. Validity of response assessment criteria in neoadjuvant chemotherapy for gastric cancer (JCOG0507-A). </w:t>
      </w:r>
      <w:r w:rsidRPr="00D6492A">
        <w:rPr>
          <w:rFonts w:eastAsia="DengXian" w:cs="Times New Roman"/>
          <w:sz w:val="20"/>
          <w:szCs w:val="20"/>
          <w:lang w:val="nl-NL" w:eastAsia="zh-CN"/>
        </w:rPr>
        <w:t>Gastric Cancer 2014;17:514-21.</w:t>
      </w:r>
    </w:p>
    <w:p w14:paraId="27676841"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nl-NL" w:eastAsia="zh-CN"/>
        </w:rPr>
        <w:t>68.</w:t>
      </w:r>
      <w:r w:rsidRPr="00D6492A">
        <w:rPr>
          <w:rFonts w:eastAsia="DengXian" w:cs="Times New Roman"/>
          <w:sz w:val="20"/>
          <w:szCs w:val="20"/>
          <w:lang w:val="nl-NL" w:eastAsia="zh-CN"/>
        </w:rPr>
        <w:tab/>
        <w:t xml:space="preserve">Lee DW, Jang MJ, Lee KH, et al. </w:t>
      </w:r>
      <w:r w:rsidRPr="002D1DD7">
        <w:rPr>
          <w:rFonts w:eastAsia="DengXian" w:cs="Times New Roman"/>
          <w:sz w:val="20"/>
          <w:szCs w:val="20"/>
          <w:lang w:eastAsia="zh-CN"/>
        </w:rPr>
        <w:t>TTP as a surrogate endpoint in advanced hepatocellular carcinoma treated with molecular targeted therapy: meta-analysis of randomised controlled trials. British Journal of Cancer 2016;115:1201-5.</w:t>
      </w:r>
    </w:p>
    <w:p w14:paraId="45174A06"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69.</w:t>
      </w:r>
      <w:r w:rsidRPr="002D1DD7">
        <w:rPr>
          <w:rFonts w:eastAsia="DengXian" w:cs="Times New Roman"/>
          <w:sz w:val="20"/>
          <w:szCs w:val="20"/>
          <w:lang w:eastAsia="zh-CN"/>
        </w:rPr>
        <w:tab/>
        <w:t>Li CF, Xiang AZ, Chen XZ, Yin K, Lu JS, Yin WJ. Optimizing the treatment of bevacizumab as first-line therapy for human epidermal growth factor receptor 2 (HER2)-negative advanced breast cancer: an updated meta-analysis of published randomized trials. Oncotargets and Therapy 2017;10:3155-68.</w:t>
      </w:r>
    </w:p>
    <w:p w14:paraId="297F9BCD"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70.</w:t>
      </w:r>
      <w:r w:rsidRPr="002D1DD7">
        <w:rPr>
          <w:rFonts w:eastAsia="DengXian" w:cs="Times New Roman"/>
          <w:sz w:val="20"/>
          <w:szCs w:val="20"/>
          <w:lang w:eastAsia="zh-CN"/>
        </w:rPr>
        <w:tab/>
        <w:t>Li DY, Lv H, Hao XY, Dong YD, Dai HX, Song YS. Prognostic value of bone scan index as an imaging biomarker in metastatic prostate cancer: a meta-analysis. Oncotarget 2017;8:84449-58.</w:t>
      </w:r>
    </w:p>
    <w:p w14:paraId="1F88D639"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71.</w:t>
      </w:r>
      <w:r w:rsidRPr="002D1DD7">
        <w:rPr>
          <w:rFonts w:eastAsia="DengXian" w:cs="Times New Roman"/>
          <w:sz w:val="20"/>
          <w:szCs w:val="20"/>
          <w:lang w:eastAsia="zh-CN"/>
        </w:rPr>
        <w:tab/>
        <w:t>Li M, Dave N, Salem AH, Freise KJ. Model-based meta-analysis of progression-free survival in non-Hodgkin lymphoma patients. Medicine 2017;96.</w:t>
      </w:r>
    </w:p>
    <w:p w14:paraId="5F8F1ED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72.</w:t>
      </w:r>
      <w:r w:rsidRPr="002D1DD7">
        <w:rPr>
          <w:rFonts w:eastAsia="DengXian" w:cs="Times New Roman"/>
          <w:sz w:val="20"/>
          <w:szCs w:val="20"/>
          <w:lang w:eastAsia="zh-CN"/>
        </w:rPr>
        <w:tab/>
        <w:t>Lien K, Georgsdottir S, Sivanathan L, Chan K, Emmenegger U. Low-dose metronomic chemotherapy: a systematic literature analysis. European Journal of Cancer 2013;49:3387-95.</w:t>
      </w:r>
    </w:p>
    <w:p w14:paraId="10A04CD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73.</w:t>
      </w:r>
      <w:r w:rsidRPr="002D1DD7">
        <w:rPr>
          <w:rFonts w:eastAsia="DengXian" w:cs="Times New Roman"/>
          <w:sz w:val="20"/>
          <w:szCs w:val="20"/>
          <w:lang w:eastAsia="zh-CN"/>
        </w:rPr>
        <w:tab/>
        <w:t>Liu Y, Waterton JC. Imaging Biomarkers in Clinical Trials.  Imaging Biomarkers: Springer; 2017:295-306.</w:t>
      </w:r>
    </w:p>
    <w:p w14:paraId="70B1C427"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74.</w:t>
      </w:r>
      <w:r w:rsidRPr="002D1DD7">
        <w:rPr>
          <w:rFonts w:eastAsia="DengXian" w:cs="Times New Roman"/>
          <w:sz w:val="20"/>
          <w:szCs w:val="20"/>
          <w:lang w:eastAsia="zh-CN"/>
        </w:rPr>
        <w:tab/>
        <w:t>Loupakis F, Bria E, Vaccaro V, et al. Magnitude of benefit of the addition of bevacizumab to first-line chemotherapy for metastatic colorectal cancer: meta-analysis of randomized clinical trials. Journal of Experimental &amp; Clinical Cancer Research 2010;29:58.</w:t>
      </w:r>
    </w:p>
    <w:p w14:paraId="6EBEEE65"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75.</w:t>
      </w:r>
      <w:r w:rsidRPr="002D1DD7">
        <w:rPr>
          <w:rFonts w:eastAsia="DengXian" w:cs="Times New Roman"/>
          <w:sz w:val="20"/>
          <w:szCs w:val="20"/>
          <w:lang w:eastAsia="zh-CN"/>
        </w:rPr>
        <w:tab/>
        <w:t>Martens A, Wistuba-Hamprecht K, Geukes Foppen M, et al. Baseline Peripheral Blood Biomarkers Associated with Clinical Outcome of Advanced Melanoma Patients Treated with Ipilimumab. Clinical Cancer Research 2016;22:2908-18.</w:t>
      </w:r>
    </w:p>
    <w:p w14:paraId="2DCC9DF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76.</w:t>
      </w:r>
      <w:r w:rsidRPr="002D1DD7">
        <w:rPr>
          <w:rFonts w:eastAsia="DengXian" w:cs="Times New Roman"/>
          <w:sz w:val="20"/>
          <w:szCs w:val="20"/>
          <w:lang w:eastAsia="zh-CN"/>
        </w:rPr>
        <w:tab/>
        <w:t>Mauguen A, Pignon JP, Burdett S, et al. Surrogate endpoints for overall survival in chemotherapy and radiotherapy trials in operable and locally advanced lung cancer: a re-analysis of meta-analyses of individual patients' data. Lancet Oncology 2013;14:619-26.</w:t>
      </w:r>
    </w:p>
    <w:p w14:paraId="1DD5D225"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77.</w:t>
      </w:r>
      <w:r w:rsidRPr="002D1DD7">
        <w:rPr>
          <w:rFonts w:eastAsia="DengXian" w:cs="Times New Roman"/>
          <w:sz w:val="20"/>
          <w:szCs w:val="20"/>
          <w:lang w:eastAsia="zh-CN"/>
        </w:rPr>
        <w:tab/>
        <w:t>Meeks JJ, Bellmunt J, Bochner BH, et al. A Systematic Review of Neoadjuvant and Adjuvant Chemotherapy for Muscle-invasive Bladder Cancer. European Urology 2012;62:523-33.</w:t>
      </w:r>
    </w:p>
    <w:p w14:paraId="2EEBAA1D"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78.</w:t>
      </w:r>
      <w:r w:rsidRPr="002D1DD7">
        <w:rPr>
          <w:rFonts w:eastAsia="DengXian" w:cs="Times New Roman"/>
          <w:sz w:val="20"/>
          <w:szCs w:val="20"/>
          <w:lang w:eastAsia="zh-CN"/>
        </w:rPr>
        <w:tab/>
        <w:t>Mehra N, Dolling D, Sumanasuriya S, et al. Plasma Cell-free DNA Concentration and Outcomes from Taxane Therapy in Metastatic Castration-resistant Prostate Cancer from Two Phase III Trials (FIRSTANA and PROSELICA). European Urology 2018;74:283-91.</w:t>
      </w:r>
    </w:p>
    <w:p w14:paraId="21E9D7C1" w14:textId="77777777" w:rsidR="00057280" w:rsidRPr="00D6492A" w:rsidRDefault="00057280" w:rsidP="00057280">
      <w:pPr>
        <w:spacing w:before="0" w:after="120" w:line="240" w:lineRule="auto"/>
        <w:ind w:left="426" w:hanging="426"/>
        <w:jc w:val="both"/>
        <w:rPr>
          <w:rFonts w:eastAsia="DengXian" w:cs="Times New Roman"/>
          <w:sz w:val="20"/>
          <w:szCs w:val="20"/>
          <w:lang w:val="fr-FR" w:eastAsia="zh-CN"/>
        </w:rPr>
      </w:pPr>
      <w:r w:rsidRPr="002D1DD7">
        <w:rPr>
          <w:rFonts w:eastAsia="DengXian" w:cs="Times New Roman"/>
          <w:sz w:val="20"/>
          <w:szCs w:val="20"/>
          <w:lang w:eastAsia="zh-CN"/>
        </w:rPr>
        <w:t>79.</w:t>
      </w:r>
      <w:r w:rsidRPr="002D1DD7">
        <w:rPr>
          <w:rFonts w:eastAsia="DengXian" w:cs="Times New Roman"/>
          <w:sz w:val="20"/>
          <w:szCs w:val="20"/>
          <w:lang w:eastAsia="zh-CN"/>
        </w:rPr>
        <w:tab/>
        <w:t xml:space="preserve">Michiels S, Pugliano L, Marguet S, et al. Progression-free survival as surrogate end point for overall survival in clinical trials of HER2-targeted agents in HER2-positive metastatic breast cancer. </w:t>
      </w:r>
      <w:r w:rsidRPr="00D6492A">
        <w:rPr>
          <w:rFonts w:eastAsia="DengXian" w:cs="Times New Roman"/>
          <w:sz w:val="20"/>
          <w:szCs w:val="20"/>
          <w:lang w:val="fr-FR" w:eastAsia="zh-CN"/>
        </w:rPr>
        <w:t>Annals of Oncology 2016;27:1029-34.</w:t>
      </w:r>
    </w:p>
    <w:p w14:paraId="2306C9F4"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fr-FR" w:eastAsia="zh-CN"/>
        </w:rPr>
        <w:t>80.</w:t>
      </w:r>
      <w:r w:rsidRPr="00D6492A">
        <w:rPr>
          <w:rFonts w:eastAsia="DengXian" w:cs="Times New Roman"/>
          <w:sz w:val="20"/>
          <w:szCs w:val="20"/>
          <w:lang w:val="fr-FR" w:eastAsia="zh-CN"/>
        </w:rPr>
        <w:tab/>
        <w:t xml:space="preserve">Miura Y, Imai H, Sakurai R, et al. </w:t>
      </w:r>
      <w:r w:rsidRPr="002D1DD7">
        <w:rPr>
          <w:rFonts w:eastAsia="DengXian" w:cs="Times New Roman"/>
          <w:sz w:val="20"/>
          <w:szCs w:val="20"/>
          <w:lang w:eastAsia="zh-CN"/>
        </w:rPr>
        <w:t>The effect of post-progression survival on overall survival among patients with sensitive relapse of small cell lung cancer. Medical Oncology 2018;35.</w:t>
      </w:r>
    </w:p>
    <w:p w14:paraId="567E4A04" w14:textId="2DF453B5"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81.</w:t>
      </w:r>
      <w:r w:rsidRPr="002D1DD7">
        <w:rPr>
          <w:rFonts w:eastAsia="DengXian" w:cs="Times New Roman"/>
          <w:sz w:val="20"/>
          <w:szCs w:val="20"/>
          <w:lang w:eastAsia="zh-CN"/>
        </w:rPr>
        <w:tab/>
        <w:t xml:space="preserve">Miyake H, Harada K-i, Ozono S, Fujisawa M. Prognostic Significance of Early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Shrinkage Under Second-Line Targeted Therapy for Metastatic Renal Cell Carcinoma: A Retrospective Multi-Institutional Study in Japan. Molecular Diagnosis &amp; Therapy 2016;20:385-92.</w:t>
      </w:r>
    </w:p>
    <w:p w14:paraId="45EA5405" w14:textId="47292204"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82.</w:t>
      </w:r>
      <w:r w:rsidRPr="002D1DD7">
        <w:rPr>
          <w:rFonts w:eastAsia="DengXian" w:cs="Times New Roman"/>
          <w:sz w:val="20"/>
          <w:szCs w:val="20"/>
          <w:lang w:eastAsia="zh-CN"/>
        </w:rPr>
        <w:tab/>
        <w:t xml:space="preserve">Miyake H, Miyazaki A, Imai S, Harada K-i, Fujisawa M. Early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Shrinkage Under Treatment with First-line Tyrosine Kinase Inhibitors as a Predictor of Overall Survival in Patients with Metastatic Renal Cell Carcinoma: a Retrospective Multi-Institutional Study in Japan. Targeted Oncology 2016;11:175-82.</w:t>
      </w:r>
    </w:p>
    <w:p w14:paraId="49A6121E" w14:textId="77777777" w:rsidR="00057280" w:rsidRPr="00D6492A" w:rsidRDefault="00057280" w:rsidP="00057280">
      <w:pPr>
        <w:spacing w:before="0" w:after="120" w:line="240" w:lineRule="auto"/>
        <w:ind w:left="426" w:hanging="426"/>
        <w:jc w:val="both"/>
        <w:rPr>
          <w:rFonts w:eastAsia="DengXian" w:cs="Times New Roman"/>
          <w:sz w:val="20"/>
          <w:szCs w:val="20"/>
          <w:lang w:val="it-IT" w:eastAsia="zh-CN"/>
        </w:rPr>
      </w:pPr>
      <w:r w:rsidRPr="002D1DD7">
        <w:rPr>
          <w:rFonts w:eastAsia="DengXian" w:cs="Times New Roman"/>
          <w:sz w:val="20"/>
          <w:szCs w:val="20"/>
          <w:lang w:eastAsia="zh-CN"/>
        </w:rPr>
        <w:t>83.</w:t>
      </w:r>
      <w:r w:rsidRPr="002D1DD7">
        <w:rPr>
          <w:rFonts w:eastAsia="DengXian" w:cs="Times New Roman"/>
          <w:sz w:val="20"/>
          <w:szCs w:val="20"/>
          <w:lang w:eastAsia="zh-CN"/>
        </w:rPr>
        <w:tab/>
        <w:t xml:space="preserve">Mocellin S, Baretta Z, Roque IFM, et al. Second-line systemic therapy for metastatic colorectal cancer. </w:t>
      </w:r>
      <w:r w:rsidRPr="00D6492A">
        <w:rPr>
          <w:rFonts w:eastAsia="DengXian" w:cs="Times New Roman"/>
          <w:sz w:val="20"/>
          <w:szCs w:val="20"/>
          <w:lang w:val="it-IT" w:eastAsia="zh-CN"/>
        </w:rPr>
        <w:t>Cochrane Database of Systematic Reviews 2017;1:CD006875.</w:t>
      </w:r>
    </w:p>
    <w:p w14:paraId="0311DBA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it-IT" w:eastAsia="zh-CN"/>
        </w:rPr>
        <w:t>84.</w:t>
      </w:r>
      <w:r w:rsidRPr="00D6492A">
        <w:rPr>
          <w:rFonts w:eastAsia="DengXian" w:cs="Times New Roman"/>
          <w:sz w:val="20"/>
          <w:szCs w:val="20"/>
          <w:lang w:val="it-IT" w:eastAsia="zh-CN"/>
        </w:rPr>
        <w:tab/>
        <w:t xml:space="preserve">Montagnani F, Di Leonardo G, Pino MS, et al. </w:t>
      </w:r>
      <w:r w:rsidRPr="002D1DD7">
        <w:rPr>
          <w:rFonts w:eastAsia="DengXian" w:cs="Times New Roman"/>
          <w:sz w:val="20"/>
          <w:szCs w:val="20"/>
          <w:lang w:eastAsia="zh-CN"/>
        </w:rPr>
        <w:t>Progression-free Survival as a Surrogate End-point in Advanced Colorectal Cancer Treated with Antiangiogenic Therapies. Anticancer Research 2016;36:4259-65.</w:t>
      </w:r>
    </w:p>
    <w:p w14:paraId="5F232A9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85.</w:t>
      </w:r>
      <w:r w:rsidRPr="002D1DD7">
        <w:rPr>
          <w:rFonts w:eastAsia="DengXian" w:cs="Times New Roman"/>
          <w:sz w:val="20"/>
          <w:szCs w:val="20"/>
          <w:lang w:eastAsia="zh-CN"/>
        </w:rPr>
        <w:tab/>
        <w:t>Morris PD, Laurence JM, Yeo D, et al. Can Response to Locoregional Therapy Help Predict Longterm Survival After Liver Transplantation for Hepatocellular Carcinoma? A Systematic Review. Liver Transplantation 2017;23:375-85.</w:t>
      </w:r>
    </w:p>
    <w:p w14:paraId="6326D0A8"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86.</w:t>
      </w:r>
      <w:r w:rsidRPr="002D1DD7">
        <w:rPr>
          <w:rFonts w:eastAsia="DengXian" w:cs="Times New Roman"/>
          <w:sz w:val="20"/>
          <w:szCs w:val="20"/>
          <w:lang w:eastAsia="zh-CN"/>
        </w:rPr>
        <w:tab/>
        <w:t>Munshi NC, Avet-Loiseau H, Rawstron AC, et al. Association of Minimal Residual Disease With Superior Survival Outcomes in Patients With Multiple Myeloma: A Meta-analysis. JAMA Oncology 2017;3:28-35.</w:t>
      </w:r>
    </w:p>
    <w:p w14:paraId="631FA508"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87.</w:t>
      </w:r>
      <w:r w:rsidRPr="002D1DD7">
        <w:rPr>
          <w:rFonts w:eastAsia="DengXian" w:cs="Times New Roman"/>
          <w:sz w:val="20"/>
          <w:szCs w:val="20"/>
          <w:lang w:eastAsia="zh-CN"/>
        </w:rPr>
        <w:tab/>
        <w:t>Othus M, van Putten W, Lowenberg B, et al. Relationship between event-free survival and overall survival in acute myeloid leukemia: a report from SWOG, HOVON/SAKK, and MRC/NCRI. Haematologica 2016;101:284-6.</w:t>
      </w:r>
    </w:p>
    <w:p w14:paraId="500B023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88.</w:t>
      </w:r>
      <w:r w:rsidRPr="002D1DD7">
        <w:rPr>
          <w:rFonts w:eastAsia="DengXian" w:cs="Times New Roman"/>
          <w:sz w:val="20"/>
          <w:szCs w:val="20"/>
          <w:lang w:eastAsia="zh-CN"/>
        </w:rPr>
        <w:tab/>
        <w:t>Petrelli F, Coinu A, Cabiddu M, et al. Early analysis of surrogate endpoints for metastatic melanoma in immune checkpoint inhibitor trials. Medicine 2016;95.</w:t>
      </w:r>
    </w:p>
    <w:p w14:paraId="5161D24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89.</w:t>
      </w:r>
      <w:r w:rsidRPr="002D1DD7">
        <w:rPr>
          <w:rFonts w:eastAsia="DengXian" w:cs="Times New Roman"/>
          <w:sz w:val="20"/>
          <w:szCs w:val="20"/>
          <w:lang w:eastAsia="zh-CN"/>
        </w:rPr>
        <w:tab/>
        <w:t>Peveling-Oberhag J, Arcaini L, Bankov K, Zeuzem S, Herrmann E. The anti-lymphoma activity of antiviral therapy in HCV-associated B-cell non-Hodgkin lymphomas: a meta-analysis. Journal of Viral Hepatitis 2016;23:536-44.</w:t>
      </w:r>
    </w:p>
    <w:p w14:paraId="30CD9C48"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90.</w:t>
      </w:r>
      <w:r w:rsidRPr="002D1DD7">
        <w:rPr>
          <w:rFonts w:eastAsia="DengXian" w:cs="Times New Roman"/>
          <w:sz w:val="20"/>
          <w:szCs w:val="20"/>
          <w:lang w:eastAsia="zh-CN"/>
        </w:rPr>
        <w:tab/>
        <w:t>Polley MYC, Lamborn KR, Chang SM, Butowski N, Clarke JL, Prados M. Six-month progression-free survival as an alternative primary efficacy endpoint to overall survival in newly diagnosed glioblastoma patients receiving temozolomide. Neuro-Oncology 2010;12:274-82.</w:t>
      </w:r>
    </w:p>
    <w:p w14:paraId="5AF1347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91.</w:t>
      </w:r>
      <w:r w:rsidRPr="002D1DD7">
        <w:rPr>
          <w:rFonts w:eastAsia="DengXian" w:cs="Times New Roman"/>
          <w:sz w:val="20"/>
          <w:szCs w:val="20"/>
          <w:lang w:eastAsia="zh-CN"/>
        </w:rPr>
        <w:tab/>
        <w:t>Pujol JL, Pirker R, Lynch TJ, et al. Meta-analysis of individual patient data from randomized trials of chemotherapy plus cetuximab as first-line treatment for advanced non-small cell lung cancer. Lung Cancer 2014;83:211-8.</w:t>
      </w:r>
    </w:p>
    <w:p w14:paraId="7277CAC5"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92.</w:t>
      </w:r>
      <w:r w:rsidRPr="002D1DD7">
        <w:rPr>
          <w:rFonts w:eastAsia="DengXian" w:cs="Times New Roman"/>
          <w:sz w:val="20"/>
          <w:szCs w:val="20"/>
          <w:lang w:eastAsia="zh-CN"/>
        </w:rPr>
        <w:tab/>
        <w:t>Rotolo F, Pignon JP, Bourhis J, et al. Surrogate End Points for Overall Survival in Loco-Regionally Advanced Nasopharyngeal Carcinoma: An Individual Patient Data Meta-analysis. Jnci-Journal of the National Cancer Institute 2017;109.</w:t>
      </w:r>
    </w:p>
    <w:p w14:paraId="78AAD136"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93.</w:t>
      </w:r>
      <w:r w:rsidRPr="002D1DD7">
        <w:rPr>
          <w:rFonts w:eastAsia="DengXian" w:cs="Times New Roman"/>
          <w:sz w:val="20"/>
          <w:szCs w:val="20"/>
          <w:lang w:eastAsia="zh-CN"/>
        </w:rPr>
        <w:tab/>
        <w:t>Shafrin J, Brookmeyer R, Peneva D, et al. The value of surrogate endpoints for predicting real-world survival across five cancer types. Current Medical Research and Opinion 2016;32:731-9.</w:t>
      </w:r>
    </w:p>
    <w:p w14:paraId="4C290951"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94.</w:t>
      </w:r>
      <w:r w:rsidRPr="002D1DD7">
        <w:rPr>
          <w:rFonts w:eastAsia="DengXian" w:cs="Times New Roman"/>
          <w:sz w:val="20"/>
          <w:szCs w:val="20"/>
          <w:lang w:eastAsia="zh-CN"/>
        </w:rPr>
        <w:tab/>
        <w:t>Shi Q, Schmitz N, Ou FS, et al. Progression-Free Survival as a Surrogate End Point for Overall Survival in First-Line Diffuse Large B-Cell Lymphoma: An Individual Patient-Level Analysis of Multiple Randomized Trials (SEAL). Journal of Clinical Oncology 2018;36:2593-+.</w:t>
      </w:r>
    </w:p>
    <w:p w14:paraId="5D573646" w14:textId="77777777" w:rsidR="00057280" w:rsidRPr="00D6492A" w:rsidRDefault="00057280" w:rsidP="00057280">
      <w:pPr>
        <w:spacing w:before="0" w:after="120" w:line="240" w:lineRule="auto"/>
        <w:ind w:left="426" w:hanging="426"/>
        <w:jc w:val="both"/>
        <w:rPr>
          <w:rFonts w:eastAsia="DengXian" w:cs="Times New Roman"/>
          <w:sz w:val="20"/>
          <w:szCs w:val="20"/>
          <w:lang w:val="fr-FR" w:eastAsia="zh-CN"/>
        </w:rPr>
      </w:pPr>
      <w:r w:rsidRPr="002D1DD7">
        <w:rPr>
          <w:rFonts w:eastAsia="DengXian" w:cs="Times New Roman"/>
          <w:sz w:val="20"/>
          <w:szCs w:val="20"/>
          <w:lang w:eastAsia="zh-CN"/>
        </w:rPr>
        <w:t>95.</w:t>
      </w:r>
      <w:r w:rsidRPr="002D1DD7">
        <w:rPr>
          <w:rFonts w:eastAsia="DengXian" w:cs="Times New Roman"/>
          <w:sz w:val="20"/>
          <w:szCs w:val="20"/>
          <w:lang w:eastAsia="zh-CN"/>
        </w:rPr>
        <w:tab/>
        <w:t xml:space="preserve">Shih T, Lindley C. Bevacizumab: an angiogenesis inhibitor for the treatment of solid malignancies. </w:t>
      </w:r>
      <w:r w:rsidRPr="00D6492A">
        <w:rPr>
          <w:rFonts w:eastAsia="DengXian" w:cs="Times New Roman"/>
          <w:sz w:val="20"/>
          <w:szCs w:val="20"/>
          <w:lang w:val="fr-FR" w:eastAsia="zh-CN"/>
        </w:rPr>
        <w:t>Clinical Therapeutics 2006;28:1779-802.</w:t>
      </w:r>
    </w:p>
    <w:p w14:paraId="75CA111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fr-FR" w:eastAsia="zh-CN"/>
        </w:rPr>
        <w:t>96.</w:t>
      </w:r>
      <w:r w:rsidRPr="00D6492A">
        <w:rPr>
          <w:rFonts w:eastAsia="DengXian" w:cs="Times New Roman"/>
          <w:sz w:val="20"/>
          <w:szCs w:val="20"/>
          <w:lang w:val="fr-FR" w:eastAsia="zh-CN"/>
        </w:rPr>
        <w:tab/>
        <w:t xml:space="preserve">Shimokawa M, Kogawa T, Shimada T, et al. </w:t>
      </w:r>
      <w:r w:rsidRPr="002D1DD7">
        <w:rPr>
          <w:rFonts w:eastAsia="DengXian" w:cs="Times New Roman"/>
          <w:sz w:val="20"/>
          <w:szCs w:val="20"/>
          <w:lang w:eastAsia="zh-CN"/>
        </w:rPr>
        <w:t>Overall survival and post-progression survival are potent endpoint in phase III trials of second/third-line chemotherapy for advanced or recurrent epithelial ovarian cancer. Journal of Cancer 2018;9:872-9.</w:t>
      </w:r>
    </w:p>
    <w:p w14:paraId="63FD99C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97.</w:t>
      </w:r>
      <w:r w:rsidRPr="002D1DD7">
        <w:rPr>
          <w:rFonts w:eastAsia="DengXian" w:cs="Times New Roman"/>
          <w:sz w:val="20"/>
          <w:szCs w:val="20"/>
          <w:lang w:eastAsia="zh-CN"/>
        </w:rPr>
        <w:tab/>
        <w:t>Sjoquist KM, Lord SJ, Friedlander ML, Simes RJ, Marschner IC, Lee CK. Progression-free survival as a surrogate endpoint for overall survival in modern ovarian cancer trials: a meta-analysis. Therapeutic Advances in Medical Oncology 2018;10:1-16.</w:t>
      </w:r>
    </w:p>
    <w:p w14:paraId="1300869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98.</w:t>
      </w:r>
      <w:r w:rsidRPr="002D1DD7">
        <w:rPr>
          <w:rFonts w:eastAsia="DengXian" w:cs="Times New Roman"/>
          <w:sz w:val="20"/>
          <w:szCs w:val="20"/>
          <w:lang w:eastAsia="zh-CN"/>
        </w:rPr>
        <w:tab/>
        <w:t>Song SY, Seo H, Kim G, Kim AR, Kim EY. Trends in endpoint selection in clinical trials of advanced breast cancer. Journal of Cancer Research and Clinical Oncology 2016;142:2403-13.</w:t>
      </w:r>
    </w:p>
    <w:p w14:paraId="1637090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99.</w:t>
      </w:r>
      <w:r w:rsidRPr="002D1DD7">
        <w:rPr>
          <w:rFonts w:eastAsia="DengXian" w:cs="Times New Roman"/>
          <w:sz w:val="20"/>
          <w:szCs w:val="20"/>
          <w:lang w:eastAsia="zh-CN"/>
        </w:rPr>
        <w:tab/>
        <w:t>Sonpavde G, Pond GR, Rosenberg JE, et al. Complete response as an intermediate end point in patients receiving salvage systemic therapy for urothelial carcinoma. Clinical Genitourinary Cancer 2015;13:185-92.</w:t>
      </w:r>
    </w:p>
    <w:p w14:paraId="5862D6D1"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100.</w:t>
      </w:r>
      <w:r w:rsidRPr="002D1DD7">
        <w:rPr>
          <w:rFonts w:eastAsia="DengXian" w:cs="Times New Roman"/>
          <w:sz w:val="20"/>
          <w:szCs w:val="20"/>
          <w:lang w:eastAsia="zh-CN"/>
        </w:rPr>
        <w:tab/>
        <w:t>Suciu S, Eggermont AM, Lorigan P, et al. Relapse-free survival as a surrogate for overall survival in the evaluation of stage II–III melanoma adjuvant therapy. JNCI: Journal of the National Cancer Institute 2017;110:87-96.</w:t>
      </w:r>
    </w:p>
    <w:p w14:paraId="62D7F86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101.</w:t>
      </w:r>
      <w:r w:rsidRPr="002D1DD7">
        <w:rPr>
          <w:rFonts w:eastAsia="DengXian" w:cs="Times New Roman"/>
          <w:sz w:val="20"/>
          <w:szCs w:val="20"/>
          <w:lang w:eastAsia="zh-CN"/>
        </w:rPr>
        <w:tab/>
        <w:t>Tan A, Porcher R, Crequit P, Ravaud P, Dechartres A. Differences in Treatment Effect Size Between Overall Survival and Progression-Free Survival in Immunotherapy Trials: A Meta-Epidemiologic Study of Trials With Results Posted at ClinicalTrials.gov. Journal of Clinical Oncology 2017;35:1686-+.</w:t>
      </w:r>
    </w:p>
    <w:p w14:paraId="12605CA9" w14:textId="77777777" w:rsidR="00057280" w:rsidRPr="00D6492A" w:rsidRDefault="00057280" w:rsidP="00057280">
      <w:pPr>
        <w:spacing w:before="0" w:after="120" w:line="240" w:lineRule="auto"/>
        <w:ind w:left="426" w:hanging="426"/>
        <w:jc w:val="both"/>
        <w:rPr>
          <w:rFonts w:eastAsia="DengXian" w:cs="Times New Roman"/>
          <w:sz w:val="20"/>
          <w:szCs w:val="20"/>
          <w:lang w:val="fr-FR" w:eastAsia="zh-CN"/>
        </w:rPr>
      </w:pPr>
      <w:r w:rsidRPr="002D1DD7">
        <w:rPr>
          <w:rFonts w:eastAsia="DengXian" w:cs="Times New Roman"/>
          <w:sz w:val="20"/>
          <w:szCs w:val="20"/>
          <w:lang w:eastAsia="zh-CN"/>
        </w:rPr>
        <w:t>102.</w:t>
      </w:r>
      <w:r w:rsidRPr="002D1DD7">
        <w:rPr>
          <w:rFonts w:eastAsia="DengXian" w:cs="Times New Roman"/>
          <w:sz w:val="20"/>
          <w:szCs w:val="20"/>
          <w:lang w:eastAsia="zh-CN"/>
        </w:rPr>
        <w:tab/>
        <w:t xml:space="preserve">Terashima T, Yamashita T, Takata N, et al. Post-progression survival and progression-free survival in patients with advanced hepatocellular carcinoma treated by sorafenib. </w:t>
      </w:r>
      <w:r w:rsidRPr="00D6492A">
        <w:rPr>
          <w:rFonts w:eastAsia="DengXian" w:cs="Times New Roman"/>
          <w:sz w:val="20"/>
          <w:szCs w:val="20"/>
          <w:lang w:val="fr-FR" w:eastAsia="zh-CN"/>
        </w:rPr>
        <w:t>Hepatology Research 2016;46:650-6.</w:t>
      </w:r>
    </w:p>
    <w:p w14:paraId="15CF747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fr-FR" w:eastAsia="zh-CN"/>
        </w:rPr>
        <w:t>103.</w:t>
      </w:r>
      <w:r w:rsidRPr="00D6492A">
        <w:rPr>
          <w:rFonts w:eastAsia="DengXian" w:cs="Times New Roman"/>
          <w:sz w:val="20"/>
          <w:szCs w:val="20"/>
          <w:lang w:val="fr-FR" w:eastAsia="zh-CN"/>
        </w:rPr>
        <w:tab/>
        <w:t xml:space="preserve">Terashima T, Yamashita T, Toyama T, et al. </w:t>
      </w:r>
      <w:r w:rsidRPr="002D1DD7">
        <w:rPr>
          <w:rFonts w:eastAsia="DengXian" w:cs="Times New Roman"/>
          <w:sz w:val="20"/>
          <w:szCs w:val="20"/>
          <w:lang w:eastAsia="zh-CN"/>
        </w:rPr>
        <w:t>Surrogacy of Time to Progression for Overall Survival in Advanced Hepatocellular Carcinoma Treated with Systemic Therapy: A Systematic Review and Meta-Analysis of Randomized Controlled Trials. Liver Cancer 2019;8:130-9.</w:t>
      </w:r>
    </w:p>
    <w:p w14:paraId="52B303F8" w14:textId="77777777" w:rsidR="00057280" w:rsidRPr="00D6492A" w:rsidRDefault="00057280" w:rsidP="00057280">
      <w:pPr>
        <w:spacing w:before="0" w:after="120" w:line="240" w:lineRule="auto"/>
        <w:ind w:left="426" w:hanging="426"/>
        <w:jc w:val="both"/>
        <w:rPr>
          <w:rFonts w:eastAsia="DengXian" w:cs="Times New Roman"/>
          <w:sz w:val="20"/>
          <w:szCs w:val="20"/>
          <w:lang w:val="it-IT" w:eastAsia="zh-CN"/>
        </w:rPr>
      </w:pPr>
      <w:r w:rsidRPr="002D1DD7">
        <w:rPr>
          <w:rFonts w:eastAsia="DengXian" w:cs="Times New Roman"/>
          <w:sz w:val="20"/>
          <w:szCs w:val="20"/>
          <w:lang w:eastAsia="zh-CN"/>
        </w:rPr>
        <w:t>104.</w:t>
      </w:r>
      <w:r w:rsidRPr="002D1DD7">
        <w:rPr>
          <w:rFonts w:eastAsia="DengXian" w:cs="Times New Roman"/>
          <w:sz w:val="20"/>
          <w:szCs w:val="20"/>
          <w:lang w:eastAsia="zh-CN"/>
        </w:rPr>
        <w:tab/>
        <w:t xml:space="preserve">Trotman J, Luminari S, Boussetta S, et al. Prognostic value of PET-CT after first-line therapy in patients with follicular lymphoma: a pooled analysis of central scan review in three multicentre studies. </w:t>
      </w:r>
      <w:r w:rsidRPr="00D6492A">
        <w:rPr>
          <w:rFonts w:eastAsia="DengXian" w:cs="Times New Roman"/>
          <w:sz w:val="20"/>
          <w:szCs w:val="20"/>
          <w:lang w:val="it-IT" w:eastAsia="zh-CN"/>
        </w:rPr>
        <w:t>Lancet Haematology 2014;1:E17-E27.</w:t>
      </w:r>
    </w:p>
    <w:p w14:paraId="38AC10AB"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it-IT" w:eastAsia="zh-CN"/>
        </w:rPr>
        <w:t>105.</w:t>
      </w:r>
      <w:r w:rsidRPr="00D6492A">
        <w:rPr>
          <w:rFonts w:eastAsia="DengXian" w:cs="Times New Roman"/>
          <w:sz w:val="20"/>
          <w:szCs w:val="20"/>
          <w:lang w:val="it-IT" w:eastAsia="zh-CN"/>
        </w:rPr>
        <w:tab/>
        <w:t xml:space="preserve">Valentini V, van Stiphout RG, Lammering G, et al. </w:t>
      </w:r>
      <w:r w:rsidRPr="002D1DD7">
        <w:rPr>
          <w:rFonts w:eastAsia="DengXian" w:cs="Times New Roman"/>
          <w:sz w:val="20"/>
          <w:szCs w:val="20"/>
          <w:lang w:eastAsia="zh-CN"/>
        </w:rPr>
        <w:t>Selection of appropriate end-points (pCR vs 2yDFS) for tailoring treatments with prediction models in locally advanced rectal cancer. Radiotherapy &amp; Oncology 2015;114:302-9.</w:t>
      </w:r>
    </w:p>
    <w:p w14:paraId="3C084637"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106.</w:t>
      </w:r>
      <w:r w:rsidRPr="002D1DD7">
        <w:rPr>
          <w:rFonts w:eastAsia="DengXian" w:cs="Times New Roman"/>
          <w:sz w:val="20"/>
          <w:szCs w:val="20"/>
          <w:lang w:eastAsia="zh-CN"/>
        </w:rPr>
        <w:tab/>
        <w:t>van Mackelenbergh MT, Denkert C, Nekljudova V, et al. Outcome after neoadjuvant chemotherapy in estrogen receptor-positive and progesterone receptor-negative breast cancer patients: a pooled analysis of individual patient data from ten prospectively randomized controlled neoadjuvant trials. Breast Cancer Research &amp; Treatment 2018;167:59-71.</w:t>
      </w:r>
    </w:p>
    <w:p w14:paraId="247A7A8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107.</w:t>
      </w:r>
      <w:r w:rsidRPr="002D1DD7">
        <w:rPr>
          <w:rFonts w:eastAsia="DengXian" w:cs="Times New Roman"/>
          <w:sz w:val="20"/>
          <w:szCs w:val="20"/>
          <w:lang w:eastAsia="zh-CN"/>
        </w:rPr>
        <w:tab/>
        <w:t>Xie WL, Regan MM, Buyse M, et al. Metastasis-Free Survival Is a Strong Surrogate of Overall Survival in Localized Prostate Cancer. Journal of Clinical Oncology 2017;35:3097-104.</w:t>
      </w:r>
    </w:p>
    <w:p w14:paraId="09BA8E7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108.</w:t>
      </w:r>
      <w:r w:rsidRPr="002D1DD7">
        <w:rPr>
          <w:rFonts w:eastAsia="DengXian" w:cs="Times New Roman"/>
          <w:sz w:val="20"/>
          <w:szCs w:val="20"/>
          <w:lang w:eastAsia="zh-CN"/>
        </w:rPr>
        <w:tab/>
        <w:t>Xu XS, Ryan CJ, Stuyckens K, et al. Correlation between Prostate-Specific Antigen Kinetics and Overall Survival in Abiraterone Acetate-Treated Castration-Resistant Prostate Cancer Patients. Clinical Cancer Research 2015;21:3170-7.</w:t>
      </w:r>
    </w:p>
    <w:p w14:paraId="54F93344"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109.</w:t>
      </w:r>
      <w:r w:rsidRPr="002D1DD7">
        <w:rPr>
          <w:rFonts w:eastAsia="DengXian" w:cs="Times New Roman"/>
          <w:sz w:val="20"/>
          <w:szCs w:val="20"/>
          <w:lang w:eastAsia="zh-CN"/>
        </w:rPr>
        <w:tab/>
        <w:t>Zhao S, Zhang Z, Zhang Y, et al. Progression‐free survival and one‐year milestone survival as surrogates for overall survival in previously treated advanced non‐small cell lung cancer. International journal of cancer 2018.</w:t>
      </w:r>
    </w:p>
    <w:p w14:paraId="6A13BCB6" w14:textId="77777777" w:rsidR="00C9471F" w:rsidRDefault="00C9471F" w:rsidP="00C9471F">
      <w:pPr>
        <w:rPr>
          <w:b/>
          <w:bCs/>
          <w:lang w:eastAsia="zh-CN"/>
        </w:rPr>
      </w:pPr>
      <w:bookmarkStart w:id="316" w:name="_Toc33198797"/>
      <w:bookmarkStart w:id="317" w:name="_Toc33695109"/>
      <w:bookmarkStart w:id="318" w:name="_Toc33696071"/>
      <w:bookmarkStart w:id="319" w:name="_Toc33696969"/>
    </w:p>
    <w:p w14:paraId="1E94046D" w14:textId="369E1837" w:rsidR="00057280" w:rsidRPr="00C9471F" w:rsidRDefault="00057280" w:rsidP="00C9471F">
      <w:pPr>
        <w:rPr>
          <w:b/>
          <w:bCs/>
          <w:lang w:eastAsia="zh-CN"/>
        </w:rPr>
      </w:pPr>
      <w:r w:rsidRPr="00C9471F">
        <w:rPr>
          <w:b/>
          <w:bCs/>
          <w:lang w:eastAsia="zh-CN"/>
        </w:rPr>
        <w:t>No correlation coefficient or R</w:t>
      </w:r>
      <w:r w:rsidRPr="00C9471F">
        <w:rPr>
          <w:b/>
          <w:bCs/>
          <w:vertAlign w:val="superscript"/>
          <w:lang w:eastAsia="zh-CN"/>
        </w:rPr>
        <w:t>2</w:t>
      </w:r>
      <w:r w:rsidRPr="00C9471F">
        <w:rPr>
          <w:b/>
          <w:bCs/>
          <w:lang w:eastAsia="zh-CN"/>
        </w:rPr>
        <w:t xml:space="preserve"> (n=13)</w:t>
      </w:r>
      <w:bookmarkEnd w:id="316"/>
      <w:bookmarkEnd w:id="317"/>
      <w:bookmarkEnd w:id="318"/>
      <w:bookmarkEnd w:id="319"/>
    </w:p>
    <w:p w14:paraId="2F7A998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D6492A">
        <w:rPr>
          <w:rFonts w:eastAsia="DengXian" w:cs="Times New Roman"/>
          <w:sz w:val="20"/>
          <w:szCs w:val="20"/>
          <w:lang w:val="nl-NL" w:eastAsia="zh-CN"/>
        </w:rPr>
        <w:t>110.</w:t>
      </w:r>
      <w:r w:rsidRPr="00D6492A">
        <w:rPr>
          <w:rFonts w:eastAsia="DengXian" w:cs="Times New Roman"/>
          <w:sz w:val="20"/>
          <w:szCs w:val="20"/>
          <w:lang w:val="nl-NL" w:eastAsia="zh-CN"/>
        </w:rPr>
        <w:tab/>
        <w:t xml:space="preserve">Lee CK, Lord S, Marschner I, et al. </w:t>
      </w:r>
      <w:r w:rsidRPr="002D1DD7">
        <w:rPr>
          <w:rFonts w:eastAsia="DengXian" w:cs="Times New Roman"/>
          <w:sz w:val="20"/>
          <w:szCs w:val="20"/>
          <w:lang w:eastAsia="zh-CN"/>
        </w:rPr>
        <w:t>The Value of Early Depth of Response in Predicting Long-Term Outcome in EGFR-Mutant Lung Cancer. Journal of Thoracic Oncology 2018;13:792-800.</w:t>
      </w:r>
    </w:p>
    <w:p w14:paraId="0D61626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111.</w:t>
      </w:r>
      <w:r w:rsidRPr="002D1DD7">
        <w:rPr>
          <w:rFonts w:eastAsia="DengXian" w:cs="Times New Roman"/>
          <w:sz w:val="20"/>
          <w:szCs w:val="20"/>
          <w:lang w:eastAsia="zh-CN"/>
        </w:rPr>
        <w:tab/>
        <w:t>Loupakis F, Cremolini C, Salvatore L, et al. Clinical impact of anti-epidermal growth factor receptor monoclonal antibodies in first-line treatment of metastatic colorectal cancer. Cancer 2012;118:1523-32.</w:t>
      </w:r>
    </w:p>
    <w:p w14:paraId="6C09F63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112.</w:t>
      </w:r>
      <w:r w:rsidRPr="002D1DD7">
        <w:rPr>
          <w:rFonts w:eastAsia="DengXian" w:cs="Times New Roman"/>
          <w:sz w:val="20"/>
          <w:szCs w:val="20"/>
          <w:lang w:eastAsia="zh-CN"/>
        </w:rPr>
        <w:tab/>
        <w:t>Mandrekar SJ, Qi Y, Hillman SL, et al. Endpoints in Phase II trials for advanced non-small cell lung cancer. Journal of Thoracic Oncology 2010;5:3-9.</w:t>
      </w:r>
    </w:p>
    <w:p w14:paraId="55389206"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113.</w:t>
      </w:r>
      <w:r w:rsidRPr="002D1DD7">
        <w:rPr>
          <w:rFonts w:eastAsia="DengXian" w:cs="Times New Roman"/>
          <w:sz w:val="20"/>
          <w:szCs w:val="20"/>
          <w:lang w:eastAsia="zh-CN"/>
        </w:rPr>
        <w:tab/>
        <w:t>Mardis M, Davis J, Benningfield B, et al. Shift-to-Shift Handoff Effects on Patient Safety and Outcomes: A Systematic Review. American Journal of Medical Quality 2017;32:34-42.</w:t>
      </w:r>
    </w:p>
    <w:p w14:paraId="7646C06D"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114.</w:t>
      </w:r>
      <w:r w:rsidRPr="002D1DD7">
        <w:rPr>
          <w:rFonts w:eastAsia="DengXian" w:cs="Times New Roman"/>
          <w:sz w:val="20"/>
          <w:szCs w:val="20"/>
          <w:lang w:eastAsia="zh-CN"/>
        </w:rPr>
        <w:tab/>
        <w:t>Meyer T, Palmer DH, Cheng AL, Hocke J, Loembe AB, Yen CJ. mRECIST to predict survival in advanced hepatocellular carcinoma: Analysis of two randomised phase II trials comparing nintedanib vs sorafenib. Liver International 2017;37:1047-55.</w:t>
      </w:r>
    </w:p>
    <w:p w14:paraId="1351040C" w14:textId="0A4CFE18"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115.</w:t>
      </w:r>
      <w:r w:rsidRPr="002D1DD7">
        <w:rPr>
          <w:rFonts w:eastAsia="DengXian" w:cs="Times New Roman"/>
          <w:sz w:val="20"/>
          <w:szCs w:val="20"/>
          <w:lang w:eastAsia="zh-CN"/>
        </w:rPr>
        <w:tab/>
        <w:t xml:space="preserve">Ming-Wen A, Xinxin D, Meyers J, et al. Evaluating Continuous </w:t>
      </w:r>
      <w:r w:rsidR="00787BBC" w:rsidRPr="002D1DD7">
        <w:rPr>
          <w:rFonts w:eastAsia="DengXian" w:cs="Times New Roman"/>
          <w:sz w:val="20"/>
          <w:szCs w:val="20"/>
          <w:lang w:eastAsia="zh-CN"/>
        </w:rPr>
        <w:t>Tumour</w:t>
      </w:r>
      <w:r w:rsidRPr="002D1DD7">
        <w:rPr>
          <w:rFonts w:eastAsia="DengXian" w:cs="Times New Roman"/>
          <w:sz w:val="20"/>
          <w:szCs w:val="20"/>
          <w:lang w:eastAsia="zh-CN"/>
        </w:rPr>
        <w:t xml:space="preserve"> Measurement-Based Metrics as Phase II Endpoints for Predicting Overall Survival. JNCI: Journal of the National Cancer Institute 2015;107:1-7.</w:t>
      </w:r>
    </w:p>
    <w:p w14:paraId="2614E9F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116.</w:t>
      </w:r>
      <w:r w:rsidRPr="002D1DD7">
        <w:rPr>
          <w:rFonts w:eastAsia="DengXian" w:cs="Times New Roman"/>
          <w:sz w:val="20"/>
          <w:szCs w:val="20"/>
          <w:lang w:eastAsia="zh-CN"/>
        </w:rPr>
        <w:tab/>
        <w:t>Okines AF, Gonzalez de Castro D, Cunningham D, et al. Biomarker analysis in oesophagogastric cancer: Results from the REAL3 and TransMAGIC trials. European Journal of Cancer 2013;49:2116-25.</w:t>
      </w:r>
    </w:p>
    <w:p w14:paraId="0B5FBB7D"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117.</w:t>
      </w:r>
      <w:r w:rsidRPr="002D1DD7">
        <w:rPr>
          <w:rFonts w:eastAsia="DengXian" w:cs="Times New Roman"/>
          <w:sz w:val="20"/>
          <w:szCs w:val="20"/>
          <w:lang w:eastAsia="zh-CN"/>
        </w:rPr>
        <w:tab/>
        <w:t>Park WH, Shim JH, Han SB, et al. Clinical utility of des-gamma-carboxyprothrombin kinetics as a complement to radiologic response in patients with hepatocellular carcinoma undergoing transarterial chemoembolization. Journal of Vascular &amp; Interventional Radiology 2012;23:927-36.</w:t>
      </w:r>
    </w:p>
    <w:p w14:paraId="72A86454"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118.</w:t>
      </w:r>
      <w:r w:rsidRPr="002D1DD7">
        <w:rPr>
          <w:rFonts w:eastAsia="DengXian" w:cs="Times New Roman"/>
          <w:sz w:val="20"/>
          <w:szCs w:val="20"/>
          <w:lang w:eastAsia="zh-CN"/>
        </w:rPr>
        <w:tab/>
        <w:t>Pinato DJ, Arizumi T, Jang JW, et al. Combined sequential use of HAP and ART scores to predict survival outcome and treatment failure following chemoembolization in hepatocellular carcinoma: a multi-center comparative study. Oncotarget 2016;7:44705-18.</w:t>
      </w:r>
    </w:p>
    <w:p w14:paraId="411DD404"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119.</w:t>
      </w:r>
      <w:r w:rsidRPr="002D1DD7">
        <w:rPr>
          <w:rFonts w:eastAsia="DengXian" w:cs="Times New Roman"/>
          <w:sz w:val="20"/>
          <w:szCs w:val="20"/>
          <w:lang w:eastAsia="zh-CN"/>
        </w:rPr>
        <w:tab/>
        <w:t>Schwaederle M, Zhao M, Lee JJ, et al. Association of Biomarker-Based Treatment Strategies With Response Rates and Progression-Free Survival in Refractory Malignant Neoplasms: A Meta-analysis. JAMA Oncology 2016;2:1452-9.</w:t>
      </w:r>
    </w:p>
    <w:p w14:paraId="305B6DB4"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120.</w:t>
      </w:r>
      <w:r w:rsidRPr="002D1DD7">
        <w:rPr>
          <w:rFonts w:eastAsia="DengXian" w:cs="Times New Roman"/>
          <w:sz w:val="20"/>
          <w:szCs w:val="20"/>
          <w:lang w:eastAsia="zh-CN"/>
        </w:rPr>
        <w:tab/>
        <w:t>Shao YY, Lin ZZ, Hsu C, Shen YC, Hsu CH, Cheng AL. Early alpha-fetoprotein response predicts treatment efficacy of antiangiogenic systemic therapy in patients with advanced hepatocellular carcinoma. Cancer 2010;116:4590-6.</w:t>
      </w:r>
    </w:p>
    <w:p w14:paraId="3E8C5A79"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121.</w:t>
      </w:r>
      <w:r w:rsidRPr="002D1DD7">
        <w:rPr>
          <w:rFonts w:eastAsia="DengXian" w:cs="Times New Roman"/>
          <w:sz w:val="20"/>
          <w:szCs w:val="20"/>
          <w:lang w:eastAsia="zh-CN"/>
        </w:rPr>
        <w:tab/>
        <w:t>Wong D, Ko AH, Hwang J, Venook AP, Bergsland EK, Tempero MA. Serum CA19-9 Decline Compared to Radiographic Response as a Surrogate for Clinical Outcomes in Patients With Metastatic Pancreatic Cancer Receiving Chemotherapy. Pancreas 2008;37:269-74.</w:t>
      </w:r>
    </w:p>
    <w:p w14:paraId="2977A3C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122.</w:t>
      </w:r>
      <w:r w:rsidRPr="002D1DD7">
        <w:rPr>
          <w:rFonts w:eastAsia="DengXian" w:cs="Times New Roman"/>
          <w:sz w:val="20"/>
          <w:szCs w:val="20"/>
          <w:lang w:eastAsia="zh-CN"/>
        </w:rPr>
        <w:tab/>
        <w:t>Zhang YJ, Zhang MP, Chen MS, et al. Association of Sustained Response Duration With Survival After Conventional Transarterial Chemoembolization in Patients With Hepatocellular Carcinoma. Jama Network Open 2018;1.</w:t>
      </w:r>
    </w:p>
    <w:p w14:paraId="570B8C5E" w14:textId="77777777" w:rsidR="00C9471F" w:rsidRDefault="00C9471F" w:rsidP="00C9471F">
      <w:pPr>
        <w:rPr>
          <w:b/>
          <w:bCs/>
          <w:lang w:eastAsia="zh-CN"/>
        </w:rPr>
      </w:pPr>
      <w:bookmarkStart w:id="320" w:name="_Toc33198798"/>
      <w:bookmarkStart w:id="321" w:name="_Toc33695110"/>
      <w:bookmarkStart w:id="322" w:name="_Toc33696072"/>
      <w:bookmarkStart w:id="323" w:name="_Toc33696970"/>
    </w:p>
    <w:p w14:paraId="2E7430B3" w14:textId="1330ED48" w:rsidR="00057280" w:rsidRPr="00C9471F" w:rsidRDefault="00057280" w:rsidP="00C9471F">
      <w:pPr>
        <w:rPr>
          <w:b/>
          <w:bCs/>
          <w:lang w:eastAsia="zh-CN"/>
        </w:rPr>
      </w:pPr>
      <w:r w:rsidRPr="00C9471F">
        <w:rPr>
          <w:b/>
          <w:bCs/>
          <w:lang w:eastAsia="zh-CN"/>
        </w:rPr>
        <w:t>Secondary publication, no additional data (n=10)</w:t>
      </w:r>
      <w:bookmarkEnd w:id="320"/>
      <w:bookmarkEnd w:id="321"/>
      <w:bookmarkEnd w:id="322"/>
      <w:bookmarkEnd w:id="323"/>
    </w:p>
    <w:p w14:paraId="3A7D057D"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123.</w:t>
      </w:r>
      <w:r w:rsidRPr="002D1DD7">
        <w:rPr>
          <w:rFonts w:eastAsia="DengXian" w:cs="Times New Roman"/>
          <w:sz w:val="20"/>
          <w:szCs w:val="20"/>
          <w:lang w:eastAsia="zh-CN"/>
        </w:rPr>
        <w:tab/>
        <w:t>Burzykowski T, Molenberghs G, Buyse M. The validation of surrogate end points by using data from randomized clinical trials: a case-study in advanced colorectal cancer. J Roy Stat Soc a Sta 2004;167:103-24.</w:t>
      </w:r>
    </w:p>
    <w:p w14:paraId="69486AAB"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124.</w:t>
      </w:r>
      <w:r w:rsidRPr="002D1DD7">
        <w:rPr>
          <w:rFonts w:eastAsia="DengXian" w:cs="Times New Roman"/>
          <w:sz w:val="20"/>
          <w:szCs w:val="20"/>
          <w:lang w:eastAsia="zh-CN"/>
        </w:rPr>
        <w:tab/>
        <w:t>Lee LM, Wang L, Crump M. Identification of Potential Surrogate Endpoints in Randomized Clinical Trials of Aggressive Non-Hodgkin Lymphoma: Correlation of Complete Response, Time-to-Event and Overall Survival Data. Blood 2009;114:1424-, Abstract 3699.</w:t>
      </w:r>
    </w:p>
    <w:p w14:paraId="1A310F4B"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125.</w:t>
      </w:r>
      <w:r w:rsidRPr="002D1DD7">
        <w:rPr>
          <w:rFonts w:eastAsia="DengXian" w:cs="Times New Roman"/>
          <w:sz w:val="20"/>
          <w:szCs w:val="20"/>
          <w:lang w:eastAsia="zh-CN"/>
        </w:rPr>
        <w:tab/>
        <w:t>Narkhede MS, Cheson BD. Surrogate Endpoints and Risk Adaptive Strategies in Previously Untreated Follicular Lymphoma. Clinical Lymphoma Myeloma &amp; Leukemia 2018;18:447-51.</w:t>
      </w:r>
    </w:p>
    <w:p w14:paraId="67247CA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126.</w:t>
      </w:r>
      <w:r w:rsidRPr="002D1DD7">
        <w:rPr>
          <w:rFonts w:eastAsia="DengXian" w:cs="Times New Roman"/>
          <w:sz w:val="20"/>
          <w:szCs w:val="20"/>
          <w:lang w:eastAsia="zh-CN"/>
        </w:rPr>
        <w:tab/>
        <w:t>Rotolo F, Paoletti X, Burzykowski T, Buyse M, Michiels S. A Poisson approach to the validation of failure time surrogate endpoints in individual patient data meta-analyses. Statistical Methods in Medical Research 2019;28:170-83.</w:t>
      </w:r>
    </w:p>
    <w:p w14:paraId="7DCFB6C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127.</w:t>
      </w:r>
      <w:r w:rsidRPr="002D1DD7">
        <w:rPr>
          <w:rFonts w:eastAsia="DengXian" w:cs="Times New Roman"/>
          <w:sz w:val="20"/>
          <w:szCs w:val="20"/>
          <w:lang w:eastAsia="zh-CN"/>
        </w:rPr>
        <w:tab/>
        <w:t>Rotolo F, Paoletti X, Michiels S. surrosurv: An R package for the evaluation of failure time surrogate endpoints in individual patient data meta-analyses of randomized clinical trials. Computer Methods and Programs in Biomedicine 2018;155:189-98.</w:t>
      </w:r>
    </w:p>
    <w:p w14:paraId="24A52BB8"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128.</w:t>
      </w:r>
      <w:r w:rsidRPr="002D1DD7">
        <w:rPr>
          <w:rFonts w:eastAsia="DengXian" w:cs="Times New Roman"/>
          <w:sz w:val="20"/>
          <w:szCs w:val="20"/>
          <w:lang w:eastAsia="zh-CN"/>
        </w:rPr>
        <w:tab/>
        <w:t>Savina M, Gourgou S, Italiano A, et al. Meta-analyses evaluating surrogate endpoints for overall survival in cancer randomized trials: A critical review. Critical Reviews in Oncology Hematology 2018;123:21-41.</w:t>
      </w:r>
    </w:p>
    <w:p w14:paraId="6F8B09E2"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129.</w:t>
      </w:r>
      <w:r w:rsidRPr="002D1DD7">
        <w:rPr>
          <w:rFonts w:eastAsia="DengXian" w:cs="Times New Roman"/>
          <w:sz w:val="20"/>
          <w:szCs w:val="20"/>
          <w:lang w:eastAsia="zh-CN"/>
        </w:rPr>
        <w:tab/>
        <w:t>Sherrill B, Amonkar M, Wu Y, et al. Relationship between effects on time-to-disease progression and overall survival in studies of metastatic breast cancer. British Journal of Cancer 2008;99:1572-8.</w:t>
      </w:r>
    </w:p>
    <w:p w14:paraId="44070D5A"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130.</w:t>
      </w:r>
      <w:r w:rsidRPr="002D1DD7">
        <w:rPr>
          <w:rFonts w:eastAsia="DengXian" w:cs="Times New Roman"/>
          <w:sz w:val="20"/>
          <w:szCs w:val="20"/>
          <w:lang w:eastAsia="zh-CN"/>
        </w:rPr>
        <w:tab/>
        <w:t>Sherrill B, Kaye JA, Sandin R, Cappelleri JC, Chen C. Review of meta-analyses evaluating surrogate endpoints for overall survival in oncology. Oncotargets and Therapy 2012;5:287-96.</w:t>
      </w:r>
    </w:p>
    <w:p w14:paraId="5D97FF0C"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131.</w:t>
      </w:r>
      <w:r w:rsidRPr="002D1DD7">
        <w:rPr>
          <w:rFonts w:eastAsia="DengXian" w:cs="Times New Roman"/>
          <w:sz w:val="20"/>
          <w:szCs w:val="20"/>
          <w:lang w:eastAsia="zh-CN"/>
        </w:rPr>
        <w:tab/>
        <w:t>Van der Elst W, Molenberghs G, Alonso A. Exploring the relationship between the causal-inference and meta-analytic paradigms for the evaluation of surrogate endpoints. Statistics in Medicine 2016;35:1281-98.</w:t>
      </w:r>
    </w:p>
    <w:p w14:paraId="2B2068E5"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132.</w:t>
      </w:r>
      <w:r w:rsidRPr="002D1DD7">
        <w:rPr>
          <w:rFonts w:eastAsia="DengXian" w:cs="Times New Roman"/>
          <w:sz w:val="20"/>
          <w:szCs w:val="20"/>
          <w:lang w:eastAsia="zh-CN"/>
        </w:rPr>
        <w:tab/>
        <w:t>Xie W, Halabi S, Tierney JF, et al. A Systematic Review and Recommendation for Reporting of Surrogate Endpoint Evaluation using Meta-analyses (ReSEEM). JNCI Cancer Spectrum 2019.</w:t>
      </w:r>
    </w:p>
    <w:p w14:paraId="126788E9" w14:textId="77777777" w:rsidR="00C9471F" w:rsidRDefault="00C9471F" w:rsidP="00C9471F">
      <w:pPr>
        <w:rPr>
          <w:b/>
          <w:bCs/>
          <w:lang w:eastAsia="zh-CN"/>
        </w:rPr>
      </w:pPr>
      <w:bookmarkStart w:id="324" w:name="_Toc33198799"/>
      <w:bookmarkStart w:id="325" w:name="_Toc33695111"/>
      <w:bookmarkStart w:id="326" w:name="_Toc33696073"/>
      <w:bookmarkStart w:id="327" w:name="_Toc33696971"/>
    </w:p>
    <w:p w14:paraId="5A9EA4AA" w14:textId="3B1792CD" w:rsidR="00057280" w:rsidRPr="00C9471F" w:rsidRDefault="00057280" w:rsidP="00C9471F">
      <w:pPr>
        <w:rPr>
          <w:b/>
          <w:bCs/>
          <w:lang w:eastAsia="zh-CN"/>
        </w:rPr>
      </w:pPr>
      <w:r w:rsidRPr="00C9471F">
        <w:rPr>
          <w:b/>
          <w:bCs/>
          <w:lang w:eastAsia="zh-CN"/>
        </w:rPr>
        <w:t>Insufficient data reported (n=1)</w:t>
      </w:r>
      <w:bookmarkEnd w:id="324"/>
      <w:bookmarkEnd w:id="325"/>
      <w:bookmarkEnd w:id="326"/>
      <w:bookmarkEnd w:id="327"/>
    </w:p>
    <w:p w14:paraId="1320075F"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133.</w:t>
      </w:r>
      <w:r w:rsidRPr="002D1DD7">
        <w:rPr>
          <w:rFonts w:eastAsia="DengXian" w:cs="Times New Roman"/>
          <w:sz w:val="20"/>
          <w:szCs w:val="20"/>
          <w:lang w:eastAsia="zh-CN"/>
        </w:rPr>
        <w:tab/>
        <w:t>Zierhut ML, Puchalski T, Rizo A, et al. Is Complete Remission Rate Predictive of Median Overall Survival? A Model-Based Meta-Analysis in Patients with Acute Myeloid Leukemia. Journal of Pharmacokinetics and Pharmacodynamics 2017;44:S59-S.</w:t>
      </w:r>
    </w:p>
    <w:p w14:paraId="1683E40E" w14:textId="77777777" w:rsidR="00C9471F" w:rsidRDefault="00C9471F" w:rsidP="00C9471F">
      <w:pPr>
        <w:rPr>
          <w:b/>
          <w:bCs/>
          <w:lang w:eastAsia="zh-CN"/>
        </w:rPr>
      </w:pPr>
      <w:bookmarkStart w:id="328" w:name="_Toc33198800"/>
      <w:bookmarkStart w:id="329" w:name="_Toc33695112"/>
      <w:bookmarkStart w:id="330" w:name="_Toc33696074"/>
      <w:bookmarkStart w:id="331" w:name="_Toc33696972"/>
    </w:p>
    <w:p w14:paraId="54A3BAA5" w14:textId="4CFCBA4C" w:rsidR="00057280" w:rsidRPr="00C9471F" w:rsidRDefault="00057280" w:rsidP="00C9471F">
      <w:pPr>
        <w:rPr>
          <w:b/>
          <w:bCs/>
          <w:lang w:eastAsia="zh-CN"/>
        </w:rPr>
      </w:pPr>
      <w:r w:rsidRPr="00C9471F">
        <w:rPr>
          <w:b/>
          <w:bCs/>
          <w:lang w:eastAsia="zh-CN"/>
        </w:rPr>
        <w:t>Non-English and insufficient detail (n=1)</w:t>
      </w:r>
      <w:bookmarkEnd w:id="328"/>
      <w:bookmarkEnd w:id="329"/>
      <w:bookmarkEnd w:id="330"/>
      <w:bookmarkEnd w:id="331"/>
    </w:p>
    <w:p w14:paraId="283C1F90"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134.</w:t>
      </w:r>
      <w:r w:rsidRPr="002D1DD7">
        <w:rPr>
          <w:rFonts w:eastAsia="DengXian" w:cs="Times New Roman"/>
          <w:sz w:val="20"/>
          <w:szCs w:val="20"/>
          <w:lang w:eastAsia="zh-CN"/>
        </w:rPr>
        <w:tab/>
        <w:t>Paoletti X, Rotolo F, Michiels S. How a biomarker can become an acceptable substitution criteria ? Bulletin Du Cancer 2016;103:S63-S70.</w:t>
      </w:r>
    </w:p>
    <w:p w14:paraId="194924F4" w14:textId="77777777" w:rsidR="00C9471F" w:rsidRDefault="00C9471F" w:rsidP="00C9471F">
      <w:pPr>
        <w:rPr>
          <w:lang w:eastAsia="zh-CN"/>
        </w:rPr>
      </w:pPr>
      <w:bookmarkStart w:id="332" w:name="_Toc33198801"/>
      <w:bookmarkStart w:id="333" w:name="_Toc33695113"/>
      <w:bookmarkStart w:id="334" w:name="_Toc33696075"/>
      <w:bookmarkStart w:id="335" w:name="_Toc33696973"/>
    </w:p>
    <w:p w14:paraId="2C5689FB" w14:textId="7ABF55BD" w:rsidR="00057280" w:rsidRPr="00C9471F" w:rsidRDefault="00057280" w:rsidP="00C9471F">
      <w:pPr>
        <w:rPr>
          <w:b/>
          <w:bCs/>
          <w:lang w:eastAsia="zh-CN"/>
        </w:rPr>
      </w:pPr>
      <w:r w:rsidRPr="00C9471F">
        <w:rPr>
          <w:b/>
          <w:bCs/>
          <w:lang w:eastAsia="zh-CN"/>
        </w:rPr>
        <w:t>Not available (n=1)</w:t>
      </w:r>
      <w:bookmarkEnd w:id="332"/>
      <w:bookmarkEnd w:id="333"/>
      <w:bookmarkEnd w:id="334"/>
      <w:bookmarkEnd w:id="335"/>
    </w:p>
    <w:p w14:paraId="0EF837AE" w14:textId="77777777" w:rsidR="00057280" w:rsidRPr="002D1DD7" w:rsidRDefault="00057280" w:rsidP="00057280">
      <w:pPr>
        <w:spacing w:before="0" w:after="120" w:line="240" w:lineRule="auto"/>
        <w:ind w:left="426" w:hanging="426"/>
        <w:jc w:val="both"/>
        <w:rPr>
          <w:rFonts w:eastAsia="DengXian" w:cs="Times New Roman"/>
          <w:sz w:val="20"/>
          <w:szCs w:val="20"/>
          <w:lang w:eastAsia="zh-CN"/>
        </w:rPr>
      </w:pPr>
      <w:r w:rsidRPr="002D1DD7">
        <w:rPr>
          <w:rFonts w:eastAsia="DengXian" w:cs="Times New Roman"/>
          <w:sz w:val="20"/>
          <w:szCs w:val="20"/>
          <w:lang w:eastAsia="zh-CN"/>
        </w:rPr>
        <w:t>135.</w:t>
      </w:r>
      <w:r w:rsidRPr="002D1DD7">
        <w:rPr>
          <w:rFonts w:eastAsia="DengXian" w:cs="Times New Roman"/>
          <w:sz w:val="20"/>
          <w:szCs w:val="20"/>
          <w:lang w:eastAsia="zh-CN"/>
        </w:rPr>
        <w:tab/>
        <w:t>Woo KM, Gonen M, Schnorr G, Silvestri GA, Bach PB. Surrogate Markers and the Association of Low-Dose CT Lung Cancer Screening With Mortality. Jama Oncology 2018;4:1006-8.</w:t>
      </w:r>
    </w:p>
    <w:p w14:paraId="637CCB5A" w14:textId="77777777" w:rsidR="00057280" w:rsidRPr="002D1DD7" w:rsidRDefault="00057280" w:rsidP="00057280">
      <w:pPr>
        <w:spacing w:before="0" w:after="160" w:line="259" w:lineRule="auto"/>
        <w:jc w:val="both"/>
        <w:rPr>
          <w:rFonts w:eastAsia="DengXian" w:cs="Times New Roman"/>
          <w:lang w:eastAsia="zh-CN"/>
        </w:rPr>
      </w:pPr>
    </w:p>
    <w:p w14:paraId="13FD8B1B" w14:textId="77777777" w:rsidR="00424CC3" w:rsidRPr="002D1DD7" w:rsidRDefault="00424CC3">
      <w:pPr>
        <w:rPr>
          <w:rFonts w:eastAsia="DengXian Light" w:cs="Times New Roman"/>
          <w:b/>
          <w:bCs/>
        </w:rPr>
      </w:pPr>
      <w:r w:rsidRPr="002D1DD7">
        <w:rPr>
          <w:rFonts w:eastAsia="DengXian Light" w:cs="Times New Roman"/>
          <w:b/>
          <w:bCs/>
        </w:rPr>
        <w:br w:type="page"/>
      </w:r>
    </w:p>
    <w:p w14:paraId="13D90FEC" w14:textId="2296D0CD" w:rsidR="004C66DF" w:rsidRPr="004C66DF" w:rsidRDefault="00424CC3" w:rsidP="00E46767">
      <w:pPr>
        <w:pStyle w:val="NonnumberedH2"/>
      </w:pPr>
      <w:bookmarkStart w:id="336" w:name="_Toc33696076"/>
      <w:bookmarkStart w:id="337" w:name="_Toc33776258"/>
      <w:r w:rsidRPr="002D1DD7">
        <w:t>Appendix 8:</w:t>
      </w:r>
      <w:r w:rsidR="004C66DF">
        <w:t xml:space="preserve"> </w:t>
      </w:r>
      <w:r w:rsidR="004C66DF" w:rsidRPr="004C66DF">
        <w:t>A targeted review of published NICE technology appraisals where initial marketing authorisation was based on response outcomes from single-arm studies</w:t>
      </w:r>
      <w:bookmarkEnd w:id="336"/>
      <w:bookmarkEnd w:id="337"/>
    </w:p>
    <w:p w14:paraId="43B41D3A" w14:textId="77777777" w:rsidR="00E46767" w:rsidRDefault="00E46767" w:rsidP="004C66DF"/>
    <w:p w14:paraId="63E3CB88" w14:textId="1DEF4239" w:rsidR="004C66DF" w:rsidRDefault="004C66DF" w:rsidP="004C66DF">
      <w:r w:rsidRPr="00195E79">
        <w:t xml:space="preserve">For each TA, a summary of the main clinical studies supporting the intervention being assessed along with the number of patients, the study location, the magnitude of the ORR and whether PFS and OS data were available were extracted. Full results can be seen in </w:t>
      </w:r>
      <w:r>
        <w:fldChar w:fldCharType="begin"/>
      </w:r>
      <w:r>
        <w:instrText xml:space="preserve"> REF _Ref31563512 \h </w:instrText>
      </w:r>
      <w:r>
        <w:fldChar w:fldCharType="separate"/>
      </w:r>
      <w:r w:rsidR="00C9471F">
        <w:t xml:space="preserve">Table </w:t>
      </w:r>
      <w:r w:rsidR="00C9471F">
        <w:rPr>
          <w:noProof/>
        </w:rPr>
        <w:t>33</w:t>
      </w:r>
      <w:r>
        <w:fldChar w:fldCharType="end"/>
      </w:r>
      <w:r w:rsidRPr="00195E79">
        <w:t>.</w:t>
      </w:r>
    </w:p>
    <w:p w14:paraId="35040184" w14:textId="77777777" w:rsidR="004C66DF" w:rsidRDefault="004C66DF" w:rsidP="004C66DF"/>
    <w:p w14:paraId="75BAE803" w14:textId="77777777" w:rsidR="004C66DF" w:rsidRDefault="004C66DF" w:rsidP="004C66DF">
      <w:pPr>
        <w:sectPr w:rsidR="004C66DF" w:rsidSect="00B0116C">
          <w:pgSz w:w="11906" w:h="16838"/>
          <w:pgMar w:top="1440" w:right="1440" w:bottom="1440" w:left="1440" w:header="709" w:footer="709" w:gutter="0"/>
          <w:cols w:space="708"/>
          <w:docGrid w:linePitch="360"/>
        </w:sectPr>
      </w:pPr>
    </w:p>
    <w:p w14:paraId="1E63AABC" w14:textId="7EA532B2" w:rsidR="004C66DF" w:rsidRDefault="004C66DF" w:rsidP="004C66DF">
      <w:pPr>
        <w:pStyle w:val="Caption"/>
      </w:pPr>
      <w:bookmarkStart w:id="338" w:name="_Ref31563512"/>
      <w:bookmarkStart w:id="339" w:name="_Toc34033547"/>
      <w:r>
        <w:t xml:space="preserve">Table </w:t>
      </w:r>
      <w:r w:rsidR="00C974E5">
        <w:fldChar w:fldCharType="begin"/>
      </w:r>
      <w:r w:rsidR="00C974E5">
        <w:instrText xml:space="preserve"> SEQ Table \* ARABIC </w:instrText>
      </w:r>
      <w:r w:rsidR="00C974E5">
        <w:fldChar w:fldCharType="separate"/>
      </w:r>
      <w:r w:rsidR="00E46767">
        <w:rPr>
          <w:noProof/>
        </w:rPr>
        <w:t>33</w:t>
      </w:r>
      <w:r w:rsidR="00C974E5">
        <w:rPr>
          <w:noProof/>
        </w:rPr>
        <w:fldChar w:fldCharType="end"/>
      </w:r>
      <w:bookmarkEnd w:id="338"/>
      <w:r>
        <w:rPr>
          <w:noProof/>
        </w:rPr>
        <w:t>:</w:t>
      </w:r>
      <w:r>
        <w:t xml:space="preserve"> </w:t>
      </w:r>
      <w:r w:rsidRPr="002D1DD7">
        <w:rPr>
          <w:rFonts w:cs="Times New Roman"/>
          <w:sz w:val="22"/>
          <w:szCs w:val="22"/>
        </w:rPr>
        <w:t>Summary of clinical studies supporting the NICE TAs</w:t>
      </w:r>
      <w:bookmarkEnd w:id="339"/>
    </w:p>
    <w:tbl>
      <w:tblPr>
        <w:tblStyle w:val="TableGrid"/>
        <w:tblW w:w="13882" w:type="dxa"/>
        <w:tblLayout w:type="fixed"/>
        <w:tblLook w:val="04A0" w:firstRow="1" w:lastRow="0" w:firstColumn="1" w:lastColumn="0" w:noHBand="0" w:noVBand="1"/>
      </w:tblPr>
      <w:tblGrid>
        <w:gridCol w:w="1583"/>
        <w:gridCol w:w="1150"/>
        <w:gridCol w:w="2383"/>
        <w:gridCol w:w="879"/>
        <w:gridCol w:w="1225"/>
        <w:gridCol w:w="2268"/>
        <w:gridCol w:w="2268"/>
        <w:gridCol w:w="2126"/>
      </w:tblGrid>
      <w:tr w:rsidR="004C66DF" w:rsidRPr="002D1DD7" w14:paraId="1734D13B" w14:textId="77777777" w:rsidTr="00E46767">
        <w:tc>
          <w:tcPr>
            <w:tcW w:w="1583" w:type="dxa"/>
            <w:tcBorders>
              <w:top w:val="single" w:sz="4" w:space="0" w:color="auto"/>
              <w:left w:val="single" w:sz="8" w:space="0" w:color="auto"/>
              <w:bottom w:val="single" w:sz="8" w:space="0" w:color="auto"/>
            </w:tcBorders>
            <w:vAlign w:val="center"/>
          </w:tcPr>
          <w:p w14:paraId="7099BAA5" w14:textId="77777777" w:rsidR="004C66DF" w:rsidRPr="00AA1EC7" w:rsidRDefault="004C66DF" w:rsidP="00E46767">
            <w:pPr>
              <w:contextualSpacing/>
              <w:rPr>
                <w:rFonts w:cs="Times New Roman"/>
                <w:b/>
                <w:sz w:val="20"/>
                <w:szCs w:val="20"/>
              </w:rPr>
            </w:pPr>
            <w:r w:rsidRPr="00AA1EC7">
              <w:rPr>
                <w:rFonts w:cs="Times New Roman"/>
                <w:b/>
                <w:sz w:val="20"/>
                <w:szCs w:val="20"/>
              </w:rPr>
              <w:t>Intervention</w:t>
            </w:r>
          </w:p>
        </w:tc>
        <w:tc>
          <w:tcPr>
            <w:tcW w:w="1150" w:type="dxa"/>
            <w:tcBorders>
              <w:top w:val="single" w:sz="4" w:space="0" w:color="auto"/>
              <w:bottom w:val="single" w:sz="8" w:space="0" w:color="auto"/>
            </w:tcBorders>
            <w:vAlign w:val="center"/>
          </w:tcPr>
          <w:p w14:paraId="549A4FAA" w14:textId="77777777" w:rsidR="004C66DF" w:rsidRPr="00AA1EC7" w:rsidRDefault="004C66DF" w:rsidP="00E46767">
            <w:pPr>
              <w:contextualSpacing/>
              <w:rPr>
                <w:rFonts w:cs="Times New Roman"/>
                <w:b/>
                <w:sz w:val="20"/>
                <w:szCs w:val="20"/>
              </w:rPr>
            </w:pPr>
            <w:r w:rsidRPr="00AA1EC7">
              <w:rPr>
                <w:rFonts w:cs="Times New Roman"/>
                <w:b/>
                <w:sz w:val="20"/>
                <w:szCs w:val="20"/>
              </w:rPr>
              <w:t>NICE TA</w:t>
            </w:r>
          </w:p>
        </w:tc>
        <w:tc>
          <w:tcPr>
            <w:tcW w:w="2383" w:type="dxa"/>
            <w:tcBorders>
              <w:top w:val="single" w:sz="4" w:space="0" w:color="auto"/>
              <w:bottom w:val="single" w:sz="8" w:space="0" w:color="auto"/>
            </w:tcBorders>
            <w:vAlign w:val="center"/>
          </w:tcPr>
          <w:p w14:paraId="3EEF132F" w14:textId="77777777" w:rsidR="004C66DF" w:rsidRPr="00AA1EC7" w:rsidRDefault="004C66DF" w:rsidP="00E46767">
            <w:pPr>
              <w:contextualSpacing/>
              <w:rPr>
                <w:rFonts w:cs="Times New Roman"/>
                <w:b/>
                <w:sz w:val="20"/>
                <w:szCs w:val="20"/>
              </w:rPr>
            </w:pPr>
            <w:r w:rsidRPr="00AA1EC7">
              <w:rPr>
                <w:rFonts w:cs="Times New Roman"/>
                <w:b/>
                <w:sz w:val="20"/>
                <w:szCs w:val="20"/>
              </w:rPr>
              <w:t>Clinical Study</w:t>
            </w:r>
          </w:p>
        </w:tc>
        <w:tc>
          <w:tcPr>
            <w:tcW w:w="879" w:type="dxa"/>
            <w:tcBorders>
              <w:top w:val="single" w:sz="4" w:space="0" w:color="auto"/>
              <w:bottom w:val="single" w:sz="8" w:space="0" w:color="auto"/>
            </w:tcBorders>
            <w:vAlign w:val="center"/>
          </w:tcPr>
          <w:p w14:paraId="74BFD786" w14:textId="77777777" w:rsidR="004C66DF" w:rsidRPr="00AA1EC7" w:rsidRDefault="004C66DF" w:rsidP="00E46767">
            <w:pPr>
              <w:contextualSpacing/>
              <w:rPr>
                <w:rFonts w:cs="Times New Roman"/>
                <w:b/>
                <w:sz w:val="20"/>
                <w:szCs w:val="20"/>
              </w:rPr>
            </w:pPr>
            <w:r w:rsidRPr="00AA1EC7">
              <w:rPr>
                <w:rFonts w:cs="Times New Roman"/>
                <w:b/>
                <w:sz w:val="20"/>
                <w:szCs w:val="20"/>
              </w:rPr>
              <w:t>Sample Size (n)</w:t>
            </w:r>
          </w:p>
        </w:tc>
        <w:tc>
          <w:tcPr>
            <w:tcW w:w="1225" w:type="dxa"/>
            <w:tcBorders>
              <w:top w:val="single" w:sz="4" w:space="0" w:color="auto"/>
              <w:bottom w:val="single" w:sz="8" w:space="0" w:color="auto"/>
            </w:tcBorders>
            <w:vAlign w:val="center"/>
          </w:tcPr>
          <w:p w14:paraId="7EBC2DA1" w14:textId="77777777" w:rsidR="004C66DF" w:rsidRPr="00AA1EC7" w:rsidRDefault="004C66DF" w:rsidP="00E46767">
            <w:pPr>
              <w:contextualSpacing/>
              <w:rPr>
                <w:rFonts w:cs="Times New Roman"/>
                <w:b/>
                <w:sz w:val="20"/>
                <w:szCs w:val="20"/>
              </w:rPr>
            </w:pPr>
            <w:r w:rsidRPr="00AA1EC7">
              <w:rPr>
                <w:rFonts w:cs="Times New Roman"/>
                <w:b/>
                <w:sz w:val="20"/>
                <w:szCs w:val="20"/>
              </w:rPr>
              <w:t>Number of Countries</w:t>
            </w:r>
          </w:p>
        </w:tc>
        <w:tc>
          <w:tcPr>
            <w:tcW w:w="2268" w:type="dxa"/>
            <w:tcBorders>
              <w:top w:val="single" w:sz="4" w:space="0" w:color="auto"/>
              <w:bottom w:val="single" w:sz="8" w:space="0" w:color="auto"/>
            </w:tcBorders>
            <w:vAlign w:val="center"/>
          </w:tcPr>
          <w:p w14:paraId="142F86BB" w14:textId="77777777" w:rsidR="004C66DF" w:rsidRPr="00AA1EC7" w:rsidRDefault="004C66DF" w:rsidP="00E46767">
            <w:pPr>
              <w:contextualSpacing/>
              <w:rPr>
                <w:rFonts w:cs="Times New Roman"/>
                <w:b/>
                <w:sz w:val="20"/>
                <w:szCs w:val="20"/>
              </w:rPr>
            </w:pPr>
            <w:r w:rsidRPr="00AA1EC7">
              <w:rPr>
                <w:rFonts w:cs="Times New Roman"/>
                <w:b/>
                <w:sz w:val="20"/>
                <w:szCs w:val="20"/>
              </w:rPr>
              <w:t>ORR Outcomes (response rate, 95% CI)</w:t>
            </w:r>
          </w:p>
        </w:tc>
        <w:tc>
          <w:tcPr>
            <w:tcW w:w="2268" w:type="dxa"/>
            <w:tcBorders>
              <w:top w:val="single" w:sz="4" w:space="0" w:color="auto"/>
              <w:bottom w:val="single" w:sz="8" w:space="0" w:color="auto"/>
            </w:tcBorders>
            <w:vAlign w:val="center"/>
          </w:tcPr>
          <w:p w14:paraId="7E50768B" w14:textId="77777777" w:rsidR="004C66DF" w:rsidRPr="00AA1EC7" w:rsidRDefault="004C66DF" w:rsidP="00E46767">
            <w:pPr>
              <w:contextualSpacing/>
              <w:rPr>
                <w:rFonts w:cs="Times New Roman"/>
                <w:b/>
                <w:sz w:val="20"/>
                <w:szCs w:val="20"/>
              </w:rPr>
            </w:pPr>
            <w:r w:rsidRPr="00AA1EC7">
              <w:rPr>
                <w:rFonts w:cs="Times New Roman"/>
                <w:b/>
                <w:sz w:val="20"/>
                <w:szCs w:val="20"/>
              </w:rPr>
              <w:t xml:space="preserve">PFS Outcomes Median, months (95% CI) </w:t>
            </w:r>
          </w:p>
        </w:tc>
        <w:tc>
          <w:tcPr>
            <w:tcW w:w="2126" w:type="dxa"/>
            <w:tcBorders>
              <w:top w:val="single" w:sz="4" w:space="0" w:color="auto"/>
              <w:bottom w:val="single" w:sz="8" w:space="0" w:color="auto"/>
              <w:right w:val="single" w:sz="8" w:space="0" w:color="auto"/>
            </w:tcBorders>
            <w:vAlign w:val="center"/>
          </w:tcPr>
          <w:p w14:paraId="6FE09EB1" w14:textId="77777777" w:rsidR="004C66DF" w:rsidRPr="00AA1EC7" w:rsidRDefault="004C66DF" w:rsidP="00E46767">
            <w:pPr>
              <w:contextualSpacing/>
              <w:rPr>
                <w:rFonts w:cs="Times New Roman"/>
                <w:b/>
                <w:sz w:val="20"/>
                <w:szCs w:val="20"/>
              </w:rPr>
            </w:pPr>
            <w:r w:rsidRPr="00AA1EC7">
              <w:rPr>
                <w:rFonts w:cs="Times New Roman"/>
                <w:b/>
                <w:sz w:val="20"/>
                <w:szCs w:val="20"/>
              </w:rPr>
              <w:t>OS outcomes Median, months (95% CI)</w:t>
            </w:r>
          </w:p>
        </w:tc>
      </w:tr>
      <w:tr w:rsidR="004C66DF" w:rsidRPr="002D1DD7" w14:paraId="4E839069" w14:textId="77777777" w:rsidTr="00E46767">
        <w:tc>
          <w:tcPr>
            <w:tcW w:w="1583" w:type="dxa"/>
            <w:vMerge w:val="restart"/>
            <w:tcBorders>
              <w:top w:val="single" w:sz="8" w:space="0" w:color="auto"/>
              <w:left w:val="single" w:sz="8" w:space="0" w:color="auto"/>
            </w:tcBorders>
            <w:vAlign w:val="center"/>
          </w:tcPr>
          <w:p w14:paraId="604B91AF" w14:textId="77777777" w:rsidR="004C66DF" w:rsidRPr="00AA1EC7" w:rsidRDefault="004C66DF" w:rsidP="00E46767">
            <w:pPr>
              <w:contextualSpacing/>
              <w:rPr>
                <w:rFonts w:cs="Times New Roman"/>
                <w:sz w:val="20"/>
                <w:szCs w:val="20"/>
              </w:rPr>
            </w:pPr>
            <w:r w:rsidRPr="00AA1EC7">
              <w:rPr>
                <w:rFonts w:cs="Times New Roman"/>
                <w:sz w:val="20"/>
                <w:szCs w:val="20"/>
              </w:rPr>
              <w:t>Ceritinib</w:t>
            </w:r>
          </w:p>
        </w:tc>
        <w:tc>
          <w:tcPr>
            <w:tcW w:w="1150" w:type="dxa"/>
            <w:vMerge w:val="restart"/>
            <w:tcBorders>
              <w:top w:val="single" w:sz="8" w:space="0" w:color="auto"/>
            </w:tcBorders>
            <w:vAlign w:val="center"/>
          </w:tcPr>
          <w:p w14:paraId="4E20CAD4" w14:textId="77777777" w:rsidR="004C66DF" w:rsidRPr="00AA1EC7" w:rsidRDefault="004C66DF" w:rsidP="00E46767">
            <w:pPr>
              <w:contextualSpacing/>
              <w:rPr>
                <w:rFonts w:cs="Times New Roman"/>
                <w:sz w:val="20"/>
                <w:szCs w:val="20"/>
              </w:rPr>
            </w:pPr>
            <w:r w:rsidRPr="00AA1EC7">
              <w:rPr>
                <w:rFonts w:cs="Times New Roman"/>
                <w:sz w:val="20"/>
                <w:szCs w:val="20"/>
              </w:rPr>
              <w:t>TA395</w:t>
            </w:r>
          </w:p>
        </w:tc>
        <w:tc>
          <w:tcPr>
            <w:tcW w:w="2383" w:type="dxa"/>
            <w:tcBorders>
              <w:top w:val="single" w:sz="8" w:space="0" w:color="auto"/>
            </w:tcBorders>
            <w:vAlign w:val="center"/>
          </w:tcPr>
          <w:p w14:paraId="5B120234" w14:textId="77777777" w:rsidR="004C66DF" w:rsidRPr="00AA1EC7" w:rsidRDefault="004C66DF" w:rsidP="00E46767">
            <w:pPr>
              <w:contextualSpacing/>
              <w:rPr>
                <w:rFonts w:cs="Times New Roman"/>
                <w:sz w:val="20"/>
                <w:szCs w:val="20"/>
              </w:rPr>
            </w:pPr>
            <w:r w:rsidRPr="00AA1EC7">
              <w:rPr>
                <w:rFonts w:cs="Times New Roman"/>
                <w:sz w:val="20"/>
                <w:szCs w:val="20"/>
              </w:rPr>
              <w:t>ASCEND-1</w:t>
            </w:r>
          </w:p>
        </w:tc>
        <w:tc>
          <w:tcPr>
            <w:tcW w:w="879" w:type="dxa"/>
            <w:tcBorders>
              <w:top w:val="single" w:sz="8" w:space="0" w:color="auto"/>
            </w:tcBorders>
            <w:vAlign w:val="center"/>
          </w:tcPr>
          <w:p w14:paraId="5CEB60E7" w14:textId="77777777" w:rsidR="004C66DF" w:rsidRPr="00AA1EC7" w:rsidRDefault="004C66DF" w:rsidP="00E46767">
            <w:pPr>
              <w:contextualSpacing/>
              <w:rPr>
                <w:rFonts w:cs="Times New Roman"/>
                <w:sz w:val="20"/>
                <w:szCs w:val="20"/>
              </w:rPr>
            </w:pPr>
            <w:r w:rsidRPr="00AA1EC7">
              <w:rPr>
                <w:rFonts w:cs="Times New Roman"/>
                <w:sz w:val="20"/>
                <w:szCs w:val="20"/>
              </w:rPr>
              <w:t>163</w:t>
            </w:r>
          </w:p>
        </w:tc>
        <w:tc>
          <w:tcPr>
            <w:tcW w:w="1225" w:type="dxa"/>
            <w:tcBorders>
              <w:top w:val="single" w:sz="8" w:space="0" w:color="auto"/>
            </w:tcBorders>
            <w:vAlign w:val="center"/>
          </w:tcPr>
          <w:p w14:paraId="4CF159DB"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tcBorders>
            <w:vAlign w:val="center"/>
          </w:tcPr>
          <w:p w14:paraId="6210FB87" w14:textId="77777777" w:rsidR="004C66DF" w:rsidRPr="00AA1EC7" w:rsidRDefault="004C66DF" w:rsidP="00E46767">
            <w:pPr>
              <w:contextualSpacing/>
              <w:rPr>
                <w:rFonts w:cs="Times New Roman"/>
                <w:sz w:val="20"/>
                <w:szCs w:val="20"/>
              </w:rPr>
            </w:pPr>
            <w:r w:rsidRPr="00AA1EC7">
              <w:rPr>
                <w:rFonts w:cs="Times New Roman"/>
                <w:sz w:val="20"/>
                <w:szCs w:val="20"/>
              </w:rPr>
              <w:t>92% (48.5, 64.2)</w:t>
            </w:r>
          </w:p>
        </w:tc>
        <w:tc>
          <w:tcPr>
            <w:tcW w:w="2268" w:type="dxa"/>
            <w:tcBorders>
              <w:top w:val="single" w:sz="8" w:space="0" w:color="auto"/>
            </w:tcBorders>
            <w:vAlign w:val="center"/>
          </w:tcPr>
          <w:p w14:paraId="408E4322" w14:textId="77777777" w:rsidR="004C66DF" w:rsidRPr="00AA1EC7" w:rsidRDefault="004C66DF" w:rsidP="00E46767">
            <w:pPr>
              <w:contextualSpacing/>
              <w:rPr>
                <w:rFonts w:cs="Times New Roman"/>
                <w:sz w:val="20"/>
                <w:szCs w:val="20"/>
              </w:rPr>
            </w:pPr>
            <w:r w:rsidRPr="00AA1EC7">
              <w:rPr>
                <w:rFonts w:cs="Times New Roman"/>
                <w:sz w:val="20"/>
                <w:szCs w:val="20"/>
              </w:rPr>
              <w:t>6.9 (5.6, 8.7)</w:t>
            </w:r>
          </w:p>
        </w:tc>
        <w:tc>
          <w:tcPr>
            <w:tcW w:w="2126" w:type="dxa"/>
            <w:tcBorders>
              <w:top w:val="single" w:sz="8" w:space="0" w:color="auto"/>
              <w:right w:val="single" w:sz="8" w:space="0" w:color="auto"/>
            </w:tcBorders>
            <w:vAlign w:val="center"/>
          </w:tcPr>
          <w:p w14:paraId="2CB24811" w14:textId="77777777" w:rsidR="004C66DF" w:rsidRPr="00AA1EC7" w:rsidRDefault="004C66DF" w:rsidP="00E46767">
            <w:pPr>
              <w:contextualSpacing/>
              <w:rPr>
                <w:rFonts w:cs="Times New Roman"/>
                <w:sz w:val="20"/>
                <w:szCs w:val="20"/>
              </w:rPr>
            </w:pPr>
            <w:r w:rsidRPr="00AA1EC7">
              <w:rPr>
                <w:rFonts w:cs="Times New Roman"/>
                <w:sz w:val="20"/>
                <w:szCs w:val="20"/>
              </w:rPr>
              <w:t>16.7 (14.78, NE)</w:t>
            </w:r>
          </w:p>
        </w:tc>
      </w:tr>
      <w:tr w:rsidR="004C66DF" w:rsidRPr="002D1DD7" w14:paraId="1D529BEB" w14:textId="77777777" w:rsidTr="00E46767">
        <w:tc>
          <w:tcPr>
            <w:tcW w:w="1583" w:type="dxa"/>
            <w:vMerge/>
            <w:tcBorders>
              <w:left w:val="single" w:sz="8" w:space="0" w:color="auto"/>
              <w:bottom w:val="single" w:sz="8" w:space="0" w:color="auto"/>
            </w:tcBorders>
            <w:vAlign w:val="center"/>
          </w:tcPr>
          <w:p w14:paraId="2847FCFD"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6CC13E83" w14:textId="77777777" w:rsidR="004C66DF" w:rsidRPr="00AA1EC7" w:rsidRDefault="004C66DF" w:rsidP="00E46767">
            <w:pPr>
              <w:contextualSpacing/>
              <w:rPr>
                <w:rFonts w:cs="Times New Roman"/>
                <w:sz w:val="20"/>
                <w:szCs w:val="20"/>
              </w:rPr>
            </w:pPr>
          </w:p>
        </w:tc>
        <w:tc>
          <w:tcPr>
            <w:tcW w:w="2383" w:type="dxa"/>
            <w:tcBorders>
              <w:bottom w:val="single" w:sz="8" w:space="0" w:color="auto"/>
            </w:tcBorders>
            <w:vAlign w:val="center"/>
          </w:tcPr>
          <w:p w14:paraId="4C88282B" w14:textId="77777777" w:rsidR="004C66DF" w:rsidRPr="00AA1EC7" w:rsidRDefault="004C66DF" w:rsidP="00E46767">
            <w:pPr>
              <w:contextualSpacing/>
              <w:rPr>
                <w:rFonts w:cs="Times New Roman"/>
                <w:sz w:val="20"/>
                <w:szCs w:val="20"/>
              </w:rPr>
            </w:pPr>
            <w:r w:rsidRPr="00AA1EC7">
              <w:rPr>
                <w:rFonts w:cs="Times New Roman"/>
                <w:sz w:val="20"/>
                <w:szCs w:val="20"/>
              </w:rPr>
              <w:t>ASCEND-2</w:t>
            </w:r>
          </w:p>
        </w:tc>
        <w:tc>
          <w:tcPr>
            <w:tcW w:w="879" w:type="dxa"/>
            <w:tcBorders>
              <w:bottom w:val="single" w:sz="8" w:space="0" w:color="auto"/>
            </w:tcBorders>
            <w:vAlign w:val="center"/>
          </w:tcPr>
          <w:p w14:paraId="1E79C7C6" w14:textId="77777777" w:rsidR="004C66DF" w:rsidRPr="00AA1EC7" w:rsidRDefault="004C66DF" w:rsidP="00E46767">
            <w:pPr>
              <w:contextualSpacing/>
              <w:rPr>
                <w:rFonts w:cs="Times New Roman"/>
                <w:sz w:val="20"/>
                <w:szCs w:val="20"/>
              </w:rPr>
            </w:pPr>
            <w:r w:rsidRPr="00AA1EC7">
              <w:rPr>
                <w:rFonts w:cs="Times New Roman"/>
                <w:sz w:val="20"/>
                <w:szCs w:val="20"/>
              </w:rPr>
              <w:t>140</w:t>
            </w:r>
          </w:p>
        </w:tc>
        <w:tc>
          <w:tcPr>
            <w:tcW w:w="1225" w:type="dxa"/>
            <w:tcBorders>
              <w:bottom w:val="single" w:sz="8" w:space="0" w:color="auto"/>
            </w:tcBorders>
            <w:vAlign w:val="center"/>
          </w:tcPr>
          <w:p w14:paraId="40F1BBB7"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bottom w:val="single" w:sz="8" w:space="0" w:color="auto"/>
            </w:tcBorders>
            <w:vAlign w:val="center"/>
          </w:tcPr>
          <w:p w14:paraId="14BB2B95" w14:textId="77777777" w:rsidR="004C66DF" w:rsidRPr="00AA1EC7" w:rsidRDefault="004C66DF" w:rsidP="00E46767">
            <w:pPr>
              <w:contextualSpacing/>
              <w:rPr>
                <w:rFonts w:cs="Times New Roman"/>
                <w:sz w:val="20"/>
                <w:szCs w:val="20"/>
              </w:rPr>
            </w:pPr>
            <w:r w:rsidRPr="00AA1EC7">
              <w:rPr>
                <w:rFonts w:cs="Times New Roman"/>
                <w:sz w:val="20"/>
                <w:szCs w:val="20"/>
              </w:rPr>
              <w:t>54% (30.5, 47.2)</w:t>
            </w:r>
          </w:p>
        </w:tc>
        <w:tc>
          <w:tcPr>
            <w:tcW w:w="2268" w:type="dxa"/>
            <w:tcBorders>
              <w:bottom w:val="single" w:sz="8" w:space="0" w:color="auto"/>
            </w:tcBorders>
            <w:vAlign w:val="center"/>
          </w:tcPr>
          <w:p w14:paraId="6B83AD45" w14:textId="77777777" w:rsidR="004C66DF" w:rsidRPr="00AA1EC7" w:rsidRDefault="004C66DF" w:rsidP="00E46767">
            <w:pPr>
              <w:contextualSpacing/>
              <w:rPr>
                <w:rFonts w:cs="Times New Roman"/>
                <w:sz w:val="20"/>
                <w:szCs w:val="20"/>
              </w:rPr>
            </w:pPr>
            <w:r w:rsidRPr="00AA1EC7">
              <w:rPr>
                <w:rFonts w:cs="Times New Roman"/>
                <w:sz w:val="20"/>
                <w:szCs w:val="20"/>
              </w:rPr>
              <w:t>5.7 (5.4, 7.6)</w:t>
            </w:r>
          </w:p>
        </w:tc>
        <w:tc>
          <w:tcPr>
            <w:tcW w:w="2126" w:type="dxa"/>
            <w:tcBorders>
              <w:bottom w:val="single" w:sz="8" w:space="0" w:color="auto"/>
              <w:right w:val="single" w:sz="8" w:space="0" w:color="auto"/>
            </w:tcBorders>
            <w:vAlign w:val="center"/>
          </w:tcPr>
          <w:p w14:paraId="359B2E79" w14:textId="77777777" w:rsidR="004C66DF" w:rsidRPr="00AA1EC7" w:rsidRDefault="004C66DF" w:rsidP="00E46767">
            <w:pPr>
              <w:contextualSpacing/>
              <w:rPr>
                <w:rFonts w:cs="Times New Roman"/>
                <w:sz w:val="20"/>
                <w:szCs w:val="20"/>
              </w:rPr>
            </w:pPr>
            <w:r w:rsidRPr="00AA1EC7">
              <w:rPr>
                <w:rFonts w:cs="Times New Roman"/>
                <w:sz w:val="20"/>
                <w:szCs w:val="20"/>
              </w:rPr>
              <w:t>14.9 (13.5, NE)</w:t>
            </w:r>
          </w:p>
        </w:tc>
      </w:tr>
      <w:tr w:rsidR="004C66DF" w:rsidRPr="002D1DD7" w14:paraId="1B1F0A78" w14:textId="77777777" w:rsidTr="00E46767">
        <w:tc>
          <w:tcPr>
            <w:tcW w:w="1583" w:type="dxa"/>
            <w:vMerge w:val="restart"/>
            <w:tcBorders>
              <w:top w:val="single" w:sz="8" w:space="0" w:color="auto"/>
              <w:left w:val="single" w:sz="8" w:space="0" w:color="auto"/>
            </w:tcBorders>
            <w:vAlign w:val="center"/>
          </w:tcPr>
          <w:p w14:paraId="0534568C" w14:textId="77777777" w:rsidR="004C66DF" w:rsidRPr="00AA1EC7" w:rsidRDefault="004C66DF" w:rsidP="00E46767">
            <w:pPr>
              <w:contextualSpacing/>
              <w:rPr>
                <w:rFonts w:cs="Times New Roman"/>
                <w:sz w:val="20"/>
                <w:szCs w:val="20"/>
              </w:rPr>
            </w:pPr>
            <w:r w:rsidRPr="00AA1EC7">
              <w:rPr>
                <w:rFonts w:cs="Times New Roman"/>
                <w:sz w:val="20"/>
                <w:szCs w:val="20"/>
              </w:rPr>
              <w:t>Osimertinib</w:t>
            </w:r>
          </w:p>
        </w:tc>
        <w:tc>
          <w:tcPr>
            <w:tcW w:w="1150" w:type="dxa"/>
            <w:vMerge w:val="restart"/>
            <w:tcBorders>
              <w:top w:val="single" w:sz="8" w:space="0" w:color="auto"/>
            </w:tcBorders>
            <w:vAlign w:val="center"/>
          </w:tcPr>
          <w:p w14:paraId="43E8F9F9" w14:textId="77777777" w:rsidR="004C66DF" w:rsidRPr="00AA1EC7" w:rsidRDefault="004C66DF" w:rsidP="00E46767">
            <w:pPr>
              <w:contextualSpacing/>
              <w:rPr>
                <w:rFonts w:cs="Times New Roman"/>
                <w:sz w:val="20"/>
                <w:szCs w:val="20"/>
              </w:rPr>
            </w:pPr>
            <w:r w:rsidRPr="00AA1EC7">
              <w:rPr>
                <w:rFonts w:cs="Times New Roman"/>
                <w:sz w:val="20"/>
                <w:szCs w:val="20"/>
              </w:rPr>
              <w:t>TA416</w:t>
            </w:r>
          </w:p>
        </w:tc>
        <w:tc>
          <w:tcPr>
            <w:tcW w:w="2383" w:type="dxa"/>
            <w:tcBorders>
              <w:top w:val="single" w:sz="8" w:space="0" w:color="auto"/>
            </w:tcBorders>
            <w:vAlign w:val="center"/>
          </w:tcPr>
          <w:p w14:paraId="5BCA9960" w14:textId="77777777" w:rsidR="004C66DF" w:rsidRPr="00AA1EC7" w:rsidRDefault="004C66DF" w:rsidP="00E46767">
            <w:pPr>
              <w:contextualSpacing/>
              <w:rPr>
                <w:rFonts w:cs="Times New Roman"/>
                <w:sz w:val="20"/>
                <w:szCs w:val="20"/>
              </w:rPr>
            </w:pPr>
            <w:r w:rsidRPr="00AA1EC7">
              <w:rPr>
                <w:rFonts w:cs="Times New Roman"/>
                <w:sz w:val="20"/>
                <w:szCs w:val="20"/>
              </w:rPr>
              <w:t>AURA ext</w:t>
            </w:r>
          </w:p>
        </w:tc>
        <w:tc>
          <w:tcPr>
            <w:tcW w:w="879" w:type="dxa"/>
            <w:tcBorders>
              <w:top w:val="single" w:sz="8" w:space="0" w:color="auto"/>
            </w:tcBorders>
            <w:vAlign w:val="center"/>
          </w:tcPr>
          <w:p w14:paraId="066AE280" w14:textId="77777777" w:rsidR="004C66DF" w:rsidRPr="00AA1EC7" w:rsidRDefault="004C66DF" w:rsidP="00E46767">
            <w:pPr>
              <w:contextualSpacing/>
              <w:rPr>
                <w:rFonts w:cs="Times New Roman"/>
                <w:sz w:val="20"/>
                <w:szCs w:val="20"/>
              </w:rPr>
            </w:pPr>
            <w:r w:rsidRPr="00AA1EC7">
              <w:rPr>
                <w:rFonts w:cs="Times New Roman"/>
                <w:sz w:val="20"/>
                <w:szCs w:val="20"/>
              </w:rPr>
              <w:t>201</w:t>
            </w:r>
          </w:p>
        </w:tc>
        <w:tc>
          <w:tcPr>
            <w:tcW w:w="1225" w:type="dxa"/>
            <w:tcBorders>
              <w:top w:val="single" w:sz="8" w:space="0" w:color="auto"/>
            </w:tcBorders>
            <w:vAlign w:val="center"/>
          </w:tcPr>
          <w:p w14:paraId="4D800E2F"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tcBorders>
            <w:vAlign w:val="center"/>
          </w:tcPr>
          <w:p w14:paraId="44ACF811" w14:textId="77777777" w:rsidR="004C66DF" w:rsidRPr="00AA1EC7" w:rsidRDefault="004C66DF" w:rsidP="00E46767">
            <w:pPr>
              <w:contextualSpacing/>
              <w:rPr>
                <w:rFonts w:cs="Times New Roman"/>
                <w:sz w:val="20"/>
                <w:szCs w:val="20"/>
              </w:rPr>
            </w:pPr>
            <w:r w:rsidRPr="00AA1EC7">
              <w:rPr>
                <w:rFonts w:cs="Times New Roman"/>
                <w:sz w:val="20"/>
                <w:szCs w:val="20"/>
              </w:rPr>
              <w:t>61.3% (54.2, 68.1)</w:t>
            </w:r>
          </w:p>
        </w:tc>
        <w:tc>
          <w:tcPr>
            <w:tcW w:w="2268" w:type="dxa"/>
            <w:tcBorders>
              <w:top w:val="single" w:sz="8" w:space="0" w:color="auto"/>
            </w:tcBorders>
            <w:vAlign w:val="center"/>
          </w:tcPr>
          <w:p w14:paraId="3AB57998" w14:textId="77777777" w:rsidR="004C66DF" w:rsidRPr="00AA1EC7" w:rsidRDefault="004C66DF" w:rsidP="00E46767">
            <w:pPr>
              <w:contextualSpacing/>
              <w:rPr>
                <w:rFonts w:cs="Times New Roman"/>
                <w:sz w:val="20"/>
                <w:szCs w:val="20"/>
              </w:rPr>
            </w:pPr>
            <w:r w:rsidRPr="00AA1EC7">
              <w:rPr>
                <w:rFonts w:cs="Times New Roman"/>
                <w:sz w:val="20"/>
                <w:szCs w:val="20"/>
              </w:rPr>
              <w:t xml:space="preserve">NC (8.1, NC) </w:t>
            </w:r>
          </w:p>
        </w:tc>
        <w:tc>
          <w:tcPr>
            <w:tcW w:w="2126" w:type="dxa"/>
            <w:tcBorders>
              <w:top w:val="single" w:sz="8" w:space="0" w:color="auto"/>
              <w:right w:val="single" w:sz="8" w:space="0" w:color="auto"/>
            </w:tcBorders>
            <w:vAlign w:val="center"/>
          </w:tcPr>
          <w:p w14:paraId="5F0698C1" w14:textId="77777777" w:rsidR="004C66DF" w:rsidRPr="00AA1EC7" w:rsidRDefault="004C66DF" w:rsidP="00E46767">
            <w:pPr>
              <w:contextualSpacing/>
              <w:rPr>
                <w:rFonts w:cs="Times New Roman"/>
                <w:sz w:val="20"/>
                <w:szCs w:val="20"/>
              </w:rPr>
            </w:pPr>
            <w:r w:rsidRPr="00AA1EC7">
              <w:rPr>
                <w:rFonts w:cs="Times New Roman"/>
                <w:sz w:val="20"/>
                <w:szCs w:val="20"/>
              </w:rPr>
              <w:t>NC</w:t>
            </w:r>
          </w:p>
        </w:tc>
      </w:tr>
      <w:tr w:rsidR="004C66DF" w:rsidRPr="002D1DD7" w14:paraId="792946F2" w14:textId="77777777" w:rsidTr="00E46767">
        <w:tc>
          <w:tcPr>
            <w:tcW w:w="1583" w:type="dxa"/>
            <w:vMerge/>
            <w:tcBorders>
              <w:left w:val="single" w:sz="8" w:space="0" w:color="auto"/>
            </w:tcBorders>
            <w:vAlign w:val="center"/>
          </w:tcPr>
          <w:p w14:paraId="10E155B8" w14:textId="77777777" w:rsidR="004C66DF" w:rsidRPr="00AA1EC7" w:rsidRDefault="004C66DF" w:rsidP="00E46767">
            <w:pPr>
              <w:contextualSpacing/>
              <w:rPr>
                <w:rFonts w:cs="Times New Roman"/>
                <w:sz w:val="20"/>
                <w:szCs w:val="20"/>
              </w:rPr>
            </w:pPr>
          </w:p>
        </w:tc>
        <w:tc>
          <w:tcPr>
            <w:tcW w:w="1150" w:type="dxa"/>
            <w:vMerge/>
            <w:vAlign w:val="center"/>
          </w:tcPr>
          <w:p w14:paraId="2FA22932" w14:textId="77777777" w:rsidR="004C66DF" w:rsidRPr="00AA1EC7" w:rsidRDefault="004C66DF" w:rsidP="00E46767">
            <w:pPr>
              <w:contextualSpacing/>
              <w:rPr>
                <w:rFonts w:cs="Times New Roman"/>
                <w:sz w:val="20"/>
                <w:szCs w:val="20"/>
              </w:rPr>
            </w:pPr>
          </w:p>
        </w:tc>
        <w:tc>
          <w:tcPr>
            <w:tcW w:w="2383" w:type="dxa"/>
            <w:tcBorders>
              <w:bottom w:val="single" w:sz="4" w:space="0" w:color="auto"/>
            </w:tcBorders>
            <w:vAlign w:val="center"/>
          </w:tcPr>
          <w:p w14:paraId="7B132339" w14:textId="77777777" w:rsidR="004C66DF" w:rsidRPr="00AA1EC7" w:rsidRDefault="004C66DF" w:rsidP="00E46767">
            <w:pPr>
              <w:contextualSpacing/>
              <w:rPr>
                <w:rFonts w:cs="Times New Roman"/>
                <w:sz w:val="20"/>
                <w:szCs w:val="20"/>
              </w:rPr>
            </w:pPr>
            <w:r w:rsidRPr="00AA1EC7">
              <w:rPr>
                <w:rFonts w:cs="Times New Roman"/>
                <w:sz w:val="20"/>
                <w:szCs w:val="20"/>
              </w:rPr>
              <w:t>AURA2</w:t>
            </w:r>
          </w:p>
        </w:tc>
        <w:tc>
          <w:tcPr>
            <w:tcW w:w="879" w:type="dxa"/>
            <w:tcBorders>
              <w:bottom w:val="single" w:sz="4" w:space="0" w:color="auto"/>
            </w:tcBorders>
            <w:vAlign w:val="center"/>
          </w:tcPr>
          <w:p w14:paraId="283B4D86" w14:textId="77777777" w:rsidR="004C66DF" w:rsidRPr="00AA1EC7" w:rsidRDefault="004C66DF" w:rsidP="00E46767">
            <w:pPr>
              <w:contextualSpacing/>
              <w:rPr>
                <w:rFonts w:cs="Times New Roman"/>
                <w:sz w:val="20"/>
                <w:szCs w:val="20"/>
              </w:rPr>
            </w:pPr>
            <w:r w:rsidRPr="00AA1EC7">
              <w:rPr>
                <w:rFonts w:cs="Times New Roman"/>
                <w:sz w:val="20"/>
                <w:szCs w:val="20"/>
              </w:rPr>
              <w:t>210</w:t>
            </w:r>
          </w:p>
        </w:tc>
        <w:tc>
          <w:tcPr>
            <w:tcW w:w="1225" w:type="dxa"/>
            <w:tcBorders>
              <w:bottom w:val="single" w:sz="4" w:space="0" w:color="auto"/>
            </w:tcBorders>
            <w:vAlign w:val="center"/>
          </w:tcPr>
          <w:p w14:paraId="0619E56D"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bottom w:val="single" w:sz="4" w:space="0" w:color="auto"/>
            </w:tcBorders>
            <w:vAlign w:val="center"/>
          </w:tcPr>
          <w:p w14:paraId="2A832E9C" w14:textId="77777777" w:rsidR="004C66DF" w:rsidRPr="00AA1EC7" w:rsidRDefault="004C66DF" w:rsidP="00E46767">
            <w:pPr>
              <w:contextualSpacing/>
              <w:rPr>
                <w:rFonts w:cs="Times New Roman"/>
                <w:sz w:val="20"/>
                <w:szCs w:val="20"/>
              </w:rPr>
            </w:pPr>
            <w:r w:rsidRPr="00AA1EC7">
              <w:rPr>
                <w:rFonts w:cs="Times New Roman"/>
                <w:sz w:val="20"/>
                <w:szCs w:val="20"/>
              </w:rPr>
              <w:t>70.9% (64.0, 77.1)</w:t>
            </w:r>
          </w:p>
        </w:tc>
        <w:tc>
          <w:tcPr>
            <w:tcW w:w="2268" w:type="dxa"/>
            <w:tcBorders>
              <w:bottom w:val="single" w:sz="4" w:space="0" w:color="auto"/>
            </w:tcBorders>
            <w:vAlign w:val="center"/>
          </w:tcPr>
          <w:p w14:paraId="059FF05D" w14:textId="77777777" w:rsidR="004C66DF" w:rsidRPr="00AA1EC7" w:rsidRDefault="004C66DF" w:rsidP="00E46767">
            <w:pPr>
              <w:contextualSpacing/>
              <w:rPr>
                <w:rFonts w:cs="Times New Roman"/>
                <w:sz w:val="20"/>
                <w:szCs w:val="20"/>
              </w:rPr>
            </w:pPr>
            <w:r w:rsidRPr="00AA1EC7">
              <w:rPr>
                <w:rFonts w:cs="Times New Roman"/>
                <w:sz w:val="20"/>
                <w:szCs w:val="20"/>
              </w:rPr>
              <w:t>8.6 (8.3, 9.7)</w:t>
            </w:r>
          </w:p>
        </w:tc>
        <w:tc>
          <w:tcPr>
            <w:tcW w:w="2126" w:type="dxa"/>
            <w:tcBorders>
              <w:bottom w:val="single" w:sz="4" w:space="0" w:color="auto"/>
              <w:right w:val="single" w:sz="8" w:space="0" w:color="auto"/>
            </w:tcBorders>
            <w:vAlign w:val="center"/>
          </w:tcPr>
          <w:p w14:paraId="63D4E385" w14:textId="77777777" w:rsidR="004C66DF" w:rsidRPr="00AA1EC7" w:rsidRDefault="004C66DF" w:rsidP="00E46767">
            <w:pPr>
              <w:contextualSpacing/>
              <w:rPr>
                <w:rFonts w:cs="Times New Roman"/>
                <w:sz w:val="20"/>
                <w:szCs w:val="20"/>
              </w:rPr>
            </w:pPr>
            <w:r w:rsidRPr="00AA1EC7">
              <w:rPr>
                <w:rFonts w:cs="Times New Roman"/>
                <w:sz w:val="20"/>
                <w:szCs w:val="20"/>
              </w:rPr>
              <w:t>NC</w:t>
            </w:r>
          </w:p>
        </w:tc>
      </w:tr>
      <w:tr w:rsidR="004C66DF" w:rsidRPr="002D1DD7" w14:paraId="78E4567E" w14:textId="77777777" w:rsidTr="00E46767">
        <w:tc>
          <w:tcPr>
            <w:tcW w:w="1583" w:type="dxa"/>
            <w:vMerge/>
            <w:tcBorders>
              <w:left w:val="single" w:sz="8" w:space="0" w:color="auto"/>
              <w:bottom w:val="single" w:sz="8" w:space="0" w:color="auto"/>
            </w:tcBorders>
            <w:vAlign w:val="center"/>
          </w:tcPr>
          <w:p w14:paraId="3F93A5C1"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1E4AB010" w14:textId="77777777" w:rsidR="004C66DF" w:rsidRPr="00AA1EC7" w:rsidRDefault="004C66DF" w:rsidP="00E46767">
            <w:pPr>
              <w:contextualSpacing/>
              <w:rPr>
                <w:rFonts w:cs="Times New Roman"/>
                <w:sz w:val="20"/>
                <w:szCs w:val="20"/>
              </w:rPr>
            </w:pPr>
          </w:p>
        </w:tc>
        <w:tc>
          <w:tcPr>
            <w:tcW w:w="2383" w:type="dxa"/>
            <w:tcBorders>
              <w:bottom w:val="single" w:sz="8" w:space="0" w:color="auto"/>
            </w:tcBorders>
            <w:vAlign w:val="center"/>
          </w:tcPr>
          <w:p w14:paraId="32510C36" w14:textId="77777777" w:rsidR="004C66DF" w:rsidRPr="00AA1EC7" w:rsidRDefault="004C66DF" w:rsidP="00E46767">
            <w:pPr>
              <w:contextualSpacing/>
              <w:rPr>
                <w:rFonts w:cs="Times New Roman"/>
                <w:sz w:val="20"/>
                <w:szCs w:val="20"/>
              </w:rPr>
            </w:pPr>
            <w:r w:rsidRPr="00AA1EC7">
              <w:rPr>
                <w:rFonts w:cs="Times New Roman"/>
                <w:sz w:val="20"/>
                <w:szCs w:val="20"/>
              </w:rPr>
              <w:t>Pooled</w:t>
            </w:r>
          </w:p>
        </w:tc>
        <w:tc>
          <w:tcPr>
            <w:tcW w:w="879" w:type="dxa"/>
            <w:tcBorders>
              <w:bottom w:val="single" w:sz="8" w:space="0" w:color="auto"/>
            </w:tcBorders>
            <w:vAlign w:val="center"/>
          </w:tcPr>
          <w:p w14:paraId="6A4E4882" w14:textId="77777777" w:rsidR="004C66DF" w:rsidRPr="00AA1EC7" w:rsidRDefault="004C66DF" w:rsidP="00E46767">
            <w:pPr>
              <w:contextualSpacing/>
              <w:rPr>
                <w:rFonts w:cs="Times New Roman"/>
                <w:sz w:val="20"/>
                <w:szCs w:val="20"/>
              </w:rPr>
            </w:pPr>
            <w:r w:rsidRPr="00AA1EC7">
              <w:rPr>
                <w:rFonts w:cs="Times New Roman"/>
                <w:sz w:val="20"/>
                <w:szCs w:val="20"/>
              </w:rPr>
              <w:t>411</w:t>
            </w:r>
          </w:p>
        </w:tc>
        <w:tc>
          <w:tcPr>
            <w:tcW w:w="1225" w:type="dxa"/>
            <w:tcBorders>
              <w:bottom w:val="single" w:sz="8" w:space="0" w:color="auto"/>
            </w:tcBorders>
            <w:vAlign w:val="center"/>
          </w:tcPr>
          <w:p w14:paraId="58409BB6"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bottom w:val="single" w:sz="8" w:space="0" w:color="auto"/>
            </w:tcBorders>
            <w:vAlign w:val="center"/>
          </w:tcPr>
          <w:p w14:paraId="41A271F4" w14:textId="77777777" w:rsidR="004C66DF" w:rsidRPr="00AA1EC7" w:rsidRDefault="004C66DF" w:rsidP="00E46767">
            <w:pPr>
              <w:contextualSpacing/>
              <w:rPr>
                <w:rFonts w:cs="Times New Roman"/>
                <w:sz w:val="20"/>
                <w:szCs w:val="20"/>
              </w:rPr>
            </w:pPr>
            <w:r w:rsidRPr="00AA1EC7">
              <w:rPr>
                <w:rFonts w:cs="Times New Roman"/>
                <w:sz w:val="20"/>
                <w:szCs w:val="20"/>
              </w:rPr>
              <w:t>66.1% (61.2, 70.7)</w:t>
            </w:r>
          </w:p>
        </w:tc>
        <w:tc>
          <w:tcPr>
            <w:tcW w:w="2268" w:type="dxa"/>
            <w:tcBorders>
              <w:bottom w:val="single" w:sz="8" w:space="0" w:color="auto"/>
            </w:tcBorders>
            <w:vAlign w:val="center"/>
          </w:tcPr>
          <w:p w14:paraId="0FFA7982" w14:textId="77777777" w:rsidR="004C66DF" w:rsidRPr="00AA1EC7" w:rsidRDefault="004C66DF" w:rsidP="00E46767">
            <w:pPr>
              <w:contextualSpacing/>
              <w:rPr>
                <w:rFonts w:cs="Times New Roman"/>
                <w:sz w:val="20"/>
                <w:szCs w:val="20"/>
              </w:rPr>
            </w:pPr>
            <w:r w:rsidRPr="00AA1EC7">
              <w:rPr>
                <w:rFonts w:cs="Times New Roman"/>
                <w:sz w:val="20"/>
                <w:szCs w:val="20"/>
              </w:rPr>
              <w:t>9.7 (8.3, NC)</w:t>
            </w:r>
          </w:p>
        </w:tc>
        <w:tc>
          <w:tcPr>
            <w:tcW w:w="2126" w:type="dxa"/>
            <w:tcBorders>
              <w:bottom w:val="single" w:sz="8" w:space="0" w:color="auto"/>
              <w:right w:val="single" w:sz="8" w:space="0" w:color="auto"/>
            </w:tcBorders>
            <w:vAlign w:val="center"/>
          </w:tcPr>
          <w:p w14:paraId="171417DE" w14:textId="77777777" w:rsidR="004C66DF" w:rsidRPr="00AA1EC7" w:rsidRDefault="004C66DF" w:rsidP="00E46767">
            <w:pPr>
              <w:contextualSpacing/>
              <w:rPr>
                <w:rFonts w:cs="Times New Roman"/>
                <w:sz w:val="20"/>
                <w:szCs w:val="20"/>
              </w:rPr>
            </w:pPr>
            <w:r w:rsidRPr="00AA1EC7">
              <w:rPr>
                <w:rFonts w:cs="Times New Roman"/>
                <w:sz w:val="20"/>
                <w:szCs w:val="20"/>
              </w:rPr>
              <w:t>NC</w:t>
            </w:r>
          </w:p>
        </w:tc>
      </w:tr>
      <w:tr w:rsidR="004C66DF" w:rsidRPr="002D1DD7" w14:paraId="651D49EB" w14:textId="77777777" w:rsidTr="00E46767">
        <w:tc>
          <w:tcPr>
            <w:tcW w:w="1583" w:type="dxa"/>
            <w:vMerge w:val="restart"/>
            <w:tcBorders>
              <w:top w:val="single" w:sz="8" w:space="0" w:color="auto"/>
              <w:left w:val="single" w:sz="8" w:space="0" w:color="auto"/>
            </w:tcBorders>
            <w:vAlign w:val="center"/>
          </w:tcPr>
          <w:p w14:paraId="6AD71E7A" w14:textId="77777777" w:rsidR="004C66DF" w:rsidRPr="00AA1EC7" w:rsidRDefault="004C66DF" w:rsidP="00E46767">
            <w:pPr>
              <w:contextualSpacing/>
              <w:rPr>
                <w:rFonts w:cs="Times New Roman"/>
                <w:sz w:val="20"/>
                <w:szCs w:val="20"/>
              </w:rPr>
            </w:pPr>
            <w:r w:rsidRPr="00AA1EC7">
              <w:rPr>
                <w:rFonts w:cs="Times New Roman"/>
                <w:sz w:val="20"/>
                <w:szCs w:val="20"/>
              </w:rPr>
              <w:t>Nivolumab</w:t>
            </w:r>
          </w:p>
        </w:tc>
        <w:tc>
          <w:tcPr>
            <w:tcW w:w="1150" w:type="dxa"/>
            <w:vMerge w:val="restart"/>
            <w:tcBorders>
              <w:top w:val="single" w:sz="8" w:space="0" w:color="auto"/>
            </w:tcBorders>
            <w:vAlign w:val="center"/>
          </w:tcPr>
          <w:p w14:paraId="59B90E27" w14:textId="77777777" w:rsidR="004C66DF" w:rsidRPr="00AA1EC7" w:rsidRDefault="004C66DF" w:rsidP="00E46767">
            <w:pPr>
              <w:contextualSpacing/>
              <w:rPr>
                <w:rFonts w:cs="Times New Roman"/>
                <w:sz w:val="20"/>
                <w:szCs w:val="20"/>
              </w:rPr>
            </w:pPr>
            <w:r w:rsidRPr="00AA1EC7">
              <w:rPr>
                <w:rFonts w:cs="Times New Roman"/>
                <w:sz w:val="20"/>
                <w:szCs w:val="20"/>
              </w:rPr>
              <w:t>TA462</w:t>
            </w:r>
          </w:p>
        </w:tc>
        <w:tc>
          <w:tcPr>
            <w:tcW w:w="2383" w:type="dxa"/>
            <w:tcBorders>
              <w:top w:val="single" w:sz="8" w:space="0" w:color="auto"/>
              <w:bottom w:val="single" w:sz="4" w:space="0" w:color="auto"/>
            </w:tcBorders>
            <w:vAlign w:val="center"/>
          </w:tcPr>
          <w:p w14:paraId="2B60D44C" w14:textId="77777777" w:rsidR="004C66DF" w:rsidRPr="00AA1EC7" w:rsidRDefault="004C66DF" w:rsidP="00E46767">
            <w:pPr>
              <w:contextualSpacing/>
              <w:rPr>
                <w:rFonts w:cs="Times New Roman"/>
                <w:sz w:val="20"/>
                <w:szCs w:val="20"/>
              </w:rPr>
            </w:pPr>
            <w:r w:rsidRPr="00AA1EC7">
              <w:rPr>
                <w:rFonts w:cs="Times New Roman"/>
                <w:sz w:val="20"/>
                <w:szCs w:val="20"/>
              </w:rPr>
              <w:t>CheckMate 205 cohort B</w:t>
            </w:r>
          </w:p>
        </w:tc>
        <w:tc>
          <w:tcPr>
            <w:tcW w:w="879" w:type="dxa"/>
            <w:tcBorders>
              <w:top w:val="single" w:sz="8" w:space="0" w:color="auto"/>
              <w:bottom w:val="single" w:sz="4" w:space="0" w:color="auto"/>
            </w:tcBorders>
            <w:vAlign w:val="center"/>
          </w:tcPr>
          <w:p w14:paraId="3CBD3131" w14:textId="77777777" w:rsidR="004C66DF" w:rsidRPr="00AA1EC7" w:rsidRDefault="004C66DF" w:rsidP="00E46767">
            <w:pPr>
              <w:contextualSpacing/>
              <w:rPr>
                <w:rFonts w:cs="Times New Roman"/>
                <w:sz w:val="20"/>
                <w:szCs w:val="20"/>
              </w:rPr>
            </w:pPr>
            <w:r w:rsidRPr="00AA1EC7">
              <w:rPr>
                <w:rFonts w:cs="Times New Roman"/>
                <w:sz w:val="20"/>
                <w:szCs w:val="20"/>
              </w:rPr>
              <w:t>80</w:t>
            </w:r>
          </w:p>
        </w:tc>
        <w:tc>
          <w:tcPr>
            <w:tcW w:w="1225" w:type="dxa"/>
            <w:tcBorders>
              <w:top w:val="single" w:sz="8" w:space="0" w:color="auto"/>
              <w:bottom w:val="single" w:sz="4" w:space="0" w:color="auto"/>
            </w:tcBorders>
            <w:vAlign w:val="center"/>
          </w:tcPr>
          <w:p w14:paraId="4114E683"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bottom w:val="single" w:sz="4" w:space="0" w:color="auto"/>
            </w:tcBorders>
            <w:vAlign w:val="center"/>
          </w:tcPr>
          <w:p w14:paraId="59DC14E4" w14:textId="77777777" w:rsidR="004C66DF" w:rsidRPr="00AA1EC7" w:rsidRDefault="004C66DF" w:rsidP="00E46767">
            <w:pPr>
              <w:contextualSpacing/>
              <w:rPr>
                <w:rFonts w:cs="Times New Roman"/>
                <w:sz w:val="20"/>
                <w:szCs w:val="20"/>
              </w:rPr>
            </w:pPr>
            <w:r w:rsidRPr="00AA1EC7">
              <w:rPr>
                <w:rFonts w:cs="Times New Roman"/>
                <w:sz w:val="20"/>
                <w:szCs w:val="20"/>
              </w:rPr>
              <w:t>67.5% (57.2, 77.8)</w:t>
            </w:r>
          </w:p>
        </w:tc>
        <w:tc>
          <w:tcPr>
            <w:tcW w:w="2268" w:type="dxa"/>
            <w:tcBorders>
              <w:top w:val="single" w:sz="8" w:space="0" w:color="auto"/>
              <w:bottom w:val="single" w:sz="4" w:space="0" w:color="auto"/>
            </w:tcBorders>
            <w:vAlign w:val="center"/>
          </w:tcPr>
          <w:p w14:paraId="6B1A5ED8" w14:textId="77777777" w:rsidR="004C66DF" w:rsidRPr="00AA1EC7" w:rsidRDefault="004C66DF" w:rsidP="00E46767">
            <w:pPr>
              <w:contextualSpacing/>
              <w:rPr>
                <w:rFonts w:cs="Times New Roman"/>
                <w:sz w:val="20"/>
                <w:szCs w:val="20"/>
              </w:rPr>
            </w:pPr>
            <w:r w:rsidRPr="00AA1EC7">
              <w:rPr>
                <w:rFonts w:cs="Times New Roman"/>
                <w:sz w:val="20"/>
                <w:szCs w:val="20"/>
              </w:rPr>
              <w:t>14.78 (11.33, NA)</w:t>
            </w:r>
          </w:p>
        </w:tc>
        <w:tc>
          <w:tcPr>
            <w:tcW w:w="2126" w:type="dxa"/>
            <w:tcBorders>
              <w:top w:val="single" w:sz="8" w:space="0" w:color="auto"/>
              <w:bottom w:val="single" w:sz="4" w:space="0" w:color="auto"/>
              <w:right w:val="single" w:sz="8" w:space="0" w:color="auto"/>
            </w:tcBorders>
            <w:vAlign w:val="center"/>
          </w:tcPr>
          <w:p w14:paraId="6DB57383"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324BD9BA" w14:textId="77777777" w:rsidTr="00E46767">
        <w:tc>
          <w:tcPr>
            <w:tcW w:w="1583" w:type="dxa"/>
            <w:vMerge/>
            <w:tcBorders>
              <w:left w:val="single" w:sz="8" w:space="0" w:color="auto"/>
            </w:tcBorders>
            <w:vAlign w:val="center"/>
          </w:tcPr>
          <w:p w14:paraId="2FA9BAC7" w14:textId="77777777" w:rsidR="004C66DF" w:rsidRPr="00AA1EC7" w:rsidRDefault="004C66DF" w:rsidP="00E46767">
            <w:pPr>
              <w:contextualSpacing/>
              <w:rPr>
                <w:rFonts w:cs="Times New Roman"/>
                <w:sz w:val="20"/>
                <w:szCs w:val="20"/>
              </w:rPr>
            </w:pPr>
          </w:p>
        </w:tc>
        <w:tc>
          <w:tcPr>
            <w:tcW w:w="1150" w:type="dxa"/>
            <w:vMerge/>
            <w:vAlign w:val="center"/>
          </w:tcPr>
          <w:p w14:paraId="1D6F282E"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4" w:space="0" w:color="auto"/>
            </w:tcBorders>
            <w:vAlign w:val="center"/>
          </w:tcPr>
          <w:p w14:paraId="4C6535EA" w14:textId="77777777" w:rsidR="004C66DF" w:rsidRPr="00AA1EC7" w:rsidRDefault="004C66DF" w:rsidP="00E46767">
            <w:pPr>
              <w:contextualSpacing/>
              <w:rPr>
                <w:rFonts w:cs="Times New Roman"/>
                <w:sz w:val="20"/>
                <w:szCs w:val="20"/>
              </w:rPr>
            </w:pPr>
            <w:r w:rsidRPr="00AA1EC7">
              <w:rPr>
                <w:rFonts w:cs="Times New Roman"/>
                <w:sz w:val="20"/>
                <w:szCs w:val="20"/>
              </w:rPr>
              <w:t>CheckMate 205 cohort C</w:t>
            </w:r>
          </w:p>
        </w:tc>
        <w:tc>
          <w:tcPr>
            <w:tcW w:w="879" w:type="dxa"/>
            <w:tcBorders>
              <w:top w:val="single" w:sz="4" w:space="0" w:color="auto"/>
              <w:bottom w:val="single" w:sz="4" w:space="0" w:color="auto"/>
            </w:tcBorders>
            <w:vAlign w:val="center"/>
          </w:tcPr>
          <w:p w14:paraId="61D23D9A" w14:textId="77777777" w:rsidR="004C66DF" w:rsidRPr="00AA1EC7" w:rsidRDefault="004C66DF" w:rsidP="00E46767">
            <w:pPr>
              <w:contextualSpacing/>
              <w:rPr>
                <w:rFonts w:cs="Times New Roman"/>
                <w:sz w:val="20"/>
                <w:szCs w:val="20"/>
              </w:rPr>
            </w:pPr>
            <w:r w:rsidRPr="00AA1EC7">
              <w:rPr>
                <w:rFonts w:cs="Times New Roman"/>
                <w:sz w:val="20"/>
                <w:szCs w:val="20"/>
              </w:rPr>
              <w:t>98</w:t>
            </w:r>
          </w:p>
        </w:tc>
        <w:tc>
          <w:tcPr>
            <w:tcW w:w="1225" w:type="dxa"/>
            <w:tcBorders>
              <w:top w:val="single" w:sz="4" w:space="0" w:color="auto"/>
              <w:bottom w:val="single" w:sz="4" w:space="0" w:color="auto"/>
            </w:tcBorders>
            <w:vAlign w:val="center"/>
          </w:tcPr>
          <w:p w14:paraId="599236DA"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4" w:space="0" w:color="auto"/>
            </w:tcBorders>
            <w:vAlign w:val="center"/>
          </w:tcPr>
          <w:p w14:paraId="594F3757" w14:textId="77777777" w:rsidR="004C66DF" w:rsidRPr="00AA1EC7" w:rsidRDefault="004C66DF" w:rsidP="00E46767">
            <w:pPr>
              <w:contextualSpacing/>
              <w:rPr>
                <w:rFonts w:cs="Times New Roman"/>
                <w:sz w:val="20"/>
                <w:szCs w:val="20"/>
              </w:rPr>
            </w:pPr>
            <w:r w:rsidRPr="00AA1EC7">
              <w:rPr>
                <w:rFonts w:cs="Times New Roman"/>
                <w:sz w:val="20"/>
                <w:szCs w:val="20"/>
              </w:rPr>
              <w:t>73.0% (64.3, 81.7)</w:t>
            </w:r>
          </w:p>
        </w:tc>
        <w:tc>
          <w:tcPr>
            <w:tcW w:w="2268" w:type="dxa"/>
            <w:tcBorders>
              <w:top w:val="single" w:sz="4" w:space="0" w:color="auto"/>
              <w:bottom w:val="single" w:sz="4" w:space="0" w:color="auto"/>
            </w:tcBorders>
            <w:vAlign w:val="center"/>
          </w:tcPr>
          <w:p w14:paraId="4F0ADEE5" w14:textId="77777777" w:rsidR="004C66DF" w:rsidRPr="00AA1EC7" w:rsidRDefault="004C66DF" w:rsidP="00E46767">
            <w:pPr>
              <w:contextualSpacing/>
              <w:rPr>
                <w:rFonts w:cs="Times New Roman"/>
                <w:sz w:val="20"/>
                <w:szCs w:val="20"/>
              </w:rPr>
            </w:pPr>
            <w:r w:rsidRPr="00AA1EC7">
              <w:rPr>
                <w:rFonts w:cs="Times New Roman"/>
                <w:sz w:val="20"/>
                <w:szCs w:val="20"/>
              </w:rPr>
              <w:t>11.17 (8.51, NA)</w:t>
            </w:r>
          </w:p>
        </w:tc>
        <w:tc>
          <w:tcPr>
            <w:tcW w:w="2126" w:type="dxa"/>
            <w:tcBorders>
              <w:top w:val="single" w:sz="4" w:space="0" w:color="auto"/>
              <w:bottom w:val="single" w:sz="4" w:space="0" w:color="auto"/>
              <w:right w:val="single" w:sz="8" w:space="0" w:color="auto"/>
            </w:tcBorders>
            <w:vAlign w:val="center"/>
          </w:tcPr>
          <w:p w14:paraId="6F15CC4F"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4607714F" w14:textId="77777777" w:rsidTr="00E46767">
        <w:tc>
          <w:tcPr>
            <w:tcW w:w="1583" w:type="dxa"/>
            <w:vMerge/>
            <w:tcBorders>
              <w:left w:val="single" w:sz="8" w:space="0" w:color="auto"/>
              <w:bottom w:val="single" w:sz="8" w:space="0" w:color="auto"/>
            </w:tcBorders>
            <w:vAlign w:val="center"/>
          </w:tcPr>
          <w:p w14:paraId="22EC851F"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66BBB3DA"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8" w:space="0" w:color="auto"/>
            </w:tcBorders>
            <w:vAlign w:val="center"/>
          </w:tcPr>
          <w:p w14:paraId="49EF97DF" w14:textId="77777777" w:rsidR="004C66DF" w:rsidRPr="00AA1EC7" w:rsidRDefault="004C66DF" w:rsidP="00E46767">
            <w:pPr>
              <w:contextualSpacing/>
              <w:rPr>
                <w:rFonts w:cs="Times New Roman"/>
                <w:sz w:val="20"/>
                <w:szCs w:val="20"/>
              </w:rPr>
            </w:pPr>
            <w:r w:rsidRPr="00AA1EC7">
              <w:rPr>
                <w:rFonts w:cs="Times New Roman"/>
                <w:sz w:val="20"/>
                <w:szCs w:val="20"/>
              </w:rPr>
              <w:t>CA209-039</w:t>
            </w:r>
          </w:p>
        </w:tc>
        <w:tc>
          <w:tcPr>
            <w:tcW w:w="879" w:type="dxa"/>
            <w:tcBorders>
              <w:top w:val="single" w:sz="4" w:space="0" w:color="auto"/>
              <w:bottom w:val="single" w:sz="8" w:space="0" w:color="auto"/>
            </w:tcBorders>
            <w:vAlign w:val="center"/>
          </w:tcPr>
          <w:p w14:paraId="07A23283" w14:textId="77777777" w:rsidR="004C66DF" w:rsidRPr="00AA1EC7" w:rsidRDefault="004C66DF" w:rsidP="00E46767">
            <w:pPr>
              <w:contextualSpacing/>
              <w:rPr>
                <w:rFonts w:cs="Times New Roman"/>
                <w:sz w:val="20"/>
                <w:szCs w:val="20"/>
              </w:rPr>
            </w:pPr>
            <w:r w:rsidRPr="00AA1EC7">
              <w:rPr>
                <w:rFonts w:cs="Times New Roman"/>
                <w:sz w:val="20"/>
                <w:szCs w:val="20"/>
              </w:rPr>
              <w:t>15</w:t>
            </w:r>
          </w:p>
        </w:tc>
        <w:tc>
          <w:tcPr>
            <w:tcW w:w="1225" w:type="dxa"/>
            <w:tcBorders>
              <w:top w:val="single" w:sz="4" w:space="0" w:color="auto"/>
              <w:bottom w:val="single" w:sz="8" w:space="0" w:color="auto"/>
            </w:tcBorders>
            <w:vAlign w:val="center"/>
          </w:tcPr>
          <w:p w14:paraId="74787FAA"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8" w:space="0" w:color="auto"/>
            </w:tcBorders>
            <w:vAlign w:val="center"/>
          </w:tcPr>
          <w:p w14:paraId="4DC67FD0" w14:textId="77777777" w:rsidR="004C66DF" w:rsidRPr="00AA1EC7" w:rsidRDefault="004C66DF" w:rsidP="00E46767">
            <w:pPr>
              <w:contextualSpacing/>
              <w:rPr>
                <w:rFonts w:cs="Times New Roman"/>
                <w:sz w:val="20"/>
                <w:szCs w:val="20"/>
              </w:rPr>
            </w:pPr>
            <w:r w:rsidRPr="00AA1EC7">
              <w:rPr>
                <w:rFonts w:cs="Times New Roman"/>
                <w:sz w:val="20"/>
                <w:szCs w:val="20"/>
              </w:rPr>
              <w:t>60% (NR)</w:t>
            </w:r>
          </w:p>
        </w:tc>
        <w:tc>
          <w:tcPr>
            <w:tcW w:w="2268" w:type="dxa"/>
            <w:tcBorders>
              <w:top w:val="single" w:sz="4" w:space="0" w:color="auto"/>
              <w:bottom w:val="single" w:sz="8" w:space="0" w:color="auto"/>
            </w:tcBorders>
            <w:vAlign w:val="center"/>
          </w:tcPr>
          <w:p w14:paraId="53222D7F" w14:textId="77777777" w:rsidR="004C66DF" w:rsidRPr="00AA1EC7" w:rsidRDefault="004C66DF" w:rsidP="00E46767">
            <w:pPr>
              <w:contextualSpacing/>
              <w:rPr>
                <w:rFonts w:cs="Times New Roman"/>
                <w:sz w:val="20"/>
                <w:szCs w:val="20"/>
              </w:rPr>
            </w:pPr>
            <w:r w:rsidRPr="00AA1EC7">
              <w:rPr>
                <w:rFonts w:cs="Times New Roman"/>
                <w:sz w:val="20"/>
                <w:szCs w:val="20"/>
              </w:rPr>
              <w:t>12.65 (5.91, NA)</w:t>
            </w:r>
          </w:p>
        </w:tc>
        <w:tc>
          <w:tcPr>
            <w:tcW w:w="2126" w:type="dxa"/>
            <w:tcBorders>
              <w:top w:val="single" w:sz="4" w:space="0" w:color="auto"/>
              <w:bottom w:val="single" w:sz="8" w:space="0" w:color="auto"/>
              <w:right w:val="single" w:sz="8" w:space="0" w:color="auto"/>
            </w:tcBorders>
            <w:vAlign w:val="center"/>
          </w:tcPr>
          <w:p w14:paraId="6138404B"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365C78D0" w14:textId="77777777" w:rsidTr="00E46767">
        <w:tc>
          <w:tcPr>
            <w:tcW w:w="1583" w:type="dxa"/>
            <w:vMerge w:val="restart"/>
            <w:tcBorders>
              <w:top w:val="single" w:sz="8" w:space="0" w:color="auto"/>
              <w:left w:val="single" w:sz="8" w:space="0" w:color="auto"/>
            </w:tcBorders>
            <w:vAlign w:val="center"/>
          </w:tcPr>
          <w:p w14:paraId="2692CB67" w14:textId="77777777" w:rsidR="004C66DF" w:rsidRPr="00AA1EC7" w:rsidRDefault="004C66DF" w:rsidP="00E46767">
            <w:pPr>
              <w:contextualSpacing/>
              <w:rPr>
                <w:rFonts w:cs="Times New Roman"/>
                <w:sz w:val="20"/>
                <w:szCs w:val="20"/>
              </w:rPr>
            </w:pPr>
            <w:r w:rsidRPr="00AA1EC7">
              <w:rPr>
                <w:rFonts w:cs="Times New Roman"/>
                <w:sz w:val="20"/>
                <w:szCs w:val="20"/>
              </w:rPr>
              <w:t>Venetoclax</w:t>
            </w:r>
          </w:p>
        </w:tc>
        <w:tc>
          <w:tcPr>
            <w:tcW w:w="1150" w:type="dxa"/>
            <w:vMerge w:val="restart"/>
            <w:tcBorders>
              <w:top w:val="single" w:sz="8" w:space="0" w:color="auto"/>
            </w:tcBorders>
            <w:vAlign w:val="center"/>
          </w:tcPr>
          <w:p w14:paraId="6891F0E1" w14:textId="77777777" w:rsidR="004C66DF" w:rsidRPr="00AA1EC7" w:rsidRDefault="004C66DF" w:rsidP="00E46767">
            <w:pPr>
              <w:contextualSpacing/>
              <w:rPr>
                <w:rFonts w:cs="Times New Roman"/>
                <w:sz w:val="20"/>
                <w:szCs w:val="20"/>
              </w:rPr>
            </w:pPr>
            <w:r w:rsidRPr="00AA1EC7">
              <w:rPr>
                <w:rFonts w:cs="Times New Roman"/>
                <w:sz w:val="20"/>
                <w:szCs w:val="20"/>
              </w:rPr>
              <w:t>TA487</w:t>
            </w:r>
          </w:p>
        </w:tc>
        <w:tc>
          <w:tcPr>
            <w:tcW w:w="2383" w:type="dxa"/>
            <w:tcBorders>
              <w:top w:val="single" w:sz="8" w:space="0" w:color="auto"/>
            </w:tcBorders>
            <w:vAlign w:val="center"/>
          </w:tcPr>
          <w:p w14:paraId="41D2C600" w14:textId="77777777" w:rsidR="004C66DF" w:rsidRPr="00AA1EC7" w:rsidRDefault="004C66DF" w:rsidP="00E46767">
            <w:pPr>
              <w:contextualSpacing/>
              <w:rPr>
                <w:rFonts w:cs="Times New Roman"/>
                <w:sz w:val="20"/>
                <w:szCs w:val="20"/>
              </w:rPr>
            </w:pPr>
            <w:r w:rsidRPr="00AA1EC7">
              <w:rPr>
                <w:rFonts w:cs="Times New Roman"/>
                <w:sz w:val="20"/>
                <w:szCs w:val="20"/>
              </w:rPr>
              <w:t>M12-175</w:t>
            </w:r>
          </w:p>
        </w:tc>
        <w:tc>
          <w:tcPr>
            <w:tcW w:w="879" w:type="dxa"/>
            <w:tcBorders>
              <w:top w:val="single" w:sz="8" w:space="0" w:color="auto"/>
            </w:tcBorders>
            <w:vAlign w:val="center"/>
          </w:tcPr>
          <w:p w14:paraId="4E02B4CF" w14:textId="77777777" w:rsidR="004C66DF" w:rsidRPr="00AA1EC7" w:rsidRDefault="004C66DF" w:rsidP="00E46767">
            <w:pPr>
              <w:contextualSpacing/>
              <w:rPr>
                <w:rFonts w:cs="Times New Roman"/>
                <w:sz w:val="20"/>
                <w:szCs w:val="20"/>
              </w:rPr>
            </w:pPr>
            <w:r w:rsidRPr="00AA1EC7">
              <w:rPr>
                <w:rFonts w:cs="Times New Roman"/>
                <w:sz w:val="20"/>
                <w:szCs w:val="20"/>
              </w:rPr>
              <w:t>67</w:t>
            </w:r>
          </w:p>
        </w:tc>
        <w:tc>
          <w:tcPr>
            <w:tcW w:w="1225" w:type="dxa"/>
            <w:tcBorders>
              <w:top w:val="single" w:sz="8" w:space="0" w:color="auto"/>
            </w:tcBorders>
            <w:vAlign w:val="center"/>
          </w:tcPr>
          <w:p w14:paraId="58DF35A0"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tcBorders>
            <w:vAlign w:val="center"/>
          </w:tcPr>
          <w:p w14:paraId="06191F75" w14:textId="77777777" w:rsidR="004C66DF" w:rsidRPr="00AA1EC7" w:rsidRDefault="004C66DF" w:rsidP="00E46767">
            <w:pPr>
              <w:contextualSpacing/>
              <w:rPr>
                <w:rFonts w:cs="Times New Roman"/>
                <w:sz w:val="20"/>
                <w:szCs w:val="20"/>
              </w:rPr>
            </w:pPr>
            <w:r w:rsidRPr="00AA1EC7">
              <w:rPr>
                <w:rFonts w:cs="Times New Roman"/>
                <w:sz w:val="20"/>
                <w:szCs w:val="20"/>
              </w:rPr>
              <w:t>82.1% (70.8, 90.4)</w:t>
            </w:r>
          </w:p>
        </w:tc>
        <w:tc>
          <w:tcPr>
            <w:tcW w:w="2268" w:type="dxa"/>
            <w:tcBorders>
              <w:top w:val="single" w:sz="8" w:space="0" w:color="auto"/>
            </w:tcBorders>
            <w:vAlign w:val="center"/>
          </w:tcPr>
          <w:p w14:paraId="0CD8874D" w14:textId="77777777" w:rsidR="004C66DF" w:rsidRPr="00AA1EC7" w:rsidRDefault="004C66DF" w:rsidP="00E46767">
            <w:pPr>
              <w:contextualSpacing/>
              <w:rPr>
                <w:rFonts w:cs="Times New Roman"/>
                <w:sz w:val="20"/>
                <w:szCs w:val="20"/>
              </w:rPr>
            </w:pPr>
            <w:r w:rsidRPr="00AA1EC7">
              <w:rPr>
                <w:rFonts w:cs="Times New Roman"/>
                <w:sz w:val="20"/>
                <w:szCs w:val="20"/>
              </w:rPr>
              <w:t>41.4 (17.7-41.5)</w:t>
            </w:r>
          </w:p>
        </w:tc>
        <w:tc>
          <w:tcPr>
            <w:tcW w:w="2126" w:type="dxa"/>
            <w:tcBorders>
              <w:top w:val="single" w:sz="8" w:space="0" w:color="auto"/>
              <w:right w:val="single" w:sz="8" w:space="0" w:color="auto"/>
            </w:tcBorders>
            <w:vAlign w:val="center"/>
          </w:tcPr>
          <w:p w14:paraId="69CB467F" w14:textId="77777777" w:rsidR="004C66DF" w:rsidRPr="00AA1EC7" w:rsidRDefault="004C66DF" w:rsidP="00E46767">
            <w:pPr>
              <w:contextualSpacing/>
              <w:rPr>
                <w:rFonts w:cs="Times New Roman"/>
                <w:sz w:val="20"/>
                <w:szCs w:val="20"/>
              </w:rPr>
            </w:pPr>
            <w:r w:rsidRPr="00AA1EC7">
              <w:rPr>
                <w:rFonts w:cs="Times New Roman"/>
                <w:sz w:val="20"/>
                <w:szCs w:val="20"/>
              </w:rPr>
              <w:t>NA</w:t>
            </w:r>
          </w:p>
        </w:tc>
      </w:tr>
      <w:tr w:rsidR="004C66DF" w:rsidRPr="002D1DD7" w14:paraId="2B86CDA5" w14:textId="77777777" w:rsidTr="00E46767">
        <w:tc>
          <w:tcPr>
            <w:tcW w:w="1583" w:type="dxa"/>
            <w:vMerge/>
            <w:tcBorders>
              <w:left w:val="single" w:sz="8" w:space="0" w:color="auto"/>
            </w:tcBorders>
            <w:vAlign w:val="center"/>
          </w:tcPr>
          <w:p w14:paraId="14939503" w14:textId="77777777" w:rsidR="004C66DF" w:rsidRPr="00AA1EC7" w:rsidRDefault="004C66DF" w:rsidP="00E46767">
            <w:pPr>
              <w:contextualSpacing/>
              <w:rPr>
                <w:rFonts w:cs="Times New Roman"/>
                <w:sz w:val="20"/>
                <w:szCs w:val="20"/>
              </w:rPr>
            </w:pPr>
          </w:p>
        </w:tc>
        <w:tc>
          <w:tcPr>
            <w:tcW w:w="1150" w:type="dxa"/>
            <w:vMerge/>
            <w:vAlign w:val="center"/>
          </w:tcPr>
          <w:p w14:paraId="7CC85892" w14:textId="77777777" w:rsidR="004C66DF" w:rsidRPr="00AA1EC7" w:rsidRDefault="004C66DF" w:rsidP="00E46767">
            <w:pPr>
              <w:contextualSpacing/>
              <w:rPr>
                <w:rFonts w:cs="Times New Roman"/>
                <w:sz w:val="20"/>
                <w:szCs w:val="20"/>
              </w:rPr>
            </w:pPr>
          </w:p>
        </w:tc>
        <w:tc>
          <w:tcPr>
            <w:tcW w:w="2383" w:type="dxa"/>
            <w:vAlign w:val="center"/>
          </w:tcPr>
          <w:p w14:paraId="2CFAD9FE" w14:textId="77777777" w:rsidR="004C66DF" w:rsidRPr="00AA1EC7" w:rsidRDefault="004C66DF" w:rsidP="00E46767">
            <w:pPr>
              <w:contextualSpacing/>
              <w:rPr>
                <w:rFonts w:cs="Times New Roman"/>
                <w:sz w:val="20"/>
                <w:szCs w:val="20"/>
              </w:rPr>
            </w:pPr>
            <w:r w:rsidRPr="00AA1EC7">
              <w:rPr>
                <w:rFonts w:cs="Times New Roman"/>
                <w:sz w:val="20"/>
                <w:szCs w:val="20"/>
              </w:rPr>
              <w:t>M13-982</w:t>
            </w:r>
          </w:p>
        </w:tc>
        <w:tc>
          <w:tcPr>
            <w:tcW w:w="879" w:type="dxa"/>
            <w:vAlign w:val="center"/>
          </w:tcPr>
          <w:p w14:paraId="2E89AFFA" w14:textId="77777777" w:rsidR="004C66DF" w:rsidRPr="00AA1EC7" w:rsidRDefault="004C66DF" w:rsidP="00E46767">
            <w:pPr>
              <w:contextualSpacing/>
              <w:rPr>
                <w:rFonts w:cs="Times New Roman"/>
                <w:sz w:val="20"/>
                <w:szCs w:val="20"/>
              </w:rPr>
            </w:pPr>
            <w:r w:rsidRPr="00AA1EC7">
              <w:rPr>
                <w:rFonts w:cs="Times New Roman"/>
                <w:sz w:val="20"/>
                <w:szCs w:val="20"/>
              </w:rPr>
              <w:t>158</w:t>
            </w:r>
          </w:p>
        </w:tc>
        <w:tc>
          <w:tcPr>
            <w:tcW w:w="1225" w:type="dxa"/>
            <w:vAlign w:val="center"/>
          </w:tcPr>
          <w:p w14:paraId="7330E754"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vAlign w:val="center"/>
          </w:tcPr>
          <w:p w14:paraId="362775BB" w14:textId="77777777" w:rsidR="004C66DF" w:rsidRPr="00AA1EC7" w:rsidRDefault="004C66DF" w:rsidP="00E46767">
            <w:pPr>
              <w:contextualSpacing/>
              <w:rPr>
                <w:rFonts w:cs="Times New Roman"/>
                <w:sz w:val="20"/>
                <w:szCs w:val="20"/>
              </w:rPr>
            </w:pPr>
            <w:r w:rsidRPr="00AA1EC7">
              <w:rPr>
                <w:rFonts w:cs="Times New Roman"/>
                <w:sz w:val="20"/>
                <w:szCs w:val="20"/>
              </w:rPr>
              <w:t>77.2% (66.9, 83.5)</w:t>
            </w:r>
          </w:p>
        </w:tc>
        <w:tc>
          <w:tcPr>
            <w:tcW w:w="2268" w:type="dxa"/>
            <w:vAlign w:val="center"/>
          </w:tcPr>
          <w:p w14:paraId="22DC5649" w14:textId="77777777" w:rsidR="004C66DF" w:rsidRPr="00AA1EC7" w:rsidRDefault="004C66DF" w:rsidP="00E46767">
            <w:pPr>
              <w:contextualSpacing/>
              <w:rPr>
                <w:rFonts w:cs="Times New Roman"/>
                <w:sz w:val="20"/>
                <w:szCs w:val="20"/>
              </w:rPr>
            </w:pPr>
            <w:r w:rsidRPr="00AA1EC7">
              <w:rPr>
                <w:rFonts w:cs="Times New Roman"/>
                <w:sz w:val="20"/>
                <w:szCs w:val="20"/>
              </w:rPr>
              <w:t>27.2 (21.9, NA)</w:t>
            </w:r>
          </w:p>
        </w:tc>
        <w:tc>
          <w:tcPr>
            <w:tcW w:w="2126" w:type="dxa"/>
            <w:tcBorders>
              <w:right w:val="single" w:sz="8" w:space="0" w:color="auto"/>
            </w:tcBorders>
            <w:vAlign w:val="center"/>
          </w:tcPr>
          <w:p w14:paraId="79E6EFB4"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1B548F5A" w14:textId="77777777" w:rsidTr="00E46767">
        <w:tc>
          <w:tcPr>
            <w:tcW w:w="1583" w:type="dxa"/>
            <w:vMerge/>
            <w:tcBorders>
              <w:left w:val="single" w:sz="8" w:space="0" w:color="auto"/>
            </w:tcBorders>
            <w:vAlign w:val="center"/>
          </w:tcPr>
          <w:p w14:paraId="6D8BF327" w14:textId="77777777" w:rsidR="004C66DF" w:rsidRPr="00AA1EC7" w:rsidRDefault="004C66DF" w:rsidP="00E46767">
            <w:pPr>
              <w:contextualSpacing/>
              <w:rPr>
                <w:rFonts w:cs="Times New Roman"/>
                <w:sz w:val="20"/>
                <w:szCs w:val="20"/>
              </w:rPr>
            </w:pPr>
          </w:p>
        </w:tc>
        <w:tc>
          <w:tcPr>
            <w:tcW w:w="1150" w:type="dxa"/>
            <w:vMerge/>
            <w:vAlign w:val="center"/>
          </w:tcPr>
          <w:p w14:paraId="2CFC128F" w14:textId="77777777" w:rsidR="004C66DF" w:rsidRPr="00AA1EC7" w:rsidRDefault="004C66DF" w:rsidP="00E46767">
            <w:pPr>
              <w:contextualSpacing/>
              <w:rPr>
                <w:rFonts w:cs="Times New Roman"/>
                <w:sz w:val="20"/>
                <w:szCs w:val="20"/>
              </w:rPr>
            </w:pPr>
          </w:p>
        </w:tc>
        <w:tc>
          <w:tcPr>
            <w:tcW w:w="2383" w:type="dxa"/>
            <w:tcBorders>
              <w:bottom w:val="single" w:sz="4" w:space="0" w:color="auto"/>
            </w:tcBorders>
            <w:vAlign w:val="center"/>
          </w:tcPr>
          <w:p w14:paraId="5D60C74C" w14:textId="77777777" w:rsidR="004C66DF" w:rsidRPr="00AA1EC7" w:rsidRDefault="004C66DF" w:rsidP="00E46767">
            <w:pPr>
              <w:contextualSpacing/>
              <w:rPr>
                <w:rFonts w:cs="Times New Roman"/>
                <w:sz w:val="20"/>
                <w:szCs w:val="20"/>
              </w:rPr>
            </w:pPr>
            <w:r w:rsidRPr="00AA1EC7">
              <w:rPr>
                <w:rFonts w:cs="Times New Roman"/>
                <w:sz w:val="20"/>
                <w:szCs w:val="20"/>
              </w:rPr>
              <w:t>M14-032 (Cohort A)</w:t>
            </w:r>
          </w:p>
        </w:tc>
        <w:tc>
          <w:tcPr>
            <w:tcW w:w="879" w:type="dxa"/>
            <w:tcBorders>
              <w:bottom w:val="single" w:sz="4" w:space="0" w:color="auto"/>
            </w:tcBorders>
            <w:vAlign w:val="center"/>
          </w:tcPr>
          <w:p w14:paraId="64CA9629" w14:textId="77777777" w:rsidR="004C66DF" w:rsidRPr="00AA1EC7" w:rsidRDefault="004C66DF" w:rsidP="00E46767">
            <w:pPr>
              <w:contextualSpacing/>
              <w:rPr>
                <w:rFonts w:cs="Times New Roman"/>
                <w:sz w:val="20"/>
                <w:szCs w:val="20"/>
              </w:rPr>
            </w:pPr>
            <w:r w:rsidRPr="00AA1EC7">
              <w:rPr>
                <w:rFonts w:cs="Times New Roman"/>
                <w:sz w:val="20"/>
                <w:szCs w:val="20"/>
              </w:rPr>
              <w:t>43</w:t>
            </w:r>
          </w:p>
        </w:tc>
        <w:tc>
          <w:tcPr>
            <w:tcW w:w="1225" w:type="dxa"/>
            <w:tcBorders>
              <w:bottom w:val="single" w:sz="4" w:space="0" w:color="auto"/>
            </w:tcBorders>
            <w:vAlign w:val="center"/>
          </w:tcPr>
          <w:p w14:paraId="4AEF7DC8" w14:textId="77777777" w:rsidR="004C66DF" w:rsidRPr="00AA1EC7" w:rsidRDefault="004C66DF" w:rsidP="00E46767">
            <w:pPr>
              <w:contextualSpacing/>
              <w:rPr>
                <w:rFonts w:cs="Times New Roman"/>
                <w:sz w:val="20"/>
                <w:szCs w:val="20"/>
              </w:rPr>
            </w:pPr>
            <w:r w:rsidRPr="00AA1EC7">
              <w:rPr>
                <w:rFonts w:cs="Times New Roman"/>
                <w:sz w:val="20"/>
                <w:szCs w:val="20"/>
              </w:rPr>
              <w:t>Single</w:t>
            </w:r>
          </w:p>
        </w:tc>
        <w:tc>
          <w:tcPr>
            <w:tcW w:w="2268" w:type="dxa"/>
            <w:tcBorders>
              <w:bottom w:val="single" w:sz="4" w:space="0" w:color="auto"/>
            </w:tcBorders>
            <w:vAlign w:val="center"/>
          </w:tcPr>
          <w:p w14:paraId="60B94828" w14:textId="77777777" w:rsidR="004C66DF" w:rsidRPr="00AA1EC7" w:rsidRDefault="004C66DF" w:rsidP="00E46767">
            <w:pPr>
              <w:contextualSpacing/>
              <w:rPr>
                <w:rFonts w:cs="Times New Roman"/>
                <w:sz w:val="20"/>
                <w:szCs w:val="20"/>
              </w:rPr>
            </w:pPr>
            <w:r w:rsidRPr="00AA1EC7">
              <w:rPr>
                <w:rFonts w:cs="Times New Roman"/>
                <w:sz w:val="20"/>
                <w:szCs w:val="20"/>
              </w:rPr>
              <w:t>67.4% (51.5, 80.9)</w:t>
            </w:r>
          </w:p>
        </w:tc>
        <w:tc>
          <w:tcPr>
            <w:tcW w:w="2268" w:type="dxa"/>
            <w:tcBorders>
              <w:bottom w:val="single" w:sz="4" w:space="0" w:color="auto"/>
            </w:tcBorders>
            <w:vAlign w:val="center"/>
          </w:tcPr>
          <w:p w14:paraId="3F1212F4" w14:textId="77777777" w:rsidR="004C66DF" w:rsidRPr="00AA1EC7" w:rsidRDefault="004C66DF" w:rsidP="00E46767">
            <w:pPr>
              <w:contextualSpacing/>
              <w:rPr>
                <w:rFonts w:cs="Times New Roman"/>
                <w:sz w:val="20"/>
                <w:szCs w:val="20"/>
              </w:rPr>
            </w:pPr>
            <w:r w:rsidRPr="00AA1EC7">
              <w:rPr>
                <w:rFonts w:cs="Times New Roman"/>
                <w:sz w:val="20"/>
                <w:szCs w:val="20"/>
              </w:rPr>
              <w:t>NR</w:t>
            </w:r>
          </w:p>
        </w:tc>
        <w:tc>
          <w:tcPr>
            <w:tcW w:w="2126" w:type="dxa"/>
            <w:tcBorders>
              <w:bottom w:val="single" w:sz="4" w:space="0" w:color="auto"/>
              <w:right w:val="single" w:sz="8" w:space="0" w:color="auto"/>
            </w:tcBorders>
            <w:vAlign w:val="center"/>
          </w:tcPr>
          <w:p w14:paraId="336DEE1D"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7D3621F1" w14:textId="77777777" w:rsidTr="00E46767">
        <w:tc>
          <w:tcPr>
            <w:tcW w:w="1583" w:type="dxa"/>
            <w:vMerge/>
            <w:tcBorders>
              <w:left w:val="single" w:sz="8" w:space="0" w:color="auto"/>
              <w:bottom w:val="single" w:sz="8" w:space="0" w:color="auto"/>
            </w:tcBorders>
            <w:vAlign w:val="center"/>
          </w:tcPr>
          <w:p w14:paraId="160C27BF"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6B5D78C4" w14:textId="77777777" w:rsidR="004C66DF" w:rsidRPr="00AA1EC7" w:rsidRDefault="004C66DF" w:rsidP="00E46767">
            <w:pPr>
              <w:contextualSpacing/>
              <w:rPr>
                <w:rFonts w:cs="Times New Roman"/>
                <w:sz w:val="20"/>
                <w:szCs w:val="20"/>
              </w:rPr>
            </w:pPr>
          </w:p>
        </w:tc>
        <w:tc>
          <w:tcPr>
            <w:tcW w:w="2383" w:type="dxa"/>
            <w:tcBorders>
              <w:bottom w:val="single" w:sz="8" w:space="0" w:color="auto"/>
            </w:tcBorders>
            <w:vAlign w:val="center"/>
          </w:tcPr>
          <w:p w14:paraId="7BEEE1BF" w14:textId="77777777" w:rsidR="004C66DF" w:rsidRPr="00AA1EC7" w:rsidRDefault="004C66DF" w:rsidP="00E46767">
            <w:pPr>
              <w:contextualSpacing/>
              <w:rPr>
                <w:rFonts w:cs="Times New Roman"/>
                <w:sz w:val="20"/>
                <w:szCs w:val="20"/>
              </w:rPr>
            </w:pPr>
            <w:r w:rsidRPr="00AA1EC7">
              <w:rPr>
                <w:rFonts w:cs="Times New Roman"/>
                <w:sz w:val="20"/>
                <w:szCs w:val="20"/>
              </w:rPr>
              <w:t>M14-032 (Cohort B)</w:t>
            </w:r>
          </w:p>
        </w:tc>
        <w:tc>
          <w:tcPr>
            <w:tcW w:w="879" w:type="dxa"/>
            <w:tcBorders>
              <w:bottom w:val="single" w:sz="8" w:space="0" w:color="auto"/>
            </w:tcBorders>
            <w:vAlign w:val="center"/>
          </w:tcPr>
          <w:p w14:paraId="165767FB" w14:textId="77777777" w:rsidR="004C66DF" w:rsidRPr="00AA1EC7" w:rsidRDefault="004C66DF" w:rsidP="00E46767">
            <w:pPr>
              <w:contextualSpacing/>
              <w:rPr>
                <w:rFonts w:cs="Times New Roman"/>
                <w:sz w:val="20"/>
                <w:szCs w:val="20"/>
              </w:rPr>
            </w:pPr>
            <w:r w:rsidRPr="00AA1EC7">
              <w:rPr>
                <w:rFonts w:cs="Times New Roman"/>
                <w:sz w:val="20"/>
                <w:szCs w:val="20"/>
              </w:rPr>
              <w:t>21</w:t>
            </w:r>
          </w:p>
        </w:tc>
        <w:tc>
          <w:tcPr>
            <w:tcW w:w="1225" w:type="dxa"/>
            <w:tcBorders>
              <w:bottom w:val="single" w:sz="8" w:space="0" w:color="auto"/>
            </w:tcBorders>
            <w:vAlign w:val="center"/>
          </w:tcPr>
          <w:p w14:paraId="323CCAF2" w14:textId="77777777" w:rsidR="004C66DF" w:rsidRPr="00AA1EC7" w:rsidRDefault="004C66DF" w:rsidP="00E46767">
            <w:pPr>
              <w:contextualSpacing/>
              <w:rPr>
                <w:rFonts w:cs="Times New Roman"/>
                <w:sz w:val="20"/>
                <w:szCs w:val="20"/>
              </w:rPr>
            </w:pPr>
            <w:r w:rsidRPr="00AA1EC7">
              <w:rPr>
                <w:rFonts w:cs="Times New Roman"/>
                <w:sz w:val="20"/>
                <w:szCs w:val="20"/>
              </w:rPr>
              <w:t>Single</w:t>
            </w:r>
          </w:p>
        </w:tc>
        <w:tc>
          <w:tcPr>
            <w:tcW w:w="2268" w:type="dxa"/>
            <w:tcBorders>
              <w:bottom w:val="single" w:sz="8" w:space="0" w:color="auto"/>
            </w:tcBorders>
            <w:vAlign w:val="center"/>
          </w:tcPr>
          <w:p w14:paraId="614279AF" w14:textId="77777777" w:rsidR="004C66DF" w:rsidRPr="00AA1EC7" w:rsidRDefault="004C66DF" w:rsidP="00E46767">
            <w:pPr>
              <w:contextualSpacing/>
              <w:rPr>
                <w:rFonts w:cs="Times New Roman"/>
                <w:sz w:val="20"/>
                <w:szCs w:val="20"/>
              </w:rPr>
            </w:pPr>
            <w:r w:rsidRPr="00AA1EC7">
              <w:rPr>
                <w:rFonts w:cs="Times New Roman"/>
                <w:sz w:val="20"/>
                <w:szCs w:val="20"/>
              </w:rPr>
              <w:t>57.1% (34.0, 78.2)</w:t>
            </w:r>
          </w:p>
        </w:tc>
        <w:tc>
          <w:tcPr>
            <w:tcW w:w="2268" w:type="dxa"/>
            <w:tcBorders>
              <w:bottom w:val="single" w:sz="8" w:space="0" w:color="auto"/>
            </w:tcBorders>
            <w:vAlign w:val="center"/>
          </w:tcPr>
          <w:p w14:paraId="4E430B43" w14:textId="77777777" w:rsidR="004C66DF" w:rsidRPr="00AA1EC7" w:rsidRDefault="004C66DF" w:rsidP="00E46767">
            <w:pPr>
              <w:contextualSpacing/>
              <w:rPr>
                <w:rFonts w:cs="Times New Roman"/>
                <w:sz w:val="20"/>
                <w:szCs w:val="20"/>
              </w:rPr>
            </w:pPr>
            <w:r w:rsidRPr="00AA1EC7">
              <w:rPr>
                <w:rFonts w:cs="Times New Roman"/>
                <w:sz w:val="20"/>
                <w:szCs w:val="20"/>
              </w:rPr>
              <w:t>NR</w:t>
            </w:r>
          </w:p>
        </w:tc>
        <w:tc>
          <w:tcPr>
            <w:tcW w:w="2126" w:type="dxa"/>
            <w:tcBorders>
              <w:bottom w:val="single" w:sz="8" w:space="0" w:color="auto"/>
              <w:right w:val="single" w:sz="8" w:space="0" w:color="auto"/>
            </w:tcBorders>
            <w:vAlign w:val="center"/>
          </w:tcPr>
          <w:p w14:paraId="7D13D743"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5A486D72" w14:textId="77777777" w:rsidTr="00E46767">
        <w:tc>
          <w:tcPr>
            <w:tcW w:w="1583" w:type="dxa"/>
            <w:vMerge w:val="restart"/>
            <w:tcBorders>
              <w:top w:val="single" w:sz="8" w:space="0" w:color="auto"/>
              <w:left w:val="single" w:sz="8" w:space="0" w:color="auto"/>
            </w:tcBorders>
            <w:vAlign w:val="center"/>
          </w:tcPr>
          <w:p w14:paraId="20C11D74" w14:textId="77777777" w:rsidR="004C66DF" w:rsidRPr="00AA1EC7" w:rsidRDefault="004C66DF" w:rsidP="00E46767">
            <w:pPr>
              <w:contextualSpacing/>
              <w:rPr>
                <w:rFonts w:cs="Times New Roman"/>
                <w:sz w:val="20"/>
                <w:szCs w:val="20"/>
              </w:rPr>
            </w:pPr>
            <w:r w:rsidRPr="00AA1EC7">
              <w:rPr>
                <w:rFonts w:cs="Times New Roman"/>
                <w:sz w:val="20"/>
                <w:szCs w:val="20"/>
              </w:rPr>
              <w:t>Atezolizumab</w:t>
            </w:r>
          </w:p>
        </w:tc>
        <w:tc>
          <w:tcPr>
            <w:tcW w:w="1150" w:type="dxa"/>
            <w:vMerge w:val="restart"/>
            <w:tcBorders>
              <w:top w:val="single" w:sz="8" w:space="0" w:color="auto"/>
            </w:tcBorders>
            <w:vAlign w:val="center"/>
          </w:tcPr>
          <w:p w14:paraId="2B93AB35" w14:textId="77777777" w:rsidR="004C66DF" w:rsidRPr="00AA1EC7" w:rsidRDefault="004C66DF" w:rsidP="00E46767">
            <w:pPr>
              <w:contextualSpacing/>
              <w:rPr>
                <w:rFonts w:cs="Times New Roman"/>
                <w:sz w:val="20"/>
                <w:szCs w:val="20"/>
              </w:rPr>
            </w:pPr>
            <w:r w:rsidRPr="00AA1EC7">
              <w:rPr>
                <w:rFonts w:cs="Times New Roman"/>
                <w:sz w:val="20"/>
                <w:szCs w:val="20"/>
              </w:rPr>
              <w:t>TA492</w:t>
            </w:r>
          </w:p>
        </w:tc>
        <w:tc>
          <w:tcPr>
            <w:tcW w:w="2383" w:type="dxa"/>
            <w:tcBorders>
              <w:top w:val="single" w:sz="8" w:space="0" w:color="auto"/>
              <w:bottom w:val="single" w:sz="4" w:space="0" w:color="auto"/>
            </w:tcBorders>
            <w:vAlign w:val="center"/>
          </w:tcPr>
          <w:p w14:paraId="5B1BCF58" w14:textId="77777777" w:rsidR="004C66DF" w:rsidRPr="00AA1EC7" w:rsidRDefault="004C66DF" w:rsidP="00E46767">
            <w:pPr>
              <w:contextualSpacing/>
              <w:rPr>
                <w:rFonts w:cs="Times New Roman"/>
                <w:sz w:val="20"/>
                <w:szCs w:val="20"/>
              </w:rPr>
            </w:pPr>
            <w:r w:rsidRPr="00AA1EC7">
              <w:rPr>
                <w:rFonts w:cs="Times New Roman"/>
                <w:sz w:val="20"/>
                <w:szCs w:val="20"/>
              </w:rPr>
              <w:t>IMvigor 210 Cohort 1</w:t>
            </w:r>
          </w:p>
        </w:tc>
        <w:tc>
          <w:tcPr>
            <w:tcW w:w="879" w:type="dxa"/>
            <w:tcBorders>
              <w:top w:val="single" w:sz="8" w:space="0" w:color="auto"/>
              <w:bottom w:val="single" w:sz="4" w:space="0" w:color="auto"/>
            </w:tcBorders>
            <w:vAlign w:val="center"/>
          </w:tcPr>
          <w:p w14:paraId="54EE3A8F" w14:textId="77777777" w:rsidR="004C66DF" w:rsidRPr="00AA1EC7" w:rsidRDefault="004C66DF" w:rsidP="00E46767">
            <w:pPr>
              <w:contextualSpacing/>
              <w:rPr>
                <w:rFonts w:cs="Times New Roman"/>
                <w:sz w:val="20"/>
                <w:szCs w:val="20"/>
              </w:rPr>
            </w:pPr>
            <w:r w:rsidRPr="00AA1EC7">
              <w:rPr>
                <w:rFonts w:cs="Times New Roman"/>
                <w:sz w:val="20"/>
                <w:szCs w:val="20"/>
              </w:rPr>
              <w:t>119</w:t>
            </w:r>
          </w:p>
        </w:tc>
        <w:tc>
          <w:tcPr>
            <w:tcW w:w="1225" w:type="dxa"/>
            <w:tcBorders>
              <w:top w:val="single" w:sz="8" w:space="0" w:color="auto"/>
              <w:bottom w:val="single" w:sz="4" w:space="0" w:color="auto"/>
            </w:tcBorders>
            <w:vAlign w:val="center"/>
          </w:tcPr>
          <w:p w14:paraId="524966C0"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bottom w:val="single" w:sz="4" w:space="0" w:color="auto"/>
            </w:tcBorders>
            <w:vAlign w:val="center"/>
          </w:tcPr>
          <w:p w14:paraId="64F7B5AE" w14:textId="77777777" w:rsidR="004C66DF" w:rsidRPr="00AA1EC7" w:rsidRDefault="004C66DF" w:rsidP="00E46767">
            <w:pPr>
              <w:contextualSpacing/>
              <w:rPr>
                <w:rFonts w:cs="Times New Roman"/>
                <w:sz w:val="20"/>
                <w:szCs w:val="20"/>
              </w:rPr>
            </w:pPr>
            <w:r w:rsidRPr="00AA1EC7">
              <w:rPr>
                <w:rFonts w:cs="Times New Roman"/>
                <w:sz w:val="20"/>
                <w:szCs w:val="20"/>
              </w:rPr>
              <w:t>19.3% (12.66, 27.58)</w:t>
            </w:r>
          </w:p>
        </w:tc>
        <w:tc>
          <w:tcPr>
            <w:tcW w:w="2268" w:type="dxa"/>
            <w:tcBorders>
              <w:top w:val="single" w:sz="8" w:space="0" w:color="auto"/>
              <w:bottom w:val="single" w:sz="4" w:space="0" w:color="auto"/>
            </w:tcBorders>
            <w:vAlign w:val="center"/>
          </w:tcPr>
          <w:p w14:paraId="0E01BD90" w14:textId="77777777" w:rsidR="004C66DF" w:rsidRPr="00AA1EC7" w:rsidRDefault="004C66DF" w:rsidP="00E46767">
            <w:pPr>
              <w:contextualSpacing/>
              <w:rPr>
                <w:rFonts w:cs="Times New Roman"/>
                <w:sz w:val="20"/>
                <w:szCs w:val="20"/>
              </w:rPr>
            </w:pPr>
            <w:r w:rsidRPr="00AA1EC7">
              <w:rPr>
                <w:rFonts w:cs="Times New Roman"/>
                <w:sz w:val="20"/>
                <w:szCs w:val="20"/>
              </w:rPr>
              <w:t>2.7 (2.1, 4.2)</w:t>
            </w:r>
          </w:p>
        </w:tc>
        <w:tc>
          <w:tcPr>
            <w:tcW w:w="2126" w:type="dxa"/>
            <w:tcBorders>
              <w:top w:val="single" w:sz="8" w:space="0" w:color="auto"/>
              <w:bottom w:val="single" w:sz="4" w:space="0" w:color="auto"/>
              <w:right w:val="single" w:sz="8" w:space="0" w:color="auto"/>
            </w:tcBorders>
            <w:vAlign w:val="center"/>
          </w:tcPr>
          <w:p w14:paraId="73D1FF9F" w14:textId="77777777" w:rsidR="004C66DF" w:rsidRPr="00AA1EC7" w:rsidRDefault="004C66DF" w:rsidP="00E46767">
            <w:pPr>
              <w:contextualSpacing/>
              <w:rPr>
                <w:rFonts w:cs="Times New Roman"/>
                <w:sz w:val="20"/>
                <w:szCs w:val="20"/>
              </w:rPr>
            </w:pPr>
            <w:r w:rsidRPr="00AA1EC7">
              <w:rPr>
                <w:rFonts w:cs="Times New Roman"/>
                <w:sz w:val="20"/>
                <w:szCs w:val="20"/>
              </w:rPr>
              <w:t>15.9 (10.4, NE)</w:t>
            </w:r>
          </w:p>
        </w:tc>
      </w:tr>
      <w:tr w:rsidR="004C66DF" w:rsidRPr="002D1DD7" w14:paraId="54F882D9" w14:textId="77777777" w:rsidTr="00E46767">
        <w:tc>
          <w:tcPr>
            <w:tcW w:w="1583" w:type="dxa"/>
            <w:vMerge/>
            <w:tcBorders>
              <w:left w:val="single" w:sz="8" w:space="0" w:color="auto"/>
              <w:bottom w:val="single" w:sz="8" w:space="0" w:color="auto"/>
            </w:tcBorders>
            <w:vAlign w:val="center"/>
          </w:tcPr>
          <w:p w14:paraId="279BA3D4"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18E8C7B2"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8" w:space="0" w:color="auto"/>
            </w:tcBorders>
            <w:vAlign w:val="center"/>
          </w:tcPr>
          <w:p w14:paraId="3541BCAD" w14:textId="77777777" w:rsidR="004C66DF" w:rsidRPr="00AA1EC7" w:rsidRDefault="004C66DF" w:rsidP="00E46767">
            <w:pPr>
              <w:contextualSpacing/>
              <w:rPr>
                <w:rFonts w:cs="Times New Roman"/>
                <w:sz w:val="20"/>
                <w:szCs w:val="20"/>
              </w:rPr>
            </w:pPr>
            <w:r w:rsidRPr="00AA1EC7">
              <w:rPr>
                <w:rFonts w:cs="Times New Roman"/>
                <w:sz w:val="20"/>
                <w:szCs w:val="20"/>
              </w:rPr>
              <w:t>IMvigor 210 Cohort 2</w:t>
            </w:r>
          </w:p>
        </w:tc>
        <w:tc>
          <w:tcPr>
            <w:tcW w:w="879" w:type="dxa"/>
            <w:tcBorders>
              <w:top w:val="single" w:sz="4" w:space="0" w:color="auto"/>
              <w:bottom w:val="single" w:sz="8" w:space="0" w:color="auto"/>
            </w:tcBorders>
            <w:vAlign w:val="center"/>
          </w:tcPr>
          <w:p w14:paraId="35EFF77D" w14:textId="77777777" w:rsidR="004C66DF" w:rsidRPr="00AA1EC7" w:rsidRDefault="004C66DF" w:rsidP="00E46767">
            <w:pPr>
              <w:contextualSpacing/>
              <w:rPr>
                <w:rFonts w:cs="Times New Roman"/>
                <w:sz w:val="20"/>
                <w:szCs w:val="20"/>
              </w:rPr>
            </w:pPr>
            <w:r w:rsidRPr="00AA1EC7">
              <w:rPr>
                <w:rFonts w:cs="Times New Roman"/>
                <w:sz w:val="20"/>
                <w:szCs w:val="20"/>
              </w:rPr>
              <w:t>310</w:t>
            </w:r>
          </w:p>
        </w:tc>
        <w:tc>
          <w:tcPr>
            <w:tcW w:w="1225" w:type="dxa"/>
            <w:tcBorders>
              <w:top w:val="single" w:sz="4" w:space="0" w:color="auto"/>
              <w:bottom w:val="single" w:sz="8" w:space="0" w:color="auto"/>
            </w:tcBorders>
            <w:vAlign w:val="center"/>
          </w:tcPr>
          <w:p w14:paraId="51F64A8E"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8" w:space="0" w:color="auto"/>
            </w:tcBorders>
            <w:vAlign w:val="center"/>
          </w:tcPr>
          <w:p w14:paraId="709702BF" w14:textId="77777777" w:rsidR="004C66DF" w:rsidRPr="00AA1EC7" w:rsidRDefault="004C66DF" w:rsidP="00E46767">
            <w:pPr>
              <w:contextualSpacing/>
              <w:rPr>
                <w:rFonts w:cs="Times New Roman"/>
                <w:sz w:val="20"/>
                <w:szCs w:val="20"/>
              </w:rPr>
            </w:pPr>
            <w:r w:rsidRPr="00AA1EC7">
              <w:rPr>
                <w:rFonts w:cs="Times New Roman"/>
                <w:sz w:val="20"/>
                <w:szCs w:val="20"/>
              </w:rPr>
              <w:t>15.1% (11.3, 19.6)</w:t>
            </w:r>
          </w:p>
        </w:tc>
        <w:tc>
          <w:tcPr>
            <w:tcW w:w="2268" w:type="dxa"/>
            <w:tcBorders>
              <w:top w:val="single" w:sz="4" w:space="0" w:color="auto"/>
              <w:bottom w:val="single" w:sz="8" w:space="0" w:color="auto"/>
            </w:tcBorders>
            <w:vAlign w:val="center"/>
          </w:tcPr>
          <w:p w14:paraId="6C515F6E" w14:textId="77777777" w:rsidR="004C66DF" w:rsidRPr="00AA1EC7" w:rsidRDefault="004C66DF" w:rsidP="00E46767">
            <w:pPr>
              <w:contextualSpacing/>
              <w:rPr>
                <w:rFonts w:cs="Times New Roman"/>
                <w:sz w:val="20"/>
                <w:szCs w:val="20"/>
              </w:rPr>
            </w:pPr>
            <w:r w:rsidRPr="00AA1EC7">
              <w:rPr>
                <w:rFonts w:cs="Times New Roman"/>
                <w:sz w:val="20"/>
                <w:szCs w:val="20"/>
              </w:rPr>
              <w:t>2.1 (2.1, 2.1)</w:t>
            </w:r>
          </w:p>
        </w:tc>
        <w:tc>
          <w:tcPr>
            <w:tcW w:w="2126" w:type="dxa"/>
            <w:tcBorders>
              <w:top w:val="single" w:sz="4" w:space="0" w:color="auto"/>
              <w:bottom w:val="single" w:sz="8" w:space="0" w:color="auto"/>
              <w:right w:val="single" w:sz="8" w:space="0" w:color="auto"/>
            </w:tcBorders>
            <w:vAlign w:val="center"/>
          </w:tcPr>
          <w:p w14:paraId="08C6FD85" w14:textId="77777777" w:rsidR="004C66DF" w:rsidRPr="00AA1EC7" w:rsidRDefault="004C66DF" w:rsidP="00E46767">
            <w:pPr>
              <w:contextualSpacing/>
              <w:rPr>
                <w:rFonts w:cs="Times New Roman"/>
                <w:sz w:val="20"/>
                <w:szCs w:val="20"/>
              </w:rPr>
            </w:pPr>
            <w:r w:rsidRPr="00AA1EC7">
              <w:rPr>
                <w:rFonts w:cs="Times New Roman"/>
                <w:sz w:val="20"/>
                <w:szCs w:val="20"/>
              </w:rPr>
              <w:t>7.9 (6.7, 9.3)</w:t>
            </w:r>
          </w:p>
        </w:tc>
      </w:tr>
      <w:tr w:rsidR="004C66DF" w:rsidRPr="002D1DD7" w14:paraId="151F614C" w14:textId="77777777" w:rsidTr="00E46767">
        <w:tc>
          <w:tcPr>
            <w:tcW w:w="1583" w:type="dxa"/>
            <w:vMerge w:val="restart"/>
            <w:tcBorders>
              <w:top w:val="single" w:sz="8" w:space="0" w:color="auto"/>
              <w:left w:val="single" w:sz="8" w:space="0" w:color="auto"/>
            </w:tcBorders>
            <w:vAlign w:val="center"/>
          </w:tcPr>
          <w:p w14:paraId="5CC0AD20" w14:textId="77777777" w:rsidR="004C66DF" w:rsidRPr="00AA1EC7" w:rsidRDefault="004C66DF" w:rsidP="00E46767">
            <w:pPr>
              <w:contextualSpacing/>
              <w:rPr>
                <w:rFonts w:cs="Times New Roman"/>
                <w:sz w:val="20"/>
                <w:szCs w:val="20"/>
              </w:rPr>
            </w:pPr>
            <w:r w:rsidRPr="00AA1EC7">
              <w:rPr>
                <w:rFonts w:cs="Times New Roman"/>
                <w:sz w:val="20"/>
                <w:szCs w:val="20"/>
              </w:rPr>
              <w:t>Daratumumab</w:t>
            </w:r>
          </w:p>
        </w:tc>
        <w:tc>
          <w:tcPr>
            <w:tcW w:w="1150" w:type="dxa"/>
            <w:vMerge w:val="restart"/>
            <w:tcBorders>
              <w:top w:val="single" w:sz="8" w:space="0" w:color="auto"/>
            </w:tcBorders>
            <w:vAlign w:val="center"/>
          </w:tcPr>
          <w:p w14:paraId="66BE8CD9" w14:textId="77777777" w:rsidR="004C66DF" w:rsidRPr="00AA1EC7" w:rsidRDefault="004C66DF" w:rsidP="00E46767">
            <w:pPr>
              <w:contextualSpacing/>
              <w:rPr>
                <w:rFonts w:cs="Times New Roman"/>
                <w:sz w:val="20"/>
                <w:szCs w:val="20"/>
              </w:rPr>
            </w:pPr>
            <w:r w:rsidRPr="00AA1EC7">
              <w:rPr>
                <w:rFonts w:cs="Times New Roman"/>
                <w:sz w:val="20"/>
                <w:szCs w:val="20"/>
              </w:rPr>
              <w:t>TA510</w:t>
            </w:r>
          </w:p>
        </w:tc>
        <w:tc>
          <w:tcPr>
            <w:tcW w:w="2383" w:type="dxa"/>
            <w:tcBorders>
              <w:top w:val="single" w:sz="8" w:space="0" w:color="auto"/>
              <w:bottom w:val="single" w:sz="4" w:space="0" w:color="auto"/>
            </w:tcBorders>
            <w:vAlign w:val="center"/>
          </w:tcPr>
          <w:p w14:paraId="372E5413" w14:textId="77777777" w:rsidR="004C66DF" w:rsidRPr="00AA1EC7" w:rsidRDefault="004C66DF" w:rsidP="00E46767">
            <w:pPr>
              <w:contextualSpacing/>
              <w:rPr>
                <w:rFonts w:cs="Times New Roman"/>
                <w:sz w:val="20"/>
                <w:szCs w:val="20"/>
              </w:rPr>
            </w:pPr>
            <w:r w:rsidRPr="00AA1EC7">
              <w:rPr>
                <w:rFonts w:cs="Times New Roman"/>
                <w:sz w:val="20"/>
                <w:szCs w:val="20"/>
              </w:rPr>
              <w:t>MMY2002</w:t>
            </w:r>
          </w:p>
        </w:tc>
        <w:tc>
          <w:tcPr>
            <w:tcW w:w="879" w:type="dxa"/>
            <w:tcBorders>
              <w:top w:val="single" w:sz="8" w:space="0" w:color="auto"/>
              <w:bottom w:val="single" w:sz="4" w:space="0" w:color="auto"/>
            </w:tcBorders>
            <w:vAlign w:val="center"/>
          </w:tcPr>
          <w:p w14:paraId="075C1E52" w14:textId="77777777" w:rsidR="004C66DF" w:rsidRPr="00AA1EC7" w:rsidRDefault="004C66DF" w:rsidP="00E46767">
            <w:pPr>
              <w:contextualSpacing/>
              <w:rPr>
                <w:rFonts w:cs="Times New Roman"/>
                <w:sz w:val="20"/>
                <w:szCs w:val="20"/>
              </w:rPr>
            </w:pPr>
            <w:r w:rsidRPr="00AA1EC7">
              <w:rPr>
                <w:rFonts w:cs="Times New Roman"/>
                <w:sz w:val="20"/>
                <w:szCs w:val="20"/>
              </w:rPr>
              <w:t>106</w:t>
            </w:r>
          </w:p>
        </w:tc>
        <w:tc>
          <w:tcPr>
            <w:tcW w:w="1225" w:type="dxa"/>
            <w:tcBorders>
              <w:top w:val="single" w:sz="8" w:space="0" w:color="auto"/>
              <w:bottom w:val="single" w:sz="4" w:space="0" w:color="auto"/>
            </w:tcBorders>
            <w:vAlign w:val="center"/>
          </w:tcPr>
          <w:p w14:paraId="7403D2DA"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bottom w:val="single" w:sz="4" w:space="0" w:color="auto"/>
            </w:tcBorders>
            <w:vAlign w:val="center"/>
          </w:tcPr>
          <w:p w14:paraId="51BCF5B2" w14:textId="77777777" w:rsidR="004C66DF" w:rsidRPr="00AA1EC7" w:rsidRDefault="004C66DF" w:rsidP="00E46767">
            <w:pPr>
              <w:contextualSpacing/>
              <w:rPr>
                <w:rFonts w:cs="Times New Roman"/>
                <w:sz w:val="20"/>
                <w:szCs w:val="20"/>
              </w:rPr>
            </w:pPr>
            <w:r w:rsidRPr="00AA1EC7">
              <w:rPr>
                <w:rFonts w:cs="Times New Roman"/>
                <w:sz w:val="20"/>
                <w:szCs w:val="20"/>
              </w:rPr>
              <w:t>31 (20.8, 38.9%)</w:t>
            </w:r>
          </w:p>
        </w:tc>
        <w:tc>
          <w:tcPr>
            <w:tcW w:w="2268" w:type="dxa"/>
            <w:tcBorders>
              <w:top w:val="single" w:sz="8" w:space="0" w:color="auto"/>
              <w:bottom w:val="single" w:sz="4" w:space="0" w:color="auto"/>
            </w:tcBorders>
            <w:vAlign w:val="center"/>
          </w:tcPr>
          <w:p w14:paraId="592A9B48" w14:textId="77777777" w:rsidR="004C66DF" w:rsidRPr="00AA1EC7" w:rsidRDefault="004C66DF" w:rsidP="00E46767">
            <w:pPr>
              <w:contextualSpacing/>
              <w:rPr>
                <w:rFonts w:cs="Times New Roman"/>
                <w:sz w:val="20"/>
                <w:szCs w:val="20"/>
              </w:rPr>
            </w:pPr>
            <w:r w:rsidRPr="00AA1EC7">
              <w:rPr>
                <w:rFonts w:cs="Times New Roman"/>
                <w:sz w:val="20"/>
                <w:szCs w:val="20"/>
              </w:rPr>
              <w:t>3.7 (2.8, 4.6)</w:t>
            </w:r>
          </w:p>
        </w:tc>
        <w:tc>
          <w:tcPr>
            <w:tcW w:w="2126" w:type="dxa"/>
            <w:tcBorders>
              <w:top w:val="single" w:sz="8" w:space="0" w:color="auto"/>
              <w:bottom w:val="single" w:sz="4" w:space="0" w:color="auto"/>
              <w:right w:val="single" w:sz="8" w:space="0" w:color="auto"/>
            </w:tcBorders>
            <w:vAlign w:val="center"/>
          </w:tcPr>
          <w:p w14:paraId="52940F64" w14:textId="77777777" w:rsidR="004C66DF" w:rsidRPr="00AA1EC7" w:rsidRDefault="004C66DF" w:rsidP="00E46767">
            <w:pPr>
              <w:contextualSpacing/>
              <w:rPr>
                <w:rFonts w:cs="Times New Roman"/>
                <w:sz w:val="20"/>
                <w:szCs w:val="20"/>
              </w:rPr>
            </w:pPr>
            <w:r w:rsidRPr="00AA1EC7">
              <w:rPr>
                <w:rFonts w:cs="Times New Roman"/>
                <w:sz w:val="20"/>
                <w:szCs w:val="20"/>
              </w:rPr>
              <w:t>18.6 (13.7, NR)</w:t>
            </w:r>
          </w:p>
        </w:tc>
      </w:tr>
      <w:tr w:rsidR="004C66DF" w:rsidRPr="002D1DD7" w14:paraId="3F7B87E9" w14:textId="77777777" w:rsidTr="00E46767">
        <w:tc>
          <w:tcPr>
            <w:tcW w:w="1583" w:type="dxa"/>
            <w:vMerge/>
            <w:tcBorders>
              <w:left w:val="single" w:sz="8" w:space="0" w:color="auto"/>
            </w:tcBorders>
            <w:vAlign w:val="center"/>
          </w:tcPr>
          <w:p w14:paraId="6FE45EA6" w14:textId="77777777" w:rsidR="004C66DF" w:rsidRPr="00AA1EC7" w:rsidRDefault="004C66DF" w:rsidP="00E46767">
            <w:pPr>
              <w:contextualSpacing/>
              <w:rPr>
                <w:rFonts w:cs="Times New Roman"/>
                <w:sz w:val="20"/>
                <w:szCs w:val="20"/>
              </w:rPr>
            </w:pPr>
          </w:p>
        </w:tc>
        <w:tc>
          <w:tcPr>
            <w:tcW w:w="1150" w:type="dxa"/>
            <w:vMerge/>
            <w:vAlign w:val="center"/>
          </w:tcPr>
          <w:p w14:paraId="270FEF6E"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4" w:space="0" w:color="auto"/>
            </w:tcBorders>
            <w:vAlign w:val="center"/>
          </w:tcPr>
          <w:p w14:paraId="296122CF" w14:textId="77777777" w:rsidR="004C66DF" w:rsidRPr="00AA1EC7" w:rsidRDefault="004C66DF" w:rsidP="00E46767">
            <w:pPr>
              <w:contextualSpacing/>
              <w:rPr>
                <w:rFonts w:cs="Times New Roman"/>
                <w:sz w:val="20"/>
                <w:szCs w:val="20"/>
              </w:rPr>
            </w:pPr>
            <w:r w:rsidRPr="00AA1EC7">
              <w:rPr>
                <w:rFonts w:cs="Times New Roman"/>
                <w:sz w:val="20"/>
                <w:szCs w:val="20"/>
              </w:rPr>
              <w:t>GEN501</w:t>
            </w:r>
          </w:p>
        </w:tc>
        <w:tc>
          <w:tcPr>
            <w:tcW w:w="879" w:type="dxa"/>
            <w:tcBorders>
              <w:top w:val="single" w:sz="4" w:space="0" w:color="auto"/>
              <w:bottom w:val="single" w:sz="4" w:space="0" w:color="auto"/>
            </w:tcBorders>
            <w:vAlign w:val="center"/>
          </w:tcPr>
          <w:p w14:paraId="0E811C7E" w14:textId="77777777" w:rsidR="004C66DF" w:rsidRPr="00AA1EC7" w:rsidRDefault="004C66DF" w:rsidP="00E46767">
            <w:pPr>
              <w:contextualSpacing/>
              <w:rPr>
                <w:rFonts w:cs="Times New Roman"/>
                <w:sz w:val="20"/>
                <w:szCs w:val="20"/>
              </w:rPr>
            </w:pPr>
            <w:r w:rsidRPr="00AA1EC7">
              <w:rPr>
                <w:rFonts w:cs="Times New Roman"/>
                <w:sz w:val="20"/>
                <w:szCs w:val="20"/>
              </w:rPr>
              <w:t>42</w:t>
            </w:r>
          </w:p>
        </w:tc>
        <w:tc>
          <w:tcPr>
            <w:tcW w:w="1225" w:type="dxa"/>
            <w:tcBorders>
              <w:top w:val="single" w:sz="4" w:space="0" w:color="auto"/>
              <w:bottom w:val="single" w:sz="4" w:space="0" w:color="auto"/>
            </w:tcBorders>
            <w:vAlign w:val="center"/>
          </w:tcPr>
          <w:p w14:paraId="0A2ED795"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4" w:space="0" w:color="auto"/>
            </w:tcBorders>
            <w:vAlign w:val="center"/>
          </w:tcPr>
          <w:p w14:paraId="42111F62" w14:textId="77777777" w:rsidR="004C66DF" w:rsidRPr="00AA1EC7" w:rsidRDefault="004C66DF" w:rsidP="00E46767">
            <w:pPr>
              <w:contextualSpacing/>
              <w:rPr>
                <w:rFonts w:cs="Times New Roman"/>
                <w:sz w:val="20"/>
                <w:szCs w:val="20"/>
              </w:rPr>
            </w:pPr>
            <w:r w:rsidRPr="00AA1EC7">
              <w:rPr>
                <w:rFonts w:cs="Times New Roman"/>
                <w:sz w:val="20"/>
                <w:szCs w:val="20"/>
              </w:rPr>
              <w:t>15 (21.6, 52.0%)</w:t>
            </w:r>
          </w:p>
        </w:tc>
        <w:tc>
          <w:tcPr>
            <w:tcW w:w="2268" w:type="dxa"/>
            <w:tcBorders>
              <w:top w:val="single" w:sz="4" w:space="0" w:color="auto"/>
              <w:bottom w:val="single" w:sz="4" w:space="0" w:color="auto"/>
            </w:tcBorders>
            <w:vAlign w:val="center"/>
          </w:tcPr>
          <w:p w14:paraId="25EDCB8B" w14:textId="77777777" w:rsidR="004C66DF" w:rsidRPr="00AA1EC7" w:rsidRDefault="004C66DF" w:rsidP="00E46767">
            <w:pPr>
              <w:contextualSpacing/>
              <w:rPr>
                <w:rFonts w:cs="Times New Roman"/>
                <w:sz w:val="20"/>
                <w:szCs w:val="20"/>
              </w:rPr>
            </w:pPr>
            <w:r w:rsidRPr="00AA1EC7">
              <w:rPr>
                <w:rFonts w:cs="Times New Roman"/>
                <w:sz w:val="20"/>
                <w:szCs w:val="20"/>
              </w:rPr>
              <w:t>6.2 (4.2, 11.6)</w:t>
            </w:r>
          </w:p>
        </w:tc>
        <w:tc>
          <w:tcPr>
            <w:tcW w:w="2126" w:type="dxa"/>
            <w:tcBorders>
              <w:top w:val="single" w:sz="4" w:space="0" w:color="auto"/>
              <w:bottom w:val="single" w:sz="4" w:space="0" w:color="auto"/>
              <w:right w:val="single" w:sz="8" w:space="0" w:color="auto"/>
            </w:tcBorders>
            <w:vAlign w:val="center"/>
          </w:tcPr>
          <w:p w14:paraId="2EA65E47" w14:textId="77777777" w:rsidR="004C66DF" w:rsidRPr="00AA1EC7" w:rsidRDefault="004C66DF" w:rsidP="00E46767">
            <w:pPr>
              <w:contextualSpacing/>
              <w:rPr>
                <w:rFonts w:cs="Times New Roman"/>
                <w:sz w:val="20"/>
                <w:szCs w:val="20"/>
              </w:rPr>
            </w:pPr>
            <w:r w:rsidRPr="00AA1EC7">
              <w:rPr>
                <w:rFonts w:cs="Times New Roman"/>
                <w:sz w:val="20"/>
                <w:szCs w:val="20"/>
              </w:rPr>
              <w:t>NR (18.7, NR)</w:t>
            </w:r>
          </w:p>
        </w:tc>
      </w:tr>
      <w:tr w:rsidR="004C66DF" w:rsidRPr="002D1DD7" w14:paraId="5B8EBF81" w14:textId="77777777" w:rsidTr="00E46767">
        <w:tc>
          <w:tcPr>
            <w:tcW w:w="1583" w:type="dxa"/>
            <w:vMerge/>
            <w:tcBorders>
              <w:left w:val="single" w:sz="8" w:space="0" w:color="auto"/>
              <w:bottom w:val="single" w:sz="8" w:space="0" w:color="auto"/>
            </w:tcBorders>
            <w:vAlign w:val="center"/>
          </w:tcPr>
          <w:p w14:paraId="0119BF61"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53CF9586"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8" w:space="0" w:color="auto"/>
            </w:tcBorders>
            <w:vAlign w:val="center"/>
          </w:tcPr>
          <w:p w14:paraId="5DA812BE" w14:textId="77777777" w:rsidR="004C66DF" w:rsidRPr="00AA1EC7" w:rsidRDefault="004C66DF" w:rsidP="00E46767">
            <w:pPr>
              <w:contextualSpacing/>
              <w:rPr>
                <w:rFonts w:cs="Times New Roman"/>
                <w:sz w:val="20"/>
                <w:szCs w:val="20"/>
              </w:rPr>
            </w:pPr>
            <w:r w:rsidRPr="00AA1EC7">
              <w:rPr>
                <w:rFonts w:cs="Times New Roman"/>
                <w:sz w:val="20"/>
                <w:szCs w:val="20"/>
              </w:rPr>
              <w:t>Pooled</w:t>
            </w:r>
          </w:p>
        </w:tc>
        <w:tc>
          <w:tcPr>
            <w:tcW w:w="879" w:type="dxa"/>
            <w:tcBorders>
              <w:top w:val="single" w:sz="4" w:space="0" w:color="auto"/>
              <w:bottom w:val="single" w:sz="8" w:space="0" w:color="auto"/>
            </w:tcBorders>
            <w:vAlign w:val="center"/>
          </w:tcPr>
          <w:p w14:paraId="13E3D8E5" w14:textId="77777777" w:rsidR="004C66DF" w:rsidRPr="00AA1EC7" w:rsidRDefault="004C66DF" w:rsidP="00E46767">
            <w:pPr>
              <w:contextualSpacing/>
              <w:rPr>
                <w:rFonts w:cs="Times New Roman"/>
                <w:sz w:val="20"/>
                <w:szCs w:val="20"/>
              </w:rPr>
            </w:pPr>
            <w:r w:rsidRPr="00AA1EC7">
              <w:rPr>
                <w:rFonts w:cs="Times New Roman"/>
                <w:sz w:val="20"/>
                <w:szCs w:val="20"/>
              </w:rPr>
              <w:t>148</w:t>
            </w:r>
          </w:p>
        </w:tc>
        <w:tc>
          <w:tcPr>
            <w:tcW w:w="1225" w:type="dxa"/>
            <w:tcBorders>
              <w:top w:val="single" w:sz="4" w:space="0" w:color="auto"/>
              <w:bottom w:val="single" w:sz="8" w:space="0" w:color="auto"/>
            </w:tcBorders>
            <w:vAlign w:val="center"/>
          </w:tcPr>
          <w:p w14:paraId="270482D0"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8" w:space="0" w:color="auto"/>
            </w:tcBorders>
            <w:vAlign w:val="center"/>
          </w:tcPr>
          <w:p w14:paraId="731B332F" w14:textId="77777777" w:rsidR="004C66DF" w:rsidRPr="00AA1EC7" w:rsidRDefault="004C66DF" w:rsidP="00E46767">
            <w:pPr>
              <w:contextualSpacing/>
              <w:rPr>
                <w:rFonts w:cs="Times New Roman"/>
                <w:sz w:val="20"/>
                <w:szCs w:val="20"/>
              </w:rPr>
            </w:pPr>
            <w:r w:rsidRPr="00AA1EC7">
              <w:rPr>
                <w:rFonts w:cs="Times New Roman"/>
                <w:sz w:val="20"/>
                <w:szCs w:val="20"/>
              </w:rPr>
              <w:t>46 (23.7, 39.2%)</w:t>
            </w:r>
          </w:p>
        </w:tc>
        <w:tc>
          <w:tcPr>
            <w:tcW w:w="2268" w:type="dxa"/>
            <w:tcBorders>
              <w:top w:val="single" w:sz="4" w:space="0" w:color="auto"/>
              <w:bottom w:val="single" w:sz="8" w:space="0" w:color="auto"/>
            </w:tcBorders>
            <w:vAlign w:val="center"/>
          </w:tcPr>
          <w:p w14:paraId="7587992B" w14:textId="77777777" w:rsidR="004C66DF" w:rsidRPr="00AA1EC7" w:rsidRDefault="004C66DF" w:rsidP="00E46767">
            <w:pPr>
              <w:contextualSpacing/>
              <w:rPr>
                <w:rFonts w:cs="Times New Roman"/>
                <w:sz w:val="20"/>
                <w:szCs w:val="20"/>
              </w:rPr>
            </w:pPr>
            <w:r w:rsidRPr="00AA1EC7">
              <w:rPr>
                <w:rFonts w:cs="Times New Roman"/>
                <w:sz w:val="20"/>
                <w:szCs w:val="20"/>
              </w:rPr>
              <w:t>4.0 (2.8, 5.6)</w:t>
            </w:r>
          </w:p>
        </w:tc>
        <w:tc>
          <w:tcPr>
            <w:tcW w:w="2126" w:type="dxa"/>
            <w:tcBorders>
              <w:top w:val="single" w:sz="4" w:space="0" w:color="auto"/>
              <w:bottom w:val="single" w:sz="8" w:space="0" w:color="auto"/>
              <w:right w:val="single" w:sz="8" w:space="0" w:color="auto"/>
            </w:tcBorders>
            <w:vAlign w:val="center"/>
          </w:tcPr>
          <w:p w14:paraId="6E0BF3A4" w14:textId="77777777" w:rsidR="004C66DF" w:rsidRPr="00AA1EC7" w:rsidRDefault="004C66DF" w:rsidP="00E46767">
            <w:pPr>
              <w:contextualSpacing/>
              <w:rPr>
                <w:rFonts w:cs="Times New Roman"/>
                <w:sz w:val="20"/>
                <w:szCs w:val="20"/>
              </w:rPr>
            </w:pPr>
            <w:r w:rsidRPr="00AA1EC7">
              <w:rPr>
                <w:rFonts w:cs="Times New Roman"/>
                <w:sz w:val="20"/>
                <w:szCs w:val="20"/>
              </w:rPr>
              <w:t>20.1 (16.6, NR)</w:t>
            </w:r>
          </w:p>
        </w:tc>
      </w:tr>
      <w:tr w:rsidR="004C66DF" w:rsidRPr="002D1DD7" w14:paraId="58862106" w14:textId="77777777" w:rsidTr="00E46767">
        <w:tc>
          <w:tcPr>
            <w:tcW w:w="1583" w:type="dxa"/>
            <w:vMerge w:val="restart"/>
            <w:tcBorders>
              <w:top w:val="single" w:sz="8" w:space="0" w:color="auto"/>
              <w:left w:val="single" w:sz="8" w:space="0" w:color="auto"/>
            </w:tcBorders>
            <w:vAlign w:val="center"/>
          </w:tcPr>
          <w:p w14:paraId="0E55AB7B" w14:textId="77777777" w:rsidR="004C66DF" w:rsidRPr="00AA1EC7" w:rsidRDefault="004C66DF" w:rsidP="00E46767">
            <w:pPr>
              <w:contextualSpacing/>
              <w:rPr>
                <w:rFonts w:cs="Times New Roman"/>
                <w:sz w:val="20"/>
                <w:szCs w:val="20"/>
              </w:rPr>
            </w:pPr>
            <w:r w:rsidRPr="00AA1EC7">
              <w:rPr>
                <w:rFonts w:cs="Times New Roman"/>
                <w:sz w:val="20"/>
                <w:szCs w:val="20"/>
              </w:rPr>
              <w:t>Avelumab</w:t>
            </w:r>
          </w:p>
        </w:tc>
        <w:tc>
          <w:tcPr>
            <w:tcW w:w="1150" w:type="dxa"/>
            <w:vMerge w:val="restart"/>
            <w:tcBorders>
              <w:top w:val="single" w:sz="8" w:space="0" w:color="auto"/>
            </w:tcBorders>
            <w:vAlign w:val="center"/>
          </w:tcPr>
          <w:p w14:paraId="07A04B94" w14:textId="77777777" w:rsidR="004C66DF" w:rsidRPr="00AA1EC7" w:rsidRDefault="004C66DF" w:rsidP="00E46767">
            <w:pPr>
              <w:contextualSpacing/>
              <w:rPr>
                <w:rFonts w:cs="Times New Roman"/>
                <w:sz w:val="20"/>
                <w:szCs w:val="20"/>
              </w:rPr>
            </w:pPr>
            <w:r w:rsidRPr="00AA1EC7">
              <w:rPr>
                <w:rFonts w:cs="Times New Roman"/>
                <w:sz w:val="20"/>
                <w:szCs w:val="20"/>
              </w:rPr>
              <w:t>TA517</w:t>
            </w:r>
          </w:p>
        </w:tc>
        <w:tc>
          <w:tcPr>
            <w:tcW w:w="2383" w:type="dxa"/>
            <w:tcBorders>
              <w:top w:val="single" w:sz="8" w:space="0" w:color="auto"/>
              <w:bottom w:val="single" w:sz="4" w:space="0" w:color="auto"/>
            </w:tcBorders>
            <w:vAlign w:val="center"/>
          </w:tcPr>
          <w:p w14:paraId="2B802197" w14:textId="77777777" w:rsidR="004C66DF" w:rsidRPr="00AA1EC7" w:rsidRDefault="004C66DF" w:rsidP="00E46767">
            <w:pPr>
              <w:contextualSpacing/>
              <w:rPr>
                <w:rFonts w:cs="Times New Roman"/>
                <w:sz w:val="20"/>
                <w:szCs w:val="20"/>
              </w:rPr>
            </w:pPr>
            <w:r w:rsidRPr="00AA1EC7">
              <w:rPr>
                <w:rFonts w:cs="Times New Roman"/>
                <w:sz w:val="20"/>
                <w:szCs w:val="20"/>
              </w:rPr>
              <w:t>JAVELIN Part A</w:t>
            </w:r>
          </w:p>
        </w:tc>
        <w:tc>
          <w:tcPr>
            <w:tcW w:w="879" w:type="dxa"/>
            <w:tcBorders>
              <w:top w:val="single" w:sz="8" w:space="0" w:color="auto"/>
              <w:bottom w:val="single" w:sz="4" w:space="0" w:color="auto"/>
            </w:tcBorders>
            <w:vAlign w:val="center"/>
          </w:tcPr>
          <w:p w14:paraId="6D9579DD" w14:textId="77777777" w:rsidR="004C66DF" w:rsidRPr="00AA1EC7" w:rsidRDefault="004C66DF" w:rsidP="00E46767">
            <w:pPr>
              <w:contextualSpacing/>
              <w:rPr>
                <w:rFonts w:cs="Times New Roman"/>
                <w:sz w:val="20"/>
                <w:szCs w:val="20"/>
              </w:rPr>
            </w:pPr>
            <w:r w:rsidRPr="00AA1EC7">
              <w:rPr>
                <w:rFonts w:cs="Times New Roman"/>
                <w:sz w:val="20"/>
                <w:szCs w:val="20"/>
              </w:rPr>
              <w:t>88</w:t>
            </w:r>
          </w:p>
        </w:tc>
        <w:tc>
          <w:tcPr>
            <w:tcW w:w="1225" w:type="dxa"/>
            <w:tcBorders>
              <w:top w:val="single" w:sz="8" w:space="0" w:color="auto"/>
              <w:bottom w:val="single" w:sz="4" w:space="0" w:color="auto"/>
            </w:tcBorders>
            <w:vAlign w:val="center"/>
          </w:tcPr>
          <w:p w14:paraId="1A711597"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bottom w:val="single" w:sz="4" w:space="0" w:color="auto"/>
            </w:tcBorders>
            <w:vAlign w:val="center"/>
          </w:tcPr>
          <w:p w14:paraId="7F55F088" w14:textId="77777777" w:rsidR="004C66DF" w:rsidRPr="00AA1EC7" w:rsidRDefault="004C66DF" w:rsidP="00E46767">
            <w:pPr>
              <w:contextualSpacing/>
              <w:rPr>
                <w:rFonts w:cs="Times New Roman"/>
                <w:sz w:val="20"/>
                <w:szCs w:val="20"/>
              </w:rPr>
            </w:pPr>
            <w:r w:rsidRPr="00AA1EC7">
              <w:rPr>
                <w:rFonts w:cs="Times New Roman"/>
                <w:sz w:val="20"/>
                <w:szCs w:val="20"/>
              </w:rPr>
              <w:t>33.0 (23.3-43.8)</w:t>
            </w:r>
          </w:p>
        </w:tc>
        <w:tc>
          <w:tcPr>
            <w:tcW w:w="2268" w:type="dxa"/>
            <w:tcBorders>
              <w:top w:val="single" w:sz="8" w:space="0" w:color="auto"/>
              <w:bottom w:val="single" w:sz="4" w:space="0" w:color="auto"/>
            </w:tcBorders>
            <w:vAlign w:val="center"/>
          </w:tcPr>
          <w:p w14:paraId="1EF997D4" w14:textId="77777777" w:rsidR="004C66DF" w:rsidRPr="00AA1EC7" w:rsidRDefault="004C66DF" w:rsidP="00E46767">
            <w:pPr>
              <w:contextualSpacing/>
              <w:rPr>
                <w:rFonts w:cs="Times New Roman"/>
                <w:sz w:val="20"/>
                <w:szCs w:val="20"/>
              </w:rPr>
            </w:pPr>
            <w:r w:rsidRPr="00AA1EC7">
              <w:rPr>
                <w:rFonts w:cs="Times New Roman"/>
                <w:sz w:val="20"/>
                <w:szCs w:val="20"/>
              </w:rPr>
              <w:t>2.7 (0.03, 28.9)</w:t>
            </w:r>
          </w:p>
        </w:tc>
        <w:tc>
          <w:tcPr>
            <w:tcW w:w="2126" w:type="dxa"/>
            <w:tcBorders>
              <w:top w:val="single" w:sz="8" w:space="0" w:color="auto"/>
              <w:bottom w:val="single" w:sz="4" w:space="0" w:color="auto"/>
              <w:right w:val="single" w:sz="8" w:space="0" w:color="auto"/>
            </w:tcBorders>
            <w:vAlign w:val="center"/>
          </w:tcPr>
          <w:p w14:paraId="684274C2" w14:textId="77777777" w:rsidR="004C66DF" w:rsidRPr="00AA1EC7" w:rsidRDefault="004C66DF" w:rsidP="00E46767">
            <w:pPr>
              <w:contextualSpacing/>
              <w:rPr>
                <w:rFonts w:cs="Times New Roman"/>
                <w:sz w:val="20"/>
                <w:szCs w:val="20"/>
              </w:rPr>
            </w:pPr>
            <w:r w:rsidRPr="00AA1EC7">
              <w:rPr>
                <w:rFonts w:cs="Times New Roman"/>
                <w:sz w:val="20"/>
                <w:szCs w:val="20"/>
              </w:rPr>
              <w:t>12.9 (7.5,  NE)****</w:t>
            </w:r>
          </w:p>
        </w:tc>
      </w:tr>
      <w:tr w:rsidR="004C66DF" w:rsidRPr="002D1DD7" w14:paraId="20C7E4A3" w14:textId="77777777" w:rsidTr="00E46767">
        <w:tc>
          <w:tcPr>
            <w:tcW w:w="1583" w:type="dxa"/>
            <w:vMerge/>
            <w:tcBorders>
              <w:left w:val="single" w:sz="8" w:space="0" w:color="auto"/>
              <w:bottom w:val="single" w:sz="4" w:space="0" w:color="auto"/>
            </w:tcBorders>
            <w:vAlign w:val="center"/>
          </w:tcPr>
          <w:p w14:paraId="2CADC842" w14:textId="77777777" w:rsidR="004C66DF" w:rsidRPr="00AA1EC7" w:rsidRDefault="004C66DF" w:rsidP="00E46767">
            <w:pPr>
              <w:contextualSpacing/>
              <w:rPr>
                <w:rFonts w:cs="Times New Roman"/>
                <w:sz w:val="20"/>
                <w:szCs w:val="20"/>
              </w:rPr>
            </w:pPr>
          </w:p>
        </w:tc>
        <w:tc>
          <w:tcPr>
            <w:tcW w:w="1150" w:type="dxa"/>
            <w:vMerge/>
            <w:tcBorders>
              <w:bottom w:val="single" w:sz="4" w:space="0" w:color="auto"/>
            </w:tcBorders>
            <w:vAlign w:val="center"/>
          </w:tcPr>
          <w:p w14:paraId="21E86717"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4" w:space="0" w:color="auto"/>
            </w:tcBorders>
            <w:vAlign w:val="center"/>
          </w:tcPr>
          <w:p w14:paraId="6BC7B266" w14:textId="77777777" w:rsidR="004C66DF" w:rsidRPr="00AA1EC7" w:rsidRDefault="004C66DF" w:rsidP="00E46767">
            <w:pPr>
              <w:contextualSpacing/>
              <w:rPr>
                <w:rFonts w:cs="Times New Roman"/>
                <w:sz w:val="20"/>
                <w:szCs w:val="20"/>
              </w:rPr>
            </w:pPr>
            <w:r w:rsidRPr="00AA1EC7">
              <w:rPr>
                <w:rFonts w:cs="Times New Roman"/>
                <w:sz w:val="20"/>
                <w:szCs w:val="20"/>
              </w:rPr>
              <w:t>JAVELIN Part B</w:t>
            </w:r>
          </w:p>
        </w:tc>
        <w:tc>
          <w:tcPr>
            <w:tcW w:w="879" w:type="dxa"/>
            <w:tcBorders>
              <w:top w:val="single" w:sz="4" w:space="0" w:color="auto"/>
              <w:bottom w:val="single" w:sz="4" w:space="0" w:color="auto"/>
            </w:tcBorders>
            <w:vAlign w:val="center"/>
          </w:tcPr>
          <w:p w14:paraId="6713D31C" w14:textId="77777777" w:rsidR="004C66DF" w:rsidRPr="00AA1EC7" w:rsidRDefault="004C66DF" w:rsidP="00E46767">
            <w:pPr>
              <w:contextualSpacing/>
              <w:rPr>
                <w:rFonts w:cs="Times New Roman"/>
                <w:sz w:val="20"/>
                <w:szCs w:val="20"/>
              </w:rPr>
            </w:pPr>
            <w:r w:rsidRPr="00AA1EC7">
              <w:rPr>
                <w:rFonts w:cs="Times New Roman"/>
                <w:sz w:val="20"/>
                <w:szCs w:val="20"/>
              </w:rPr>
              <w:t>39</w:t>
            </w:r>
          </w:p>
        </w:tc>
        <w:tc>
          <w:tcPr>
            <w:tcW w:w="1225" w:type="dxa"/>
            <w:tcBorders>
              <w:top w:val="single" w:sz="4" w:space="0" w:color="auto"/>
              <w:bottom w:val="single" w:sz="4" w:space="0" w:color="auto"/>
            </w:tcBorders>
            <w:vAlign w:val="center"/>
          </w:tcPr>
          <w:p w14:paraId="7E96D447"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4" w:space="0" w:color="auto"/>
            </w:tcBorders>
            <w:vAlign w:val="center"/>
          </w:tcPr>
          <w:p w14:paraId="7B5A9256" w14:textId="77777777" w:rsidR="004C66DF" w:rsidRPr="00AA1EC7" w:rsidRDefault="004C66DF" w:rsidP="00E46767">
            <w:pPr>
              <w:contextualSpacing/>
              <w:rPr>
                <w:rFonts w:cs="Times New Roman"/>
                <w:sz w:val="20"/>
                <w:szCs w:val="20"/>
              </w:rPr>
            </w:pPr>
            <w:r w:rsidRPr="00AA1EC7">
              <w:rPr>
                <w:rFonts w:cs="Times New Roman"/>
                <w:sz w:val="20"/>
                <w:szCs w:val="20"/>
              </w:rPr>
              <w:t>62.1 (42.3- 79.3)**</w:t>
            </w:r>
          </w:p>
        </w:tc>
        <w:tc>
          <w:tcPr>
            <w:tcW w:w="2268" w:type="dxa"/>
            <w:tcBorders>
              <w:top w:val="single" w:sz="4" w:space="0" w:color="auto"/>
              <w:bottom w:val="single" w:sz="4" w:space="0" w:color="auto"/>
            </w:tcBorders>
            <w:vAlign w:val="center"/>
          </w:tcPr>
          <w:p w14:paraId="5CACF8D5" w14:textId="77777777" w:rsidR="004C66DF" w:rsidRPr="00AA1EC7" w:rsidRDefault="004C66DF" w:rsidP="00E46767">
            <w:pPr>
              <w:contextualSpacing/>
              <w:rPr>
                <w:rFonts w:cs="Times New Roman"/>
                <w:sz w:val="20"/>
                <w:szCs w:val="20"/>
              </w:rPr>
            </w:pPr>
            <w:r w:rsidRPr="00AA1EC7">
              <w:rPr>
                <w:rFonts w:cs="Times New Roman"/>
                <w:sz w:val="20"/>
                <w:szCs w:val="20"/>
              </w:rPr>
              <w:t xml:space="preserve">9.1 (1.9, NR) </w:t>
            </w:r>
          </w:p>
        </w:tc>
        <w:tc>
          <w:tcPr>
            <w:tcW w:w="2126" w:type="dxa"/>
            <w:tcBorders>
              <w:top w:val="single" w:sz="4" w:space="0" w:color="auto"/>
              <w:bottom w:val="single" w:sz="4" w:space="0" w:color="auto"/>
              <w:right w:val="single" w:sz="8" w:space="0" w:color="auto"/>
            </w:tcBorders>
            <w:vAlign w:val="center"/>
          </w:tcPr>
          <w:p w14:paraId="72D2EC80" w14:textId="77777777" w:rsidR="004C66DF" w:rsidRPr="00AA1EC7" w:rsidRDefault="004C66DF" w:rsidP="00E46767">
            <w:pPr>
              <w:contextualSpacing/>
              <w:rPr>
                <w:rFonts w:cs="Times New Roman"/>
                <w:sz w:val="20"/>
                <w:szCs w:val="20"/>
              </w:rPr>
            </w:pPr>
            <w:r w:rsidRPr="00AA1EC7">
              <w:rPr>
                <w:rFonts w:cs="Times New Roman"/>
                <w:sz w:val="20"/>
                <w:szCs w:val="20"/>
              </w:rPr>
              <w:t>NR (9.1,NR)***</w:t>
            </w:r>
          </w:p>
        </w:tc>
      </w:tr>
      <w:tr w:rsidR="004C66DF" w:rsidRPr="002D1DD7" w14:paraId="6C00E7A7" w14:textId="77777777" w:rsidTr="00E46767">
        <w:tc>
          <w:tcPr>
            <w:tcW w:w="1583" w:type="dxa"/>
            <w:tcBorders>
              <w:top w:val="single" w:sz="4" w:space="0" w:color="auto"/>
              <w:left w:val="single" w:sz="8" w:space="0" w:color="auto"/>
              <w:bottom w:val="single" w:sz="8" w:space="0" w:color="auto"/>
            </w:tcBorders>
            <w:vAlign w:val="center"/>
          </w:tcPr>
          <w:p w14:paraId="2F9AF7B0" w14:textId="77777777" w:rsidR="004C66DF" w:rsidRPr="00AA1EC7" w:rsidRDefault="004C66DF" w:rsidP="00E46767">
            <w:pPr>
              <w:contextualSpacing/>
              <w:rPr>
                <w:rFonts w:cs="Times New Roman"/>
                <w:sz w:val="20"/>
                <w:szCs w:val="20"/>
              </w:rPr>
            </w:pPr>
            <w:r w:rsidRPr="00AA1EC7">
              <w:rPr>
                <w:rFonts w:cs="Times New Roman"/>
                <w:sz w:val="20"/>
                <w:szCs w:val="20"/>
              </w:rPr>
              <w:t>Crizotininb</w:t>
            </w:r>
          </w:p>
        </w:tc>
        <w:tc>
          <w:tcPr>
            <w:tcW w:w="1150" w:type="dxa"/>
            <w:tcBorders>
              <w:top w:val="single" w:sz="4" w:space="0" w:color="auto"/>
              <w:bottom w:val="single" w:sz="8" w:space="0" w:color="auto"/>
            </w:tcBorders>
            <w:vAlign w:val="center"/>
          </w:tcPr>
          <w:p w14:paraId="671CF6CC" w14:textId="77777777" w:rsidR="004C66DF" w:rsidRPr="00AA1EC7" w:rsidRDefault="004C66DF" w:rsidP="00E46767">
            <w:pPr>
              <w:contextualSpacing/>
              <w:rPr>
                <w:rFonts w:cs="Times New Roman"/>
                <w:sz w:val="20"/>
                <w:szCs w:val="20"/>
              </w:rPr>
            </w:pPr>
            <w:r w:rsidRPr="00AA1EC7">
              <w:rPr>
                <w:rFonts w:cs="Times New Roman"/>
                <w:sz w:val="20"/>
                <w:szCs w:val="20"/>
              </w:rPr>
              <w:t>TA529</w:t>
            </w:r>
          </w:p>
        </w:tc>
        <w:tc>
          <w:tcPr>
            <w:tcW w:w="2383" w:type="dxa"/>
            <w:tcBorders>
              <w:top w:val="single" w:sz="4" w:space="0" w:color="auto"/>
              <w:bottom w:val="single" w:sz="8" w:space="0" w:color="auto"/>
            </w:tcBorders>
            <w:vAlign w:val="center"/>
          </w:tcPr>
          <w:p w14:paraId="5D34E479" w14:textId="77777777" w:rsidR="004C66DF" w:rsidRPr="00AA1EC7" w:rsidRDefault="004C66DF" w:rsidP="00E46767">
            <w:pPr>
              <w:contextualSpacing/>
              <w:rPr>
                <w:rFonts w:cs="Times New Roman"/>
                <w:sz w:val="20"/>
                <w:szCs w:val="20"/>
              </w:rPr>
            </w:pPr>
            <w:r w:rsidRPr="00AA1EC7">
              <w:rPr>
                <w:rFonts w:cs="Times New Roman"/>
                <w:sz w:val="20"/>
                <w:szCs w:val="20"/>
              </w:rPr>
              <w:t xml:space="preserve">PROFILE 1001 </w:t>
            </w:r>
          </w:p>
        </w:tc>
        <w:tc>
          <w:tcPr>
            <w:tcW w:w="879" w:type="dxa"/>
            <w:tcBorders>
              <w:top w:val="single" w:sz="4" w:space="0" w:color="auto"/>
              <w:bottom w:val="single" w:sz="8" w:space="0" w:color="auto"/>
            </w:tcBorders>
            <w:vAlign w:val="center"/>
          </w:tcPr>
          <w:p w14:paraId="512DD32B" w14:textId="77777777" w:rsidR="004C66DF" w:rsidRPr="00AA1EC7" w:rsidRDefault="004C66DF" w:rsidP="00E46767">
            <w:pPr>
              <w:contextualSpacing/>
              <w:rPr>
                <w:rFonts w:cs="Times New Roman"/>
                <w:sz w:val="20"/>
                <w:szCs w:val="20"/>
              </w:rPr>
            </w:pPr>
            <w:r w:rsidRPr="00AA1EC7">
              <w:rPr>
                <w:rFonts w:cs="Times New Roman"/>
                <w:sz w:val="20"/>
                <w:szCs w:val="20"/>
              </w:rPr>
              <w:t>53</w:t>
            </w:r>
          </w:p>
        </w:tc>
        <w:tc>
          <w:tcPr>
            <w:tcW w:w="1225" w:type="dxa"/>
            <w:tcBorders>
              <w:top w:val="single" w:sz="4" w:space="0" w:color="auto"/>
              <w:bottom w:val="single" w:sz="8" w:space="0" w:color="auto"/>
            </w:tcBorders>
            <w:vAlign w:val="center"/>
          </w:tcPr>
          <w:p w14:paraId="660AF0F6"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8" w:space="0" w:color="auto"/>
            </w:tcBorders>
            <w:vAlign w:val="center"/>
          </w:tcPr>
          <w:p w14:paraId="4CCAED20" w14:textId="77777777" w:rsidR="004C66DF" w:rsidRPr="00AA1EC7" w:rsidRDefault="004C66DF" w:rsidP="00E46767">
            <w:pPr>
              <w:contextualSpacing/>
              <w:rPr>
                <w:rFonts w:cs="Times New Roman"/>
                <w:sz w:val="20"/>
                <w:szCs w:val="20"/>
              </w:rPr>
            </w:pPr>
            <w:r w:rsidRPr="00AA1EC7">
              <w:rPr>
                <w:rFonts w:cs="Times New Roman"/>
                <w:sz w:val="20"/>
                <w:szCs w:val="20"/>
              </w:rPr>
              <w:t>69.8%; (55.7, 81.7)</w:t>
            </w:r>
          </w:p>
        </w:tc>
        <w:tc>
          <w:tcPr>
            <w:tcW w:w="2268" w:type="dxa"/>
            <w:tcBorders>
              <w:top w:val="single" w:sz="4" w:space="0" w:color="auto"/>
              <w:bottom w:val="single" w:sz="8" w:space="0" w:color="auto"/>
            </w:tcBorders>
            <w:vAlign w:val="center"/>
          </w:tcPr>
          <w:p w14:paraId="1FF7C3B6" w14:textId="77777777" w:rsidR="004C66DF" w:rsidRPr="00AA1EC7" w:rsidRDefault="004C66DF" w:rsidP="00E46767">
            <w:pPr>
              <w:contextualSpacing/>
              <w:rPr>
                <w:rFonts w:cs="Times New Roman"/>
                <w:sz w:val="20"/>
                <w:szCs w:val="20"/>
              </w:rPr>
            </w:pPr>
            <w:r w:rsidRPr="00AA1EC7">
              <w:rPr>
                <w:rFonts w:cs="Times New Roman"/>
                <w:sz w:val="20"/>
                <w:szCs w:val="20"/>
              </w:rPr>
              <w:t>19.3 (14.8, NR)</w:t>
            </w:r>
          </w:p>
        </w:tc>
        <w:tc>
          <w:tcPr>
            <w:tcW w:w="2126" w:type="dxa"/>
            <w:tcBorders>
              <w:top w:val="single" w:sz="4" w:space="0" w:color="auto"/>
              <w:bottom w:val="single" w:sz="8" w:space="0" w:color="auto"/>
              <w:right w:val="single" w:sz="8" w:space="0" w:color="auto"/>
            </w:tcBorders>
            <w:vAlign w:val="center"/>
          </w:tcPr>
          <w:p w14:paraId="7F1BE3D9" w14:textId="77777777" w:rsidR="004C66DF" w:rsidRPr="00AA1EC7" w:rsidRDefault="004C66DF" w:rsidP="00E46767">
            <w:pPr>
              <w:contextualSpacing/>
              <w:rPr>
                <w:rFonts w:cs="Times New Roman"/>
                <w:sz w:val="20"/>
                <w:szCs w:val="20"/>
              </w:rPr>
            </w:pPr>
            <w:r w:rsidRPr="00AA1EC7">
              <w:rPr>
                <w:rFonts w:cs="Times New Roman"/>
                <w:sz w:val="20"/>
                <w:szCs w:val="20"/>
              </w:rPr>
              <w:t>NR</w:t>
            </w:r>
          </w:p>
        </w:tc>
      </w:tr>
      <w:tr w:rsidR="004C66DF" w:rsidRPr="002D1DD7" w14:paraId="24A61ED7" w14:textId="77777777" w:rsidTr="00E46767">
        <w:tc>
          <w:tcPr>
            <w:tcW w:w="1583" w:type="dxa"/>
            <w:vMerge w:val="restart"/>
            <w:tcBorders>
              <w:top w:val="single" w:sz="8" w:space="0" w:color="auto"/>
              <w:left w:val="single" w:sz="8" w:space="0" w:color="auto"/>
            </w:tcBorders>
            <w:vAlign w:val="center"/>
          </w:tcPr>
          <w:p w14:paraId="79C3DA31" w14:textId="77777777" w:rsidR="004C66DF" w:rsidRPr="00AA1EC7" w:rsidRDefault="004C66DF" w:rsidP="00E46767">
            <w:pPr>
              <w:contextualSpacing/>
              <w:rPr>
                <w:rFonts w:cs="Times New Roman"/>
                <w:sz w:val="20"/>
                <w:szCs w:val="20"/>
              </w:rPr>
            </w:pPr>
            <w:r w:rsidRPr="00AA1EC7">
              <w:rPr>
                <w:rFonts w:cs="Times New Roman"/>
                <w:sz w:val="20"/>
                <w:szCs w:val="20"/>
              </w:rPr>
              <w:t>Pembrolizumab</w:t>
            </w:r>
          </w:p>
        </w:tc>
        <w:tc>
          <w:tcPr>
            <w:tcW w:w="1150" w:type="dxa"/>
            <w:vMerge w:val="restart"/>
            <w:tcBorders>
              <w:top w:val="single" w:sz="8" w:space="0" w:color="auto"/>
            </w:tcBorders>
            <w:vAlign w:val="center"/>
          </w:tcPr>
          <w:p w14:paraId="699672A0" w14:textId="77777777" w:rsidR="004C66DF" w:rsidRPr="00AA1EC7" w:rsidRDefault="004C66DF" w:rsidP="00E46767">
            <w:pPr>
              <w:contextualSpacing/>
              <w:rPr>
                <w:rFonts w:cs="Times New Roman"/>
                <w:sz w:val="20"/>
                <w:szCs w:val="20"/>
              </w:rPr>
            </w:pPr>
            <w:r w:rsidRPr="00AA1EC7">
              <w:rPr>
                <w:rFonts w:cs="Times New Roman"/>
                <w:sz w:val="20"/>
                <w:szCs w:val="20"/>
              </w:rPr>
              <w:t>TA540</w:t>
            </w:r>
          </w:p>
        </w:tc>
        <w:tc>
          <w:tcPr>
            <w:tcW w:w="2383" w:type="dxa"/>
            <w:tcBorders>
              <w:top w:val="single" w:sz="8" w:space="0" w:color="auto"/>
              <w:bottom w:val="single" w:sz="4" w:space="0" w:color="auto"/>
            </w:tcBorders>
            <w:vAlign w:val="center"/>
          </w:tcPr>
          <w:p w14:paraId="4BB84276" w14:textId="77777777" w:rsidR="004C66DF" w:rsidRPr="00AA1EC7" w:rsidRDefault="004C66DF" w:rsidP="00E46767">
            <w:pPr>
              <w:contextualSpacing/>
              <w:rPr>
                <w:rFonts w:cs="Times New Roman"/>
                <w:sz w:val="20"/>
                <w:szCs w:val="20"/>
              </w:rPr>
            </w:pPr>
            <w:r w:rsidRPr="00AA1EC7">
              <w:rPr>
                <w:rFonts w:cs="Times New Roman"/>
                <w:sz w:val="20"/>
                <w:szCs w:val="20"/>
              </w:rPr>
              <w:t>KEYNOTE-087 Cohort 1</w:t>
            </w:r>
          </w:p>
        </w:tc>
        <w:tc>
          <w:tcPr>
            <w:tcW w:w="879" w:type="dxa"/>
            <w:tcBorders>
              <w:top w:val="single" w:sz="8" w:space="0" w:color="auto"/>
              <w:bottom w:val="single" w:sz="4" w:space="0" w:color="auto"/>
            </w:tcBorders>
            <w:vAlign w:val="center"/>
          </w:tcPr>
          <w:p w14:paraId="76DA76A4" w14:textId="77777777" w:rsidR="004C66DF" w:rsidRPr="00AA1EC7" w:rsidRDefault="004C66DF" w:rsidP="00E46767">
            <w:pPr>
              <w:contextualSpacing/>
              <w:rPr>
                <w:rFonts w:cs="Times New Roman"/>
                <w:sz w:val="20"/>
                <w:szCs w:val="20"/>
              </w:rPr>
            </w:pPr>
            <w:r w:rsidRPr="00AA1EC7">
              <w:rPr>
                <w:rFonts w:cs="Times New Roman"/>
                <w:sz w:val="20"/>
                <w:szCs w:val="20"/>
              </w:rPr>
              <w:t>69</w:t>
            </w:r>
          </w:p>
        </w:tc>
        <w:tc>
          <w:tcPr>
            <w:tcW w:w="1225" w:type="dxa"/>
            <w:tcBorders>
              <w:top w:val="single" w:sz="8" w:space="0" w:color="auto"/>
              <w:bottom w:val="single" w:sz="4" w:space="0" w:color="auto"/>
            </w:tcBorders>
            <w:vAlign w:val="center"/>
          </w:tcPr>
          <w:p w14:paraId="36066040"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bottom w:val="single" w:sz="4" w:space="0" w:color="auto"/>
            </w:tcBorders>
            <w:vAlign w:val="center"/>
          </w:tcPr>
          <w:p w14:paraId="2DA735AB" w14:textId="77777777" w:rsidR="004C66DF" w:rsidRPr="00AA1EC7" w:rsidRDefault="004C66DF" w:rsidP="00E46767">
            <w:pPr>
              <w:contextualSpacing/>
              <w:rPr>
                <w:rFonts w:cs="Times New Roman"/>
                <w:sz w:val="20"/>
                <w:szCs w:val="20"/>
              </w:rPr>
            </w:pPr>
            <w:r w:rsidRPr="00AA1EC7">
              <w:rPr>
                <w:rFonts w:cs="Times New Roman"/>
                <w:sz w:val="20"/>
                <w:szCs w:val="20"/>
              </w:rPr>
              <w:t>75.4% (63.5, 84.9)</w:t>
            </w:r>
          </w:p>
        </w:tc>
        <w:tc>
          <w:tcPr>
            <w:tcW w:w="2268" w:type="dxa"/>
            <w:tcBorders>
              <w:top w:val="single" w:sz="8" w:space="0" w:color="auto"/>
              <w:bottom w:val="single" w:sz="4" w:space="0" w:color="auto"/>
            </w:tcBorders>
            <w:vAlign w:val="center"/>
          </w:tcPr>
          <w:p w14:paraId="02C2A05D" w14:textId="77777777" w:rsidR="004C66DF" w:rsidRPr="00AA1EC7" w:rsidRDefault="004C66DF" w:rsidP="00E46767">
            <w:pPr>
              <w:contextualSpacing/>
              <w:rPr>
                <w:rFonts w:cs="Times New Roman"/>
                <w:sz w:val="20"/>
                <w:szCs w:val="20"/>
              </w:rPr>
            </w:pPr>
            <w:r w:rsidRPr="00AA1EC7">
              <w:rPr>
                <w:rFonts w:cs="Times New Roman"/>
                <w:sz w:val="20"/>
                <w:szCs w:val="20"/>
              </w:rPr>
              <w:t>16.7 (11.2, NR)</w:t>
            </w:r>
          </w:p>
        </w:tc>
        <w:tc>
          <w:tcPr>
            <w:tcW w:w="2126" w:type="dxa"/>
            <w:tcBorders>
              <w:top w:val="single" w:sz="8" w:space="0" w:color="auto"/>
              <w:bottom w:val="single" w:sz="4" w:space="0" w:color="auto"/>
              <w:right w:val="single" w:sz="8" w:space="0" w:color="auto"/>
            </w:tcBorders>
            <w:vAlign w:val="center"/>
          </w:tcPr>
          <w:p w14:paraId="7F8ECEF2" w14:textId="77777777" w:rsidR="004C66DF" w:rsidRPr="00AA1EC7" w:rsidRDefault="004C66DF" w:rsidP="00E46767">
            <w:pPr>
              <w:contextualSpacing/>
              <w:rPr>
                <w:rFonts w:cs="Times New Roman"/>
                <w:sz w:val="20"/>
                <w:szCs w:val="20"/>
              </w:rPr>
            </w:pPr>
            <w:r w:rsidRPr="00AA1EC7">
              <w:rPr>
                <w:rFonts w:cs="Times New Roman"/>
                <w:sz w:val="20"/>
                <w:szCs w:val="20"/>
              </w:rPr>
              <w:t>NA</w:t>
            </w:r>
          </w:p>
        </w:tc>
      </w:tr>
      <w:tr w:rsidR="004C66DF" w:rsidRPr="002D1DD7" w14:paraId="700D74CB" w14:textId="77777777" w:rsidTr="00E46767">
        <w:tc>
          <w:tcPr>
            <w:tcW w:w="1583" w:type="dxa"/>
            <w:vMerge/>
            <w:tcBorders>
              <w:left w:val="single" w:sz="8" w:space="0" w:color="auto"/>
              <w:bottom w:val="single" w:sz="8" w:space="0" w:color="auto"/>
            </w:tcBorders>
            <w:vAlign w:val="center"/>
          </w:tcPr>
          <w:p w14:paraId="13F9F181"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76B29BB4"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8" w:space="0" w:color="auto"/>
            </w:tcBorders>
            <w:vAlign w:val="center"/>
          </w:tcPr>
          <w:p w14:paraId="3D0C5149" w14:textId="77777777" w:rsidR="004C66DF" w:rsidRPr="00AA1EC7" w:rsidRDefault="004C66DF" w:rsidP="00E46767">
            <w:pPr>
              <w:contextualSpacing/>
              <w:rPr>
                <w:rFonts w:cs="Times New Roman"/>
                <w:sz w:val="20"/>
                <w:szCs w:val="20"/>
              </w:rPr>
            </w:pPr>
            <w:r w:rsidRPr="00AA1EC7">
              <w:rPr>
                <w:rFonts w:cs="Times New Roman"/>
                <w:sz w:val="20"/>
                <w:szCs w:val="20"/>
              </w:rPr>
              <w:t>KEYNOTE-087 Cohort 2</w:t>
            </w:r>
          </w:p>
        </w:tc>
        <w:tc>
          <w:tcPr>
            <w:tcW w:w="879" w:type="dxa"/>
            <w:tcBorders>
              <w:top w:val="single" w:sz="4" w:space="0" w:color="auto"/>
              <w:bottom w:val="single" w:sz="8" w:space="0" w:color="auto"/>
            </w:tcBorders>
            <w:vAlign w:val="center"/>
          </w:tcPr>
          <w:p w14:paraId="1C9731F7" w14:textId="77777777" w:rsidR="004C66DF" w:rsidRPr="00AA1EC7" w:rsidRDefault="004C66DF" w:rsidP="00E46767">
            <w:pPr>
              <w:contextualSpacing/>
              <w:rPr>
                <w:rFonts w:cs="Times New Roman"/>
                <w:sz w:val="20"/>
                <w:szCs w:val="20"/>
              </w:rPr>
            </w:pPr>
            <w:r w:rsidRPr="00AA1EC7">
              <w:rPr>
                <w:rFonts w:cs="Times New Roman"/>
                <w:sz w:val="20"/>
                <w:szCs w:val="20"/>
              </w:rPr>
              <w:t>81</w:t>
            </w:r>
          </w:p>
        </w:tc>
        <w:tc>
          <w:tcPr>
            <w:tcW w:w="1225" w:type="dxa"/>
            <w:tcBorders>
              <w:top w:val="single" w:sz="4" w:space="0" w:color="auto"/>
              <w:bottom w:val="single" w:sz="8" w:space="0" w:color="auto"/>
            </w:tcBorders>
            <w:vAlign w:val="center"/>
          </w:tcPr>
          <w:p w14:paraId="6F649F67"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8" w:space="0" w:color="auto"/>
            </w:tcBorders>
            <w:vAlign w:val="center"/>
          </w:tcPr>
          <w:p w14:paraId="024427FC" w14:textId="77777777" w:rsidR="004C66DF" w:rsidRPr="00AA1EC7" w:rsidRDefault="004C66DF" w:rsidP="00E46767">
            <w:pPr>
              <w:contextualSpacing/>
              <w:rPr>
                <w:rFonts w:cs="Times New Roman"/>
                <w:sz w:val="20"/>
                <w:szCs w:val="20"/>
              </w:rPr>
            </w:pPr>
            <w:r w:rsidRPr="00AA1EC7">
              <w:rPr>
                <w:rFonts w:cs="Times New Roman"/>
                <w:sz w:val="20"/>
                <w:szCs w:val="20"/>
              </w:rPr>
              <w:t>66.7% (55.3, 76.8)</w:t>
            </w:r>
          </w:p>
        </w:tc>
        <w:tc>
          <w:tcPr>
            <w:tcW w:w="2268" w:type="dxa"/>
            <w:tcBorders>
              <w:top w:val="single" w:sz="4" w:space="0" w:color="auto"/>
              <w:bottom w:val="single" w:sz="8" w:space="0" w:color="auto"/>
            </w:tcBorders>
            <w:vAlign w:val="center"/>
          </w:tcPr>
          <w:p w14:paraId="0BBEA1E0" w14:textId="77777777" w:rsidR="004C66DF" w:rsidRPr="00AA1EC7" w:rsidRDefault="004C66DF" w:rsidP="00E46767">
            <w:pPr>
              <w:contextualSpacing/>
              <w:rPr>
                <w:rFonts w:cs="Times New Roman"/>
                <w:sz w:val="20"/>
                <w:szCs w:val="20"/>
              </w:rPr>
            </w:pPr>
            <w:r w:rsidRPr="00AA1EC7">
              <w:rPr>
                <w:rFonts w:cs="Times New Roman"/>
                <w:sz w:val="20"/>
                <w:szCs w:val="20"/>
              </w:rPr>
              <w:t>11.1 (7.6, 13.7)</w:t>
            </w:r>
          </w:p>
        </w:tc>
        <w:tc>
          <w:tcPr>
            <w:tcW w:w="2126" w:type="dxa"/>
            <w:tcBorders>
              <w:top w:val="single" w:sz="4" w:space="0" w:color="auto"/>
              <w:bottom w:val="single" w:sz="8" w:space="0" w:color="auto"/>
              <w:right w:val="single" w:sz="8" w:space="0" w:color="auto"/>
            </w:tcBorders>
            <w:vAlign w:val="center"/>
          </w:tcPr>
          <w:p w14:paraId="2B54D21D" w14:textId="77777777" w:rsidR="004C66DF" w:rsidRPr="00AA1EC7" w:rsidRDefault="004C66DF" w:rsidP="00E46767">
            <w:pPr>
              <w:contextualSpacing/>
              <w:rPr>
                <w:rFonts w:cs="Times New Roman"/>
                <w:sz w:val="20"/>
                <w:szCs w:val="20"/>
              </w:rPr>
            </w:pPr>
            <w:r w:rsidRPr="00AA1EC7">
              <w:rPr>
                <w:rFonts w:cs="Times New Roman"/>
                <w:sz w:val="20"/>
                <w:szCs w:val="20"/>
              </w:rPr>
              <w:t>NA</w:t>
            </w:r>
          </w:p>
        </w:tc>
      </w:tr>
      <w:tr w:rsidR="004C66DF" w:rsidRPr="002D1DD7" w14:paraId="5DE48218" w14:textId="77777777" w:rsidTr="00E46767">
        <w:tc>
          <w:tcPr>
            <w:tcW w:w="1583" w:type="dxa"/>
            <w:vMerge w:val="restart"/>
            <w:tcBorders>
              <w:top w:val="single" w:sz="8" w:space="0" w:color="auto"/>
              <w:left w:val="single" w:sz="8" w:space="0" w:color="auto"/>
            </w:tcBorders>
            <w:vAlign w:val="center"/>
          </w:tcPr>
          <w:p w14:paraId="4F4691A2" w14:textId="77777777" w:rsidR="004C66DF" w:rsidRPr="00AA1EC7" w:rsidRDefault="004C66DF" w:rsidP="00E46767">
            <w:pPr>
              <w:contextualSpacing/>
              <w:rPr>
                <w:rFonts w:cs="Times New Roman"/>
                <w:sz w:val="20"/>
                <w:szCs w:val="20"/>
              </w:rPr>
            </w:pPr>
            <w:r w:rsidRPr="00AA1EC7">
              <w:rPr>
                <w:rFonts w:cs="Times New Roman"/>
                <w:sz w:val="20"/>
                <w:szCs w:val="20"/>
              </w:rPr>
              <w:t>Brigatinib</w:t>
            </w:r>
          </w:p>
        </w:tc>
        <w:tc>
          <w:tcPr>
            <w:tcW w:w="1150" w:type="dxa"/>
            <w:vMerge w:val="restart"/>
            <w:tcBorders>
              <w:top w:val="single" w:sz="8" w:space="0" w:color="auto"/>
            </w:tcBorders>
            <w:vAlign w:val="center"/>
          </w:tcPr>
          <w:p w14:paraId="614DDC13" w14:textId="77777777" w:rsidR="004C66DF" w:rsidRDefault="004C66DF" w:rsidP="00E46767">
            <w:pPr>
              <w:contextualSpacing/>
              <w:rPr>
                <w:rFonts w:cs="Times New Roman"/>
                <w:sz w:val="20"/>
                <w:szCs w:val="20"/>
              </w:rPr>
            </w:pPr>
            <w:r>
              <w:rPr>
                <w:rFonts w:cs="Times New Roman"/>
                <w:sz w:val="20"/>
                <w:szCs w:val="20"/>
              </w:rPr>
              <w:t>ID1328</w:t>
            </w:r>
          </w:p>
          <w:p w14:paraId="0300B825" w14:textId="77777777" w:rsidR="004C66DF" w:rsidRPr="00AA1EC7" w:rsidRDefault="004C66DF" w:rsidP="00E46767">
            <w:pPr>
              <w:contextualSpacing/>
              <w:rPr>
                <w:rFonts w:cs="Times New Roman"/>
                <w:sz w:val="20"/>
                <w:szCs w:val="20"/>
              </w:rPr>
            </w:pPr>
            <w:r w:rsidRPr="00AA1EC7">
              <w:rPr>
                <w:rFonts w:cs="Times New Roman"/>
                <w:sz w:val="20"/>
                <w:szCs w:val="20"/>
              </w:rPr>
              <w:t>(Ongoing)</w:t>
            </w:r>
          </w:p>
        </w:tc>
        <w:tc>
          <w:tcPr>
            <w:tcW w:w="2383" w:type="dxa"/>
            <w:tcBorders>
              <w:top w:val="single" w:sz="8" w:space="0" w:color="auto"/>
              <w:bottom w:val="single" w:sz="4" w:space="0" w:color="auto"/>
            </w:tcBorders>
            <w:vAlign w:val="center"/>
          </w:tcPr>
          <w:p w14:paraId="4DA524DA" w14:textId="77777777" w:rsidR="004C66DF" w:rsidRPr="00AA1EC7" w:rsidRDefault="004C66DF" w:rsidP="00E46767">
            <w:pPr>
              <w:contextualSpacing/>
              <w:rPr>
                <w:rFonts w:cs="Times New Roman"/>
                <w:sz w:val="20"/>
                <w:szCs w:val="20"/>
              </w:rPr>
            </w:pPr>
            <w:r w:rsidRPr="00AA1EC7">
              <w:rPr>
                <w:rFonts w:cs="Times New Roman"/>
                <w:sz w:val="20"/>
                <w:szCs w:val="20"/>
              </w:rPr>
              <w:t>ALTA (Arm A)</w:t>
            </w:r>
          </w:p>
        </w:tc>
        <w:tc>
          <w:tcPr>
            <w:tcW w:w="879" w:type="dxa"/>
            <w:tcBorders>
              <w:top w:val="single" w:sz="8" w:space="0" w:color="auto"/>
              <w:bottom w:val="single" w:sz="4" w:space="0" w:color="auto"/>
            </w:tcBorders>
            <w:vAlign w:val="center"/>
          </w:tcPr>
          <w:p w14:paraId="5383AEFD" w14:textId="77777777" w:rsidR="004C66DF" w:rsidRPr="00AA1EC7" w:rsidRDefault="004C66DF" w:rsidP="00E46767">
            <w:pPr>
              <w:contextualSpacing/>
              <w:rPr>
                <w:rFonts w:cs="Times New Roman"/>
                <w:sz w:val="20"/>
                <w:szCs w:val="20"/>
              </w:rPr>
            </w:pPr>
            <w:r w:rsidRPr="00AA1EC7">
              <w:rPr>
                <w:rFonts w:cs="Times New Roman"/>
                <w:sz w:val="20"/>
                <w:szCs w:val="20"/>
              </w:rPr>
              <w:t>110</w:t>
            </w:r>
          </w:p>
        </w:tc>
        <w:tc>
          <w:tcPr>
            <w:tcW w:w="1225" w:type="dxa"/>
            <w:tcBorders>
              <w:top w:val="single" w:sz="8" w:space="0" w:color="auto"/>
              <w:bottom w:val="single" w:sz="4" w:space="0" w:color="auto"/>
            </w:tcBorders>
            <w:vAlign w:val="center"/>
          </w:tcPr>
          <w:p w14:paraId="7DDD110C"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8" w:space="0" w:color="auto"/>
              <w:bottom w:val="single" w:sz="4" w:space="0" w:color="auto"/>
            </w:tcBorders>
            <w:vAlign w:val="center"/>
          </w:tcPr>
          <w:p w14:paraId="24E40434" w14:textId="77777777" w:rsidR="004C66DF" w:rsidRPr="00AA1EC7" w:rsidRDefault="004C66DF" w:rsidP="00E46767">
            <w:pPr>
              <w:contextualSpacing/>
              <w:rPr>
                <w:rFonts w:cs="Times New Roman"/>
                <w:sz w:val="20"/>
                <w:szCs w:val="20"/>
              </w:rPr>
            </w:pPr>
            <w:r w:rsidRPr="00AA1EC7">
              <w:rPr>
                <w:rFonts w:cs="Times New Roman"/>
                <w:sz w:val="20"/>
                <w:szCs w:val="20"/>
              </w:rPr>
              <w:t>56.4 (45.2, 67.0)*</w:t>
            </w:r>
          </w:p>
        </w:tc>
        <w:tc>
          <w:tcPr>
            <w:tcW w:w="2268" w:type="dxa"/>
            <w:tcBorders>
              <w:top w:val="single" w:sz="8" w:space="0" w:color="auto"/>
              <w:bottom w:val="single" w:sz="4" w:space="0" w:color="auto"/>
            </w:tcBorders>
            <w:vAlign w:val="center"/>
          </w:tcPr>
          <w:p w14:paraId="5A8208B2" w14:textId="77777777" w:rsidR="004C66DF" w:rsidRPr="00AA1EC7" w:rsidRDefault="004C66DF" w:rsidP="00E46767">
            <w:pPr>
              <w:contextualSpacing/>
              <w:rPr>
                <w:rFonts w:cs="Times New Roman"/>
                <w:sz w:val="20"/>
                <w:szCs w:val="20"/>
              </w:rPr>
            </w:pPr>
            <w:r w:rsidRPr="00AA1EC7">
              <w:rPr>
                <w:rFonts w:cs="Times New Roman"/>
                <w:sz w:val="20"/>
                <w:szCs w:val="20"/>
              </w:rPr>
              <w:t>15.6 (11.1, 21.0)</w:t>
            </w:r>
          </w:p>
        </w:tc>
        <w:tc>
          <w:tcPr>
            <w:tcW w:w="2126" w:type="dxa"/>
            <w:tcBorders>
              <w:top w:val="single" w:sz="8" w:space="0" w:color="auto"/>
              <w:bottom w:val="single" w:sz="4" w:space="0" w:color="auto"/>
              <w:right w:val="single" w:sz="8" w:space="0" w:color="auto"/>
            </w:tcBorders>
            <w:vAlign w:val="center"/>
          </w:tcPr>
          <w:p w14:paraId="49946B48" w14:textId="77777777" w:rsidR="004C66DF" w:rsidRPr="00AA1EC7" w:rsidRDefault="004C66DF" w:rsidP="00E46767">
            <w:pPr>
              <w:contextualSpacing/>
              <w:rPr>
                <w:rFonts w:cs="Times New Roman"/>
                <w:sz w:val="20"/>
                <w:szCs w:val="20"/>
              </w:rPr>
            </w:pPr>
            <w:r w:rsidRPr="00AA1EC7">
              <w:rPr>
                <w:rFonts w:cs="Times New Roman"/>
                <w:sz w:val="20"/>
                <w:szCs w:val="20"/>
              </w:rPr>
              <w:t>34.1 (27.7, NR)</w:t>
            </w:r>
          </w:p>
        </w:tc>
      </w:tr>
      <w:tr w:rsidR="004C66DF" w:rsidRPr="002D1DD7" w14:paraId="1091A882" w14:textId="77777777" w:rsidTr="00E46767">
        <w:tc>
          <w:tcPr>
            <w:tcW w:w="1583" w:type="dxa"/>
            <w:vMerge/>
            <w:tcBorders>
              <w:top w:val="single" w:sz="12" w:space="0" w:color="auto"/>
              <w:left w:val="single" w:sz="8" w:space="0" w:color="auto"/>
            </w:tcBorders>
            <w:vAlign w:val="center"/>
          </w:tcPr>
          <w:p w14:paraId="225FC3DD" w14:textId="77777777" w:rsidR="004C66DF" w:rsidRPr="00AA1EC7" w:rsidRDefault="004C66DF" w:rsidP="00E46767">
            <w:pPr>
              <w:contextualSpacing/>
              <w:rPr>
                <w:rFonts w:cs="Times New Roman"/>
                <w:sz w:val="20"/>
                <w:szCs w:val="20"/>
              </w:rPr>
            </w:pPr>
          </w:p>
        </w:tc>
        <w:tc>
          <w:tcPr>
            <w:tcW w:w="1150" w:type="dxa"/>
            <w:vMerge/>
            <w:tcBorders>
              <w:top w:val="single" w:sz="12" w:space="0" w:color="auto"/>
            </w:tcBorders>
            <w:vAlign w:val="center"/>
          </w:tcPr>
          <w:p w14:paraId="4EE9B366"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4" w:space="0" w:color="auto"/>
            </w:tcBorders>
            <w:vAlign w:val="center"/>
          </w:tcPr>
          <w:p w14:paraId="76944025" w14:textId="77777777" w:rsidR="004C66DF" w:rsidRPr="00AA1EC7" w:rsidRDefault="004C66DF" w:rsidP="00E46767">
            <w:pPr>
              <w:contextualSpacing/>
              <w:rPr>
                <w:rFonts w:cs="Times New Roman"/>
                <w:sz w:val="20"/>
                <w:szCs w:val="20"/>
              </w:rPr>
            </w:pPr>
            <w:r w:rsidRPr="00AA1EC7">
              <w:rPr>
                <w:rFonts w:cs="Times New Roman"/>
                <w:sz w:val="20"/>
                <w:szCs w:val="20"/>
              </w:rPr>
              <w:t>ALTA (Arm A)</w:t>
            </w:r>
          </w:p>
        </w:tc>
        <w:tc>
          <w:tcPr>
            <w:tcW w:w="879" w:type="dxa"/>
            <w:tcBorders>
              <w:top w:val="single" w:sz="4" w:space="0" w:color="auto"/>
              <w:bottom w:val="single" w:sz="4" w:space="0" w:color="auto"/>
            </w:tcBorders>
            <w:vAlign w:val="center"/>
          </w:tcPr>
          <w:p w14:paraId="306DC174" w14:textId="77777777" w:rsidR="004C66DF" w:rsidRPr="00AA1EC7" w:rsidRDefault="004C66DF" w:rsidP="00E46767">
            <w:pPr>
              <w:contextualSpacing/>
              <w:rPr>
                <w:rFonts w:cs="Times New Roman"/>
                <w:sz w:val="20"/>
                <w:szCs w:val="20"/>
              </w:rPr>
            </w:pPr>
            <w:r w:rsidRPr="00AA1EC7">
              <w:rPr>
                <w:rFonts w:cs="Times New Roman"/>
                <w:sz w:val="20"/>
                <w:szCs w:val="20"/>
              </w:rPr>
              <w:t>112</w:t>
            </w:r>
          </w:p>
        </w:tc>
        <w:tc>
          <w:tcPr>
            <w:tcW w:w="1225" w:type="dxa"/>
            <w:tcBorders>
              <w:top w:val="single" w:sz="4" w:space="0" w:color="auto"/>
              <w:bottom w:val="single" w:sz="4" w:space="0" w:color="auto"/>
            </w:tcBorders>
            <w:vAlign w:val="center"/>
          </w:tcPr>
          <w:p w14:paraId="7DA35C46"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4" w:space="0" w:color="auto"/>
            </w:tcBorders>
            <w:vAlign w:val="center"/>
          </w:tcPr>
          <w:p w14:paraId="7F17E129" w14:textId="77777777" w:rsidR="004C66DF" w:rsidRPr="00AA1EC7" w:rsidRDefault="004C66DF" w:rsidP="00E46767">
            <w:pPr>
              <w:contextualSpacing/>
              <w:rPr>
                <w:rFonts w:cs="Times New Roman"/>
                <w:sz w:val="20"/>
                <w:szCs w:val="20"/>
              </w:rPr>
            </w:pPr>
            <w:r w:rsidRPr="00AA1EC7">
              <w:rPr>
                <w:rFonts w:cs="Times New Roman"/>
                <w:sz w:val="20"/>
                <w:szCs w:val="20"/>
              </w:rPr>
              <w:t>45.5 (34.8, 56.5)*</w:t>
            </w:r>
          </w:p>
        </w:tc>
        <w:tc>
          <w:tcPr>
            <w:tcW w:w="2268" w:type="dxa"/>
            <w:tcBorders>
              <w:top w:val="single" w:sz="4" w:space="0" w:color="auto"/>
              <w:bottom w:val="single" w:sz="4" w:space="0" w:color="auto"/>
            </w:tcBorders>
            <w:vAlign w:val="center"/>
          </w:tcPr>
          <w:p w14:paraId="5225EC49" w14:textId="77777777" w:rsidR="004C66DF" w:rsidRPr="00AA1EC7" w:rsidRDefault="004C66DF" w:rsidP="00E46767">
            <w:pPr>
              <w:contextualSpacing/>
              <w:rPr>
                <w:rFonts w:cs="Times New Roman"/>
                <w:sz w:val="20"/>
                <w:szCs w:val="20"/>
              </w:rPr>
            </w:pPr>
            <w:r w:rsidRPr="00AA1EC7">
              <w:rPr>
                <w:rFonts w:cs="Times New Roman"/>
                <w:sz w:val="20"/>
                <w:szCs w:val="20"/>
              </w:rPr>
              <w:t>9.2 (7.4, 11.1)</w:t>
            </w:r>
          </w:p>
        </w:tc>
        <w:tc>
          <w:tcPr>
            <w:tcW w:w="2126" w:type="dxa"/>
            <w:tcBorders>
              <w:top w:val="single" w:sz="4" w:space="0" w:color="auto"/>
              <w:bottom w:val="single" w:sz="4" w:space="0" w:color="auto"/>
              <w:right w:val="single" w:sz="8" w:space="0" w:color="auto"/>
            </w:tcBorders>
            <w:vAlign w:val="center"/>
          </w:tcPr>
          <w:p w14:paraId="13E6993E" w14:textId="77777777" w:rsidR="004C66DF" w:rsidRPr="00AA1EC7" w:rsidRDefault="004C66DF" w:rsidP="00E46767">
            <w:pPr>
              <w:contextualSpacing/>
              <w:rPr>
                <w:rFonts w:cs="Times New Roman"/>
                <w:sz w:val="20"/>
                <w:szCs w:val="20"/>
              </w:rPr>
            </w:pPr>
            <w:r w:rsidRPr="00AA1EC7">
              <w:rPr>
                <w:rFonts w:cs="Times New Roman"/>
                <w:sz w:val="20"/>
                <w:szCs w:val="20"/>
              </w:rPr>
              <w:t>29.5 (18.2, NR)</w:t>
            </w:r>
          </w:p>
        </w:tc>
      </w:tr>
      <w:tr w:rsidR="004C66DF" w:rsidRPr="002D1DD7" w14:paraId="7FB8C87C" w14:textId="77777777" w:rsidTr="00E46767">
        <w:tc>
          <w:tcPr>
            <w:tcW w:w="1583" w:type="dxa"/>
            <w:vMerge/>
            <w:tcBorders>
              <w:left w:val="single" w:sz="8" w:space="0" w:color="auto"/>
              <w:bottom w:val="single" w:sz="8" w:space="0" w:color="auto"/>
            </w:tcBorders>
            <w:vAlign w:val="center"/>
          </w:tcPr>
          <w:p w14:paraId="3EFA338E" w14:textId="77777777" w:rsidR="004C66DF" w:rsidRPr="00AA1EC7" w:rsidRDefault="004C66DF" w:rsidP="00E46767">
            <w:pPr>
              <w:contextualSpacing/>
              <w:rPr>
                <w:rFonts w:cs="Times New Roman"/>
                <w:sz w:val="20"/>
                <w:szCs w:val="20"/>
              </w:rPr>
            </w:pPr>
          </w:p>
        </w:tc>
        <w:tc>
          <w:tcPr>
            <w:tcW w:w="1150" w:type="dxa"/>
            <w:vMerge/>
            <w:tcBorders>
              <w:bottom w:val="single" w:sz="8" w:space="0" w:color="auto"/>
            </w:tcBorders>
            <w:vAlign w:val="center"/>
          </w:tcPr>
          <w:p w14:paraId="1F98AE7F" w14:textId="77777777" w:rsidR="004C66DF" w:rsidRPr="00AA1EC7" w:rsidRDefault="004C66DF" w:rsidP="00E46767">
            <w:pPr>
              <w:contextualSpacing/>
              <w:rPr>
                <w:rFonts w:cs="Times New Roman"/>
                <w:sz w:val="20"/>
                <w:szCs w:val="20"/>
              </w:rPr>
            </w:pPr>
          </w:p>
        </w:tc>
        <w:tc>
          <w:tcPr>
            <w:tcW w:w="2383" w:type="dxa"/>
            <w:tcBorders>
              <w:top w:val="single" w:sz="4" w:space="0" w:color="auto"/>
              <w:bottom w:val="single" w:sz="8" w:space="0" w:color="auto"/>
            </w:tcBorders>
            <w:vAlign w:val="center"/>
          </w:tcPr>
          <w:p w14:paraId="3F6B04CB" w14:textId="77777777" w:rsidR="004C66DF" w:rsidRPr="00AA1EC7" w:rsidRDefault="004C66DF" w:rsidP="00E46767">
            <w:pPr>
              <w:contextualSpacing/>
              <w:rPr>
                <w:rFonts w:cs="Times New Roman"/>
                <w:sz w:val="20"/>
                <w:szCs w:val="20"/>
              </w:rPr>
            </w:pPr>
            <w:r w:rsidRPr="00AA1EC7">
              <w:rPr>
                <w:rFonts w:cs="Times New Roman"/>
                <w:sz w:val="20"/>
                <w:szCs w:val="20"/>
              </w:rPr>
              <w:t>Study 101</w:t>
            </w:r>
          </w:p>
        </w:tc>
        <w:tc>
          <w:tcPr>
            <w:tcW w:w="879" w:type="dxa"/>
            <w:tcBorders>
              <w:top w:val="single" w:sz="4" w:space="0" w:color="auto"/>
              <w:bottom w:val="single" w:sz="8" w:space="0" w:color="auto"/>
            </w:tcBorders>
            <w:vAlign w:val="center"/>
          </w:tcPr>
          <w:p w14:paraId="07A3C49A" w14:textId="77777777" w:rsidR="004C66DF" w:rsidRPr="00AA1EC7" w:rsidRDefault="004C66DF" w:rsidP="00E46767">
            <w:pPr>
              <w:contextualSpacing/>
              <w:rPr>
                <w:rFonts w:cs="Times New Roman"/>
                <w:sz w:val="20"/>
                <w:szCs w:val="20"/>
              </w:rPr>
            </w:pPr>
            <w:r w:rsidRPr="00AA1EC7">
              <w:rPr>
                <w:rFonts w:cs="Times New Roman"/>
                <w:sz w:val="20"/>
                <w:szCs w:val="20"/>
              </w:rPr>
              <w:t>25</w:t>
            </w:r>
          </w:p>
        </w:tc>
        <w:tc>
          <w:tcPr>
            <w:tcW w:w="1225" w:type="dxa"/>
            <w:tcBorders>
              <w:top w:val="single" w:sz="4" w:space="0" w:color="auto"/>
              <w:bottom w:val="single" w:sz="8" w:space="0" w:color="auto"/>
            </w:tcBorders>
            <w:vAlign w:val="center"/>
          </w:tcPr>
          <w:p w14:paraId="30BA0E28" w14:textId="77777777" w:rsidR="004C66DF" w:rsidRPr="00AA1EC7" w:rsidRDefault="004C66DF" w:rsidP="00E46767">
            <w:pPr>
              <w:contextualSpacing/>
              <w:rPr>
                <w:rFonts w:cs="Times New Roman"/>
                <w:sz w:val="20"/>
                <w:szCs w:val="20"/>
              </w:rPr>
            </w:pPr>
            <w:r w:rsidRPr="00AA1EC7">
              <w:rPr>
                <w:rFonts w:cs="Times New Roman"/>
                <w:sz w:val="20"/>
                <w:szCs w:val="20"/>
              </w:rPr>
              <w:t>Multiple</w:t>
            </w:r>
          </w:p>
        </w:tc>
        <w:tc>
          <w:tcPr>
            <w:tcW w:w="2268" w:type="dxa"/>
            <w:tcBorders>
              <w:top w:val="single" w:sz="4" w:space="0" w:color="auto"/>
              <w:bottom w:val="single" w:sz="8" w:space="0" w:color="auto"/>
            </w:tcBorders>
            <w:vAlign w:val="center"/>
          </w:tcPr>
          <w:p w14:paraId="6CBDCF93" w14:textId="77777777" w:rsidR="004C66DF" w:rsidRPr="00AA1EC7" w:rsidRDefault="004C66DF" w:rsidP="00E46767">
            <w:pPr>
              <w:contextualSpacing/>
              <w:rPr>
                <w:rFonts w:cs="Times New Roman"/>
                <w:sz w:val="20"/>
                <w:szCs w:val="20"/>
              </w:rPr>
            </w:pPr>
            <w:r w:rsidRPr="00AA1EC7">
              <w:rPr>
                <w:rFonts w:cs="Times New Roman"/>
                <w:sz w:val="20"/>
                <w:szCs w:val="20"/>
              </w:rPr>
              <w:t>76 (54.9-90.6)*</w:t>
            </w:r>
          </w:p>
        </w:tc>
        <w:tc>
          <w:tcPr>
            <w:tcW w:w="2268" w:type="dxa"/>
            <w:tcBorders>
              <w:top w:val="single" w:sz="4" w:space="0" w:color="auto"/>
              <w:bottom w:val="single" w:sz="8" w:space="0" w:color="auto"/>
            </w:tcBorders>
            <w:vAlign w:val="center"/>
          </w:tcPr>
          <w:p w14:paraId="48D11956" w14:textId="77777777" w:rsidR="004C66DF" w:rsidRPr="00AA1EC7" w:rsidRDefault="004C66DF" w:rsidP="00E46767">
            <w:pPr>
              <w:contextualSpacing/>
              <w:rPr>
                <w:rFonts w:cs="Times New Roman"/>
                <w:sz w:val="20"/>
                <w:szCs w:val="20"/>
              </w:rPr>
            </w:pPr>
            <w:r w:rsidRPr="00AA1EC7">
              <w:rPr>
                <w:rFonts w:cs="Times New Roman"/>
                <w:sz w:val="20"/>
                <w:szCs w:val="20"/>
              </w:rPr>
              <w:t>16.3 (9.2, NE)</w:t>
            </w:r>
          </w:p>
          <w:p w14:paraId="18C5D77B" w14:textId="77777777" w:rsidR="004C66DF" w:rsidRPr="00AA1EC7" w:rsidRDefault="004C66DF" w:rsidP="00E46767">
            <w:pPr>
              <w:contextualSpacing/>
              <w:rPr>
                <w:rFonts w:cs="Times New Roman"/>
                <w:sz w:val="20"/>
                <w:szCs w:val="20"/>
              </w:rPr>
            </w:pPr>
            <w:r w:rsidRPr="00AA1EC7">
              <w:rPr>
                <w:rFonts w:cs="Times New Roman"/>
                <w:sz w:val="20"/>
                <w:szCs w:val="20"/>
              </w:rPr>
              <w:t>Range: 0.5-27.8)</w:t>
            </w:r>
          </w:p>
        </w:tc>
        <w:tc>
          <w:tcPr>
            <w:tcW w:w="2126" w:type="dxa"/>
            <w:tcBorders>
              <w:top w:val="single" w:sz="4" w:space="0" w:color="auto"/>
              <w:bottom w:val="single" w:sz="8" w:space="0" w:color="auto"/>
              <w:right w:val="single" w:sz="8" w:space="0" w:color="auto"/>
            </w:tcBorders>
            <w:vAlign w:val="center"/>
          </w:tcPr>
          <w:p w14:paraId="78E837FC" w14:textId="77777777" w:rsidR="004C66DF" w:rsidRPr="00AA1EC7" w:rsidRDefault="004C66DF" w:rsidP="00E46767">
            <w:pPr>
              <w:contextualSpacing/>
              <w:rPr>
                <w:rFonts w:cs="Times New Roman"/>
                <w:sz w:val="20"/>
                <w:szCs w:val="20"/>
              </w:rPr>
            </w:pPr>
            <w:r w:rsidRPr="00AA1EC7">
              <w:rPr>
                <w:rFonts w:cs="Times New Roman"/>
                <w:sz w:val="20"/>
                <w:szCs w:val="20"/>
              </w:rPr>
              <w:t>NR (1.4, 24.3)</w:t>
            </w:r>
          </w:p>
        </w:tc>
      </w:tr>
    </w:tbl>
    <w:p w14:paraId="6EF04CAF" w14:textId="77777777" w:rsidR="004C66DF" w:rsidRPr="00EC11CD" w:rsidRDefault="004C66DF" w:rsidP="004C66DF">
      <w:pPr>
        <w:spacing w:line="240" w:lineRule="auto"/>
        <w:jc w:val="both"/>
        <w:rPr>
          <w:rFonts w:cs="Times New Roman"/>
          <w:sz w:val="18"/>
          <w:szCs w:val="18"/>
        </w:rPr>
      </w:pPr>
      <w:r w:rsidRPr="002D1DD7">
        <w:rPr>
          <w:rFonts w:cs="Times New Roman"/>
          <w:sz w:val="18"/>
          <w:szCs w:val="18"/>
        </w:rPr>
        <w:t xml:space="preserve">*97.5% CI for ALTA ORR (investigator), ** 3 month follow up n=29, *** Full analysis n=39, **** 18 month follow up not reported.  Note, no IQR was provided </w:t>
      </w:r>
      <w:r>
        <w:rPr>
          <w:rFonts w:cs="Times New Roman"/>
          <w:sz w:val="18"/>
          <w:szCs w:val="18"/>
        </w:rPr>
        <w:t xml:space="preserve">except </w:t>
      </w:r>
      <w:r w:rsidRPr="002D1DD7">
        <w:rPr>
          <w:rFonts w:cs="Times New Roman"/>
          <w:sz w:val="18"/>
          <w:szCs w:val="18"/>
        </w:rPr>
        <w:t>where specified. NE, not estimable; NC, not calculable; NR,</w:t>
      </w:r>
      <w:r>
        <w:rPr>
          <w:rFonts w:cs="Times New Roman"/>
          <w:sz w:val="18"/>
          <w:szCs w:val="18"/>
        </w:rPr>
        <w:t xml:space="preserve"> not reached; NA, not available</w:t>
      </w:r>
    </w:p>
    <w:p w14:paraId="13BAB75C" w14:textId="77777777" w:rsidR="004C66DF" w:rsidRDefault="004C66DF" w:rsidP="004C66DF"/>
    <w:p w14:paraId="7D18F98B" w14:textId="77777777" w:rsidR="004C66DF" w:rsidRDefault="004C66DF" w:rsidP="004C66DF">
      <w:pPr>
        <w:sectPr w:rsidR="004C66DF" w:rsidSect="00231517">
          <w:pgSz w:w="16838" w:h="11906" w:orient="landscape"/>
          <w:pgMar w:top="1440" w:right="1440" w:bottom="1440" w:left="1440" w:header="709" w:footer="709" w:gutter="0"/>
          <w:cols w:space="708"/>
          <w:docGrid w:linePitch="360"/>
        </w:sectPr>
      </w:pPr>
    </w:p>
    <w:p w14:paraId="422A4162" w14:textId="0895DE1D" w:rsidR="004C66DF" w:rsidRPr="002D1DD7" w:rsidRDefault="004C66DF" w:rsidP="004C66DF">
      <w:r w:rsidRPr="004C66DF">
        <w:rPr>
          <w:b/>
          <w:bCs/>
        </w:rPr>
        <w:t>Issue 1: ORR as a primary endpoint and possible surrogate relationship assumed for PFS/OS</w:t>
      </w:r>
      <w:r w:rsidRPr="004C66DF">
        <w:t xml:space="preserve"> </w:t>
      </w:r>
      <w:r w:rsidRPr="002D1DD7">
        <w:t xml:space="preserve">Given the different maturity in PFS and OS data evident in </w:t>
      </w:r>
      <w:r>
        <w:fldChar w:fldCharType="begin"/>
      </w:r>
      <w:r>
        <w:instrText xml:space="preserve"> REF _Ref31563512 \h </w:instrText>
      </w:r>
      <w:r>
        <w:fldChar w:fldCharType="separate"/>
      </w:r>
      <w:r>
        <w:t xml:space="preserve">Table </w:t>
      </w:r>
      <w:r>
        <w:rPr>
          <w:noProof/>
        </w:rPr>
        <w:t>11</w:t>
      </w:r>
      <w:r>
        <w:fldChar w:fldCharType="end"/>
      </w:r>
      <w:r w:rsidRPr="002D1DD7">
        <w:t>, the review further subdivides the TAs based on whether median PFS and OS were both reached and those where only median PFS was reached. This allowed consideration of whether the approaches to dealing with different levels of maturity in these endpoints differed.</w:t>
      </w:r>
    </w:p>
    <w:p w14:paraId="6A1B180D" w14:textId="77777777" w:rsidR="004C66DF" w:rsidRPr="002D1DD7" w:rsidRDefault="004C66DF" w:rsidP="004C66DF">
      <w:r w:rsidRPr="002D1DD7">
        <w:t xml:space="preserve">All 10 TAs used a model structure based on a partitioned survival model (PSM) or “area under the curve” analysis comprising of three mutually exclusive health states: (i) PFS (progression free), (ii) progressive disease (PD; progression), and (iii) death. Importantly, despite ORR being the primary endpoint supporting marketing authorisation, none of the TAs made use </w:t>
      </w:r>
      <w:r>
        <w:t xml:space="preserve">of </w:t>
      </w:r>
      <w:r w:rsidRPr="002D1DD7">
        <w:t>the ORR or D</w:t>
      </w:r>
      <w:r>
        <w:t>o</w:t>
      </w:r>
      <w:r w:rsidRPr="002D1DD7">
        <w:t>R data. Instead, the proposed approaches relied on extrapolations of the available PFS and OS data or used external evidence and/or assumptions.</w:t>
      </w:r>
    </w:p>
    <w:p w14:paraId="2C76A78E" w14:textId="77777777" w:rsidR="004C66DF" w:rsidRPr="00E46767" w:rsidRDefault="004C66DF" w:rsidP="00E46767">
      <w:pPr>
        <w:rPr>
          <w:i/>
          <w:iCs/>
        </w:rPr>
      </w:pPr>
      <w:bookmarkStart w:id="340" w:name="_Toc33695115"/>
      <w:bookmarkStart w:id="341" w:name="_Toc33696077"/>
      <w:r w:rsidRPr="00E46767">
        <w:rPr>
          <w:i/>
          <w:iCs/>
        </w:rPr>
        <w:t>Median PFS and OS reached</w:t>
      </w:r>
      <w:bookmarkEnd w:id="340"/>
      <w:bookmarkEnd w:id="341"/>
    </w:p>
    <w:p w14:paraId="5F06BD96" w14:textId="77777777" w:rsidR="004C66DF" w:rsidRPr="002D1DD7" w:rsidRDefault="004C66DF" w:rsidP="004C66DF">
      <w:r w:rsidRPr="002D1DD7">
        <w:t>The 7 TAs for which median PFS and OS had been reached are:</w:t>
      </w:r>
    </w:p>
    <w:p w14:paraId="20A41CE1"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 xml:space="preserve">TA395: Ceritinib for ALK+ NSCLC; </w:t>
      </w:r>
    </w:p>
    <w:p w14:paraId="52F4A11B"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 xml:space="preserve">TA492: Atezolizumab for PD-L1+ urothelial cancer; </w:t>
      </w:r>
    </w:p>
    <w:p w14:paraId="0DD55996"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 xml:space="preserve">TA510: Daratumumab for relapsed and refractory multiple myeloma; </w:t>
      </w:r>
    </w:p>
    <w:p w14:paraId="4CDA7BA0"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 xml:space="preserve">TA462: Nivolumab for relapsed or refractory classical Hodgkin lymphoma (RRcHL); </w:t>
      </w:r>
    </w:p>
    <w:p w14:paraId="74C58270"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 xml:space="preserve">TA540: Pembrolizumab for RRcHL; </w:t>
      </w:r>
    </w:p>
    <w:p w14:paraId="5829F04E"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 xml:space="preserve">TA487: Venetoclax for chronic lymphocytic leukaemia; </w:t>
      </w:r>
    </w:p>
    <w:p w14:paraId="5BF4D6A5" w14:textId="77777777" w:rsidR="004C66DF" w:rsidRPr="002D1DD7" w:rsidRDefault="004C66DF" w:rsidP="004C66DF">
      <w:pPr>
        <w:pStyle w:val="ListParagraph"/>
        <w:numPr>
          <w:ilvl w:val="0"/>
          <w:numId w:val="84"/>
        </w:numPr>
        <w:spacing w:before="0" w:after="160"/>
        <w:jc w:val="both"/>
        <w:rPr>
          <w:rFonts w:cs="Times New Roman"/>
        </w:rPr>
      </w:pPr>
      <w:r w:rsidRPr="002D1DD7">
        <w:rPr>
          <w:rFonts w:cs="Times New Roman"/>
        </w:rPr>
        <w:t>ID1328: Brigatinib for ALK+ NSCLC.</w:t>
      </w:r>
    </w:p>
    <w:p w14:paraId="5ADB70E0" w14:textId="04CE1D0D" w:rsidR="004C66DF" w:rsidRPr="002D1DD7" w:rsidRDefault="004C66DF" w:rsidP="004C66DF">
      <w:r w:rsidRPr="002D1DD7">
        <w:t xml:space="preserve">The observed survival data in each TA was extrapolated </w:t>
      </w:r>
      <w:r>
        <w:t>over a lifetime horizon u</w:t>
      </w:r>
      <w:r w:rsidRPr="002D1DD7">
        <w:t>sing conventional parametric survival modelling. In accordance with the NICE DSU Technical Support Document 14,</w:t>
      </w:r>
      <w:r>
        <w:fldChar w:fldCharType="begin"/>
      </w:r>
      <w:r w:rsidR="004D5B2B">
        <w:instrText xml:space="preserve"> ADDIN EN.CITE &lt;EndNote&gt;&lt;Cite&gt;&lt;Author&gt;Latimer&lt;/Author&gt;&lt;Year&gt;2011&lt;/Year&gt;&lt;RecNum&gt;3416&lt;/RecNum&gt;&lt;DisplayText&gt;&lt;style face="superscript"&gt;181&lt;/style&gt;&lt;/DisplayText&gt;&lt;record&gt;&lt;rec-number&gt;3416&lt;/rec-number&gt;&lt;foreign-keys&gt;&lt;key app="EN" db-id="dwaevxvazfs2f3ewvzmxrd0k0wasw55p2z2w" timestamp="1569599389"&gt;3416&lt;/key&gt;&lt;/foreign-keys&gt;&lt;ref-type name="Report"&gt;27&lt;/ref-type&gt;&lt;contributors&gt;&lt;authors&gt;&lt;author&gt;Latimer, Nicholas J&lt;/author&gt;&lt;/authors&gt;&lt;/contributors&gt;&lt;titles&gt;&lt;title&gt;NICE DSU technical support document 14: survival analysis for economic evaluations alongside clinical trials-extrapolation with patient-level data&lt;/title&gt;&lt;/titles&gt;&lt;dates&gt;&lt;year&gt;2011&lt;/year&gt;&lt;/dates&gt;&lt;pub-location&gt;Sheffield&lt;/pub-location&gt;&lt;publisher&gt;Report by the Decision Support Unit&lt;/publisher&gt;&lt;urls&gt;&lt;related-urls&gt;&lt;url&gt;http://nicedsu.org.uk/wp-content/uploads/2016/03/NICE-DSU-TSD-Survival-analysis.updated-March-2013.v2.pdf&lt;/url&gt;&lt;/related-urls&gt;&lt;/urls&gt;&lt;/record&gt;&lt;/Cite&gt;&lt;/EndNote&gt;</w:instrText>
      </w:r>
      <w:r>
        <w:fldChar w:fldCharType="separate"/>
      </w:r>
      <w:r w:rsidR="004D5B2B" w:rsidRPr="004D5B2B">
        <w:rPr>
          <w:noProof/>
          <w:vertAlign w:val="superscript"/>
        </w:rPr>
        <w:t>181</w:t>
      </w:r>
      <w:r>
        <w:fldChar w:fldCharType="end"/>
      </w:r>
      <w:r w:rsidRPr="002D1DD7">
        <w:t xml:space="preserve"> each company approached the data limitation by fitting various candidate distributions to the observed data, assessing statistical goodness of fit and clinical plausibility. Although median PFS and OS were reached in the clinical studies, the ERGs consistently highlighted concerns with the immaturity of the </w:t>
      </w:r>
      <w:r>
        <w:t xml:space="preserve">OS </w:t>
      </w:r>
      <w:r w:rsidRPr="002D1DD7">
        <w:t xml:space="preserve">data, relative to the long extrapolation periods applied within the economic models. </w:t>
      </w:r>
    </w:p>
    <w:p w14:paraId="2F8621A9" w14:textId="3E31C709" w:rsidR="004C66DF" w:rsidRPr="002D1DD7" w:rsidRDefault="004C66DF" w:rsidP="004C66DF">
      <w:r w:rsidRPr="002D1DD7">
        <w:t xml:space="preserve">There appeared to be no obvious trend in terms of the committee’s final decision based solely on median OS having been reached. Atezolizumab and daratumumab both received recommendations for use in the CDF due to uncertainty in their respective </w:t>
      </w:r>
      <w:r>
        <w:t>incremental cost-effectiveness ratio (</w:t>
      </w:r>
      <w:r w:rsidRPr="002D1DD7">
        <w:t>ICER</w:t>
      </w:r>
      <w:r>
        <w:t>)</w:t>
      </w:r>
      <w:r w:rsidRPr="002D1DD7">
        <w:t xml:space="preserve"> estimates attributed to survival data immaturity.</w:t>
      </w:r>
      <w:r>
        <w:fldChar w:fldCharType="begin">
          <w:fldData xml:space="preserve">PEVuZE5vdGU+PENpdGU+PEF1dGhvcj5OYXRpb25hbCBJbnN0aXR1dGUgZm9yIEhlYWx0aCBhbmQg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</w:fldData>
        </w:fldChar>
      </w:r>
      <w:r w:rsidR="004D5B2B">
        <w:instrText xml:space="preserve"> ADDIN EN.CITE </w:instrText>
      </w:r>
      <w:r w:rsidR="004D5B2B">
        <w:fldChar w:fldCharType="begin">
          <w:fldData xml:space="preserve">PEVuZE5vdGU+PENpdGU+PEF1dGhvcj5OYXRpb25hbCBJbnN0aXR1dGUgZm9yIEhlYWx0aCBhbmQg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</w:fldData>
        </w:fldChar>
      </w:r>
      <w:r w:rsidR="004D5B2B">
        <w:instrText xml:space="preserve"> ADDIN EN.CITE.DATA </w:instrText>
      </w:r>
      <w:r w:rsidR="004D5B2B">
        <w:fldChar w:fldCharType="end"/>
      </w:r>
      <w:r>
        <w:fldChar w:fldCharType="separate"/>
      </w:r>
      <w:r w:rsidR="004D5B2B" w:rsidRPr="004D5B2B">
        <w:rPr>
          <w:noProof/>
          <w:vertAlign w:val="superscript"/>
        </w:rPr>
        <w:t>212, 213</w:t>
      </w:r>
      <w:r>
        <w:fldChar w:fldCharType="end"/>
      </w:r>
      <w:r w:rsidRPr="002D1DD7">
        <w:t xml:space="preserve"> Venetoclax also received a recommendation for use in the CDF. However, the uncertainty raised by the committee for this TA centred on the trial population and whether their disease severity reflected those in the NHS and not specifically uncertainty in the survival data.</w:t>
      </w:r>
      <w:r>
        <w:fldChar w:fldCharType="begin"/>
      </w:r>
      <w:r w:rsidR="004D5B2B">
        <w:instrText xml:space="preserve"> ADDIN EN.CITE &lt;EndNote&gt;&lt;Cite&gt;&lt;Author&gt;National Institute for Health and Care Excellence (NICE)&lt;/Author&gt;&lt;Year&gt;2017&lt;/Year&gt;&lt;RecNum&gt;4&lt;/RecNum&gt;&lt;DisplayText&gt;&lt;style face="superscript"&gt;214&lt;/style&gt;&lt;/DisplayText&gt;&lt;record&gt;&lt;rec-number&gt;4&lt;/rec-number&gt;&lt;foreign-keys&gt;&lt;key app="EN" db-id="pz0rrdex3zsv21etatn5ww0i0509tzrzexxd" timestamp="1580649514"&gt;4&lt;/key&gt;&lt;/foreign-keys&gt;&lt;ref-type name="Report"&gt;27&lt;/ref-type&gt;&lt;contributors&gt;&lt;authors&gt;&lt;author&gt;National Institute for Health and Care Excellence (NICE),&lt;/author&gt;&lt;/authors&gt;&lt;/contributors&gt;&lt;titles&gt;&lt;title&gt;TA487: Venetoclax for treating chronic lymphocytic leukaemia&lt;/title&gt;&lt;/titles&gt;&lt;dates&gt;&lt;year&gt;2017&lt;/year&gt;&lt;/dates&gt;&lt;urls&gt;&lt;related-urls&gt;&lt;url&gt;https://www.nice.org.uk/guidance/ta487&lt;/url&gt;&lt;/related-urls&gt;&lt;/urls&gt;&lt;access-date&gt;27 Feburary 2019&lt;/access-date&gt;&lt;/record&gt;&lt;/Cite&gt;&lt;/EndNote&gt;</w:instrText>
      </w:r>
      <w:r>
        <w:fldChar w:fldCharType="separate"/>
      </w:r>
      <w:r w:rsidR="004D5B2B" w:rsidRPr="004D5B2B">
        <w:rPr>
          <w:noProof/>
          <w:vertAlign w:val="superscript"/>
        </w:rPr>
        <w:t>214</w:t>
      </w:r>
      <w:r>
        <w:fldChar w:fldCharType="end"/>
      </w:r>
      <w:r w:rsidRPr="002D1DD7">
        <w:t xml:space="preserve"> Nivolumab and brigatinib both received recommendations for routine use in the NHS despite immaturity of the survival data being highlighted by the committee and the ERGs.</w:t>
      </w:r>
      <w:r>
        <w:fldChar w:fldCharType="begin"/>
      </w:r>
      <w:r w:rsidR="004D5B2B">
        <w:instrText xml:space="preserve"> ADDIN EN.CITE &lt;EndNote&gt;&lt;Cite&gt;&lt;Author&gt;National Institute for Health and Care Excellence (NICE)&lt;/Author&gt;&lt;Year&gt;2017&lt;/Year&gt;&lt;RecNum&gt;5&lt;/RecNum&gt;&lt;DisplayText&gt;&lt;style face="superscript"&gt;215, 216&lt;/style&gt;&lt;/DisplayText&gt;&lt;record&gt;&lt;rec-number&gt;5&lt;/rec-number&gt;&lt;foreign-keys&gt;&lt;key app="EN" db-id="pz0rrdex3zsv21etatn5ww0i0509tzrzexxd" timestamp="1580649514"&gt;5&lt;/key&gt;&lt;/foreign-keys&gt;&lt;ref-type name="Report"&gt;27&lt;/ref-type&gt;&lt;contributors&gt;&lt;authors&gt;&lt;author&gt;National Institute for Health and Care Excellence (NICE),&lt;/author&gt;&lt;/authors&gt;&lt;/contributors&gt;&lt;titles&gt;&lt;title&gt;TA462: Nivolumab for treating relapsed or refractory classical Hodgkin lymphoma&lt;/title&gt;&lt;/titles&gt;&lt;dates&gt;&lt;year&gt;2017&lt;/year&gt;&lt;/dates&gt;&lt;urls&gt;&lt;related-urls&gt;&lt;url&gt;https://www.nice.org.uk/guidance/ta462&lt;/url&gt;&lt;/related-urls&gt;&lt;/urls&gt;&lt;access-date&gt;27 February 2019&lt;/access-date&gt;&lt;/record&gt;&lt;/Cite&gt;&lt;Cite&gt;&lt;Author&gt;National Institute for Health and Care Excellence (NICE)&lt;/Author&gt;&lt;Year&gt;2019&lt;/Year&gt;&lt;RecNum&gt;6&lt;/RecNum&gt;&lt;record&gt;&lt;rec-number&gt;6&lt;/rec-number&gt;&lt;foreign-keys&gt;&lt;key app="EN" db-id="pz0rrdex3zsv21etatn5ww0i0509tzrzexxd" timestamp="1580649514"&gt;6&lt;/key&gt;&lt;/foreign-keys&gt;&lt;ref-type name="Report"&gt;27&lt;/ref-type&gt;&lt;contributors&gt;&lt;authors&gt;&lt;author&gt;National Institute for Health and Care Excellence (NICE),&lt;/author&gt;&lt;/authors&gt;&lt;/contributors&gt;&lt;titles&gt;&lt;title&gt;GID-TA10268: Brigatinib for treating ALK-positive non-small-cell lung cancer after crizotinib [ID1328]&lt;/title&gt;&lt;/titles&gt;&lt;dates&gt;&lt;year&gt;2019&lt;/year&gt;&lt;/dates&gt;&lt;urls&gt;&lt;related-urls&gt;&lt;url&gt;https://www.nice.org.uk/guidance/indevelopment/gid-ta10268&lt;/url&gt;&lt;/related-urls&gt;&lt;/urls&gt;&lt;access-date&gt;5 March 2019&lt;/access-date&gt;&lt;/record&gt;&lt;/Cite&gt;&lt;/EndNote&gt;</w:instrText>
      </w:r>
      <w:r>
        <w:fldChar w:fldCharType="separate"/>
      </w:r>
      <w:r w:rsidR="004D5B2B" w:rsidRPr="004D5B2B">
        <w:rPr>
          <w:noProof/>
          <w:vertAlign w:val="superscript"/>
        </w:rPr>
        <w:t>215, 216</w:t>
      </w:r>
      <w:r>
        <w:fldChar w:fldCharType="end"/>
      </w:r>
    </w:p>
    <w:p w14:paraId="47C61388" w14:textId="77777777" w:rsidR="004C66DF" w:rsidRPr="00E46767" w:rsidRDefault="004C66DF" w:rsidP="00E46767">
      <w:pPr>
        <w:rPr>
          <w:i/>
          <w:iCs/>
        </w:rPr>
      </w:pPr>
      <w:bookmarkStart w:id="342" w:name="_Toc33695116"/>
      <w:bookmarkStart w:id="343" w:name="_Toc33696078"/>
      <w:r w:rsidRPr="00E46767">
        <w:rPr>
          <w:i/>
          <w:iCs/>
        </w:rPr>
        <w:t>Median PFS reached, median OS not reached</w:t>
      </w:r>
      <w:bookmarkEnd w:id="342"/>
      <w:bookmarkEnd w:id="343"/>
    </w:p>
    <w:p w14:paraId="14E818A8" w14:textId="77777777" w:rsidR="004C66DF" w:rsidRPr="002D1DD7" w:rsidRDefault="004C66DF" w:rsidP="004C66DF">
      <w:r w:rsidRPr="002D1DD7">
        <w:t>The TAs based on studies that had not reached median OS were:</w:t>
      </w:r>
    </w:p>
    <w:p w14:paraId="2706AD1D" w14:textId="05EEBD71" w:rsidR="004C66DF" w:rsidRPr="00A812B0" w:rsidRDefault="004C66DF" w:rsidP="004C66DF">
      <w:pPr>
        <w:pStyle w:val="ListParagraph"/>
        <w:numPr>
          <w:ilvl w:val="0"/>
          <w:numId w:val="85"/>
        </w:numPr>
        <w:spacing w:before="0" w:after="160"/>
        <w:jc w:val="both"/>
        <w:rPr>
          <w:rFonts w:cs="Times New Roman"/>
          <w:lang w:val="fr-FR"/>
        </w:rPr>
      </w:pPr>
      <w:r w:rsidRPr="00A812B0">
        <w:rPr>
          <w:rFonts w:cs="Times New Roman"/>
          <w:lang w:val="fr-FR"/>
        </w:rPr>
        <w:t>TA416: Osimertinib for EGFR T790M mutation-positive NSCLC;</w:t>
      </w:r>
      <w:r>
        <w:rPr>
          <w:rFonts w:cs="Times New Roman"/>
        </w:rPr>
        <w:fldChar w:fldCharType="begin"/>
      </w:r>
      <w:r w:rsidR="004D5B2B" w:rsidRPr="00354FCE">
        <w:rPr>
          <w:rFonts w:cs="Times New Roman"/>
          <w:lang w:val="fr-FR"/>
        </w:rPr>
        <w:instrText xml:space="preserve"> ADDIN EN.CITE &lt;EndNote&gt;&lt;Cite&gt;&lt;Author&gt;National Institute for Health and Care Excellence (NICE)&lt;/Author&gt;&lt;Year&gt;2016&lt;/Year&gt;&lt;RecNum&gt;7&lt;/RecNum&gt;&lt;DisplayText&gt;&lt;style face="superscript"&gt;217&lt;/style&gt;&lt;/DisplayText&gt;&lt;record&gt;&lt;rec-number&gt;7&lt;/rec-number&gt;&lt;foreign-keys&gt;&lt;key app="EN" db-id="pz0rrdex3zsv21etatn5ww0i0509tzrzexxd" timestamp="1580649514"&gt;7&lt;/key&gt;&lt;/foreign-keys&gt;&lt;ref-type name="Report"&gt;27&lt;/ref-type&gt;&lt;contributors&gt;&lt;authors&gt;&lt;author&gt;National Institute for Health and Care Excellence (NICE),&lt;/author&gt;&lt;/authors&gt;&lt;/contributors&gt;&lt;titles&gt;&lt;title&gt;TA416: Osimertinib for treating locally advanced or metastatic EGFR T790M mutation-positive non-small-cell lung cancer&lt;/title&gt;&lt;/titles&gt;&lt;dates&gt;&lt;year&gt;2016&lt;/year&gt;&lt;/dates&gt;&lt;urls&gt;&lt;related-urls&gt;&lt;url&gt;https://www.nice.org.uk/guidance/ta416&lt;/url&gt;&lt;/related-urls&gt;&lt;/urls&gt;&lt;access-date&gt;27 February 2019&lt;/access-date&gt;&lt;/record&gt;&lt;/Cite&gt;&lt;/EndNote&gt;</w:instrText>
      </w:r>
      <w:r>
        <w:rPr>
          <w:rFonts w:cs="Times New Roman"/>
        </w:rPr>
        <w:fldChar w:fldCharType="separate"/>
      </w:r>
      <w:r w:rsidR="004D5B2B" w:rsidRPr="004D5B2B">
        <w:rPr>
          <w:rFonts w:cs="Times New Roman"/>
          <w:noProof/>
          <w:vertAlign w:val="superscript"/>
          <w:lang w:val="fr-FR"/>
        </w:rPr>
        <w:t>217</w:t>
      </w:r>
      <w:r>
        <w:rPr>
          <w:rFonts w:cs="Times New Roman"/>
        </w:rPr>
        <w:fldChar w:fldCharType="end"/>
      </w:r>
      <w:r w:rsidRPr="00A812B0">
        <w:rPr>
          <w:rFonts w:cs="Times New Roman"/>
          <w:lang w:val="fr-FR"/>
        </w:rPr>
        <w:t xml:space="preserve"> </w:t>
      </w:r>
    </w:p>
    <w:p w14:paraId="462C0155" w14:textId="41B9E7D7" w:rsidR="004C66DF" w:rsidRPr="002D1DD7" w:rsidRDefault="004C66DF" w:rsidP="004C66DF">
      <w:pPr>
        <w:pStyle w:val="ListParagraph"/>
        <w:numPr>
          <w:ilvl w:val="0"/>
          <w:numId w:val="85"/>
        </w:numPr>
        <w:spacing w:before="0" w:after="160"/>
        <w:jc w:val="both"/>
        <w:rPr>
          <w:rFonts w:cs="Times New Roman"/>
        </w:rPr>
      </w:pPr>
      <w:r w:rsidRPr="002D1DD7">
        <w:rPr>
          <w:rFonts w:cs="Times New Roman"/>
        </w:rPr>
        <w:t>TA517: Avelumab for merkel cell carcinoma (MCC);</w:t>
      </w:r>
      <w:r>
        <w:rPr>
          <w:rFonts w:cs="Times New Roman"/>
        </w:rPr>
        <w:fldChar w:fldCharType="begin"/>
      </w:r>
      <w:r w:rsidR="004D5B2B">
        <w:rPr>
          <w:rFonts w:cs="Times New Roman"/>
        </w:rPr>
        <w:instrText xml:space="preserve"> ADDIN EN.CITE &lt;EndNote&gt;&lt;Cite&gt;&lt;Author&gt;National Institute for Health and Care Excellence (NICE)&lt;/Author&gt;&lt;Year&gt;2017&lt;/Year&gt;&lt;RecNum&gt;8&lt;/RecNum&gt;&lt;DisplayText&gt;&lt;style face="superscript"&gt;218&lt;/style&gt;&lt;/DisplayText&gt;&lt;record&gt;&lt;rec-number&gt;8&lt;/rec-number&gt;&lt;foreign-keys&gt;&lt;key app="EN" db-id="pz0rrdex3zsv21etatn5ww0i0509tzrzexxd" timestamp="1580649514"&gt;8&lt;/key&gt;&lt;/foreign-keys&gt;&lt;ref-type name="Report"&gt;27&lt;/ref-type&gt;&lt;contributors&gt;&lt;authors&gt;&lt;author&gt;National Institute for Health and Care Excellence (NICE),&lt;/author&gt;&lt;/authors&gt;&lt;/contributors&gt;&lt;titles&gt;&lt;title&gt;TA517: Avelumab for treating metastatic merkel cell carcinoma&lt;/title&gt;&lt;/titles&gt;&lt;dates&gt;&lt;year&gt;2017&lt;/year&gt;&lt;/dates&gt;&lt;urls&gt;&lt;related-urls&gt;&lt;url&gt;https://www.nice.org.uk/guidance/ta517&lt;/url&gt;&lt;/related-urls&gt;&lt;/urls&gt;&lt;access-date&gt;27 February 2019&lt;/access-date&gt;&lt;/record&gt;&lt;/Cite&gt;&lt;/EndNote&gt;</w:instrText>
      </w:r>
      <w:r>
        <w:rPr>
          <w:rFonts w:cs="Times New Roman"/>
        </w:rPr>
        <w:fldChar w:fldCharType="separate"/>
      </w:r>
      <w:r w:rsidR="004D5B2B" w:rsidRPr="004D5B2B">
        <w:rPr>
          <w:rFonts w:cs="Times New Roman"/>
          <w:noProof/>
          <w:vertAlign w:val="superscript"/>
        </w:rPr>
        <w:t>218</w:t>
      </w:r>
      <w:r>
        <w:rPr>
          <w:rFonts w:cs="Times New Roman"/>
        </w:rPr>
        <w:fldChar w:fldCharType="end"/>
      </w:r>
    </w:p>
    <w:p w14:paraId="213C04E1" w14:textId="3D0D6316" w:rsidR="004C66DF" w:rsidRPr="002D1DD7" w:rsidRDefault="004C66DF" w:rsidP="004C66DF">
      <w:pPr>
        <w:pStyle w:val="ListParagraph"/>
        <w:numPr>
          <w:ilvl w:val="0"/>
          <w:numId w:val="85"/>
        </w:numPr>
        <w:spacing w:before="0" w:after="160"/>
        <w:jc w:val="both"/>
        <w:rPr>
          <w:rFonts w:cs="Times New Roman"/>
        </w:rPr>
      </w:pPr>
      <w:r w:rsidRPr="00A812B0">
        <w:rPr>
          <w:rFonts w:cs="Times New Roman"/>
          <w:lang w:val="fr-FR"/>
        </w:rPr>
        <w:t>TA529: Crizotinib for ROS1-positive NSCLC.</w:t>
      </w:r>
      <w:r>
        <w:rPr>
          <w:rFonts w:cs="Times New Roman"/>
        </w:rPr>
        <w:fldChar w:fldCharType="begin"/>
      </w:r>
      <w:r w:rsidR="004D5B2B" w:rsidRPr="00354FCE">
        <w:rPr>
          <w:rFonts w:cs="Times New Roman"/>
          <w:lang w:val="fr-FR"/>
        </w:rPr>
        <w:instrText xml:space="preserve"> ADDIN EN.CITE &lt;EndNote&gt;&lt;Cite&gt;&lt;Author&gt;National Institute for Health and Care Excellence (NICE)&lt;/Author&gt;&lt;Year&gt;2018&lt;/Year&gt;&lt;RecNum&gt;9&lt;/RecNum&gt;&lt;DisplayText&gt;&lt;style face="superscript"&gt;219&lt;/style&gt;&lt;/DisplayText&gt;&lt;record&gt;&lt;rec-number&gt;9&lt;/rec-number&gt;&lt;foreign-keys&gt;&lt;key app="EN" db-id="pz0rrdex3zsv21etatn5ww0i0509tzrzexxd" timestamp="1580649514"&gt;9&lt;/key&gt;&lt;/foreign-keys&gt;&lt;ref-type name="Report"&gt;27&lt;/ref-type&gt;&lt;contributors&gt;&lt;authors&gt;&lt;author&gt;National Institute for Health and Care Excellence (NICE),&lt;/author&gt;&lt;/authors&gt;&lt;/contributors&gt;&lt;titles&gt;&lt;title&gt;TA529: Crizotinib for treating ROS1-positive advanced non-small-cell lung cancer&lt;/title&gt;&lt;/titles&gt;&lt;dates&gt;&lt;year&gt;2018&lt;/year&gt;&lt;/dates&gt;&lt;urls&gt;&lt;related-urls&gt;&lt;url&gt;https://www.nice.org.uk/guidance/ta529&lt;/url&gt;&lt;/related-urls&gt;&lt;/urls&gt;&lt;access-date&gt;27 February 2019&lt;/access-date&gt;&lt;/record&gt;&lt;/Cite&gt;&lt;/EndNote&gt;</w:instrText>
      </w:r>
      <w:r>
        <w:rPr>
          <w:rFonts w:cs="Times New Roman"/>
        </w:rPr>
        <w:fldChar w:fldCharType="separate"/>
      </w:r>
      <w:r w:rsidR="004D5B2B" w:rsidRPr="004D5B2B">
        <w:rPr>
          <w:rFonts w:cs="Times New Roman"/>
          <w:noProof/>
          <w:vertAlign w:val="superscript"/>
          <w:lang w:val="fr-FR"/>
        </w:rPr>
        <w:t>219</w:t>
      </w:r>
      <w:r>
        <w:rPr>
          <w:rFonts w:cs="Times New Roman"/>
        </w:rPr>
        <w:fldChar w:fldCharType="end"/>
      </w:r>
      <w:r w:rsidRPr="002D1DD7">
        <w:rPr>
          <w:rFonts w:cs="Times New Roman"/>
        </w:rPr>
        <w:t xml:space="preserve"> </w:t>
      </w:r>
    </w:p>
    <w:p w14:paraId="1693EDE7" w14:textId="77777777" w:rsidR="004C66DF" w:rsidRPr="002D1DD7" w:rsidRDefault="004C66DF" w:rsidP="004C66DF">
      <w:r w:rsidRPr="002D1DD7">
        <w:t xml:space="preserve">For these appraisals there was a clearer trend in the final NICE decision given the greater uncertainty surrounding the OS data. Recommendations for all </w:t>
      </w:r>
      <w:r>
        <w:t>three</w:t>
      </w:r>
      <w:r w:rsidRPr="002D1DD7">
        <w:t xml:space="preserve"> products were restricted to use in the CDF. There was also greater variation in the modelling approaches used to extrapolate OS data.</w:t>
      </w:r>
    </w:p>
    <w:p w14:paraId="441A794E" w14:textId="1CE2BD16" w:rsidR="004C66DF" w:rsidRPr="002D1DD7" w:rsidRDefault="004C66DF" w:rsidP="004C66DF">
      <w:r w:rsidRPr="002D1DD7">
        <w:t>The TA of osimertinib</w:t>
      </w:r>
      <w:r>
        <w:fldChar w:fldCharType="begin"/>
      </w:r>
      <w:r w:rsidR="004D5B2B">
        <w:instrText xml:space="preserve"> ADDIN EN.CITE &lt;EndNote&gt;&lt;Cite&gt;&lt;Author&gt;National Institute for Health and Care Excellence (NICE)&lt;/Author&gt;&lt;Year&gt;2016&lt;/Year&gt;&lt;RecNum&gt;7&lt;/RecNum&gt;&lt;DisplayText&gt;&lt;style face="superscript"&gt;217&lt;/style&gt;&lt;/DisplayText&gt;&lt;record&gt;&lt;rec-number&gt;7&lt;/rec-number&gt;&lt;foreign-keys&gt;&lt;key app="EN" db-id="pz0rrdex3zsv21etatn5ww0i0509tzrzexxd" timestamp="1580649514"&gt;7&lt;/key&gt;&lt;/foreign-keys&gt;&lt;ref-type name="Report"&gt;27&lt;/ref-type&gt;&lt;contributors&gt;&lt;authors&gt;&lt;author&gt;National Institute for Health and Care Excellence (NICE),&lt;/author&gt;&lt;/authors&gt;&lt;/contributors&gt;&lt;titles&gt;&lt;title&gt;TA416: Osimertinib for treating locally advanced or metastatic EGFR T790M mutation-positive non-small-cell lung cancer&lt;/title&gt;&lt;/titles&gt;&lt;dates&gt;&lt;year&gt;2016&lt;/year&gt;&lt;/dates&gt;&lt;urls&gt;&lt;related-urls&gt;&lt;url&gt;https://www.nice.org.uk/guidance/ta416&lt;/url&gt;&lt;/related-urls&gt;&lt;/urls&gt;&lt;access-date&gt;27 February 2019&lt;/access-date&gt;&lt;/record&gt;&lt;/Cite&gt;&lt;/EndNote&gt;</w:instrText>
      </w:r>
      <w:r>
        <w:fldChar w:fldCharType="separate"/>
      </w:r>
      <w:r w:rsidR="004D5B2B" w:rsidRPr="004D5B2B">
        <w:rPr>
          <w:noProof/>
          <w:vertAlign w:val="superscript"/>
        </w:rPr>
        <w:t>217</w:t>
      </w:r>
      <w:r>
        <w:fldChar w:fldCharType="end"/>
      </w:r>
      <w:r w:rsidRPr="002D1DD7">
        <w:t xml:space="preserve"> included data from two studies, neither of which reached median OS at the time of the NICE appraisal. Despite the immaturity of the OS evidence, the extrapolation of OS was still undertaken using conventional parametric survival modelling. The committee concluded that these extrapolations were highly uncertain based on the very immature OS data, making it difficult to determine a robust cost-effectiveness estimate. Osimertinib was subsequently approved for use within the CDF despite the lack of robustness of the ICER estimates. The most critical factor appeared to be the committee’s view that there was plausible potential in the ICER estimates and that the uncertainties in OS would be addressed by an ongoing Phase </w:t>
      </w:r>
      <w:r>
        <w:t>III</w:t>
      </w:r>
      <w:r w:rsidRPr="002D1DD7">
        <w:t xml:space="preserve"> RCT.</w:t>
      </w:r>
    </w:p>
    <w:p w14:paraId="46AC7CA1" w14:textId="79B049DF" w:rsidR="004C66DF" w:rsidRPr="002D1DD7" w:rsidRDefault="004C66DF" w:rsidP="004C66DF">
      <w:r w:rsidRPr="002D1DD7">
        <w:t>For the TA of avelumab,</w:t>
      </w:r>
      <w:r>
        <w:fldChar w:fldCharType="begin"/>
      </w:r>
      <w:r w:rsidR="004D5B2B">
        <w:instrText xml:space="preserve"> ADDIN EN.CITE &lt;EndNote&gt;&lt;Cite&gt;&lt;Author&gt;National Institute for Health and Care Excellence (NICE)&lt;/Author&gt;&lt;Year&gt;2017&lt;/Year&gt;&lt;RecNum&gt;8&lt;/RecNum&gt;&lt;DisplayText&gt;&lt;style face="superscript"&gt;218&lt;/style&gt;&lt;/DisplayText&gt;&lt;record&gt;&lt;rec-number&gt;8&lt;/rec-number&gt;&lt;foreign-keys&gt;&lt;key app="EN" db-id="pz0rrdex3zsv21etatn5ww0i0509tzrzexxd" timestamp="1580649514"&gt;8&lt;/key&gt;&lt;/foreign-keys&gt;&lt;ref-type name="Report"&gt;27&lt;/ref-type&gt;&lt;contributors&gt;&lt;authors&gt;&lt;author&gt;National Institute for Health and Care Excellence (NICE),&lt;/author&gt;&lt;/authors&gt;&lt;/contributors&gt;&lt;titles&gt;&lt;title&gt;TA517: Avelumab for treating metastatic merkel cell carcinoma&lt;/title&gt;&lt;/titles&gt;&lt;dates&gt;&lt;year&gt;2017&lt;/year&gt;&lt;/dates&gt;&lt;urls&gt;&lt;related-urls&gt;&lt;url&gt;https://www.nice.org.uk/guidance/ta517&lt;/url&gt;&lt;/related-urls&gt;&lt;/urls&gt;&lt;access-date&gt;27 February 2019&lt;/access-date&gt;&lt;/record&gt;&lt;/Cite&gt;&lt;/EndNote&gt;</w:instrText>
      </w:r>
      <w:r>
        <w:fldChar w:fldCharType="separate"/>
      </w:r>
      <w:r w:rsidR="004D5B2B" w:rsidRPr="004D5B2B">
        <w:rPr>
          <w:noProof/>
          <w:vertAlign w:val="superscript"/>
        </w:rPr>
        <w:t>218</w:t>
      </w:r>
      <w:r>
        <w:fldChar w:fldCharType="end"/>
      </w:r>
      <w:r w:rsidRPr="002D1DD7">
        <w:t xml:space="preserve"> </w:t>
      </w:r>
      <w:bookmarkStart w:id="344" w:name="_Hlk25734394"/>
      <w:r w:rsidRPr="002D1DD7">
        <w:t xml:space="preserve">the evidence base was derived from two cohorts: (i) treatment-experienced (second-line and further [2L+]) metastatic patients, (JAVELIN Part A) and (ii) treatment-naïve (first-line [1L]) metastatic patients (JAVELIN Part B). </w:t>
      </w:r>
      <w:bookmarkEnd w:id="344"/>
      <w:r w:rsidRPr="002D1DD7">
        <w:t>Each cohort was considered separately reflecting a potentially different position of avelumab in the pathway. However, important differences in data maturity were evident in the 2L+ (median PFS and OS reached) and 1L (mean PFS but not OS reached) positions. Recruitment of 1L patients was also reported to be ongoing, such that more mature survival data were expected over time.</w:t>
      </w:r>
    </w:p>
    <w:p w14:paraId="6235F76A" w14:textId="77777777" w:rsidR="004C66DF" w:rsidRPr="002D1DD7" w:rsidRDefault="004C66DF" w:rsidP="004C66DF">
      <w:r w:rsidRPr="002D1DD7">
        <w:t>For the 1L+ population, the company considered that the data were too immature to be extrapolated. As an alternative to extrapolating based on the immature evidence, the company proposed to estimate the relative improvement with avelumab that might be seen in treatment-naïve patients versus those in the treatment-experienced group. The company elicited a hypothetical hazard ratio (HR) for PFS and OS from clinical experts. The elicited HRs were then applied to the treatment</w:t>
      </w:r>
      <w:r>
        <w:t>-</w:t>
      </w:r>
      <w:r w:rsidRPr="002D1DD7">
        <w:t xml:space="preserve">experienced avelumab PFS and OS curves (based on more mature evidence) to estimate equivalent estimates for treatment-naïve patients receiving avelumab. </w:t>
      </w:r>
    </w:p>
    <w:p w14:paraId="4B618FEC" w14:textId="77777777" w:rsidR="004C66DF" w:rsidRPr="002D1DD7" w:rsidRDefault="004C66DF" w:rsidP="004C66DF">
      <w:r w:rsidRPr="002D1DD7">
        <w:t xml:space="preserve">The ERG expressed significant concerns regarding the approach employed to adjust treatment effectiveness between treatment lines. Despite the immaturity in the survival data, the ERG expressed a preference to use independent survival functions fitted to the available PFS and OS data rather than using elicited HRs. However, the ERG also noted that using the observed survival data </w:t>
      </w:r>
      <w:r>
        <w:t xml:space="preserve">did not </w:t>
      </w:r>
      <w:r w:rsidRPr="002D1DD7">
        <w:t xml:space="preserve">solve the fundamental issue of data immaturity in the treatment-naïve population. </w:t>
      </w:r>
    </w:p>
    <w:p w14:paraId="78DB3895" w14:textId="77777777" w:rsidR="004C66DF" w:rsidRPr="002D1DD7" w:rsidRDefault="004C66DF" w:rsidP="004C66DF">
      <w:r w:rsidRPr="002D1DD7">
        <w:t>For 1L treatment of MCC, NICE recommended avelumab for use in the CDF. This reflected the committee</w:t>
      </w:r>
      <w:r>
        <w:t>’</w:t>
      </w:r>
      <w:r w:rsidRPr="002D1DD7">
        <w:t xml:space="preserve">s concerns regarding the immaturity of the PFS and OS data and the proposed use of clinical assumptions rather than direct evidence. The committee acknowledged that ongoing data collection in JAVELIN part B would reduce the uncertainty about the progression-free and overall survival benefit and that there was plausible potential for first-line use of avelumab to be </w:t>
      </w:r>
      <w:r>
        <w:t>cost-effective</w:t>
      </w:r>
      <w:r w:rsidRPr="002D1DD7">
        <w:t>, if further trial data proved favourable.</w:t>
      </w:r>
    </w:p>
    <w:p w14:paraId="0D16A2E5" w14:textId="77777777" w:rsidR="004C66DF" w:rsidRPr="002D1DD7" w:rsidRDefault="004C66DF" w:rsidP="004C66DF">
      <w:r w:rsidRPr="002D1DD7">
        <w:t>Crizotinib for treating ROS1-positive advanced non-small-cell lung cancer was the only TA in which the evidence of clinical benefit was based on a single clinical study. The clinical-effectiveness evidence was based on a single-arm study (n=53), with a median follow</w:t>
      </w:r>
      <w:r>
        <w:t>-</w:t>
      </w:r>
      <w:r w:rsidRPr="002D1DD7">
        <w:t xml:space="preserve">up of 25.4 months. Median </w:t>
      </w:r>
      <w:r>
        <w:t>OS</w:t>
      </w:r>
      <w:r w:rsidRPr="002D1DD7">
        <w:t xml:space="preserve"> had not been reached at the time of the appraisal. Due to the small study and immature survival data from this study, the company proposed the use of more mature PFS and OS da</w:t>
      </w:r>
      <w:r>
        <w:t>ta from previous RCTs of crizoti</w:t>
      </w:r>
      <w:r w:rsidRPr="002D1DD7">
        <w:t xml:space="preserve">nib for ALK-positive NSCLC as a proxy for ROS1-positive patients. </w:t>
      </w:r>
    </w:p>
    <w:p w14:paraId="3873DAEC" w14:textId="77777777" w:rsidR="004C66DF" w:rsidRPr="002D1DD7" w:rsidRDefault="004C66DF" w:rsidP="004C66DF">
      <w:r w:rsidRPr="002D1DD7">
        <w:t xml:space="preserve">The committee considered the use of proxy data for ROS1-positive patients </w:t>
      </w:r>
      <w:r>
        <w:t xml:space="preserve">from an RCT </w:t>
      </w:r>
      <w:r w:rsidRPr="002D1DD7">
        <w:t>to be more robust than using the available immature ROS1 positive PFS and OS curves</w:t>
      </w:r>
      <w:r>
        <w:t xml:space="preserve"> from a single-arm study</w:t>
      </w:r>
      <w:r w:rsidRPr="002D1DD7">
        <w:t xml:space="preserve">. However, using data from a proxy population was concluded to be far from ideal, making the assessment of clinical and </w:t>
      </w:r>
      <w:r>
        <w:t>cost-effective</w:t>
      </w:r>
      <w:r w:rsidRPr="002D1DD7">
        <w:t xml:space="preserve">ness highly uncertain. Although the committee agreed to explore the proxy data in its decision-making, the committee also stated that the approach was very unusual and should not set a precedent for such an approach in future appraisals.  </w:t>
      </w:r>
    </w:p>
    <w:p w14:paraId="4FA25E42" w14:textId="77777777" w:rsidR="004C66DF" w:rsidRPr="002D1DD7" w:rsidRDefault="004C66DF" w:rsidP="004C66DF">
      <w:r w:rsidRPr="002D1DD7">
        <w:t>Given these uncertainties</w:t>
      </w:r>
      <w:r>
        <w:t>,</w:t>
      </w:r>
      <w:r w:rsidRPr="002D1DD7">
        <w:t xml:space="preserve"> crizotinib was not recommended for routine use in the NHS for patients. However, crizotinib was recommended for use in the CDF. The committee considered that further data on the use of crizotinib within the CDF would help address uncertainties in existing survival data estimates, particularly the comparability of ROS1-positive and ALK-positive advanced NSCLC.</w:t>
      </w:r>
    </w:p>
    <w:p w14:paraId="2306F19B" w14:textId="77777777" w:rsidR="004C66DF" w:rsidRPr="00E46767" w:rsidRDefault="004C66DF" w:rsidP="00E46767">
      <w:pPr>
        <w:rPr>
          <w:b/>
          <w:bCs/>
        </w:rPr>
      </w:pPr>
      <w:bookmarkStart w:id="345" w:name="_Toc33695117"/>
      <w:bookmarkStart w:id="346" w:name="_Toc33696079"/>
      <w:r w:rsidRPr="00E46767">
        <w:rPr>
          <w:b/>
          <w:bCs/>
        </w:rPr>
        <w:t>Issue 2: Challenges of heterogeneous populations</w:t>
      </w:r>
      <w:bookmarkEnd w:id="345"/>
      <w:bookmarkEnd w:id="346"/>
    </w:p>
    <w:p w14:paraId="5C6F82CD" w14:textId="77777777" w:rsidR="004C66DF" w:rsidRPr="002D1DD7" w:rsidRDefault="004C66DF" w:rsidP="004C66DF">
      <w:bookmarkStart w:id="347" w:name="_Hlk26707307"/>
      <w:r w:rsidRPr="002D1DD7">
        <w:t>Due to the nature of basket trials, significant heterogeneity may be present in the study populations enrolled in the trials. The potential importance of accounting for heterogeneity and exploring the cost-effectiveness in subgroups of the target population is acknowledged in the current NICE methods guide.</w:t>
      </w:r>
      <w:r>
        <w:fldChar w:fldCharType="begin"/>
      </w:r>
      <w:r>
        <w:instrText xml:space="preserve"> ADDIN EN.CITE &lt;EndNote&gt;&lt;Cite&gt;&lt;Author&gt;National Institute for Health and Care Excellence (NICE)&lt;/Author&gt;&lt;Year&gt;2013&lt;/Year&gt;&lt;RecNum&gt;3504&lt;/RecNum&gt;&lt;DisplayText&gt;&lt;style face="superscript"&gt;4&lt;/style&gt;&lt;/DisplayText&gt;&lt;record&gt;&lt;rec-number&gt;3504&lt;/rec-number&gt;&lt;foreign-keys&gt;&lt;key app="EN" db-id="dwaevxvazfs2f3ewvzmxrd0k0wasw55p2z2w" timestamp="1579606100"&gt;3504&lt;/key&gt;&lt;/foreign-keys&gt;&lt;ref-type name="Report"&gt;27&lt;/ref-type&gt;&lt;contributors&gt;&lt;authors&gt;&lt;author&gt;National Institute for Health and Care Excellence (NICE),&lt;/author&gt;&lt;/authors&gt;&lt;/contributors&gt;&lt;titles&gt;&lt;title&gt;Guide to the methods of technology appraisal&lt;/title&gt;&lt;/titles&gt;&lt;dates&gt;&lt;year&gt;2013&lt;/year&gt;&lt;/dates&gt;&lt;pub-location&gt;London&lt;/pub-location&gt;&lt;publisher&gt;NICE&lt;/publisher&gt;&lt;urls&gt;&lt;related-urls&gt;&lt;url&gt;https://www.nice.org.uk/process/pmg9/chapter/foreword&lt;/url&gt;&lt;/related-urls&gt;&lt;/urls&gt;&lt;custom4&gt;STEVE&amp;apos;S REFERENCES&lt;/custom4&gt;&lt;/record&gt;&lt;/Cite&gt;&lt;/EndNote&gt;</w:instrText>
      </w:r>
      <w:r>
        <w:fldChar w:fldCharType="separate"/>
      </w:r>
      <w:r w:rsidRPr="006F7FD7">
        <w:rPr>
          <w:noProof/>
          <w:vertAlign w:val="superscript"/>
        </w:rPr>
        <w:t>4</w:t>
      </w:r>
      <w:r>
        <w:fldChar w:fldCharType="end"/>
      </w:r>
      <w:r>
        <w:t xml:space="preserve"> </w:t>
      </w:r>
      <w:r w:rsidRPr="002D1DD7">
        <w:t xml:space="preserve">Differences in the cost-effectiveness and decision uncertainty across these separate subgroups may lead to an </w:t>
      </w:r>
      <w:r w:rsidRPr="002D1DD7">
        <w:rPr>
          <w:color w:val="000000"/>
          <w:shd w:val="clear" w:color="auto" w:fill="FFFFFF"/>
        </w:rPr>
        <w:t xml:space="preserve">optimised recommendation that is more restrictive than the marketing authorisation. </w:t>
      </w:r>
    </w:p>
    <w:p w14:paraId="3CF9D4DB" w14:textId="77777777" w:rsidR="004C66DF" w:rsidRPr="002D1DD7" w:rsidRDefault="004C66DF" w:rsidP="004C66DF">
      <w:r w:rsidRPr="002D1DD7">
        <w:t xml:space="preserve">Although the review of the 10 TAs provided examples of appraisals where heterogeneity had been accounted for within an overall target population, the evidence for the separate subgroups was commonly derived from separate studies relevant to specific subgroups or from studies where there were relatively large numbers </w:t>
      </w:r>
      <w:r>
        <w:t xml:space="preserve">of patients </w:t>
      </w:r>
      <w:r w:rsidRPr="002D1DD7">
        <w:t xml:space="preserve">to undertake meaningful subgroup analysis. These appraisals also typically considered only a small number of subgroups, most commonly based on alternative positions of a new treatment in an existing pathway (i.e. 1st or 2nd line). While these findings are helpful in demonstrating the potential importance of accounting for heterogeneity within a target population, important differences are also expected for </w:t>
      </w:r>
      <w:r>
        <w:t>histology-independent</w:t>
      </w:r>
      <w:r w:rsidRPr="002D1DD7">
        <w:t xml:space="preserve"> appraisals given the potential for a much larger number of potential subsets and smaller sample sizes</w:t>
      </w:r>
      <w:r>
        <w:t xml:space="preserve">. </w:t>
      </w:r>
      <w:r w:rsidRPr="002D1DD7">
        <w:t xml:space="preserve">The review was subsequently broadened to consider select additional TAs where issues related to heterogeneity were considered more similar to those expected for </w:t>
      </w:r>
      <w:r>
        <w:t>histology-independent</w:t>
      </w:r>
      <w:r w:rsidRPr="002D1DD7">
        <w:t xml:space="preserve"> appraisals.</w:t>
      </w:r>
    </w:p>
    <w:p w14:paraId="57679BFD" w14:textId="77777777" w:rsidR="004C66DF" w:rsidRPr="002D1DD7" w:rsidRDefault="004C66DF" w:rsidP="004C66DF">
      <w:r w:rsidRPr="002D1DD7">
        <w:t>The NICE appraisals for neuroendocrine tumours (NET), considered in TA449 (</w:t>
      </w:r>
      <w:r>
        <w:t>e</w:t>
      </w:r>
      <w:r w:rsidRPr="002D1DD7">
        <w:t xml:space="preserve">verolimus and </w:t>
      </w:r>
      <w:r>
        <w:t>s</w:t>
      </w:r>
      <w:r w:rsidRPr="002D1DD7">
        <w:t>unitinib) and TA539 (</w:t>
      </w:r>
      <w:r>
        <w:t>l</w:t>
      </w:r>
      <w:r w:rsidRPr="002D1DD7">
        <w:t xml:space="preserve">utetium), appear particularly relevant. NETs affect different organs, namely </w:t>
      </w:r>
      <w:r>
        <w:t xml:space="preserve">the </w:t>
      </w:r>
      <w:r w:rsidRPr="002D1DD7">
        <w:t>pancreas, gastrointestinal tissue, and lungs. The broad population covered by the marketing authorisation was acknowledged in the NICE scoping documents, which stated that the relevant population was people with progressed unresectable or metastatic neuroendocrine tumours according to the specific locations covered by the existing and anticipated marketing authorisations. However, heterogeneity with the licensed population was recognised and the NICE scope</w:t>
      </w:r>
      <w:r>
        <w:t>s</w:t>
      </w:r>
      <w:r w:rsidRPr="002D1DD7">
        <w:t xml:space="preserve"> also stated that the location of tumour should be considered as a basis for identifying possible subgroups.</w:t>
      </w:r>
    </w:p>
    <w:p w14:paraId="3CD82F39" w14:textId="77777777" w:rsidR="004C66DF" w:rsidRPr="002D1DD7" w:rsidRDefault="004C66DF" w:rsidP="004C66DF">
      <w:r w:rsidRPr="002D1DD7">
        <w:t>In both TAs, the NICE</w:t>
      </w:r>
      <w:r>
        <w:t xml:space="preserve"> c</w:t>
      </w:r>
      <w:r w:rsidRPr="002D1DD7">
        <w:t>ommittee considered each organ separately and issue</w:t>
      </w:r>
      <w:r>
        <w:t>d</w:t>
      </w:r>
      <w:r w:rsidRPr="002D1DD7">
        <w:t xml:space="preserve"> optimised recommendations based on tumour site. For example, everolimus and sunitinib were both recommended for pancreatic NET, while everolimus only was recommended for gastrointestinal and lung NET. The optimised recommendations were possible because the companies either submitted separate evidence for the different sites or provided subgroup analysis related to specific organs. In these appraisals the Committee acknowledged the importance of considering each organ separately, noting that prognosis, quality of life and cost of comparator therapies were likely to differ, impacting the cost-effectiveness estimates. </w:t>
      </w:r>
    </w:p>
    <w:p w14:paraId="4C987047" w14:textId="77777777" w:rsidR="004C66DF" w:rsidRPr="002D1DD7" w:rsidRDefault="004C66DF" w:rsidP="004C66DF">
      <w:r w:rsidRPr="002D1DD7">
        <w:t xml:space="preserve">A similar example is found in the appraisal of denosumab for the prevention of skeletal-related events in adults with bone metastases from solid tumours (TA265). The scope of this appraisal covered a broad population characterised by a wide range of histologies, as almost any form of solid tumour can metastasise to the bone. Again, the NICE scope acknowledged possible heterogeneity within the licensed population and suggested that the appraisal should also consider patient subgroups based on location or type of primary cancer. </w:t>
      </w:r>
    </w:p>
    <w:p w14:paraId="0F183414" w14:textId="77777777" w:rsidR="004C66DF" w:rsidRPr="002D1DD7" w:rsidRDefault="004C66DF" w:rsidP="004C66DF">
      <w:r w:rsidRPr="002D1DD7">
        <w:t>Separate studies were available for TA265 for different tumour types, thus allowing for separate clinical and cost-effectiveness analyses to be performed. For example, the company submitted a model assessing the cost-effectiveness of denosumab in the three different patient groups; breast, prostate, and other solid tumours. Different risks, such as skeletal-related adverse events and mortality, and utility values were assigned to reflect differences between cancer types. The separate analyses led again to separate recommendations. Denosumab was approved for routine use for adults with bone metastases from breast cancer and other solid tumours</w:t>
      </w:r>
      <w:r>
        <w:t>,</w:t>
      </w:r>
      <w:r w:rsidRPr="002D1DD7">
        <w:t xml:space="preserve"> but not from prostate cancer. </w:t>
      </w:r>
    </w:p>
    <w:p w14:paraId="2E92A667" w14:textId="77777777" w:rsidR="004C66DF" w:rsidRPr="00E46767" w:rsidRDefault="004C66DF" w:rsidP="00E46767">
      <w:pPr>
        <w:rPr>
          <w:b/>
          <w:bCs/>
        </w:rPr>
      </w:pPr>
      <w:bookmarkStart w:id="348" w:name="_Ref27558441"/>
      <w:bookmarkStart w:id="349" w:name="_Toc33695118"/>
      <w:bookmarkStart w:id="350" w:name="_Toc33696080"/>
      <w:bookmarkEnd w:id="347"/>
      <w:r w:rsidRPr="00E46767">
        <w:rPr>
          <w:b/>
          <w:bCs/>
        </w:rPr>
        <w:t>Issue 3: Challenges of developing a counterfactual</w:t>
      </w:r>
      <w:bookmarkEnd w:id="348"/>
      <w:bookmarkEnd w:id="349"/>
      <w:bookmarkEnd w:id="350"/>
      <w:r w:rsidRPr="00E46767">
        <w:rPr>
          <w:b/>
          <w:bCs/>
        </w:rPr>
        <w:t xml:space="preserve"> </w:t>
      </w:r>
    </w:p>
    <w:p w14:paraId="4B068DAA" w14:textId="4BE4CEF1" w:rsidR="004C66DF" w:rsidRPr="002D1DD7" w:rsidRDefault="004C66DF" w:rsidP="004C66DF">
      <w:r w:rsidRPr="002D1DD7">
        <w:t xml:space="preserve">Company submissions supporting histology indications will frequently, if not always, present data collected as part of </w:t>
      </w:r>
      <w:r>
        <w:t>single-arm studies</w:t>
      </w:r>
      <w:r w:rsidRPr="002D1DD7">
        <w:t>. The lack of a direct comparator creates challenges as estimates of comparative effectiveness are essential to perform robust cost-effectiveness assessments. A previous review comparing the results from single</w:t>
      </w:r>
      <w:r>
        <w:t>-</w:t>
      </w:r>
      <w:r w:rsidRPr="002D1DD7">
        <w:t>arm studies and randomised designs, led the authors to conclude that single</w:t>
      </w:r>
      <w:r>
        <w:t>-</w:t>
      </w:r>
      <w:r w:rsidRPr="002D1DD7">
        <w:t>arm studies can only be considered to provide reliable indicators of treatment benefit when the disease natural history is very well known, the patient population is homogenous, and the control (standard care) treatment has little impact on outcomes.</w:t>
      </w:r>
      <w:r>
        <w:fldChar w:fldCharType="begin"/>
      </w:r>
      <w:r w:rsidR="004D5B2B">
        <w:instrText xml:space="preserve"> ADDIN EN.CITE &lt;EndNote&gt;&lt;Cite&gt;&lt;Author&gt;Hettle&lt;/Author&gt;&lt;Year&gt;2017&lt;/Year&gt;&lt;RecNum&gt;1177&lt;/RecNum&gt;&lt;DisplayText&gt;&lt;style face="superscript"&gt;190&lt;/style&gt;&lt;/DisplayText&gt;&lt;record&gt;&lt;rec-number&gt;1177&lt;/rec-number&gt;&lt;foreign-keys&gt;&lt;key app="EN" db-id="dwaevxvazfs2f3ewvzmxrd0k0wasw55p2z2w" timestamp="1557310735"&gt;1177&lt;/key&gt;&lt;/foreign-keys&gt;&lt;ref-type name="Journal Article"&gt;17&lt;/ref-type&gt;&lt;contributors&gt;&lt;authors&gt;&lt;author&gt;Hettle, R.&lt;/author&gt;&lt;author&gt;Corbett, M.&lt;/author&gt;&lt;author&gt;Hinde, S.&lt;/author&gt;&lt;author&gt;Hodgson, R.&lt;/author&gt;&lt;author&gt;Jones-Diette, J.&lt;/author&gt;&lt;author&gt;Woolacott, N.&lt;/author&gt;&lt;author&gt;Palmer, S.&lt;/author&gt;&lt;/authors&gt;&lt;/contributors&gt;&lt;titles&gt;&lt;title&gt;The assessment and appraisal of regenerative medicines and cell therapy products: an exploration of methods for review, economic evaluation and appraisal&lt;/title&gt;&lt;secondary-title&gt;Health Technology Assessment&lt;/secondary-title&gt;&lt;short-title&gt;The assessment and appraisal of regenerative medicines and cell therapy products: an exploration of methods for review, economic evaluation and appraisal&lt;/short-title&gt;&lt;/titles&gt;&lt;periodical&gt;&lt;full-title&gt;Health Technology Assessment&lt;/full-title&gt;&lt;/periodical&gt;&lt;pages&gt;1-+&lt;/pages&gt;&lt;volume&gt;21&lt;/volume&gt;&lt;number&gt;7&lt;/number&gt;&lt;keywords&gt;&lt;keyword&gt;$$exclude title KC&lt;/keyword&gt;&lt;keyword&gt;$$Citation search&lt;/keyword&gt;&lt;/keywords&gt;&lt;dates&gt;&lt;year&gt;2017&lt;/year&gt;&lt;pub-dates&gt;&lt;date&gt;Feb&lt;/date&gt;&lt;/pub-dates&gt;&lt;/dates&gt;&lt;isbn&gt;1366-5278&lt;/isbn&gt;&lt;accession-num&gt;WOS:000395388600001&lt;/accession-num&gt;&lt;urls&gt;&lt;/urls&gt;&lt;electronic-resource-num&gt;10.3310/hta21070&lt;/electronic-resource-num&gt;&lt;research-notes&gt;&amp;lt;Go to ISI&amp;gt;://WOS:000395388600001&lt;/research-notes&gt;&lt;/record&gt;&lt;/Cite&gt;&lt;/EndNote&gt;</w:instrText>
      </w:r>
      <w:r>
        <w:fldChar w:fldCharType="separate"/>
      </w:r>
      <w:r w:rsidR="004D5B2B" w:rsidRPr="004D5B2B">
        <w:rPr>
          <w:noProof/>
          <w:vertAlign w:val="superscript"/>
        </w:rPr>
        <w:t>190</w:t>
      </w:r>
      <w:r>
        <w:fldChar w:fldCharType="end"/>
      </w:r>
      <w:r w:rsidRPr="002D1DD7">
        <w:t xml:space="preserve"> Current guidance on the selection of a counterfactual and methods to deal with possible biases has also been reported to be limited.</w:t>
      </w:r>
      <w:r>
        <w:fldChar w:fldCharType="begin"/>
      </w:r>
      <w:r w:rsidR="004D5B2B">
        <w:instrText xml:space="preserve"> ADDIN EN.CITE &lt;EndNote&gt;&lt;Cite&gt;&lt;Author&gt;Hatswell&lt;/Author&gt;&lt;Year&gt;2017&lt;/Year&gt;&lt;RecNum&gt;10&lt;/RecNum&gt;&lt;DisplayText&gt;&lt;style face="superscript"&gt;220&lt;/style&gt;&lt;/DisplayText&gt;&lt;record&gt;&lt;rec-number&gt;10&lt;/rec-number&gt;&lt;foreign-keys&gt;&lt;key app="EN" db-id="pz0rrdex3zsv21etatn5ww0i0509tzrzexxd" timestamp="1580649514"&gt;10&lt;/key&gt;&lt;/foreign-keys&gt;&lt;ref-type name="Journal Article"&gt;17&lt;/ref-type&gt;&lt;contributors&gt;&lt;authors&gt;&lt;author&gt;Hatswell, Anthony J&lt;/author&gt;&lt;author&gt;Freemantle, Nick&lt;/author&gt;&lt;author&gt;Baio, Gianluca %J Pharmacoeconomics&lt;/author&gt;&lt;/authors&gt;&lt;/contributors&gt;&lt;titles&gt;&lt;title&gt;Economic evaluations of pharmaceuticals granted a marketing authorisation without the results of randomised trials: a systematic review and taxonomy&lt;/title&gt;&lt;/titles&gt;&lt;pages&gt;163-176&lt;/pages&gt;&lt;volume&gt;35&lt;/volume&gt;&lt;number&gt;2&lt;/number&gt;&lt;dates&gt;&lt;year&gt;2017&lt;/year&gt;&lt;/dates&gt;&lt;isbn&gt;1170-7690&lt;/isbn&gt;&lt;urls&gt;&lt;/urls&gt;&lt;/record&gt;&lt;/Cite&gt;&lt;/EndNote&gt;</w:instrText>
      </w:r>
      <w:r>
        <w:fldChar w:fldCharType="separate"/>
      </w:r>
      <w:r w:rsidR="004D5B2B" w:rsidRPr="004D5B2B">
        <w:rPr>
          <w:noProof/>
          <w:vertAlign w:val="superscript"/>
        </w:rPr>
        <w:t>220</w:t>
      </w:r>
      <w:r>
        <w:fldChar w:fldCharType="end"/>
      </w:r>
    </w:p>
    <w:p w14:paraId="5575A133" w14:textId="5C226C30" w:rsidR="004C66DF" w:rsidRPr="002D1DD7" w:rsidRDefault="004C66DF" w:rsidP="004C66DF">
      <w:r w:rsidRPr="002D1DD7">
        <w:t xml:space="preserve">Hatswell </w:t>
      </w:r>
      <w:r w:rsidRPr="005D4179">
        <w:rPr>
          <w:i/>
          <w:iCs/>
        </w:rPr>
        <w:t>et al</w:t>
      </w:r>
      <w:r w:rsidRPr="002D1DD7">
        <w:t>.</w:t>
      </w:r>
      <w:r>
        <w:fldChar w:fldCharType="begin"/>
      </w:r>
      <w:r w:rsidR="004D5B2B">
        <w:instrText xml:space="preserve"> ADDIN EN.CITE &lt;EndNote&gt;&lt;Cite&gt;&lt;Author&gt;Hatswell&lt;/Author&gt;&lt;Year&gt;2017&lt;/Year&gt;&lt;RecNum&gt;10&lt;/RecNum&gt;&lt;DisplayText&gt;&lt;style face="superscript"&gt;220&lt;/style&gt;&lt;/DisplayText&gt;&lt;record&gt;&lt;rec-number&gt;10&lt;/rec-number&gt;&lt;foreign-keys&gt;&lt;key app="EN" db-id="pz0rrdex3zsv21etatn5ww0i0509tzrzexxd" timestamp="1580649514"&gt;10&lt;/key&gt;&lt;/foreign-keys&gt;&lt;ref-type name="Journal Article"&gt;17&lt;/ref-type&gt;&lt;contributors&gt;&lt;authors&gt;&lt;author&gt;Hatswell, Anthony J&lt;/author&gt;&lt;author&gt;Freemantle, Nick&lt;/author&gt;&lt;author&gt;Baio, Gianluca %J Pharmacoeconomics&lt;/author&gt;&lt;/authors&gt;&lt;/contributors&gt;&lt;titles&gt;&lt;title&gt;Economic evaluations of pharmaceuticals granted a marketing authorisation without the results of randomised trials: a systematic review and taxonomy&lt;/title&gt;&lt;/titles&gt;&lt;pages&gt;163-176&lt;/pages&gt;&lt;volume&gt;35&lt;/volume&gt;&lt;number&gt;2&lt;/number&gt;&lt;dates&gt;&lt;year&gt;2017&lt;/year&gt;&lt;/dates&gt;&lt;isbn&gt;1170-7690&lt;/isbn&gt;&lt;urls&gt;&lt;/urls&gt;&lt;/record&gt;&lt;/Cite&gt;&lt;/EndNote&gt;</w:instrText>
      </w:r>
      <w:r>
        <w:fldChar w:fldCharType="separate"/>
      </w:r>
      <w:r w:rsidR="004D5B2B" w:rsidRPr="004D5B2B">
        <w:rPr>
          <w:noProof/>
          <w:vertAlign w:val="superscript"/>
        </w:rPr>
        <w:t>220</w:t>
      </w:r>
      <w:r>
        <w:fldChar w:fldCharType="end"/>
      </w:r>
      <w:r w:rsidRPr="002D1DD7">
        <w:t xml:space="preserve"> previously performed a review and developed a taxonomy of approaches used in economic modelling for drugs, which were previously licensed by FDA or EMA without RCT data. The most commonly identified approach used a historical control, though there was variation in the sources of comparison data (i.e. single trial, meta-analysis of multiple trials, registry data or expert opinion). Importantly, the review highlighted that most submissions did not try to control for differences between trials, thus performing a “naïve” comparison. </w:t>
      </w:r>
    </w:p>
    <w:p w14:paraId="1CB617B1" w14:textId="4DF871B0" w:rsidR="004C66DF" w:rsidRPr="002D1DD7" w:rsidRDefault="004C66DF" w:rsidP="004C66DF">
      <w:r w:rsidRPr="002D1DD7">
        <w:t xml:space="preserve">Naïve comparisons are prone to bias in </w:t>
      </w:r>
      <w:r>
        <w:t xml:space="preserve">the </w:t>
      </w:r>
      <w:r w:rsidRPr="002D1DD7">
        <w:t>presence of systematic differences between patients across clinical studies. Several approaches have been proposed to control for observable (and unobservable) differences between non-randomised comparisons by balancing baseline covariates or matching patients. These methods are outlined in a series of NICE Decision Support Unit (DSU) Technical Support Documents (TSDs)</w:t>
      </w:r>
      <w:r>
        <w:fldChar w:fldCharType="begin"/>
      </w:r>
      <w:r w:rsidR="004D5B2B">
        <w:instrText xml:space="preserve"> ADDIN EN.CITE &lt;EndNote&gt;&lt;Cite&gt;&lt;Author&gt;Faria&lt;/Author&gt;&lt;Year&gt;2015&lt;/Year&gt;&lt;RecNum&gt;11&lt;/RecNum&gt;&lt;DisplayText&gt;&lt;style face="superscript"&gt;221&lt;/style&gt;&lt;/DisplayText&gt;&lt;record&gt;&lt;rec-number&gt;11&lt;/rec-number&gt;&lt;foreign-keys&gt;&lt;key app="EN" db-id="pz0rrdex3zsv21etatn5ww0i0509tzrzexxd" timestamp="1580649514"&gt;11&lt;/key&gt;&lt;/foreign-keys&gt;&lt;ref-type name="Journal Article"&gt;17&lt;/ref-type&gt;&lt;contributors&gt;&lt;authors&gt;&lt;author&gt;Faria, R&lt;/author&gt;&lt;author&gt;Hernandez Alava, M&lt;/author&gt;&lt;author&gt;Manca, A&lt;/author&gt;&lt;author&gt;Wailoo, A %J Sheffield: NICE Decision Support Unit&lt;/author&gt;&lt;/authors&gt;&lt;/contributors&gt;&lt;titles&gt;&lt;title&gt;NICE DSU technical support document 17: the use of observational data to inform estimates of treatment effectiveness for technology appraisal: methods for comparative individual patient data&lt;/title&gt;&lt;/titles&gt;&lt;dates&gt;&lt;year&gt;2015&lt;/year&gt;&lt;/dates&gt;&lt;urls&gt;&lt;/urls&gt;&lt;/record&gt;&lt;/Cite&gt;&lt;/EndNote&gt;</w:instrText>
      </w:r>
      <w:r>
        <w:fldChar w:fldCharType="separate"/>
      </w:r>
      <w:r w:rsidR="004D5B2B" w:rsidRPr="004D5B2B">
        <w:rPr>
          <w:noProof/>
          <w:vertAlign w:val="superscript"/>
        </w:rPr>
        <w:t>221</w:t>
      </w:r>
      <w:r>
        <w:fldChar w:fldCharType="end"/>
      </w:r>
      <w:r w:rsidRPr="005D4179">
        <w:rPr>
          <w:vertAlign w:val="superscript"/>
        </w:rPr>
        <w:t>,</w:t>
      </w:r>
      <w:r>
        <w:fldChar w:fldCharType="begin"/>
      </w:r>
      <w:r w:rsidR="004D5B2B">
        <w:instrText xml:space="preserve"> ADDIN EN.CITE &lt;EndNote&gt;&lt;Cite&gt;&lt;Author&gt;Phillippo&lt;/Author&gt;&lt;Year&gt;2016&lt;/Year&gt;&lt;RecNum&gt;3470&lt;/RecNum&gt;&lt;DisplayText&gt;&lt;style face="superscript"&gt;158&lt;/style&gt;&lt;/DisplayText&gt;&lt;record&gt;&lt;rec-number&gt;3470&lt;/rec-number&gt;&lt;foreign-keys&gt;&lt;key app="EN" db-id="dwaevxvazfs2f3ewvzmxrd0k0wasw55p2z2w" timestamp="1573724955"&gt;3470&lt;/key&gt;&lt;/foreign-keys&gt;&lt;ref-type name="Report"&gt;27&lt;/ref-type&gt;&lt;contributors&gt;&lt;authors&gt;&lt;author&gt;Phillippo, D. M., A. E. Ades, S. Dias, S. Palmer, K. R. Abrams and N. J. Welton. &lt;/author&gt;&lt;/authors&gt;&lt;/contributors&gt;&lt;titles&gt;&lt;title&gt;NICE DSU Technical Support Document 18: Methods for population-adjusted indirect comparisons in submissions to NICE&lt;/title&gt;&lt;/titles&gt;&lt;dates&gt;&lt;year&gt;2016&lt;/year&gt;&lt;/dates&gt;&lt;pub-location&gt;Sheffield, UK, ScHARR, University of Sheffield.&lt;/pub-location&gt;&lt;urls&gt;&lt;related-urls&gt;&lt;url&gt;https://scharr.dept.shef.ac.uk/nicedsu/wp-content/uploads/sites/7/2017/05/Population-adjustment-TSD-FINAL.pdf&lt;/url&gt;&lt;/related-urls&gt;&lt;/urls&gt;&lt;/record&gt;&lt;/Cite&gt;&lt;/EndNote&gt;</w:instrText>
      </w:r>
      <w:r>
        <w:fldChar w:fldCharType="separate"/>
      </w:r>
      <w:r w:rsidR="004D5B2B" w:rsidRPr="004D5B2B">
        <w:rPr>
          <w:noProof/>
          <w:vertAlign w:val="superscript"/>
        </w:rPr>
        <w:t>158</w:t>
      </w:r>
      <w:r>
        <w:fldChar w:fldCharType="end"/>
      </w:r>
      <w:r w:rsidRPr="002D1DD7">
        <w:t xml:space="preserve"> and a related report.</w:t>
      </w:r>
      <w:r>
        <w:fldChar w:fldCharType="begin"/>
      </w:r>
      <w:r w:rsidR="004D5B2B">
        <w:instrText xml:space="preserve"> ADDIN EN.CITE &lt;EndNote&gt;&lt;Cite&gt;&lt;Author&gt;Bell&lt;/Author&gt;&lt;Year&gt;2016&lt;/Year&gt;&lt;RecNum&gt;13&lt;/RecNum&gt;&lt;DisplayText&gt;&lt;style face="superscript"&gt;222&lt;/style&gt;&lt;/DisplayText&gt;&lt;record&gt;&lt;rec-number&gt;13&lt;/rec-number&gt;&lt;foreign-keys&gt;&lt;key app="EN" db-id="pz0rrdex3zsv21etatn5ww0i0509tzrzexxd" timestamp="1580649514"&gt;13&lt;/key&gt;&lt;/foreign-keys&gt;&lt;ref-type name="Journal Article"&gt;17&lt;/ref-type&gt;&lt;contributors&gt;&lt;authors&gt;&lt;author&gt;Bell, H&lt;/author&gt;&lt;author&gt;Wailoo, AJ&lt;/author&gt;&lt;author&gt;Hernandez, M&lt;/author&gt;&lt;author&gt;Grieve, R&lt;/author&gt;&lt;author&gt;Faria, R&lt;/author&gt;&lt;author&gt;Gibson, L&lt;/author&gt;&lt;author&gt;Grimm, S %J NICE DSU technical support document&lt;/author&gt;&lt;/authors&gt;&lt;/contributors&gt;&lt;titles&gt;&lt;title&gt;The use of real world data for the estimation of treatment effects in NICE decision making&lt;/title&gt;&lt;/titles&gt;&lt;dates&gt;&lt;year&gt;2016&lt;/year&gt;&lt;/dates&gt;&lt;urls&gt;&lt;/urls&gt;&lt;/record&gt;&lt;/Cite&gt;&lt;/EndNote&gt;</w:instrText>
      </w:r>
      <w:r>
        <w:fldChar w:fldCharType="separate"/>
      </w:r>
      <w:r w:rsidR="004D5B2B" w:rsidRPr="004D5B2B">
        <w:rPr>
          <w:noProof/>
          <w:vertAlign w:val="superscript"/>
        </w:rPr>
        <w:t>222</w:t>
      </w:r>
      <w:r>
        <w:fldChar w:fldCharType="end"/>
      </w:r>
      <w:r w:rsidRPr="002D1DD7">
        <w:t xml:space="preserve"> TSD17</w:t>
      </w:r>
      <w:bookmarkStart w:id="351" w:name="_Hlk30487337"/>
      <w:r>
        <w:fldChar w:fldCharType="begin"/>
      </w:r>
      <w:r w:rsidR="004D5B2B">
        <w:instrText xml:space="preserve"> ADDIN EN.CITE &lt;EndNote&gt;&lt;Cite&gt;&lt;Author&gt;Faria&lt;/Author&gt;&lt;Year&gt;2015&lt;/Year&gt;&lt;RecNum&gt;11&lt;/RecNum&gt;&lt;DisplayText&gt;&lt;style face="superscript"&gt;221&lt;/style&gt;&lt;/DisplayText&gt;&lt;record&gt;&lt;rec-number&gt;11&lt;/rec-number&gt;&lt;foreign-keys&gt;&lt;key app="EN" db-id="pz0rrdex3zsv21etatn5ww0i0509tzrzexxd" timestamp="1580649514"&gt;11&lt;/key&gt;&lt;/foreign-keys&gt;&lt;ref-type name="Journal Article"&gt;17&lt;/ref-type&gt;&lt;contributors&gt;&lt;authors&gt;&lt;author&gt;Faria, R&lt;/author&gt;&lt;author&gt;Hernandez Alava, M&lt;/author&gt;&lt;author&gt;Manca, A&lt;/author&gt;&lt;author&gt;Wailoo, A %J Sheffield: NICE Decision Support Unit&lt;/author&gt;&lt;/authors&gt;&lt;/contributors&gt;&lt;titles&gt;&lt;title&gt;NICE DSU technical support document 17: the use of observational data to inform estimates of treatment effectiveness for technology appraisal: methods for comparative individual patient data&lt;/title&gt;&lt;/titles&gt;&lt;dates&gt;&lt;year&gt;2015&lt;/year&gt;&lt;/dates&gt;&lt;urls&gt;&lt;/urls&gt;&lt;/record&gt;&lt;/Cite&gt;&lt;/EndNote&gt;</w:instrText>
      </w:r>
      <w:r>
        <w:fldChar w:fldCharType="separate"/>
      </w:r>
      <w:r w:rsidR="004D5B2B" w:rsidRPr="004D5B2B">
        <w:rPr>
          <w:noProof/>
          <w:vertAlign w:val="superscript"/>
        </w:rPr>
        <w:t>221</w:t>
      </w:r>
      <w:r>
        <w:fldChar w:fldCharType="end"/>
      </w:r>
      <w:r w:rsidRPr="002D1DD7">
        <w:t xml:space="preserve"> </w:t>
      </w:r>
      <w:bookmarkEnd w:id="351"/>
      <w:r w:rsidRPr="002D1DD7">
        <w:t>provides practical guidance on methods used to analyse treatment effect data from non-randomised studies, including an algorithm for method selection. The methods reviewed are separated according to the assumption of selection on observables (such as regression adjustment, propensity score matching), or selection on unobservables (</w:t>
      </w:r>
      <w:r>
        <w:t>i</w:t>
      </w:r>
      <w:r w:rsidRPr="002D1DD7">
        <w:t xml:space="preserve">nstrumental </w:t>
      </w:r>
      <w:r>
        <w:t>v</w:t>
      </w:r>
      <w:r w:rsidRPr="002D1DD7">
        <w:t xml:space="preserve">ariable and </w:t>
      </w:r>
      <w:r>
        <w:t>p</w:t>
      </w:r>
      <w:r w:rsidRPr="002D1DD7">
        <w:t xml:space="preserve">anel </w:t>
      </w:r>
      <w:r>
        <w:t>d</w:t>
      </w:r>
      <w:r w:rsidRPr="002D1DD7">
        <w:t>ata methods). Natural Experiment designs are also considered, utilising difference in differences and regression discontinuity approaches. A subsequent DSU report builds on TSD17 by assessing current guidance by NICE on the use of Real World Data (RWD)</w:t>
      </w:r>
      <w:r>
        <w:t>,</w:t>
      </w:r>
      <w:r>
        <w:fldChar w:fldCharType="begin"/>
      </w:r>
      <w:r w:rsidR="004D5B2B">
        <w:instrText xml:space="preserve"> ADDIN EN.CITE &lt;EndNote&gt;&lt;Cite&gt;&lt;Author&gt;Bell&lt;/Author&gt;&lt;Year&gt;2016&lt;/Year&gt;&lt;RecNum&gt;13&lt;/RecNum&gt;&lt;DisplayText&gt;&lt;style face="superscript"&gt;222&lt;/style&gt;&lt;/DisplayText&gt;&lt;record&gt;&lt;rec-number&gt;13&lt;/rec-number&gt;&lt;foreign-keys&gt;&lt;key app="EN" db-id="pz0rrdex3zsv21etatn5ww0i0509tzrzexxd" timestamp="1580649514"&gt;13&lt;/key&gt;&lt;/foreign-keys&gt;&lt;ref-type name="Journal Article"&gt;17&lt;/ref-type&gt;&lt;contributors&gt;&lt;authors&gt;&lt;author&gt;Bell, H&lt;/author&gt;&lt;author&gt;Wailoo, AJ&lt;/author&gt;&lt;author&gt;Hernandez, M&lt;/author&gt;&lt;author&gt;Grieve, R&lt;/author&gt;&lt;author&gt;Faria, R&lt;/author&gt;&lt;author&gt;Gibson, L&lt;/author&gt;&lt;author&gt;Grimm, S %J NICE DSU technical support document&lt;/author&gt;&lt;/authors&gt;&lt;/contributors&gt;&lt;titles&gt;&lt;title&gt;The use of real world data for the estimation of treatment effects in NICE decision making&lt;/title&gt;&lt;/titles&gt;&lt;dates&gt;&lt;year&gt;2016&lt;/year&gt;&lt;/dates&gt;&lt;urls&gt;&lt;/urls&gt;&lt;/record&gt;&lt;/Cite&gt;&lt;/EndNote&gt;</w:instrText>
      </w:r>
      <w:r>
        <w:fldChar w:fldCharType="separate"/>
      </w:r>
      <w:r w:rsidR="004D5B2B" w:rsidRPr="004D5B2B">
        <w:rPr>
          <w:noProof/>
          <w:vertAlign w:val="superscript"/>
        </w:rPr>
        <w:t>222</w:t>
      </w:r>
      <w:r>
        <w:fldChar w:fldCharType="end"/>
      </w:r>
      <w:r>
        <w:t xml:space="preserve"> a</w:t>
      </w:r>
      <w:r w:rsidRPr="002D1DD7">
        <w:t>nother situation where the analys</w:t>
      </w:r>
      <w:r>
        <w:t>e</w:t>
      </w:r>
      <w:r w:rsidRPr="002D1DD7">
        <w:t>s are particularly prone to selection bias. Finally, TSD18</w:t>
      </w:r>
      <w:r>
        <w:fldChar w:fldCharType="begin"/>
      </w:r>
      <w:r w:rsidR="004D5B2B">
        <w:instrText xml:space="preserve"> ADDIN EN.CITE &lt;EndNote&gt;&lt;Cite&gt;&lt;Author&gt;Phillippo&lt;/Author&gt;&lt;Year&gt;2016&lt;/Year&gt;&lt;RecNum&gt;3470&lt;/RecNum&gt;&lt;DisplayText&gt;&lt;style face="superscript"&gt;158&lt;/style&gt;&lt;/DisplayText&gt;&lt;record&gt;&lt;rec-number&gt;3470&lt;/rec-number&gt;&lt;foreign-keys&gt;&lt;key app="EN" db-id="dwaevxvazfs2f3ewvzmxrd0k0wasw55p2z2w" timestamp="1573724955"&gt;3470&lt;/key&gt;&lt;/foreign-keys&gt;&lt;ref-type name="Report"&gt;27&lt;/ref-type&gt;&lt;contributors&gt;&lt;authors&gt;&lt;author&gt;Phillippo, D. M., A. E. Ades, S. Dias, S. Palmer, K. R. Abrams and N. J. Welton. &lt;/author&gt;&lt;/authors&gt;&lt;/contributors&gt;&lt;titles&gt;&lt;title&gt;NICE DSU Technical Support Document 18: Methods for population-adjusted indirect comparisons in submissions to NICE&lt;/title&gt;&lt;/titles&gt;&lt;dates&gt;&lt;year&gt;2016&lt;/year&gt;&lt;/dates&gt;&lt;pub-location&gt;Sheffield, UK, ScHARR, University of Sheffield.&lt;/pub-location&gt;&lt;urls&gt;&lt;related-urls&gt;&lt;url&gt;https://scharr.dept.shef.ac.uk/nicedsu/wp-content/uploads/sites/7/2017/05/Population-adjustment-TSD-FINAL.pdf&lt;/url&gt;&lt;/related-urls&gt;&lt;/urls&gt;&lt;/record&gt;&lt;/Cite&gt;&lt;/EndNote&gt;</w:instrText>
      </w:r>
      <w:r>
        <w:fldChar w:fldCharType="separate"/>
      </w:r>
      <w:r w:rsidR="004D5B2B" w:rsidRPr="004D5B2B">
        <w:rPr>
          <w:noProof/>
          <w:vertAlign w:val="superscript"/>
        </w:rPr>
        <w:t>158</w:t>
      </w:r>
      <w:r>
        <w:fldChar w:fldCharType="end"/>
      </w:r>
      <w:r w:rsidRPr="002D1DD7">
        <w:t xml:space="preserve"> considers the use of novel methodologies for improving indirect comparison</w:t>
      </w:r>
      <w:r>
        <w:t>s</w:t>
      </w:r>
      <w:r w:rsidRPr="002D1DD7">
        <w:t xml:space="preserve"> whilst controlling for imbalances in baseline characteristics across different studies, namely “Matching-adjusted Indirect Comparisons” (MAICs), and “Simulated Treatment Comparisons” (STCs).</w:t>
      </w:r>
    </w:p>
    <w:p w14:paraId="10B7A5F0" w14:textId="40F772DF" w:rsidR="004C66DF" w:rsidRPr="002D1DD7" w:rsidRDefault="004C66DF" w:rsidP="004C66DF">
      <w:r w:rsidRPr="002D1DD7">
        <w:t xml:space="preserve">The approach used to estimate the counterfactual in the 10 NICE TAs included in the review was classified according to the taxonomy developed by Hatswell </w:t>
      </w:r>
      <w:r w:rsidRPr="009A5000">
        <w:rPr>
          <w:i/>
          <w:iCs/>
        </w:rPr>
        <w:t>et al</w:t>
      </w:r>
      <w:r w:rsidRPr="002D1DD7">
        <w:t>.</w:t>
      </w:r>
      <w:r>
        <w:fldChar w:fldCharType="begin"/>
      </w:r>
      <w:r w:rsidR="004D5B2B">
        <w:instrText xml:space="preserve"> ADDIN EN.CITE &lt;EndNote&gt;&lt;Cite&gt;&lt;Author&gt;Hatswell&lt;/Author&gt;&lt;Year&gt;2017&lt;/Year&gt;&lt;RecNum&gt;10&lt;/RecNum&gt;&lt;DisplayText&gt;&lt;style face="superscript"&gt;220&lt;/style&gt;&lt;/DisplayText&gt;&lt;record&gt;&lt;rec-number&gt;10&lt;/rec-number&gt;&lt;foreign-keys&gt;&lt;key app="EN" db-id="pz0rrdex3zsv21etatn5ww0i0509tzrzexxd" timestamp="1580649514"&gt;10&lt;/key&gt;&lt;/foreign-keys&gt;&lt;ref-type name="Journal Article"&gt;17&lt;/ref-type&gt;&lt;contributors&gt;&lt;authors&gt;&lt;author&gt;Hatswell, Anthony J&lt;/author&gt;&lt;author&gt;Freemantle, Nick&lt;/author&gt;&lt;author&gt;Baio, Gianluca %J Pharmacoeconomics&lt;/author&gt;&lt;/authors&gt;&lt;/contributors&gt;&lt;titles&gt;&lt;title&gt;Economic evaluations of pharmaceuticals granted a marketing authorisation without the results of randomised trials: a systematic review and taxonomy&lt;/title&gt;&lt;/titles&gt;&lt;pages&gt;163-176&lt;/pages&gt;&lt;volume&gt;35&lt;/volume&gt;&lt;number&gt;2&lt;/number&gt;&lt;dates&gt;&lt;year&gt;2017&lt;/year&gt;&lt;/dates&gt;&lt;isbn&gt;1170-7690&lt;/isbn&gt;&lt;urls&gt;&lt;/urls&gt;&lt;/record&gt;&lt;/Cite&gt;&lt;/EndNote&gt;</w:instrText>
      </w:r>
      <w:r>
        <w:fldChar w:fldCharType="separate"/>
      </w:r>
      <w:r w:rsidR="004D5B2B" w:rsidRPr="004D5B2B">
        <w:rPr>
          <w:noProof/>
          <w:vertAlign w:val="superscript"/>
        </w:rPr>
        <w:t>220</w:t>
      </w:r>
      <w:r>
        <w:fldChar w:fldCharType="end"/>
      </w:r>
      <w:r w:rsidRPr="002D1DD7">
        <w:t xml:space="preserve"> This taxonomy distinguishes between the approach taken to developing a comparison group and the source of </w:t>
      </w:r>
      <w:r>
        <w:t>this data (</w:t>
      </w:r>
      <w:r w:rsidRPr="002F6518">
        <w:t xml:space="preserve">see </w:t>
      </w:r>
      <w:r w:rsidRPr="002F6518">
        <w:fldChar w:fldCharType="begin"/>
      </w:r>
      <w:r w:rsidRPr="002F6518">
        <w:instrText xml:space="preserve"> REF _Ref26341891 \h  \* MERGEFORMAT </w:instrText>
      </w:r>
      <w:r w:rsidRPr="002F6518">
        <w:fldChar w:fldCharType="separate"/>
      </w:r>
      <w:r w:rsidRPr="002F6518">
        <w:t xml:space="preserve">Table </w:t>
      </w:r>
      <w:r>
        <w:t>12</w:t>
      </w:r>
      <w:r w:rsidRPr="002F6518">
        <w:fldChar w:fldCharType="end"/>
      </w:r>
      <w:r w:rsidRPr="002F6518">
        <w:t>). One appraisal was excluded (TA529) as the submission was based on proxy</w:t>
      </w:r>
      <w:r w:rsidRPr="002D1DD7">
        <w:t xml:space="preserve"> data from a randomised trial.</w:t>
      </w:r>
    </w:p>
    <w:p w14:paraId="7065AA59" w14:textId="26DB0C85" w:rsidR="004C66DF" w:rsidRPr="002F6518" w:rsidRDefault="004C66DF" w:rsidP="004C66DF">
      <w:pPr>
        <w:pStyle w:val="Caption"/>
      </w:pPr>
      <w:bookmarkStart w:id="352" w:name="_Ref26341891"/>
      <w:bookmarkStart w:id="353" w:name="_Toc34033548"/>
      <w:r w:rsidRPr="002F6518">
        <w:t xml:space="preserve">Table </w:t>
      </w:r>
      <w:r w:rsidR="00C974E5">
        <w:fldChar w:fldCharType="begin"/>
      </w:r>
      <w:r w:rsidR="00C974E5">
        <w:instrText xml:space="preserve"> SEQ Table \* ARABIC </w:instrText>
      </w:r>
      <w:r w:rsidR="00C974E5">
        <w:fldChar w:fldCharType="separate"/>
      </w:r>
      <w:r>
        <w:rPr>
          <w:noProof/>
        </w:rPr>
        <w:t>34</w:t>
      </w:r>
      <w:r w:rsidR="00C974E5">
        <w:rPr>
          <w:noProof/>
        </w:rPr>
        <w:fldChar w:fldCharType="end"/>
      </w:r>
      <w:bookmarkEnd w:id="352"/>
      <w:r>
        <w:rPr>
          <w:noProof/>
        </w:rPr>
        <w:t>:</w:t>
      </w:r>
      <w:r w:rsidRPr="002F6518">
        <w:t xml:space="preserve"> Classification of approaches taken to construct a counterfactual</w:t>
      </w:r>
      <w:bookmarkEnd w:id="353"/>
      <w:r w:rsidRPr="002F6518">
        <w:t xml:space="preserve"> </w:t>
      </w:r>
    </w:p>
    <w:tbl>
      <w:tblPr>
        <w:tblStyle w:val="TableGrid"/>
        <w:tblW w:w="0" w:type="auto"/>
        <w:tblLook w:val="04A0" w:firstRow="1" w:lastRow="0" w:firstColumn="1" w:lastColumn="0" w:noHBand="0" w:noVBand="1"/>
      </w:tblPr>
      <w:tblGrid>
        <w:gridCol w:w="1483"/>
        <w:gridCol w:w="1811"/>
        <w:gridCol w:w="2701"/>
        <w:gridCol w:w="2835"/>
      </w:tblGrid>
      <w:tr w:rsidR="004C66DF" w:rsidRPr="00BA1241" w14:paraId="6EDB82BD" w14:textId="77777777" w:rsidTr="00E46767">
        <w:trPr>
          <w:trHeight w:val="565"/>
        </w:trPr>
        <w:tc>
          <w:tcPr>
            <w:tcW w:w="1483" w:type="dxa"/>
            <w:vMerge w:val="restart"/>
            <w:vAlign w:val="center"/>
          </w:tcPr>
          <w:p w14:paraId="07450116" w14:textId="77777777" w:rsidR="004C66DF" w:rsidRPr="00BA1241" w:rsidRDefault="004C66DF" w:rsidP="00E46767">
            <w:pPr>
              <w:contextualSpacing/>
              <w:jc w:val="both"/>
              <w:rPr>
                <w:rFonts w:cs="Times New Roman"/>
                <w:b/>
                <w:sz w:val="20"/>
                <w:szCs w:val="20"/>
              </w:rPr>
            </w:pPr>
            <w:r w:rsidRPr="00BA1241">
              <w:rPr>
                <w:rFonts w:cs="Times New Roman"/>
                <w:b/>
                <w:sz w:val="20"/>
                <w:szCs w:val="20"/>
              </w:rPr>
              <w:t>Intervention</w:t>
            </w:r>
          </w:p>
        </w:tc>
        <w:tc>
          <w:tcPr>
            <w:tcW w:w="1811" w:type="dxa"/>
            <w:vMerge w:val="restart"/>
            <w:vAlign w:val="center"/>
          </w:tcPr>
          <w:p w14:paraId="7D475A11" w14:textId="77777777" w:rsidR="004C66DF" w:rsidRPr="00BA1241" w:rsidRDefault="004C66DF" w:rsidP="00E46767">
            <w:pPr>
              <w:contextualSpacing/>
              <w:jc w:val="both"/>
              <w:rPr>
                <w:rFonts w:cs="Times New Roman"/>
                <w:b/>
                <w:sz w:val="20"/>
                <w:szCs w:val="20"/>
              </w:rPr>
            </w:pPr>
            <w:r w:rsidRPr="00BA1241">
              <w:rPr>
                <w:rFonts w:cs="Times New Roman"/>
                <w:b/>
                <w:sz w:val="20"/>
                <w:szCs w:val="20"/>
              </w:rPr>
              <w:t>NICE TA</w:t>
            </w:r>
          </w:p>
        </w:tc>
        <w:tc>
          <w:tcPr>
            <w:tcW w:w="5536" w:type="dxa"/>
            <w:gridSpan w:val="2"/>
            <w:vAlign w:val="center"/>
          </w:tcPr>
          <w:p w14:paraId="35573D68" w14:textId="77777777" w:rsidR="004C66DF" w:rsidRPr="00BA1241" w:rsidRDefault="004C66DF" w:rsidP="00E46767">
            <w:pPr>
              <w:contextualSpacing/>
              <w:jc w:val="both"/>
              <w:rPr>
                <w:rFonts w:cs="Times New Roman"/>
                <w:b/>
                <w:sz w:val="20"/>
                <w:szCs w:val="20"/>
              </w:rPr>
            </w:pPr>
            <w:r w:rsidRPr="00BA1241">
              <w:rPr>
                <w:rFonts w:cs="Times New Roman"/>
                <w:b/>
                <w:sz w:val="20"/>
                <w:szCs w:val="20"/>
              </w:rPr>
              <w:t>Classification</w:t>
            </w:r>
          </w:p>
        </w:tc>
      </w:tr>
      <w:tr w:rsidR="004C66DF" w:rsidRPr="00BA1241" w14:paraId="3E09BDD2" w14:textId="77777777" w:rsidTr="00E46767">
        <w:trPr>
          <w:trHeight w:val="686"/>
        </w:trPr>
        <w:tc>
          <w:tcPr>
            <w:tcW w:w="1483" w:type="dxa"/>
            <w:vMerge/>
            <w:vAlign w:val="center"/>
          </w:tcPr>
          <w:p w14:paraId="76338332" w14:textId="77777777" w:rsidR="004C66DF" w:rsidRPr="00BA1241" w:rsidRDefault="004C66DF" w:rsidP="00E46767">
            <w:pPr>
              <w:contextualSpacing/>
              <w:jc w:val="both"/>
              <w:rPr>
                <w:rFonts w:cs="Times New Roman"/>
                <w:b/>
                <w:sz w:val="20"/>
                <w:szCs w:val="20"/>
              </w:rPr>
            </w:pPr>
          </w:p>
        </w:tc>
        <w:tc>
          <w:tcPr>
            <w:tcW w:w="1811" w:type="dxa"/>
            <w:vMerge/>
            <w:vAlign w:val="center"/>
          </w:tcPr>
          <w:p w14:paraId="313CFCCB" w14:textId="77777777" w:rsidR="004C66DF" w:rsidRPr="00BA1241" w:rsidRDefault="004C66DF" w:rsidP="00E46767">
            <w:pPr>
              <w:contextualSpacing/>
              <w:jc w:val="both"/>
              <w:rPr>
                <w:rFonts w:cs="Times New Roman"/>
                <w:b/>
                <w:sz w:val="20"/>
                <w:szCs w:val="20"/>
              </w:rPr>
            </w:pPr>
          </w:p>
        </w:tc>
        <w:tc>
          <w:tcPr>
            <w:tcW w:w="2701" w:type="dxa"/>
            <w:vAlign w:val="center"/>
          </w:tcPr>
          <w:p w14:paraId="0BBAB351" w14:textId="77777777" w:rsidR="004C66DF" w:rsidRPr="00BA1241" w:rsidRDefault="004C66DF" w:rsidP="00E46767">
            <w:pPr>
              <w:contextualSpacing/>
              <w:jc w:val="both"/>
              <w:rPr>
                <w:rFonts w:cs="Times New Roman"/>
                <w:b/>
                <w:sz w:val="20"/>
                <w:szCs w:val="20"/>
              </w:rPr>
            </w:pPr>
            <w:r w:rsidRPr="00BA1241">
              <w:rPr>
                <w:rFonts w:cs="Times New Roman"/>
                <w:b/>
                <w:sz w:val="20"/>
                <w:szCs w:val="20"/>
              </w:rPr>
              <w:t>Approach Taken</w:t>
            </w:r>
          </w:p>
        </w:tc>
        <w:tc>
          <w:tcPr>
            <w:tcW w:w="2835" w:type="dxa"/>
            <w:vAlign w:val="center"/>
          </w:tcPr>
          <w:p w14:paraId="147DED6A" w14:textId="77777777" w:rsidR="004C66DF" w:rsidRPr="00BA1241" w:rsidRDefault="004C66DF" w:rsidP="00E46767">
            <w:pPr>
              <w:contextualSpacing/>
              <w:jc w:val="both"/>
              <w:rPr>
                <w:rFonts w:cs="Times New Roman"/>
                <w:b/>
                <w:sz w:val="20"/>
                <w:szCs w:val="20"/>
              </w:rPr>
            </w:pPr>
            <w:r w:rsidRPr="00BA1241">
              <w:rPr>
                <w:rFonts w:cs="Times New Roman"/>
                <w:b/>
                <w:sz w:val="20"/>
                <w:szCs w:val="20"/>
              </w:rPr>
              <w:t>Source of Comparison Data</w:t>
            </w:r>
          </w:p>
        </w:tc>
      </w:tr>
      <w:tr w:rsidR="004C66DF" w:rsidRPr="00BA1241" w14:paraId="53398384" w14:textId="77777777" w:rsidTr="00E46767">
        <w:tc>
          <w:tcPr>
            <w:tcW w:w="1483" w:type="dxa"/>
            <w:vAlign w:val="center"/>
          </w:tcPr>
          <w:p w14:paraId="16C3F19D" w14:textId="77777777" w:rsidR="004C66DF" w:rsidRPr="00BA1241" w:rsidRDefault="004C66DF" w:rsidP="00E46767">
            <w:pPr>
              <w:contextualSpacing/>
              <w:jc w:val="both"/>
              <w:rPr>
                <w:rFonts w:cs="Times New Roman"/>
                <w:sz w:val="20"/>
                <w:szCs w:val="20"/>
              </w:rPr>
            </w:pPr>
            <w:r w:rsidRPr="00BA1241">
              <w:rPr>
                <w:rFonts w:cs="Times New Roman"/>
                <w:sz w:val="20"/>
                <w:szCs w:val="20"/>
              </w:rPr>
              <w:t>Ceritinib</w:t>
            </w:r>
          </w:p>
        </w:tc>
        <w:tc>
          <w:tcPr>
            <w:tcW w:w="1811" w:type="dxa"/>
            <w:vAlign w:val="center"/>
          </w:tcPr>
          <w:p w14:paraId="7618E315" w14:textId="77777777" w:rsidR="004C66DF" w:rsidRPr="00BA1241" w:rsidRDefault="004C66DF" w:rsidP="00E46767">
            <w:pPr>
              <w:contextualSpacing/>
              <w:jc w:val="both"/>
              <w:rPr>
                <w:rFonts w:cs="Times New Roman"/>
                <w:sz w:val="20"/>
                <w:szCs w:val="20"/>
              </w:rPr>
            </w:pPr>
            <w:r w:rsidRPr="00BA1241">
              <w:rPr>
                <w:rFonts w:cs="Times New Roman"/>
                <w:sz w:val="20"/>
                <w:szCs w:val="20"/>
              </w:rPr>
              <w:t>TA395</w:t>
            </w:r>
          </w:p>
        </w:tc>
        <w:tc>
          <w:tcPr>
            <w:tcW w:w="2701" w:type="dxa"/>
            <w:vAlign w:val="center"/>
          </w:tcPr>
          <w:p w14:paraId="33CC8EAC"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498A21A5" w14:textId="77777777" w:rsidR="004C66DF" w:rsidRPr="00BA1241" w:rsidRDefault="004C66DF" w:rsidP="00E46767">
            <w:pPr>
              <w:contextualSpacing/>
              <w:jc w:val="both"/>
              <w:rPr>
                <w:rFonts w:cs="Times New Roman"/>
                <w:sz w:val="20"/>
                <w:szCs w:val="20"/>
              </w:rPr>
            </w:pPr>
            <w:r w:rsidRPr="00BA1241">
              <w:rPr>
                <w:rFonts w:cs="Times New Roman"/>
                <w:sz w:val="20"/>
                <w:szCs w:val="20"/>
              </w:rPr>
              <w:t>Clinical trial</w:t>
            </w:r>
          </w:p>
        </w:tc>
      </w:tr>
      <w:tr w:rsidR="004C66DF" w:rsidRPr="00BA1241" w14:paraId="51359BB8" w14:textId="77777777" w:rsidTr="00E46767">
        <w:tc>
          <w:tcPr>
            <w:tcW w:w="1483" w:type="dxa"/>
            <w:vAlign w:val="center"/>
          </w:tcPr>
          <w:p w14:paraId="60775138" w14:textId="77777777" w:rsidR="004C66DF" w:rsidRPr="00BA1241" w:rsidRDefault="004C66DF" w:rsidP="00E46767">
            <w:pPr>
              <w:contextualSpacing/>
              <w:jc w:val="both"/>
              <w:rPr>
                <w:rFonts w:cs="Times New Roman"/>
                <w:sz w:val="20"/>
                <w:szCs w:val="20"/>
              </w:rPr>
            </w:pPr>
            <w:r w:rsidRPr="00BA1241">
              <w:rPr>
                <w:rFonts w:cs="Times New Roman"/>
                <w:sz w:val="20"/>
                <w:szCs w:val="20"/>
              </w:rPr>
              <w:t>Osimertinib</w:t>
            </w:r>
          </w:p>
        </w:tc>
        <w:tc>
          <w:tcPr>
            <w:tcW w:w="1811" w:type="dxa"/>
            <w:vAlign w:val="center"/>
          </w:tcPr>
          <w:p w14:paraId="5C73AB42" w14:textId="77777777" w:rsidR="004C66DF" w:rsidRPr="00BA1241" w:rsidRDefault="004C66DF" w:rsidP="00E46767">
            <w:pPr>
              <w:contextualSpacing/>
              <w:jc w:val="both"/>
              <w:rPr>
                <w:rFonts w:cs="Times New Roman"/>
                <w:sz w:val="20"/>
                <w:szCs w:val="20"/>
              </w:rPr>
            </w:pPr>
            <w:r w:rsidRPr="00BA1241">
              <w:rPr>
                <w:rFonts w:cs="Times New Roman"/>
                <w:sz w:val="20"/>
                <w:szCs w:val="20"/>
              </w:rPr>
              <w:t>TA416</w:t>
            </w:r>
          </w:p>
        </w:tc>
        <w:tc>
          <w:tcPr>
            <w:tcW w:w="2701" w:type="dxa"/>
            <w:vAlign w:val="center"/>
          </w:tcPr>
          <w:p w14:paraId="5C7DDB9E"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635F11AA" w14:textId="77777777" w:rsidR="004C66DF" w:rsidRPr="00BA1241" w:rsidRDefault="004C66DF" w:rsidP="00E46767">
            <w:pPr>
              <w:contextualSpacing/>
              <w:jc w:val="both"/>
              <w:rPr>
                <w:rFonts w:cs="Times New Roman"/>
                <w:sz w:val="20"/>
                <w:szCs w:val="20"/>
              </w:rPr>
            </w:pPr>
            <w:r w:rsidRPr="00BA1241">
              <w:rPr>
                <w:rFonts w:cs="Times New Roman"/>
                <w:sz w:val="20"/>
                <w:szCs w:val="20"/>
              </w:rPr>
              <w:t>Clinical trial</w:t>
            </w:r>
          </w:p>
        </w:tc>
      </w:tr>
      <w:tr w:rsidR="004C66DF" w:rsidRPr="00BA1241" w14:paraId="77F2BA85" w14:textId="77777777" w:rsidTr="00E46767">
        <w:tc>
          <w:tcPr>
            <w:tcW w:w="1483" w:type="dxa"/>
            <w:vAlign w:val="center"/>
          </w:tcPr>
          <w:p w14:paraId="10A3D071" w14:textId="77777777" w:rsidR="004C66DF" w:rsidRPr="00BA1241" w:rsidRDefault="004C66DF" w:rsidP="00E46767">
            <w:pPr>
              <w:contextualSpacing/>
              <w:jc w:val="both"/>
              <w:rPr>
                <w:rFonts w:cs="Times New Roman"/>
                <w:sz w:val="20"/>
                <w:szCs w:val="20"/>
              </w:rPr>
            </w:pPr>
            <w:r w:rsidRPr="00BA1241">
              <w:rPr>
                <w:rFonts w:cs="Times New Roman"/>
                <w:sz w:val="20"/>
                <w:szCs w:val="20"/>
              </w:rPr>
              <w:t>Nivolumab</w:t>
            </w:r>
          </w:p>
        </w:tc>
        <w:tc>
          <w:tcPr>
            <w:tcW w:w="1811" w:type="dxa"/>
            <w:vAlign w:val="center"/>
          </w:tcPr>
          <w:p w14:paraId="7780366B" w14:textId="77777777" w:rsidR="004C66DF" w:rsidRPr="00BA1241" w:rsidRDefault="004C66DF" w:rsidP="00E46767">
            <w:pPr>
              <w:contextualSpacing/>
              <w:jc w:val="both"/>
              <w:rPr>
                <w:rFonts w:cs="Times New Roman"/>
                <w:sz w:val="20"/>
                <w:szCs w:val="20"/>
              </w:rPr>
            </w:pPr>
            <w:r w:rsidRPr="00BA1241">
              <w:rPr>
                <w:rFonts w:cs="Times New Roman"/>
                <w:sz w:val="20"/>
                <w:szCs w:val="20"/>
              </w:rPr>
              <w:t>TA462</w:t>
            </w:r>
          </w:p>
        </w:tc>
        <w:tc>
          <w:tcPr>
            <w:tcW w:w="2701" w:type="dxa"/>
            <w:vAlign w:val="center"/>
          </w:tcPr>
          <w:p w14:paraId="0CB4AFFE"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0AD06656" w14:textId="77777777" w:rsidR="004C66DF" w:rsidRPr="00BA1241" w:rsidRDefault="004C66DF" w:rsidP="00E46767">
            <w:pPr>
              <w:contextualSpacing/>
              <w:jc w:val="both"/>
              <w:rPr>
                <w:rFonts w:cs="Times New Roman"/>
                <w:sz w:val="20"/>
                <w:szCs w:val="20"/>
              </w:rPr>
            </w:pPr>
            <w:r w:rsidRPr="00BA1241">
              <w:rPr>
                <w:rFonts w:cs="Times New Roman"/>
                <w:sz w:val="20"/>
                <w:szCs w:val="20"/>
              </w:rPr>
              <w:t>Case series</w:t>
            </w:r>
          </w:p>
        </w:tc>
      </w:tr>
      <w:tr w:rsidR="004C66DF" w:rsidRPr="00BA1241" w14:paraId="168FF154" w14:textId="77777777" w:rsidTr="00E46767">
        <w:tc>
          <w:tcPr>
            <w:tcW w:w="1483" w:type="dxa"/>
            <w:vAlign w:val="center"/>
          </w:tcPr>
          <w:p w14:paraId="35EA72E2" w14:textId="77777777" w:rsidR="004C66DF" w:rsidRPr="00BA1241" w:rsidRDefault="004C66DF" w:rsidP="00E46767">
            <w:pPr>
              <w:contextualSpacing/>
              <w:jc w:val="both"/>
              <w:rPr>
                <w:rFonts w:cs="Times New Roman"/>
                <w:sz w:val="20"/>
                <w:szCs w:val="20"/>
              </w:rPr>
            </w:pPr>
            <w:r w:rsidRPr="00BA1241">
              <w:rPr>
                <w:rFonts w:cs="Times New Roman"/>
                <w:sz w:val="20"/>
                <w:szCs w:val="20"/>
              </w:rPr>
              <w:t>Venetoclax</w:t>
            </w:r>
          </w:p>
        </w:tc>
        <w:tc>
          <w:tcPr>
            <w:tcW w:w="1811" w:type="dxa"/>
            <w:vAlign w:val="center"/>
          </w:tcPr>
          <w:p w14:paraId="7E461799" w14:textId="77777777" w:rsidR="004C66DF" w:rsidRPr="00BA1241" w:rsidRDefault="004C66DF" w:rsidP="00E46767">
            <w:pPr>
              <w:contextualSpacing/>
              <w:jc w:val="both"/>
              <w:rPr>
                <w:rFonts w:cs="Times New Roman"/>
                <w:sz w:val="20"/>
                <w:szCs w:val="20"/>
              </w:rPr>
            </w:pPr>
            <w:r w:rsidRPr="00BA1241">
              <w:rPr>
                <w:rFonts w:cs="Times New Roman"/>
                <w:sz w:val="20"/>
                <w:szCs w:val="20"/>
              </w:rPr>
              <w:t>TA487</w:t>
            </w:r>
          </w:p>
        </w:tc>
        <w:tc>
          <w:tcPr>
            <w:tcW w:w="2701" w:type="dxa"/>
            <w:vAlign w:val="center"/>
          </w:tcPr>
          <w:p w14:paraId="62043E11"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57CE0B2F" w14:textId="77777777" w:rsidR="004C66DF" w:rsidRPr="00BA1241" w:rsidRDefault="004C66DF" w:rsidP="00E46767">
            <w:pPr>
              <w:contextualSpacing/>
              <w:jc w:val="both"/>
              <w:rPr>
                <w:rFonts w:cs="Times New Roman"/>
                <w:sz w:val="20"/>
                <w:szCs w:val="20"/>
              </w:rPr>
            </w:pPr>
            <w:r w:rsidRPr="00BA1241">
              <w:rPr>
                <w:rFonts w:cs="Times New Roman"/>
                <w:sz w:val="20"/>
                <w:szCs w:val="20"/>
              </w:rPr>
              <w:t>Clinical trial</w:t>
            </w:r>
          </w:p>
        </w:tc>
      </w:tr>
      <w:tr w:rsidR="004C66DF" w:rsidRPr="00BA1241" w14:paraId="5E7EA05A" w14:textId="77777777" w:rsidTr="00E46767">
        <w:tc>
          <w:tcPr>
            <w:tcW w:w="1483" w:type="dxa"/>
            <w:vAlign w:val="center"/>
          </w:tcPr>
          <w:p w14:paraId="2B29E288" w14:textId="77777777" w:rsidR="004C66DF" w:rsidRPr="00BA1241" w:rsidRDefault="004C66DF" w:rsidP="00E46767">
            <w:pPr>
              <w:contextualSpacing/>
              <w:jc w:val="both"/>
              <w:rPr>
                <w:rFonts w:cs="Times New Roman"/>
                <w:sz w:val="20"/>
                <w:szCs w:val="20"/>
              </w:rPr>
            </w:pPr>
            <w:r w:rsidRPr="00BA1241">
              <w:rPr>
                <w:rFonts w:cs="Times New Roman"/>
                <w:sz w:val="20"/>
                <w:szCs w:val="20"/>
              </w:rPr>
              <w:t>Atezolizumab</w:t>
            </w:r>
          </w:p>
        </w:tc>
        <w:tc>
          <w:tcPr>
            <w:tcW w:w="1811" w:type="dxa"/>
            <w:vAlign w:val="center"/>
          </w:tcPr>
          <w:p w14:paraId="00E44C09" w14:textId="77777777" w:rsidR="004C66DF" w:rsidRPr="00BA1241" w:rsidRDefault="004C66DF" w:rsidP="00E46767">
            <w:pPr>
              <w:contextualSpacing/>
              <w:jc w:val="both"/>
              <w:rPr>
                <w:rFonts w:cs="Times New Roman"/>
                <w:sz w:val="20"/>
                <w:szCs w:val="20"/>
              </w:rPr>
            </w:pPr>
            <w:r w:rsidRPr="00BA1241">
              <w:rPr>
                <w:rFonts w:cs="Times New Roman"/>
                <w:sz w:val="20"/>
                <w:szCs w:val="20"/>
              </w:rPr>
              <w:t>TA492</w:t>
            </w:r>
          </w:p>
        </w:tc>
        <w:tc>
          <w:tcPr>
            <w:tcW w:w="2701" w:type="dxa"/>
            <w:vAlign w:val="center"/>
          </w:tcPr>
          <w:p w14:paraId="51459377"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75371DC9" w14:textId="77777777" w:rsidR="004C66DF" w:rsidRPr="00BA1241" w:rsidRDefault="004C66DF" w:rsidP="00E46767">
            <w:pPr>
              <w:contextualSpacing/>
              <w:jc w:val="both"/>
              <w:rPr>
                <w:rFonts w:cs="Times New Roman"/>
                <w:sz w:val="20"/>
                <w:szCs w:val="20"/>
              </w:rPr>
            </w:pPr>
            <w:r w:rsidRPr="00BA1241">
              <w:rPr>
                <w:rFonts w:cs="Times New Roman"/>
                <w:sz w:val="20"/>
                <w:szCs w:val="20"/>
              </w:rPr>
              <w:t>Meta-analysis</w:t>
            </w:r>
          </w:p>
        </w:tc>
      </w:tr>
      <w:tr w:rsidR="004C66DF" w:rsidRPr="00BA1241" w14:paraId="0738AB49" w14:textId="77777777" w:rsidTr="00E46767">
        <w:tc>
          <w:tcPr>
            <w:tcW w:w="1483" w:type="dxa"/>
            <w:vAlign w:val="center"/>
          </w:tcPr>
          <w:p w14:paraId="3ADA921C" w14:textId="77777777" w:rsidR="004C66DF" w:rsidRPr="00BA1241" w:rsidRDefault="004C66DF" w:rsidP="00E46767">
            <w:pPr>
              <w:contextualSpacing/>
              <w:jc w:val="both"/>
              <w:rPr>
                <w:rFonts w:cs="Times New Roman"/>
                <w:sz w:val="20"/>
                <w:szCs w:val="20"/>
              </w:rPr>
            </w:pPr>
            <w:r w:rsidRPr="00BA1241">
              <w:rPr>
                <w:rFonts w:cs="Times New Roman"/>
                <w:sz w:val="20"/>
                <w:szCs w:val="20"/>
              </w:rPr>
              <w:t>Daratumumab</w:t>
            </w:r>
          </w:p>
        </w:tc>
        <w:tc>
          <w:tcPr>
            <w:tcW w:w="1811" w:type="dxa"/>
            <w:vAlign w:val="center"/>
          </w:tcPr>
          <w:p w14:paraId="6E2407D9" w14:textId="77777777" w:rsidR="004C66DF" w:rsidRPr="00BA1241" w:rsidRDefault="004C66DF" w:rsidP="00E46767">
            <w:pPr>
              <w:contextualSpacing/>
              <w:jc w:val="both"/>
              <w:rPr>
                <w:rFonts w:cs="Times New Roman"/>
                <w:sz w:val="20"/>
                <w:szCs w:val="20"/>
              </w:rPr>
            </w:pPr>
            <w:r w:rsidRPr="00BA1241">
              <w:rPr>
                <w:rFonts w:cs="Times New Roman"/>
                <w:sz w:val="20"/>
                <w:szCs w:val="20"/>
              </w:rPr>
              <w:t>TA510</w:t>
            </w:r>
          </w:p>
        </w:tc>
        <w:tc>
          <w:tcPr>
            <w:tcW w:w="2701" w:type="dxa"/>
            <w:vAlign w:val="center"/>
          </w:tcPr>
          <w:p w14:paraId="774DFB34"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05AADEF9" w14:textId="77777777" w:rsidR="004C66DF" w:rsidRPr="00BA1241" w:rsidRDefault="004C66DF" w:rsidP="00E46767">
            <w:pPr>
              <w:contextualSpacing/>
              <w:jc w:val="both"/>
              <w:rPr>
                <w:rFonts w:cs="Times New Roman"/>
                <w:sz w:val="20"/>
                <w:szCs w:val="20"/>
              </w:rPr>
            </w:pPr>
            <w:r w:rsidRPr="00BA1241">
              <w:rPr>
                <w:rFonts w:cs="Times New Roman"/>
                <w:sz w:val="20"/>
                <w:szCs w:val="20"/>
              </w:rPr>
              <w:t>Mixed sources</w:t>
            </w:r>
          </w:p>
        </w:tc>
      </w:tr>
      <w:tr w:rsidR="004C66DF" w:rsidRPr="00BA1241" w14:paraId="703F7F94" w14:textId="77777777" w:rsidTr="00E46767">
        <w:tc>
          <w:tcPr>
            <w:tcW w:w="1483" w:type="dxa"/>
            <w:vAlign w:val="center"/>
          </w:tcPr>
          <w:p w14:paraId="240FC52C" w14:textId="77777777" w:rsidR="004C66DF" w:rsidRPr="00BA1241" w:rsidRDefault="004C66DF" w:rsidP="00E46767">
            <w:pPr>
              <w:contextualSpacing/>
              <w:jc w:val="both"/>
              <w:rPr>
                <w:rFonts w:cs="Times New Roman"/>
                <w:sz w:val="20"/>
                <w:szCs w:val="20"/>
              </w:rPr>
            </w:pPr>
            <w:r w:rsidRPr="00BA1241">
              <w:rPr>
                <w:rFonts w:cs="Times New Roman"/>
                <w:sz w:val="20"/>
                <w:szCs w:val="20"/>
              </w:rPr>
              <w:t>Avelumab</w:t>
            </w:r>
          </w:p>
        </w:tc>
        <w:tc>
          <w:tcPr>
            <w:tcW w:w="1811" w:type="dxa"/>
            <w:vAlign w:val="center"/>
          </w:tcPr>
          <w:p w14:paraId="0C0BDE90" w14:textId="77777777" w:rsidR="004C66DF" w:rsidRPr="00BA1241" w:rsidRDefault="004C66DF" w:rsidP="00E46767">
            <w:pPr>
              <w:contextualSpacing/>
              <w:jc w:val="both"/>
              <w:rPr>
                <w:rFonts w:cs="Times New Roman"/>
                <w:sz w:val="20"/>
                <w:szCs w:val="20"/>
              </w:rPr>
            </w:pPr>
            <w:r w:rsidRPr="00BA1241">
              <w:rPr>
                <w:rFonts w:cs="Times New Roman"/>
                <w:sz w:val="20"/>
                <w:szCs w:val="20"/>
              </w:rPr>
              <w:t>TA517</w:t>
            </w:r>
          </w:p>
        </w:tc>
        <w:tc>
          <w:tcPr>
            <w:tcW w:w="2701" w:type="dxa"/>
            <w:vAlign w:val="center"/>
          </w:tcPr>
          <w:p w14:paraId="3E65E8EB"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66A55875" w14:textId="77777777" w:rsidR="004C66DF" w:rsidRPr="00BA1241" w:rsidRDefault="004C66DF" w:rsidP="00E46767">
            <w:pPr>
              <w:contextualSpacing/>
              <w:jc w:val="both"/>
              <w:rPr>
                <w:rFonts w:cs="Times New Roman"/>
                <w:sz w:val="20"/>
                <w:szCs w:val="20"/>
              </w:rPr>
            </w:pPr>
            <w:r w:rsidRPr="00BA1241">
              <w:rPr>
                <w:rFonts w:cs="Times New Roman"/>
                <w:sz w:val="20"/>
                <w:szCs w:val="20"/>
              </w:rPr>
              <w:t>Mixed sources</w:t>
            </w:r>
          </w:p>
        </w:tc>
      </w:tr>
      <w:tr w:rsidR="004C66DF" w:rsidRPr="00BA1241" w14:paraId="20052CEC" w14:textId="77777777" w:rsidTr="00E46767">
        <w:tc>
          <w:tcPr>
            <w:tcW w:w="1483" w:type="dxa"/>
            <w:vAlign w:val="center"/>
          </w:tcPr>
          <w:p w14:paraId="4F0E535D" w14:textId="77777777" w:rsidR="004C66DF" w:rsidRPr="00BA1241" w:rsidRDefault="004C66DF" w:rsidP="00E46767">
            <w:pPr>
              <w:contextualSpacing/>
              <w:jc w:val="both"/>
              <w:rPr>
                <w:rFonts w:cs="Times New Roman"/>
                <w:sz w:val="20"/>
                <w:szCs w:val="20"/>
              </w:rPr>
            </w:pPr>
            <w:r w:rsidRPr="00BA1241">
              <w:rPr>
                <w:rFonts w:cs="Times New Roman"/>
                <w:sz w:val="20"/>
                <w:szCs w:val="20"/>
              </w:rPr>
              <w:t>Pembrolizumab</w:t>
            </w:r>
          </w:p>
        </w:tc>
        <w:tc>
          <w:tcPr>
            <w:tcW w:w="1811" w:type="dxa"/>
            <w:vAlign w:val="center"/>
          </w:tcPr>
          <w:p w14:paraId="73A107B3" w14:textId="77777777" w:rsidR="004C66DF" w:rsidRPr="00BA1241" w:rsidRDefault="004C66DF" w:rsidP="00E46767">
            <w:pPr>
              <w:contextualSpacing/>
              <w:jc w:val="both"/>
              <w:rPr>
                <w:rFonts w:cs="Times New Roman"/>
                <w:sz w:val="20"/>
                <w:szCs w:val="20"/>
              </w:rPr>
            </w:pPr>
            <w:r w:rsidRPr="00BA1241">
              <w:rPr>
                <w:rFonts w:cs="Times New Roman"/>
                <w:sz w:val="20"/>
                <w:szCs w:val="20"/>
              </w:rPr>
              <w:t>TA540</w:t>
            </w:r>
          </w:p>
        </w:tc>
        <w:tc>
          <w:tcPr>
            <w:tcW w:w="2701" w:type="dxa"/>
            <w:vAlign w:val="center"/>
          </w:tcPr>
          <w:p w14:paraId="03B153F8"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44EF00F9" w14:textId="77777777" w:rsidR="004C66DF" w:rsidRPr="00BA1241" w:rsidRDefault="004C66DF" w:rsidP="00E46767">
            <w:pPr>
              <w:contextualSpacing/>
              <w:jc w:val="both"/>
              <w:rPr>
                <w:rFonts w:cs="Times New Roman"/>
                <w:sz w:val="20"/>
                <w:szCs w:val="20"/>
              </w:rPr>
            </w:pPr>
            <w:r w:rsidRPr="00BA1241">
              <w:rPr>
                <w:rFonts w:cs="Times New Roman"/>
                <w:sz w:val="20"/>
                <w:szCs w:val="20"/>
              </w:rPr>
              <w:t>Case series</w:t>
            </w:r>
          </w:p>
        </w:tc>
      </w:tr>
      <w:tr w:rsidR="004C66DF" w:rsidRPr="00BA1241" w14:paraId="408EDF4E" w14:textId="77777777" w:rsidTr="00E46767">
        <w:trPr>
          <w:trHeight w:val="269"/>
        </w:trPr>
        <w:tc>
          <w:tcPr>
            <w:tcW w:w="1483" w:type="dxa"/>
            <w:vAlign w:val="center"/>
          </w:tcPr>
          <w:p w14:paraId="019912C2" w14:textId="77777777" w:rsidR="004C66DF" w:rsidRPr="00BA1241" w:rsidRDefault="004C66DF" w:rsidP="00E46767">
            <w:pPr>
              <w:contextualSpacing/>
              <w:jc w:val="both"/>
              <w:rPr>
                <w:rFonts w:cs="Times New Roman"/>
                <w:sz w:val="20"/>
                <w:szCs w:val="20"/>
              </w:rPr>
            </w:pPr>
            <w:r w:rsidRPr="00BA1241">
              <w:rPr>
                <w:rFonts w:cs="Times New Roman"/>
                <w:sz w:val="20"/>
                <w:szCs w:val="20"/>
              </w:rPr>
              <w:t>Brigatinib</w:t>
            </w:r>
          </w:p>
        </w:tc>
        <w:tc>
          <w:tcPr>
            <w:tcW w:w="1811" w:type="dxa"/>
            <w:vAlign w:val="center"/>
          </w:tcPr>
          <w:p w14:paraId="687158B7" w14:textId="77777777" w:rsidR="004C66DF" w:rsidRPr="00BA1241" w:rsidRDefault="004C66DF" w:rsidP="00E46767">
            <w:pPr>
              <w:contextualSpacing/>
              <w:jc w:val="both"/>
              <w:rPr>
                <w:rFonts w:cs="Times New Roman"/>
                <w:sz w:val="20"/>
                <w:szCs w:val="20"/>
              </w:rPr>
            </w:pPr>
            <w:r w:rsidRPr="00BA1241">
              <w:rPr>
                <w:rFonts w:cs="Times New Roman"/>
                <w:sz w:val="20"/>
                <w:szCs w:val="20"/>
              </w:rPr>
              <w:t>ID1328 (Ongoing)</w:t>
            </w:r>
          </w:p>
        </w:tc>
        <w:tc>
          <w:tcPr>
            <w:tcW w:w="2701" w:type="dxa"/>
            <w:vAlign w:val="center"/>
          </w:tcPr>
          <w:p w14:paraId="5F65662E" w14:textId="77777777" w:rsidR="004C66DF" w:rsidRPr="00BA1241" w:rsidRDefault="004C66DF" w:rsidP="00E46767">
            <w:pPr>
              <w:contextualSpacing/>
              <w:jc w:val="both"/>
              <w:rPr>
                <w:rFonts w:cs="Times New Roman"/>
                <w:sz w:val="20"/>
                <w:szCs w:val="20"/>
              </w:rPr>
            </w:pPr>
            <w:r w:rsidRPr="00BA1241">
              <w:rPr>
                <w:rFonts w:cs="Times New Roman"/>
                <w:sz w:val="20"/>
                <w:szCs w:val="20"/>
              </w:rPr>
              <w:t>Historical control</w:t>
            </w:r>
          </w:p>
        </w:tc>
        <w:tc>
          <w:tcPr>
            <w:tcW w:w="2835" w:type="dxa"/>
            <w:vAlign w:val="center"/>
          </w:tcPr>
          <w:p w14:paraId="500DE81F" w14:textId="77777777" w:rsidR="004C66DF" w:rsidRPr="00BA1241" w:rsidRDefault="004C66DF" w:rsidP="00E46767">
            <w:pPr>
              <w:contextualSpacing/>
              <w:jc w:val="both"/>
              <w:rPr>
                <w:rFonts w:cs="Times New Roman"/>
                <w:sz w:val="20"/>
                <w:szCs w:val="20"/>
              </w:rPr>
            </w:pPr>
            <w:r w:rsidRPr="00BA1241">
              <w:rPr>
                <w:rFonts w:cs="Times New Roman"/>
                <w:sz w:val="20"/>
                <w:szCs w:val="20"/>
              </w:rPr>
              <w:t>Clinical trial</w:t>
            </w:r>
          </w:p>
        </w:tc>
      </w:tr>
    </w:tbl>
    <w:p w14:paraId="44197858" w14:textId="77777777" w:rsidR="004C66DF" w:rsidRDefault="004C66DF" w:rsidP="004C66DF">
      <w:pPr>
        <w:rPr>
          <w:rFonts w:cs="Times New Roman"/>
        </w:rPr>
      </w:pPr>
    </w:p>
    <w:p w14:paraId="202AACF9" w14:textId="77777777" w:rsidR="004C66DF" w:rsidRPr="002D1DD7" w:rsidRDefault="004C66DF" w:rsidP="004C66DF">
      <w:r w:rsidRPr="002D1DD7">
        <w:t>All 9 TAs generated a counterfactual by using a historic control. However, there was variation i</w:t>
      </w:r>
      <w:r>
        <w:t>n the source of comparison data.</w:t>
      </w:r>
      <w:r w:rsidRPr="002D1DD7">
        <w:t xml:space="preserve"> </w:t>
      </w:r>
    </w:p>
    <w:p w14:paraId="203AA09B" w14:textId="77777777" w:rsidR="004C66DF" w:rsidRPr="00E46767" w:rsidRDefault="004C66DF" w:rsidP="00E46767">
      <w:pPr>
        <w:rPr>
          <w:i/>
          <w:iCs/>
        </w:rPr>
      </w:pPr>
      <w:bookmarkStart w:id="354" w:name="_Toc33695119"/>
      <w:bookmarkStart w:id="355" w:name="_Toc33696081"/>
      <w:r w:rsidRPr="00E46767">
        <w:rPr>
          <w:i/>
          <w:iCs/>
        </w:rPr>
        <w:t>Single Clinical Trial</w:t>
      </w:r>
      <w:bookmarkEnd w:id="354"/>
      <w:bookmarkEnd w:id="355"/>
    </w:p>
    <w:p w14:paraId="04300D1D" w14:textId="77777777" w:rsidR="004C66DF" w:rsidRPr="002D1DD7" w:rsidRDefault="004C66DF" w:rsidP="004C66DF">
      <w:r w:rsidRPr="002D1DD7">
        <w:t>The 4 TAs generating a counterfactual using data from a single external trial arm are TA395 (</w:t>
      </w:r>
      <w:r>
        <w:t>c</w:t>
      </w:r>
      <w:r w:rsidRPr="002D1DD7">
        <w:t>eritinib for ALK+ NSCLC), TA416 (</w:t>
      </w:r>
      <w:r>
        <w:t>o</w:t>
      </w:r>
      <w:r w:rsidRPr="002D1DD7">
        <w:t>simertinib for EGFR T790M+ NSCLC), TA487 (</w:t>
      </w:r>
      <w:r>
        <w:t>v</w:t>
      </w:r>
      <w:r w:rsidRPr="002D1DD7">
        <w:t xml:space="preserve">enetoclax for chronic lymphocytic leukaemia) and </w:t>
      </w:r>
      <w:r>
        <w:t>ID1328</w:t>
      </w:r>
      <w:r w:rsidRPr="002D1DD7">
        <w:t xml:space="preserve"> (</w:t>
      </w:r>
      <w:r>
        <w:t>b</w:t>
      </w:r>
      <w:r w:rsidRPr="002D1DD7">
        <w:t>rigatinib for ALK+ NSCLC). Each of these TAs only considered a single source of external evidence, or, when multiple sources were available, no attempt was made to pool the data and instead indirect comparisons were conducted using one source at a time.</w:t>
      </w:r>
    </w:p>
    <w:p w14:paraId="4273CADB" w14:textId="77777777" w:rsidR="004C66DF" w:rsidRPr="002D1DD7" w:rsidRDefault="004C66DF" w:rsidP="004C66DF">
      <w:r w:rsidRPr="002D1DD7">
        <w:t>In these appraisals</w:t>
      </w:r>
      <w:r>
        <w:t>,</w:t>
      </w:r>
      <w:r w:rsidRPr="002D1DD7">
        <w:t xml:space="preserve"> the committee expressed concerns that the single-arm design of the trials made it difficult to assess the efficacy of the new treatment due to the lack of a comparator arm and that these difficulties were compounded by the small numbers of patients in the trials. Although the use of </w:t>
      </w:r>
      <w:r>
        <w:t xml:space="preserve">a </w:t>
      </w:r>
      <w:r w:rsidRPr="002D1DD7">
        <w:t>historic control from a single external trial was generally accepted as an approach to inform the counterfactual, the committees clearly closely scrutinised the source of external data and the adjustment approaches applied. This was particularly evident when only naïve comparisons were presented, as was the case for the appraisals of cer</w:t>
      </w:r>
      <w:r>
        <w:t>i</w:t>
      </w:r>
      <w:r w:rsidRPr="002D1DD7">
        <w:t xml:space="preserve">tinib and venetoclax. </w:t>
      </w:r>
    </w:p>
    <w:p w14:paraId="6F3A0BAC" w14:textId="77777777" w:rsidR="004C66DF" w:rsidRPr="002D1DD7" w:rsidRDefault="004C66DF" w:rsidP="004C66DF">
      <w:r w:rsidRPr="002D1DD7">
        <w:t>The evidence used in the ceritinib submission was critiqued by the committee due to the lack of an appropriate match between patient characteristics, and limited information about the treatments received by the historical control. This led the committee to conclude that the naïve approach presented by the company was inappropriate. However, in the absence of any suitable alternative estimates or approaches, the committee concluded that the results presented by the company were highly uncertain but represented the best evidence available for their decision-making.</w:t>
      </w:r>
    </w:p>
    <w:p w14:paraId="20DEB6B4" w14:textId="77777777" w:rsidR="004C66DF" w:rsidRPr="002D1DD7" w:rsidRDefault="004C66DF" w:rsidP="004C66DF">
      <w:r w:rsidRPr="002D1DD7">
        <w:t xml:space="preserve">Similarly, in the venetoclax appraisal the committee highlighted the lack of any attempt to match for difference in baseline characteristics and considered the approach to be biased in favour of venetoclax. Again, in the absence of any alternative approaches, </w:t>
      </w:r>
      <w:r>
        <w:t xml:space="preserve">the </w:t>
      </w:r>
      <w:r w:rsidRPr="002D1DD7">
        <w:t>naïve approach was concluded to provide an acceptable basis for decision-making but the results were highly uncertain.</w:t>
      </w:r>
    </w:p>
    <w:p w14:paraId="1B13DC8D" w14:textId="77777777" w:rsidR="004C66DF" w:rsidRPr="002D1DD7" w:rsidRDefault="004C66DF" w:rsidP="004C66DF">
      <w:r w:rsidRPr="002D1DD7">
        <w:t xml:space="preserve">Both </w:t>
      </w:r>
      <w:r>
        <w:t xml:space="preserve">the </w:t>
      </w:r>
      <w:r w:rsidRPr="002D1DD7">
        <w:t xml:space="preserve">osimertinib and brigatinib appraisals used adjusted comparisons. The osimertinib appraisal used </w:t>
      </w:r>
      <w:r>
        <w:t>a</w:t>
      </w:r>
      <w:r w:rsidRPr="002D1DD7">
        <w:t xml:space="preserve"> subgroup of patients with EGFR T790M+ in the control arm of an external prospective, randomised Phase III study and undertook comparative analyses using propensity score matching. Although the committee and the ERG acknowledged the company’s approach to adjusting for possible confounding, concerns remained regarding the immaturity of OS data and the small number of patients. </w:t>
      </w:r>
    </w:p>
    <w:p w14:paraId="6400D9CC" w14:textId="77777777" w:rsidR="004C66DF" w:rsidRPr="002D1DD7" w:rsidRDefault="004C66DF" w:rsidP="004C66DF">
      <w:r w:rsidRPr="002D1DD7">
        <w:t>In the brigatinib appraisal, data for the comparator, ceritinib, came from two separate trials which were assessed separately. The company performed both a naïve comparison and an unanchored MAIC. The committee acknowledged the consistency of the results across both naïve and adjusted analysis. Despite limitations identified relating to the assumptions of the MAIC, the consistency across the different sets of results appeared to provide reassurance to the committee who considered that the comparator evidence was acceptable.</w:t>
      </w:r>
    </w:p>
    <w:p w14:paraId="0FB05961" w14:textId="77777777" w:rsidR="004C66DF" w:rsidRPr="00E46767" w:rsidRDefault="004C66DF" w:rsidP="00E46767">
      <w:pPr>
        <w:rPr>
          <w:i/>
          <w:iCs/>
        </w:rPr>
      </w:pPr>
      <w:bookmarkStart w:id="356" w:name="_Toc33695120"/>
      <w:bookmarkStart w:id="357" w:name="_Toc33696082"/>
      <w:r w:rsidRPr="00E46767">
        <w:rPr>
          <w:i/>
          <w:iCs/>
        </w:rPr>
        <w:t>Case Series</w:t>
      </w:r>
      <w:bookmarkEnd w:id="356"/>
      <w:bookmarkEnd w:id="357"/>
    </w:p>
    <w:p w14:paraId="7B6191C9" w14:textId="1374EF6B" w:rsidR="004C66DF" w:rsidRPr="002D1DD7" w:rsidRDefault="004C66DF" w:rsidP="004C66DF">
      <w:r w:rsidRPr="002D1DD7">
        <w:t>The TAs supporting the submission with the use of case series data were TA462 (</w:t>
      </w:r>
      <w:r>
        <w:t>n</w:t>
      </w:r>
      <w:r w:rsidRPr="002D1DD7">
        <w:t>ivolumab for classical Hodgkin lymphoma)</w:t>
      </w:r>
      <w:r>
        <w:fldChar w:fldCharType="begin"/>
      </w:r>
      <w:r w:rsidR="004D5B2B">
        <w:instrText xml:space="preserve"> ADDIN EN.CITE &lt;EndNote&gt;&lt;Cite&gt;&lt;Author&gt;National Institute for Health and Care Excellence (NICE)&lt;/Author&gt;&lt;Year&gt;2017&lt;/Year&gt;&lt;RecNum&gt;5&lt;/RecNum&gt;&lt;DisplayText&gt;&lt;style face="superscript"&gt;215&lt;/style&gt;&lt;/DisplayText&gt;&lt;record&gt;&lt;rec-number&gt;5&lt;/rec-number&gt;&lt;foreign-keys&gt;&lt;key app="EN" db-id="pz0rrdex3zsv21etatn5ww0i0509tzrzexxd" timestamp="1580649514"&gt;5&lt;/key&gt;&lt;/foreign-keys&gt;&lt;ref-type name="Report"&gt;27&lt;/ref-type&gt;&lt;contributors&gt;&lt;authors&gt;&lt;author&gt;National Institute for Health and Care Excellence (NICE),&lt;/author&gt;&lt;/authors&gt;&lt;/contributors&gt;&lt;titles&gt;&lt;title&gt;TA462: Nivolumab for treating relapsed or refractory classical Hodgkin lymphoma&lt;/title&gt;&lt;/titles&gt;&lt;dates&gt;&lt;year&gt;2017&lt;/year&gt;&lt;/dates&gt;&lt;urls&gt;&lt;related-urls&gt;&lt;url&gt;https://www.nice.org.uk/guidance/ta462&lt;/url&gt;&lt;/related-urls&gt;&lt;/urls&gt;&lt;access-date&gt;27 February 2019&lt;/access-date&gt;&lt;/record&gt;&lt;/Cite&gt;&lt;/EndNote&gt;</w:instrText>
      </w:r>
      <w:r>
        <w:fldChar w:fldCharType="separate"/>
      </w:r>
      <w:r w:rsidR="004D5B2B" w:rsidRPr="004D5B2B">
        <w:rPr>
          <w:noProof/>
          <w:vertAlign w:val="superscript"/>
        </w:rPr>
        <w:t>215</w:t>
      </w:r>
      <w:r>
        <w:fldChar w:fldCharType="end"/>
      </w:r>
      <w:r w:rsidRPr="002D1DD7">
        <w:t xml:space="preserve"> and TA540 (</w:t>
      </w:r>
      <w:r>
        <w:t>p</w:t>
      </w:r>
      <w:r w:rsidRPr="002D1DD7">
        <w:t xml:space="preserve">embrolizumab </w:t>
      </w:r>
      <w:r>
        <w:t xml:space="preserve">for </w:t>
      </w:r>
      <w:r w:rsidRPr="002D1DD7">
        <w:t>classical Hodgkin lymphoma)</w:t>
      </w:r>
      <w:r>
        <w:t>.</w:t>
      </w:r>
      <w:r>
        <w:fldChar w:fldCharType="begin"/>
      </w:r>
      <w:r w:rsidR="004D5B2B">
        <w:instrText xml:space="preserve"> ADDIN EN.CITE &lt;EndNote&gt;&lt;Cite&gt;&lt;Author&gt;National Institute for Health and Care Excellence (NICE)&lt;/Author&gt;&lt;Year&gt;2018&lt;/Year&gt;&lt;RecNum&gt;14&lt;/RecNum&gt;&lt;DisplayText&gt;&lt;style face="superscript"&gt;223&lt;/style&gt;&lt;/DisplayText&gt;&lt;record&gt;&lt;rec-number&gt;14&lt;/rec-number&gt;&lt;foreign-keys&gt;&lt;key app="EN" db-id="pz0rrdex3zsv21etatn5ww0i0509tzrzexxd" timestamp="1580649514"&gt;14&lt;/key&gt;&lt;/foreign-keys&gt;&lt;ref-type name="Report"&gt;27&lt;/ref-type&gt;&lt;contributors&gt;&lt;authors&gt;&lt;author&gt;National Institute for Health and Care Excellence (NICE),&lt;/author&gt;&lt;/authors&gt;&lt;/contributors&gt;&lt;titles&gt;&lt;title&gt;TA540: Pembrolizumab for treating relapsed or refractory classical Hodgkin lymphoma&lt;/title&gt;&lt;/titles&gt;&lt;dates&gt;&lt;year&gt;2018&lt;/year&gt;&lt;/dates&gt;&lt;urls&gt;&lt;related-urls&gt;&lt;url&gt;https://www.nice.org.uk/guidance/ta540&lt;/url&gt;&lt;/related-urls&gt;&lt;/urls&gt;&lt;access-date&gt;27 February 2019&lt;/access-date&gt;&lt;/record&gt;&lt;/Cite&gt;&lt;/EndNote&gt;</w:instrText>
      </w:r>
      <w:r>
        <w:fldChar w:fldCharType="separate"/>
      </w:r>
      <w:r w:rsidR="004D5B2B" w:rsidRPr="004D5B2B">
        <w:rPr>
          <w:noProof/>
          <w:vertAlign w:val="superscript"/>
        </w:rPr>
        <w:t>223</w:t>
      </w:r>
      <w:r>
        <w:fldChar w:fldCharType="end"/>
      </w:r>
      <w:r w:rsidRPr="002D1DD7">
        <w:t xml:space="preserve"> Both submissions compared their respective product with standard of care data collected from a US database of patients who had been treated with brentuximab vedotin between 2007 and 2015. In both submissions, naïve indirect comparisons and MAIC</w:t>
      </w:r>
      <w:r>
        <w:t>s</w:t>
      </w:r>
      <w:r w:rsidRPr="002D1DD7">
        <w:t xml:space="preserve"> were performed. The main issue raised by the committee was related to the relevance of the US database to UK practice. For both TAs, the </w:t>
      </w:r>
      <w:r>
        <w:t>c</w:t>
      </w:r>
      <w:r w:rsidRPr="002D1DD7">
        <w:t>ommittee acknowledged that the US database might not fully represent UK practice. However, they also deemed it to be the best available evidence while acknowledging the comparative effectiveness results were highly uncertain.</w:t>
      </w:r>
    </w:p>
    <w:p w14:paraId="6922CB05" w14:textId="77777777" w:rsidR="004C66DF" w:rsidRPr="00E46767" w:rsidRDefault="004C66DF" w:rsidP="00E46767">
      <w:pPr>
        <w:rPr>
          <w:i/>
          <w:iCs/>
        </w:rPr>
      </w:pPr>
      <w:bookmarkStart w:id="358" w:name="_Toc33695121"/>
      <w:bookmarkStart w:id="359" w:name="_Toc33696083"/>
      <w:r w:rsidRPr="00E46767">
        <w:rPr>
          <w:i/>
          <w:iCs/>
        </w:rPr>
        <w:t>Meta-analysis</w:t>
      </w:r>
      <w:bookmarkEnd w:id="358"/>
      <w:bookmarkEnd w:id="359"/>
    </w:p>
    <w:p w14:paraId="76D37A85" w14:textId="77777777" w:rsidR="004C66DF" w:rsidRPr="002D1DD7" w:rsidRDefault="004C66DF" w:rsidP="004C66DF">
      <w:r w:rsidRPr="002D1DD7">
        <w:t>TA492 (</w:t>
      </w:r>
      <w:r>
        <w:t>a</w:t>
      </w:r>
      <w:r w:rsidRPr="002D1DD7">
        <w:t>tezlolizumab for PD-L1+ urothelial cancer) derived comparator data from historical trial sources using a range of approaches, including a</w:t>
      </w:r>
      <w:r>
        <w:t xml:space="preserve">n </w:t>
      </w:r>
      <w:r w:rsidRPr="002D1DD7">
        <w:t xml:space="preserve">STC, </w:t>
      </w:r>
      <w:r>
        <w:t xml:space="preserve">a </w:t>
      </w:r>
      <w:r w:rsidRPr="002D1DD7">
        <w:t xml:space="preserve">MAIC and network meta-analysis. </w:t>
      </w:r>
    </w:p>
    <w:p w14:paraId="2A103C40" w14:textId="77777777" w:rsidR="004C66DF" w:rsidRPr="002D1DD7" w:rsidRDefault="004C66DF" w:rsidP="004C66DF">
      <w:r w:rsidRPr="002D1DD7">
        <w:t>The initial company submission presented a</w:t>
      </w:r>
      <w:r>
        <w:t>n</w:t>
      </w:r>
      <w:r w:rsidRPr="002D1DD7">
        <w:t xml:space="preserve"> STC. A</w:t>
      </w:r>
      <w:r>
        <w:t>n</w:t>
      </w:r>
      <w:r w:rsidRPr="002D1DD7">
        <w:t xml:space="preserve"> STC is a statistical model describing the outcomes in terms of the covariates fitted to the individual patient data for the treatment of interest. This model is used to predict the outcomes that would have been observed in a population with the same characteristics as the historical comparator data source(s). The company then performed a network meta-analysis by linking the outcomes of the various STCs for separate comparators. The ERG highlighted several concerns, particularly the limited number of covariates used in the STC prediction model and the lack of justification for the covariate selection. In response to consultation, the company also provided results from a MAIC to validate the results from the </w:t>
      </w:r>
      <w:r>
        <w:t>STC</w:t>
      </w:r>
      <w:r w:rsidRPr="002D1DD7">
        <w:t>.</w:t>
      </w:r>
    </w:p>
    <w:p w14:paraId="4BE42782" w14:textId="77777777" w:rsidR="004C66DF" w:rsidRPr="002D1DD7" w:rsidRDefault="004C66DF" w:rsidP="004C66DF">
      <w:r w:rsidRPr="002D1DD7">
        <w:t xml:space="preserve">The committee acknowledged the ERG’s concerns and concluded that the STC analysis was not robust. The committee agreed that the MAIC provided useful validation, but that did not alter its view that the adjustment approaches were not robust. Although the committee acknowledged that atezolizumab was likely to be clinically effective, they had concerns about the magnitude of the effect size given the lack of robust adjustment. Atelzolizumab was subsequently approved for use within the CDF based on the committee’s view that there was plausible potential the treatment was cost-effective and that the key uncertainties surrounding comparative efficacy would be addressed by an ongoing RCT. </w:t>
      </w:r>
    </w:p>
    <w:p w14:paraId="0ACC9247" w14:textId="77777777" w:rsidR="004C66DF" w:rsidRPr="00E46767" w:rsidRDefault="004C66DF" w:rsidP="00E46767">
      <w:pPr>
        <w:rPr>
          <w:i/>
          <w:iCs/>
        </w:rPr>
      </w:pPr>
      <w:bookmarkStart w:id="360" w:name="_Toc33695122"/>
      <w:bookmarkStart w:id="361" w:name="_Toc33696084"/>
      <w:r w:rsidRPr="00E46767">
        <w:rPr>
          <w:i/>
          <w:iCs/>
        </w:rPr>
        <w:t>Mixed Sources</w:t>
      </w:r>
      <w:bookmarkEnd w:id="360"/>
      <w:bookmarkEnd w:id="361"/>
    </w:p>
    <w:p w14:paraId="65145E6B" w14:textId="58EA1107" w:rsidR="004C66DF" w:rsidRPr="002D1DD7" w:rsidRDefault="004C66DF" w:rsidP="004C66DF">
      <w:r w:rsidRPr="002D1DD7">
        <w:t>Two TAs, TA510 (</w:t>
      </w:r>
      <w:r>
        <w:t>d</w:t>
      </w:r>
      <w:r w:rsidRPr="002D1DD7">
        <w:t>aratumumab for multiple myeloma)</w:t>
      </w:r>
      <w:r>
        <w:fldChar w:fldCharType="begin"/>
      </w:r>
      <w:r w:rsidR="004D5B2B">
        <w:instrText xml:space="preserve"> ADDIN EN.CITE &lt;EndNote&gt;&lt;Cite&gt;&lt;Author&gt;National Institute for Health and Care Excellence (NICE)&lt;/Author&gt;&lt;Year&gt;2018&lt;/Year&gt;&lt;RecNum&gt;3&lt;/RecNum&gt;&lt;DisplayText&gt;&lt;style face="superscript"&gt;213&lt;/style&gt;&lt;/DisplayText&gt;&lt;record&gt;&lt;rec-number&gt;3&lt;/rec-number&gt;&lt;foreign-keys&gt;&lt;key app="EN" db-id="pz0rrdex3zsv21etatn5ww0i0509tzrzexxd" timestamp="1580649514"&gt;3&lt;/key&gt;&lt;/foreign-keys&gt;&lt;ref-type name="Report"&gt;27&lt;/ref-type&gt;&lt;contributors&gt;&lt;authors&gt;&lt;author&gt;National Institute for Health and Care Excellence (NICE),&lt;/author&gt;&lt;/authors&gt;&lt;/contributors&gt;&lt;titles&gt;&lt;title&gt;TA510: Daratumumab monotherapy for treating relapsed and refractory multiple myeloma&lt;/title&gt;&lt;/titles&gt;&lt;dates&gt;&lt;year&gt;2018&lt;/year&gt;&lt;/dates&gt;&lt;urls&gt;&lt;related-urls&gt;&lt;url&gt;https://www.nice.org.uk/guidance/ta510&lt;/url&gt;&lt;/related-urls&gt;&lt;/urls&gt;&lt;access-date&gt;27 February 2019&lt;/access-date&gt;&lt;/record&gt;&lt;/Cite&gt;&lt;/EndNote&gt;</w:instrText>
      </w:r>
      <w:r>
        <w:fldChar w:fldCharType="separate"/>
      </w:r>
      <w:r w:rsidR="004D5B2B" w:rsidRPr="004D5B2B">
        <w:rPr>
          <w:noProof/>
          <w:vertAlign w:val="superscript"/>
        </w:rPr>
        <w:t>213</w:t>
      </w:r>
      <w:r>
        <w:fldChar w:fldCharType="end"/>
      </w:r>
      <w:r w:rsidRPr="002D1DD7">
        <w:t>, and TA517 (</w:t>
      </w:r>
      <w:r>
        <w:t>a</w:t>
      </w:r>
      <w:r w:rsidRPr="002D1DD7">
        <w:t xml:space="preserve">velumab for </w:t>
      </w:r>
      <w:r>
        <w:t>MCC</w:t>
      </w:r>
      <w:r w:rsidRPr="002D1DD7">
        <w:t>)</w:t>
      </w:r>
      <w:r>
        <w:t>,</w:t>
      </w:r>
      <w:r>
        <w:fldChar w:fldCharType="begin"/>
      </w:r>
      <w:r w:rsidR="004D5B2B">
        <w:instrText xml:space="preserve"> ADDIN EN.CITE &lt;EndNote&gt;&lt;Cite&gt;&lt;Author&gt;National Institute for Health and Care Excellence (NICE)&lt;/Author&gt;&lt;Year&gt;2017&lt;/Year&gt;&lt;RecNum&gt;8&lt;/RecNum&gt;&lt;DisplayText&gt;&lt;style face="superscript"&gt;218&lt;/style&gt;&lt;/DisplayText&gt;&lt;record&gt;&lt;rec-number&gt;8&lt;/rec-number&gt;&lt;foreign-keys&gt;&lt;key app="EN" db-id="pz0rrdex3zsv21etatn5ww0i0509tzrzexxd" timestamp="1580649514"&gt;8&lt;/key&gt;&lt;/foreign-keys&gt;&lt;ref-type name="Report"&gt;27&lt;/ref-type&gt;&lt;contributors&gt;&lt;authors&gt;&lt;author&gt;National Institute for Health and Care Excellence (NICE),&lt;/author&gt;&lt;/authors&gt;&lt;/contributors&gt;&lt;titles&gt;&lt;title&gt;TA517: Avelumab for treating metastatic merkel cell carcinoma&lt;/title&gt;&lt;/titles&gt;&lt;dates&gt;&lt;year&gt;2017&lt;/year&gt;&lt;/dates&gt;&lt;urls&gt;&lt;related-urls&gt;&lt;url&gt;https://www.nice.org.uk/guidance/ta517&lt;/url&gt;&lt;/related-urls&gt;&lt;/urls&gt;&lt;access-date&gt;27 February 2019&lt;/access-date&gt;&lt;/record&gt;&lt;/Cite&gt;&lt;/EndNote&gt;</w:instrText>
      </w:r>
      <w:r>
        <w:fldChar w:fldCharType="separate"/>
      </w:r>
      <w:r w:rsidR="004D5B2B" w:rsidRPr="004D5B2B">
        <w:rPr>
          <w:noProof/>
          <w:vertAlign w:val="superscript"/>
        </w:rPr>
        <w:t>218</w:t>
      </w:r>
      <w:r>
        <w:fldChar w:fldCharType="end"/>
      </w:r>
      <w:r>
        <w:t xml:space="preserve"> </w:t>
      </w:r>
      <w:r w:rsidRPr="002D1DD7">
        <w:t>considered different approaches and sources. The main submission for daratumumab was based on a MAIC between the daratumumab trials and other comparator trials. However, the ERG and committee expressed concerns about the unreliability of the estimates because of the number of variables which could be controlled for. The company subsequently performed an additional regression analysis of IPD from the pooled daratumumab cohort and the International Myeloma Foundation</w:t>
      </w:r>
      <w:r>
        <w:t xml:space="preserve"> (IMF)</w:t>
      </w:r>
      <w:r w:rsidRPr="002D1DD7">
        <w:t xml:space="preserve"> registry. The ERG considered that multivariate regression and MAIC were very different methods, and so it was inappropriate to use the multivariate regression to validate the results of the MAIC. Accordingly, the committee concluded that it was not possible to establish the relative effectiveness of daratumumab due to the high level of uncertainty in the relative effectiveness estimates, issues with the number of variables controlled for in the MAIC, and lack of cross validation of </w:t>
      </w:r>
      <w:r>
        <w:t xml:space="preserve">the </w:t>
      </w:r>
      <w:r w:rsidRPr="002D1DD7">
        <w:t xml:space="preserve">MAIC with other estimates. Despite these concerns, the committee approved daratumumab for use in the CDF. This was justified by the committee based on the plausible potential that daratumumab </w:t>
      </w:r>
      <w:r>
        <w:t>c</w:t>
      </w:r>
      <w:r w:rsidRPr="002D1DD7">
        <w:t xml:space="preserve">ould be cost-effective and the view that additional data being collected within the Early Access </w:t>
      </w:r>
      <w:r>
        <w:t>P</w:t>
      </w:r>
      <w:r w:rsidRPr="002D1DD7">
        <w:t xml:space="preserve">rogramme </w:t>
      </w:r>
      <w:r>
        <w:t xml:space="preserve">(EAP) </w:t>
      </w:r>
      <w:r w:rsidRPr="002D1DD7">
        <w:t xml:space="preserve">would provide more robust evidence on the clinical effectiveness of daratumumab. </w:t>
      </w:r>
    </w:p>
    <w:p w14:paraId="59772AA7" w14:textId="77777777" w:rsidR="004C66DF" w:rsidRPr="002D1DD7" w:rsidRDefault="004C66DF" w:rsidP="004C66DF">
      <w:r w:rsidRPr="002D1DD7">
        <w:t>In the avelumab appraisal, the company performed a naïve comparison with a retrospective observational study of patients with metastatic MCC. The company supplemented this with regression analysis but the ERG had concerns due to data immaturity and small patient numbers. Again, problems were mostly around identification of subgroups and variables that might influence the final estimates and lack of suitable head-to-head data.</w:t>
      </w:r>
    </w:p>
    <w:p w14:paraId="4BAC2534" w14:textId="77777777" w:rsidR="004C66DF" w:rsidRPr="00E46767" w:rsidRDefault="004C66DF" w:rsidP="00E46767">
      <w:pPr>
        <w:rPr>
          <w:b/>
          <w:bCs/>
        </w:rPr>
      </w:pPr>
      <w:bookmarkStart w:id="362" w:name="_Toc33695123"/>
      <w:bookmarkStart w:id="363" w:name="_Toc33696085"/>
      <w:r w:rsidRPr="00E46767">
        <w:rPr>
          <w:b/>
          <w:bCs/>
        </w:rPr>
        <w:t>Issue 4: Validation of a new test and biomarker</w:t>
      </w:r>
      <w:bookmarkEnd w:id="362"/>
      <w:bookmarkEnd w:id="363"/>
    </w:p>
    <w:p w14:paraId="261C223F" w14:textId="77777777" w:rsidR="004C66DF" w:rsidRPr="002D1DD7" w:rsidRDefault="004C66DF" w:rsidP="004C66DF">
      <w:r w:rsidRPr="002D1DD7">
        <w:t xml:space="preserve">Three technology appraisals were selected for the case studies in this section: these were of targeted technologies that were “first in class” or positioned at a new point in the treatment pathway where diagnostic testing was not presently commonplace for </w:t>
      </w:r>
      <w:r>
        <w:t>the relevant</w:t>
      </w:r>
      <w:r w:rsidRPr="002D1DD7">
        <w:t xml:space="preserve"> genomic alteration. These appraisals contained a discussion of the specific issue of identifying patients with the genomic alteration for which the technology was licensed. We explored how evidence related to the diagnostic accuracy of the test and the predictive and/or prognostic performance of the biomarker was considered. </w:t>
      </w:r>
    </w:p>
    <w:p w14:paraId="205A8303" w14:textId="77777777" w:rsidR="004C66DF" w:rsidRPr="00E46767" w:rsidRDefault="004C66DF" w:rsidP="00E46767">
      <w:pPr>
        <w:rPr>
          <w:b/>
          <w:bCs/>
          <w:i/>
          <w:iCs/>
        </w:rPr>
      </w:pPr>
      <w:bookmarkStart w:id="364" w:name="_Toc33695124"/>
      <w:bookmarkStart w:id="365" w:name="_Toc33696086"/>
      <w:r w:rsidRPr="00E46767">
        <w:rPr>
          <w:b/>
          <w:bCs/>
          <w:i/>
          <w:iCs/>
        </w:rPr>
        <w:t>Diagnostic accuracy</w:t>
      </w:r>
      <w:bookmarkEnd w:id="364"/>
      <w:bookmarkEnd w:id="365"/>
    </w:p>
    <w:p w14:paraId="4B60BF70" w14:textId="77777777" w:rsidR="004C66DF" w:rsidRPr="00F00A57" w:rsidRDefault="004C66DF" w:rsidP="004C66DF">
      <w:r w:rsidRPr="00701D32">
        <w:t xml:space="preserve">To ensure that individuals are able to access </w:t>
      </w:r>
      <w:r>
        <w:t>targeted treatments, diagnostic tests are required to identify eligible patients. These tests are not specifically appraised during the</w:t>
      </w:r>
      <w:r>
        <w:rPr>
          <w:rFonts w:cs="Times New Roman"/>
        </w:rPr>
        <w:t xml:space="preserve"> STA process; however, it is important to consider </w:t>
      </w:r>
      <w:r w:rsidRPr="002D1DD7">
        <w:rPr>
          <w:rFonts w:cs="Times New Roman"/>
        </w:rPr>
        <w:t>the diagnostic accuracy of available testing and the appropriateness of proposed testing strategies</w:t>
      </w:r>
      <w:r>
        <w:rPr>
          <w:rFonts w:cs="Times New Roman"/>
        </w:rPr>
        <w:t>, as these have implications on the population that is identified and the costs incurred</w:t>
      </w:r>
      <w:r w:rsidRPr="002D1DD7">
        <w:rPr>
          <w:rFonts w:cs="Times New Roman"/>
        </w:rPr>
        <w:t>.</w:t>
      </w:r>
      <w:r w:rsidRPr="00F00A57">
        <w:t xml:space="preserve"> </w:t>
      </w:r>
      <w:r w:rsidRPr="001C6B01">
        <w:t xml:space="preserve">Implementation of </w:t>
      </w:r>
      <w:r>
        <w:t>diagnostic strategies with a low sensitivity (high rates of false negative patients)</w:t>
      </w:r>
      <w:r w:rsidRPr="001C6B01">
        <w:t xml:space="preserve"> would </w:t>
      </w:r>
      <w:r w:rsidRPr="00024A65">
        <w:t>mean that a proportion of patients are likely to be missed</w:t>
      </w:r>
      <w:r>
        <w:t>, while strategies with low specificity (high rates of false positive patients)</w:t>
      </w:r>
      <w:r w:rsidRPr="001C6B01">
        <w:t xml:space="preserve"> </w:t>
      </w:r>
      <w:r>
        <w:t>may result in additional resources allocated to unnecessary procedures.</w:t>
      </w:r>
      <w:r w:rsidRPr="00452E58">
        <w:t xml:space="preserve"> </w:t>
      </w:r>
    </w:p>
    <w:p w14:paraId="599D121D" w14:textId="77777777" w:rsidR="004C66DF" w:rsidRPr="00E46767" w:rsidRDefault="004C66DF" w:rsidP="00E46767">
      <w:pPr>
        <w:rPr>
          <w:i/>
          <w:iCs/>
        </w:rPr>
      </w:pPr>
      <w:bookmarkStart w:id="366" w:name="_Toc33695125"/>
      <w:bookmarkStart w:id="367" w:name="_Toc33696087"/>
      <w:r w:rsidRPr="00E46767">
        <w:rPr>
          <w:i/>
          <w:iCs/>
        </w:rPr>
        <w:t>Crizotinib for untreated ALK-positive NSCLC (TA406)</w:t>
      </w:r>
      <w:bookmarkEnd w:id="366"/>
      <w:bookmarkEnd w:id="367"/>
      <w:r w:rsidRPr="00E46767">
        <w:rPr>
          <w:i/>
          <w:iCs/>
        </w:rPr>
        <w:t xml:space="preserve"> </w:t>
      </w:r>
    </w:p>
    <w:p w14:paraId="79CCC7FC" w14:textId="77777777" w:rsidR="004C66DF" w:rsidRPr="002D1DD7" w:rsidRDefault="004C66DF" w:rsidP="004C66DF">
      <w:r w:rsidRPr="002D1DD7">
        <w:t>In order to identify an ALK-positive patient, it was assumed that the implemented testing strategy would consist of patients first tested with IHC, with positive cases confirmed by FISH. Little detail was provided into the diagnostic accuracy of these types of test to identify ALK mutations; however, it was stated that studies have indicated that IHC is sensitive and specific for determining ALK status and is a viable alternative to FISH. While the validation of a companion diagnostic test is not required in the context of a NICE submission, the company’s IHC test for detecting ALK status did have FDA approval as a companion diagnostic for crizotinib and also received CE marketing for use in Europe.</w:t>
      </w:r>
    </w:p>
    <w:p w14:paraId="40210C80" w14:textId="77777777" w:rsidR="004C66DF" w:rsidRPr="002D1DD7" w:rsidRDefault="004C66DF" w:rsidP="004C66DF">
      <w:r w:rsidRPr="002D1DD7">
        <w:t xml:space="preserve">In order to calculate the cost per ALK-positive patient of testing for ALK status, the company submission described the expected distribution of NSCLC patients according to IHC and FISH tests using data pooled from two sources to estimate the total testing costs. These used assumptions regarding the positivity rate of the IHC test using a specific antibody for ALK-testing, to estimate the number of confirmatory FISH tests that would be required. The company noted that two antibodies were available </w:t>
      </w:r>
      <w:r>
        <w:t>f</w:t>
      </w:r>
      <w:r w:rsidRPr="002D1DD7">
        <w:t>or use in ALK testing; however, only the antibody considered to be more accurate was used in the analysis.</w:t>
      </w:r>
    </w:p>
    <w:p w14:paraId="4EE97160" w14:textId="77777777" w:rsidR="004C66DF" w:rsidRPr="002D1DD7" w:rsidRDefault="004C66DF" w:rsidP="004C66DF">
      <w:r w:rsidRPr="002D1DD7">
        <w:t xml:space="preserve">The ERG provided further detail on the accuracy of the IHC test in comparison to the FISH test. It was acknowledged that there was a possibility that some patients would be incorrectly treated with crizotinib if this testing strategy is adopted, but the exact number was unknown. The ERG considered that the proposed test strategy of IHC followed by confirmatory FISH to be reasonable, in context of their diagnostic accuracy. </w:t>
      </w:r>
    </w:p>
    <w:p w14:paraId="6CAF58C6" w14:textId="77777777" w:rsidR="004C66DF" w:rsidRPr="00E46767" w:rsidRDefault="004C66DF" w:rsidP="00E46767">
      <w:pPr>
        <w:rPr>
          <w:i/>
          <w:iCs/>
          <w:lang w:val="fr-FR"/>
        </w:rPr>
      </w:pPr>
      <w:bookmarkStart w:id="368" w:name="_Toc33695126"/>
      <w:bookmarkStart w:id="369" w:name="_Toc33696088"/>
      <w:r w:rsidRPr="00E46767">
        <w:rPr>
          <w:i/>
          <w:iCs/>
          <w:lang w:val="fr-FR"/>
        </w:rPr>
        <w:t>Osimertinib for T790M NSCLC (TA416)</w:t>
      </w:r>
      <w:bookmarkEnd w:id="368"/>
      <w:bookmarkEnd w:id="369"/>
    </w:p>
    <w:p w14:paraId="1DED8929" w14:textId="77777777" w:rsidR="004C66DF" w:rsidRPr="002D1DD7" w:rsidRDefault="004C66DF" w:rsidP="004C66DF">
      <w:r w:rsidRPr="002D1DD7">
        <w:t xml:space="preserve">The testing strategy in the analysis of osimertinib consisted </w:t>
      </w:r>
      <w:r>
        <w:t xml:space="preserve">of </w:t>
      </w:r>
      <w:r w:rsidRPr="002D1DD7">
        <w:t xml:space="preserve">either tissue biopsy, or </w:t>
      </w:r>
      <w:r>
        <w:t>circulating tumour DNA (</w:t>
      </w:r>
      <w:r w:rsidRPr="002D1DD7">
        <w:t>ctDNA</w:t>
      </w:r>
      <w:r>
        <w:t>)</w:t>
      </w:r>
      <w:r w:rsidRPr="002D1DD7">
        <w:t xml:space="preserve"> followed </w:t>
      </w:r>
      <w:r>
        <w:t xml:space="preserve">by </w:t>
      </w:r>
      <w:r w:rsidRPr="002D1DD7">
        <w:t xml:space="preserve">biopsy in those who were negative for the T790M mutation. </w:t>
      </w:r>
    </w:p>
    <w:p w14:paraId="3CB3ACA8" w14:textId="77777777" w:rsidR="004C66DF" w:rsidRPr="002D1DD7" w:rsidRDefault="004C66DF" w:rsidP="004C66DF">
      <w:pPr>
        <w:rPr>
          <w:rFonts w:cs="Times New Roman"/>
        </w:rPr>
      </w:pPr>
      <w:r w:rsidRPr="002D1DD7">
        <w:rPr>
          <w:rFonts w:cs="Times New Roman"/>
        </w:rPr>
        <w:t xml:space="preserve">The clinical effectiveness of osimertinib was evaluated in the AURA clinical trial programme. Patients were screened using a tissue biopsy and centrally assessed. The tissue biopsy was shown to have a high accuracy rate, with the large majority of patients who were screened as eligible for osimertinib </w:t>
      </w:r>
      <w:r>
        <w:rPr>
          <w:rFonts w:cs="Times New Roman"/>
        </w:rPr>
        <w:t xml:space="preserve">being </w:t>
      </w:r>
      <w:r w:rsidRPr="002D1DD7">
        <w:rPr>
          <w:rFonts w:cs="Times New Roman"/>
        </w:rPr>
        <w:t xml:space="preserve">confirmed </w:t>
      </w:r>
      <w:r>
        <w:rPr>
          <w:rFonts w:cs="Times New Roman"/>
        </w:rPr>
        <w:t xml:space="preserve">as </w:t>
      </w:r>
      <w:r w:rsidRPr="002D1DD7">
        <w:rPr>
          <w:rFonts w:cs="Times New Roman"/>
        </w:rPr>
        <w:t>T790M-positive (three patients were later found to not have the T790M mutation and one was of unknown status with insufficient tissue to perform the test).</w:t>
      </w:r>
    </w:p>
    <w:p w14:paraId="53F37CCD" w14:textId="77777777" w:rsidR="004C66DF" w:rsidRPr="002D1DD7" w:rsidRDefault="004C66DF" w:rsidP="004C66DF">
      <w:pPr>
        <w:rPr>
          <w:rFonts w:cs="Times New Roman"/>
        </w:rPr>
      </w:pPr>
      <w:r w:rsidRPr="002D1DD7">
        <w:rPr>
          <w:rFonts w:cs="Times New Roman"/>
        </w:rPr>
        <w:t>The sensitivity and specificity of tissue biopsy and ctDNA was described, within the context of estimating the expected testing costs to identify a patient with the T790M mutation. The sensitivity and specificity of tissue biopsy was obtained from a single study, and on unpublished results for ctDNA. The company estimated the overall positive detection rate of 60.1% (i.e. for every 1.66 patients tested, one patient is identified as T790M mutation positive and eligible for osimertinib treatment). Due to limitations of data, the company made assumptions regarding the diagnostic accuracy, assuming that it would be equal in patients who would be eligible for osimertinib as a second-line and as a third-line treatment. The impact on varying the diagnostic accuracy of these tests on the cost-effectiveness of osimertinib was not explored.</w:t>
      </w:r>
    </w:p>
    <w:p w14:paraId="3F07A129" w14:textId="77777777" w:rsidR="004C66DF" w:rsidRPr="00E46767" w:rsidRDefault="004C66DF" w:rsidP="00E46767">
      <w:pPr>
        <w:rPr>
          <w:i/>
          <w:iCs/>
        </w:rPr>
      </w:pPr>
      <w:bookmarkStart w:id="370" w:name="_Toc33695127"/>
      <w:bookmarkStart w:id="371" w:name="_Toc33696089"/>
      <w:r w:rsidRPr="00E46767">
        <w:rPr>
          <w:i/>
          <w:iCs/>
        </w:rPr>
        <w:t>Crizotinib for ROS1-positive NSCLC (TA529)</w:t>
      </w:r>
      <w:bookmarkEnd w:id="370"/>
      <w:bookmarkEnd w:id="371"/>
    </w:p>
    <w:p w14:paraId="22BE6FD2" w14:textId="77777777" w:rsidR="004C66DF" w:rsidRPr="002D1DD7" w:rsidRDefault="004C66DF" w:rsidP="004C66DF">
      <w:pPr>
        <w:rPr>
          <w:rFonts w:cs="Times New Roman"/>
        </w:rPr>
      </w:pPr>
      <w:r w:rsidRPr="002D1DD7">
        <w:rPr>
          <w:rFonts w:cs="Times New Roman"/>
        </w:rPr>
        <w:t>The primary testing strategy for identification of patients with the ROS1 oncogene was expected to consist of IHC screening followed by confirmatory FISH. However, in the pivotal clinical trial for crizotinib in ROS1-positive NSCLC, the majority of patients were identified at the screening stage through either central or local testing using FISH, and a small number using the PCR technique. Retrospective testing using NGS showed that two patients in the trial were actually ROS1-negative.</w:t>
      </w:r>
    </w:p>
    <w:p w14:paraId="7ED4A187" w14:textId="77777777" w:rsidR="004C66DF" w:rsidRPr="002B1B0D" w:rsidRDefault="004C66DF" w:rsidP="004C66DF">
      <w:pPr>
        <w:rPr>
          <w:rFonts w:cs="Times New Roman"/>
        </w:rPr>
      </w:pPr>
      <w:r w:rsidRPr="002D1DD7">
        <w:rPr>
          <w:rFonts w:cs="Times New Roman"/>
        </w:rPr>
        <w:t xml:space="preserve">The cost of identifying ROS1-positive patients in the economic analysis consisted of IHC followed up confirmatory FISH. The number of confirmatory FISH tests required was based on the expected sensitivity and specificity of IHC. The company cited an 83% specificity and 100% sensitivity for IHC, as suggested by a validation study for the use of ROS1 IHC staining in screening for ROS1 translocations in lung cancer. FISH was assumed to have sensitivity and specificity of 100%, as FISH was the reference test in the diagnostic accuracy study providing the specificity of IHC in ROS1 </w:t>
      </w:r>
      <w:r w:rsidRPr="002B1B0D">
        <w:t xml:space="preserve">testing. </w:t>
      </w:r>
    </w:p>
    <w:p w14:paraId="3E45BADE" w14:textId="77777777" w:rsidR="004C66DF" w:rsidRPr="00E46767" w:rsidRDefault="004C66DF" w:rsidP="00E46767">
      <w:pPr>
        <w:rPr>
          <w:b/>
          <w:bCs/>
        </w:rPr>
      </w:pPr>
      <w:bookmarkStart w:id="372" w:name="_Toc33695128"/>
      <w:bookmarkStart w:id="373" w:name="_Toc33696090"/>
      <w:r w:rsidRPr="00E46767">
        <w:rPr>
          <w:b/>
          <w:bCs/>
        </w:rPr>
        <w:t>Predictive validity</w:t>
      </w:r>
      <w:bookmarkEnd w:id="372"/>
      <w:bookmarkEnd w:id="373"/>
    </w:p>
    <w:p w14:paraId="141EB62F" w14:textId="77777777" w:rsidR="004C66DF" w:rsidRPr="00312F9D" w:rsidRDefault="004C66DF" w:rsidP="004C66DF">
      <w:r w:rsidRPr="00312F9D">
        <w:t xml:space="preserve">Predictive biomarkers </w:t>
      </w:r>
      <w:r w:rsidRPr="00622BB5">
        <w:t xml:space="preserve">provide an estimate of the expected response to treatment, and these are often targets for treatment. If a biomarker is not predictive, then </w:t>
      </w:r>
      <w:r w:rsidRPr="00622BB5">
        <w:rPr>
          <w:color w:val="000000"/>
          <w:shd w:val="clear" w:color="auto" w:fill="FFFFFF"/>
        </w:rPr>
        <w:t>the targeted treatment will not work in patients without the biomarker</w:t>
      </w:r>
      <w:r>
        <w:rPr>
          <w:color w:val="000000"/>
          <w:shd w:val="clear" w:color="auto" w:fill="FFFFFF"/>
        </w:rPr>
        <w:t xml:space="preserve"> </w:t>
      </w:r>
      <w:r w:rsidRPr="00622BB5">
        <w:rPr>
          <w:color w:val="000000"/>
          <w:shd w:val="clear" w:color="auto" w:fill="FFFFFF"/>
        </w:rPr>
        <w:t>present.</w:t>
      </w:r>
      <w:r w:rsidRPr="00622BB5">
        <w:t xml:space="preserve"> </w:t>
      </w:r>
      <w:r>
        <w:t>It is important to</w:t>
      </w:r>
      <w:r w:rsidRPr="00622BB5">
        <w:t xml:space="preserve"> </w:t>
      </w:r>
      <w:r w:rsidRPr="00312F9D">
        <w:t>understand the predictive nature of the biomarker, it will be difficult</w:t>
      </w:r>
      <w:r>
        <w:t>, without evidence to support this,</w:t>
      </w:r>
      <w:r w:rsidRPr="00312F9D">
        <w:t xml:space="preserve"> to estimate and adjust for the degree of error in estimates of relative effectiveness</w:t>
      </w:r>
      <w:r>
        <w:t>.</w:t>
      </w:r>
    </w:p>
    <w:p w14:paraId="793FF340" w14:textId="77777777" w:rsidR="004C66DF" w:rsidRPr="00E46767" w:rsidRDefault="004C66DF" w:rsidP="00E46767">
      <w:pPr>
        <w:rPr>
          <w:i/>
          <w:iCs/>
        </w:rPr>
      </w:pPr>
      <w:bookmarkStart w:id="374" w:name="_Toc33695129"/>
      <w:bookmarkStart w:id="375" w:name="_Toc33696091"/>
      <w:r w:rsidRPr="00E46767">
        <w:rPr>
          <w:i/>
          <w:iCs/>
        </w:rPr>
        <w:t>Crizotinib for untreated ALK-positive NSCLC (TA406)</w:t>
      </w:r>
      <w:bookmarkEnd w:id="374"/>
      <w:bookmarkEnd w:id="375"/>
    </w:p>
    <w:p w14:paraId="2563D7B6" w14:textId="77777777" w:rsidR="004C66DF" w:rsidRPr="002D1DD7" w:rsidRDefault="004C66DF" w:rsidP="004C66DF">
      <w:r w:rsidRPr="002B1B0D">
        <w:t>ALK was identified as a key oncogenic driver in a number of cancers, including NSCLC. The role of the ALK oncogene</w:t>
      </w:r>
      <w:r w:rsidRPr="002D1DD7">
        <w:t xml:space="preserve"> in cancer development and the clinical basis for the underlying mechanism of crizotinib in relation to the ALK oncogene is described in the company submission. Crizotinib is an inhibitor of ALK, and is alleged to block the activity of the abnormal ALK protein, which slows the growth and spread of the cancer in ALK-positive NSCLC, and may cause the cancer to shrink. </w:t>
      </w:r>
    </w:p>
    <w:p w14:paraId="02572588" w14:textId="77777777" w:rsidR="004C66DF" w:rsidRPr="002D1DD7" w:rsidRDefault="004C66DF" w:rsidP="004C66DF">
      <w:r w:rsidRPr="002D1DD7">
        <w:t>Since there was no evidence presented for the impact of crizotinib in ALK-negative patients, it was not possible to compare outcomes to those who are ALK-positive, and as such the predictive validity of the ALK oncogene cannot be commented on in this respect</w:t>
      </w:r>
    </w:p>
    <w:p w14:paraId="64477FA9" w14:textId="77777777" w:rsidR="004C66DF" w:rsidRPr="00E46767" w:rsidRDefault="004C66DF" w:rsidP="00E46767">
      <w:pPr>
        <w:rPr>
          <w:i/>
          <w:iCs/>
          <w:lang w:val="fr-FR"/>
        </w:rPr>
      </w:pPr>
      <w:bookmarkStart w:id="376" w:name="_Toc33695130"/>
      <w:bookmarkStart w:id="377" w:name="_Toc33696092"/>
      <w:r w:rsidRPr="00E46767">
        <w:rPr>
          <w:i/>
          <w:iCs/>
          <w:lang w:val="fr-FR"/>
        </w:rPr>
        <w:t>Osimertinib for T790M NSCLC (TA416)</w:t>
      </w:r>
      <w:bookmarkEnd w:id="376"/>
      <w:bookmarkEnd w:id="377"/>
    </w:p>
    <w:p w14:paraId="25F96B83" w14:textId="77777777" w:rsidR="004C66DF" w:rsidRPr="002D1DD7" w:rsidRDefault="004C66DF" w:rsidP="004C66DF">
      <w:r w:rsidRPr="002D1DD7">
        <w:t>The submission provided a description for the clinical basis of the predictive validity of the T790M mutation. Osimertinib was positioned as a second-line option for those who have failed an EGFR tyrosine kinase inhibitor (TKI) for NSCLC. EGFR mutation status had been established as a key predictive biomarker in NSCLC, correlating with sensitivity to an EGFR TKI. However, patients subsequently develop resistance to therapy, which can be either due to secondary mutations or via activation of bypass signalling pathways. The T790M mutations account for 50–60% of all cases of acquired resistance, and secondary T790M mutations were believed to provide a resistance to EGFR TKIs by two potential mechanisms.</w:t>
      </w:r>
    </w:p>
    <w:p w14:paraId="6C9E4765" w14:textId="77777777" w:rsidR="004C66DF" w:rsidRPr="002D1DD7" w:rsidRDefault="004C66DF" w:rsidP="004C66DF">
      <w:pPr>
        <w:rPr>
          <w:rFonts w:cs="Times New Roman"/>
        </w:rPr>
      </w:pPr>
      <w:r w:rsidRPr="002D1DD7">
        <w:rPr>
          <w:rFonts w:cs="Times New Roman"/>
        </w:rPr>
        <w:t>As with crizotinib for ALK-positive NSCLC, no mutation</w:t>
      </w:r>
      <w:r>
        <w:rPr>
          <w:rFonts w:cs="Times New Roman"/>
        </w:rPr>
        <w:t>-</w:t>
      </w:r>
      <w:r w:rsidRPr="002D1DD7">
        <w:rPr>
          <w:rFonts w:cs="Times New Roman"/>
        </w:rPr>
        <w:t>negative patients received treatment with osimertinib, so it was not possible to compare outcomes to those who are mutation positive, and subsequently evaluate empirical evidence of the predictive validity of the T790M mutation.</w:t>
      </w:r>
    </w:p>
    <w:p w14:paraId="0F25E07C" w14:textId="77777777" w:rsidR="004C66DF" w:rsidRPr="00E46767" w:rsidRDefault="004C66DF" w:rsidP="00E46767">
      <w:pPr>
        <w:rPr>
          <w:i/>
          <w:iCs/>
        </w:rPr>
      </w:pPr>
      <w:bookmarkStart w:id="378" w:name="_Toc33695131"/>
      <w:bookmarkStart w:id="379" w:name="_Toc33696093"/>
      <w:r w:rsidRPr="00E46767">
        <w:rPr>
          <w:i/>
          <w:iCs/>
        </w:rPr>
        <w:t>Crizotinib for ROS1-positive NSCLC (TA529)</w:t>
      </w:r>
      <w:bookmarkEnd w:id="378"/>
      <w:bookmarkEnd w:id="379"/>
    </w:p>
    <w:p w14:paraId="3B21B303" w14:textId="77777777" w:rsidR="004C66DF" w:rsidRPr="002D1DD7" w:rsidRDefault="004C66DF" w:rsidP="004C66DF">
      <w:pPr>
        <w:rPr>
          <w:rFonts w:cs="Times New Roman"/>
        </w:rPr>
      </w:pPr>
      <w:r w:rsidRPr="002D1DD7">
        <w:rPr>
          <w:rFonts w:cs="Times New Roman"/>
        </w:rPr>
        <w:t>Since there was no comparative evidence for patients in a ROS1-positive population, the company assumed equivalent efficacy of crizotinib as was observed in ALK-positive patients. The similarities between these two groups of patients was recognised by the EMA, who considered the generalisability of data from ALK-positive patients to the ROS1-positive patients to be sufficient in their approval of crizotinib. The rationale for the similarities was described both in terms of their biological basis and similarities in observed clinical behaviour such as response to crizotinib, patient characteristics (such as age and smoking status) and histology.</w:t>
      </w:r>
    </w:p>
    <w:p w14:paraId="16DD5C40" w14:textId="77777777" w:rsidR="004C66DF" w:rsidRPr="002D1DD7" w:rsidRDefault="004C66DF" w:rsidP="004C66DF">
      <w:pPr>
        <w:rPr>
          <w:rFonts w:cs="Times New Roman"/>
        </w:rPr>
      </w:pPr>
      <w:r w:rsidRPr="002D1DD7">
        <w:rPr>
          <w:rFonts w:cs="Times New Roman"/>
        </w:rPr>
        <w:t xml:space="preserve">The </w:t>
      </w:r>
      <w:r>
        <w:rPr>
          <w:rFonts w:cs="Times New Roman"/>
        </w:rPr>
        <w:t xml:space="preserve">Appraisal </w:t>
      </w:r>
      <w:r w:rsidRPr="002D1DD7">
        <w:rPr>
          <w:rFonts w:cs="Times New Roman"/>
        </w:rPr>
        <w:t xml:space="preserve">Committee considered that relative effectiveness remained uncertain, but agreed to explore the proxy data in its decision-making. However, it regarded this approach as very unusual and stated that this should not set a precedent for the use of data from proxy populations in future appraisals. The lack of knowledge on the implications of the ROS1 oncogene was a factor in the decision to recommend crizotinib through the </w:t>
      </w:r>
      <w:r>
        <w:rPr>
          <w:rFonts w:cs="Times New Roman"/>
        </w:rPr>
        <w:t>CDF</w:t>
      </w:r>
      <w:r w:rsidRPr="002D1DD7">
        <w:rPr>
          <w:rFonts w:cs="Times New Roman"/>
        </w:rPr>
        <w:t>, in order to collect data about its use in ROS1-positive advanced NSCLC. The committee concluded that collecting data on disease progression in people with ROS1-positive NSCLC treated with crizotinib would help to address the uncertainties around the survival benefit and the comparability of ROS1-positive and ALK-positive NSCLC populations.</w:t>
      </w:r>
    </w:p>
    <w:p w14:paraId="4528B4C7" w14:textId="77777777" w:rsidR="004C66DF" w:rsidRPr="002D1DD7" w:rsidRDefault="004C66DF" w:rsidP="004C66DF">
      <w:pPr>
        <w:rPr>
          <w:rFonts w:cs="Times New Roman"/>
        </w:rPr>
      </w:pPr>
      <w:r w:rsidRPr="002D1DD7">
        <w:rPr>
          <w:rFonts w:cs="Times New Roman"/>
        </w:rPr>
        <w:t>Retrospective testing using NGS showed that two patients enrolled in the pivotal trial crizotinib were actually ROS1-negative. While the ROS1-negative patients were included in the ITT analysis of the trial data, the company presented a scenario where these patients were excluded from the analyses. These two patients were described as having a worse or comparable response compared to most other ROS1-positive patients, suggestive of a predictive impact associated with the ROS1 oncogene.</w:t>
      </w:r>
    </w:p>
    <w:p w14:paraId="45AC129B" w14:textId="77777777" w:rsidR="004C66DF" w:rsidRPr="00E46767" w:rsidRDefault="004C66DF" w:rsidP="00E46767">
      <w:pPr>
        <w:rPr>
          <w:b/>
          <w:bCs/>
        </w:rPr>
      </w:pPr>
      <w:bookmarkStart w:id="380" w:name="_Toc33695132"/>
      <w:bookmarkStart w:id="381" w:name="_Toc33696094"/>
      <w:r w:rsidRPr="00E46767">
        <w:rPr>
          <w:b/>
          <w:bCs/>
        </w:rPr>
        <w:t>Prognostic validity</w:t>
      </w:r>
      <w:bookmarkEnd w:id="380"/>
      <w:bookmarkEnd w:id="381"/>
    </w:p>
    <w:p w14:paraId="755295C1" w14:textId="77777777" w:rsidR="004C66DF" w:rsidRPr="002673D5" w:rsidRDefault="004C66DF" w:rsidP="004C66DF">
      <w:pPr>
        <w:autoSpaceDE w:val="0"/>
        <w:autoSpaceDN w:val="0"/>
        <w:adjustRightInd w:val="0"/>
        <w:spacing w:before="0" w:after="0"/>
      </w:pPr>
      <w:r w:rsidRPr="003756E9">
        <w:rPr>
          <w:rFonts w:cs="Times New Roman"/>
        </w:rPr>
        <w:t>Prognostic biomarkers indicate the likelihood that a patient will have a particular disease course or natural history</w:t>
      </w:r>
      <w:r>
        <w:rPr>
          <w:rFonts w:cs="Times New Roman"/>
        </w:rPr>
        <w:t xml:space="preserve"> independent of treatment</w:t>
      </w:r>
      <w:r w:rsidRPr="003756E9">
        <w:rPr>
          <w:rFonts w:cs="Times New Roman"/>
        </w:rPr>
        <w:t>, such as the risk of disease progression or the mean survival time.</w:t>
      </w:r>
      <w:r>
        <w:rPr>
          <w:rFonts w:cs="Times New Roman"/>
        </w:rPr>
        <w:t xml:space="preserve"> T</w:t>
      </w:r>
      <w:r w:rsidRPr="003756E9">
        <w:rPr>
          <w:rFonts w:cs="Times New Roman"/>
        </w:rPr>
        <w:t>hose with the biomarker present might be expected to experience a different course of disease to someone without the biomarker.</w:t>
      </w:r>
      <w:r>
        <w:rPr>
          <w:rFonts w:cs="Times New Roman"/>
        </w:rPr>
        <w:t xml:space="preserve"> The prognostic implications of the target mutation is important when considering </w:t>
      </w:r>
      <w:r w:rsidRPr="002D1DD7">
        <w:rPr>
          <w:rFonts w:cs="Times New Roman"/>
        </w:rPr>
        <w:t xml:space="preserve">the </w:t>
      </w:r>
      <w:r>
        <w:rPr>
          <w:rFonts w:cs="Times New Roman"/>
        </w:rPr>
        <w:t>outcomes</w:t>
      </w:r>
      <w:r w:rsidRPr="002D1DD7">
        <w:rPr>
          <w:rFonts w:cs="Times New Roman"/>
        </w:rPr>
        <w:t xml:space="preserve"> of patients receiving standard care</w:t>
      </w:r>
      <w:r>
        <w:rPr>
          <w:rFonts w:cs="Times New Roman"/>
        </w:rPr>
        <w:t>. This is especially the case since trials of new targeted therapies often do not contain a control arm. In many cases where the relevance of the biomarker is a new discovery, evidence for the natural history of patients with the target mutation will be limited. W</w:t>
      </w:r>
      <w:r>
        <w:t xml:space="preserve">hen only the clinical outcomes of the </w:t>
      </w:r>
      <w:r>
        <w:rPr>
          <w:rFonts w:cs="Times New Roman"/>
        </w:rPr>
        <w:t>targeted therapy</w:t>
      </w:r>
      <w:r>
        <w:t xml:space="preserve"> are known</w:t>
      </w:r>
      <w:r>
        <w:rPr>
          <w:rFonts w:cs="Times New Roman"/>
        </w:rPr>
        <w:t>,</w:t>
      </w:r>
      <w:r w:rsidRPr="002673D5">
        <w:t xml:space="preserve"> </w:t>
      </w:r>
      <w:r>
        <w:t>estimating the relative clinical effectiveness, and subsequently the cost-effectiveness,</w:t>
      </w:r>
      <w:r>
        <w:rPr>
          <w:rFonts w:cs="Times New Roman"/>
        </w:rPr>
        <w:t xml:space="preserve"> </w:t>
      </w:r>
      <w:r>
        <w:t>will be challenging.</w:t>
      </w:r>
      <w:r>
        <w:rPr>
          <w:rFonts w:cs="Times New Roman"/>
        </w:rPr>
        <w:t xml:space="preserve"> </w:t>
      </w:r>
    </w:p>
    <w:p w14:paraId="7C47F7F5" w14:textId="77777777" w:rsidR="004C66DF" w:rsidRPr="00E46767" w:rsidRDefault="004C66DF" w:rsidP="00E46767">
      <w:pPr>
        <w:rPr>
          <w:i/>
          <w:iCs/>
        </w:rPr>
      </w:pPr>
      <w:bookmarkStart w:id="382" w:name="_Toc33695133"/>
      <w:bookmarkStart w:id="383" w:name="_Toc33696095"/>
      <w:r w:rsidRPr="00E46767">
        <w:rPr>
          <w:i/>
          <w:iCs/>
        </w:rPr>
        <w:t>Crizotinib for untreated ALK-positive NSCLC (TA406)</w:t>
      </w:r>
      <w:bookmarkEnd w:id="382"/>
      <w:bookmarkEnd w:id="383"/>
      <w:r w:rsidRPr="00E46767">
        <w:rPr>
          <w:i/>
          <w:iCs/>
        </w:rPr>
        <w:t xml:space="preserve"> </w:t>
      </w:r>
    </w:p>
    <w:p w14:paraId="7000731A" w14:textId="77777777" w:rsidR="004C66DF" w:rsidRPr="002D1DD7" w:rsidRDefault="004C66DF" w:rsidP="004C66DF">
      <w:r w:rsidRPr="002D1DD7">
        <w:t>Evidence on the prognosis of ALK-positive patients on standard chemotherapy was limited at the time of the appraisal, with research into ALK-positive patients only having been studied in the context of investigations of crizotinib.</w:t>
      </w:r>
    </w:p>
    <w:p w14:paraId="5C4CAB73" w14:textId="77777777" w:rsidR="004C66DF" w:rsidRPr="002D1DD7" w:rsidRDefault="004C66DF" w:rsidP="004C66DF">
      <w:r w:rsidRPr="002D1DD7">
        <w:t>The life expectancy for patients with ALK-positive NSCLC on standard care could not be established with any certainty. Four estimates of median OS for chemotherapy were presented, but the applicability of these trials to the decision problem was limited. Two trials were identified that enrolled a population that was not specifically ALK-positive, that is, it is possible that both ALK-positive and ALK-negative patients were enrolled, and a further trial of ALK-positive patients of which the majority were not a first-line population having received previous treatments for advanced disease.</w:t>
      </w:r>
    </w:p>
    <w:p w14:paraId="045A3020" w14:textId="77777777" w:rsidR="004C66DF" w:rsidRPr="002D1DD7" w:rsidRDefault="004C66DF" w:rsidP="004C66DF">
      <w:pPr>
        <w:rPr>
          <w:rFonts w:cs="Times New Roman"/>
        </w:rPr>
      </w:pPr>
      <w:r w:rsidRPr="002D1DD7">
        <w:rPr>
          <w:rFonts w:cs="Times New Roman"/>
        </w:rPr>
        <w:t>The prognosis of ALK-positive patients was compared to that of general NSCLC patients, but it was considered that differences in survival could be due to differences in the patient populations. It had been established that ALK-positive patients tended to be younger with a median age in the early 50s for ALK-positive patients as opposed to mid–late 60s for ALK-negative NSCLC, and are more likely to be non-smokers.</w:t>
      </w:r>
    </w:p>
    <w:p w14:paraId="12F4EAD5" w14:textId="77777777" w:rsidR="004C66DF" w:rsidRPr="002D1DD7" w:rsidRDefault="004C66DF" w:rsidP="004C66DF">
      <w:pPr>
        <w:rPr>
          <w:rFonts w:cs="Times New Roman"/>
        </w:rPr>
      </w:pPr>
      <w:r w:rsidRPr="002D1DD7">
        <w:rPr>
          <w:rFonts w:cs="Times New Roman"/>
        </w:rPr>
        <w:t>However, no information was presented regarding the disease burden of ALK-positive patients relative to ALK-negative NSCLC patients, and so it was not possible to draw any conclusions as to the impact of ALK status to the prognosis of these patients.</w:t>
      </w:r>
    </w:p>
    <w:p w14:paraId="58E1B17D" w14:textId="77777777" w:rsidR="004C66DF" w:rsidRPr="00E46767" w:rsidRDefault="004C66DF" w:rsidP="00E46767">
      <w:pPr>
        <w:rPr>
          <w:i/>
          <w:iCs/>
          <w:lang w:val="fr-FR"/>
        </w:rPr>
      </w:pPr>
      <w:bookmarkStart w:id="384" w:name="_Toc33695134"/>
      <w:bookmarkStart w:id="385" w:name="_Toc33696096"/>
      <w:r w:rsidRPr="00E46767">
        <w:rPr>
          <w:i/>
          <w:iCs/>
          <w:lang w:val="fr-FR"/>
        </w:rPr>
        <w:t>Osimertinib for T790M NSCLC (TA416)</w:t>
      </w:r>
      <w:bookmarkEnd w:id="384"/>
      <w:bookmarkEnd w:id="385"/>
    </w:p>
    <w:p w14:paraId="6562E685" w14:textId="77777777" w:rsidR="004C66DF" w:rsidRPr="002D1DD7" w:rsidRDefault="004C66DF" w:rsidP="004C66DF">
      <w:pPr>
        <w:rPr>
          <w:rFonts w:cs="Times New Roman"/>
        </w:rPr>
      </w:pPr>
      <w:r w:rsidRPr="002D1DD7">
        <w:rPr>
          <w:rFonts w:cs="Times New Roman"/>
        </w:rPr>
        <w:t>The role of the T790M mutation in patient prognosis was not understood at the time of this appraisal, and the discussion regarding a plausible biological basis for any differences between groups of patients was not presented. However, the company presented a number of analyses comparing outcomes for T790M+ve and T790M-ve patients, to demonstrate empirically the extent to which this biomarker may influence prognosis.</w:t>
      </w:r>
    </w:p>
    <w:p w14:paraId="1E325B8D" w14:textId="77777777" w:rsidR="004C66DF" w:rsidRPr="002D1DD7" w:rsidRDefault="004C66DF" w:rsidP="004C66DF">
      <w:pPr>
        <w:rPr>
          <w:rFonts w:cs="Times New Roman"/>
        </w:rPr>
      </w:pPr>
      <w:r w:rsidRPr="002D1DD7">
        <w:rPr>
          <w:rFonts w:cs="Times New Roman"/>
        </w:rPr>
        <w:t>The company presented results of a subgroup analysis by presence of T790M status for patients receiving chemotherapy. However, it was acknowledged that the trial used in the example was not designed to explore differences between T790M+ve and T790M-ve patients, and the patients were identified retrospectively as having the EGFR T790M mutation, and so the conclusions that could be drawn from this analysis were limited.</w:t>
      </w:r>
    </w:p>
    <w:p w14:paraId="0CEF04E5" w14:textId="77777777" w:rsidR="004C66DF" w:rsidRPr="002D1DD7" w:rsidRDefault="004C66DF" w:rsidP="004C66DF">
      <w:pPr>
        <w:rPr>
          <w:rFonts w:cs="Times New Roman"/>
        </w:rPr>
      </w:pPr>
      <w:r w:rsidRPr="002D1DD7">
        <w:rPr>
          <w:rFonts w:cs="Times New Roman"/>
        </w:rPr>
        <w:t>The median TTP for patients on untargeted chemotherapy was demonstrated as being similar between T790M mutation positive and T790M mutation negative patients, although there was some limited evidence to show that there may be some long-term differences, with a K</w:t>
      </w:r>
      <w:r>
        <w:rPr>
          <w:rFonts w:cs="Times New Roman"/>
        </w:rPr>
        <w:t xml:space="preserve">aplan </w:t>
      </w:r>
      <w:r w:rsidRPr="002D1DD7">
        <w:rPr>
          <w:rFonts w:cs="Times New Roman"/>
        </w:rPr>
        <w:t>M</w:t>
      </w:r>
      <w:r>
        <w:rPr>
          <w:rFonts w:cs="Times New Roman"/>
        </w:rPr>
        <w:t>eier</w:t>
      </w:r>
      <w:r w:rsidRPr="002D1DD7">
        <w:rPr>
          <w:rFonts w:cs="Times New Roman"/>
        </w:rPr>
        <w:t xml:space="preserve"> plot for </w:t>
      </w:r>
      <w:r>
        <w:rPr>
          <w:rFonts w:cs="Times New Roman"/>
        </w:rPr>
        <w:t xml:space="preserve">OS </w:t>
      </w:r>
      <w:r w:rsidRPr="002D1DD7">
        <w:rPr>
          <w:rFonts w:cs="Times New Roman"/>
        </w:rPr>
        <w:t>illustrating some divergence between the two groups after 12 months, with the T790M mutation</w:t>
      </w:r>
      <w:r>
        <w:rPr>
          <w:rFonts w:cs="Times New Roman"/>
        </w:rPr>
        <w:t>-</w:t>
      </w:r>
      <w:r w:rsidRPr="002D1DD7">
        <w:rPr>
          <w:rFonts w:cs="Times New Roman"/>
        </w:rPr>
        <w:t>positive group having marginally poorer survival.</w:t>
      </w:r>
    </w:p>
    <w:p w14:paraId="489B8268" w14:textId="77777777" w:rsidR="004C66DF" w:rsidRPr="002D1DD7" w:rsidRDefault="004C66DF" w:rsidP="004C66DF">
      <w:pPr>
        <w:rPr>
          <w:rFonts w:cs="Times New Roman"/>
        </w:rPr>
      </w:pPr>
      <w:r w:rsidRPr="002D1DD7">
        <w:rPr>
          <w:rFonts w:cs="Times New Roman"/>
        </w:rPr>
        <w:t>Clinical advice given to the ERG, however, contradicted this evidence of poorer prognosis and suggested that patients with EGFR mutation-positive NSCLC have a better prognosis than patients in an unselected advanced NSCLC population. This is because they tend to be younger and have fewer co-morbidities. This difference in opinion demonstrates that the role of T790M mutations in the prognosis of NSCLC was yet to be established.</w:t>
      </w:r>
    </w:p>
    <w:p w14:paraId="10E6B8FC" w14:textId="77777777" w:rsidR="004C66DF" w:rsidRPr="00E46767" w:rsidRDefault="004C66DF" w:rsidP="00E46767">
      <w:pPr>
        <w:rPr>
          <w:i/>
          <w:iCs/>
        </w:rPr>
      </w:pPr>
      <w:bookmarkStart w:id="386" w:name="_Toc33695135"/>
      <w:bookmarkStart w:id="387" w:name="_Toc33696097"/>
      <w:r w:rsidRPr="00E46767">
        <w:rPr>
          <w:i/>
          <w:iCs/>
        </w:rPr>
        <w:t>Crizotinib for ROS1-positive NSCLC (TA529)</w:t>
      </w:r>
      <w:bookmarkEnd w:id="386"/>
      <w:bookmarkEnd w:id="387"/>
    </w:p>
    <w:p w14:paraId="7E534FEB" w14:textId="77777777" w:rsidR="004C66DF" w:rsidRPr="002D1DD7" w:rsidRDefault="004C66DF" w:rsidP="004C66DF">
      <w:pPr>
        <w:rPr>
          <w:rFonts w:cs="Times New Roman"/>
        </w:rPr>
      </w:pPr>
      <w:r w:rsidRPr="002D1DD7">
        <w:rPr>
          <w:rFonts w:cs="Times New Roman"/>
        </w:rPr>
        <w:t>The ROS1 oncogene was a relatively new discovery at the time of the appraisal, and ROS1-positive advanced NSCLC is an ultra-orphan indication. As such, little was known about the natural history, patient characteristics and the clinical effectiveness of untargeted chemotherapy for tumours that are ROS1-positive.</w:t>
      </w:r>
    </w:p>
    <w:p w14:paraId="5D2DE94C" w14:textId="77777777" w:rsidR="004C66DF" w:rsidRPr="002D1DD7" w:rsidRDefault="004C66DF" w:rsidP="004C66DF">
      <w:pPr>
        <w:rPr>
          <w:rFonts w:cs="Times New Roman"/>
        </w:rPr>
      </w:pPr>
      <w:r w:rsidRPr="002D1DD7">
        <w:rPr>
          <w:rFonts w:cs="Times New Roman"/>
        </w:rPr>
        <w:t xml:space="preserve">As such, the majority of discussion regarding the prognostic validity of the ROS1 mutation was limited to its biological basis, with very limited clinical evidence yet available to demonstrate any differences between ROS1-positive and ROS1-negative groups empirically. </w:t>
      </w:r>
    </w:p>
    <w:p w14:paraId="455BFD6C" w14:textId="77777777" w:rsidR="004C66DF" w:rsidRPr="002D1DD7" w:rsidRDefault="004C66DF" w:rsidP="004C66DF">
      <w:pPr>
        <w:rPr>
          <w:rFonts w:cs="Times New Roman"/>
        </w:rPr>
      </w:pPr>
      <w:r w:rsidRPr="002D1DD7">
        <w:rPr>
          <w:rFonts w:cs="Times New Roman"/>
        </w:rPr>
        <w:t xml:space="preserve">At the time of the appraisal, differences between the characteristics of ROS1-positive patients and those with unselected NSCLC had been established to only a limited degree, with ROS1-positivity showing some associations with non-smoker status and a younger age of diagnosis, both of which are established prognostic factors. NSCLC associated with an underlying ROS1 gene-rearrangement is fundamentally different from unselected NSCLC, as disease progression in ROS1-positive NSCLC patients is dependent on the activated ROS1 </w:t>
      </w:r>
      <w:r w:rsidRPr="002D1DD7">
        <w:rPr>
          <w:rFonts w:cs="Times New Roman"/>
          <w:shd w:val="clear" w:color="auto" w:fill="FFFFFF"/>
        </w:rPr>
        <w:t>receptor tyrosine kinase (</w:t>
      </w:r>
      <w:r w:rsidRPr="002D1DD7">
        <w:rPr>
          <w:rFonts w:cs="Times New Roman"/>
        </w:rPr>
        <w:t>RTK) protein.</w:t>
      </w:r>
    </w:p>
    <w:p w14:paraId="7515F8E4" w14:textId="77777777" w:rsidR="004C66DF" w:rsidRPr="00A6522C" w:rsidRDefault="004C66DF" w:rsidP="004C66DF">
      <w:r w:rsidRPr="002D1DD7">
        <w:rPr>
          <w:rFonts w:cs="Times New Roman"/>
        </w:rPr>
        <w:t>A systematic review conducted by the company found that the limited studies that reported long</w:t>
      </w:r>
      <w:r>
        <w:rPr>
          <w:rFonts w:cs="Times New Roman"/>
        </w:rPr>
        <w:t>-</w:t>
      </w:r>
      <w:r w:rsidRPr="002D1DD7">
        <w:rPr>
          <w:rFonts w:cs="Times New Roman"/>
        </w:rPr>
        <w:t xml:space="preserve">term outcomes for ROS1 patients on chemotherapy were based on very small patient numbers and were not considered to provide reliable estimates of </w:t>
      </w:r>
      <w:r>
        <w:rPr>
          <w:rFonts w:cs="Times New Roman"/>
        </w:rPr>
        <w:t>OS</w:t>
      </w:r>
      <w:r w:rsidRPr="002D1DD7">
        <w:rPr>
          <w:rFonts w:cs="Times New Roman"/>
        </w:rPr>
        <w:t>. As a result, the prognosis of ROS1 patients on chemotherapy was assumed to be equivalent to that of ALK-positive patients, and data from patients with ALK-positive NSCLC were used as a proxy for the life expectancy of ROS1-positive NSCLC patients treated with current standard of care. The similarities between ROS1-positive and ALK-positive NSCLC allowed for the use of the better quality data available in the latter indication. Evidence in the ALK-positive population was more established, with a large Phase III trial of previously</w:t>
      </w:r>
      <w:r>
        <w:rPr>
          <w:rFonts w:cs="Times New Roman"/>
        </w:rPr>
        <w:t>-</w:t>
      </w:r>
      <w:r w:rsidRPr="002D1DD7">
        <w:rPr>
          <w:rFonts w:cs="Times New Roman"/>
        </w:rPr>
        <w:t>treated patients and two previous NICE appraisals in this indication, and there was greater clinician experience. Clinical experts predicted that ROS1-positive advanced NSCLC patients will be comparable to overall ALK-positive patients, due to the similar patient characteristics and homology (discussed previously in</w:t>
      </w:r>
      <w:r>
        <w:rPr>
          <w:rFonts w:cs="Times New Roman"/>
        </w:rPr>
        <w:t xml:space="preserve"> Section 6.4.2). </w:t>
      </w:r>
      <w:r w:rsidRPr="002D1DD7">
        <w:rPr>
          <w:rFonts w:cs="Times New Roman"/>
        </w:rPr>
        <w:t>Similarly to ALK-positive NSCLC, ROS1-positive NSCLC was not considered to be a favourable prognostic factor</w:t>
      </w:r>
      <w:r w:rsidRPr="00A6522C">
        <w:t>.</w:t>
      </w:r>
    </w:p>
    <w:p w14:paraId="66FA28CE" w14:textId="77777777" w:rsidR="004C66DF" w:rsidRPr="002D1DD7" w:rsidRDefault="004C66DF" w:rsidP="004C66DF">
      <w:r w:rsidRPr="002D1DD7">
        <w:t xml:space="preserve">As a result of the uncertainty regarding the </w:t>
      </w:r>
      <w:r>
        <w:t>comparability</w:t>
      </w:r>
      <w:r w:rsidRPr="002D1DD7">
        <w:t xml:space="preserve"> of the ROS1 </w:t>
      </w:r>
      <w:r>
        <w:t>and ALK populations</w:t>
      </w:r>
      <w:r w:rsidRPr="002D1DD7">
        <w:t xml:space="preserve">, </w:t>
      </w:r>
      <w:r>
        <w:t xml:space="preserve">the most plausible ICERs were considered highly uncertain and </w:t>
      </w:r>
      <w:r w:rsidRPr="002D1DD7">
        <w:t xml:space="preserve">crizotinib was recommended for use in the </w:t>
      </w:r>
      <w:r>
        <w:t>CDF</w:t>
      </w:r>
      <w:r w:rsidRPr="002D1DD7">
        <w:t xml:space="preserve"> for this indication</w:t>
      </w:r>
      <w:r>
        <w:t xml:space="preserve">. This enabled </w:t>
      </w:r>
      <w:r w:rsidRPr="002D1DD7">
        <w:t xml:space="preserve">evidence </w:t>
      </w:r>
      <w:r>
        <w:t>to</w:t>
      </w:r>
      <w:r w:rsidRPr="002D1DD7">
        <w:t xml:space="preserve"> be collected on patient characteristics and natural history, in order to further understand the ROS1 population and similarities to the ALK-positive population.</w:t>
      </w:r>
    </w:p>
    <w:p w14:paraId="25FC48EB" w14:textId="77777777" w:rsidR="004C66DF" w:rsidRPr="00E46767" w:rsidRDefault="004C66DF" w:rsidP="00E46767">
      <w:pPr>
        <w:rPr>
          <w:b/>
          <w:bCs/>
        </w:rPr>
      </w:pPr>
      <w:bookmarkStart w:id="388" w:name="_Toc33695136"/>
      <w:bookmarkStart w:id="389" w:name="_Toc33696098"/>
      <w:r w:rsidRPr="00E46767">
        <w:rPr>
          <w:b/>
          <w:bCs/>
        </w:rPr>
        <w:t>Issue 5: Implementation challenges of incorporating a new diagnostic approach/pathway</w:t>
      </w:r>
      <w:bookmarkEnd w:id="388"/>
      <w:bookmarkEnd w:id="389"/>
    </w:p>
    <w:p w14:paraId="5A86304B" w14:textId="250CAEE1" w:rsidR="004C66DF" w:rsidRPr="004F129C" w:rsidRDefault="004C66DF" w:rsidP="004C66DF">
      <w:r w:rsidRPr="00701D32">
        <w:t xml:space="preserve">To ensure that individuals are able to access </w:t>
      </w:r>
      <w:r>
        <w:t xml:space="preserve">targeted treatments, such as those that are histology-independent, the infrastructure to identify such patients is needed. The introduction or alteration of such infrastructure is associated with a number of challenges. </w:t>
      </w:r>
      <w:r w:rsidRPr="001C6B01">
        <w:t>Capacity constraints have been identified as a key barrier to the introduction of pr</w:t>
      </w:r>
      <w:r>
        <w:t>ecision medicines onto the NHS.</w:t>
      </w:r>
      <w:r w:rsidRPr="00556A8E">
        <w:fldChar w:fldCharType="begin"/>
      </w:r>
      <w:r w:rsidR="00500BB3">
        <w:instrText xml:space="preserve"> ADDIN EN.CITE &lt;EndNote&gt;&lt;Cite&gt;&lt;Author&gt;Wright&lt;/Author&gt;&lt;Year&gt;2019&lt;/Year&gt;&lt;RecNum&gt;3580&lt;/RecNum&gt;&lt;DisplayText&gt;&lt;style face="superscript"&gt;224&lt;/style&gt;&lt;/DisplayText&gt;&lt;record&gt;&lt;rec-number&gt;3580&lt;/rec-number&gt;&lt;foreign-keys&gt;&lt;key app="EN" db-id="dwaevxvazfs2f3ewvzmxrd0k0wasw55p2z2w" timestamp="1580904598"&gt;3580&lt;/key&gt;&lt;/foreign-keys&gt;&lt;ref-type name="Journal Article"&gt;17&lt;/ref-type&gt;&lt;contributors&gt;&lt;authors&gt;&lt;author&gt;Wright, S. J.&lt;/author&gt;&lt;author&gt;Newman, W. G.&lt;/author&gt;&lt;author&gt;Payne, K.&lt;/author&gt;&lt;/authors&gt;&lt;/contributors&gt;&lt;auth-address&gt;Manchester Centre for Health Economics, Division of Population Health, Health Services Research and Primary Care, The University of Manchester, Oxford Road, Manchester, M13 9PL, UK. stuart.wright-2@manchester.ac.uk.&amp;#xD;Manchester Centre for Genomic Medicine, Division of Evolution and Genomic Sciences, The University of Manchester, Manchester, UK.&amp;#xD;North West Genomic Laboratory Hub, Manchester Centre for Genomic Medicine, Manchester University NHS Foundation Trust, Manchester, UK.&amp;#xD;Manchester Centre for Health Economics, Division of Population Health, Health Services Research and Primary Care, The University of Manchester, Oxford Road, Manchester, M13 9PL, UK.&lt;/auth-address&gt;&lt;titles&gt;&lt;title&gt;Accounting for capacity constraints in economic evaluations of precision medicine: a systematic review&lt;/title&gt;&lt;secondary-title&gt;Pharmacoeconomics&lt;/secondary-title&gt;&lt;/titles&gt;&lt;periodical&gt;&lt;full-title&gt;Pharmacoeconomics&lt;/full-title&gt;&lt;abbr-1&gt;Pharmacoeconomics&lt;/abbr-1&gt;&lt;/periodical&gt;&lt;pages&gt;1011-1027&lt;/pages&gt;&lt;volume&gt;37&lt;/volume&gt;&lt;number&gt;8&lt;/number&gt;&lt;edition&gt;2019/05/16&lt;/edition&gt;&lt;dates&gt;&lt;year&gt;2019&lt;/year&gt;&lt;pub-dates&gt;&lt;date&gt;Aug&lt;/date&gt;&lt;/pub-dates&gt;&lt;/dates&gt;&lt;isbn&gt;1179-2027 (Electronic)&amp;#xD;1170-7690 (Linking)&lt;/isbn&gt;&lt;accession-num&gt;31087278&lt;/accession-num&gt;&lt;urls&gt;&lt;/urls&gt;&lt;custom2&gt;PMC6597608&lt;/custom2&gt;&lt;electronic-resource-num&gt;10.1007/s40273-019-00801-9&lt;/electronic-resource-num&gt;&lt;/record&gt;&lt;/Cite&gt;&lt;/EndNote&gt;</w:instrText>
      </w:r>
      <w:r w:rsidRPr="00556A8E">
        <w:fldChar w:fldCharType="separate"/>
      </w:r>
      <w:r w:rsidR="004D5B2B" w:rsidRPr="004D5B2B">
        <w:rPr>
          <w:noProof/>
          <w:vertAlign w:val="superscript"/>
        </w:rPr>
        <w:t>224</w:t>
      </w:r>
      <w:r w:rsidRPr="00556A8E">
        <w:fldChar w:fldCharType="end"/>
      </w:r>
      <w:r>
        <w:t xml:space="preserve"> An increase in service provision may result in</w:t>
      </w:r>
      <w:r w:rsidRPr="00701D32">
        <w:t xml:space="preserve"> investment</w:t>
      </w:r>
      <w:r>
        <w:t xml:space="preserve"> in NHS genomics services, to </w:t>
      </w:r>
      <w:r w:rsidRPr="00701D32">
        <w:t xml:space="preserve">increase </w:t>
      </w:r>
      <w:r>
        <w:t xml:space="preserve">staffing </w:t>
      </w:r>
      <w:r w:rsidRPr="00701D32">
        <w:t>capacity</w:t>
      </w:r>
      <w:r>
        <w:t xml:space="preserve">, </w:t>
      </w:r>
      <w:r w:rsidRPr="001C6B01">
        <w:t>laboratory infrastructure</w:t>
      </w:r>
      <w:r>
        <w:t xml:space="preserve">, and a </w:t>
      </w:r>
      <w:r w:rsidRPr="00701D32">
        <w:t xml:space="preserve">need for education and training to ensure that clinicians are aware of where targeted medicines could fit within </w:t>
      </w:r>
      <w:r>
        <w:t>the</w:t>
      </w:r>
      <w:r w:rsidRPr="00701D32">
        <w:t xml:space="preserve"> treatment pathway</w:t>
      </w:r>
      <w:r>
        <w:t>. Not only will the requirement of diagnostic tests for patient identification result in additional costs to the NHS, the manner in which patients are identified may also have implications on the type of patients that receive treatment and how similar they are to the patients enrolled in the trials. There may be a variety of testing strategies that could be used in clinical practice, including the diagnostic tests that are used and in which sequence they are used. The time at which patients are identified, whether tested at diagnosis or after treatment failure may influence which is the relevant comparator treatment, which differs by treatment line. In this section, we discuss the extent to which these issues are explored in a number of technology appraisals of targeted therapies.</w:t>
      </w:r>
    </w:p>
    <w:p w14:paraId="68F78DAD" w14:textId="77777777" w:rsidR="004C66DF" w:rsidRPr="000E405B" w:rsidRDefault="004C66DF" w:rsidP="000E405B">
      <w:pPr>
        <w:rPr>
          <w:b/>
          <w:bCs/>
        </w:rPr>
      </w:pPr>
      <w:bookmarkStart w:id="390" w:name="_Toc33695137"/>
      <w:bookmarkStart w:id="391" w:name="_Toc33696099"/>
      <w:r w:rsidRPr="000E405B">
        <w:rPr>
          <w:b/>
          <w:bCs/>
        </w:rPr>
        <w:t>Crizotinib for ALK-positive NSCLC (TA406)</w:t>
      </w:r>
      <w:bookmarkEnd w:id="390"/>
      <w:bookmarkEnd w:id="391"/>
    </w:p>
    <w:p w14:paraId="7C031D48" w14:textId="77777777" w:rsidR="004C66DF" w:rsidRPr="002D1DD7" w:rsidRDefault="004C66DF" w:rsidP="004C66DF">
      <w:pPr>
        <w:rPr>
          <w:rFonts w:cs="Times New Roman"/>
          <w:b/>
        </w:rPr>
      </w:pPr>
      <w:r w:rsidRPr="002D1DD7">
        <w:rPr>
          <w:rFonts w:cs="Times New Roman"/>
        </w:rPr>
        <w:t>Crizotinib for ALK-positive NSCLC was evaluated initially as a second-line therapy (TA296), with a first-line indication evaluated subsequently in this appraisal. At the time of the appraisal, infrastructure was already in place for the service provision and management of molecular testing to confirm ALK status, with several providers set up with this testing facility. A number of issues regarding the implementation of ALK testing were discussed, including the testing strategy, the timing of testing, the unit costs of testing, and the impact of testing to the number of eligible patients who receive treatment.</w:t>
      </w:r>
    </w:p>
    <w:p w14:paraId="1E874187" w14:textId="77777777" w:rsidR="004C66DF" w:rsidRPr="000E405B" w:rsidRDefault="004C66DF" w:rsidP="000E405B">
      <w:pPr>
        <w:rPr>
          <w:i/>
          <w:iCs/>
        </w:rPr>
      </w:pPr>
      <w:r w:rsidRPr="000E405B">
        <w:rPr>
          <w:i/>
          <w:iCs/>
        </w:rPr>
        <w:t>Testing strategy</w:t>
      </w:r>
    </w:p>
    <w:p w14:paraId="45E9A0F3" w14:textId="77777777" w:rsidR="004C66DF" w:rsidRPr="002D1DD7" w:rsidRDefault="004C66DF" w:rsidP="004C66DF">
      <w:pPr>
        <w:rPr>
          <w:rFonts w:cs="Times New Roman"/>
        </w:rPr>
      </w:pPr>
      <w:r w:rsidRPr="002D1DD7">
        <w:rPr>
          <w:rFonts w:cs="Times New Roman"/>
        </w:rPr>
        <w:t>The company provided details of a two-tiered testing approach to identify ALK-positive in clinical practice: “testin</w:t>
      </w:r>
      <w:r>
        <w:rPr>
          <w:rFonts w:cs="Times New Roman"/>
        </w:rPr>
        <w:t xml:space="preserve">g is performed initially with IHC </w:t>
      </w:r>
      <w:r w:rsidRPr="002D1DD7">
        <w:rPr>
          <w:rFonts w:cs="Times New Roman"/>
        </w:rPr>
        <w:t>and positive re</w:t>
      </w:r>
      <w:r>
        <w:rPr>
          <w:rFonts w:cs="Times New Roman"/>
        </w:rPr>
        <w:t>sults are then validated by FISH</w:t>
      </w:r>
      <w:r w:rsidRPr="002D1DD7">
        <w:rPr>
          <w:rFonts w:cs="Times New Roman"/>
        </w:rPr>
        <w:t>”, a strategy that was endorsed by two professional bodies (</w:t>
      </w:r>
      <w:r>
        <w:rPr>
          <w:rFonts w:cs="Times New Roman"/>
        </w:rPr>
        <w:t>the European Society for Medical Oncology [</w:t>
      </w:r>
      <w:r w:rsidRPr="002D1DD7">
        <w:rPr>
          <w:rFonts w:cs="Times New Roman"/>
        </w:rPr>
        <w:t>ESMO</w:t>
      </w:r>
      <w:r>
        <w:rPr>
          <w:rFonts w:cs="Times New Roman"/>
        </w:rPr>
        <w:t>]</w:t>
      </w:r>
      <w:r w:rsidRPr="002D1DD7">
        <w:rPr>
          <w:rFonts w:cs="Times New Roman"/>
        </w:rPr>
        <w:t xml:space="preserve"> and the Royal College of Pathologi</w:t>
      </w:r>
      <w:r>
        <w:rPr>
          <w:rFonts w:cs="Times New Roman"/>
        </w:rPr>
        <w:t>sts [RCP]</w:t>
      </w:r>
      <w:r w:rsidRPr="002D1DD7">
        <w:rPr>
          <w:rFonts w:cs="Times New Roman"/>
        </w:rPr>
        <w:t xml:space="preserve">) and also implemented in the economic analysis. No specific tests are detailed in the </w:t>
      </w:r>
      <w:r>
        <w:rPr>
          <w:rFonts w:cs="Times New Roman"/>
        </w:rPr>
        <w:t>Summary of Product Characteristics (</w:t>
      </w:r>
      <w:r w:rsidRPr="002D1DD7">
        <w:rPr>
          <w:rFonts w:cs="Times New Roman"/>
        </w:rPr>
        <w:t>S</w:t>
      </w:r>
      <w:r>
        <w:rPr>
          <w:rFonts w:cs="Times New Roman"/>
        </w:rPr>
        <w:t>m</w:t>
      </w:r>
      <w:r w:rsidRPr="002D1DD7">
        <w:rPr>
          <w:rFonts w:cs="Times New Roman"/>
        </w:rPr>
        <w:t>PC</w:t>
      </w:r>
      <w:r>
        <w:rPr>
          <w:rFonts w:cs="Times New Roman"/>
        </w:rPr>
        <w:t>)</w:t>
      </w:r>
      <w:r w:rsidRPr="002D1DD7">
        <w:rPr>
          <w:rFonts w:cs="Times New Roman"/>
        </w:rPr>
        <w:t xml:space="preserve"> for crizotinib, and so the company provided a description of the specific IHC and FISH assays that are endorsed and validated by other clinical bodies such as ESMO, RCP and FDA. This approach to diagnosis appears to differ to the strategy that was used in the pivotal trial of crizotinib, where </w:t>
      </w:r>
      <w:r>
        <w:rPr>
          <w:rFonts w:cs="Times New Roman"/>
        </w:rPr>
        <w:t xml:space="preserve">the identification of </w:t>
      </w:r>
      <w:r w:rsidRPr="002D1DD7">
        <w:rPr>
          <w:rFonts w:cs="Times New Roman"/>
        </w:rPr>
        <w:t>ALK patients was based on a FISH test only. However, limited discussion was given as to the implications of the differing testing strategies regarding the patient population identified, although the ERG noted the potential for a two-tiered approach resulting in delays to treatment and patients having a reduced capacity to benefit from treatment if the disease is allowed to progress.</w:t>
      </w:r>
    </w:p>
    <w:p w14:paraId="2ED05A01" w14:textId="77777777" w:rsidR="004C66DF" w:rsidRPr="002D1DD7" w:rsidRDefault="004C66DF" w:rsidP="004C66DF">
      <w:pPr>
        <w:rPr>
          <w:rFonts w:cs="Times New Roman"/>
        </w:rPr>
      </w:pPr>
      <w:r w:rsidRPr="002D1DD7">
        <w:rPr>
          <w:rFonts w:cs="Times New Roman"/>
        </w:rPr>
        <w:t>The clinical and cost-effectiveness implication</w:t>
      </w:r>
      <w:r>
        <w:rPr>
          <w:rFonts w:cs="Times New Roman"/>
        </w:rPr>
        <w:t>s</w:t>
      </w:r>
      <w:r w:rsidRPr="002D1DD7">
        <w:rPr>
          <w:rFonts w:cs="Times New Roman"/>
        </w:rPr>
        <w:t xml:space="preserve"> of testing strategies using alternative diagnostic tests, such as NGS or reverse transcription polymerase chain reaction </w:t>
      </w:r>
      <w:r>
        <w:rPr>
          <w:rFonts w:cs="Times New Roman"/>
        </w:rPr>
        <w:t>(</w:t>
      </w:r>
      <w:r w:rsidRPr="002D1DD7">
        <w:rPr>
          <w:rFonts w:cs="Times New Roman"/>
        </w:rPr>
        <w:t>RT-PCR</w:t>
      </w:r>
      <w:r>
        <w:rPr>
          <w:rFonts w:cs="Times New Roman"/>
        </w:rPr>
        <w:t>)</w:t>
      </w:r>
      <w:r w:rsidRPr="002D1DD7">
        <w:rPr>
          <w:rFonts w:cs="Times New Roman"/>
        </w:rPr>
        <w:t xml:space="preserve">, were not explored by the company in this appraisal. The company justified their approach by stating that IHC and FISH represent the significant majority of tests used in the NHS, and provided supporting information on the number of IHC tests used in practice. However, the ERG noted that </w:t>
      </w:r>
      <w:r>
        <w:rPr>
          <w:rFonts w:cs="Times New Roman"/>
        </w:rPr>
        <w:t xml:space="preserve">the possibility of using </w:t>
      </w:r>
      <w:r w:rsidRPr="002D1DD7">
        <w:rPr>
          <w:rFonts w:cs="Times New Roman"/>
        </w:rPr>
        <w:t>NGS would make the cost of ALK testing less predictable in the near future.</w:t>
      </w:r>
    </w:p>
    <w:p w14:paraId="0A199608" w14:textId="77777777" w:rsidR="004C66DF" w:rsidRPr="000E405B" w:rsidRDefault="004C66DF" w:rsidP="000E405B">
      <w:pPr>
        <w:rPr>
          <w:i/>
          <w:iCs/>
        </w:rPr>
      </w:pPr>
      <w:r w:rsidRPr="000E405B">
        <w:rPr>
          <w:i/>
          <w:iCs/>
        </w:rPr>
        <w:t>Timing of testing</w:t>
      </w:r>
    </w:p>
    <w:p w14:paraId="129D7731" w14:textId="77777777" w:rsidR="004C66DF" w:rsidRPr="002D1DD7" w:rsidRDefault="004C66DF" w:rsidP="004C66DF">
      <w:pPr>
        <w:rPr>
          <w:rFonts w:cs="Times New Roman"/>
        </w:rPr>
      </w:pPr>
      <w:r w:rsidRPr="002D1DD7">
        <w:rPr>
          <w:rFonts w:cs="Times New Roman"/>
        </w:rPr>
        <w:t xml:space="preserve">In this appraisal, crizotinib was evaluated as a first-line treatment for NSCLC. At the time, there existed first-line treatments for NSCLC that targeted the EGFR mutation. The company assumed that testing would be done upfront at diagnosis, alongside EGFR testing, based on feedback from an advisory board. Upfront testing alongside EGFR tests means no significant increase in the number of tests required and no potential capacity issues. Sequential testing of ALK status, i.e. after EGFR testing, was not acknowledged as an option. </w:t>
      </w:r>
    </w:p>
    <w:p w14:paraId="3DF254D0" w14:textId="77777777" w:rsidR="004C66DF" w:rsidRPr="000E405B" w:rsidRDefault="004C66DF" w:rsidP="000E405B">
      <w:pPr>
        <w:rPr>
          <w:i/>
          <w:iCs/>
        </w:rPr>
      </w:pPr>
      <w:r w:rsidRPr="000E405B">
        <w:rPr>
          <w:i/>
          <w:iCs/>
        </w:rPr>
        <w:t>Unit costs of testing</w:t>
      </w:r>
    </w:p>
    <w:p w14:paraId="14AC8A61" w14:textId="77777777" w:rsidR="004C66DF" w:rsidRPr="002D1DD7" w:rsidRDefault="004C66DF" w:rsidP="004C66DF">
      <w:pPr>
        <w:rPr>
          <w:rFonts w:cs="Times New Roman"/>
        </w:rPr>
      </w:pPr>
      <w:r w:rsidRPr="002D1DD7">
        <w:rPr>
          <w:rFonts w:cs="Times New Roman"/>
        </w:rPr>
        <w:t xml:space="preserve">At the time of the appraisal, there was some uncertainty regarding the unit costs of testing, as it is unclear whether laboratory and overhead costs were included in the cost supplied by the company. The impact to the cost-effectiveness of crizotinib by using alternative unit costs of treatment that were estimated by other sources was explored, with a higher cost of testing being associated with a modest increase to the ICER. However, the </w:t>
      </w:r>
      <w:r>
        <w:rPr>
          <w:rFonts w:cs="Times New Roman"/>
        </w:rPr>
        <w:t>c</w:t>
      </w:r>
      <w:r w:rsidRPr="002D1DD7">
        <w:rPr>
          <w:rFonts w:cs="Times New Roman"/>
        </w:rPr>
        <w:t xml:space="preserve">ommittee considered that the true cost remained uncertain, and </w:t>
      </w:r>
      <w:r>
        <w:rPr>
          <w:rFonts w:cs="Times New Roman"/>
        </w:rPr>
        <w:t xml:space="preserve">that it was </w:t>
      </w:r>
      <w:r w:rsidRPr="002D1DD7">
        <w:rPr>
          <w:rFonts w:cs="Times New Roman"/>
        </w:rPr>
        <w:t>likely to lie between the ranges identified.</w:t>
      </w:r>
    </w:p>
    <w:p w14:paraId="3A456469" w14:textId="77777777" w:rsidR="004C66DF" w:rsidRPr="000E405B" w:rsidRDefault="004C66DF" w:rsidP="000E405B">
      <w:pPr>
        <w:rPr>
          <w:i/>
          <w:iCs/>
        </w:rPr>
      </w:pPr>
      <w:r w:rsidRPr="000E405B">
        <w:rPr>
          <w:i/>
          <w:iCs/>
        </w:rPr>
        <w:t>Impact on the number of patients identified</w:t>
      </w:r>
    </w:p>
    <w:p w14:paraId="1329DA54" w14:textId="77777777" w:rsidR="004C66DF" w:rsidRPr="002D1DD7" w:rsidRDefault="004C66DF" w:rsidP="004C66DF">
      <w:pPr>
        <w:rPr>
          <w:rFonts w:cs="Times New Roman"/>
          <w:i/>
        </w:rPr>
      </w:pPr>
      <w:r w:rsidRPr="002D1DD7">
        <w:rPr>
          <w:rFonts w:cs="Times New Roman"/>
        </w:rPr>
        <w:t xml:space="preserve">The challenges of a new diagnostic process were described as having an impact on the number of patients expected to be eligible for crizotinib treatment, noting that </w:t>
      </w:r>
      <w:r>
        <w:rPr>
          <w:rFonts w:cs="Times New Roman"/>
        </w:rPr>
        <w:t>the number</w:t>
      </w:r>
      <w:r w:rsidRPr="002D1DD7">
        <w:rPr>
          <w:rFonts w:cs="Times New Roman"/>
        </w:rPr>
        <w:t xml:space="preserve"> who received the treatment while it was available on the CDF for a later line of treatment</w:t>
      </w:r>
      <w:r>
        <w:rPr>
          <w:rFonts w:cs="Times New Roman"/>
        </w:rPr>
        <w:t xml:space="preserve"> was lower than the expected number of eligible patients</w:t>
      </w:r>
      <w:r w:rsidRPr="002D1DD7">
        <w:rPr>
          <w:rFonts w:cs="Times New Roman"/>
        </w:rPr>
        <w:t xml:space="preserve">, </w:t>
      </w:r>
      <w:r>
        <w:rPr>
          <w:rFonts w:cs="Times New Roman"/>
        </w:rPr>
        <w:t>since</w:t>
      </w:r>
      <w:r w:rsidRPr="002D1DD7">
        <w:rPr>
          <w:rFonts w:cs="Times New Roman"/>
        </w:rPr>
        <w:t xml:space="preserve"> not all ALK-positive patients were being identified in practice.</w:t>
      </w:r>
    </w:p>
    <w:p w14:paraId="47A9753F" w14:textId="77777777" w:rsidR="004C66DF" w:rsidRPr="000E405B" w:rsidRDefault="004C66DF" w:rsidP="000E405B">
      <w:pPr>
        <w:rPr>
          <w:b/>
          <w:bCs/>
        </w:rPr>
      </w:pPr>
      <w:bookmarkStart w:id="392" w:name="_Toc33695138"/>
      <w:bookmarkStart w:id="393" w:name="_Toc33696100"/>
      <w:r w:rsidRPr="000E405B">
        <w:rPr>
          <w:b/>
          <w:bCs/>
        </w:rPr>
        <w:t>Osimertinib</w:t>
      </w:r>
      <w:bookmarkEnd w:id="392"/>
      <w:bookmarkEnd w:id="393"/>
    </w:p>
    <w:p w14:paraId="4B03DC96" w14:textId="77777777" w:rsidR="004C66DF" w:rsidRPr="002D1DD7" w:rsidRDefault="004C66DF" w:rsidP="004C66DF">
      <w:r w:rsidRPr="002D1DD7">
        <w:t>Osimertinib, appraised for NSCLC patients with a T790M mutation (TA416), was positioned as a second</w:t>
      </w:r>
      <w:r>
        <w:t>-</w:t>
      </w:r>
      <w:r w:rsidRPr="002D1DD7">
        <w:t>line treatment option following treatment with an EGFR TKI, given the low prevalence of T790M mutations at diagnosis. The challenges in the diagnostic pathway with a second-line therapy was discussed, including the increase in service provision and the testing strategy required.</w:t>
      </w:r>
    </w:p>
    <w:p w14:paraId="6E323324" w14:textId="77777777" w:rsidR="004C66DF" w:rsidRPr="000E405B" w:rsidRDefault="004C66DF" w:rsidP="000E405B">
      <w:pPr>
        <w:rPr>
          <w:i/>
          <w:iCs/>
        </w:rPr>
      </w:pPr>
      <w:r w:rsidRPr="000E405B">
        <w:rPr>
          <w:i/>
          <w:iCs/>
        </w:rPr>
        <w:t>Increase in service provision</w:t>
      </w:r>
    </w:p>
    <w:p w14:paraId="16E0E551" w14:textId="77777777" w:rsidR="004C66DF" w:rsidRPr="002D1DD7" w:rsidRDefault="004C66DF" w:rsidP="004C66DF">
      <w:r w:rsidRPr="002D1DD7">
        <w:t xml:space="preserve">The identification of patients eligible for osimertinib was discussed as the main additional resource use to the NHS. The appraisal discusses how not all centres routinely test for the EGFR T790M mutation either at diagnosis or after treatment failure with a first-line EGFR-TKI, and its introduction will therefore necessitate a change in service provision. </w:t>
      </w:r>
    </w:p>
    <w:p w14:paraId="4CCA0401" w14:textId="77777777" w:rsidR="004C66DF" w:rsidRPr="002D1DD7" w:rsidRDefault="004C66DF" w:rsidP="004C66DF">
      <w:r w:rsidRPr="002D1DD7">
        <w:t>The expansion of testing was not considered to be problematic, as the pathway for acquisition, handling and testing of tissue, in addition to mechanisms for reporting of results, was described as being well</w:t>
      </w:r>
      <w:r>
        <w:t>-</w:t>
      </w:r>
      <w:r w:rsidRPr="002D1DD7">
        <w:t>established, and so no additional costs were associated with assessment of tumour specimens beyond the increase in testing volumes. Details of the laboratories enrolled to conduct EGFR testing and their current ability to detect T790M mutations using existing platforms were provided to support this assumption.</w:t>
      </w:r>
    </w:p>
    <w:p w14:paraId="7D088150" w14:textId="77777777" w:rsidR="004C66DF" w:rsidRPr="002D1DD7" w:rsidRDefault="004C66DF" w:rsidP="004C66DF">
      <w:r w:rsidRPr="002D1DD7">
        <w:t>However, tissue biopsy at disease progression following resistance to EGFR TKI therapy is not routine, and the company provided a detailed description of how the change of pathway to acquire tumour specimens would be implemented. There were a number of challenges highlighted, including the optimal selection of lesions for biopsy due to tumour heterogeneity, and reduced willingness to undergo tissue biopsy. Feasibility studies to validate the pre-analytical steps of the plasma processing pathway were expected to commence shortly after the appraisal.</w:t>
      </w:r>
    </w:p>
    <w:p w14:paraId="4A55C9EE" w14:textId="77777777" w:rsidR="004C66DF" w:rsidRPr="000E405B" w:rsidRDefault="004C66DF" w:rsidP="000E405B">
      <w:pPr>
        <w:rPr>
          <w:i/>
          <w:iCs/>
        </w:rPr>
      </w:pPr>
      <w:r w:rsidRPr="000E405B">
        <w:rPr>
          <w:i/>
          <w:iCs/>
        </w:rPr>
        <w:t>Testing strategies</w:t>
      </w:r>
    </w:p>
    <w:p w14:paraId="583090A4" w14:textId="77777777" w:rsidR="004C66DF" w:rsidRPr="002D1DD7" w:rsidRDefault="004C66DF" w:rsidP="004C66DF">
      <w:r w:rsidRPr="002D1DD7">
        <w:t>Four possible testing strategies to detect T790M mutations were described: (i) tissue biopsy; (ii) ctDNA (plasma) test followed by tissue biopsy in patients identified as T790M negative by ctDNA; (iii) ctDNA alone, and (iv) tissue biopsy followed by ctDNA. The company considered that only the first two testing strategies were relevant and in line with the SmPC for osimertinib, and included a weighted average of these strategies in their base case analysis based on the proportion expected to be identified in each way. A number of clinical benefits with the use of ctDNA were described, with it being a less expensive alternative and offer</w:t>
      </w:r>
      <w:r>
        <w:t>ing</w:t>
      </w:r>
      <w:r w:rsidRPr="002D1DD7">
        <w:t xml:space="preserve"> more rapid results, and mitigat</w:t>
      </w:r>
      <w:r>
        <w:t>ing</w:t>
      </w:r>
      <w:r w:rsidRPr="002D1DD7">
        <w:t xml:space="preserve"> the complications associated with the acquisition of lung tissue samples which may be of particular concern for later</w:t>
      </w:r>
      <w:r>
        <w:t>-</w:t>
      </w:r>
      <w:r w:rsidRPr="002D1DD7">
        <w:t>stage disease.</w:t>
      </w:r>
    </w:p>
    <w:p w14:paraId="5A29D3F8" w14:textId="77777777" w:rsidR="004C66DF" w:rsidRPr="000E405B" w:rsidRDefault="004C66DF" w:rsidP="000E405B">
      <w:pPr>
        <w:rPr>
          <w:b/>
          <w:bCs/>
        </w:rPr>
      </w:pPr>
      <w:bookmarkStart w:id="394" w:name="_Toc33695139"/>
      <w:bookmarkStart w:id="395" w:name="_Toc33696101"/>
      <w:r w:rsidRPr="000E405B">
        <w:rPr>
          <w:b/>
          <w:bCs/>
        </w:rPr>
        <w:t>Crizotinib for ROS1-ve NSCLC</w:t>
      </w:r>
      <w:bookmarkEnd w:id="394"/>
      <w:bookmarkEnd w:id="395"/>
    </w:p>
    <w:p w14:paraId="11B5BC9E" w14:textId="77777777" w:rsidR="004C66DF" w:rsidRPr="002D1DD7" w:rsidRDefault="004C66DF" w:rsidP="004C66DF">
      <w:r w:rsidRPr="002D1DD7">
        <w:t>The appraisal of crizotinib for treating ROS1-positive advanced NSCLC (TA529) also highlighted some uncertainty with the introduction of diagnosis into the patient pathway. Diagnostic testing was not routinely undertaken in England and Wales to identify ROS1-positive patients at the time of the appraisal; however, there were pre-existing targeted treatments available for NSCLC, where patients were tested for the associated biomarker for EGFR and ALK, at diagnosis of NSCLC. The discussions around the challenges of identifying ROS1-positive patients were centred on the point in the pathway where ROS1 would be detected, and the implications of testing to the time of crizotinib treatment.</w:t>
      </w:r>
    </w:p>
    <w:p w14:paraId="0411C5FB" w14:textId="77777777" w:rsidR="004C66DF" w:rsidRPr="000E405B" w:rsidRDefault="004C66DF" w:rsidP="000E405B">
      <w:pPr>
        <w:rPr>
          <w:i/>
          <w:iCs/>
        </w:rPr>
      </w:pPr>
      <w:r w:rsidRPr="000E405B">
        <w:rPr>
          <w:i/>
          <w:iCs/>
        </w:rPr>
        <w:t>Timing of testing</w:t>
      </w:r>
    </w:p>
    <w:p w14:paraId="38E4D3B9" w14:textId="77777777" w:rsidR="004C66DF" w:rsidRPr="002D1DD7" w:rsidRDefault="004C66DF" w:rsidP="004C66DF">
      <w:r w:rsidRPr="002D1DD7">
        <w:t>The company presented different scenarios to illustrate the impact of introducing testing at different points in the treatment pathway: one where testing could either be done upfront upon diagnosis alongside testing for other targets associated with treatment for NSCLC (EGFR and ALK), or where it would be done sequentially after confirmed EGFR-negativity and ALK-negativity. Upfront testing minimises tissue wastage and avoids delays in access to therapy by waiting for the patient to complete testing for the targets with existing therapies.</w:t>
      </w:r>
    </w:p>
    <w:p w14:paraId="3D9B3A1F" w14:textId="77777777" w:rsidR="004C66DF" w:rsidRPr="002D1DD7" w:rsidRDefault="004C66DF" w:rsidP="004C66DF">
      <w:r w:rsidRPr="002D1DD7">
        <w:t xml:space="preserve">Other parties, including NHS England and the </w:t>
      </w:r>
      <w:r>
        <w:t>c</w:t>
      </w:r>
      <w:r w:rsidRPr="002D1DD7">
        <w:t xml:space="preserve">ommittee also considered that upfront testing was more appropriate than sequential testing. The ERG also considered the impact of the timing of testing on the cost that it incurs: there may be a discount available for upfront testing when testing for more than one mutation at the same time, and that patients treated in the subsequent-line would already have been tested for ALK and/or other mutations, so the cost of testing these (ALK-positive) patients need not be taken into account. </w:t>
      </w:r>
    </w:p>
    <w:p w14:paraId="07118FE8" w14:textId="77777777" w:rsidR="004C66DF" w:rsidRPr="000E405B" w:rsidRDefault="004C66DF" w:rsidP="000E405B">
      <w:pPr>
        <w:rPr>
          <w:i/>
          <w:iCs/>
        </w:rPr>
      </w:pPr>
      <w:r w:rsidRPr="000E405B">
        <w:rPr>
          <w:i/>
          <w:iCs/>
        </w:rPr>
        <w:t>Implications of testing to the timing of treatment</w:t>
      </w:r>
    </w:p>
    <w:p w14:paraId="47CA6630" w14:textId="7A34F913" w:rsidR="000E405B" w:rsidRDefault="004C66DF" w:rsidP="004C66DF">
      <w:r w:rsidRPr="002D1DD7">
        <w:t xml:space="preserve">The issue was also raised as to the positioning of crizotinib in the pathway. While the economic analysis considered crizotinib against a comparator that is commonly used as first-line in NSCLC, it was expected that patients treated by crizotinib in clinical practice may be either treatment-naïve or treatment-experienced. If access to diagnostic testing causes delays in diagnosis of ROS1-positivity, or ROS1-testing had not been performed prior to initiating first-line therapy, patients would be treatment-experienced upon starting crizotinib; however, over time it was expected for patients to become predominately treatment-naïve as testing becomes more established and diagnosis occurs at an earlier stage in the treatment pathway. </w:t>
      </w:r>
    </w:p>
    <w:p w14:paraId="67927F92" w14:textId="1EDD05EC" w:rsidR="004C66DF" w:rsidRPr="002D1DD7" w:rsidRDefault="000E405B" w:rsidP="004C66DF">
      <w:r>
        <w:br w:type="page"/>
      </w:r>
    </w:p>
    <w:p w14:paraId="23F48FE9" w14:textId="77777777" w:rsidR="004C66DF" w:rsidRDefault="004C66DF" w:rsidP="00EC11CD">
      <w:pPr>
        <w:pStyle w:val="NonnumberedH2"/>
      </w:pPr>
    </w:p>
    <w:p w14:paraId="5CC6ED9E" w14:textId="1AFA4607" w:rsidR="00424CC3" w:rsidRPr="002D1DD7" w:rsidRDefault="004C66DF" w:rsidP="00EC11CD">
      <w:pPr>
        <w:pStyle w:val="NonnumberedH2"/>
      </w:pPr>
      <w:bookmarkStart w:id="396" w:name="_Toc33776259"/>
      <w:r>
        <w:t xml:space="preserve">Appendix 9: </w:t>
      </w:r>
      <w:r w:rsidR="00424CC3" w:rsidRPr="002D1DD7">
        <w:t>OpenBUGS code</w:t>
      </w:r>
      <w:bookmarkEnd w:id="396"/>
    </w:p>
    <w:p w14:paraId="5E67B5D5" w14:textId="77777777" w:rsidR="00201BF3" w:rsidRPr="002D1DD7" w:rsidRDefault="00201BF3" w:rsidP="00E64596">
      <w:pPr>
        <w:pStyle w:val="NonnumberedH3"/>
      </w:pPr>
      <w:bookmarkStart w:id="397" w:name="_Toc33198803"/>
      <w:bookmarkStart w:id="398" w:name="_Toc33695141"/>
      <w:bookmarkStart w:id="399" w:name="_Toc33696103"/>
      <w:bookmarkStart w:id="400" w:name="_Toc33698801"/>
      <w:bookmarkStart w:id="401" w:name="_Toc33776260"/>
      <w:r w:rsidRPr="002D1DD7">
        <w:t>Bayesian Hierarchical Model: Uniform(0,5) prior distribution for the between-tumour standard deviation</w:t>
      </w:r>
      <w:bookmarkEnd w:id="397"/>
      <w:bookmarkEnd w:id="398"/>
      <w:bookmarkEnd w:id="399"/>
      <w:bookmarkEnd w:id="400"/>
      <w:bookmarkEnd w:id="401"/>
    </w:p>
    <w:p w14:paraId="3EEB51A3"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CODE ADAPTED FROM: Thall et al (2003)</w:t>
      </w:r>
    </w:p>
    <w:p w14:paraId="64A7BD31"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Hierarchical Bayesian approaches to phase II trials in diseases with multiple subtypes. </w:t>
      </w:r>
    </w:p>
    <w:p w14:paraId="1211FEFC"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Statist. Med., 22: 763-780. doi:10.1002/sim.1399</w:t>
      </w:r>
    </w:p>
    <w:p w14:paraId="576FB887"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w:t>
      </w:r>
    </w:p>
    <w:p w14:paraId="7406E89C"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Uniform prior distribution for between-group SD, as recommended by Cunanan et al. (Clinical Trials, 2019)</w:t>
      </w:r>
    </w:p>
    <w:p w14:paraId="48169325"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w:t>
      </w:r>
    </w:p>
    <w:p w14:paraId="2517D0A1"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model{</w:t>
      </w:r>
    </w:p>
    <w:p w14:paraId="1DAB7054"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for (i in 1:numGroups){  # numGroups is k, the number of different probabilities</w:t>
      </w:r>
    </w:p>
    <w:p w14:paraId="55011710"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x[i] ~ dbin(p[i],n[i]) # In each group, x is the number of responses and n is the number of patients</w:t>
      </w:r>
    </w:p>
    <w:p w14:paraId="25DEA4C5"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 set up deviance code with correction for zero cells</w:t>
      </w:r>
    </w:p>
    <w:p w14:paraId="6963D8E1"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x1[i] &lt;- max(x[i],0.1) # zero cell correction</w:t>
      </w:r>
    </w:p>
    <w:p w14:paraId="36841C3C"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xhat[i] &lt;- p[i] * n[i] # expected value of the numerators </w:t>
      </w:r>
    </w:p>
    <w:p w14:paraId="053C043D"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xhat1[i] &lt;- max(xhat[i], 0.1) # zero cell correction</w:t>
      </w:r>
    </w:p>
    <w:p w14:paraId="6A7B54DA"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 Deviance contribution with zero cell correction</w:t>
      </w:r>
    </w:p>
    <w:p w14:paraId="18730DFB" w14:textId="77777777" w:rsidR="00DD741C" w:rsidRPr="00D6492A" w:rsidRDefault="00DD741C" w:rsidP="00DD741C">
      <w:pPr>
        <w:spacing w:line="312" w:lineRule="auto"/>
        <w:contextualSpacing/>
        <w:rPr>
          <w:rFonts w:ascii="Courier New" w:hAnsi="Courier New" w:cs="Courier New"/>
          <w:sz w:val="16"/>
          <w:szCs w:val="20"/>
          <w:lang w:val="it-IT"/>
        </w:rPr>
      </w:pPr>
      <w:r w:rsidRPr="002D1DD7">
        <w:rPr>
          <w:rFonts w:ascii="Courier New" w:hAnsi="Courier New" w:cs="Courier New"/>
          <w:sz w:val="16"/>
          <w:szCs w:val="20"/>
        </w:rPr>
        <w:t xml:space="preserve">  </w:t>
      </w:r>
      <w:r w:rsidRPr="00D6492A">
        <w:rPr>
          <w:rFonts w:ascii="Courier New" w:hAnsi="Courier New" w:cs="Courier New"/>
          <w:sz w:val="16"/>
          <w:szCs w:val="20"/>
          <w:lang w:val="it-IT"/>
        </w:rPr>
        <w:t>dev1[i] &lt;- 2 * (x1[i] * (log(x1[i])-log(xhat1[i]))</w:t>
      </w:r>
    </w:p>
    <w:p w14:paraId="10EC2769" w14:textId="77777777" w:rsidR="00DD741C" w:rsidRPr="00D6492A" w:rsidRDefault="00DD741C" w:rsidP="00DD741C">
      <w:pPr>
        <w:spacing w:line="312" w:lineRule="auto"/>
        <w:contextualSpacing/>
        <w:rPr>
          <w:rFonts w:ascii="Courier New" w:hAnsi="Courier New" w:cs="Courier New"/>
          <w:sz w:val="16"/>
          <w:szCs w:val="20"/>
          <w:lang w:val="it-IT"/>
        </w:rPr>
      </w:pPr>
      <w:r w:rsidRPr="00D6492A">
        <w:rPr>
          <w:rFonts w:ascii="Courier New" w:hAnsi="Courier New" w:cs="Courier New"/>
          <w:sz w:val="16"/>
          <w:szCs w:val="20"/>
          <w:lang w:val="it-IT"/>
        </w:rPr>
        <w:t xml:space="preserve">             +  (n[i]-x1[i]) * (log(n[i]-x1[i]) - log(n[i]-xhat1[i])))</w:t>
      </w:r>
    </w:p>
    <w:p w14:paraId="4EB096B9" w14:textId="77777777" w:rsidR="00DD741C" w:rsidRPr="002D1DD7" w:rsidRDefault="00DD741C" w:rsidP="00DD741C">
      <w:pPr>
        <w:spacing w:line="312" w:lineRule="auto"/>
        <w:contextualSpacing/>
        <w:rPr>
          <w:rFonts w:ascii="Courier New" w:hAnsi="Courier New" w:cs="Courier New"/>
          <w:sz w:val="16"/>
          <w:szCs w:val="20"/>
        </w:rPr>
      </w:pPr>
      <w:r w:rsidRPr="00D6492A">
        <w:rPr>
          <w:rFonts w:ascii="Courier New" w:hAnsi="Courier New" w:cs="Courier New"/>
          <w:sz w:val="16"/>
          <w:szCs w:val="20"/>
          <w:lang w:val="it-IT"/>
        </w:rPr>
        <w:t xml:space="preserve">  </w:t>
      </w:r>
      <w:r w:rsidRPr="002D1DD7">
        <w:rPr>
          <w:rFonts w:ascii="Courier New" w:hAnsi="Courier New" w:cs="Courier New"/>
          <w:sz w:val="16"/>
          <w:szCs w:val="20"/>
        </w:rPr>
        <w:t># deviance contribution for for zero cells</w:t>
      </w:r>
    </w:p>
    <w:p w14:paraId="67931E28" w14:textId="77777777" w:rsidR="00DD741C" w:rsidRPr="00D6492A" w:rsidRDefault="00DD741C" w:rsidP="00DD741C">
      <w:pPr>
        <w:spacing w:line="312" w:lineRule="auto"/>
        <w:contextualSpacing/>
        <w:rPr>
          <w:rFonts w:ascii="Courier New" w:hAnsi="Courier New" w:cs="Courier New"/>
          <w:sz w:val="16"/>
          <w:szCs w:val="20"/>
          <w:lang w:val="it-IT"/>
        </w:rPr>
      </w:pPr>
      <w:r w:rsidRPr="002D1DD7">
        <w:rPr>
          <w:rFonts w:ascii="Courier New" w:hAnsi="Courier New" w:cs="Courier New"/>
          <w:sz w:val="16"/>
          <w:szCs w:val="20"/>
        </w:rPr>
        <w:t xml:space="preserve">  </w:t>
      </w:r>
      <w:r w:rsidRPr="00D6492A">
        <w:rPr>
          <w:rFonts w:ascii="Courier New" w:hAnsi="Courier New" w:cs="Courier New"/>
          <w:sz w:val="16"/>
          <w:szCs w:val="20"/>
          <w:lang w:val="it-IT"/>
        </w:rPr>
        <w:t xml:space="preserve">dev0[i] &lt;- 2 * n[i] * log(n[i]/(n[i]-xhat[i])) </w:t>
      </w:r>
    </w:p>
    <w:p w14:paraId="11F8D467" w14:textId="77777777" w:rsidR="00DD741C" w:rsidRPr="00D6492A" w:rsidRDefault="00DD741C" w:rsidP="00DD741C">
      <w:pPr>
        <w:spacing w:line="312" w:lineRule="auto"/>
        <w:contextualSpacing/>
        <w:rPr>
          <w:rFonts w:ascii="Courier New" w:hAnsi="Courier New" w:cs="Courier New"/>
          <w:sz w:val="16"/>
          <w:szCs w:val="20"/>
          <w:lang w:val="it-IT"/>
        </w:rPr>
      </w:pPr>
      <w:r w:rsidRPr="00D6492A">
        <w:rPr>
          <w:rFonts w:ascii="Courier New" w:hAnsi="Courier New" w:cs="Courier New"/>
          <w:sz w:val="16"/>
          <w:szCs w:val="20"/>
          <w:lang w:val="it-IT"/>
        </w:rPr>
        <w:t xml:space="preserve">  # deviance contribution</w:t>
      </w:r>
    </w:p>
    <w:p w14:paraId="11F92E2A" w14:textId="77777777" w:rsidR="00DD741C" w:rsidRPr="00D6492A" w:rsidRDefault="00DD741C" w:rsidP="00DD741C">
      <w:pPr>
        <w:spacing w:line="312" w:lineRule="auto"/>
        <w:contextualSpacing/>
        <w:rPr>
          <w:rFonts w:ascii="Courier New" w:hAnsi="Courier New" w:cs="Courier New"/>
          <w:sz w:val="16"/>
          <w:szCs w:val="20"/>
          <w:lang w:val="it-IT"/>
        </w:rPr>
      </w:pPr>
      <w:r w:rsidRPr="00D6492A">
        <w:rPr>
          <w:rFonts w:ascii="Courier New" w:hAnsi="Courier New" w:cs="Courier New"/>
          <w:sz w:val="16"/>
          <w:szCs w:val="20"/>
          <w:lang w:val="it-IT"/>
        </w:rPr>
        <w:t xml:space="preserve">  dev[i] &lt;- dev1[i] * (1-equals(x[i],0)) + dev0[i] * equals(x[i],0)</w:t>
      </w:r>
    </w:p>
    <w:p w14:paraId="1F6CC452" w14:textId="77777777" w:rsidR="00DD741C" w:rsidRPr="00D6492A" w:rsidRDefault="00DD741C" w:rsidP="00DD741C">
      <w:pPr>
        <w:spacing w:line="312" w:lineRule="auto"/>
        <w:contextualSpacing/>
        <w:rPr>
          <w:rFonts w:ascii="Courier New" w:hAnsi="Courier New" w:cs="Courier New"/>
          <w:sz w:val="16"/>
          <w:szCs w:val="20"/>
          <w:lang w:val="it-IT"/>
        </w:rPr>
      </w:pPr>
      <w:r w:rsidRPr="00D6492A">
        <w:rPr>
          <w:rFonts w:ascii="Courier New" w:hAnsi="Courier New" w:cs="Courier New"/>
          <w:sz w:val="16"/>
          <w:szCs w:val="20"/>
          <w:lang w:val="it-IT"/>
        </w:rPr>
        <w:t xml:space="preserve">  # logit model for p  </w:t>
      </w:r>
    </w:p>
    <w:p w14:paraId="2AB44712" w14:textId="77777777" w:rsidR="00DD741C" w:rsidRPr="00D6492A" w:rsidRDefault="00DD741C" w:rsidP="00DD741C">
      <w:pPr>
        <w:spacing w:line="312" w:lineRule="auto"/>
        <w:contextualSpacing/>
        <w:rPr>
          <w:rFonts w:ascii="Courier New" w:hAnsi="Courier New" w:cs="Courier New"/>
          <w:sz w:val="16"/>
          <w:szCs w:val="20"/>
          <w:lang w:val="it-IT"/>
        </w:rPr>
      </w:pPr>
      <w:r w:rsidRPr="00D6492A">
        <w:rPr>
          <w:rFonts w:ascii="Courier New" w:hAnsi="Courier New" w:cs="Courier New"/>
          <w:sz w:val="16"/>
          <w:szCs w:val="20"/>
          <w:lang w:val="it-IT"/>
        </w:rPr>
        <w:t xml:space="preserve">  logit(p[i]) &lt;- rho[i]</w:t>
      </w:r>
    </w:p>
    <w:p w14:paraId="611749BD" w14:textId="77777777" w:rsidR="00DD741C" w:rsidRPr="002D1DD7" w:rsidRDefault="00DD741C" w:rsidP="00DD741C">
      <w:pPr>
        <w:spacing w:line="312" w:lineRule="auto"/>
        <w:contextualSpacing/>
        <w:rPr>
          <w:rFonts w:ascii="Courier New" w:hAnsi="Courier New" w:cs="Courier New"/>
          <w:sz w:val="16"/>
          <w:szCs w:val="20"/>
        </w:rPr>
      </w:pPr>
      <w:r w:rsidRPr="00D6492A">
        <w:rPr>
          <w:rFonts w:ascii="Courier New" w:hAnsi="Courier New" w:cs="Courier New"/>
          <w:sz w:val="16"/>
          <w:szCs w:val="20"/>
          <w:lang w:val="it-IT"/>
        </w:rPr>
        <w:t xml:space="preserve">  </w:t>
      </w:r>
      <w:r w:rsidRPr="002D1DD7">
        <w:rPr>
          <w:rFonts w:ascii="Courier New" w:hAnsi="Courier New" w:cs="Courier New"/>
          <w:sz w:val="16"/>
          <w:szCs w:val="20"/>
        </w:rPr>
        <w:t>rho[i] ~ dnorm(mu,tau) # RE for log-odds</w:t>
      </w:r>
    </w:p>
    <w:p w14:paraId="5574CD72"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 Probability that the response rate for each group is &gt; than targetResp (given as data)</w:t>
      </w:r>
    </w:p>
    <w:p w14:paraId="7CFA7CEE"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pg[i] &lt;- step(p[i] - targetResp)</w:t>
      </w:r>
    </w:p>
    <w:p w14:paraId="3097B398"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pg2[i] &lt;- step(p[i] - targetResp2)</w:t>
      </w:r>
    </w:p>
    <w:p w14:paraId="46D18EE2"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xml:space="preserve"> }</w:t>
      </w:r>
    </w:p>
    <w:p w14:paraId="70634492"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totresdev &lt;- sum(dev[])            # total residual deviance</w:t>
      </w:r>
    </w:p>
    <w:p w14:paraId="2B4A9864"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Priors</w:t>
      </w:r>
    </w:p>
    <w:p w14:paraId="67C4F7D6"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mu ~ dnorm(mean.Mu, perc.Mu)       # pooled mean of log-odds</w:t>
      </w:r>
    </w:p>
    <w:p w14:paraId="0A64BFD6"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#tau ~ dgamma(tau.alpha, tau.beta) # used in Thall (2003)</w:t>
      </w:r>
    </w:p>
    <w:p w14:paraId="56202838"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#sd &lt;- 1/sqrt(tau)                 # between-group sd (log-odds scale)</w:t>
      </w:r>
    </w:p>
    <w:p w14:paraId="2AB3BE04"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sd ~ dunif(0,5)                    # recommended by Cunanan (2019)</w:t>
      </w:r>
    </w:p>
    <w:p w14:paraId="4C8D78D8"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tau &lt;- pow(sd,-2)</w:t>
      </w:r>
    </w:p>
    <w:p w14:paraId="6A61C4B1"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predictive distribution</w:t>
      </w:r>
    </w:p>
    <w:p w14:paraId="43C3AC6B"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rho.new ~ dnorm(mu,tau)            # log-odds response across groups</w:t>
      </w:r>
    </w:p>
    <w:p w14:paraId="44BA50D9"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convert to probabilities</w:t>
      </w:r>
    </w:p>
    <w:p w14:paraId="3ABC75B7"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logit(p.pooled) &lt;- mu    # mean probability of response across groups</w:t>
      </w:r>
    </w:p>
    <w:p w14:paraId="6AFCC1FF"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logit(p.new) &lt;- rho.new  # probability response across groups</w:t>
      </w:r>
    </w:p>
    <w:p w14:paraId="7DAB4FA4"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 predictive probabilities of response rates &gt; targetResp (given as data)</w:t>
      </w:r>
    </w:p>
    <w:p w14:paraId="301B3819"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pg.new &lt;- step(p.new - targetResp)</w:t>
      </w:r>
    </w:p>
    <w:p w14:paraId="1F43D1C1"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pg2.new &lt;- step(p.new - targetResp2)</w:t>
      </w:r>
    </w:p>
    <w:p w14:paraId="07D29536" w14:textId="77777777" w:rsidR="00DD741C" w:rsidRPr="002D1DD7" w:rsidRDefault="00DD741C" w:rsidP="00DD741C">
      <w:pPr>
        <w:spacing w:line="312" w:lineRule="auto"/>
        <w:contextualSpacing/>
        <w:rPr>
          <w:rFonts w:ascii="Courier New" w:hAnsi="Courier New" w:cs="Courier New"/>
          <w:sz w:val="16"/>
          <w:szCs w:val="20"/>
        </w:rPr>
      </w:pPr>
      <w:r w:rsidRPr="002D1DD7">
        <w:rPr>
          <w:rFonts w:ascii="Courier New" w:hAnsi="Courier New" w:cs="Courier New"/>
          <w:sz w:val="16"/>
          <w:szCs w:val="20"/>
        </w:rPr>
        <w:t>}</w:t>
      </w:r>
    </w:p>
    <w:p w14:paraId="34B2DFA8" w14:textId="77777777" w:rsidR="00DD741C" w:rsidRPr="000E405B" w:rsidRDefault="00DD741C" w:rsidP="000E405B">
      <w:pPr>
        <w:rPr>
          <w:b/>
          <w:bCs/>
        </w:rPr>
      </w:pPr>
      <w:bookmarkStart w:id="402" w:name="_Toc33198804"/>
      <w:bookmarkStart w:id="403" w:name="_Toc33695142"/>
      <w:bookmarkStart w:id="404" w:name="_Toc33696104"/>
      <w:r w:rsidRPr="000E405B">
        <w:rPr>
          <w:b/>
          <w:bCs/>
        </w:rPr>
        <w:t>Data</w:t>
      </w:r>
      <w:bookmarkEnd w:id="402"/>
      <w:bookmarkEnd w:id="403"/>
      <w:bookmarkEnd w:id="404"/>
    </w:p>
    <w:p w14:paraId="4D3AFBDC" w14:textId="7ECC3480" w:rsidR="00CE2F86" w:rsidRDefault="00DD741C" w:rsidP="00DD741C">
      <w:r w:rsidRPr="002D1DD7">
        <w:t>list(x=c(2,2,9,2,6,5,1,6,0,0,0,0), n=c(11,12,7,5,4,4,4,3,2,1,1,1), numGroups=13, mean.Mu=-0.847298, perc.Mu=0.1, targetResp=0.3, targetResp2=0.1)</w:t>
      </w:r>
    </w:p>
    <w:p w14:paraId="7B0720C9" w14:textId="77777777" w:rsidR="00CE2F86" w:rsidRDefault="00CE2F86">
      <w:r>
        <w:br w:type="page"/>
      </w:r>
    </w:p>
    <w:p w14:paraId="7F1187A1" w14:textId="0388E33C" w:rsidR="00201BF3" w:rsidRPr="002D1DD7" w:rsidRDefault="00201BF3" w:rsidP="00EC11CD">
      <w:pPr>
        <w:pStyle w:val="NonnumberedH2"/>
      </w:pPr>
      <w:bookmarkStart w:id="405" w:name="_Toc33776261"/>
      <w:r w:rsidRPr="002D1DD7">
        <w:t xml:space="preserve">Appendix </w:t>
      </w:r>
      <w:r w:rsidR="004C66DF">
        <w:t>10</w:t>
      </w:r>
      <w:r w:rsidRPr="002D1DD7">
        <w:t>: Model Fit Statistics and Residual Deviance Base Case</w:t>
      </w:r>
      <w:bookmarkEnd w:id="405"/>
    </w:p>
    <w:p w14:paraId="697CCDF6" w14:textId="7FF0FC33" w:rsidR="00F01A38" w:rsidRPr="002D1DD7" w:rsidRDefault="00F01A38" w:rsidP="00F01A38">
      <w:r w:rsidRPr="002D1DD7">
        <w:t xml:space="preserve">For all analyses, 55,000 iterations were run on 2 parallel chains and the first 5,000 iterations discarded as “burn-in”. Convergence was assessed by visual inspection of the Brooks-Gelman-Rubin plots and assessment of the </w:t>
      </w:r>
      <w:r w:rsidRPr="002D1DD7">
        <w:rPr>
          <w:position w:val="-4"/>
        </w:rPr>
        <w:object w:dxaOrig="240" w:dyaOrig="320" w14:anchorId="7BB8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93" o:title=""/>
          </v:shape>
          <o:OLEObject Type="Embed" ProgID="Equation.DSMT4" ShapeID="_x0000_i1025" DrawAspect="Content" ObjectID="_1647685745" r:id="rId94"/>
        </w:object>
      </w:r>
      <w:r w:rsidRPr="002D1DD7">
        <w:t xml:space="preserve"> statistic.</w:t>
      </w:r>
      <w:r w:rsidR="006F7FD7">
        <w:fldChar w:fldCharType="begin"/>
      </w:r>
      <w:r w:rsidR="004D5B2B">
        <w:instrText xml:space="preserve"> ADDIN EN.CITE &lt;EndNote&gt;&lt;Cite&gt;&lt;Author&gt;Brooks&lt;/Author&gt;&lt;Year&gt;1998&lt;/Year&gt;&lt;RecNum&gt;22&lt;/RecNum&gt;&lt;IDText&gt;500232&lt;/IDText&gt;&lt;DisplayText&gt;&lt;style face="superscript"&gt;152, 153&lt;/style&gt;&lt;/DisplayText&gt;&lt;record&gt;&lt;rec-number&gt;22&lt;/rec-number&gt;&lt;foreign-keys&gt;&lt;key app="EN" db-id="pz0rrdex3zsv21etatn5ww0i0509tzrzexxd" timestamp="1580649515"&gt;22&lt;/key&gt;&lt;/foreign-keys&gt;&lt;ref-type name="Journal Article"&gt;17&lt;/ref-type&gt;&lt;contributors&gt;&lt;authors&gt;&lt;author&gt;Brooks,S.P.&lt;/author&gt;&lt;author&gt;Gelman,A.&lt;/author&gt;&lt;/authors&gt;&lt;/contributors&gt;&lt;titles&gt;&lt;title&gt;General methods for monitoring convergence of iterative simulations&lt;/title&gt;&lt;secondary-title&gt;Journal of Computational and Graphical Statistics&lt;/secondary-title&gt;&lt;/titles&gt;&lt;pages&gt;434-455&lt;/pages&gt;&lt;volume&gt;7&lt;/volume&gt;&lt;number&gt;4&lt;/number&gt;&lt;reprint-edition&gt;Not in File&lt;/reprint-edition&gt;&lt;keywords&gt;&lt;keyword&gt;AEAdes&lt;/keyword&gt;&lt;keyword&gt;convergence&lt;/keyword&gt;&lt;keyword&gt;Markov Chain Monte Carlo&lt;/keyword&gt;&lt;/keywords&gt;&lt;dates&gt;&lt;year&gt;1998&lt;/year&gt;&lt;pub-dates&gt;&lt;date&gt;1998&lt;/date&gt;&lt;/pub-dates&gt;&lt;/dates&gt;&lt;label&gt;500232&lt;/label&gt;&lt;urls&gt;&lt;/urls&gt;&lt;/record&gt;&lt;/Cite&gt;&lt;Cite&gt;&lt;Author&gt;Gelman&lt;/Author&gt;&lt;Year&gt;1992&lt;/Year&gt;&lt;RecNum&gt;23&lt;/RecNum&gt;&lt;IDText&gt;500654&lt;/IDText&gt;&lt;record&gt;&lt;rec-number&gt;23&lt;/rec-number&gt;&lt;foreign-keys&gt;&lt;key app="EN" db-id="pz0rrdex3zsv21etatn5ww0i0509tzrzexxd" timestamp="1580649515"&gt;23&lt;/key&gt;&lt;/foreign-keys&gt;&lt;ref-type name="Journal Article"&gt;17&lt;/ref-type&gt;&lt;contributors&gt;&lt;authors&gt;&lt;author&gt;Gelman,A.&lt;/author&gt;&lt;author&gt;Rubin,D.B.&lt;/author&gt;&lt;/authors&gt;&lt;/contributors&gt;&lt;titles&gt;&lt;title&gt;Inferences from iterative simulation using multiple sequences&lt;/title&gt;&lt;secondary-title&gt;Statistical Science&lt;/secondary-title&gt;&lt;/titles&gt;&lt;pages&gt;457-472&lt;/pages&gt;&lt;volume&gt;7&lt;/volume&gt;&lt;reprint-edition&gt;In File&lt;/reprint-edition&gt;&lt;keywords&gt;&lt;keyword&gt;inference&lt;/keyword&gt;&lt;/keywords&gt;&lt;dates&gt;&lt;year&gt;1992&lt;/year&gt;&lt;pub-dates&gt;&lt;date&gt;1992&lt;/date&gt;&lt;/pub-dates&gt;&lt;/dates&gt;&lt;label&gt;500654&lt;/label&gt;&lt;urls&gt;&lt;/urls&gt;&lt;/record&gt;&lt;/Cite&gt;&lt;/EndNote&gt;</w:instrText>
      </w:r>
      <w:r w:rsidR="006F7FD7">
        <w:fldChar w:fldCharType="separate"/>
      </w:r>
      <w:r w:rsidR="004D5B2B" w:rsidRPr="004D5B2B">
        <w:rPr>
          <w:noProof/>
          <w:vertAlign w:val="superscript"/>
        </w:rPr>
        <w:t>152, 153</w:t>
      </w:r>
      <w:r w:rsidR="006F7FD7">
        <w:fldChar w:fldCharType="end"/>
      </w:r>
      <w:r w:rsidRPr="002D1DD7">
        <w:t xml:space="preserve"> </w:t>
      </w:r>
    </w:p>
    <w:p w14:paraId="73F63765" w14:textId="025CD1FF" w:rsidR="00F01A38" w:rsidRPr="002D1DD7" w:rsidRDefault="00F01A38" w:rsidP="00F01A38">
      <w:pPr>
        <w:rPr>
          <w:b/>
          <w:szCs w:val="24"/>
          <w:u w:val="single"/>
        </w:rPr>
      </w:pPr>
      <w:r w:rsidRPr="002D1DD7">
        <w:rPr>
          <w:szCs w:val="24"/>
        </w:rPr>
        <w:t xml:space="preserve">The model fit statistics for the base-case and the sensitivity analyses can be seen in </w:t>
      </w:r>
      <w:r w:rsidRPr="002D1DD7">
        <w:rPr>
          <w:szCs w:val="24"/>
        </w:rPr>
        <w:fldChar w:fldCharType="begin"/>
      </w:r>
      <w:r w:rsidRPr="002D1DD7">
        <w:rPr>
          <w:szCs w:val="24"/>
        </w:rPr>
        <w:instrText xml:space="preserve"> REF _Ref20312450 \h  \* MERGEFORMAT </w:instrText>
      </w:r>
      <w:r w:rsidRPr="002D1DD7">
        <w:rPr>
          <w:szCs w:val="24"/>
        </w:rPr>
      </w:r>
      <w:r w:rsidRPr="002D1DD7">
        <w:rPr>
          <w:szCs w:val="24"/>
        </w:rPr>
        <w:fldChar w:fldCharType="separate"/>
      </w:r>
      <w:r w:rsidR="00C663A2" w:rsidRPr="002D1DD7">
        <w:t xml:space="preserve">Table </w:t>
      </w:r>
      <w:r w:rsidR="00C663A2">
        <w:t>35</w:t>
      </w:r>
      <w:r w:rsidRPr="002D1DD7">
        <w:rPr>
          <w:szCs w:val="24"/>
        </w:rPr>
        <w:fldChar w:fldCharType="end"/>
      </w:r>
      <w:r w:rsidRPr="002D1DD7">
        <w:rPr>
          <w:szCs w:val="24"/>
        </w:rPr>
        <w:t>. The results show that all models fit the data well. Inspection of box-plots of individual groups’ contributions to the residual deviance support this</w:t>
      </w:r>
      <w:r w:rsidR="009C24AD">
        <w:rPr>
          <w:szCs w:val="24"/>
        </w:rPr>
        <w:t>.</w:t>
      </w:r>
    </w:p>
    <w:p w14:paraId="47B82683" w14:textId="2C1EE94F" w:rsidR="00F01A38" w:rsidRPr="002D1DD7" w:rsidRDefault="00F01A38" w:rsidP="001664E4">
      <w:pPr>
        <w:pStyle w:val="Caption"/>
      </w:pPr>
      <w:bookmarkStart w:id="406" w:name="_Ref20312450"/>
      <w:bookmarkStart w:id="407" w:name="_Ref20839585"/>
      <w:bookmarkStart w:id="408" w:name="_Toc34033549"/>
      <w:r w:rsidRPr="002D1DD7">
        <w:t xml:space="preserve">Table </w:t>
      </w:r>
      <w:r w:rsidR="00C974E5">
        <w:fldChar w:fldCharType="begin"/>
      </w:r>
      <w:r w:rsidR="00C974E5">
        <w:instrText xml:space="preserve"> SEQ Table \* ARABIC </w:instrText>
      </w:r>
      <w:r w:rsidR="00C974E5">
        <w:fldChar w:fldCharType="separate"/>
      </w:r>
      <w:r w:rsidR="00C663A2">
        <w:rPr>
          <w:noProof/>
        </w:rPr>
        <w:t>35</w:t>
      </w:r>
      <w:r w:rsidR="00C974E5">
        <w:rPr>
          <w:noProof/>
        </w:rPr>
        <w:fldChar w:fldCharType="end"/>
      </w:r>
      <w:bookmarkEnd w:id="406"/>
      <w:r w:rsidR="00A675ED">
        <w:rPr>
          <w:noProof/>
        </w:rPr>
        <w:t>:</w:t>
      </w:r>
      <w:r w:rsidRPr="002D1DD7">
        <w:t xml:space="preserve"> Model fit statistics for the base-case and sensitivity analyses</w:t>
      </w:r>
      <w:bookmarkEnd w:id="407"/>
      <w:bookmarkEnd w:id="408"/>
    </w:p>
    <w:tbl>
      <w:tblPr>
        <w:tblStyle w:val="TableGrid"/>
        <w:tblW w:w="0" w:type="auto"/>
        <w:tblLook w:val="04A0" w:firstRow="1" w:lastRow="0" w:firstColumn="1" w:lastColumn="0" w:noHBand="0" w:noVBand="1"/>
      </w:tblPr>
      <w:tblGrid>
        <w:gridCol w:w="4531"/>
        <w:gridCol w:w="2132"/>
        <w:gridCol w:w="2126"/>
      </w:tblGrid>
      <w:tr w:rsidR="00F01A38" w:rsidRPr="002D1DD7" w14:paraId="69AAF93C" w14:textId="77777777" w:rsidTr="00A706B6">
        <w:trPr>
          <w:trHeight w:val="288"/>
        </w:trPr>
        <w:tc>
          <w:tcPr>
            <w:tcW w:w="4531" w:type="dxa"/>
            <w:tcBorders>
              <w:top w:val="nil"/>
              <w:left w:val="nil"/>
              <w:bottom w:val="single" w:sz="4" w:space="0" w:color="auto"/>
            </w:tcBorders>
            <w:noWrap/>
            <w:hideMark/>
          </w:tcPr>
          <w:p w14:paraId="7EAA3D23" w14:textId="77777777" w:rsidR="00F01A38" w:rsidRPr="002D1DD7" w:rsidRDefault="00F01A38" w:rsidP="00A706B6"/>
        </w:tc>
        <w:tc>
          <w:tcPr>
            <w:tcW w:w="2132" w:type="dxa"/>
            <w:tcBorders>
              <w:bottom w:val="single" w:sz="4" w:space="0" w:color="auto"/>
            </w:tcBorders>
            <w:noWrap/>
            <w:vAlign w:val="center"/>
            <w:hideMark/>
          </w:tcPr>
          <w:p w14:paraId="63F867D7" w14:textId="77777777" w:rsidR="00F01A38" w:rsidRPr="002D1DD7" w:rsidRDefault="00F01A38" w:rsidP="00A706B6">
            <w:r w:rsidRPr="002D1DD7">
              <w:t>Posterior mean of the residual deviance*</w:t>
            </w:r>
          </w:p>
        </w:tc>
        <w:tc>
          <w:tcPr>
            <w:tcW w:w="2126" w:type="dxa"/>
            <w:tcBorders>
              <w:bottom w:val="single" w:sz="4" w:space="0" w:color="auto"/>
            </w:tcBorders>
            <w:noWrap/>
            <w:vAlign w:val="center"/>
            <w:hideMark/>
          </w:tcPr>
          <w:p w14:paraId="4BB49452" w14:textId="77777777" w:rsidR="00F01A38" w:rsidRPr="002D1DD7" w:rsidRDefault="00F01A38" w:rsidP="00A706B6">
            <w:r w:rsidRPr="002D1DD7">
              <w:t>DIC</w:t>
            </w:r>
          </w:p>
        </w:tc>
      </w:tr>
      <w:tr w:rsidR="00F01A38" w:rsidRPr="002D1DD7" w14:paraId="1A52E3DB" w14:textId="77777777" w:rsidTr="00A706B6">
        <w:trPr>
          <w:trHeight w:val="481"/>
        </w:trPr>
        <w:tc>
          <w:tcPr>
            <w:tcW w:w="4531" w:type="dxa"/>
            <w:tcBorders>
              <w:top w:val="single" w:sz="4" w:space="0" w:color="auto"/>
              <w:left w:val="single" w:sz="4" w:space="0" w:color="auto"/>
              <w:bottom w:val="single" w:sz="4" w:space="0" w:color="auto"/>
              <w:right w:val="single" w:sz="4" w:space="0" w:color="auto"/>
            </w:tcBorders>
            <w:vAlign w:val="center"/>
            <w:hideMark/>
          </w:tcPr>
          <w:p w14:paraId="5F285EC4" w14:textId="77777777" w:rsidR="00F01A38" w:rsidRPr="002D1DD7" w:rsidRDefault="00F01A38" w:rsidP="00A706B6">
            <w:r w:rsidRPr="002D1DD7">
              <w:t>Base-case: Uniform (0,5), 0.3 mean response probability</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2AC87B97" w14:textId="77777777" w:rsidR="00F01A38" w:rsidRPr="002D1DD7" w:rsidRDefault="00F01A38" w:rsidP="00A706B6">
            <w:r w:rsidRPr="002D1DD7">
              <w:t>11.6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83A2965" w14:textId="77777777" w:rsidR="00F01A38" w:rsidRPr="002D1DD7" w:rsidRDefault="00F01A38" w:rsidP="00A706B6">
            <w:r w:rsidRPr="002D1DD7">
              <w:t>30.7</w:t>
            </w:r>
          </w:p>
        </w:tc>
      </w:tr>
      <w:tr w:rsidR="00F01A38" w:rsidRPr="002D1DD7" w14:paraId="79363B3D" w14:textId="77777777" w:rsidTr="00A706B6">
        <w:trPr>
          <w:trHeight w:val="481"/>
        </w:trPr>
        <w:tc>
          <w:tcPr>
            <w:tcW w:w="4531" w:type="dxa"/>
            <w:tcBorders>
              <w:top w:val="single" w:sz="4" w:space="0" w:color="auto"/>
              <w:left w:val="single" w:sz="4" w:space="0" w:color="auto"/>
              <w:bottom w:val="single" w:sz="4" w:space="0" w:color="auto"/>
              <w:right w:val="single" w:sz="4" w:space="0" w:color="auto"/>
            </w:tcBorders>
            <w:vAlign w:val="center"/>
          </w:tcPr>
          <w:p w14:paraId="78FC0C11" w14:textId="77777777" w:rsidR="00F01A38" w:rsidRPr="002D1DD7" w:rsidRDefault="00F01A38" w:rsidP="00A706B6">
            <w:r w:rsidRPr="002D1DD7">
              <w:t>Uniform (0, 5), 0.5 mean response probability</w:t>
            </w:r>
          </w:p>
        </w:tc>
        <w:tc>
          <w:tcPr>
            <w:tcW w:w="2132" w:type="dxa"/>
            <w:tcBorders>
              <w:top w:val="single" w:sz="4" w:space="0" w:color="auto"/>
              <w:left w:val="single" w:sz="4" w:space="0" w:color="auto"/>
              <w:bottom w:val="single" w:sz="4" w:space="0" w:color="auto"/>
              <w:right w:val="single" w:sz="4" w:space="0" w:color="auto"/>
            </w:tcBorders>
            <w:noWrap/>
            <w:vAlign w:val="center"/>
          </w:tcPr>
          <w:p w14:paraId="7867DB43" w14:textId="77777777" w:rsidR="00F01A38" w:rsidRPr="002D1DD7" w:rsidRDefault="00F01A38" w:rsidP="00A706B6">
            <w:r w:rsidRPr="002D1DD7">
              <w:t>11.9</w:t>
            </w:r>
          </w:p>
        </w:tc>
        <w:tc>
          <w:tcPr>
            <w:tcW w:w="2126" w:type="dxa"/>
            <w:tcBorders>
              <w:top w:val="single" w:sz="4" w:space="0" w:color="auto"/>
              <w:left w:val="single" w:sz="4" w:space="0" w:color="auto"/>
              <w:bottom w:val="single" w:sz="4" w:space="0" w:color="auto"/>
              <w:right w:val="single" w:sz="4" w:space="0" w:color="auto"/>
            </w:tcBorders>
            <w:noWrap/>
            <w:vAlign w:val="center"/>
          </w:tcPr>
          <w:p w14:paraId="4353998B" w14:textId="77777777" w:rsidR="00F01A38" w:rsidRPr="002D1DD7" w:rsidRDefault="00F01A38" w:rsidP="00A706B6">
            <w:r w:rsidRPr="002D1DD7">
              <w:t>30.9</w:t>
            </w:r>
          </w:p>
        </w:tc>
      </w:tr>
      <w:tr w:rsidR="00F01A38" w:rsidRPr="002D1DD7" w14:paraId="212AD9FE" w14:textId="77777777" w:rsidTr="00A706B6">
        <w:trPr>
          <w:trHeight w:val="481"/>
        </w:trPr>
        <w:tc>
          <w:tcPr>
            <w:tcW w:w="4531" w:type="dxa"/>
            <w:tcBorders>
              <w:top w:val="single" w:sz="4" w:space="0" w:color="auto"/>
              <w:left w:val="single" w:sz="4" w:space="0" w:color="auto"/>
              <w:bottom w:val="single" w:sz="4" w:space="0" w:color="auto"/>
              <w:right w:val="single" w:sz="4" w:space="0" w:color="auto"/>
            </w:tcBorders>
            <w:vAlign w:val="center"/>
          </w:tcPr>
          <w:p w14:paraId="308B99E2" w14:textId="77777777" w:rsidR="00F01A38" w:rsidRPr="002D1DD7" w:rsidRDefault="00F01A38" w:rsidP="00A706B6">
            <w:r w:rsidRPr="002D1DD7">
              <w:t>Inverse Gamma (2, 20)</w:t>
            </w:r>
          </w:p>
        </w:tc>
        <w:tc>
          <w:tcPr>
            <w:tcW w:w="2132" w:type="dxa"/>
            <w:tcBorders>
              <w:top w:val="single" w:sz="4" w:space="0" w:color="auto"/>
              <w:left w:val="single" w:sz="4" w:space="0" w:color="auto"/>
              <w:bottom w:val="single" w:sz="4" w:space="0" w:color="auto"/>
              <w:right w:val="single" w:sz="4" w:space="0" w:color="auto"/>
            </w:tcBorders>
            <w:noWrap/>
            <w:vAlign w:val="center"/>
          </w:tcPr>
          <w:p w14:paraId="769B3D5A" w14:textId="77777777" w:rsidR="00F01A38" w:rsidRPr="002D1DD7" w:rsidRDefault="00F01A38" w:rsidP="00A706B6">
            <w:r w:rsidRPr="002D1DD7">
              <w:t>10.4</w:t>
            </w:r>
          </w:p>
        </w:tc>
        <w:tc>
          <w:tcPr>
            <w:tcW w:w="2126" w:type="dxa"/>
            <w:tcBorders>
              <w:top w:val="single" w:sz="4" w:space="0" w:color="auto"/>
              <w:left w:val="single" w:sz="4" w:space="0" w:color="auto"/>
              <w:bottom w:val="single" w:sz="4" w:space="0" w:color="auto"/>
              <w:right w:val="single" w:sz="4" w:space="0" w:color="auto"/>
            </w:tcBorders>
            <w:noWrap/>
            <w:vAlign w:val="center"/>
          </w:tcPr>
          <w:p w14:paraId="3C8DA61F" w14:textId="77777777" w:rsidR="00F01A38" w:rsidRPr="002D1DD7" w:rsidRDefault="00F01A38" w:rsidP="00A706B6">
            <w:r w:rsidRPr="002D1DD7">
              <w:t>28.9</w:t>
            </w:r>
          </w:p>
        </w:tc>
      </w:tr>
      <w:tr w:rsidR="00F01A38" w:rsidRPr="002D1DD7" w14:paraId="011BEA65" w14:textId="77777777" w:rsidTr="00A706B6">
        <w:trPr>
          <w:trHeight w:val="481"/>
        </w:trPr>
        <w:tc>
          <w:tcPr>
            <w:tcW w:w="4531" w:type="dxa"/>
            <w:tcBorders>
              <w:top w:val="single" w:sz="4" w:space="0" w:color="auto"/>
              <w:left w:val="single" w:sz="4" w:space="0" w:color="auto"/>
              <w:bottom w:val="single" w:sz="4" w:space="0" w:color="auto"/>
              <w:right w:val="single" w:sz="4" w:space="0" w:color="auto"/>
            </w:tcBorders>
            <w:vAlign w:val="center"/>
          </w:tcPr>
          <w:p w14:paraId="03F999E1" w14:textId="77777777" w:rsidR="00F01A38" w:rsidRPr="002D1DD7" w:rsidRDefault="00F01A38" w:rsidP="00A706B6">
            <w:r w:rsidRPr="002D1DD7">
              <w:t>Half-normal (0,0.01)T(0,)</w:t>
            </w:r>
          </w:p>
        </w:tc>
        <w:tc>
          <w:tcPr>
            <w:tcW w:w="2132" w:type="dxa"/>
            <w:tcBorders>
              <w:top w:val="single" w:sz="4" w:space="0" w:color="auto"/>
              <w:left w:val="single" w:sz="4" w:space="0" w:color="auto"/>
              <w:bottom w:val="single" w:sz="4" w:space="0" w:color="auto"/>
              <w:right w:val="single" w:sz="4" w:space="0" w:color="auto"/>
            </w:tcBorders>
            <w:noWrap/>
            <w:vAlign w:val="center"/>
          </w:tcPr>
          <w:p w14:paraId="1990ED7C" w14:textId="77777777" w:rsidR="00F01A38" w:rsidRPr="002D1DD7" w:rsidRDefault="00F01A38" w:rsidP="00A706B6">
            <w:r w:rsidRPr="002D1DD7">
              <w:t>10.9</w:t>
            </w:r>
          </w:p>
        </w:tc>
        <w:tc>
          <w:tcPr>
            <w:tcW w:w="2126" w:type="dxa"/>
            <w:tcBorders>
              <w:top w:val="single" w:sz="4" w:space="0" w:color="auto"/>
              <w:left w:val="single" w:sz="4" w:space="0" w:color="auto"/>
              <w:bottom w:val="single" w:sz="4" w:space="0" w:color="auto"/>
              <w:right w:val="single" w:sz="4" w:space="0" w:color="auto"/>
            </w:tcBorders>
            <w:noWrap/>
            <w:vAlign w:val="center"/>
          </w:tcPr>
          <w:p w14:paraId="67F36FFB" w14:textId="77777777" w:rsidR="00F01A38" w:rsidRPr="002D1DD7" w:rsidRDefault="00F01A38" w:rsidP="00A706B6">
            <w:r w:rsidRPr="002D1DD7">
              <w:t>30.5</w:t>
            </w:r>
          </w:p>
        </w:tc>
      </w:tr>
      <w:tr w:rsidR="00F01A38" w:rsidRPr="002D1DD7" w14:paraId="3B315327" w14:textId="77777777" w:rsidTr="00A706B6">
        <w:trPr>
          <w:trHeight w:val="481"/>
        </w:trPr>
        <w:tc>
          <w:tcPr>
            <w:tcW w:w="4531" w:type="dxa"/>
            <w:tcBorders>
              <w:top w:val="single" w:sz="4" w:space="0" w:color="auto"/>
              <w:left w:val="single" w:sz="4" w:space="0" w:color="auto"/>
              <w:bottom w:val="single" w:sz="4" w:space="0" w:color="auto"/>
              <w:right w:val="single" w:sz="4" w:space="0" w:color="auto"/>
            </w:tcBorders>
            <w:vAlign w:val="center"/>
          </w:tcPr>
          <w:p w14:paraId="26FBE1FC" w14:textId="77777777" w:rsidR="00F01A38" w:rsidRPr="002D1DD7" w:rsidRDefault="00F01A38" w:rsidP="00A706B6">
            <w:r w:rsidRPr="002D1DD7">
              <w:t>Half-normal (0,0.1)T(0,)</w:t>
            </w:r>
          </w:p>
        </w:tc>
        <w:tc>
          <w:tcPr>
            <w:tcW w:w="2132" w:type="dxa"/>
            <w:tcBorders>
              <w:top w:val="single" w:sz="4" w:space="0" w:color="auto"/>
              <w:left w:val="single" w:sz="4" w:space="0" w:color="auto"/>
              <w:bottom w:val="single" w:sz="4" w:space="0" w:color="auto"/>
              <w:right w:val="single" w:sz="4" w:space="0" w:color="auto"/>
            </w:tcBorders>
            <w:noWrap/>
            <w:vAlign w:val="center"/>
          </w:tcPr>
          <w:p w14:paraId="28194A5B" w14:textId="77777777" w:rsidR="00F01A38" w:rsidRPr="002D1DD7" w:rsidRDefault="00F01A38" w:rsidP="00A706B6">
            <w:r w:rsidRPr="002D1DD7">
              <w:t>12.1</w:t>
            </w:r>
          </w:p>
        </w:tc>
        <w:tc>
          <w:tcPr>
            <w:tcW w:w="2126" w:type="dxa"/>
            <w:tcBorders>
              <w:top w:val="single" w:sz="4" w:space="0" w:color="auto"/>
              <w:left w:val="single" w:sz="4" w:space="0" w:color="auto"/>
              <w:bottom w:val="single" w:sz="4" w:space="0" w:color="auto"/>
              <w:right w:val="single" w:sz="4" w:space="0" w:color="auto"/>
            </w:tcBorders>
            <w:noWrap/>
            <w:vAlign w:val="center"/>
          </w:tcPr>
          <w:p w14:paraId="6D4640D0" w14:textId="77777777" w:rsidR="00F01A38" w:rsidRPr="002D1DD7" w:rsidRDefault="00F01A38" w:rsidP="00A706B6">
            <w:r w:rsidRPr="002D1DD7">
              <w:t>31.4</w:t>
            </w:r>
          </w:p>
        </w:tc>
      </w:tr>
      <w:tr w:rsidR="00F01A38" w:rsidRPr="002D1DD7" w14:paraId="5417414D" w14:textId="77777777" w:rsidTr="00A706B6">
        <w:trPr>
          <w:trHeight w:val="481"/>
        </w:trPr>
        <w:tc>
          <w:tcPr>
            <w:tcW w:w="4531" w:type="dxa"/>
            <w:tcBorders>
              <w:top w:val="single" w:sz="4" w:space="0" w:color="auto"/>
              <w:left w:val="single" w:sz="4" w:space="0" w:color="auto"/>
              <w:bottom w:val="single" w:sz="4" w:space="0" w:color="auto"/>
              <w:right w:val="single" w:sz="4" w:space="0" w:color="auto"/>
            </w:tcBorders>
            <w:vAlign w:val="center"/>
          </w:tcPr>
          <w:p w14:paraId="6E4FCA78" w14:textId="77777777" w:rsidR="00F01A38" w:rsidRPr="002D1DD7" w:rsidRDefault="00F01A38" w:rsidP="00A706B6">
            <w:r w:rsidRPr="002D1DD7">
              <w:t>Half-normal (0,0.5)T(0,)</w:t>
            </w:r>
          </w:p>
        </w:tc>
        <w:tc>
          <w:tcPr>
            <w:tcW w:w="2132" w:type="dxa"/>
            <w:tcBorders>
              <w:top w:val="single" w:sz="4" w:space="0" w:color="auto"/>
              <w:left w:val="single" w:sz="4" w:space="0" w:color="auto"/>
              <w:bottom w:val="single" w:sz="4" w:space="0" w:color="auto"/>
              <w:right w:val="single" w:sz="4" w:space="0" w:color="auto"/>
            </w:tcBorders>
            <w:noWrap/>
            <w:vAlign w:val="center"/>
          </w:tcPr>
          <w:p w14:paraId="06174C7E" w14:textId="77777777" w:rsidR="00F01A38" w:rsidRPr="002D1DD7" w:rsidRDefault="00F01A38" w:rsidP="00A706B6">
            <w:r w:rsidRPr="002D1DD7">
              <w:t>14.8</w:t>
            </w:r>
          </w:p>
        </w:tc>
        <w:tc>
          <w:tcPr>
            <w:tcW w:w="2126" w:type="dxa"/>
            <w:tcBorders>
              <w:top w:val="single" w:sz="4" w:space="0" w:color="auto"/>
              <w:left w:val="single" w:sz="4" w:space="0" w:color="auto"/>
              <w:bottom w:val="single" w:sz="4" w:space="0" w:color="auto"/>
              <w:right w:val="single" w:sz="4" w:space="0" w:color="auto"/>
            </w:tcBorders>
            <w:noWrap/>
            <w:vAlign w:val="center"/>
          </w:tcPr>
          <w:p w14:paraId="46DE2AA8" w14:textId="77777777" w:rsidR="00F01A38" w:rsidRPr="002D1DD7" w:rsidRDefault="00F01A38" w:rsidP="00A706B6">
            <w:r w:rsidRPr="002D1DD7">
              <w:t>33.1</w:t>
            </w:r>
          </w:p>
        </w:tc>
      </w:tr>
      <w:tr w:rsidR="00F01A38" w:rsidRPr="002D1DD7" w14:paraId="4482A002" w14:textId="77777777" w:rsidTr="00A706B6">
        <w:trPr>
          <w:trHeight w:val="481"/>
        </w:trPr>
        <w:tc>
          <w:tcPr>
            <w:tcW w:w="8789" w:type="dxa"/>
            <w:gridSpan w:val="3"/>
            <w:tcBorders>
              <w:top w:val="single" w:sz="4" w:space="0" w:color="auto"/>
              <w:left w:val="nil"/>
              <w:bottom w:val="nil"/>
              <w:right w:val="nil"/>
            </w:tcBorders>
            <w:vAlign w:val="center"/>
          </w:tcPr>
          <w:p w14:paraId="1B3111BF" w14:textId="77777777" w:rsidR="00F01A38" w:rsidRPr="002D1DD7" w:rsidRDefault="00F01A38" w:rsidP="00A706B6">
            <w:r w:rsidRPr="002D1DD7">
              <w:rPr>
                <w:sz w:val="20"/>
              </w:rPr>
              <w:t>*Compare to 12 groups</w:t>
            </w:r>
          </w:p>
        </w:tc>
      </w:tr>
    </w:tbl>
    <w:p w14:paraId="767EE1C4" w14:textId="77777777" w:rsidR="00DD741C" w:rsidRPr="002D1DD7" w:rsidRDefault="00DD741C" w:rsidP="00DD741C"/>
    <w:p w14:paraId="7BDF0C09" w14:textId="77777777" w:rsidR="00201BF3" w:rsidRPr="002D1DD7" w:rsidRDefault="00201BF3">
      <w:pPr>
        <w:rPr>
          <w:rFonts w:eastAsia="DengXian Light" w:cs="Times New Roman"/>
          <w:b/>
          <w:bCs/>
        </w:rPr>
      </w:pPr>
      <w:r w:rsidRPr="002D1DD7">
        <w:rPr>
          <w:rFonts w:eastAsia="DengXian Light" w:cs="Times New Roman"/>
          <w:b/>
          <w:bCs/>
        </w:rPr>
        <w:br w:type="page"/>
      </w:r>
    </w:p>
    <w:p w14:paraId="33A21A74" w14:textId="5DB75272" w:rsidR="00201BF3" w:rsidRPr="002D1DD7" w:rsidRDefault="00201BF3" w:rsidP="00EC11CD">
      <w:pPr>
        <w:pStyle w:val="NonnumberedH2"/>
        <w:rPr>
          <w:i/>
        </w:rPr>
      </w:pPr>
      <w:bookmarkStart w:id="409" w:name="_Toc33776262"/>
      <w:r w:rsidRPr="002D1DD7">
        <w:t>Appendix 1</w:t>
      </w:r>
      <w:r w:rsidR="004C66DF">
        <w:t>1</w:t>
      </w:r>
      <w:r w:rsidRPr="002D1DD7">
        <w:t>: Bayesian Hierarchical Model Sensitivity Analyses</w:t>
      </w:r>
      <w:bookmarkEnd w:id="409"/>
    </w:p>
    <w:p w14:paraId="4D758A76" w14:textId="560B4E5E" w:rsidR="00201BF3" w:rsidRPr="002D1DD7" w:rsidRDefault="00201BF3" w:rsidP="00201BF3">
      <w:r w:rsidRPr="002D1DD7">
        <w:t xml:space="preserve">The sensitivity of the BHM results to the prior distribution were assessed. The results showed the BHM estimated substantial heterogeneity between tumour types irrespective of the prior distribution or the response probability. This can be seen in the estimates of the posterior distributions for the between-group heterogeneity standard deviations in </w:t>
      </w:r>
      <w:r w:rsidR="000E180E">
        <w:fldChar w:fldCharType="begin"/>
      </w:r>
      <w:r w:rsidR="000E180E">
        <w:instrText xml:space="preserve"> REF _Ref32831761 \h </w:instrText>
      </w:r>
      <w:r w:rsidR="000E180E">
        <w:fldChar w:fldCharType="separate"/>
      </w:r>
      <w:r w:rsidR="00C663A2">
        <w:t xml:space="preserve">Table </w:t>
      </w:r>
      <w:r w:rsidR="00C663A2">
        <w:rPr>
          <w:noProof/>
        </w:rPr>
        <w:t>36</w:t>
      </w:r>
      <w:r w:rsidR="000E180E">
        <w:fldChar w:fldCharType="end"/>
      </w:r>
      <w:r w:rsidRPr="002D1DD7">
        <w:t xml:space="preserve">. The 95% credible intervals around all of the results are wide indicating considerable uncertainty in these estimates. </w:t>
      </w:r>
    </w:p>
    <w:p w14:paraId="4EB5CBFE" w14:textId="65D4507D" w:rsidR="00CE2F86" w:rsidRDefault="00CE2F86" w:rsidP="00CE2F86">
      <w:pPr>
        <w:pStyle w:val="Caption"/>
      </w:pPr>
      <w:bookmarkStart w:id="410" w:name="_Ref32831761"/>
      <w:bookmarkStart w:id="411" w:name="_Toc34033550"/>
      <w:r>
        <w:t xml:space="preserve">Table </w:t>
      </w:r>
      <w:r w:rsidR="00C974E5">
        <w:fldChar w:fldCharType="begin"/>
      </w:r>
      <w:r w:rsidR="00C974E5">
        <w:instrText xml:space="preserve"> SEQ Table \* ARABIC </w:instrText>
      </w:r>
      <w:r w:rsidR="00C974E5">
        <w:fldChar w:fldCharType="separate"/>
      </w:r>
      <w:r w:rsidR="00E46767">
        <w:rPr>
          <w:noProof/>
        </w:rPr>
        <w:t>36</w:t>
      </w:r>
      <w:r w:rsidR="00C974E5">
        <w:rPr>
          <w:noProof/>
        </w:rPr>
        <w:fldChar w:fldCharType="end"/>
      </w:r>
      <w:bookmarkEnd w:id="410"/>
      <w:r>
        <w:t xml:space="preserve">: </w:t>
      </w:r>
      <w:r w:rsidR="000E180E">
        <w:t>Sensitivity analyses of the Bayesian hierarchical model to alternative prior distributions</w:t>
      </w:r>
      <w:bookmarkEnd w:id="411"/>
    </w:p>
    <w:tbl>
      <w:tblPr>
        <w:tblStyle w:val="TableGrid"/>
        <w:tblW w:w="5000" w:type="pct"/>
        <w:tblLook w:val="04A0" w:firstRow="1" w:lastRow="0" w:firstColumn="1" w:lastColumn="0" w:noHBand="0" w:noVBand="1"/>
      </w:tblPr>
      <w:tblGrid>
        <w:gridCol w:w="4458"/>
        <w:gridCol w:w="4558"/>
      </w:tblGrid>
      <w:tr w:rsidR="00201BF3" w:rsidRPr="00CE2F86" w14:paraId="090E47AF" w14:textId="77777777" w:rsidTr="00DD741C">
        <w:tc>
          <w:tcPr>
            <w:tcW w:w="2472" w:type="pct"/>
            <w:vAlign w:val="center"/>
          </w:tcPr>
          <w:p w14:paraId="09C068C5" w14:textId="45E88E42" w:rsidR="00201BF3" w:rsidRPr="00CE2F86" w:rsidRDefault="00201BF3" w:rsidP="00DD741C">
            <w:pPr>
              <w:rPr>
                <w:b/>
                <w:sz w:val="20"/>
                <w:szCs w:val="20"/>
              </w:rPr>
            </w:pPr>
            <w:r w:rsidRPr="00CE2F86">
              <w:rPr>
                <w:b/>
                <w:sz w:val="20"/>
                <w:szCs w:val="20"/>
              </w:rPr>
              <w:t>Prior</w:t>
            </w:r>
            <w:r w:rsidR="00C506B9">
              <w:rPr>
                <w:b/>
                <w:sz w:val="20"/>
                <w:szCs w:val="20"/>
              </w:rPr>
              <w:t xml:space="preserve"> distribution</w:t>
            </w:r>
          </w:p>
        </w:tc>
        <w:tc>
          <w:tcPr>
            <w:tcW w:w="2528" w:type="pct"/>
            <w:vAlign w:val="center"/>
          </w:tcPr>
          <w:p w14:paraId="357FF607" w14:textId="77777777" w:rsidR="00201BF3" w:rsidRPr="00CE2F86" w:rsidRDefault="00201BF3" w:rsidP="00DD741C">
            <w:pPr>
              <w:rPr>
                <w:b/>
                <w:sz w:val="20"/>
                <w:szCs w:val="20"/>
              </w:rPr>
            </w:pPr>
            <w:r w:rsidRPr="00CE2F86">
              <w:rPr>
                <w:b/>
                <w:sz w:val="20"/>
                <w:szCs w:val="20"/>
              </w:rPr>
              <w:t>Posterior distributions for the between-group heterogeneity standard deviations [95% CrI]</w:t>
            </w:r>
          </w:p>
        </w:tc>
      </w:tr>
      <w:tr w:rsidR="00201BF3" w:rsidRPr="00CE2F86" w14:paraId="2EC4EA70" w14:textId="77777777" w:rsidTr="00DD741C">
        <w:tc>
          <w:tcPr>
            <w:tcW w:w="2472" w:type="pct"/>
            <w:vAlign w:val="center"/>
          </w:tcPr>
          <w:p w14:paraId="03E0AF96" w14:textId="77777777" w:rsidR="00201BF3" w:rsidRPr="00CE2F86" w:rsidRDefault="00201BF3" w:rsidP="00DD741C">
            <w:pPr>
              <w:rPr>
                <w:sz w:val="20"/>
                <w:szCs w:val="20"/>
              </w:rPr>
            </w:pPr>
            <w:r w:rsidRPr="00CE2F86">
              <w:rPr>
                <w:sz w:val="20"/>
                <w:szCs w:val="20"/>
              </w:rPr>
              <w:t>Base-case: Uniform (0,5), 0.3 mean response probability</w:t>
            </w:r>
          </w:p>
        </w:tc>
        <w:tc>
          <w:tcPr>
            <w:tcW w:w="2528" w:type="pct"/>
            <w:vAlign w:val="center"/>
          </w:tcPr>
          <w:p w14:paraId="5DBCCB02" w14:textId="77777777" w:rsidR="00201BF3" w:rsidRPr="00CE2F86" w:rsidRDefault="00201BF3" w:rsidP="00DD741C">
            <w:pPr>
              <w:rPr>
                <w:sz w:val="20"/>
                <w:szCs w:val="20"/>
              </w:rPr>
            </w:pPr>
            <w:r w:rsidRPr="00CE2F86">
              <w:rPr>
                <w:sz w:val="20"/>
                <w:szCs w:val="20"/>
              </w:rPr>
              <w:t>2.863 [0.922; 4.826]</w:t>
            </w:r>
          </w:p>
        </w:tc>
      </w:tr>
      <w:tr w:rsidR="00201BF3" w:rsidRPr="00CE2F86" w14:paraId="6C425C9C" w14:textId="77777777" w:rsidTr="00DD741C">
        <w:tc>
          <w:tcPr>
            <w:tcW w:w="2472" w:type="pct"/>
            <w:vAlign w:val="center"/>
          </w:tcPr>
          <w:p w14:paraId="536294F1" w14:textId="77777777" w:rsidR="00201BF3" w:rsidRPr="00CE2F86" w:rsidRDefault="00201BF3" w:rsidP="00DD741C">
            <w:pPr>
              <w:rPr>
                <w:sz w:val="20"/>
                <w:szCs w:val="20"/>
              </w:rPr>
            </w:pPr>
            <w:r w:rsidRPr="00CE2F86">
              <w:rPr>
                <w:sz w:val="20"/>
                <w:szCs w:val="20"/>
              </w:rPr>
              <w:t>Uniform (0, 5), 0.5 mean response probability</w:t>
            </w:r>
          </w:p>
        </w:tc>
        <w:tc>
          <w:tcPr>
            <w:tcW w:w="2528" w:type="pct"/>
            <w:vAlign w:val="center"/>
          </w:tcPr>
          <w:p w14:paraId="07F8BB9E" w14:textId="77777777" w:rsidR="00201BF3" w:rsidRPr="00CE2F86" w:rsidRDefault="00201BF3" w:rsidP="00DD741C">
            <w:pPr>
              <w:rPr>
                <w:sz w:val="20"/>
                <w:szCs w:val="20"/>
              </w:rPr>
            </w:pPr>
            <w:r w:rsidRPr="00CE2F86">
              <w:rPr>
                <w:rFonts w:cstheme="minorHAnsi"/>
                <w:sz w:val="20"/>
                <w:szCs w:val="20"/>
              </w:rPr>
              <w:t>2.828 [0.865; 4.828]</w:t>
            </w:r>
          </w:p>
        </w:tc>
      </w:tr>
      <w:tr w:rsidR="00201BF3" w:rsidRPr="00CE2F86" w14:paraId="482D0D72" w14:textId="77777777" w:rsidTr="00DD741C">
        <w:tc>
          <w:tcPr>
            <w:tcW w:w="2472" w:type="pct"/>
            <w:vAlign w:val="center"/>
          </w:tcPr>
          <w:p w14:paraId="48E7C010" w14:textId="77777777" w:rsidR="00201BF3" w:rsidRPr="00CE2F86" w:rsidRDefault="00201BF3" w:rsidP="00DD741C">
            <w:pPr>
              <w:rPr>
                <w:sz w:val="20"/>
                <w:szCs w:val="20"/>
              </w:rPr>
            </w:pPr>
            <w:r w:rsidRPr="00CE2F86">
              <w:rPr>
                <w:sz w:val="20"/>
                <w:szCs w:val="20"/>
              </w:rPr>
              <w:t>Inverse Gamma (2, 20)</w:t>
            </w:r>
          </w:p>
        </w:tc>
        <w:tc>
          <w:tcPr>
            <w:tcW w:w="2528" w:type="pct"/>
            <w:vAlign w:val="center"/>
          </w:tcPr>
          <w:p w14:paraId="7DBFF528" w14:textId="77777777" w:rsidR="00201BF3" w:rsidRPr="00CE2F86" w:rsidRDefault="00201BF3" w:rsidP="00DD741C">
            <w:pPr>
              <w:rPr>
                <w:sz w:val="20"/>
                <w:szCs w:val="20"/>
              </w:rPr>
            </w:pPr>
            <w:r w:rsidRPr="00CE2F86">
              <w:rPr>
                <w:sz w:val="20"/>
                <w:szCs w:val="20"/>
              </w:rPr>
              <w:t>3.273 [1.879; 5.901]</w:t>
            </w:r>
          </w:p>
        </w:tc>
      </w:tr>
      <w:tr w:rsidR="00201BF3" w:rsidRPr="00CE2F86" w14:paraId="36E74329" w14:textId="77777777" w:rsidTr="00DD741C">
        <w:tc>
          <w:tcPr>
            <w:tcW w:w="2472" w:type="pct"/>
            <w:vAlign w:val="center"/>
          </w:tcPr>
          <w:p w14:paraId="0369A975" w14:textId="77777777" w:rsidR="00201BF3" w:rsidRPr="00CE2F86" w:rsidRDefault="00201BF3" w:rsidP="00DD741C">
            <w:pPr>
              <w:rPr>
                <w:sz w:val="20"/>
                <w:szCs w:val="20"/>
              </w:rPr>
            </w:pPr>
            <w:r w:rsidRPr="00CE2F86">
              <w:rPr>
                <w:sz w:val="20"/>
                <w:szCs w:val="20"/>
              </w:rPr>
              <w:t>Half-normal (0,0.01)T(0,)</w:t>
            </w:r>
          </w:p>
        </w:tc>
        <w:tc>
          <w:tcPr>
            <w:tcW w:w="2528" w:type="pct"/>
            <w:vAlign w:val="center"/>
          </w:tcPr>
          <w:p w14:paraId="07969538" w14:textId="77777777" w:rsidR="00201BF3" w:rsidRPr="00CE2F86" w:rsidRDefault="00201BF3" w:rsidP="00DD741C">
            <w:pPr>
              <w:rPr>
                <w:sz w:val="20"/>
                <w:szCs w:val="20"/>
              </w:rPr>
            </w:pPr>
            <w:r w:rsidRPr="00CE2F86">
              <w:rPr>
                <w:sz w:val="20"/>
                <w:szCs w:val="20"/>
              </w:rPr>
              <w:t>3.738 [0.970; 9.544]</w:t>
            </w:r>
          </w:p>
        </w:tc>
      </w:tr>
      <w:tr w:rsidR="00201BF3" w:rsidRPr="00CE2F86" w14:paraId="014EA3B0" w14:textId="77777777" w:rsidTr="00DD741C">
        <w:tc>
          <w:tcPr>
            <w:tcW w:w="2472" w:type="pct"/>
            <w:vAlign w:val="center"/>
          </w:tcPr>
          <w:p w14:paraId="6108501D" w14:textId="77777777" w:rsidR="00201BF3" w:rsidRPr="00CE2F86" w:rsidRDefault="00201BF3" w:rsidP="00DD741C">
            <w:pPr>
              <w:rPr>
                <w:sz w:val="20"/>
                <w:szCs w:val="20"/>
              </w:rPr>
            </w:pPr>
            <w:r w:rsidRPr="00CE2F86">
              <w:rPr>
                <w:sz w:val="20"/>
                <w:szCs w:val="20"/>
              </w:rPr>
              <w:t>Half-normal (0,0.1)T(0,)</w:t>
            </w:r>
          </w:p>
        </w:tc>
        <w:tc>
          <w:tcPr>
            <w:tcW w:w="2528" w:type="pct"/>
            <w:vAlign w:val="center"/>
          </w:tcPr>
          <w:p w14:paraId="16F648AC" w14:textId="77777777" w:rsidR="00201BF3" w:rsidRPr="00CE2F86" w:rsidRDefault="00201BF3" w:rsidP="00DD741C">
            <w:pPr>
              <w:rPr>
                <w:sz w:val="20"/>
                <w:szCs w:val="20"/>
              </w:rPr>
            </w:pPr>
            <w:r w:rsidRPr="00CE2F86">
              <w:rPr>
                <w:sz w:val="20"/>
                <w:szCs w:val="20"/>
              </w:rPr>
              <w:t>2.740 [0.812; 5.814]</w:t>
            </w:r>
          </w:p>
        </w:tc>
      </w:tr>
      <w:tr w:rsidR="00201BF3" w:rsidRPr="00CE2F86" w14:paraId="1CDBD589" w14:textId="77777777" w:rsidTr="00DD741C">
        <w:tc>
          <w:tcPr>
            <w:tcW w:w="2472" w:type="pct"/>
            <w:vAlign w:val="center"/>
          </w:tcPr>
          <w:p w14:paraId="40EA4911" w14:textId="77777777" w:rsidR="00201BF3" w:rsidRPr="00CE2F86" w:rsidRDefault="00201BF3" w:rsidP="00DD741C">
            <w:pPr>
              <w:rPr>
                <w:sz w:val="20"/>
                <w:szCs w:val="20"/>
              </w:rPr>
            </w:pPr>
            <w:r w:rsidRPr="00CE2F86">
              <w:rPr>
                <w:sz w:val="20"/>
                <w:szCs w:val="20"/>
              </w:rPr>
              <w:t>Half-normal (0,0.5)T(0,)</w:t>
            </w:r>
          </w:p>
        </w:tc>
        <w:tc>
          <w:tcPr>
            <w:tcW w:w="2528" w:type="pct"/>
            <w:vAlign w:val="center"/>
          </w:tcPr>
          <w:p w14:paraId="7701D881" w14:textId="77777777" w:rsidR="00201BF3" w:rsidRPr="00CE2F86" w:rsidRDefault="00201BF3" w:rsidP="00DD741C">
            <w:pPr>
              <w:rPr>
                <w:sz w:val="20"/>
                <w:szCs w:val="20"/>
              </w:rPr>
            </w:pPr>
            <w:r w:rsidRPr="00CE2F86">
              <w:rPr>
                <w:sz w:val="20"/>
                <w:szCs w:val="20"/>
              </w:rPr>
              <w:t>1.820 [0.455; 3.466]</w:t>
            </w:r>
          </w:p>
        </w:tc>
      </w:tr>
    </w:tbl>
    <w:p w14:paraId="333B0E7C" w14:textId="77777777" w:rsidR="00201BF3" w:rsidRPr="002D1DD7" w:rsidRDefault="00201BF3" w:rsidP="00555827">
      <w:pPr>
        <w:rPr>
          <w:rFonts w:eastAsia="DengXian Light"/>
        </w:rPr>
      </w:pPr>
    </w:p>
    <w:p w14:paraId="13F1C1F6" w14:textId="10838DAA" w:rsidR="000A46AE" w:rsidRPr="002D1DD7" w:rsidRDefault="000A46AE">
      <w:pPr>
        <w:rPr>
          <w:rFonts w:eastAsia="DengXian Light" w:cs="Times New Roman"/>
          <w:b/>
          <w:bCs/>
        </w:rPr>
      </w:pPr>
      <w:r w:rsidRPr="002D1DD7">
        <w:rPr>
          <w:rFonts w:eastAsia="DengXian Light" w:cs="Times New Roman"/>
          <w:b/>
          <w:bCs/>
        </w:rPr>
        <w:br w:type="page"/>
      </w:r>
    </w:p>
    <w:p w14:paraId="375BA602" w14:textId="760A8A49" w:rsidR="0051552C" w:rsidRDefault="000A46AE" w:rsidP="00EC11CD">
      <w:pPr>
        <w:pStyle w:val="NonnumberedH2"/>
      </w:pPr>
      <w:bookmarkStart w:id="412" w:name="_Ref30775483"/>
      <w:bookmarkStart w:id="413" w:name="_Toc33776263"/>
      <w:r w:rsidRPr="002D1DD7">
        <w:t>Appendix 1</w:t>
      </w:r>
      <w:r w:rsidR="004C66DF">
        <w:t>2</w:t>
      </w:r>
      <w:r w:rsidRPr="002D1DD7">
        <w:t>: Estimating</w:t>
      </w:r>
      <w:r w:rsidR="00655346">
        <w:t xml:space="preserve"> </w:t>
      </w:r>
      <w:r w:rsidRPr="002D1DD7">
        <w:t>annual eligible population</w:t>
      </w:r>
      <w:bookmarkEnd w:id="412"/>
      <w:bookmarkEnd w:id="413"/>
    </w:p>
    <w:p w14:paraId="4D676C68" w14:textId="716A79D1" w:rsidR="0051552C" w:rsidRPr="000E405B" w:rsidRDefault="0051552C" w:rsidP="000E405B">
      <w:pPr>
        <w:rPr>
          <w:b/>
          <w:bCs/>
        </w:rPr>
      </w:pPr>
      <w:bookmarkStart w:id="414" w:name="_Ref30775525"/>
      <w:bookmarkStart w:id="415" w:name="_Toc33198808"/>
      <w:bookmarkStart w:id="416" w:name="_Toc33695146"/>
      <w:bookmarkStart w:id="417" w:name="_Toc33696108"/>
      <w:r w:rsidRPr="000E405B">
        <w:rPr>
          <w:b/>
          <w:bCs/>
        </w:rPr>
        <w:t>Diagnostic Accuracy Illustration</w:t>
      </w:r>
      <w:bookmarkEnd w:id="414"/>
      <w:bookmarkEnd w:id="415"/>
      <w:bookmarkEnd w:id="416"/>
      <w:bookmarkEnd w:id="417"/>
    </w:p>
    <w:p w14:paraId="13B6B1EB" w14:textId="77777777" w:rsidR="0051552C" w:rsidRPr="005B03D5" w:rsidRDefault="0051552C" w:rsidP="0051552C">
      <w:pPr>
        <w:rPr>
          <w:rFonts w:cs="Times New Roman"/>
        </w:rPr>
      </w:pPr>
      <w:r w:rsidRPr="005B03D5">
        <w:rPr>
          <w:rFonts w:cs="Times New Roman"/>
        </w:rPr>
        <w:t xml:space="preserve">The diagnostic accuracy of a test will vary depending on the prevalence of the genetic alteration within each tumour type even when the sensitivity and specificity are held constant. This can be expressed by looking at the positive predictive value (PPV) and negative predictive value (NPV) of a test. PPV is defined as the likelihood that an individual with a positive test truly has the condition. Alternatively, the NPV is the likelihood that the individual with a negative test truly does not have the condition. The predictive value of a test will differ depending on the prevalence of a genetic alteration. </w:t>
      </w:r>
    </w:p>
    <w:p w14:paraId="62D43992" w14:textId="5C7B1650" w:rsidR="0051552C" w:rsidRPr="005B03D5" w:rsidRDefault="0051552C" w:rsidP="0051552C">
      <w:pPr>
        <w:rPr>
          <w:rFonts w:cs="Times New Roman"/>
        </w:rPr>
      </w:pPr>
      <w:r w:rsidRPr="005B03D5">
        <w:rPr>
          <w:rFonts w:cs="Times New Roman"/>
        </w:rPr>
        <w:t>For example, the sensitivity and specificity of an IHC test for detecting NTRK fusions is 88% and 81%</w:t>
      </w:r>
      <w:r w:rsidR="00C46ACA">
        <w:rPr>
          <w:rFonts w:cs="Times New Roman"/>
        </w:rPr>
        <w:t>,</w:t>
      </w:r>
      <w:r w:rsidRPr="005B03D5">
        <w:rPr>
          <w:rFonts w:cs="Times New Roman"/>
        </w:rPr>
        <w:t xml:space="preserve"> respectively. If IHC was used to detect NTRK fusions in 2000 patients, 1000 with gastrointestinal stromal tumour (NTRK fusion prevalence = 0.1%) and 1000 with papillary thyroid tumour (NTRK fusion prevalence = 13.30%), the PPV and NPV of a test will differ. </w:t>
      </w:r>
      <w:r>
        <w:rPr>
          <w:rFonts w:cs="Times New Roman"/>
        </w:rPr>
        <w:fldChar w:fldCharType="begin"/>
      </w:r>
      <w:r>
        <w:rPr>
          <w:rFonts w:cs="Times New Roman"/>
        </w:rPr>
        <w:instrText xml:space="preserve"> REF _Ref25303196 \h </w:instrText>
      </w:r>
      <w:r>
        <w:rPr>
          <w:rFonts w:cs="Times New Roman"/>
        </w:rPr>
      </w:r>
      <w:r>
        <w:rPr>
          <w:rFonts w:cs="Times New Roman"/>
        </w:rPr>
        <w:fldChar w:fldCharType="separate"/>
      </w:r>
      <w:r w:rsidR="00C663A2">
        <w:t xml:space="preserve">Table </w:t>
      </w:r>
      <w:r w:rsidR="00C663A2">
        <w:rPr>
          <w:noProof/>
        </w:rPr>
        <w:t>37</w:t>
      </w:r>
      <w:r>
        <w:rPr>
          <w:rFonts w:cs="Times New Roman"/>
        </w:rPr>
        <w:fldChar w:fldCharType="end"/>
      </w:r>
      <w:r>
        <w:rPr>
          <w:rFonts w:cs="Times New Roman"/>
        </w:rPr>
        <w:t xml:space="preserve"> </w:t>
      </w:r>
      <w:r w:rsidRPr="005B03D5">
        <w:rPr>
          <w:rFonts w:cs="Times New Roman"/>
        </w:rPr>
        <w:t xml:space="preserve">demonstrates how </w:t>
      </w:r>
      <w:r>
        <w:rPr>
          <w:rFonts w:cs="Times New Roman"/>
        </w:rPr>
        <w:t xml:space="preserve">the </w:t>
      </w:r>
      <w:r w:rsidRPr="005B03D5">
        <w:rPr>
          <w:rFonts w:cs="Times New Roman"/>
        </w:rPr>
        <w:t xml:space="preserve">prevalence of NTRK fusion changes the PPV and NPV of a test. </w:t>
      </w:r>
    </w:p>
    <w:p w14:paraId="02B16E89" w14:textId="7BECD1E0" w:rsidR="0051552C" w:rsidRDefault="0051552C" w:rsidP="0051552C">
      <w:pPr>
        <w:pStyle w:val="Caption"/>
      </w:pPr>
      <w:bookmarkStart w:id="418" w:name="_Ref25303196"/>
      <w:bookmarkStart w:id="419" w:name="_Toc34033551"/>
      <w:r>
        <w:t xml:space="preserve">Table </w:t>
      </w:r>
      <w:r w:rsidR="00C974E5">
        <w:fldChar w:fldCharType="begin"/>
      </w:r>
      <w:r w:rsidR="00C974E5">
        <w:instrText xml:space="preserve"> SEQ Table \* ARABIC </w:instrText>
      </w:r>
      <w:r w:rsidR="00C974E5">
        <w:fldChar w:fldCharType="separate"/>
      </w:r>
      <w:r w:rsidR="00C663A2">
        <w:rPr>
          <w:noProof/>
        </w:rPr>
        <w:t>37</w:t>
      </w:r>
      <w:r w:rsidR="00C974E5">
        <w:rPr>
          <w:noProof/>
        </w:rPr>
        <w:fldChar w:fldCharType="end"/>
      </w:r>
      <w:bookmarkEnd w:id="418"/>
      <w:r w:rsidR="00A675ED">
        <w:t>:</w:t>
      </w:r>
      <w:r>
        <w:t xml:space="preserve"> </w:t>
      </w:r>
      <w:r w:rsidRPr="00A0119F">
        <w:t>Illustrative example of how the diagnostic accuracy of IHC (sensitivity = 88%, specificity = 81%) is different for two tumour types with differing NTRK fusion prevalence.</w:t>
      </w:r>
      <w:bookmarkEnd w:id="419"/>
    </w:p>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gridCol w:w="1985"/>
      </w:tblGrid>
      <w:tr w:rsidR="0051552C" w:rsidRPr="002832AE" w14:paraId="47F7800B" w14:textId="77777777" w:rsidTr="0051552C">
        <w:trPr>
          <w:trHeight w:val="505"/>
          <w:jc w:val="center"/>
        </w:trPr>
        <w:tc>
          <w:tcPr>
            <w:tcW w:w="4253" w:type="dxa"/>
            <w:tcBorders>
              <w:bottom w:val="single" w:sz="4" w:space="0" w:color="auto"/>
              <w:right w:val="single" w:sz="4" w:space="0" w:color="auto"/>
            </w:tcBorders>
          </w:tcPr>
          <w:p w14:paraId="6BEA1EBC" w14:textId="77777777" w:rsidR="0051552C" w:rsidRPr="002832AE" w:rsidRDefault="0051552C" w:rsidP="0051552C">
            <w:pPr>
              <w:spacing w:before="0" w:after="0"/>
              <w:rPr>
                <w:rFonts w:cs="Times New Roman"/>
                <w:sz w:val="20"/>
              </w:rPr>
            </w:pPr>
          </w:p>
        </w:tc>
        <w:tc>
          <w:tcPr>
            <w:tcW w:w="1984" w:type="dxa"/>
            <w:tcBorders>
              <w:left w:val="single" w:sz="4" w:space="0" w:color="auto"/>
              <w:bottom w:val="single" w:sz="4" w:space="0" w:color="auto"/>
              <w:right w:val="single" w:sz="4" w:space="0" w:color="auto"/>
            </w:tcBorders>
            <w:vAlign w:val="center"/>
          </w:tcPr>
          <w:p w14:paraId="0FAA0F82" w14:textId="77777777" w:rsidR="0051552C" w:rsidRPr="002832AE" w:rsidRDefault="0051552C" w:rsidP="0051552C">
            <w:pPr>
              <w:spacing w:before="0" w:after="0"/>
              <w:jc w:val="center"/>
              <w:rPr>
                <w:rFonts w:cs="Times New Roman"/>
                <w:sz w:val="20"/>
              </w:rPr>
            </w:pPr>
            <w:r w:rsidRPr="002832AE">
              <w:rPr>
                <w:rFonts w:cs="Times New Roman"/>
                <w:sz w:val="20"/>
              </w:rPr>
              <w:t>Papillary Thyroid Cancer</w:t>
            </w:r>
          </w:p>
        </w:tc>
        <w:tc>
          <w:tcPr>
            <w:tcW w:w="1985" w:type="dxa"/>
            <w:tcBorders>
              <w:left w:val="single" w:sz="4" w:space="0" w:color="auto"/>
              <w:bottom w:val="single" w:sz="4" w:space="0" w:color="auto"/>
            </w:tcBorders>
            <w:vAlign w:val="center"/>
          </w:tcPr>
          <w:p w14:paraId="0A21A65A" w14:textId="77777777" w:rsidR="0051552C" w:rsidRPr="002832AE" w:rsidRDefault="0051552C" w:rsidP="0051552C">
            <w:pPr>
              <w:spacing w:before="0" w:after="0"/>
              <w:jc w:val="center"/>
              <w:rPr>
                <w:rFonts w:cs="Times New Roman"/>
                <w:sz w:val="20"/>
              </w:rPr>
            </w:pPr>
            <w:r w:rsidRPr="002832AE">
              <w:rPr>
                <w:rFonts w:cs="Times New Roman"/>
                <w:sz w:val="20"/>
              </w:rPr>
              <w:t>Gastrointestinal Stromal Tumour</w:t>
            </w:r>
          </w:p>
        </w:tc>
      </w:tr>
      <w:tr w:rsidR="0051552C" w:rsidRPr="002832AE" w14:paraId="1660CC97" w14:textId="77777777" w:rsidTr="0051552C">
        <w:trPr>
          <w:trHeight w:val="336"/>
          <w:jc w:val="center"/>
        </w:trPr>
        <w:tc>
          <w:tcPr>
            <w:tcW w:w="4253" w:type="dxa"/>
            <w:tcBorders>
              <w:top w:val="single" w:sz="4" w:space="0" w:color="auto"/>
              <w:right w:val="single" w:sz="4" w:space="0" w:color="auto"/>
            </w:tcBorders>
          </w:tcPr>
          <w:p w14:paraId="7CF80C6B" w14:textId="77777777" w:rsidR="0051552C" w:rsidRPr="002832AE" w:rsidRDefault="0051552C" w:rsidP="0051552C">
            <w:pPr>
              <w:spacing w:before="0" w:after="0"/>
              <w:rPr>
                <w:rFonts w:cs="Times New Roman"/>
                <w:sz w:val="20"/>
              </w:rPr>
            </w:pPr>
            <w:r w:rsidRPr="002832AE">
              <w:rPr>
                <w:rFonts w:cs="Times New Roman"/>
                <w:sz w:val="20"/>
              </w:rPr>
              <w:t>NTRK fusion prevalence</w:t>
            </w:r>
          </w:p>
        </w:tc>
        <w:tc>
          <w:tcPr>
            <w:tcW w:w="1984" w:type="dxa"/>
            <w:tcBorders>
              <w:top w:val="single" w:sz="4" w:space="0" w:color="auto"/>
              <w:left w:val="single" w:sz="4" w:space="0" w:color="auto"/>
              <w:right w:val="single" w:sz="4" w:space="0" w:color="auto"/>
            </w:tcBorders>
          </w:tcPr>
          <w:p w14:paraId="530170B0" w14:textId="77777777" w:rsidR="0051552C" w:rsidRPr="002832AE" w:rsidRDefault="0051552C" w:rsidP="0051552C">
            <w:pPr>
              <w:spacing w:before="0" w:after="0"/>
              <w:jc w:val="center"/>
              <w:rPr>
                <w:rFonts w:cs="Times New Roman"/>
                <w:sz w:val="20"/>
              </w:rPr>
            </w:pPr>
            <w:r w:rsidRPr="002832AE">
              <w:rPr>
                <w:rFonts w:cs="Times New Roman"/>
                <w:sz w:val="20"/>
              </w:rPr>
              <w:t>13%</w:t>
            </w:r>
          </w:p>
        </w:tc>
        <w:tc>
          <w:tcPr>
            <w:tcW w:w="1985" w:type="dxa"/>
            <w:tcBorders>
              <w:top w:val="single" w:sz="4" w:space="0" w:color="auto"/>
              <w:left w:val="single" w:sz="4" w:space="0" w:color="auto"/>
            </w:tcBorders>
          </w:tcPr>
          <w:p w14:paraId="794CE7AD" w14:textId="77777777" w:rsidR="0051552C" w:rsidRPr="002832AE" w:rsidRDefault="0051552C" w:rsidP="0051552C">
            <w:pPr>
              <w:spacing w:before="0" w:after="0"/>
              <w:jc w:val="center"/>
              <w:rPr>
                <w:rFonts w:cs="Times New Roman"/>
                <w:sz w:val="20"/>
              </w:rPr>
            </w:pPr>
            <w:r w:rsidRPr="002832AE">
              <w:rPr>
                <w:rFonts w:cs="Times New Roman"/>
                <w:sz w:val="20"/>
              </w:rPr>
              <w:t>1%</w:t>
            </w:r>
          </w:p>
        </w:tc>
      </w:tr>
      <w:tr w:rsidR="0051552C" w:rsidRPr="002832AE" w14:paraId="2CE9D556" w14:textId="77777777" w:rsidTr="0051552C">
        <w:trPr>
          <w:trHeight w:val="336"/>
          <w:jc w:val="center"/>
        </w:trPr>
        <w:tc>
          <w:tcPr>
            <w:tcW w:w="4253" w:type="dxa"/>
            <w:tcBorders>
              <w:bottom w:val="single" w:sz="4" w:space="0" w:color="auto"/>
              <w:right w:val="single" w:sz="4" w:space="0" w:color="auto"/>
            </w:tcBorders>
          </w:tcPr>
          <w:p w14:paraId="1A957055" w14:textId="77777777" w:rsidR="0051552C" w:rsidRPr="002832AE" w:rsidRDefault="0051552C" w:rsidP="0051552C">
            <w:pPr>
              <w:spacing w:before="0" w:after="0"/>
              <w:rPr>
                <w:rFonts w:cs="Times New Roman"/>
                <w:sz w:val="20"/>
              </w:rPr>
            </w:pPr>
            <w:r w:rsidRPr="002832AE">
              <w:rPr>
                <w:rFonts w:cs="Times New Roman"/>
                <w:sz w:val="20"/>
              </w:rPr>
              <w:t xml:space="preserve">Total Population with NTRK fusion </w:t>
            </w:r>
          </w:p>
        </w:tc>
        <w:tc>
          <w:tcPr>
            <w:tcW w:w="1984" w:type="dxa"/>
            <w:tcBorders>
              <w:left w:val="single" w:sz="4" w:space="0" w:color="auto"/>
              <w:bottom w:val="single" w:sz="4" w:space="0" w:color="auto"/>
              <w:right w:val="single" w:sz="4" w:space="0" w:color="auto"/>
            </w:tcBorders>
          </w:tcPr>
          <w:p w14:paraId="72033E8C" w14:textId="77777777" w:rsidR="0051552C" w:rsidRPr="002832AE" w:rsidRDefault="0051552C" w:rsidP="0051552C">
            <w:pPr>
              <w:spacing w:before="0" w:after="0"/>
              <w:jc w:val="center"/>
              <w:rPr>
                <w:rFonts w:cs="Times New Roman"/>
                <w:sz w:val="20"/>
              </w:rPr>
            </w:pPr>
            <w:r w:rsidRPr="002832AE">
              <w:rPr>
                <w:rFonts w:cs="Times New Roman"/>
                <w:sz w:val="20"/>
              </w:rPr>
              <w:t>130</w:t>
            </w:r>
          </w:p>
        </w:tc>
        <w:tc>
          <w:tcPr>
            <w:tcW w:w="1985" w:type="dxa"/>
            <w:tcBorders>
              <w:left w:val="single" w:sz="4" w:space="0" w:color="auto"/>
              <w:bottom w:val="single" w:sz="4" w:space="0" w:color="auto"/>
            </w:tcBorders>
          </w:tcPr>
          <w:p w14:paraId="0183809E" w14:textId="77777777" w:rsidR="0051552C" w:rsidRPr="002832AE" w:rsidRDefault="0051552C" w:rsidP="0051552C">
            <w:pPr>
              <w:spacing w:before="0" w:after="0"/>
              <w:jc w:val="center"/>
              <w:rPr>
                <w:rFonts w:cs="Times New Roman"/>
                <w:sz w:val="20"/>
              </w:rPr>
            </w:pPr>
            <w:r w:rsidRPr="002832AE">
              <w:rPr>
                <w:rFonts w:cs="Times New Roman"/>
                <w:sz w:val="20"/>
              </w:rPr>
              <w:t>10</w:t>
            </w:r>
          </w:p>
        </w:tc>
      </w:tr>
      <w:tr w:rsidR="0051552C" w:rsidRPr="002832AE" w14:paraId="1335F4F8" w14:textId="77777777" w:rsidTr="0051552C">
        <w:trPr>
          <w:trHeight w:val="324"/>
          <w:jc w:val="center"/>
        </w:trPr>
        <w:tc>
          <w:tcPr>
            <w:tcW w:w="4253" w:type="dxa"/>
            <w:tcBorders>
              <w:top w:val="single" w:sz="4" w:space="0" w:color="auto"/>
              <w:right w:val="single" w:sz="4" w:space="0" w:color="auto"/>
            </w:tcBorders>
          </w:tcPr>
          <w:p w14:paraId="21AA16F7" w14:textId="77777777" w:rsidR="0051552C" w:rsidRPr="002832AE" w:rsidRDefault="0051552C" w:rsidP="0051552C">
            <w:pPr>
              <w:spacing w:before="0" w:after="0"/>
              <w:rPr>
                <w:rFonts w:cs="Times New Roman"/>
                <w:sz w:val="20"/>
              </w:rPr>
            </w:pPr>
            <w:r w:rsidRPr="002832AE">
              <w:rPr>
                <w:rFonts w:cs="Times New Roman"/>
                <w:sz w:val="20"/>
              </w:rPr>
              <w:t>True Positives (Test Positive, NTRK Positive)</w:t>
            </w:r>
          </w:p>
        </w:tc>
        <w:tc>
          <w:tcPr>
            <w:tcW w:w="1984" w:type="dxa"/>
            <w:tcBorders>
              <w:top w:val="single" w:sz="4" w:space="0" w:color="auto"/>
              <w:left w:val="single" w:sz="4" w:space="0" w:color="auto"/>
              <w:right w:val="single" w:sz="4" w:space="0" w:color="auto"/>
            </w:tcBorders>
          </w:tcPr>
          <w:p w14:paraId="153FD517" w14:textId="77777777" w:rsidR="0051552C" w:rsidRPr="002832AE" w:rsidRDefault="0051552C" w:rsidP="0051552C">
            <w:pPr>
              <w:spacing w:before="0" w:after="0"/>
              <w:jc w:val="center"/>
              <w:rPr>
                <w:rFonts w:cs="Times New Roman"/>
                <w:sz w:val="20"/>
              </w:rPr>
            </w:pPr>
            <w:r w:rsidRPr="002832AE">
              <w:rPr>
                <w:rFonts w:cs="Times New Roman"/>
                <w:sz w:val="20"/>
              </w:rPr>
              <w:t>114</w:t>
            </w:r>
          </w:p>
        </w:tc>
        <w:tc>
          <w:tcPr>
            <w:tcW w:w="1985" w:type="dxa"/>
            <w:tcBorders>
              <w:top w:val="single" w:sz="4" w:space="0" w:color="auto"/>
              <w:left w:val="single" w:sz="4" w:space="0" w:color="auto"/>
            </w:tcBorders>
          </w:tcPr>
          <w:p w14:paraId="4CDE9CE6" w14:textId="77777777" w:rsidR="0051552C" w:rsidRPr="002832AE" w:rsidRDefault="0051552C" w:rsidP="0051552C">
            <w:pPr>
              <w:spacing w:before="0" w:after="0"/>
              <w:jc w:val="center"/>
              <w:rPr>
                <w:rFonts w:cs="Times New Roman"/>
                <w:sz w:val="20"/>
              </w:rPr>
            </w:pPr>
            <w:r w:rsidRPr="002832AE">
              <w:rPr>
                <w:rFonts w:cs="Times New Roman"/>
                <w:sz w:val="20"/>
              </w:rPr>
              <w:t>9</w:t>
            </w:r>
          </w:p>
        </w:tc>
      </w:tr>
      <w:tr w:rsidR="0051552C" w:rsidRPr="002832AE" w14:paraId="3773543F" w14:textId="77777777" w:rsidTr="0051552C">
        <w:trPr>
          <w:trHeight w:val="324"/>
          <w:jc w:val="center"/>
        </w:trPr>
        <w:tc>
          <w:tcPr>
            <w:tcW w:w="4253" w:type="dxa"/>
            <w:tcBorders>
              <w:right w:val="single" w:sz="4" w:space="0" w:color="auto"/>
            </w:tcBorders>
          </w:tcPr>
          <w:p w14:paraId="18037BF4" w14:textId="77777777" w:rsidR="0051552C" w:rsidRPr="002832AE" w:rsidRDefault="0051552C" w:rsidP="0051552C">
            <w:pPr>
              <w:spacing w:before="0" w:after="0"/>
              <w:rPr>
                <w:rFonts w:cs="Times New Roman"/>
                <w:sz w:val="20"/>
              </w:rPr>
            </w:pPr>
            <w:r w:rsidRPr="002832AE">
              <w:rPr>
                <w:rFonts w:cs="Times New Roman"/>
                <w:sz w:val="20"/>
              </w:rPr>
              <w:t xml:space="preserve">False Positives (Test Positive, NTRK Negative) </w:t>
            </w:r>
          </w:p>
        </w:tc>
        <w:tc>
          <w:tcPr>
            <w:tcW w:w="1984" w:type="dxa"/>
            <w:tcBorders>
              <w:left w:val="single" w:sz="4" w:space="0" w:color="auto"/>
              <w:right w:val="single" w:sz="4" w:space="0" w:color="auto"/>
            </w:tcBorders>
          </w:tcPr>
          <w:p w14:paraId="58B6F969" w14:textId="77777777" w:rsidR="0051552C" w:rsidRPr="002832AE" w:rsidRDefault="0051552C" w:rsidP="0051552C">
            <w:pPr>
              <w:spacing w:before="0" w:after="0"/>
              <w:jc w:val="center"/>
              <w:rPr>
                <w:rFonts w:cs="Times New Roman"/>
                <w:sz w:val="20"/>
              </w:rPr>
            </w:pPr>
            <w:r w:rsidRPr="002832AE">
              <w:rPr>
                <w:rFonts w:cs="Times New Roman"/>
                <w:sz w:val="20"/>
              </w:rPr>
              <w:t>165</w:t>
            </w:r>
          </w:p>
        </w:tc>
        <w:tc>
          <w:tcPr>
            <w:tcW w:w="1985" w:type="dxa"/>
            <w:tcBorders>
              <w:left w:val="single" w:sz="4" w:space="0" w:color="auto"/>
            </w:tcBorders>
          </w:tcPr>
          <w:p w14:paraId="7E8B0CB4" w14:textId="77777777" w:rsidR="0051552C" w:rsidRPr="002832AE" w:rsidRDefault="0051552C" w:rsidP="0051552C">
            <w:pPr>
              <w:spacing w:before="0" w:after="0"/>
              <w:jc w:val="center"/>
              <w:rPr>
                <w:rFonts w:cs="Times New Roman"/>
                <w:sz w:val="20"/>
              </w:rPr>
            </w:pPr>
            <w:r w:rsidRPr="002832AE">
              <w:rPr>
                <w:rFonts w:cs="Times New Roman"/>
                <w:sz w:val="20"/>
              </w:rPr>
              <w:t>1</w:t>
            </w:r>
          </w:p>
        </w:tc>
      </w:tr>
      <w:tr w:rsidR="0051552C" w:rsidRPr="002832AE" w14:paraId="17EA835B" w14:textId="77777777" w:rsidTr="0051552C">
        <w:trPr>
          <w:trHeight w:val="336"/>
          <w:jc w:val="center"/>
        </w:trPr>
        <w:tc>
          <w:tcPr>
            <w:tcW w:w="4253" w:type="dxa"/>
            <w:tcBorders>
              <w:right w:val="single" w:sz="4" w:space="0" w:color="auto"/>
            </w:tcBorders>
          </w:tcPr>
          <w:p w14:paraId="5E73BC4B" w14:textId="77777777" w:rsidR="0051552C" w:rsidRPr="002832AE" w:rsidRDefault="0051552C" w:rsidP="0051552C">
            <w:pPr>
              <w:spacing w:before="0" w:after="0"/>
              <w:rPr>
                <w:rFonts w:cs="Times New Roman"/>
                <w:sz w:val="20"/>
              </w:rPr>
            </w:pPr>
            <w:r w:rsidRPr="002832AE">
              <w:rPr>
                <w:rFonts w:cs="Times New Roman"/>
                <w:sz w:val="20"/>
              </w:rPr>
              <w:t>True Negatives (Test Negative, NTRK Negative)</w:t>
            </w:r>
          </w:p>
        </w:tc>
        <w:tc>
          <w:tcPr>
            <w:tcW w:w="1984" w:type="dxa"/>
            <w:tcBorders>
              <w:left w:val="single" w:sz="4" w:space="0" w:color="auto"/>
              <w:right w:val="single" w:sz="4" w:space="0" w:color="auto"/>
            </w:tcBorders>
          </w:tcPr>
          <w:p w14:paraId="190B670F" w14:textId="77777777" w:rsidR="0051552C" w:rsidRPr="002832AE" w:rsidRDefault="0051552C" w:rsidP="0051552C">
            <w:pPr>
              <w:spacing w:before="0" w:after="0"/>
              <w:jc w:val="center"/>
              <w:rPr>
                <w:rFonts w:cs="Times New Roman"/>
                <w:sz w:val="20"/>
              </w:rPr>
            </w:pPr>
            <w:r w:rsidRPr="002832AE">
              <w:rPr>
                <w:rFonts w:cs="Times New Roman"/>
                <w:sz w:val="20"/>
              </w:rPr>
              <w:t>705</w:t>
            </w:r>
          </w:p>
        </w:tc>
        <w:tc>
          <w:tcPr>
            <w:tcW w:w="1985" w:type="dxa"/>
            <w:tcBorders>
              <w:left w:val="single" w:sz="4" w:space="0" w:color="auto"/>
            </w:tcBorders>
          </w:tcPr>
          <w:p w14:paraId="657D6DCF" w14:textId="77777777" w:rsidR="0051552C" w:rsidRPr="002832AE" w:rsidRDefault="0051552C" w:rsidP="0051552C">
            <w:pPr>
              <w:spacing w:before="0" w:after="0"/>
              <w:jc w:val="center"/>
              <w:rPr>
                <w:rFonts w:cs="Times New Roman"/>
                <w:sz w:val="20"/>
              </w:rPr>
            </w:pPr>
            <w:r w:rsidRPr="002832AE">
              <w:rPr>
                <w:rFonts w:cs="Times New Roman"/>
                <w:sz w:val="20"/>
              </w:rPr>
              <w:t>871</w:t>
            </w:r>
          </w:p>
        </w:tc>
      </w:tr>
      <w:tr w:rsidR="0051552C" w:rsidRPr="002832AE" w14:paraId="5C2B5D94" w14:textId="77777777" w:rsidTr="0051552C">
        <w:trPr>
          <w:trHeight w:val="324"/>
          <w:jc w:val="center"/>
        </w:trPr>
        <w:tc>
          <w:tcPr>
            <w:tcW w:w="4253" w:type="dxa"/>
            <w:tcBorders>
              <w:bottom w:val="single" w:sz="4" w:space="0" w:color="auto"/>
              <w:right w:val="single" w:sz="4" w:space="0" w:color="auto"/>
            </w:tcBorders>
          </w:tcPr>
          <w:p w14:paraId="1ABDF5C7" w14:textId="77777777" w:rsidR="0051552C" w:rsidRPr="002832AE" w:rsidRDefault="0051552C" w:rsidP="0051552C">
            <w:pPr>
              <w:spacing w:before="0" w:after="0"/>
              <w:rPr>
                <w:rFonts w:cs="Times New Roman"/>
                <w:sz w:val="20"/>
              </w:rPr>
            </w:pPr>
            <w:r w:rsidRPr="002832AE">
              <w:rPr>
                <w:rFonts w:cs="Times New Roman"/>
                <w:sz w:val="20"/>
              </w:rPr>
              <w:t xml:space="preserve">False Negatives (Test Negative, NTRK Positive) </w:t>
            </w:r>
          </w:p>
        </w:tc>
        <w:tc>
          <w:tcPr>
            <w:tcW w:w="1984" w:type="dxa"/>
            <w:tcBorders>
              <w:left w:val="single" w:sz="4" w:space="0" w:color="auto"/>
              <w:bottom w:val="single" w:sz="4" w:space="0" w:color="auto"/>
              <w:right w:val="single" w:sz="4" w:space="0" w:color="auto"/>
            </w:tcBorders>
          </w:tcPr>
          <w:p w14:paraId="048AA438" w14:textId="77777777" w:rsidR="0051552C" w:rsidRPr="002832AE" w:rsidRDefault="0051552C" w:rsidP="0051552C">
            <w:pPr>
              <w:spacing w:before="0" w:after="0"/>
              <w:jc w:val="center"/>
              <w:rPr>
                <w:rFonts w:cs="Times New Roman"/>
                <w:sz w:val="20"/>
              </w:rPr>
            </w:pPr>
            <w:r w:rsidRPr="002832AE">
              <w:rPr>
                <w:rFonts w:cs="Times New Roman"/>
                <w:sz w:val="20"/>
              </w:rPr>
              <w:t>165</w:t>
            </w:r>
          </w:p>
        </w:tc>
        <w:tc>
          <w:tcPr>
            <w:tcW w:w="1985" w:type="dxa"/>
            <w:tcBorders>
              <w:left w:val="single" w:sz="4" w:space="0" w:color="auto"/>
              <w:bottom w:val="single" w:sz="4" w:space="0" w:color="auto"/>
            </w:tcBorders>
          </w:tcPr>
          <w:p w14:paraId="55CAB26A" w14:textId="77777777" w:rsidR="0051552C" w:rsidRPr="002832AE" w:rsidRDefault="0051552C" w:rsidP="0051552C">
            <w:pPr>
              <w:spacing w:before="0" w:after="0"/>
              <w:jc w:val="center"/>
              <w:rPr>
                <w:rFonts w:cs="Times New Roman"/>
                <w:sz w:val="20"/>
              </w:rPr>
            </w:pPr>
            <w:r w:rsidRPr="002832AE">
              <w:rPr>
                <w:rFonts w:cs="Times New Roman"/>
                <w:sz w:val="20"/>
              </w:rPr>
              <w:t>119</w:t>
            </w:r>
          </w:p>
        </w:tc>
      </w:tr>
      <w:tr w:rsidR="0051552C" w:rsidRPr="002832AE" w14:paraId="1E0E3E43" w14:textId="77777777" w:rsidTr="0051552C">
        <w:trPr>
          <w:trHeight w:val="336"/>
          <w:jc w:val="center"/>
        </w:trPr>
        <w:tc>
          <w:tcPr>
            <w:tcW w:w="4253" w:type="dxa"/>
            <w:tcBorders>
              <w:top w:val="single" w:sz="4" w:space="0" w:color="auto"/>
              <w:right w:val="single" w:sz="4" w:space="0" w:color="auto"/>
            </w:tcBorders>
          </w:tcPr>
          <w:p w14:paraId="06B1E524" w14:textId="77777777" w:rsidR="0051552C" w:rsidRPr="002832AE" w:rsidRDefault="0051552C" w:rsidP="0051552C">
            <w:pPr>
              <w:spacing w:before="0" w:after="0"/>
              <w:rPr>
                <w:rFonts w:cs="Times New Roman"/>
                <w:sz w:val="20"/>
              </w:rPr>
            </w:pPr>
            <w:r w:rsidRPr="002832AE">
              <w:rPr>
                <w:rFonts w:cs="Times New Roman"/>
                <w:sz w:val="20"/>
              </w:rPr>
              <w:t>Positive Predictive Value</w:t>
            </w:r>
          </w:p>
        </w:tc>
        <w:tc>
          <w:tcPr>
            <w:tcW w:w="1984" w:type="dxa"/>
            <w:tcBorders>
              <w:top w:val="single" w:sz="4" w:space="0" w:color="auto"/>
              <w:left w:val="single" w:sz="4" w:space="0" w:color="auto"/>
              <w:right w:val="single" w:sz="4" w:space="0" w:color="auto"/>
            </w:tcBorders>
          </w:tcPr>
          <w:p w14:paraId="71B0388B" w14:textId="77777777" w:rsidR="0051552C" w:rsidRPr="002832AE" w:rsidRDefault="0051552C" w:rsidP="0051552C">
            <w:pPr>
              <w:spacing w:before="0" w:after="0"/>
              <w:jc w:val="center"/>
              <w:rPr>
                <w:rFonts w:cs="Times New Roman"/>
                <w:sz w:val="20"/>
              </w:rPr>
            </w:pPr>
            <w:r w:rsidRPr="002832AE">
              <w:rPr>
                <w:rFonts w:cs="Times New Roman"/>
                <w:sz w:val="20"/>
              </w:rPr>
              <w:t>88%</w:t>
            </w:r>
          </w:p>
        </w:tc>
        <w:tc>
          <w:tcPr>
            <w:tcW w:w="1985" w:type="dxa"/>
            <w:tcBorders>
              <w:top w:val="single" w:sz="4" w:space="0" w:color="auto"/>
              <w:left w:val="single" w:sz="4" w:space="0" w:color="auto"/>
            </w:tcBorders>
          </w:tcPr>
          <w:p w14:paraId="10761B9E" w14:textId="77777777" w:rsidR="0051552C" w:rsidRPr="002832AE" w:rsidRDefault="0051552C" w:rsidP="0051552C">
            <w:pPr>
              <w:spacing w:before="0" w:after="0"/>
              <w:jc w:val="center"/>
              <w:rPr>
                <w:rFonts w:cs="Times New Roman"/>
                <w:sz w:val="20"/>
              </w:rPr>
            </w:pPr>
            <w:r w:rsidRPr="002832AE">
              <w:rPr>
                <w:rFonts w:cs="Times New Roman"/>
                <w:sz w:val="20"/>
              </w:rPr>
              <w:t>99%</w:t>
            </w:r>
          </w:p>
        </w:tc>
      </w:tr>
      <w:tr w:rsidR="0051552C" w:rsidRPr="002832AE" w14:paraId="43CE0B6C" w14:textId="77777777" w:rsidTr="0051552C">
        <w:trPr>
          <w:trHeight w:val="324"/>
          <w:jc w:val="center"/>
        </w:trPr>
        <w:tc>
          <w:tcPr>
            <w:tcW w:w="4253" w:type="dxa"/>
            <w:tcBorders>
              <w:right w:val="single" w:sz="4" w:space="0" w:color="auto"/>
            </w:tcBorders>
          </w:tcPr>
          <w:p w14:paraId="23775D38" w14:textId="77777777" w:rsidR="0051552C" w:rsidRPr="002832AE" w:rsidRDefault="0051552C" w:rsidP="0051552C">
            <w:pPr>
              <w:spacing w:before="0" w:after="0"/>
              <w:rPr>
                <w:rFonts w:cs="Times New Roman"/>
                <w:sz w:val="20"/>
              </w:rPr>
            </w:pPr>
            <w:r w:rsidRPr="002832AE">
              <w:rPr>
                <w:rFonts w:cs="Times New Roman"/>
                <w:sz w:val="20"/>
              </w:rPr>
              <w:t>Negative Predictive Value</w:t>
            </w:r>
          </w:p>
        </w:tc>
        <w:tc>
          <w:tcPr>
            <w:tcW w:w="1984" w:type="dxa"/>
            <w:tcBorders>
              <w:left w:val="single" w:sz="4" w:space="0" w:color="auto"/>
              <w:right w:val="single" w:sz="4" w:space="0" w:color="auto"/>
            </w:tcBorders>
          </w:tcPr>
          <w:p w14:paraId="353FEEC2" w14:textId="77777777" w:rsidR="0051552C" w:rsidRPr="002832AE" w:rsidRDefault="0051552C" w:rsidP="0051552C">
            <w:pPr>
              <w:spacing w:before="0" w:after="0"/>
              <w:jc w:val="center"/>
              <w:rPr>
                <w:rFonts w:cs="Times New Roman"/>
                <w:sz w:val="20"/>
              </w:rPr>
            </w:pPr>
            <w:r w:rsidRPr="002832AE">
              <w:rPr>
                <w:rFonts w:cs="Times New Roman"/>
                <w:sz w:val="20"/>
              </w:rPr>
              <w:t>7%</w:t>
            </w:r>
          </w:p>
        </w:tc>
        <w:tc>
          <w:tcPr>
            <w:tcW w:w="1985" w:type="dxa"/>
            <w:tcBorders>
              <w:left w:val="single" w:sz="4" w:space="0" w:color="auto"/>
            </w:tcBorders>
          </w:tcPr>
          <w:p w14:paraId="70B751E7" w14:textId="77777777" w:rsidR="0051552C" w:rsidRPr="002832AE" w:rsidRDefault="0051552C" w:rsidP="0051552C">
            <w:pPr>
              <w:spacing w:before="0" w:after="0"/>
              <w:jc w:val="center"/>
              <w:rPr>
                <w:rFonts w:cs="Times New Roman"/>
                <w:sz w:val="20"/>
              </w:rPr>
            </w:pPr>
            <w:r w:rsidRPr="002832AE">
              <w:rPr>
                <w:rFonts w:cs="Times New Roman"/>
                <w:sz w:val="20"/>
              </w:rPr>
              <w:t>98.9%</w:t>
            </w:r>
          </w:p>
        </w:tc>
      </w:tr>
    </w:tbl>
    <w:p w14:paraId="5298F57E" w14:textId="77777777" w:rsidR="0051552C" w:rsidRPr="00996660" w:rsidRDefault="0051552C" w:rsidP="0051552C"/>
    <w:p w14:paraId="047C0D27" w14:textId="77777777" w:rsidR="00655346" w:rsidRDefault="0051552C" w:rsidP="00655346">
      <w:bookmarkStart w:id="420" w:name="_Ref30775765"/>
      <w:bookmarkStart w:id="421" w:name="_Toc33198809"/>
      <w:bookmarkStart w:id="422" w:name="_Toc33695147"/>
      <w:bookmarkStart w:id="423" w:name="_Toc33696109"/>
      <w:r w:rsidRPr="000E405B">
        <w:rPr>
          <w:b/>
          <w:bCs/>
        </w:rPr>
        <w:t>Estimation of eligible population</w:t>
      </w:r>
      <w:bookmarkEnd w:id="420"/>
      <w:bookmarkEnd w:id="421"/>
      <w:bookmarkEnd w:id="422"/>
      <w:bookmarkEnd w:id="423"/>
    </w:p>
    <w:p w14:paraId="3BE855E8" w14:textId="699C9F6C" w:rsidR="0051552C" w:rsidRDefault="00655346" w:rsidP="00655346">
      <w:r>
        <w:fldChar w:fldCharType="begin"/>
      </w:r>
      <w:r>
        <w:instrText xml:space="preserve"> REF _Ref33775685 \h </w:instrText>
      </w:r>
      <w:r>
        <w:fldChar w:fldCharType="separate"/>
      </w:r>
      <w:r>
        <w:t xml:space="preserve">Table </w:t>
      </w:r>
      <w:r>
        <w:rPr>
          <w:noProof/>
        </w:rPr>
        <w:t>38</w:t>
      </w:r>
      <w:r>
        <w:fldChar w:fldCharType="end"/>
      </w:r>
      <w:r>
        <w:t xml:space="preserve"> d</w:t>
      </w:r>
      <w:r w:rsidR="0051552C">
        <w:t>etails the sources used to estimate the annual eligible population.</w:t>
      </w:r>
      <w:r>
        <w:t xml:space="preserve"> </w:t>
      </w:r>
    </w:p>
    <w:p w14:paraId="5B3489AF" w14:textId="23E5DA2A" w:rsidR="0051552C" w:rsidRPr="00DA232C" w:rsidRDefault="0051552C" w:rsidP="0051552C">
      <w:r w:rsidRPr="00DA232C">
        <w:t>The prevalence of NTRK fusions for each tumour type were determined from a pragmatic review of the literature. For the majority of tumour types, the prevalence of NTRK fusions were acquired fr</w:t>
      </w:r>
      <w:r>
        <w:t>om Foundation Medicine Data in the</w:t>
      </w:r>
      <w:r w:rsidRPr="00DA232C">
        <w:t xml:space="preserve"> FDA review for </w:t>
      </w:r>
      <w:r w:rsidR="00C46ACA">
        <w:t>l</w:t>
      </w:r>
      <w:r w:rsidRPr="00DA232C">
        <w:t>arotrectinib, which assessed 34,476 tumour samples</w:t>
      </w:r>
      <w:r>
        <w:t>.</w:t>
      </w:r>
      <w:r w:rsidR="006F7FD7">
        <w:fldChar w:fldCharType="begin"/>
      </w:r>
      <w:r w:rsidR="004D5B2B">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fldChar w:fldCharType="separate"/>
      </w:r>
      <w:r w:rsidR="004D5B2B" w:rsidRPr="004D5B2B">
        <w:rPr>
          <w:noProof/>
          <w:vertAlign w:val="superscript"/>
        </w:rPr>
        <w:t>173</w:t>
      </w:r>
      <w:r w:rsidR="006F7FD7">
        <w:fldChar w:fldCharType="end"/>
      </w:r>
      <w:r>
        <w:t xml:space="preserve"> </w:t>
      </w:r>
      <w:r w:rsidRPr="00DA232C">
        <w:t>Frequency of NTRK fusions of the remaining tumour types were taken from published evidence.</w:t>
      </w:r>
      <w:r w:rsidRPr="0051552C">
        <w:t xml:space="preserve"> </w:t>
      </w:r>
      <w:r w:rsidR="006F7FD7">
        <w:fldChar w:fldCharType="begin">
          <w:fldData xml:space="preserve">PEVuZE5vdGU+PENpdGU+PEF1dGhvcj5TaWdhbDwvQXV0aG9yPjxZZWFyPjIwMTg8L1llYXI+PFJl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</w:fldData>
        </w:fldChar>
      </w:r>
      <w:r w:rsidR="004D5B2B">
        <w:instrText xml:space="preserve"> ADDIN EN.CITE </w:instrText>
      </w:r>
      <w:r w:rsidR="004D5B2B">
        <w:fldChar w:fldCharType="begin">
          <w:fldData xml:space="preserve">PEVuZE5vdGU+PENpdGU+PEF1dGhvcj5TaWdhbDwvQXV0aG9yPjxZZWFyPjIwMTg8L1llYXI+PFJl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</w:fldData>
        </w:fldChar>
      </w:r>
      <w:r w:rsidR="004D5B2B">
        <w:instrText xml:space="preserve"> ADDIN EN.CITE.DATA </w:instrText>
      </w:r>
      <w:r w:rsidR="004D5B2B">
        <w:fldChar w:fldCharType="end"/>
      </w:r>
      <w:r w:rsidR="006F7FD7">
        <w:fldChar w:fldCharType="separate"/>
      </w:r>
      <w:r w:rsidR="004D5B2B" w:rsidRPr="004D5B2B">
        <w:rPr>
          <w:noProof/>
          <w:vertAlign w:val="superscript"/>
        </w:rPr>
        <w:t>171, 172, 174</w:t>
      </w:r>
      <w:r w:rsidR="006F7FD7">
        <w:fldChar w:fldCharType="end"/>
      </w:r>
      <w:r>
        <w:t xml:space="preserve"> </w:t>
      </w:r>
      <w:r w:rsidRPr="00DA232C">
        <w:t>Even though NTRK fusions have been identified in renal cell carcinoma</w:t>
      </w:r>
      <w:r w:rsidR="00C46ACA">
        <w:t>,</w:t>
      </w:r>
      <w:r>
        <w:t xml:space="preserve"> </w:t>
      </w:r>
      <w:r w:rsidR="006F7FD7">
        <w:fldChar w:fldCharType="begin"/>
      </w:r>
      <w:r w:rsidR="00500BB3">
        <w:instrText xml:space="preserve"> ADDIN EN.CITE &lt;EndNote&gt;&lt;Cite&gt;&lt;Author&gt;Lee&lt;/Author&gt;&lt;Year&gt;2017&lt;/Year&gt;&lt;RecNum&gt;3541&lt;/RecNum&gt;&lt;DisplayText&gt;&lt;style face="superscript"&gt;225&lt;/style&gt;&lt;/DisplayText&gt;&lt;record&gt;&lt;rec-number&gt;3541&lt;/rec-number&gt;&lt;foreign-keys&gt;&lt;key app="EN" db-id="dwaevxvazfs2f3ewvzmxrd0k0wasw55p2z2w" timestamp="1579875628"&gt;3541&lt;/key&gt;&lt;/foreign-keys&gt;&lt;ref-type name="Journal Article"&gt;17&lt;/ref-type&gt;&lt;contributors&gt;&lt;authors&gt;&lt;author&gt;Lee, Su Jin&lt;/author&gt;&lt;author&gt;Kim, Nayoung K. D.&lt;/author&gt;&lt;author&gt;Lee, Se-Hoon&lt;/author&gt;&lt;author&gt;Kim, Seung Tae&lt;/author&gt;&lt;author&gt;Park, Se Hoon&lt;/author&gt;&lt;author&gt;Park, Joon Oh&lt;/author&gt;&lt;author&gt;Park, Young Suk&lt;/author&gt;&lt;author&gt;Lim, Ho Yeong&lt;/author&gt;&lt;author&gt;Kang, Won Ki&lt;/author&gt;&lt;author&gt;Park, Woong Yang&lt;/author&gt;&lt;/authors&gt;&lt;/contributors&gt;&lt;titles&gt;&lt;title&gt;NTRK gene amplification in patients with metastatic cancer&lt;/title&gt;&lt;secondary-title&gt;Precision and Future Medicine&lt;/secondary-title&gt;&lt;/titles&gt;&lt;periodical&gt;&lt;full-title&gt;Precision and Future Medicine&lt;/full-title&gt;&lt;abbr-1&gt;Precision Future Med&lt;/abbr-1&gt;&lt;/periodical&gt;&lt;pages&gt;129-137&lt;/pages&gt;&lt;volume&gt;1&lt;/volume&gt;&lt;number&gt;3&lt;/number&gt;&lt;dates&gt;&lt;year&gt;2017&lt;/year&gt;&lt;/dates&gt;&lt;isbn&gt;2508-7940&lt;/isbn&gt;&lt;urls&gt;&lt;/urls&gt;&lt;custom4&gt;LUCY&amp;apos;S REFERENCES&lt;/custom4&gt;&lt;/record&gt;&lt;/Cite&gt;&lt;/EndNote&gt;</w:instrText>
      </w:r>
      <w:r w:rsidR="006F7FD7">
        <w:fldChar w:fldCharType="separate"/>
      </w:r>
      <w:r w:rsidR="00CB2733" w:rsidRPr="00CB2733">
        <w:rPr>
          <w:noProof/>
          <w:vertAlign w:val="superscript"/>
        </w:rPr>
        <w:t>225</w:t>
      </w:r>
      <w:r w:rsidR="006F7FD7">
        <w:fldChar w:fldCharType="end"/>
      </w:r>
      <w:r w:rsidRPr="00DA232C">
        <w:t xml:space="preserve"> ovarian</w:t>
      </w:r>
      <w:r w:rsidR="006F7FD7">
        <w:fldChar w:fldCharType="begin"/>
      </w:r>
      <w:r w:rsidR="00500BB3">
        <w:instrText xml:space="preserve"> ADDIN EN.CITE &lt;EndNote&gt;&lt;Cite&gt;&lt;Author&gt;Lee&lt;/Author&gt;&lt;Year&gt;2017&lt;/Year&gt;&lt;RecNum&gt;3541&lt;/RecNum&gt;&lt;DisplayText&gt;&lt;style face="superscript"&gt;225&lt;/style&gt;&lt;/DisplayText&gt;&lt;record&gt;&lt;rec-number&gt;3541&lt;/rec-number&gt;&lt;foreign-keys&gt;&lt;key app="EN" db-id="dwaevxvazfs2f3ewvzmxrd0k0wasw55p2z2w" timestamp="1579875628"&gt;3541&lt;/key&gt;&lt;/foreign-keys&gt;&lt;ref-type name="Journal Article"&gt;17&lt;/ref-type&gt;&lt;contributors&gt;&lt;authors&gt;&lt;author&gt;Lee, Su Jin&lt;/author&gt;&lt;author&gt;Kim, Nayoung K. D.&lt;/author&gt;&lt;author&gt;Lee, Se-Hoon&lt;/author&gt;&lt;author&gt;Kim, Seung Tae&lt;/author&gt;&lt;author&gt;Park, Se Hoon&lt;/author&gt;&lt;author&gt;Park, Joon Oh&lt;/author&gt;&lt;author&gt;Park, Young Suk&lt;/author&gt;&lt;author&gt;Lim, Ho Yeong&lt;/author&gt;&lt;author&gt;Kang, Won Ki&lt;/author&gt;&lt;author&gt;Park, Woong Yang&lt;/author&gt;&lt;/authors&gt;&lt;/contributors&gt;&lt;titles&gt;&lt;title&gt;NTRK gene amplification in patients with metastatic cancer&lt;/title&gt;&lt;secondary-title&gt;Precision and Future Medicine&lt;/secondary-title&gt;&lt;/titles&gt;&lt;periodical&gt;&lt;full-title&gt;Precision and Future Medicine&lt;/full-title&gt;&lt;abbr-1&gt;Precision Future Med&lt;/abbr-1&gt;&lt;/periodical&gt;&lt;pages&gt;129-137&lt;/pages&gt;&lt;volume&gt;1&lt;/volume&gt;&lt;number&gt;3&lt;/number&gt;&lt;dates&gt;&lt;year&gt;2017&lt;/year&gt;&lt;/dates&gt;&lt;isbn&gt;2508-7940&lt;/isbn&gt;&lt;urls&gt;&lt;/urls&gt;&lt;custom4&gt;LUCY&amp;apos;S REFERENCES&lt;/custom4&gt;&lt;/record&gt;&lt;/Cite&gt;&lt;/EndNote&gt;</w:instrText>
      </w:r>
      <w:r w:rsidR="006F7FD7">
        <w:fldChar w:fldCharType="separate"/>
      </w:r>
      <w:r w:rsidR="00CB2733" w:rsidRPr="00CB2733">
        <w:rPr>
          <w:noProof/>
          <w:vertAlign w:val="superscript"/>
        </w:rPr>
        <w:t>225</w:t>
      </w:r>
      <w:r w:rsidR="006F7FD7">
        <w:fldChar w:fldCharType="end"/>
      </w:r>
      <w:r>
        <w:t xml:space="preserve"> </w:t>
      </w:r>
      <w:r w:rsidRPr="00DA232C">
        <w:t>and prostate cancer</w:t>
      </w:r>
      <w:r w:rsidR="006F7FD7">
        <w:fldChar w:fldCharType="begin"/>
      </w:r>
      <w:r w:rsidR="00CB2733">
        <w:instrText xml:space="preserve"> ADDIN EN.CITE &lt;EndNote&gt;&lt;Cite&gt;&lt;Author&gt;Lange&lt;/Author&gt;&lt;Year&gt;2018&lt;/Year&gt;&lt;RecNum&gt;3540&lt;/RecNum&gt;&lt;DisplayText&gt;&lt;style face="superscript"&gt;226&lt;/style&gt;&lt;/DisplayText&gt;&lt;record&gt;&lt;rec-number&gt;3540&lt;/rec-number&gt;&lt;foreign-keys&gt;&lt;key app="EN" db-id="dwaevxvazfs2f3ewvzmxrd0k0wasw55p2z2w" timestamp="1579875628"&gt;3540&lt;/key&gt;&lt;/foreign-keys&gt;&lt;ref-type name="Journal Article"&gt;17&lt;/ref-type&gt;&lt;contributors&gt;&lt;authors&gt;&lt;author&gt;Lange, Allison M.&lt;/author&gt;&lt;author&gt;Lo, Hui-Wen&lt;/author&gt;&lt;/authors&gt;&lt;/contributors&gt;&lt;titles&gt;&lt;title&gt;Inhibiting TRK proteins in clinical cancer therapy&lt;/title&gt;&lt;secondary-title&gt;Cancers&lt;/secondary-title&gt;&lt;/titles&gt;&lt;periodical&gt;&lt;full-title&gt;Cancers&lt;/full-title&gt;&lt;/periodical&gt;&lt;pages&gt;105&lt;/pages&gt;&lt;volume&gt;10&lt;/volume&gt;&lt;number&gt;4&lt;/number&gt;&lt;dates&gt;&lt;year&gt;2018&lt;/year&gt;&lt;/dates&gt;&lt;urls&gt;&lt;/urls&gt;&lt;custom4&gt;LUCY&amp;apos;S REFERENCES&lt;/custom4&gt;&lt;/record&gt;&lt;/Cite&gt;&lt;/EndNote&gt;</w:instrText>
      </w:r>
      <w:r w:rsidR="006F7FD7">
        <w:fldChar w:fldCharType="separate"/>
      </w:r>
      <w:r w:rsidR="00CB2733" w:rsidRPr="00CB2733">
        <w:rPr>
          <w:noProof/>
          <w:vertAlign w:val="superscript"/>
        </w:rPr>
        <w:t>226</w:t>
      </w:r>
      <w:r w:rsidR="006F7FD7">
        <w:fldChar w:fldCharType="end"/>
      </w:r>
      <w:r>
        <w:t xml:space="preserve">, </w:t>
      </w:r>
      <w:r w:rsidRPr="00DA232C">
        <w:t>the exact frequencies are not recorded. Therefore, it was assumed that the NTRK fusion frequency in these tumours was the same as the average frequency of NTRK fusions across all tumours, which is estimated to be 0</w:t>
      </w:r>
      <w:r>
        <w:t>.</w:t>
      </w:r>
      <w:r w:rsidRPr="00DA232C">
        <w:t>2</w:t>
      </w:r>
      <w:r>
        <w:t>6</w:t>
      </w:r>
      <w:r w:rsidRPr="00DA232C">
        <w:t>%.</w:t>
      </w:r>
      <w:r>
        <w:t xml:space="preserve"> </w:t>
      </w:r>
      <w:r w:rsidR="006F7FD7">
        <w:fldChar w:fldCharType="begin"/>
      </w:r>
      <w:r w:rsidR="00054FE8">
        <w:instrText xml:space="preserve"> ADDIN EN.CITE &lt;EndNote&gt;&lt;Cite&gt;&lt;Author&gt;Solomon&lt;/Author&gt;&lt;Year&gt;2019&lt;/Year&gt;&lt;RecNum&gt;3557&lt;/RecNum&gt;&lt;DisplayText&gt;&lt;style face="superscript"&gt;176&lt;/style&gt;&lt;/DisplayText&gt;&lt;record&gt;&lt;rec-number&gt;3557&lt;/rec-number&gt;&lt;foreign-keys&gt;&lt;key app="EN" db-id="dwaevxvazfs2f3ewvzmxrd0k0wasw55p2z2w" timestamp="1579875628"&gt;3557&lt;/key&gt;&lt;/foreign-keys&gt;&lt;ref-type name="Journal Article"&gt;17&lt;/ref-type&gt;&lt;contributors&gt;&lt;authors&gt;&lt;author&gt;Solomon, James P.&lt;/author&gt;&lt;author&gt;Linkov, Irina&lt;/author&gt;&lt;author&gt;Rosado, Andrea&lt;/author&gt;&lt;author&gt;Mullaney, Kerry&lt;/author&gt;&lt;author&gt;Rosen, Ezra Y.&lt;/author&gt;&lt;author&gt;Frosina, Denise&lt;/author&gt;&lt;author&gt;Jungbluth, Achim A.&lt;/author&gt;&lt;author&gt;Zehir, Ahmet&lt;/author&gt;&lt;author&gt;Benayed, Ryma&lt;/author&gt;&lt;author&gt;Drilon, Alexander&lt;/author&gt;&lt;author&gt;Hyman, David M.&lt;/author&gt;&lt;author&gt;Ladanyi, Marc&lt;/author&gt;&lt;author&gt;Sireci, Anthony N.&lt;/author&gt;&lt;author&gt;Hechtman, Jaclyn F.&lt;/author&gt;&lt;/authors&gt;&lt;/contributors&gt;&lt;titles&gt;&lt;title&gt;NTRK fusion detection across multiple assays and 33,997 cases: diagnostic implications and pitfalls&lt;/title&gt;&lt;secondary-title&gt;Modern Pathology&lt;/secondary-title&gt;&lt;/titles&gt;&lt;pages&gt;38-46&lt;/pages&gt;&lt;volume&gt;33&lt;/volume&gt;&lt;dates&gt;&lt;year&gt;2019&lt;/year&gt;&lt;pub-dates&gt;&lt;date&gt;2019/08/02&lt;/date&gt;&lt;/pub-dates&gt;&lt;/dates&gt;&lt;isbn&gt;1530-0285&lt;/isbn&gt;&lt;urls&gt;&lt;/urls&gt;&lt;custom4&gt;LUCY&amp;apos;S REFERENCES&lt;/custom4&gt;&lt;electronic-resource-num&gt;10.1038/s41379-019-0324-7&lt;/electronic-resource-num&gt;&lt;/record&gt;&lt;/Cite&gt;&lt;/EndNote&gt;</w:instrText>
      </w:r>
      <w:r w:rsidR="006F7FD7">
        <w:fldChar w:fldCharType="separate"/>
      </w:r>
      <w:r w:rsidR="004D5B2B" w:rsidRPr="004D5B2B">
        <w:rPr>
          <w:noProof/>
          <w:vertAlign w:val="superscript"/>
        </w:rPr>
        <w:t>176</w:t>
      </w:r>
      <w:r w:rsidR="006F7FD7">
        <w:fldChar w:fldCharType="end"/>
      </w:r>
    </w:p>
    <w:p w14:paraId="0992E7B4" w14:textId="526AA1F0" w:rsidR="0051552C" w:rsidRPr="00DA232C" w:rsidRDefault="0051552C" w:rsidP="0051552C">
      <w:r>
        <w:t>The annual incidence of tumours in an anatomical site (e.g. pancreatic cancer) in England were</w:t>
      </w:r>
      <w:r w:rsidRPr="00DA232C">
        <w:t xml:space="preserve"> obtained from the Cancer Registration Statistics and Rare and Less Common Cancer databases.</w:t>
      </w:r>
      <w:r>
        <w:t xml:space="preserve"> </w:t>
      </w:r>
      <w:r w:rsidR="006F7FD7">
        <w:fldChar w:fldCharType="begin"/>
      </w:r>
      <w:r w:rsidR="00CB2733">
        <w:instrText xml:space="preserve"> ADDIN EN.CITE &lt;EndNote&gt;&lt;Cite&gt;&lt;Author&gt;Office for National Statistics&lt;/Author&gt;&lt;Year&gt;2019&lt;/Year&gt;&lt;RecNum&gt;3558&lt;/RecNum&gt;&lt;DisplayText&gt;&lt;style face="superscript"&gt;227, 228&lt;/style&gt;&lt;/DisplayText&gt;&lt;record&gt;&lt;rec-number&gt;3558&lt;/rec-number&gt;&lt;foreign-keys&gt;&lt;key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REFERENCES&lt;/custom4&gt;&lt;/record&gt;&lt;/Cite&gt;&lt;Cite&gt;&lt;Author&gt;Coombes&lt;/Author&gt;&lt;Year&gt;2015&lt;/Year&gt;&lt;RecNum&gt;3530&lt;/RecNum&gt;&lt;record&gt;&lt;rec-number&gt;3530&lt;/rec-number&gt;&lt;foreign-keys&gt;&lt;key app="EN" db-id="dwaevxvazfs2f3ewvzmxrd0k0wasw55p2z2w" timestamp="1579875628"&gt;3530&lt;/key&gt;&lt;/foreign-keys&gt;&lt;ref-type name="Generic"&gt;13&lt;/ref-type&gt;&lt;contributors&gt;&lt;authors&gt;&lt;author&gt;Coombes, N.&lt;/author&gt;&lt;author&gt;Elliss-Brookes, L.&lt;/author&gt;&lt;author&gt;Johnson, S.&lt;/author&gt;&lt;author&gt;Lyons, J.&lt;/author&gt;&lt;author&gt;Mackay, C.&lt;/author&gt;&lt;author&gt;Morement, H.&lt;/author&gt;&lt;author&gt;Oehler, C.&lt;/author&gt;&lt;author&gt;Peake, M.&lt;/author&gt;&lt;/authors&gt;&lt;secondary-authors&gt;&lt;author&gt;National Cancer Intelligence Network &lt;/author&gt;&lt;/secondary-authors&gt;&lt;/contributors&gt;&lt;titles&gt;&lt;title&gt;Rare and less common cancers: Incidence and Mortality in England, 2010 to 2013&lt;/title&gt;&lt;/titles&gt;&lt;dates&gt;&lt;year&gt;2015&lt;/year&gt;&lt;/dates&gt;&lt;pub-location&gt;London, UK&lt;/pub-location&gt;&lt;publisher&gt;Public Health England&lt;/publisher&gt;&lt;urls&gt;&lt;/urls&gt;&lt;custom4&gt;LUCY&amp;apos;S REFERENCES&lt;/custom4&gt;&lt;/record&gt;&lt;/Cite&gt;&lt;/EndNote&gt;</w:instrText>
      </w:r>
      <w:r w:rsidR="006F7FD7">
        <w:fldChar w:fldCharType="separate"/>
      </w:r>
      <w:r w:rsidR="00CB2733" w:rsidRPr="00CB2733">
        <w:rPr>
          <w:noProof/>
          <w:vertAlign w:val="superscript"/>
        </w:rPr>
        <w:t>227, 228</w:t>
      </w:r>
      <w:r w:rsidR="006F7FD7">
        <w:fldChar w:fldCharType="end"/>
      </w:r>
      <w:r w:rsidR="00C46ACA">
        <w:t xml:space="preserve"> </w:t>
      </w:r>
      <w:r>
        <w:t xml:space="preserve">Where the </w:t>
      </w:r>
      <w:r w:rsidRPr="001F16E2">
        <w:t>NTRK</w:t>
      </w:r>
      <w:r>
        <w:rPr>
          <w:i/>
        </w:rPr>
        <w:t xml:space="preserve"> </w:t>
      </w:r>
      <w:r>
        <w:t xml:space="preserve">fusion has been reported in a specific tumour type (e.g. pancreatic adenocarcinoma) rather than an anatomical site, we used an estimate of the proportion of patients with that cancer type, based on published evidence. </w:t>
      </w:r>
      <w:r w:rsidRPr="00DA232C">
        <w:t>Incidence estimates for NSCLC neuroendocrine tumours, soft tissue sarcoma were not available and were obtained from other published sources.</w:t>
      </w:r>
      <w:r w:rsidR="006F7FD7">
        <w:fldChar w:fldCharType="begin">
          <w:fldData xml:space="preserve">PEVuZE5vdGU+PENpdGU+PEF1dGhvcj5VSyBhbmQgSXJlbGFuZCBOZXVyb2VuZGNyaW5lIFR1bW91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</w:fldData>
        </w:fldChar>
      </w:r>
      <w:r w:rsidR="00CB2733">
        <w:instrText xml:space="preserve"> ADDIN EN.CITE </w:instrText>
      </w:r>
      <w:r w:rsidR="00CB2733">
        <w:fldChar w:fldCharType="begin">
          <w:fldData xml:space="preserve">PEVuZE5vdGU+PENpdGU+PEF1dGhvcj5VSyBhbmQgSXJlbGFuZCBOZXVyb2VuZGNyaW5lIFR1bW91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</w:fldData>
        </w:fldChar>
      </w:r>
      <w:r w:rsidR="00CB2733">
        <w:instrText xml:space="preserve"> ADDIN EN.CITE.DATA </w:instrText>
      </w:r>
      <w:r w:rsidR="00CB2733">
        <w:fldChar w:fldCharType="end"/>
      </w:r>
      <w:r w:rsidR="006F7FD7">
        <w:fldChar w:fldCharType="separate"/>
      </w:r>
      <w:r w:rsidR="00CB2733" w:rsidRPr="00CB2733">
        <w:rPr>
          <w:noProof/>
          <w:vertAlign w:val="superscript"/>
        </w:rPr>
        <w:t>229-231</w:t>
      </w:r>
      <w:r w:rsidR="006F7FD7">
        <w:fldChar w:fldCharType="end"/>
      </w:r>
      <w:r w:rsidR="00C46ACA">
        <w:t xml:space="preserve"> </w:t>
      </w:r>
      <w:r>
        <w:t>As there was no crude incidence available for appendiceal adenocarcinoma</w:t>
      </w:r>
      <w:r w:rsidRPr="00DA232C">
        <w:t>, the annual incidence was estimated using an incidence per 100,000 and the annual population within the UK in 2017.</w:t>
      </w:r>
      <w:r w:rsidR="006F7FD7">
        <w:fldChar w:fldCharType="begin"/>
      </w:r>
      <w:r w:rsidR="00500BB3">
        <w:instrText xml:space="preserve"> ADDIN EN.CITE &lt;EndNote&gt;&lt;Cite&gt;&lt;Author&gt;World Population Review&lt;/Author&gt;&lt;Year&gt;2019&lt;/Year&gt;&lt;RecNum&gt;3550&lt;/RecNum&gt;&lt;DisplayText&gt;&lt;style face="superscript"&gt;232, 233&lt;/style&gt;&lt;/DisplayText&gt;&lt;record&gt;&lt;rec-number&gt;3550&lt;/rec-number&gt;&lt;foreign-keys&gt;&lt;key app="EN" db-id="dwaevxvazfs2f3ewvzmxrd0k0wasw55p2z2w" timestamp="1579875628"&gt;3550&lt;/key&gt;&lt;/foreign-keys&gt;&lt;ref-type name="Web Page"&gt;12&lt;/ref-type&gt;&lt;contributors&gt;&lt;authors&gt;&lt;author&gt;World Population Review,&lt;/author&gt;&lt;/authors&gt;&lt;/contributors&gt;&lt;titles&gt;&lt;title&gt;Western European Countries 2020. Western European Countries&lt;/title&gt;&lt;/titles&gt;&lt;volume&gt;2019&lt;/volume&gt;&lt;number&gt;12th December&lt;/number&gt;&lt;dates&gt;&lt;year&gt;2019&lt;/year&gt;&lt;/dates&gt;&lt;urls&gt;&lt;related-urls&gt;&lt;url&gt;http://worldpopulationreview.com/countries/western-european-countries/&lt;/url&gt;&lt;/related-urls&gt;&lt;/urls&gt;&lt;custom4&gt;LUCY&amp;apos;S REFERENCES&lt;/custom4&gt;&lt;/record&gt;&lt;/Cite&gt;&lt;Cite&gt;&lt;Author&gt;Marmor&lt;/Author&gt;&lt;Year&gt;2015&lt;/Year&gt;&lt;RecNum&gt;3544&lt;/RecNum&gt;&lt;record&gt;&lt;rec-number&gt;3544&lt;/rec-number&gt;&lt;foreign-keys&gt;&lt;key app="EN" db-id="dwaevxvazfs2f3ewvzmxrd0k0wasw55p2z2w" timestamp="1579875628"&gt;3544&lt;/key&gt;&lt;/foreign-keys&gt;&lt;ref-type name="Journal Article"&gt;17&lt;/ref-type&gt;&lt;contributors&gt;&lt;authors&gt;&lt;author&gt;Marmor, Schelomo&lt;/author&gt;&lt;author&gt;Portschy, Pamela R.&lt;/author&gt;&lt;author&gt;Tuttle, Todd M.&lt;/author&gt;&lt;author&gt;Virnig, Beth A.&lt;/author&gt;&lt;/authors&gt;&lt;/contributors&gt;&lt;titles&gt;&lt;title&gt;The rise in appendiceal cancer incidence: 2000–2009&lt;/title&gt;&lt;secondary-title&gt;Journal of Gastrointestinal Surgery&lt;/secondary-title&gt;&lt;/titles&gt;&lt;periodical&gt;&lt;full-title&gt;Journal of Gastrointestinal Surgery&lt;/full-title&gt;&lt;abbr-1&gt;J Gastrointest Surg&lt;/abbr-1&gt;&lt;/periodical&gt;&lt;pages&gt;743-750&lt;/pages&gt;&lt;volume&gt;19&lt;/volume&gt;&lt;number&gt;4&lt;/number&gt;&lt;dates&gt;&lt;year&gt;2015&lt;/year&gt;&lt;/dates&gt;&lt;isbn&gt;1091-255X&lt;/isbn&gt;&lt;urls&gt;&lt;/urls&gt;&lt;custom4&gt;LUCY&amp;apos;S REFERENCES&lt;/custom4&gt;&lt;/record&gt;&lt;/Cite&gt;&lt;/EndNote&gt;</w:instrText>
      </w:r>
      <w:r w:rsidR="006F7FD7">
        <w:fldChar w:fldCharType="separate"/>
      </w:r>
      <w:r w:rsidR="00CB2733" w:rsidRPr="00CB2733">
        <w:rPr>
          <w:noProof/>
          <w:vertAlign w:val="superscript"/>
        </w:rPr>
        <w:t>232, 233</w:t>
      </w:r>
      <w:r w:rsidR="006F7FD7">
        <w:fldChar w:fldCharType="end"/>
      </w:r>
    </w:p>
    <w:p w14:paraId="63CF91CC" w14:textId="3A026985" w:rsidR="0051552C" w:rsidRPr="00DA232C" w:rsidRDefault="0051552C" w:rsidP="0051552C">
      <w:r w:rsidRPr="00DA232C">
        <w:t>The proportion of individuals diagnosed with stage III/IV cancer was used as a proxy measure for the proportion of the patients with locally advanced or metastatic cancer. Values for this were primarily obtained from C</w:t>
      </w:r>
      <w:r>
        <w:t>ancer Research UK.</w:t>
      </w:r>
      <w:r w:rsidRPr="00DA232C">
        <w:t xml:space="preserve"> For the tumour types where data was not available, values were taken from published sources.</w:t>
      </w:r>
      <w:r w:rsidR="006F7FD7">
        <w:fldChar w:fldCharType="begin">
          <w:fldData xml:space="preserve">PEVuZE5vdGU+PENpdGU+PEF1dGhvcj5Uc3VjaGl5YTwvQXV0aG9yPjxZZWFyPjIwMTU8L1llYXI+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</w:fldData>
        </w:fldChar>
      </w:r>
      <w:r w:rsidR="00500BB3">
        <w:instrText xml:space="preserve"> ADDIN EN.CITE </w:instrText>
      </w:r>
      <w:r w:rsidR="00500BB3">
        <w:fldChar w:fldCharType="begin">
          <w:fldData xml:space="preserve">PEVuZE5vdGU+PENpdGU+PEF1dGhvcj5Uc3VjaGl5YTwvQXV0aG9yPjxZZWFyPjIwMTU8L1llYXI+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</w:fldData>
        </w:fldChar>
      </w:r>
      <w:r w:rsidR="00500BB3">
        <w:instrText xml:space="preserve"> ADDIN EN.CITE.DATA </w:instrText>
      </w:r>
      <w:r w:rsidR="00500BB3">
        <w:fldChar w:fldCharType="end"/>
      </w:r>
      <w:r w:rsidR="006F7FD7">
        <w:fldChar w:fldCharType="separate"/>
      </w:r>
      <w:r w:rsidR="00CB2733" w:rsidRPr="00CB2733">
        <w:rPr>
          <w:noProof/>
          <w:vertAlign w:val="superscript"/>
        </w:rPr>
        <w:t>225, 231, 233-239</w:t>
      </w:r>
      <w:r w:rsidR="006F7FD7">
        <w:fldChar w:fldCharType="end"/>
      </w:r>
      <w:r w:rsidRPr="0051552C">
        <w:t xml:space="preserve"> </w:t>
      </w:r>
      <w:r w:rsidRPr="00DA232C">
        <w:t>For the tumour types in which a known proportion of the patient population had an unknown stage at diagnosis, the unidentified proportion of stage III/IV cancer at diagnosis was assumed to follow the same distribution as the known proportion</w:t>
      </w:r>
      <w:r>
        <w:t xml:space="preserve">. </w:t>
      </w:r>
    </w:p>
    <w:p w14:paraId="2D191BCC" w14:textId="77777777" w:rsidR="0051552C" w:rsidRDefault="0051552C" w:rsidP="0051552C">
      <w:pPr>
        <w:pStyle w:val="table"/>
        <w:rPr>
          <w:b/>
          <w:sz w:val="20"/>
          <w:szCs w:val="20"/>
          <w:lang w:eastAsia="en-GB"/>
        </w:rPr>
      </w:pPr>
    </w:p>
    <w:p w14:paraId="66643315" w14:textId="437D6DBE" w:rsidR="00E64596" w:rsidRDefault="00655346" w:rsidP="0051552C">
      <w:pPr>
        <w:rPr>
          <w:lang w:eastAsia="en-GB"/>
        </w:rPr>
      </w:pPr>
      <w:r>
        <w:rPr>
          <w:lang w:eastAsia="en-GB"/>
        </w:rPr>
        <w:fldChar w:fldCharType="begin"/>
      </w:r>
      <w:r>
        <w:rPr>
          <w:lang w:eastAsia="en-GB"/>
        </w:rPr>
        <w:instrText xml:space="preserve"> REF _Ref33775748 \h </w:instrText>
      </w:r>
      <w:r>
        <w:rPr>
          <w:lang w:eastAsia="en-GB"/>
        </w:rPr>
      </w:r>
      <w:r>
        <w:rPr>
          <w:lang w:eastAsia="en-GB"/>
        </w:rPr>
        <w:fldChar w:fldCharType="separate"/>
      </w:r>
      <w:r>
        <w:t xml:space="preserve">Table </w:t>
      </w:r>
      <w:r>
        <w:rPr>
          <w:noProof/>
        </w:rPr>
        <w:t>39</w:t>
      </w:r>
      <w:r>
        <w:rPr>
          <w:lang w:eastAsia="en-GB"/>
        </w:rPr>
        <w:fldChar w:fldCharType="end"/>
      </w:r>
      <w:r>
        <w:rPr>
          <w:lang w:eastAsia="en-GB"/>
        </w:rPr>
        <w:t xml:space="preserve"> </w:t>
      </w:r>
      <w:r w:rsidR="0051552C">
        <w:rPr>
          <w:lang w:eastAsia="en-GB"/>
        </w:rPr>
        <w:t>presents the calculations of the annual eligible population for each testing strategy.</w:t>
      </w:r>
    </w:p>
    <w:p w14:paraId="374C2F09" w14:textId="7EED084B" w:rsidR="0051552C" w:rsidRPr="00425275" w:rsidRDefault="0051552C" w:rsidP="0051552C">
      <w:pPr>
        <w:rPr>
          <w:lang w:eastAsia="en-GB"/>
        </w:rPr>
        <w:sectPr w:rsidR="0051552C" w:rsidRPr="00425275" w:rsidSect="0051552C">
          <w:footerReference w:type="default" r:id="rId95"/>
          <w:pgSz w:w="11906" w:h="16838"/>
          <w:pgMar w:top="1440" w:right="1440" w:bottom="1440" w:left="1440" w:header="708" w:footer="708" w:gutter="0"/>
          <w:cols w:space="708"/>
          <w:docGrid w:linePitch="360"/>
        </w:sectPr>
      </w:pPr>
      <w:r>
        <w:rPr>
          <w:lang w:eastAsia="en-GB"/>
        </w:rPr>
        <w:t xml:space="preserve"> </w:t>
      </w:r>
    </w:p>
    <w:p w14:paraId="00B54284" w14:textId="2FA1E031" w:rsidR="0051552C" w:rsidRDefault="0051552C" w:rsidP="0051552C">
      <w:pPr>
        <w:pStyle w:val="Caption"/>
      </w:pPr>
      <w:bookmarkStart w:id="424" w:name="_Ref33775685"/>
      <w:bookmarkStart w:id="425" w:name="_Ref33172279"/>
      <w:bookmarkStart w:id="426" w:name="_Toc34033552"/>
      <w:r>
        <w:t xml:space="preserve">Table </w:t>
      </w:r>
      <w:r w:rsidR="00C974E5">
        <w:fldChar w:fldCharType="begin"/>
      </w:r>
      <w:r w:rsidR="00C974E5">
        <w:instrText xml:space="preserve"> SEQ Table \* ARABIC </w:instrText>
      </w:r>
      <w:r w:rsidR="00C974E5">
        <w:fldChar w:fldCharType="separate"/>
      </w:r>
      <w:r w:rsidR="000C737A">
        <w:rPr>
          <w:noProof/>
        </w:rPr>
        <w:t>38</w:t>
      </w:r>
      <w:r w:rsidR="00C974E5">
        <w:rPr>
          <w:noProof/>
        </w:rPr>
        <w:fldChar w:fldCharType="end"/>
      </w:r>
      <w:bookmarkEnd w:id="424"/>
      <w:r>
        <w:t xml:space="preserve">: </w:t>
      </w:r>
      <w:r w:rsidRPr="00DA232C">
        <w:t>Literature Sources of NTRK fusion prevalence, annual cancer incidence and proportion of patients diagnosed with stage 3/4 cancer in the tumour known to harbour an NTRK fusion</w:t>
      </w:r>
      <w:bookmarkEnd w:id="425"/>
      <w:bookmarkEnd w:id="426"/>
    </w:p>
    <w:tbl>
      <w:tblPr>
        <w:tblW w:w="135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835"/>
        <w:gridCol w:w="3402"/>
        <w:gridCol w:w="4253"/>
        <w:gridCol w:w="3022"/>
      </w:tblGrid>
      <w:tr w:rsidR="0051552C" w:rsidRPr="00425275" w14:paraId="3C9B2AB0" w14:textId="77777777" w:rsidTr="0051552C">
        <w:trPr>
          <w:trHeight w:val="380"/>
        </w:trPr>
        <w:tc>
          <w:tcPr>
            <w:tcW w:w="2835" w:type="dxa"/>
            <w:shd w:val="clear" w:color="auto" w:fill="auto"/>
          </w:tcPr>
          <w:p w14:paraId="44C5780D" w14:textId="77777777" w:rsidR="0051552C" w:rsidRPr="00425275" w:rsidRDefault="0051552C" w:rsidP="0051552C">
            <w:pPr>
              <w:pStyle w:val="table"/>
              <w:rPr>
                <w:rFonts w:cs="Times New Roman"/>
                <w:b/>
                <w:sz w:val="20"/>
                <w:szCs w:val="20"/>
                <w:lang w:eastAsia="en-GB"/>
              </w:rPr>
            </w:pPr>
            <w:r w:rsidRPr="00425275">
              <w:rPr>
                <w:rFonts w:cs="Times New Roman"/>
                <w:b/>
                <w:sz w:val="20"/>
                <w:szCs w:val="20"/>
                <w:lang w:eastAsia="en-GB"/>
              </w:rPr>
              <w:t>Tumour Type</w:t>
            </w:r>
          </w:p>
        </w:tc>
        <w:tc>
          <w:tcPr>
            <w:tcW w:w="3402" w:type="dxa"/>
            <w:shd w:val="clear" w:color="auto" w:fill="auto"/>
          </w:tcPr>
          <w:p w14:paraId="669B6A1B" w14:textId="77777777" w:rsidR="0051552C" w:rsidRPr="00425275" w:rsidRDefault="0051552C" w:rsidP="0051552C">
            <w:pPr>
              <w:pStyle w:val="table"/>
              <w:rPr>
                <w:rFonts w:cs="Times New Roman"/>
                <w:b/>
                <w:sz w:val="20"/>
                <w:szCs w:val="20"/>
                <w:lang w:eastAsia="en-GB"/>
              </w:rPr>
            </w:pPr>
            <w:r w:rsidRPr="00425275">
              <w:rPr>
                <w:rFonts w:cs="Times New Roman"/>
                <w:b/>
                <w:sz w:val="20"/>
                <w:szCs w:val="20"/>
                <w:lang w:eastAsia="en-GB"/>
              </w:rPr>
              <w:t>NTRK Fusion Prevalence</w:t>
            </w:r>
          </w:p>
        </w:tc>
        <w:tc>
          <w:tcPr>
            <w:tcW w:w="4253" w:type="dxa"/>
            <w:shd w:val="clear" w:color="auto" w:fill="auto"/>
          </w:tcPr>
          <w:p w14:paraId="73427BE0" w14:textId="77777777" w:rsidR="0051552C" w:rsidRPr="00425275" w:rsidRDefault="0051552C" w:rsidP="0051552C">
            <w:pPr>
              <w:pStyle w:val="table"/>
              <w:rPr>
                <w:rFonts w:cs="Times New Roman"/>
                <w:b/>
                <w:sz w:val="20"/>
                <w:szCs w:val="20"/>
                <w:lang w:eastAsia="en-GB"/>
              </w:rPr>
            </w:pPr>
            <w:r w:rsidRPr="00425275">
              <w:rPr>
                <w:rFonts w:cs="Times New Roman"/>
                <w:b/>
                <w:sz w:val="20"/>
                <w:szCs w:val="20"/>
                <w:lang w:eastAsia="en-GB"/>
              </w:rPr>
              <w:t>Annual Cancer Incidence (England)</w:t>
            </w:r>
          </w:p>
        </w:tc>
        <w:tc>
          <w:tcPr>
            <w:tcW w:w="3022" w:type="dxa"/>
            <w:shd w:val="clear" w:color="auto" w:fill="auto"/>
          </w:tcPr>
          <w:p w14:paraId="58973A0F" w14:textId="77777777" w:rsidR="0051552C" w:rsidRPr="00425275" w:rsidRDefault="0051552C" w:rsidP="0051552C">
            <w:pPr>
              <w:pStyle w:val="table"/>
              <w:rPr>
                <w:rFonts w:cs="Times New Roman"/>
                <w:b/>
                <w:sz w:val="20"/>
                <w:szCs w:val="20"/>
                <w:lang w:eastAsia="en-GB"/>
              </w:rPr>
            </w:pPr>
            <w:r w:rsidRPr="00425275">
              <w:rPr>
                <w:rFonts w:cs="Times New Roman"/>
                <w:b/>
                <w:sz w:val="20"/>
                <w:szCs w:val="20"/>
                <w:lang w:eastAsia="en-GB"/>
              </w:rPr>
              <w:t>Proportion Stage 3/4 at diagnosis</w:t>
            </w:r>
          </w:p>
        </w:tc>
      </w:tr>
      <w:tr w:rsidR="0051552C" w:rsidRPr="00425275" w14:paraId="46A1DCDA" w14:textId="77777777" w:rsidTr="0051552C">
        <w:trPr>
          <w:trHeight w:val="380"/>
        </w:trPr>
        <w:tc>
          <w:tcPr>
            <w:tcW w:w="13512" w:type="dxa"/>
            <w:gridSpan w:val="4"/>
            <w:shd w:val="clear" w:color="auto" w:fill="D9D9D9" w:themeFill="background1" w:themeFillShade="D9"/>
          </w:tcPr>
          <w:p w14:paraId="27C18897" w14:textId="77777777" w:rsidR="0051552C" w:rsidRPr="00425275" w:rsidRDefault="0051552C" w:rsidP="0051552C">
            <w:pPr>
              <w:pStyle w:val="table"/>
              <w:rPr>
                <w:rFonts w:cs="Times New Roman"/>
                <w:b/>
                <w:sz w:val="20"/>
                <w:szCs w:val="20"/>
                <w:lang w:eastAsia="en-GB"/>
              </w:rPr>
            </w:pPr>
            <w:r>
              <w:rPr>
                <w:rFonts w:cs="Times New Roman"/>
                <w:b/>
                <w:sz w:val="20"/>
                <w:szCs w:val="20"/>
                <w:lang w:eastAsia="en-GB"/>
              </w:rPr>
              <w:t>Represented Tumour Types</w:t>
            </w:r>
          </w:p>
        </w:tc>
      </w:tr>
      <w:tr w:rsidR="0051552C" w:rsidRPr="00425275" w14:paraId="5B892917" w14:textId="77777777" w:rsidTr="0051552C">
        <w:trPr>
          <w:trHeight w:val="127"/>
        </w:trPr>
        <w:tc>
          <w:tcPr>
            <w:tcW w:w="2835" w:type="dxa"/>
            <w:shd w:val="clear" w:color="auto" w:fill="FFFFFF" w:themeFill="background1"/>
          </w:tcPr>
          <w:p w14:paraId="4AA2626C" w14:textId="562EB566" w:rsidR="0051552C" w:rsidRPr="00425275" w:rsidRDefault="0051552C" w:rsidP="002F39A6">
            <w:pPr>
              <w:spacing w:before="0" w:after="0" w:line="276" w:lineRule="auto"/>
              <w:rPr>
                <w:bCs/>
                <w:sz w:val="20"/>
              </w:rPr>
            </w:pPr>
            <w:r w:rsidRPr="00425275">
              <w:rPr>
                <w:bCs/>
                <w:sz w:val="20"/>
              </w:rPr>
              <w:t>Appendi</w:t>
            </w:r>
            <w:r w:rsidR="002F39A6">
              <w:rPr>
                <w:bCs/>
                <w:sz w:val="20"/>
              </w:rPr>
              <w:t>x Cancer</w:t>
            </w:r>
          </w:p>
        </w:tc>
        <w:tc>
          <w:tcPr>
            <w:tcW w:w="3402" w:type="dxa"/>
            <w:shd w:val="clear" w:color="auto" w:fill="auto"/>
          </w:tcPr>
          <w:p w14:paraId="52A6B129" w14:textId="74915E2D" w:rsidR="0051552C" w:rsidRPr="00F3121A" w:rsidRDefault="0051552C" w:rsidP="004D5B2B">
            <w:pPr>
              <w:pStyle w:val="table"/>
              <w:rPr>
                <w:rFonts w:cs="Times New Roman"/>
                <w:sz w:val="20"/>
                <w:szCs w:val="20"/>
                <w:lang w:val="it-IT" w:eastAsia="en-GB"/>
              </w:rPr>
            </w:pPr>
            <w:r w:rsidRPr="00F3121A">
              <w:rPr>
                <w:rFonts w:cs="Times New Roman"/>
                <w:noProof/>
                <w:sz w:val="20"/>
                <w:szCs w:val="20"/>
                <w:lang w:val="it-IT" w:eastAsia="en-GB"/>
              </w:rPr>
              <w:t>Amatu, Sartore-Bianchi et al. 2016</w:t>
            </w:r>
            <w:r w:rsidR="006F7FD7">
              <w:rPr>
                <w:rFonts w:cs="Times New Roman"/>
                <w:sz w:val="20"/>
                <w:szCs w:val="20"/>
              </w:rPr>
              <w:fldChar w:fldCharType="begin"/>
            </w:r>
            <w:r w:rsidR="004D5B2B" w:rsidRPr="00354FCE">
              <w:rPr>
                <w:rFonts w:cs="Times New Roman"/>
                <w:sz w:val="20"/>
                <w:szCs w:val="20"/>
                <w:lang w:val="it-IT"/>
              </w:rPr>
              <w:instrText xml:space="preserve"> ADDIN EN.CITE &lt;EndNote&gt;&lt;Cite&gt;&lt;Author&gt;Amatu&lt;/Author&gt;&lt;Year&gt;2016&lt;/Year&gt;&lt;RecNum&gt;3524&lt;/RecNum&gt;&lt;DisplayText&gt;&lt;style face="superscript"&gt;174&lt;/style&gt;&lt;/DisplayText&gt;&lt;record&gt;&lt;rec-number&gt;3524&lt;/rec-number&gt;&lt;foreign-keys&gt;&lt;key app="EN" db-id="dwaevxvazfs2f3ewvzmxrd0k0wasw55p2z2w" timestamp="1579875628"&gt;3524&lt;/key&gt;&lt;/foreign-keys&gt;&lt;ref-type name="Journal Article"&gt;17&lt;/ref-type&gt;&lt;contributors&gt;&lt;authors&gt;&lt;author&gt;Amatu, A.&lt;/author&gt;&lt;author&gt;Sartore-Bianchi, A.&lt;/author&gt;&lt;author&gt;Siena, S.&lt;/author&gt;&lt;/authors&gt;&lt;/contributors&gt;&lt;auth-address&gt;Niguarda Cancer Center, Grande Ospedale Metropolitano Niguarda , Milan , Italy.&amp;#xD;Niguarda Cancer Center, Grande Ospedale Metropolitano Niguarda, Milan, Italy; Dipartimento di Oncologia e Emato-Oncologia, Universita degli Studi di Milano, Milan, Italy.&lt;/auth-address&gt;&lt;titles&gt;&lt;title&gt;NTRK gene fusions as novel targets of cancer therapy across multiple tumour types&lt;/title&gt;&lt;secondary-title&gt;ESMO Open&lt;/secondary-title&gt;&lt;/titles&gt;&lt;periodical&gt;&lt;full-title&gt;Esmo Open&lt;/full-title&gt;&lt;/periodical&gt;&lt;pages&gt;e000023&lt;/pages&gt;&lt;volume&gt;1&lt;/volume&gt;&lt;number&gt;2&lt;/number&gt;&lt;edition&gt;2016/11/16&lt;/edition&gt;&lt;dates&gt;&lt;year&gt;2016&lt;/year&gt;&lt;/dates&gt;&lt;isbn&gt;2059-7029 (Print)&amp;#xD;2059-7029 (Linking)&lt;/isbn&gt;&lt;accession-num&gt;27843590&lt;/accession-num&gt;&lt;urls&gt;&lt;/urls&gt;&lt;custom2&gt;5070277&lt;/custom2&gt;&lt;custom4&gt;LUCY&amp;apos;S REFERENCES&lt;/custom4&gt;&lt;electronic-resource-num&gt;10.1136/esmoopen-2015-000023&amp;#xD;esmoopen-2015-000023 [pii]&lt;/electronic-resource-num&gt;&lt;language&gt;eng&lt;/language&gt;&lt;/record&gt;&lt;/Cite&gt;&lt;/EndNote&gt;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lang w:val="it-IT"/>
              </w:rPr>
              <w:t>174</w:t>
            </w:r>
            <w:r w:rsidR="006F7FD7">
              <w:rPr>
                <w:rFonts w:cs="Times New Roman"/>
                <w:sz w:val="20"/>
                <w:szCs w:val="20"/>
              </w:rPr>
              <w:fldChar w:fldCharType="end"/>
            </w:r>
          </w:p>
        </w:tc>
        <w:tc>
          <w:tcPr>
            <w:tcW w:w="4253" w:type="dxa"/>
            <w:shd w:val="clear" w:color="auto" w:fill="auto"/>
          </w:tcPr>
          <w:p w14:paraId="5FE74942" w14:textId="4BEDDD65" w:rsidR="0051552C" w:rsidRPr="00425275" w:rsidRDefault="0051552C" w:rsidP="00500BB3">
            <w:pPr>
              <w:pStyle w:val="table"/>
              <w:rPr>
                <w:rFonts w:cs="Times New Roman"/>
                <w:sz w:val="20"/>
                <w:szCs w:val="20"/>
                <w:lang w:eastAsia="en-GB"/>
              </w:rPr>
            </w:pPr>
            <w:r w:rsidRPr="00425275">
              <w:rPr>
                <w:rFonts w:cs="Times New Roman"/>
                <w:sz w:val="20"/>
                <w:szCs w:val="20"/>
                <w:lang w:eastAsia="en-GB"/>
              </w:rPr>
              <w:t>Based on incidence of 0.97/100,000</w:t>
            </w:r>
            <w:r w:rsidR="006F7FD7">
              <w:rPr>
                <w:rFonts w:cs="Times New Roman"/>
                <w:sz w:val="20"/>
                <w:szCs w:val="20"/>
                <w:lang w:eastAsia="en-GB"/>
              </w:rPr>
              <w:fldChar w:fldCharType="begin"/>
            </w:r>
            <w:r w:rsidR="00500BB3">
              <w:rPr>
                <w:rFonts w:cs="Times New Roman"/>
                <w:sz w:val="20"/>
                <w:szCs w:val="20"/>
                <w:lang w:eastAsia="en-GB"/>
              </w:rPr>
              <w:instrText xml:space="preserve"> ADDIN EN.CITE &lt;EndNote&gt;&lt;Cite&gt;&lt;Author&gt;Marmor&lt;/Author&gt;&lt;Year&gt;2015&lt;/Year&gt;&lt;RecNum&gt;3544&lt;/RecNum&gt;&lt;DisplayText&gt;&lt;style face="superscript"&gt;233&lt;/style&gt;&lt;/DisplayText&gt;&lt;record&gt;&lt;rec-number&gt;3544&lt;/rec-number&gt;&lt;foreign-keys&gt;&lt;key app="EN" db-id="dwaevxvazfs2f3ewvzmxrd0k0wasw55p2z2w" timestamp="1579875628"&gt;3544&lt;/key&gt;&lt;/foreign-keys&gt;&lt;ref-type name="Journal Article"&gt;17&lt;/ref-type&gt;&lt;contributors&gt;&lt;authors&gt;&lt;author&gt;Marmor, Schelomo&lt;/author&gt;&lt;author&gt;Portschy, Pamela R.&lt;/author&gt;&lt;author&gt;Tuttle, Todd M.&lt;/author&gt;&lt;author&gt;Virnig, Beth A.&lt;/author&gt;&lt;/authors&gt;&lt;/contributors&gt;&lt;titles&gt;&lt;title&gt;The rise in appendiceal cancer incidence: 2000–2009&lt;/title&gt;&lt;secondary-title&gt;Journal of Gastrointestinal Surgery&lt;/secondary-title&gt;&lt;/titles&gt;&lt;periodical&gt;&lt;full-title&gt;Journal of Gastrointestinal Surgery&lt;/full-title&gt;&lt;abbr-1&gt;J Gastrointest Surg&lt;/abbr-1&gt;&lt;/periodical&gt;&lt;pages&gt;743-750&lt;/pages&gt;&lt;volume&gt;19&lt;/volume&gt;&lt;number&gt;4&lt;/number&gt;&lt;dates&gt;&lt;year&gt;2015&lt;/year&gt;&lt;/dates&gt;&lt;isbn&gt;1091-255X&lt;/isbn&gt;&lt;urls&gt;&lt;/urls&gt;&lt;custom4&gt;LUCY&amp;apos;S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233</w:t>
            </w:r>
            <w:r w:rsidR="006F7FD7">
              <w:rPr>
                <w:rFonts w:cs="Times New Roman"/>
                <w:sz w:val="20"/>
                <w:szCs w:val="20"/>
                <w:lang w:eastAsia="en-GB"/>
              </w:rPr>
              <w:fldChar w:fldCharType="end"/>
            </w:r>
            <w:r w:rsidRPr="00425275">
              <w:rPr>
                <w:rFonts w:cs="Times New Roman"/>
                <w:sz w:val="20"/>
                <w:szCs w:val="20"/>
                <w:lang w:eastAsia="en-GB"/>
              </w:rPr>
              <w:t xml:space="preserve"> and th</w:t>
            </w:r>
            <w:r w:rsidR="00A11F90">
              <w:rPr>
                <w:rFonts w:cs="Times New Roman"/>
                <w:sz w:val="20"/>
                <w:szCs w:val="20"/>
                <w:lang w:eastAsia="en-GB"/>
              </w:rPr>
              <w:t>e population in England in 2017</w:t>
            </w:r>
            <w:r w:rsidR="006F7FD7">
              <w:rPr>
                <w:rFonts w:cs="Times New Roman"/>
                <w:sz w:val="20"/>
                <w:szCs w:val="20"/>
                <w:lang w:eastAsia="en-GB"/>
              </w:rPr>
              <w:fldChar w:fldCharType="begin"/>
            </w:r>
            <w:r w:rsidR="00CB2733">
              <w:rPr>
                <w:rFonts w:cs="Times New Roman"/>
                <w:sz w:val="20"/>
                <w:szCs w:val="20"/>
                <w:lang w:eastAsia="en-GB"/>
              </w:rPr>
              <w:instrText xml:space="preserve"> ADDIN EN.CITE &lt;EndNote&gt;&lt;Cite&gt;&lt;Author&gt;World Population Review&lt;/Author&gt;&lt;Year&gt;2019&lt;/Year&gt;&lt;RecNum&gt;3550&lt;/RecNum&gt;&lt;DisplayText&gt;&lt;style face="superscript"&gt;232&lt;/style&gt;&lt;/DisplayText&gt;&lt;record&gt;&lt;rec-number&gt;3550&lt;/rec-number&gt;&lt;foreign-keys&gt;&lt;key app="EN" db-id="dwaevxvazfs2f3ewvzmxrd0k0wasw55p2z2w" timestamp="1579875628"&gt;3550&lt;/key&gt;&lt;/foreign-keys&gt;&lt;ref-type name="Web Page"&gt;12&lt;/ref-type&gt;&lt;contributors&gt;&lt;authors&gt;&lt;author&gt;World Population Review,&lt;/author&gt;&lt;/authors&gt;&lt;/contributors&gt;&lt;titles&gt;&lt;title&gt;Western European Countries 2020. Western European Countries&lt;/title&gt;&lt;/titles&gt;&lt;volume&gt;2019&lt;/volume&gt;&lt;number&gt;12th December&lt;/number&gt;&lt;dates&gt;&lt;year&gt;2019&lt;/year&gt;&lt;/dates&gt;&lt;urls&gt;&lt;related-urls&gt;&lt;url&gt;http://worldpopulationreview.com/countries/western-european-countries/&lt;/url&gt;&lt;/related-urls&gt;&lt;/urls&gt;&lt;custom4&gt;LUCY&amp;apos;S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232</w:t>
            </w:r>
            <w:r w:rsidR="006F7FD7">
              <w:rPr>
                <w:rFonts w:cs="Times New Roman"/>
                <w:sz w:val="20"/>
                <w:szCs w:val="20"/>
                <w:lang w:eastAsia="en-GB"/>
              </w:rPr>
              <w:fldChar w:fldCharType="end"/>
            </w:r>
          </w:p>
        </w:tc>
        <w:tc>
          <w:tcPr>
            <w:tcW w:w="3022" w:type="dxa"/>
            <w:shd w:val="clear" w:color="auto" w:fill="auto"/>
          </w:tcPr>
          <w:p w14:paraId="46F2613D" w14:textId="60EF2E81" w:rsidR="0051552C" w:rsidRPr="00425275" w:rsidRDefault="0051552C" w:rsidP="00500BB3">
            <w:pPr>
              <w:pStyle w:val="table"/>
              <w:rPr>
                <w:rFonts w:cs="Times New Roman"/>
                <w:sz w:val="20"/>
                <w:szCs w:val="20"/>
                <w:lang w:eastAsia="en-GB"/>
              </w:rPr>
            </w:pPr>
            <w:r w:rsidRPr="00425275">
              <w:rPr>
                <w:rFonts w:cs="Times New Roman"/>
                <w:noProof/>
                <w:sz w:val="20"/>
                <w:szCs w:val="20"/>
                <w:lang w:eastAsia="en-GB"/>
              </w:rPr>
              <w:t>Marmor, Portschy et al. 2015</w:t>
            </w:r>
            <w:r w:rsidR="006F7FD7">
              <w:rPr>
                <w:rFonts w:cs="Times New Roman"/>
                <w:sz w:val="20"/>
                <w:szCs w:val="20"/>
                <w:lang w:eastAsia="en-GB"/>
              </w:rPr>
              <w:fldChar w:fldCharType="begin"/>
            </w:r>
            <w:r w:rsidR="00500BB3">
              <w:rPr>
                <w:rFonts w:cs="Times New Roman"/>
                <w:sz w:val="20"/>
                <w:szCs w:val="20"/>
                <w:lang w:eastAsia="en-GB"/>
              </w:rPr>
              <w:instrText xml:space="preserve"> ADDIN EN.CITE &lt;EndNote&gt;&lt;Cite&gt;&lt;Author&gt;Marmor&lt;/Author&gt;&lt;Year&gt;2015&lt;/Year&gt;&lt;RecNum&gt;3544&lt;/RecNum&gt;&lt;DisplayText&gt;&lt;style face="superscript"&gt;233&lt;/style&gt;&lt;/DisplayText&gt;&lt;record&gt;&lt;rec-number&gt;3544&lt;/rec-number&gt;&lt;foreign-keys&gt;&lt;key app="EN" db-id="dwaevxvazfs2f3ewvzmxrd0k0wasw55p2z2w" timestamp="1579875628"&gt;3544&lt;/key&gt;&lt;/foreign-keys&gt;&lt;ref-type name="Journal Article"&gt;17&lt;/ref-type&gt;&lt;contributors&gt;&lt;authors&gt;&lt;author&gt;Marmor, Schelomo&lt;/author&gt;&lt;author&gt;Portschy, Pamela R.&lt;/author&gt;&lt;author&gt;Tuttle, Todd M.&lt;/author&gt;&lt;author&gt;Virnig, Beth A.&lt;/author&gt;&lt;/authors&gt;&lt;/contributors&gt;&lt;titles&gt;&lt;title&gt;The rise in appendiceal cancer incidence: 2000–2009&lt;/title&gt;&lt;secondary-title&gt;Journal of Gastrointestinal Surgery&lt;/secondary-title&gt;&lt;/titles&gt;&lt;periodical&gt;&lt;full-title&gt;Journal of Gastrointestinal Surgery&lt;/full-title&gt;&lt;abbr-1&gt;J Gastrointest Surg&lt;/abbr-1&gt;&lt;/periodical&gt;&lt;pages&gt;743-750&lt;/pages&gt;&lt;volume&gt;19&lt;/volume&gt;&lt;number&gt;4&lt;/number&gt;&lt;dates&gt;&lt;year&gt;2015&lt;/year&gt;&lt;/dates&gt;&lt;isbn&gt;1091-255X&lt;/isbn&gt;&lt;urls&gt;&lt;/urls&gt;&lt;custom4&gt;LUCY&amp;apos;S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233</w:t>
            </w:r>
            <w:r w:rsidR="006F7FD7">
              <w:rPr>
                <w:rFonts w:cs="Times New Roman"/>
                <w:sz w:val="20"/>
                <w:szCs w:val="20"/>
                <w:lang w:eastAsia="en-GB"/>
              </w:rPr>
              <w:fldChar w:fldCharType="end"/>
            </w:r>
          </w:p>
        </w:tc>
      </w:tr>
      <w:tr w:rsidR="0051552C" w:rsidRPr="00425275" w14:paraId="65431D5D" w14:textId="77777777" w:rsidTr="0051552C">
        <w:trPr>
          <w:trHeight w:val="38"/>
        </w:trPr>
        <w:tc>
          <w:tcPr>
            <w:tcW w:w="2835" w:type="dxa"/>
            <w:shd w:val="clear" w:color="auto" w:fill="FFFFFF" w:themeFill="background1"/>
          </w:tcPr>
          <w:p w14:paraId="37FA3F95" w14:textId="77777777" w:rsidR="0051552C" w:rsidRPr="00425275" w:rsidRDefault="0051552C" w:rsidP="0051552C">
            <w:pPr>
              <w:spacing w:before="0" w:after="0" w:line="276" w:lineRule="auto"/>
              <w:rPr>
                <w:bCs/>
                <w:sz w:val="20"/>
              </w:rPr>
            </w:pPr>
            <w:r w:rsidRPr="00425275">
              <w:rPr>
                <w:bCs/>
                <w:sz w:val="20"/>
              </w:rPr>
              <w:t>Breast cancer (NOS)</w:t>
            </w:r>
          </w:p>
        </w:tc>
        <w:tc>
          <w:tcPr>
            <w:tcW w:w="3402" w:type="dxa"/>
            <w:shd w:val="clear" w:color="auto" w:fill="auto"/>
          </w:tcPr>
          <w:p w14:paraId="16660402" w14:textId="66A0E1E4" w:rsidR="0051552C" w:rsidRPr="00425275" w:rsidRDefault="0051552C"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62B48223" w14:textId="04947CCE" w:rsidR="0051552C" w:rsidRPr="00425275" w:rsidRDefault="00A11F90"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41F16882" w14:textId="4F849266" w:rsidR="0051552C" w:rsidRPr="00425275" w:rsidRDefault="0051552C" w:rsidP="00CB2733">
            <w:pPr>
              <w:pStyle w:val="table"/>
              <w:rPr>
                <w:rFonts w:cs="Times New Roman"/>
                <w:sz w:val="20"/>
                <w:szCs w:val="20"/>
                <w:highlight w:val="yellow"/>
              </w:rPr>
            </w:pPr>
            <w:r w:rsidRPr="00425275">
              <w:rPr>
                <w:rFonts w:cs="Times New Roman"/>
                <w:sz w:val="20"/>
                <w:szCs w:val="20"/>
                <w:lang w:eastAsia="en-GB"/>
              </w:rPr>
              <w:t>Cancer Research UK: Breast cancer incidence by stage at diagnosis</w:t>
            </w:r>
            <w:r w:rsidR="006F7FD7">
              <w:rPr>
                <w:rFonts w:cs="Times New Roman"/>
                <w:sz w:val="20"/>
                <w:szCs w:val="20"/>
              </w:rPr>
              <w:fldChar w:fldCharType="begin"/>
            </w:r>
            <w:r w:rsidR="00CB2733">
              <w:rPr>
                <w:rFonts w:cs="Times New Roman"/>
                <w:sz w:val="20"/>
                <w:szCs w:val="20"/>
              </w:rPr>
              <w:instrText xml:space="preserve"> ADDIN EN.CITE &lt;EndNote&gt;&lt;Cite&gt;&lt;Author&gt;Cancer Research UK&lt;/Author&gt;&lt;Year&gt;2014&lt;/Year&gt;&lt;RecNum&gt;3562&lt;/RecNum&gt;&lt;DisplayText&gt;&lt;style face="superscript"&gt;240&lt;/style&gt;&lt;/DisplayText&gt;&lt;record&gt;&lt;rec-number&gt;3562&lt;/rec-number&gt;&lt;foreign-keys&gt;&lt;key app="EN" db-id="dwaevxvazfs2f3ewvzmxrd0k0wasw55p2z2w" timestamp="1579875628"&gt;3562&lt;/key&gt;&lt;/foreign-keys&gt;&lt;ref-type name="Web Page"&gt;12&lt;/ref-type&gt;&lt;contributors&gt;&lt;authors&gt;&lt;author&gt;Cancer Research UK,&lt;/author&gt;&lt;/authors&gt;&lt;secondary-authors&gt;&lt;author&gt;Cancer Research UK&lt;/author&gt;&lt;/secondary-authors&gt;&lt;/contributors&gt;&lt;titles&gt;&lt;title&gt;Breast cancer incidence by stage at diagnosis &lt;/title&gt;&lt;/titles&gt;&lt;volume&gt;2019&lt;/volume&gt;&lt;number&gt;Jun&lt;/number&gt;&lt;dates&gt;&lt;year&gt;2014&lt;/year&gt;&lt;/dates&gt;&lt;pub-location&gt;London&lt;/pub-location&gt;&lt;publisher&gt;Cancer Research UK&lt;/publisher&gt;&lt;urls&gt;&lt;related-urls&gt;&lt;url&gt;https://www.cancerresearchuk.org/health-professional/cancer-statistics/statistics-by-cancer-type/breast-cancer/incidence&lt;/url&gt;&lt;/related-urls&gt;&lt;/urls&gt;&lt;custom4&gt;LUCY&amp;apos;S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240</w:t>
            </w:r>
            <w:r w:rsidR="006F7FD7">
              <w:rPr>
                <w:rFonts w:cs="Times New Roman"/>
                <w:sz w:val="20"/>
                <w:szCs w:val="20"/>
              </w:rPr>
              <w:fldChar w:fldCharType="end"/>
            </w:r>
          </w:p>
        </w:tc>
      </w:tr>
      <w:tr w:rsidR="0051552C" w:rsidRPr="00425275" w14:paraId="19FD655F" w14:textId="77777777" w:rsidTr="0051552C">
        <w:trPr>
          <w:trHeight w:val="127"/>
        </w:trPr>
        <w:tc>
          <w:tcPr>
            <w:tcW w:w="2835" w:type="dxa"/>
            <w:shd w:val="clear" w:color="auto" w:fill="FFFFFF" w:themeFill="background1"/>
          </w:tcPr>
          <w:p w14:paraId="5ACA6654" w14:textId="77777777" w:rsidR="0051552C" w:rsidRPr="00425275" w:rsidRDefault="0051552C" w:rsidP="0051552C">
            <w:pPr>
              <w:spacing w:before="0" w:after="0" w:line="276" w:lineRule="auto"/>
              <w:rPr>
                <w:bCs/>
                <w:sz w:val="20"/>
              </w:rPr>
            </w:pPr>
            <w:r w:rsidRPr="00425275">
              <w:rPr>
                <w:bCs/>
                <w:sz w:val="20"/>
              </w:rPr>
              <w:t>Cholangiocarcinoma</w:t>
            </w:r>
          </w:p>
        </w:tc>
        <w:tc>
          <w:tcPr>
            <w:tcW w:w="3402" w:type="dxa"/>
            <w:shd w:val="clear" w:color="auto" w:fill="auto"/>
          </w:tcPr>
          <w:p w14:paraId="21C493C9" w14:textId="5A15AF2C" w:rsidR="0051552C" w:rsidRPr="00425275" w:rsidRDefault="0051552C"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0D6655BF" w14:textId="5DCA2512" w:rsidR="0051552C" w:rsidRPr="00425275" w:rsidRDefault="0051552C" w:rsidP="00CB2733">
            <w:pPr>
              <w:pStyle w:val="table"/>
              <w:rPr>
                <w:rFonts w:cs="Times New Roman"/>
                <w:sz w:val="20"/>
                <w:szCs w:val="20"/>
                <w:lang w:eastAsia="en-GB"/>
              </w:rPr>
            </w:pPr>
            <w:r w:rsidRPr="00425275">
              <w:rPr>
                <w:rFonts w:cs="Times New Roman"/>
                <w:sz w:val="20"/>
                <w:szCs w:val="20"/>
                <w:lang w:eastAsia="en-GB"/>
              </w:rPr>
              <w:t>Rare and Less Common Cancers Statistics</w:t>
            </w:r>
            <w:r w:rsidR="006F7FD7">
              <w:rPr>
                <w:rFonts w:cs="Times New Roman"/>
                <w:sz w:val="20"/>
                <w:szCs w:val="20"/>
              </w:rPr>
              <w:fldChar w:fldCharType="begin"/>
            </w:r>
            <w:r w:rsidR="00CB2733">
              <w:rPr>
                <w:rFonts w:cs="Times New Roman"/>
                <w:sz w:val="20"/>
                <w:szCs w:val="20"/>
              </w:rPr>
              <w:instrText xml:space="preserve"> ADDIN EN.CITE &lt;EndNote&gt;&lt;Cite&gt;&lt;Author&gt;Coombes&lt;/Author&gt;&lt;Year&gt;2015&lt;/Year&gt;&lt;RecNum&gt;3530&lt;/RecNum&gt;&lt;DisplayText&gt;&lt;style face="superscript"&gt;228&lt;/style&gt;&lt;/DisplayText&gt;&lt;record&gt;&lt;rec-number&gt;3530&lt;/rec-number&gt;&lt;foreign-keys&gt;&lt;key app="EN" db-id="dwaevxvazfs2f3ewvzmxrd0k0wasw55p2z2w" timestamp="1579875628"&gt;3530&lt;/key&gt;&lt;/foreign-keys&gt;&lt;ref-type name="Generic"&gt;13&lt;/ref-type&gt;&lt;contributors&gt;&lt;authors&gt;&lt;author&gt;Coombes, N.&lt;/author&gt;&lt;author&gt;Elliss-Brookes, L.&lt;/author&gt;&lt;author&gt;Johnson, S.&lt;/author&gt;&lt;author&gt;Lyons, J.&lt;/author&gt;&lt;author&gt;Mackay, C.&lt;/author&gt;&lt;author&gt;Morement, H.&lt;/author&gt;&lt;author&gt;Oehler, C.&lt;/author&gt;&lt;author&gt;Peake, M.&lt;/author&gt;&lt;/authors&gt;&lt;secondary-authors&gt;&lt;author&gt;National Cancer Intelligence Network &lt;/author&gt;&lt;/secondary-authors&gt;&lt;/contributors&gt;&lt;titles&gt;&lt;title&gt;Rare and less common cancers: Incidence and Mortality in England, 2010 to 2013&lt;/title&gt;&lt;/titles&gt;&lt;dates&gt;&lt;year&gt;2015&lt;/year&gt;&lt;/dates&gt;&lt;pub-location&gt;London, UK&lt;/pub-location&gt;&lt;publisher&gt;Public Health England&lt;/publisher&gt;&lt;urls&gt;&lt;/urls&gt;&lt;custom4&gt;LUCY&amp;apos;S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228</w:t>
            </w:r>
            <w:r w:rsidR="006F7FD7">
              <w:rPr>
                <w:rFonts w:cs="Times New Roman"/>
                <w:sz w:val="20"/>
                <w:szCs w:val="20"/>
              </w:rPr>
              <w:fldChar w:fldCharType="end"/>
            </w:r>
          </w:p>
        </w:tc>
        <w:tc>
          <w:tcPr>
            <w:tcW w:w="3022" w:type="dxa"/>
            <w:shd w:val="clear" w:color="auto" w:fill="auto"/>
          </w:tcPr>
          <w:p w14:paraId="29F43E0E" w14:textId="20C8CCB2" w:rsidR="0051552C" w:rsidRPr="00425275" w:rsidRDefault="0051552C" w:rsidP="00054FE8">
            <w:pPr>
              <w:pStyle w:val="table"/>
              <w:rPr>
                <w:rFonts w:cs="Times New Roman"/>
                <w:sz w:val="20"/>
                <w:szCs w:val="20"/>
                <w:lang w:eastAsia="en-GB"/>
              </w:rPr>
            </w:pPr>
            <w:r w:rsidRPr="00425275">
              <w:rPr>
                <w:rFonts w:cs="Times New Roman"/>
                <w:noProof/>
                <w:sz w:val="20"/>
                <w:szCs w:val="20"/>
                <w:lang w:eastAsia="en-GB"/>
              </w:rPr>
              <w:t>Tsuchiya, Sawada et al. 2015</w:t>
            </w:r>
            <w:r w:rsidRPr="00425275">
              <w:rPr>
                <w:rFonts w:cs="Times New Roman"/>
                <w:sz w:val="20"/>
                <w:szCs w:val="20"/>
                <w:lang w:eastAsia="en-GB"/>
              </w:rPr>
              <w:t>. (Assumed to be the same as Heptatocellular Carinoma)</w:t>
            </w:r>
            <w:r w:rsidR="006F7FD7">
              <w:rPr>
                <w:rFonts w:cs="Times New Roman"/>
                <w:sz w:val="20"/>
                <w:szCs w:val="20"/>
                <w:lang w:eastAsia="en-GB"/>
              </w:rPr>
              <w:fldChar w:fldCharType="begin"/>
            </w:r>
            <w:r w:rsidR="00054FE8">
              <w:rPr>
                <w:rFonts w:cs="Times New Roman"/>
                <w:sz w:val="20"/>
                <w:szCs w:val="20"/>
                <w:lang w:eastAsia="en-GB"/>
              </w:rPr>
              <w:instrText xml:space="preserve"> ADDIN EN.CITE &lt;EndNote&gt;&lt;Cite&gt;&lt;Author&gt;Tsuchiya&lt;/Author&gt;&lt;Year&gt;2015&lt;/Year&gt;&lt;RecNum&gt;3560&lt;/RecNum&gt;&lt;DisplayText&gt;&lt;style face="superscript"&gt;234&lt;/style&gt;&lt;/DisplayText&gt;&lt;record&gt;&lt;rec-number&gt;3560&lt;/rec-number&gt;&lt;foreign-keys&gt;&lt;key app="EN" db-id="dwaevxvazfs2f3ewvzmxrd0k0wasw55p2z2w" timestamp="1579875628"&gt;3560&lt;/key&gt;&lt;/foreign-keys&gt;&lt;ref-type name="Journal Article"&gt;17&lt;/ref-type&gt;&lt;contributors&gt;&lt;authors&gt;&lt;author&gt;Tsuchiya, Nobuhiro&lt;/author&gt;&lt;author&gt;Sawada, Yu&lt;/author&gt;&lt;author&gt;Endo, Itaru&lt;/author&gt;&lt;author&gt;Saito, Keigo&lt;/author&gt;&lt;author&gt;Uemura, Yasushi&lt;/author&gt;&lt;author&gt;Nakatsura, Tetsuya&lt;/author&gt;&lt;/authors&gt;&lt;/contributors&gt;&lt;titles&gt;&lt;title&gt;Biomarkers for the early diagnosis of hepatocellular carcinoma&lt;/title&gt;&lt;secondary-title&gt;WORLD JOURNAL OF GASTROENTEROLOGY : WJG&lt;/secondary-title&gt;&lt;/titles&gt;&lt;periodical&gt;&lt;full-title&gt;WORLD JOURNAL OF GASTROENTEROLOGY : WJG&lt;/full-title&gt;&lt;abbr-1&gt;World J Gastroenterol&lt;/abbr-1&gt;&lt;/periodical&gt;&lt;pages&gt;10573&lt;/pages&gt;&lt;volume&gt;21&lt;/volume&gt;&lt;number&gt;37&lt;/number&gt;&lt;dates&gt;&lt;year&gt;2015&lt;/year&gt;&lt;/dates&gt;&lt;urls&gt;&lt;/urls&gt;&lt;custom4&gt;LUCY&amp;apos;S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234</w:t>
            </w:r>
            <w:r w:rsidR="006F7FD7">
              <w:rPr>
                <w:rFonts w:cs="Times New Roman"/>
                <w:sz w:val="20"/>
                <w:szCs w:val="20"/>
                <w:lang w:eastAsia="en-GB"/>
              </w:rPr>
              <w:fldChar w:fldCharType="end"/>
            </w:r>
          </w:p>
        </w:tc>
      </w:tr>
      <w:tr w:rsidR="0051552C" w:rsidRPr="00425275" w14:paraId="1FA6BDD6" w14:textId="77777777" w:rsidTr="0051552C">
        <w:trPr>
          <w:trHeight w:val="127"/>
        </w:trPr>
        <w:tc>
          <w:tcPr>
            <w:tcW w:w="2835" w:type="dxa"/>
            <w:shd w:val="clear" w:color="auto" w:fill="FFFFFF" w:themeFill="background1"/>
          </w:tcPr>
          <w:p w14:paraId="2926AF86" w14:textId="7887288F" w:rsidR="0051552C" w:rsidRPr="00425275" w:rsidRDefault="0051552C" w:rsidP="002F39A6">
            <w:pPr>
              <w:spacing w:before="0" w:after="0" w:line="276" w:lineRule="auto"/>
              <w:rPr>
                <w:bCs/>
                <w:sz w:val="20"/>
              </w:rPr>
            </w:pPr>
            <w:r w:rsidRPr="00425275">
              <w:rPr>
                <w:bCs/>
                <w:sz w:val="20"/>
              </w:rPr>
              <w:t xml:space="preserve">Colorectal </w:t>
            </w:r>
            <w:r w:rsidR="002F39A6">
              <w:rPr>
                <w:bCs/>
                <w:sz w:val="20"/>
              </w:rPr>
              <w:t>cancer</w:t>
            </w:r>
          </w:p>
        </w:tc>
        <w:tc>
          <w:tcPr>
            <w:tcW w:w="3402" w:type="dxa"/>
            <w:shd w:val="clear" w:color="auto" w:fill="auto"/>
          </w:tcPr>
          <w:p w14:paraId="4C28827E" w14:textId="4028AE05"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4922FB4F" w14:textId="1A7CFA96" w:rsidR="0051552C" w:rsidRPr="00425275" w:rsidRDefault="00A11F90" w:rsidP="00054FE8">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054FE8">
              <w:rPr>
                <w:rFonts w:cs="Times New Roman"/>
                <w:sz w:val="20"/>
                <w:szCs w:val="20"/>
              </w:rPr>
              <w:instrText xml:space="preserve"> ADDIN EN.CITE &lt;EndNote&gt;&lt;Cite&gt;&lt;Author&gt;Office for National Statistics&lt;/Author&gt;&lt;Year&gt;2019&lt;/Year&gt;&lt;RecNum&gt;3558&lt;/RecNum&gt;&lt;DisplayText&gt;&lt;style face="superscript"&gt;227, 241&lt;/style&gt;&lt;/DisplayText&gt;&lt;record&gt;&lt;rec-number&gt;3558&lt;/rec-number&gt;&lt;foreign-keys&gt;&lt;key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REFERENCES&lt;/custom4&gt;&lt;/record&gt;&lt;/Cite&gt;&lt;Cite&gt;&lt;Author&gt;Thrumurthy&lt;/Author&gt;&lt;Year&gt;2016&lt;/Year&gt;&lt;RecNum&gt;3559&lt;/RecNum&gt;&lt;record&gt;&lt;rec-number&gt;3559&lt;/rec-number&gt;&lt;foreign-keys&gt;&lt;key app="EN" db-id="dwaevxvazfs2f3ewvzmxrd0k0wasw55p2z2w" timestamp="1579875628"&gt;3559&lt;/key&gt;&lt;/foreign-keys&gt;&lt;ref-type name="Journal Article"&gt;17&lt;/ref-type&gt;&lt;contributors&gt;&lt;authors&gt;&lt;author&gt;Thrumurthy, Sri G.&lt;/author&gt;&lt;author&gt;Thrumurthy, Sasha S. D.&lt;/author&gt;&lt;author&gt;Gilbert, Catherine E.&lt;/author&gt;&lt;author&gt;Ross, Paul&lt;/author&gt;&lt;author&gt;Haji, Amyn&lt;/author&gt;&lt;/authors&gt;&lt;/contributors&gt;&lt;titles&gt;&lt;title&gt;Colorectal adenocarcinoma: risks, prevention and diagnosis&lt;/title&gt;&lt;secondary-title&gt;bmj&lt;/secondary-title&gt;&lt;/titles&gt;&lt;periodical&gt;&lt;full-title&gt;BMJ&lt;/full-title&gt;&lt;abbr-1&gt;BMJ&lt;/abbr-1&gt;&lt;/periodical&gt;&lt;pages&gt;i3590&lt;/pages&gt;&lt;volume&gt;354&lt;/volume&gt;&lt;dates&gt;&lt;year&gt;2016&lt;/year&gt;&lt;/dates&gt;&lt;isbn&gt;1756-1833&lt;/isbn&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227, 241</w:t>
            </w:r>
            <w:r w:rsidR="006F7FD7">
              <w:rPr>
                <w:rFonts w:cs="Times New Roman"/>
                <w:sz w:val="20"/>
                <w:szCs w:val="20"/>
              </w:rPr>
              <w:fldChar w:fldCharType="end"/>
            </w:r>
          </w:p>
        </w:tc>
        <w:tc>
          <w:tcPr>
            <w:tcW w:w="3022" w:type="dxa"/>
            <w:shd w:val="clear" w:color="auto" w:fill="auto"/>
          </w:tcPr>
          <w:p w14:paraId="5E0FCFE0" w14:textId="3E142580" w:rsidR="0051552C" w:rsidRPr="00425275" w:rsidRDefault="0051552C" w:rsidP="00CB2733">
            <w:pPr>
              <w:pStyle w:val="table"/>
              <w:rPr>
                <w:rFonts w:cs="Times New Roman"/>
                <w:sz w:val="20"/>
                <w:szCs w:val="20"/>
              </w:rPr>
            </w:pPr>
            <w:r w:rsidRPr="00425275">
              <w:rPr>
                <w:rFonts w:cs="Times New Roman"/>
                <w:noProof/>
                <w:sz w:val="20"/>
                <w:szCs w:val="20"/>
                <w:lang w:eastAsia="en-GB"/>
              </w:rPr>
              <w:t>Cancer Research UK:</w:t>
            </w:r>
            <w:r w:rsidRPr="00425275">
              <w:rPr>
                <w:rFonts w:cs="Times New Roman"/>
                <w:sz w:val="20"/>
                <w:szCs w:val="20"/>
                <w:lang w:eastAsia="en-GB"/>
              </w:rPr>
              <w:t xml:space="preserve"> Bowel cancer incidence by stage at diagnosis</w:t>
            </w:r>
            <w:r w:rsidR="006F7FD7">
              <w:rPr>
                <w:rFonts w:cs="Times New Roman"/>
                <w:sz w:val="20"/>
                <w:szCs w:val="20"/>
              </w:rPr>
              <w:fldChar w:fldCharType="begin"/>
            </w:r>
            <w:r w:rsidR="00CB2733">
              <w:rPr>
                <w:rFonts w:cs="Times New Roman"/>
                <w:sz w:val="20"/>
                <w:szCs w:val="20"/>
              </w:rPr>
              <w:instrText xml:space="preserve"> ADDIN EN.CITE &lt;EndNote&gt;&lt;Cite&gt;&lt;Author&gt;Cancer Research UK&lt;/Author&gt;&lt;Year&gt;2016&lt;/Year&gt;&lt;RecNum&gt;3565&lt;/RecNum&gt;&lt;DisplayText&gt;&lt;style face="superscript"&gt;242&lt;/style&gt;&lt;/DisplayText&gt;&lt;record&gt;&lt;rec-number&gt;3565&lt;/rec-number&gt;&lt;foreign-keys&gt;&lt;key app="EN" db-id="dwaevxvazfs2f3ewvzmxrd0k0wasw55p2z2w" timestamp="1579875628"&gt;3565&lt;/key&gt;&lt;/foreign-keys&gt;&lt;ref-type name="Web Page"&gt;12&lt;/ref-type&gt;&lt;contributors&gt;&lt;authors&gt;&lt;author&gt;Cancer Research UK,&lt;/author&gt;&lt;/authors&gt;&lt;secondary-authors&gt;&lt;author&gt;Cancer Research UK&lt;/author&gt;&lt;/secondary-authors&gt;&lt;/contributors&gt;&lt;titles&gt;&lt;title&gt;Bowel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UK&lt;/publisher&gt;&lt;urls&gt;&lt;related-urls&gt;&lt;url&gt;https://www.cancerresearchuk.org/health-professional/cancer-statistics/statistics-by-cancer-type/bowel-cancer&lt;/url&gt;&lt;/related-urls&gt;&lt;/urls&gt;&lt;custom4&gt;LUCY&amp;apos;S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242</w:t>
            </w:r>
            <w:r w:rsidR="006F7FD7">
              <w:rPr>
                <w:rFonts w:cs="Times New Roman"/>
                <w:sz w:val="20"/>
                <w:szCs w:val="20"/>
              </w:rPr>
              <w:fldChar w:fldCharType="end"/>
            </w:r>
          </w:p>
        </w:tc>
      </w:tr>
      <w:tr w:rsidR="0051552C" w:rsidRPr="00425275" w14:paraId="5FC11C70" w14:textId="77777777" w:rsidTr="0051552C">
        <w:trPr>
          <w:trHeight w:val="127"/>
        </w:trPr>
        <w:tc>
          <w:tcPr>
            <w:tcW w:w="2835" w:type="dxa"/>
            <w:shd w:val="clear" w:color="auto" w:fill="FFFFFF" w:themeFill="background1"/>
          </w:tcPr>
          <w:p w14:paraId="5ACD7F13" w14:textId="77777777" w:rsidR="0051552C" w:rsidRPr="00425275" w:rsidRDefault="0051552C" w:rsidP="0051552C">
            <w:pPr>
              <w:spacing w:before="0" w:after="0" w:line="276" w:lineRule="auto"/>
              <w:rPr>
                <w:bCs/>
                <w:sz w:val="20"/>
              </w:rPr>
            </w:pPr>
            <w:r w:rsidRPr="00425275">
              <w:rPr>
                <w:bCs/>
                <w:sz w:val="20"/>
              </w:rPr>
              <w:t>GIST</w:t>
            </w:r>
          </w:p>
        </w:tc>
        <w:tc>
          <w:tcPr>
            <w:tcW w:w="3402" w:type="dxa"/>
            <w:shd w:val="clear" w:color="auto" w:fill="auto"/>
          </w:tcPr>
          <w:p w14:paraId="1890EEEC" w14:textId="2FC114AB"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0B2A803F" w14:textId="204CA956" w:rsidR="0051552C" w:rsidRPr="00425275" w:rsidRDefault="0051552C" w:rsidP="00054FE8">
            <w:pPr>
              <w:pStyle w:val="table"/>
              <w:rPr>
                <w:rFonts w:cs="Times New Roman"/>
                <w:sz w:val="20"/>
                <w:szCs w:val="20"/>
                <w:lang w:eastAsia="en-GB"/>
              </w:rPr>
            </w:pPr>
            <w:r w:rsidRPr="00425275">
              <w:rPr>
                <w:rFonts w:cs="Times New Roman"/>
                <w:noProof/>
                <w:sz w:val="20"/>
                <w:szCs w:val="20"/>
                <w:lang w:eastAsia="en-GB"/>
              </w:rPr>
              <w:t>Amelio, Ruzafa et al. 2014</w:t>
            </w:r>
            <w:r w:rsidR="00055E4F">
              <w:t xml:space="preserve"> </w:t>
            </w:r>
            <w:r w:rsidR="00055E4F">
              <w:rPr>
                <w:rFonts w:cs="Times New Roman"/>
                <w:noProof/>
                <w:sz w:val="20"/>
                <w:szCs w:val="20"/>
                <w:lang w:eastAsia="en-GB"/>
              </w:rPr>
              <w:fldChar w:fldCharType="begin"/>
            </w:r>
            <w:r w:rsidR="00054FE8">
              <w:rPr>
                <w:rFonts w:cs="Times New Roman"/>
                <w:noProof/>
                <w:sz w:val="20"/>
                <w:szCs w:val="20"/>
                <w:lang w:eastAsia="en-GB"/>
              </w:rPr>
              <w:instrText xml:space="preserve"> ADDIN EN.CITE &lt;EndNote&gt;&lt;Cite&gt;&lt;Author&gt;Amelio&lt;/Author&gt;&lt;Year&gt;2014&lt;/Year&gt;&lt;RecNum&gt;3604&lt;/RecNum&gt;&lt;DisplayText&gt;&lt;style face="superscript"&gt;243&lt;/style&gt;&lt;/DisplayText&gt;&lt;record&gt;&lt;rec-number&gt;3604&lt;/rec-number&gt;&lt;foreign-keys&gt;&lt;key app="EN" db-id="dwaevxvazfs2f3ewvzmxrd0k0wasw55p2z2w" timestamp="1582282459"&gt;3604&lt;/key&gt;&lt;/foreign-keys&gt;&lt;ref-type name="Journal Article"&gt;17&lt;/ref-type&gt;&lt;contributors&gt;&lt;authors&gt;&lt;author&gt;Amelio, Justyna M. Starczewska&lt;/author&gt;&lt;author&gt;Ruzafa, Javier Cid&lt;/author&gt;&lt;author&gt;Desai, Kamal&lt;/author&gt;&lt;author&gt;Tzivelekis, Spiros&lt;/author&gt;&lt;author&gt;Muston, Dominic&lt;/author&gt;&lt;author&gt;Khalid, Javaria Mona&lt;/author&gt;&lt;author&gt;Ashman, Philip&lt;/author&gt;&lt;author&gt;Maguire, Andrew&lt;/author&gt;&lt;/authors&gt;&lt;/contributors&gt;&lt;titles&gt;&lt;title&gt;Prevalence of gastrointestinal stromal tumour (GIST) in the United Kingdom at different therapeutic lines: an epidemiologic model&lt;/title&gt;&lt;secondary-title&gt;BMC cancer&lt;/secondary-title&gt;&lt;/titles&gt;&lt;periodical&gt;&lt;full-title&gt;BMC CANCER&lt;/full-title&gt;&lt;abbr-1&gt;BMC Cancer&lt;/abbr-1&gt;&lt;/periodical&gt;&lt;pages&gt;364&lt;/pages&gt;&lt;volume&gt;14&lt;/volume&gt;&lt;number&gt;1&lt;/number&gt;&lt;dates&gt;&lt;year&gt;2014&lt;/year&gt;&lt;/dates&gt;&lt;isbn&gt;1471-2407&lt;/isbn&gt;&lt;urls&gt;&lt;/urls&gt;&lt;/record&gt;&lt;/Cite&gt;&lt;/EndNote&gt;</w:instrText>
            </w:r>
            <w:r w:rsidR="00055E4F">
              <w:rPr>
                <w:rFonts w:cs="Times New Roman"/>
                <w:noProof/>
                <w:sz w:val="20"/>
                <w:szCs w:val="20"/>
                <w:lang w:eastAsia="en-GB"/>
              </w:rPr>
              <w:fldChar w:fldCharType="separate"/>
            </w:r>
            <w:r w:rsidR="00055E4F" w:rsidRPr="00055E4F">
              <w:rPr>
                <w:rFonts w:cs="Times New Roman"/>
                <w:noProof/>
                <w:sz w:val="20"/>
                <w:szCs w:val="20"/>
                <w:vertAlign w:val="superscript"/>
                <w:lang w:eastAsia="en-GB"/>
              </w:rPr>
              <w:t>243</w:t>
            </w:r>
            <w:r w:rsidR="00055E4F">
              <w:rPr>
                <w:rFonts w:cs="Times New Roman"/>
                <w:noProof/>
                <w:sz w:val="20"/>
                <w:szCs w:val="20"/>
                <w:lang w:eastAsia="en-GB"/>
              </w:rPr>
              <w:fldChar w:fldCharType="end"/>
            </w:r>
            <w:r w:rsidRPr="00425275">
              <w:rPr>
                <w:rFonts w:cs="Times New Roman"/>
                <w:noProof/>
                <w:sz w:val="20"/>
                <w:szCs w:val="20"/>
                <w:lang w:eastAsia="en-GB"/>
              </w:rPr>
              <w:t xml:space="preserve"> </w:t>
            </w:r>
          </w:p>
        </w:tc>
        <w:tc>
          <w:tcPr>
            <w:tcW w:w="3022" w:type="dxa"/>
            <w:shd w:val="clear" w:color="auto" w:fill="auto"/>
          </w:tcPr>
          <w:p w14:paraId="7886A050" w14:textId="000AA1AF" w:rsidR="0051552C" w:rsidRPr="00425275" w:rsidRDefault="0051552C" w:rsidP="00282A53">
            <w:pPr>
              <w:pStyle w:val="table"/>
              <w:rPr>
                <w:rFonts w:cs="Times New Roman"/>
                <w:sz w:val="20"/>
                <w:szCs w:val="20"/>
                <w:lang w:eastAsia="en-GB"/>
              </w:rPr>
            </w:pPr>
            <w:r w:rsidRPr="00425275">
              <w:rPr>
                <w:rFonts w:cs="Times New Roman"/>
                <w:sz w:val="20"/>
                <w:szCs w:val="20"/>
                <w:lang w:eastAsia="en-GB"/>
              </w:rPr>
              <w:t xml:space="preserve">PDQ Adult Treatment Editorial </w:t>
            </w:r>
          </w:p>
        </w:tc>
      </w:tr>
      <w:tr w:rsidR="0051552C" w:rsidRPr="00425275" w14:paraId="60751CFC" w14:textId="77777777" w:rsidTr="0051552C">
        <w:trPr>
          <w:trHeight w:val="127"/>
        </w:trPr>
        <w:tc>
          <w:tcPr>
            <w:tcW w:w="2835" w:type="dxa"/>
            <w:shd w:val="clear" w:color="auto" w:fill="FFFFFF" w:themeFill="background1"/>
          </w:tcPr>
          <w:p w14:paraId="0E6CECCD" w14:textId="77777777" w:rsidR="0051552C" w:rsidRPr="00425275" w:rsidRDefault="0051552C" w:rsidP="0051552C">
            <w:pPr>
              <w:spacing w:before="0" w:after="0" w:line="276" w:lineRule="auto"/>
              <w:rPr>
                <w:bCs/>
                <w:sz w:val="20"/>
              </w:rPr>
            </w:pPr>
            <w:r w:rsidRPr="00425275">
              <w:rPr>
                <w:bCs/>
                <w:sz w:val="20"/>
              </w:rPr>
              <w:t>Infantile Fibrosarcoma</w:t>
            </w:r>
          </w:p>
        </w:tc>
        <w:tc>
          <w:tcPr>
            <w:tcW w:w="3402" w:type="dxa"/>
            <w:shd w:val="clear" w:color="auto" w:fill="auto"/>
          </w:tcPr>
          <w:p w14:paraId="03C52E79" w14:textId="3672A31A" w:rsidR="0051552C" w:rsidRPr="00425275" w:rsidRDefault="0051552C"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3E947BB3" w14:textId="6D4BD4C2" w:rsidR="0051552C" w:rsidRPr="00425275" w:rsidRDefault="0051552C" w:rsidP="004D5B2B">
            <w:pPr>
              <w:pStyle w:val="table"/>
              <w:rPr>
                <w:rFonts w:cs="Times New Roman"/>
                <w:sz w:val="20"/>
                <w:szCs w:val="20"/>
                <w:lang w:eastAsia="en-GB"/>
              </w:rPr>
            </w:pPr>
            <w:r w:rsidRPr="00425275">
              <w:rPr>
                <w:rFonts w:cs="Times New Roman"/>
                <w:sz w:val="20"/>
                <w:szCs w:val="20"/>
                <w:lang w:eastAsia="en-GB"/>
              </w:rPr>
              <w:t>Based on incidence of 0.5/100,000</w:t>
            </w:r>
            <w:r w:rsidR="006F7FD7">
              <w:rPr>
                <w:rFonts w:cs="Times New Roman"/>
                <w:sz w:val="20"/>
                <w:szCs w:val="20"/>
                <w:lang w:eastAsia="en-GB"/>
              </w:rPr>
              <w:fldChar w:fldCharType="begin"/>
            </w:r>
            <w:r w:rsidR="004D5B2B">
              <w:rPr>
                <w:rFonts w:cs="Times New Roman"/>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sz w:val="20"/>
                <w:szCs w:val="20"/>
                <w:lang w:eastAsia="en-GB"/>
              </w:rPr>
              <w:fldChar w:fldCharType="end"/>
            </w:r>
            <w:r w:rsidRPr="00425275">
              <w:rPr>
                <w:rFonts w:cs="Times New Roman"/>
                <w:sz w:val="20"/>
                <w:szCs w:val="20"/>
                <w:lang w:eastAsia="en-GB"/>
              </w:rPr>
              <w:t>and the population in England in 2017</w:t>
            </w:r>
            <w:r w:rsidR="006F7FD7">
              <w:rPr>
                <w:rFonts w:cs="Times New Roman"/>
                <w:sz w:val="20"/>
                <w:szCs w:val="20"/>
                <w:lang w:eastAsia="en-GB"/>
              </w:rPr>
              <w:fldChar w:fldCharType="begin"/>
            </w:r>
            <w:r w:rsidR="00CB2733">
              <w:rPr>
                <w:rFonts w:cs="Times New Roman"/>
                <w:sz w:val="20"/>
                <w:szCs w:val="20"/>
                <w:lang w:eastAsia="en-GB"/>
              </w:rPr>
              <w:instrText xml:space="preserve"> ADDIN EN.CITE &lt;EndNote&gt;&lt;Cite&gt;&lt;Author&gt;World Population Review&lt;/Author&gt;&lt;Year&gt;2019&lt;/Year&gt;&lt;RecNum&gt;3550&lt;/RecNum&gt;&lt;DisplayText&gt;&lt;style face="superscript"&gt;232&lt;/style&gt;&lt;/DisplayText&gt;&lt;record&gt;&lt;rec-number&gt;3550&lt;/rec-number&gt;&lt;foreign-keys&gt;&lt;key app="EN" db-id="dwaevxvazfs2f3ewvzmxrd0k0wasw55p2z2w" timestamp="1579875628"&gt;3550&lt;/key&gt;&lt;/foreign-keys&gt;&lt;ref-type name="Web Page"&gt;12&lt;/ref-type&gt;&lt;contributors&gt;&lt;authors&gt;&lt;author&gt;World Population Review,&lt;/author&gt;&lt;/authors&gt;&lt;/contributors&gt;&lt;titles&gt;&lt;title&gt;Western European Countries 2020. Western European Countries&lt;/title&gt;&lt;/titles&gt;&lt;volume&gt;2019&lt;/volume&gt;&lt;number&gt;12th December&lt;/number&gt;&lt;dates&gt;&lt;year&gt;2019&lt;/year&gt;&lt;/dates&gt;&lt;urls&gt;&lt;related-urls&gt;&lt;url&gt;http://worldpopulationreview.com/countries/western-european-countries/&lt;/url&gt;&lt;/related-urls&gt;&lt;/urls&gt;&lt;custom4&gt;LUCY&amp;apos;S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232</w:t>
            </w:r>
            <w:r w:rsidR="006F7FD7">
              <w:rPr>
                <w:rFonts w:cs="Times New Roman"/>
                <w:sz w:val="20"/>
                <w:szCs w:val="20"/>
                <w:lang w:eastAsia="en-GB"/>
              </w:rPr>
              <w:fldChar w:fldCharType="end"/>
            </w:r>
          </w:p>
        </w:tc>
        <w:tc>
          <w:tcPr>
            <w:tcW w:w="3022" w:type="dxa"/>
            <w:shd w:val="clear" w:color="auto" w:fill="auto"/>
          </w:tcPr>
          <w:p w14:paraId="615A4E27" w14:textId="06A6C1C6" w:rsidR="0051552C" w:rsidRPr="00425275" w:rsidRDefault="0051552C" w:rsidP="000E66DE">
            <w:pPr>
              <w:pStyle w:val="table"/>
              <w:rPr>
                <w:rFonts w:cs="Times New Roman"/>
                <w:sz w:val="20"/>
                <w:szCs w:val="20"/>
                <w:lang w:eastAsia="en-GB"/>
              </w:rPr>
            </w:pPr>
            <w:r w:rsidRPr="00425275">
              <w:rPr>
                <w:rFonts w:cs="Times New Roman"/>
                <w:noProof/>
                <w:sz w:val="20"/>
                <w:szCs w:val="20"/>
                <w:lang w:eastAsia="en-GB"/>
              </w:rPr>
              <w:t>Orbach, Rey et al. 2009</w:t>
            </w:r>
            <w:r w:rsidR="006F7FD7">
              <w:rPr>
                <w:rFonts w:cs="Times New Roman"/>
                <w:sz w:val="20"/>
                <w:szCs w:val="20"/>
              </w:rPr>
              <w:fldChar w:fldCharType="begin"/>
            </w:r>
            <w:r w:rsidR="000E66DE">
              <w:rPr>
                <w:rFonts w:cs="Times New Roman"/>
                <w:sz w:val="20"/>
                <w:szCs w:val="20"/>
              </w:rPr>
              <w:instrText xml:space="preserve"> ADDIN EN.CITE &lt;EndNote&gt;&lt;Cite&gt;&lt;Author&gt;Orbach&lt;/Author&gt;&lt;Year&gt;2009&lt;/Year&gt;&lt;RecNum&gt;3548&lt;/RecNum&gt;&lt;DisplayText&gt;&lt;style face="superscript"&gt;236&lt;/style&gt;&lt;/DisplayText&gt;&lt;record&gt;&lt;rec-number&gt;3548&lt;/rec-number&gt;&lt;foreign-keys&gt;&lt;key app="EN" db-id="dwaevxvazfs2f3ewvzmxrd0k0wasw55p2z2w" timestamp="1579875628"&gt;3548&lt;/key&gt;&lt;/foreign-keys&gt;&lt;ref-type name="Journal Article"&gt;17&lt;/ref-type&gt;&lt;contributors&gt;&lt;authors&gt;&lt;author&gt;Orbach, Daniel&lt;/author&gt;&lt;author&gt;Rey, Annie&lt;/author&gt;&lt;author&gt;Cecchetto, Giovanni&lt;/author&gt;&lt;author&gt;Oberlin, Odile&lt;/author&gt;&lt;author&gt;Casanova, Michela&lt;/author&gt;&lt;author&gt;Thebaud, Estelle&lt;/author&gt;&lt;author&gt;Scopinaro, Marcelo&lt;/author&gt;&lt;author&gt;Bisogno, Gianni&lt;/author&gt;&lt;author&gt;Carli, Modesto&lt;/author&gt;&lt;author&gt;Ferrari, Andrea&lt;/author&gt;&lt;/authors&gt;&lt;/contributors&gt;&lt;titles&gt;&lt;title&gt;Infantile fibrosarcoma: management based on the European experience&lt;/title&gt;&lt;secondary-title&gt;Journal of clinical oncology&lt;/secondary-title&gt;&lt;/titles&gt;&lt;periodical&gt;&lt;full-title&gt;Journal of Clinical Oncology&lt;/full-title&gt;&lt;abbr-1&gt;J Clin Oncol&lt;/abbr-1&gt;&lt;/periodical&gt;&lt;pages&gt;318-323&lt;/pages&gt;&lt;volume&gt;28&lt;/volume&gt;&lt;number&gt;2&lt;/number&gt;&lt;dates&gt;&lt;year&gt;2009&lt;/year&gt;&lt;/dates&gt;&lt;isbn&gt;0732-183X&lt;/isbn&gt;&lt;urls&gt;&lt;/urls&gt;&lt;custom4&gt;LUCY&amp;apos;S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236</w:t>
            </w:r>
            <w:r w:rsidR="006F7FD7">
              <w:rPr>
                <w:rFonts w:cs="Times New Roman"/>
                <w:sz w:val="20"/>
                <w:szCs w:val="20"/>
              </w:rPr>
              <w:fldChar w:fldCharType="end"/>
            </w:r>
          </w:p>
        </w:tc>
      </w:tr>
      <w:tr w:rsidR="0051552C" w:rsidRPr="00425275" w14:paraId="3ECB04BC" w14:textId="77777777" w:rsidTr="0051552C">
        <w:trPr>
          <w:trHeight w:val="127"/>
        </w:trPr>
        <w:tc>
          <w:tcPr>
            <w:tcW w:w="2835" w:type="dxa"/>
            <w:shd w:val="clear" w:color="auto" w:fill="FFFFFF" w:themeFill="background1"/>
          </w:tcPr>
          <w:p w14:paraId="07E5E231" w14:textId="77777777" w:rsidR="0051552C" w:rsidRPr="00425275" w:rsidRDefault="0051552C" w:rsidP="0051552C">
            <w:pPr>
              <w:spacing w:before="0" w:after="0" w:line="276" w:lineRule="auto"/>
              <w:rPr>
                <w:bCs/>
                <w:sz w:val="20"/>
              </w:rPr>
            </w:pPr>
            <w:r w:rsidRPr="00425275">
              <w:rPr>
                <w:bCs/>
                <w:sz w:val="20"/>
              </w:rPr>
              <w:t>MASC</w:t>
            </w:r>
          </w:p>
        </w:tc>
        <w:tc>
          <w:tcPr>
            <w:tcW w:w="3402" w:type="dxa"/>
            <w:shd w:val="clear" w:color="auto" w:fill="auto"/>
          </w:tcPr>
          <w:p w14:paraId="192321D5" w14:textId="47977036" w:rsidR="0051552C" w:rsidRPr="00425275" w:rsidRDefault="0051552C" w:rsidP="00500BB3">
            <w:pPr>
              <w:pStyle w:val="table"/>
              <w:rPr>
                <w:rFonts w:cs="Times New Roman"/>
                <w:sz w:val="20"/>
                <w:szCs w:val="20"/>
                <w:lang w:eastAsia="en-GB"/>
              </w:rPr>
            </w:pPr>
            <w:r w:rsidRPr="00425275">
              <w:rPr>
                <w:rFonts w:cs="Times New Roman"/>
                <w:noProof/>
                <w:sz w:val="20"/>
                <w:szCs w:val="20"/>
                <w:lang w:eastAsia="en-GB"/>
              </w:rPr>
              <w:t>Skálová, Vanecek et al. 2010</w:t>
            </w:r>
            <w:r w:rsidR="006F7FD7">
              <w:rPr>
                <w:rFonts w:cs="Times New Roman"/>
                <w:noProof/>
                <w:sz w:val="20"/>
                <w:szCs w:val="20"/>
                <w:lang w:eastAsia="en-GB"/>
              </w:rPr>
              <w:fldChar w:fldCharType="begin"/>
            </w:r>
            <w:r w:rsidR="00500BB3">
              <w:rPr>
                <w:rFonts w:cs="Times New Roman"/>
                <w:noProof/>
                <w:sz w:val="20"/>
                <w:szCs w:val="20"/>
                <w:lang w:eastAsia="en-GB"/>
              </w:rPr>
              <w:instrText xml:space="preserve"> ADDIN EN.CITE &lt;EndNote&gt;&lt;Cite&gt;&lt;Author&gt;Skálová&lt;/Author&gt;&lt;Year&gt;2010&lt;/Year&gt;&lt;RecNum&gt;3554&lt;/RecNum&gt;&lt;DisplayText&gt;&lt;style face="superscript"&gt;244&lt;/style&gt;&lt;/DisplayText&gt;&lt;record&gt;&lt;rec-number&gt;3554&lt;/rec-number&gt;&lt;foreign-keys&gt;&lt;key app="EN" db-id="dwaevxvazfs2f3ewvzmxrd0k0wasw55p2z2w" timestamp="1579875628"&gt;3554&lt;/key&gt;&lt;/foreign-keys&gt;&lt;ref-type name="Journal Article"&gt;17&lt;/ref-type&gt;&lt;contributors&gt;&lt;authors&gt;&lt;author&gt;Skálová, Alena&lt;/author&gt;&lt;author&gt;Vanecek, Tomas&lt;/author&gt;&lt;author&gt;Sima, Radek&lt;/author&gt;&lt;author&gt;Laco, Jan&lt;/author&gt;&lt;author&gt;Weinreb, Ilan&lt;/author&gt;&lt;author&gt;Perez-Ordonez, Bayardo&lt;/author&gt;&lt;author&gt;Starek, Ivo&lt;/author&gt;&lt;author&gt;Geierova, Marie&lt;/author&gt;&lt;author&gt;Simpson, Roderrick H. W.&lt;/author&gt;&lt;author&gt;Passador-Santos, Fabricio&lt;/author&gt;&lt;/authors&gt;&lt;/contributors&gt;&lt;titles&gt;&lt;title&gt;Mammary analogue secretory carcinoma of salivary glands, containing the ETV6-NTRK3 fusion gene: a hitherto undescribed salivary gland tumor entity&lt;/title&gt;&lt;secondary-title&gt;American journal of surgical pathology&lt;/secondary-title&gt;&lt;/titles&gt;&lt;periodical&gt;&lt;full-title&gt;American Journal of Surgical Pathology&lt;/full-title&gt;&lt;abbr-1&gt;Am J Surg Pathol&lt;/abbr-1&gt;&lt;/periodical&gt;&lt;pages&gt;599-608&lt;/pages&gt;&lt;volume&gt;34&lt;/volume&gt;&lt;number&gt;5&lt;/number&gt;&lt;dates&gt;&lt;year&gt;2010&lt;/year&gt;&lt;/dates&gt;&lt;isbn&gt;0147-5185&lt;/isbn&gt;&lt;urls&gt;&lt;/urls&gt;&lt;custom4&gt;LUCY&amp;apos;S REFERENCES&lt;/custom4&gt;&lt;/record&gt;&lt;/Cite&gt;&lt;/EndNote&gt;</w:instrText>
            </w:r>
            <w:r w:rsidR="006F7FD7">
              <w:rPr>
                <w:rFonts w:cs="Times New Roman"/>
                <w:noProof/>
                <w:sz w:val="20"/>
                <w:szCs w:val="20"/>
                <w:lang w:eastAsia="en-GB"/>
              </w:rPr>
              <w:fldChar w:fldCharType="separate"/>
            </w:r>
            <w:r w:rsidR="00055E4F" w:rsidRPr="00055E4F">
              <w:rPr>
                <w:rFonts w:cs="Times New Roman"/>
                <w:noProof/>
                <w:sz w:val="20"/>
                <w:szCs w:val="20"/>
                <w:vertAlign w:val="superscript"/>
                <w:lang w:eastAsia="en-GB"/>
              </w:rPr>
              <w:t>244</w:t>
            </w:r>
            <w:r w:rsidR="006F7FD7">
              <w:rPr>
                <w:rFonts w:cs="Times New Roman"/>
                <w:noProof/>
                <w:sz w:val="20"/>
                <w:szCs w:val="20"/>
                <w:lang w:eastAsia="en-GB"/>
              </w:rPr>
              <w:fldChar w:fldCharType="end"/>
            </w:r>
          </w:p>
        </w:tc>
        <w:tc>
          <w:tcPr>
            <w:tcW w:w="4253" w:type="dxa"/>
            <w:shd w:val="clear" w:color="auto" w:fill="auto"/>
          </w:tcPr>
          <w:p w14:paraId="73D5AC69" w14:textId="1C21D2A8" w:rsidR="0051552C" w:rsidRPr="00425275" w:rsidRDefault="00A11F90" w:rsidP="00054FE8">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r w:rsidR="003B7D1F">
              <w:rPr>
                <w:rFonts w:cs="Times New Roman"/>
                <w:sz w:val="20"/>
                <w:szCs w:val="20"/>
              </w:rPr>
              <w:t xml:space="preserve"> </w:t>
            </w:r>
            <w:r w:rsidR="0051552C" w:rsidRPr="00425275">
              <w:rPr>
                <w:rFonts w:cs="Times New Roman"/>
                <w:sz w:val="20"/>
                <w:szCs w:val="20"/>
                <w:lang w:eastAsia="en-GB"/>
              </w:rPr>
              <w:t xml:space="preserve">and </w:t>
            </w:r>
            <w:r w:rsidR="0051552C" w:rsidRPr="00425275">
              <w:rPr>
                <w:rFonts w:cs="Times New Roman"/>
                <w:noProof/>
                <w:sz w:val="20"/>
                <w:szCs w:val="20"/>
                <w:lang w:eastAsia="en-GB"/>
              </w:rPr>
              <w:t xml:space="preserve">Luk, Selinger et al. 2015 </w:t>
            </w:r>
            <w:r w:rsidR="006F7FD7">
              <w:rPr>
                <w:rFonts w:cs="Times New Roman"/>
                <w:noProof/>
                <w:sz w:val="20"/>
                <w:szCs w:val="20"/>
                <w:lang w:eastAsia="en-GB"/>
              </w:rPr>
              <w:fldChar w:fldCharType="begin"/>
            </w:r>
            <w:r w:rsidR="00054FE8">
              <w:rPr>
                <w:rFonts w:cs="Times New Roman"/>
                <w:noProof/>
                <w:sz w:val="20"/>
                <w:szCs w:val="20"/>
                <w:lang w:eastAsia="en-GB"/>
              </w:rPr>
              <w:instrText xml:space="preserve"> ADDIN EN.CITE &lt;EndNote&gt;&lt;Cite&gt;&lt;Author&gt;Luk&lt;/Author&gt;&lt;Year&gt;2015&lt;/Year&gt;&lt;RecNum&gt;3542&lt;/RecNum&gt;&lt;DisplayText&gt;&lt;style face="superscript"&gt;245&lt;/style&gt;&lt;/DisplayText&gt;&lt;record&gt;&lt;rec-number&gt;3542&lt;/rec-number&gt;&lt;foreign-keys&gt;&lt;key app="EN" db-id="dwaevxvazfs2f3ewvzmxrd0k0wasw55p2z2w" timestamp="1579875628"&gt;3542&lt;/key&gt;&lt;/foreign-keys&gt;&lt;ref-type name="Journal Article"&gt;17&lt;/ref-type&gt;&lt;contributors&gt;&lt;authors&gt;&lt;author&gt;Luk, Peter P.&lt;/author&gt;&lt;author&gt;Selinger, Christina I.&lt;/author&gt;&lt;author&gt;Eviston, Timothy J.&lt;/author&gt;&lt;author&gt;Lum, Trina&lt;/author&gt;&lt;author&gt;Yu, Bing&lt;/author&gt;&lt;author&gt;O’Toole, Sandra A.&lt;/author&gt;&lt;author&gt;Clark, Jonathan R.&lt;/author&gt;&lt;author&gt;Gupta, Ruta&lt;/author&gt;&lt;/authors&gt;&lt;/contributors&gt;&lt;titles&gt;&lt;title&gt;Mammary analogue secretory carcinoma: an evaluation of its clinicopathological and genetic characteristics&lt;/title&gt;&lt;secondary-title&gt;Pathology&lt;/secondary-title&gt;&lt;/titles&gt;&lt;periodical&gt;&lt;full-title&gt;PATHOLOGY&lt;/full-title&gt;&lt;abbr-1&gt;Pathology&lt;/abbr-1&gt;&lt;/periodical&gt;&lt;pages&gt;659-666&lt;/pages&gt;&lt;volume&gt;47&lt;/volume&gt;&lt;number&gt;7&lt;/number&gt;&lt;dates&gt;&lt;year&gt;2015&lt;/year&gt;&lt;/dates&gt;&lt;isbn&gt;0031-3025&lt;/isbn&gt;&lt;urls&gt;&lt;/urls&gt;&lt;custom4&gt;LUCY&amp;apos;S REFERENCES&lt;/custom4&gt;&lt;/record&gt;&lt;/Cite&gt;&lt;/EndNote&gt;</w:instrText>
            </w:r>
            <w:r w:rsidR="006F7FD7">
              <w:rPr>
                <w:rFonts w:cs="Times New Roman"/>
                <w:noProof/>
                <w:sz w:val="20"/>
                <w:szCs w:val="20"/>
                <w:lang w:eastAsia="en-GB"/>
              </w:rPr>
              <w:fldChar w:fldCharType="separate"/>
            </w:r>
            <w:r w:rsidR="00055E4F" w:rsidRPr="00055E4F">
              <w:rPr>
                <w:rFonts w:cs="Times New Roman"/>
                <w:noProof/>
                <w:sz w:val="20"/>
                <w:szCs w:val="20"/>
                <w:vertAlign w:val="superscript"/>
                <w:lang w:eastAsia="en-GB"/>
              </w:rPr>
              <w:t>245</w:t>
            </w:r>
            <w:r w:rsidR="006F7FD7">
              <w:rPr>
                <w:rFonts w:cs="Times New Roman"/>
                <w:noProof/>
                <w:sz w:val="20"/>
                <w:szCs w:val="20"/>
                <w:lang w:eastAsia="en-GB"/>
              </w:rPr>
              <w:fldChar w:fldCharType="end"/>
            </w:r>
          </w:p>
        </w:tc>
        <w:tc>
          <w:tcPr>
            <w:tcW w:w="3022" w:type="dxa"/>
            <w:shd w:val="clear" w:color="auto" w:fill="auto"/>
          </w:tcPr>
          <w:p w14:paraId="674435A6" w14:textId="7FA17F3F" w:rsidR="0051552C" w:rsidRPr="00425275" w:rsidRDefault="0051552C" w:rsidP="00500BB3">
            <w:pPr>
              <w:pStyle w:val="table"/>
              <w:rPr>
                <w:rFonts w:cs="Times New Roman"/>
                <w:sz w:val="20"/>
                <w:szCs w:val="20"/>
              </w:rPr>
            </w:pPr>
            <w:r w:rsidRPr="00425275">
              <w:rPr>
                <w:rFonts w:cs="Times New Roman"/>
                <w:noProof/>
                <w:sz w:val="20"/>
                <w:szCs w:val="20"/>
              </w:rPr>
              <w:t>Sethi, Kozin et al. 2014</w:t>
            </w:r>
            <w:r w:rsidR="006F7FD7">
              <w:rPr>
                <w:rFonts w:cs="Times New Roman"/>
                <w:sz w:val="20"/>
                <w:szCs w:val="20"/>
              </w:rPr>
              <w:fldChar w:fldCharType="begin"/>
            </w:r>
            <w:r w:rsidR="00500BB3">
              <w:rPr>
                <w:rFonts w:cs="Times New Roman"/>
                <w:sz w:val="20"/>
                <w:szCs w:val="20"/>
              </w:rPr>
              <w:instrText xml:space="preserve"> ADDIN EN.CITE &lt;EndNote&gt;&lt;Cite&gt;&lt;Author&gt;Sethi&lt;/Author&gt;&lt;Year&gt;2014&lt;/Year&gt;&lt;RecNum&gt;3552&lt;/RecNum&gt;&lt;DisplayText&gt;&lt;style face="superscript"&gt;235&lt;/style&gt;&lt;/DisplayText&gt;&lt;record&gt;&lt;rec-number&gt;3552&lt;/rec-number&gt;&lt;foreign-keys&gt;&lt;key app="EN" db-id="dwaevxvazfs2f3ewvzmxrd0k0wasw55p2z2w" timestamp="1579875628"&gt;3552&lt;/key&gt;&lt;/foreign-keys&gt;&lt;ref-type name="Journal Article"&gt;17&lt;/ref-type&gt;&lt;contributors&gt;&lt;authors&gt;&lt;author&gt;Sethi, Roshan&lt;/author&gt;&lt;author&gt;Kozin, Elliott&lt;/author&gt;&lt;author&gt;Remenschneider, Aaron&lt;/author&gt;&lt;author&gt;Meier, Josh&lt;/author&gt;&lt;author&gt;VanderLaan, Paul&lt;/author&gt;&lt;author&gt;Faquin, William&lt;/author&gt;&lt;author&gt;Deschler, Daniel&lt;/author&gt;&lt;author&gt;Frankenthaler, Robert&lt;/author&gt;&lt;/authors&gt;&lt;/contributors&gt;&lt;titles&gt;&lt;title&gt;Mammary analogue secretory carcinoma: update on a new diagnosis of salivary gland malignancy&lt;/title&gt;&lt;secondary-title&gt;The Laryngoscope&lt;/secondary-title&gt;&lt;/titles&gt;&lt;periodical&gt;&lt;full-title&gt;The Laryngoscope&lt;/full-title&gt;&lt;abbr-1&gt;Laryngoscope&lt;/abbr-1&gt;&lt;/periodical&gt;&lt;pages&gt;188-195&lt;/pages&gt;&lt;volume&gt;124&lt;/volume&gt;&lt;number&gt;1&lt;/number&gt;&lt;dates&gt;&lt;year&gt;2014&lt;/year&gt;&lt;/dates&gt;&lt;isbn&gt;0023-852X&lt;/isbn&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235</w:t>
            </w:r>
            <w:r w:rsidR="006F7FD7">
              <w:rPr>
                <w:rFonts w:cs="Times New Roman"/>
                <w:sz w:val="20"/>
                <w:szCs w:val="20"/>
              </w:rPr>
              <w:fldChar w:fldCharType="end"/>
            </w:r>
          </w:p>
        </w:tc>
      </w:tr>
      <w:tr w:rsidR="0051552C" w:rsidRPr="00425275" w14:paraId="5AFD1648" w14:textId="77777777" w:rsidTr="0051552C">
        <w:trPr>
          <w:trHeight w:val="127"/>
        </w:trPr>
        <w:tc>
          <w:tcPr>
            <w:tcW w:w="2835" w:type="dxa"/>
            <w:shd w:val="clear" w:color="auto" w:fill="FFFFFF" w:themeFill="background1"/>
          </w:tcPr>
          <w:p w14:paraId="0D817B90" w14:textId="77777777" w:rsidR="0051552C" w:rsidRPr="00425275" w:rsidRDefault="0051552C" w:rsidP="0051552C">
            <w:pPr>
              <w:spacing w:before="0" w:after="0" w:line="276" w:lineRule="auto"/>
              <w:rPr>
                <w:bCs/>
                <w:sz w:val="20"/>
              </w:rPr>
            </w:pPr>
            <w:r w:rsidRPr="00425275">
              <w:rPr>
                <w:bCs/>
                <w:sz w:val="20"/>
              </w:rPr>
              <w:t>Melanoma</w:t>
            </w:r>
          </w:p>
        </w:tc>
        <w:tc>
          <w:tcPr>
            <w:tcW w:w="3402" w:type="dxa"/>
            <w:shd w:val="clear" w:color="auto" w:fill="auto"/>
          </w:tcPr>
          <w:p w14:paraId="3B6DFFEE" w14:textId="306FE067" w:rsidR="0051552C" w:rsidRPr="00425275" w:rsidRDefault="0051552C" w:rsidP="004D5B2B">
            <w:pPr>
              <w:pStyle w:val="table"/>
              <w:rPr>
                <w:rFonts w:cs="Times New Roman"/>
                <w:sz w:val="20"/>
                <w:szCs w:val="20"/>
                <w:lang w:eastAsia="en-GB"/>
              </w:rPr>
            </w:pPr>
            <w:r w:rsidRPr="00425275">
              <w:rPr>
                <w:rFonts w:cs="Times New Roman"/>
                <w:noProof/>
                <w:sz w:val="20"/>
                <w:szCs w:val="20"/>
                <w:lang w:eastAsia="en-GB"/>
              </w:rPr>
              <w:t>O</w:t>
            </w:r>
            <w:r w:rsidR="00A11F90">
              <w:rPr>
                <w:rFonts w:cs="Times New Roman"/>
                <w:noProof/>
                <w:sz w:val="20"/>
                <w:szCs w:val="20"/>
                <w:lang w:eastAsia="en-GB"/>
              </w:rPr>
              <w:t>kamura, Boichard et al. 2018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&lt;EndNote&gt;&lt;Cite&gt;&lt;Author&gt;Okamura&lt;/Author&gt;&lt;Year&gt;2018&lt;/Year&gt;&lt;RecNum&gt;3547&lt;/RecNum&gt;&lt;DisplayText&gt;&lt;style face="superscript"&gt;172&lt;/style&gt;&lt;/DisplayText&gt;&lt;record&gt;&lt;rec-number&gt;3547&lt;/rec-number&gt;&lt;foreign-keys&gt;&lt;key app="EN" db-id="dwaevxvazfs2f3ewvzmxrd0k0wasw55p2z2w" timestamp="1579875628"&gt;3547&lt;/key&gt;&lt;/foreign-keys&gt;&lt;ref-type name="Journal Article"&gt;17&lt;/ref-type&gt;&lt;contributors&gt;&lt;authors&gt;&lt;author&gt;Okamura, R.&lt;/author&gt;&lt;author&gt;Boichard, A.&lt;/author&gt;&lt;author&gt;Kato, S.&lt;/author&gt;&lt;author&gt;Sicklick, J.K.&lt;/author&gt;&lt;author&gt;Bazhenova, L.&lt;/author&gt;&lt;author&gt;Kurzrock, R.&lt;/author&gt;&lt;/authors&gt;&lt;/contributors&gt;&lt;titles&gt;&lt;title&gt;Analysis of NTRK alterations in pan-cancer adult and pediatric malignancies: implications for NTRK-targeted therapeutics&lt;/title&gt;&lt;secondary-title&gt;JCO Precision Oncology&lt;/secondary-title&gt;&lt;alt-title&gt;JCO Precis Oncol&lt;/alt-title&gt;&lt;/titles&gt;&lt;periodical&gt;&lt;full-title&gt;JCO Precision Oncology&lt;/full-title&gt;&lt;/periodical&gt;&lt;volume&gt;2018&lt;/volume&gt;&lt;edition&gt;2018/11/15&lt;/edition&gt;&lt;dates&gt;&lt;year&gt;2018&lt;/year&gt;&lt;/dates&gt;&lt;isbn&gt;2473-4284&lt;/isbn&gt;&lt;accession-num&gt;30637364&lt;/accession-num&gt;&lt;urls&gt;&lt;/urls&gt;&lt;custom4&gt;LUCY&amp;apos;S REFERENCES&lt;/custom4&gt;&lt;electronic-resource-num&gt;10.1200/PO.18.00183&lt;/electronic-resource-num&gt;&lt;remote-database-name&gt;PubMed&lt;/remote-database-name&gt;&lt;language&gt;eng&lt;/language&gt;&lt;/record&gt;&lt;/Cite&gt;&lt;/EndNote&gt;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172</w:t>
            </w:r>
            <w:r w:rsidR="006F7FD7">
              <w:rPr>
                <w:rFonts w:cs="Times New Roman"/>
                <w:noProof/>
                <w:sz w:val="20"/>
                <w:szCs w:val="20"/>
                <w:lang w:eastAsia="en-GB"/>
              </w:rPr>
              <w:fldChar w:fldCharType="end"/>
            </w:r>
          </w:p>
        </w:tc>
        <w:tc>
          <w:tcPr>
            <w:tcW w:w="4253" w:type="dxa"/>
            <w:shd w:val="clear" w:color="auto" w:fill="auto"/>
          </w:tcPr>
          <w:p w14:paraId="06002548" w14:textId="07F28FA4" w:rsidR="0051552C" w:rsidRPr="00425275" w:rsidRDefault="00A11F90"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4EA2EA23" w14:textId="7F7D45AA" w:rsidR="0051552C" w:rsidRPr="00425275" w:rsidRDefault="0051552C" w:rsidP="00055E4F">
            <w:pPr>
              <w:pStyle w:val="table"/>
              <w:rPr>
                <w:rFonts w:cs="Times New Roman"/>
                <w:sz w:val="20"/>
                <w:szCs w:val="20"/>
                <w:lang w:eastAsia="en-GB"/>
              </w:rPr>
            </w:pPr>
            <w:r w:rsidRPr="00425275">
              <w:rPr>
                <w:rFonts w:cs="Times New Roman"/>
                <w:sz w:val="20"/>
                <w:szCs w:val="20"/>
                <w:lang w:eastAsia="en-GB"/>
              </w:rPr>
              <w:t xml:space="preserve">Cancer Research </w:t>
            </w:r>
            <w:r w:rsidRPr="00425275">
              <w:rPr>
                <w:rFonts w:cs="Times New Roman"/>
                <w:noProof/>
                <w:sz w:val="20"/>
                <w:szCs w:val="20"/>
                <w:lang w:eastAsia="en-GB"/>
              </w:rPr>
              <w:t>UK</w:t>
            </w:r>
            <w:r w:rsidRPr="00425275">
              <w:rPr>
                <w:rFonts w:cs="Times New Roman"/>
                <w:sz w:val="20"/>
                <w:szCs w:val="20"/>
                <w:lang w:eastAsia="en-GB"/>
              </w:rPr>
              <w:t xml:space="preserve">: </w:t>
            </w:r>
            <w:r w:rsidRPr="00425275">
              <w:rPr>
                <w:rFonts w:cs="Times New Roman"/>
                <w:sz w:val="20"/>
                <w:szCs w:val="20"/>
              </w:rPr>
              <w:t>Melanoma skin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UK&lt;/Author&gt;&lt;Year&gt;2016&lt;/Year&gt;&lt;RecNum&gt;3568&lt;/RecNum&gt;&lt;DisplayText&gt;&lt;style face="superscript"&gt;246&lt;/style&gt;&lt;/DisplayText&gt;&lt;record&gt;&lt;rec-number&gt;3568&lt;/rec-number&gt;&lt;foreign-keys&gt;&lt;key app="EN" db-id="dwaevxvazfs2f3ewvzmxrd0k0wasw55p2z2w" timestamp="1579875628"&gt;3568&lt;/key&gt;&lt;/foreign-keys&gt;&lt;ref-type name="Web Page"&gt;12&lt;/ref-type&gt;&lt;contributors&gt;&lt;authors&gt;&lt;author&gt;Cancer Research UK,&lt;/author&gt;&lt;/authors&gt;&lt;secondary-authors&gt;&lt;author&gt;Cancer Research UK&lt;/author&gt;&lt;/secondary-authors&gt;&lt;/contributors&gt;&lt;titles&gt;&lt;title&gt;Melanoma skin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UK&lt;/publisher&gt;&lt;urls&gt;&lt;related-urls&gt;&lt;url&gt;https://www.cancerresearchuk.org/health-professional/cancer-statistics/statistics-by-cancer-type/melanoma-skin-cancer/incidence&lt;/url&gt;&lt;/related-urls&gt;&lt;/urls&gt;&lt;custom4&gt;LUCY&amp;apos;S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246</w:t>
            </w:r>
            <w:r w:rsidR="006F7FD7">
              <w:rPr>
                <w:rFonts w:cs="Times New Roman"/>
                <w:sz w:val="20"/>
                <w:szCs w:val="20"/>
              </w:rPr>
              <w:fldChar w:fldCharType="end"/>
            </w:r>
          </w:p>
        </w:tc>
      </w:tr>
      <w:tr w:rsidR="0051552C" w:rsidRPr="00425275" w14:paraId="74ECECCC" w14:textId="77777777" w:rsidTr="0051552C">
        <w:trPr>
          <w:trHeight w:val="127"/>
        </w:trPr>
        <w:tc>
          <w:tcPr>
            <w:tcW w:w="2835" w:type="dxa"/>
            <w:shd w:val="clear" w:color="auto" w:fill="FFFFFF" w:themeFill="background1"/>
          </w:tcPr>
          <w:p w14:paraId="3A4CB2A1" w14:textId="77777777" w:rsidR="0051552C" w:rsidRPr="00425275" w:rsidRDefault="0051552C" w:rsidP="0051552C">
            <w:pPr>
              <w:spacing w:before="0" w:after="0" w:line="276" w:lineRule="auto"/>
              <w:rPr>
                <w:bCs/>
                <w:sz w:val="20"/>
              </w:rPr>
            </w:pPr>
            <w:r w:rsidRPr="00425275">
              <w:rPr>
                <w:bCs/>
                <w:sz w:val="20"/>
              </w:rPr>
              <w:t>NSCLC (NOS)</w:t>
            </w:r>
          </w:p>
        </w:tc>
        <w:tc>
          <w:tcPr>
            <w:tcW w:w="3402" w:type="dxa"/>
            <w:shd w:val="clear" w:color="auto" w:fill="auto"/>
          </w:tcPr>
          <w:p w14:paraId="2B6DA89A" w14:textId="20A1195F"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28E9D4D1" w14:textId="3E1794FF" w:rsidR="0051552C" w:rsidRPr="00425275" w:rsidRDefault="00A11F90" w:rsidP="00CB2733">
            <w:pPr>
              <w:pStyle w:val="table"/>
              <w:rPr>
                <w:rFonts w:cs="Times New Roman"/>
                <w:sz w:val="20"/>
                <w:szCs w:val="20"/>
                <w:lang w:eastAsia="en-GB"/>
              </w:rPr>
            </w:pPr>
            <w:r>
              <w:rPr>
                <w:rFonts w:cs="Times New Roman"/>
                <w:sz w:val="20"/>
                <w:szCs w:val="20"/>
                <w:lang w:eastAsia="en-GB"/>
              </w:rPr>
              <w:t>National Lung Cancer Audit</w:t>
            </w:r>
            <w:r w:rsidR="006F7FD7">
              <w:rPr>
                <w:rFonts w:cs="Times New Roman"/>
                <w:sz w:val="20"/>
                <w:szCs w:val="20"/>
                <w:lang w:eastAsia="en-GB"/>
              </w:rPr>
              <w:fldChar w:fldCharType="begin"/>
            </w:r>
            <w:r w:rsidR="00CB2733">
              <w:rPr>
                <w:rFonts w:cs="Times New Roman"/>
                <w:sz w:val="20"/>
                <w:szCs w:val="20"/>
                <w:lang w:eastAsia="en-GB"/>
              </w:rPr>
              <w:instrText xml:space="preserve"> ADDIN EN.CITE &lt;EndNote&gt;&lt;Cite&gt;&lt;Author&gt;Care Quality Improvement Department&lt;/Author&gt;&lt;Year&gt;2019&lt;/Year&gt;&lt;RecNum&gt;3528&lt;/RecNum&gt;&lt;DisplayText&gt;&lt;style face="superscript"&gt;231&lt;/style&gt;&lt;/DisplayText&gt;&lt;record&gt;&lt;rec-number&gt;3528&lt;/rec-number&gt;&lt;foreign-keys&gt;&lt;key app="EN" db-id="dwaevxvazfs2f3ewvzmxrd0k0wasw55p2z2w" timestamp="1579875628"&gt;3528&lt;/key&gt;&lt;/foreign-keys&gt;&lt;ref-type name="Generic"&gt;13&lt;/ref-type&gt;&lt;contributors&gt;&lt;authors&gt;&lt;author&gt;Care Quality Improvement Department, Royal College of Physicians&lt;/author&gt;&lt;/authors&gt;&lt;secondary-authors&gt;&lt;author&gt;Royal College of Physicians&lt;/author&gt;&lt;/secondary-authors&gt;&lt;/contributors&gt;&lt;titles&gt;&lt;title&gt;National Lung Cancer Audit annual report 2018 (for the audit period 2017)&lt;/title&gt;&lt;/titles&gt;&lt;dates&gt;&lt;year&gt;2019&lt;/year&gt;&lt;/dates&gt;&lt;pub-location&gt;London, UK&lt;/pub-location&gt;&lt;publisher&gt;Healthcare Quality Improvement Partnership (HQIP) &lt;/publisher&gt;&lt;urls&gt;&lt;/urls&gt;&lt;custom4&gt;LUCY&amp;apos;S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231</w:t>
            </w:r>
            <w:r w:rsidR="006F7FD7">
              <w:rPr>
                <w:rFonts w:cs="Times New Roman"/>
                <w:sz w:val="20"/>
                <w:szCs w:val="20"/>
                <w:lang w:eastAsia="en-GB"/>
              </w:rPr>
              <w:fldChar w:fldCharType="end"/>
            </w:r>
          </w:p>
        </w:tc>
        <w:tc>
          <w:tcPr>
            <w:tcW w:w="3022" w:type="dxa"/>
            <w:shd w:val="clear" w:color="auto" w:fill="auto"/>
          </w:tcPr>
          <w:p w14:paraId="2D962A99" w14:textId="29BBBD2D" w:rsidR="0051552C" w:rsidRPr="00425275" w:rsidRDefault="0051552C" w:rsidP="00CB2733">
            <w:pPr>
              <w:pStyle w:val="table"/>
              <w:rPr>
                <w:rFonts w:cs="Times New Roman"/>
                <w:sz w:val="20"/>
                <w:szCs w:val="20"/>
                <w:lang w:eastAsia="en-GB"/>
              </w:rPr>
            </w:pPr>
            <w:r w:rsidRPr="00425275">
              <w:rPr>
                <w:rFonts w:cs="Times New Roman"/>
                <w:sz w:val="20"/>
                <w:szCs w:val="20"/>
                <w:lang w:eastAsia="en-GB"/>
              </w:rPr>
              <w:t>National Lung Cancer Audit</w:t>
            </w:r>
            <w:r w:rsidR="006F7FD7">
              <w:rPr>
                <w:rFonts w:cs="Times New Roman"/>
                <w:sz w:val="20"/>
                <w:szCs w:val="20"/>
                <w:lang w:eastAsia="en-GB"/>
              </w:rPr>
              <w:fldChar w:fldCharType="begin"/>
            </w:r>
            <w:r w:rsidR="00CB2733">
              <w:rPr>
                <w:rFonts w:cs="Times New Roman"/>
                <w:sz w:val="20"/>
                <w:szCs w:val="20"/>
                <w:lang w:eastAsia="en-GB"/>
              </w:rPr>
              <w:instrText xml:space="preserve"> ADDIN EN.CITE &lt;EndNote&gt;&lt;Cite&gt;&lt;Author&gt;Care Quality Improvement Department&lt;/Author&gt;&lt;Year&gt;2019&lt;/Year&gt;&lt;RecNum&gt;3528&lt;/RecNum&gt;&lt;DisplayText&gt;&lt;style face="superscript"&gt;231&lt;/style&gt;&lt;/DisplayText&gt;&lt;record&gt;&lt;rec-number&gt;3528&lt;/rec-number&gt;&lt;foreign-keys&gt;&lt;key app="EN" db-id="dwaevxvazfs2f3ewvzmxrd0k0wasw55p2z2w" timestamp="1579875628"&gt;3528&lt;/key&gt;&lt;/foreign-keys&gt;&lt;ref-type name="Generic"&gt;13&lt;/ref-type&gt;&lt;contributors&gt;&lt;authors&gt;&lt;author&gt;Care Quality Improvement Department, Royal College of Physicians&lt;/author&gt;&lt;/authors&gt;&lt;secondary-authors&gt;&lt;author&gt;Royal College of Physicians&lt;/author&gt;&lt;/secondary-authors&gt;&lt;/contributors&gt;&lt;titles&gt;&lt;title&gt;National Lung Cancer Audit annual report 2018 (for the audit period 2017)&lt;/title&gt;&lt;/titles&gt;&lt;dates&gt;&lt;year&gt;2019&lt;/year&gt;&lt;/dates&gt;&lt;pub-location&gt;London, UK&lt;/pub-location&gt;&lt;publisher&gt;Healthcare Quality Improvement Partnership (HQIP) &lt;/publisher&gt;&lt;urls&gt;&lt;/urls&gt;&lt;custom4&gt;LUCY&amp;apos;S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231</w:t>
            </w:r>
            <w:r w:rsidR="006F7FD7">
              <w:rPr>
                <w:rFonts w:cs="Times New Roman"/>
                <w:sz w:val="20"/>
                <w:szCs w:val="20"/>
                <w:lang w:eastAsia="en-GB"/>
              </w:rPr>
              <w:fldChar w:fldCharType="end"/>
            </w:r>
          </w:p>
        </w:tc>
      </w:tr>
      <w:tr w:rsidR="0051552C" w:rsidRPr="00425275" w14:paraId="7A8927BA" w14:textId="77777777" w:rsidTr="0051552C">
        <w:trPr>
          <w:trHeight w:val="127"/>
        </w:trPr>
        <w:tc>
          <w:tcPr>
            <w:tcW w:w="2835" w:type="dxa"/>
            <w:shd w:val="clear" w:color="auto" w:fill="FFFFFF" w:themeFill="background1"/>
          </w:tcPr>
          <w:p w14:paraId="4045374F" w14:textId="00093EA8" w:rsidR="0051552C" w:rsidRPr="00425275" w:rsidRDefault="0051552C" w:rsidP="002F39A6">
            <w:pPr>
              <w:spacing w:before="0" w:after="0" w:line="276" w:lineRule="auto"/>
              <w:rPr>
                <w:bCs/>
                <w:sz w:val="20"/>
              </w:rPr>
            </w:pPr>
            <w:r w:rsidRPr="00425275">
              <w:rPr>
                <w:bCs/>
                <w:sz w:val="20"/>
              </w:rPr>
              <w:t>Pancreatic</w:t>
            </w:r>
            <w:r w:rsidR="002F39A6">
              <w:rPr>
                <w:bCs/>
                <w:sz w:val="20"/>
              </w:rPr>
              <w:t xml:space="preserve"> Cancer</w:t>
            </w:r>
          </w:p>
        </w:tc>
        <w:tc>
          <w:tcPr>
            <w:tcW w:w="3402" w:type="dxa"/>
            <w:shd w:val="clear" w:color="auto" w:fill="auto"/>
          </w:tcPr>
          <w:p w14:paraId="3A67AC70" w14:textId="58789757" w:rsidR="0051552C" w:rsidRPr="00425275" w:rsidRDefault="00A11F90" w:rsidP="004D5B2B">
            <w:pPr>
              <w:pStyle w:val="table"/>
              <w:rPr>
                <w:rFonts w:cs="Times New Roman"/>
                <w:sz w:val="20"/>
                <w:szCs w:val="20"/>
                <w:lang w:eastAsia="en-GB"/>
              </w:rPr>
            </w:pPr>
            <w:r w:rsidRPr="00425275">
              <w:rPr>
                <w:rFonts w:cs="Times New Roman"/>
                <w:noProof/>
                <w:sz w:val="20"/>
                <w:szCs w:val="20"/>
                <w:lang w:eastAsia="en-GB"/>
              </w:rPr>
              <w:t>O</w:t>
            </w:r>
            <w:r>
              <w:rPr>
                <w:rFonts w:cs="Times New Roman"/>
                <w:noProof/>
                <w:sz w:val="20"/>
                <w:szCs w:val="20"/>
                <w:lang w:eastAsia="en-GB"/>
              </w:rPr>
              <w:t>kamura, Boichard et al. 2018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&lt;EndNote&gt;&lt;Cite&gt;&lt;Author&gt;Okamura&lt;/Author&gt;&lt;Year&gt;2018&lt;/Year&gt;&lt;RecNum&gt;3547&lt;/RecNum&gt;&lt;DisplayText&gt;&lt;style face="superscript"&gt;172&lt;/style&gt;&lt;/DisplayText&gt;&lt;record&gt;&lt;rec-number&gt;3547&lt;/rec-number&gt;&lt;foreign-keys&gt;&lt;key app="EN" db-id="dwaevxvazfs2f3ewvzmxrd0k0wasw55p2z2w" timestamp="1579875628"&gt;3547&lt;/key&gt;&lt;/foreign-keys&gt;&lt;ref-type name="Journal Article"&gt;17&lt;/ref-type&gt;&lt;contributors&gt;&lt;authors&gt;&lt;author&gt;Okamura, R.&lt;/author&gt;&lt;author&gt;Boichard, A.&lt;/author&gt;&lt;author&gt;Kato, S.&lt;/author&gt;&lt;author&gt;Sicklick, J.K.&lt;/author&gt;&lt;author&gt;Bazhenova, L.&lt;/author&gt;&lt;author&gt;Kurzrock, R.&lt;/author&gt;&lt;/authors&gt;&lt;/contributors&gt;&lt;titles&gt;&lt;title&gt;Analysis of NTRK alterations in pan-cancer adult and pediatric malignancies: implications for NTRK-targeted therapeutics&lt;/title&gt;&lt;secondary-title&gt;JCO Precision Oncology&lt;/secondary-title&gt;&lt;alt-title&gt;JCO Precis Oncol&lt;/alt-title&gt;&lt;/titles&gt;&lt;periodical&gt;&lt;full-title&gt;JCO Precision Oncology&lt;/full-title&gt;&lt;/periodical&gt;&lt;volume&gt;2018&lt;/volume&gt;&lt;edition&gt;2018/11/15&lt;/edition&gt;&lt;dates&gt;&lt;year&gt;2018&lt;/year&gt;&lt;/dates&gt;&lt;isbn&gt;2473-4284&lt;/isbn&gt;&lt;accession-num&gt;30637364&lt;/accession-num&gt;&lt;urls&gt;&lt;/urls&gt;&lt;custom4&gt;LUCY&amp;apos;S REFERENCES&lt;/custom4&gt;&lt;electronic-resource-num&gt;10.1200/PO.18.00183&lt;/electronic-resource-num&gt;&lt;remote-database-name&gt;PubMed&lt;/remote-database-name&gt;&lt;language&gt;eng&lt;/language&gt;&lt;/record&gt;&lt;/Cite&gt;&lt;/EndNote&gt;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172</w:t>
            </w:r>
            <w:r w:rsidR="006F7FD7">
              <w:rPr>
                <w:rFonts w:cs="Times New Roman"/>
                <w:noProof/>
                <w:sz w:val="20"/>
                <w:szCs w:val="20"/>
                <w:lang w:eastAsia="en-GB"/>
              </w:rPr>
              <w:fldChar w:fldCharType="end"/>
            </w:r>
          </w:p>
        </w:tc>
        <w:tc>
          <w:tcPr>
            <w:tcW w:w="4253" w:type="dxa"/>
            <w:shd w:val="clear" w:color="auto" w:fill="auto"/>
          </w:tcPr>
          <w:p w14:paraId="364F1D41" w14:textId="37A7CEAB" w:rsidR="0051552C" w:rsidRPr="00425275" w:rsidRDefault="00A11F90" w:rsidP="00055E4F">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055E4F">
              <w:rPr>
                <w:rFonts w:cs="Times New Roman"/>
                <w:sz w:val="20"/>
                <w:szCs w:val="20"/>
              </w:rPr>
              <w:instrText xml:space="preserve"> ADDIN EN.CITE &lt;EndNote&gt;&lt;Cite&gt;&lt;Author&gt;Office for National Statistics&lt;/Author&gt;&lt;Year&gt;2019&lt;/Year&gt;&lt;RecNum&gt;3558&lt;/RecNum&gt;&lt;DisplayText&gt;&lt;style face="superscript"&gt;227, 247&lt;/style&gt;&lt;/DisplayText&gt;&lt;record&gt;&lt;rec-number&gt;3558&lt;/rec-number&gt;&lt;foreign-keys&gt;&lt;key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REFERENCES&lt;/custom4&gt;&lt;/record&gt;&lt;/Cite&gt;&lt;Cite&gt;&lt;Author&gt;UK&lt;/Author&gt;&lt;Year&gt;2018&lt;/Year&gt;&lt;RecNum&gt;3577&lt;/RecNum&gt;&lt;record&gt;&lt;rec-number&gt;3577&lt;/rec-number&gt;&lt;foreign-keys&gt;&lt;key app="EN" db-id="dwaevxvazfs2f3ewvzmxrd0k0wasw55p2z2w" timestamp="1579875628"&gt;3577&lt;/key&gt;&lt;/foreign-keys&gt;&lt;ref-type name="Web Page"&gt;12&lt;/ref-type&gt;&lt;contributors&gt;&lt;authors&gt;&lt;author&gt;Pancreatic Cancer UK&lt;/author&gt;&lt;/authors&gt;&lt;secondary-authors&gt;&lt;author&gt;Pancreatic Cancer UK&lt;/author&gt;&lt;/secondary-authors&gt;&lt;/contributors&gt;&lt;titles&gt;&lt;title&gt;Types of Pancreatic Cancer&lt;/title&gt;&lt;/titles&gt;&lt;volume&gt;2019&lt;/volume&gt;&lt;number&gt;16th December&lt;/number&gt;&lt;dates&gt;&lt;year&gt;2018&lt;/year&gt;&lt;/dates&gt;&lt;urls&gt;&lt;related-urls&gt;&lt;url&gt;https://www.pancreaticcancer.org.uk/information-and-support/facts-about-pancreatic-cancer/types-of-pancreatic-cancer/&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227, 247</w:t>
            </w:r>
            <w:r w:rsidR="006F7FD7">
              <w:rPr>
                <w:rFonts w:cs="Times New Roman"/>
                <w:sz w:val="20"/>
                <w:szCs w:val="20"/>
              </w:rPr>
              <w:fldChar w:fldCharType="end"/>
            </w:r>
          </w:p>
        </w:tc>
        <w:tc>
          <w:tcPr>
            <w:tcW w:w="3022" w:type="dxa"/>
            <w:shd w:val="clear" w:color="auto" w:fill="auto"/>
          </w:tcPr>
          <w:p w14:paraId="142214EB" w14:textId="3BB042EC" w:rsidR="0051552C" w:rsidRPr="00425275" w:rsidRDefault="0051552C" w:rsidP="00055E4F">
            <w:pPr>
              <w:pStyle w:val="table"/>
              <w:rPr>
                <w:rFonts w:cs="Times New Roman"/>
                <w:sz w:val="20"/>
                <w:szCs w:val="20"/>
              </w:rPr>
            </w:pPr>
            <w:r w:rsidRPr="00425275">
              <w:rPr>
                <w:rFonts w:cs="Times New Roman"/>
                <w:sz w:val="20"/>
                <w:szCs w:val="20"/>
                <w:lang w:eastAsia="en-GB"/>
              </w:rPr>
              <w:t xml:space="preserve">Cancer Research </w:t>
            </w:r>
            <w:r w:rsidRPr="00425275">
              <w:rPr>
                <w:rFonts w:cs="Times New Roman"/>
                <w:noProof/>
                <w:sz w:val="20"/>
                <w:szCs w:val="20"/>
                <w:lang w:eastAsia="en-GB"/>
              </w:rPr>
              <w:t>(UK)</w:t>
            </w:r>
            <w:r w:rsidRPr="00425275">
              <w:rPr>
                <w:rFonts w:cs="Times New Roman"/>
                <w:sz w:val="20"/>
                <w:szCs w:val="20"/>
                <w:lang w:eastAsia="en-GB"/>
              </w:rPr>
              <w:t xml:space="preserve">: </w:t>
            </w:r>
            <w:r w:rsidRPr="00425275">
              <w:rPr>
                <w:rFonts w:cs="Times New Roman"/>
                <w:sz w:val="20"/>
                <w:szCs w:val="20"/>
              </w:rPr>
              <w:t>Pancreatic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UK&lt;/Author&gt;&lt;Year&gt;2016&lt;/Year&gt;&lt;RecNum&gt;3570&lt;/RecNum&gt;&lt;DisplayText&gt;&lt;style face="superscript"&gt;248&lt;/style&gt;&lt;/DisplayText&gt;&lt;record&gt;&lt;rec-number&gt;3570&lt;/rec-number&gt;&lt;foreign-keys&gt;&lt;key app="EN" db-id="dwaevxvazfs2f3ewvzmxrd0k0wasw55p2z2w" timestamp="1579875628"&gt;3570&lt;/key&gt;&lt;/foreign-keys&gt;&lt;ref-type name="Web Page"&gt;12&lt;/ref-type&gt;&lt;contributors&gt;&lt;authors&gt;&lt;author&gt;Cancer Research UK,&lt;/author&gt;&lt;/authors&gt;&lt;secondary-authors&gt;&lt;author&gt;Cancer Research UK&lt;/author&gt;&lt;/secondary-authors&gt;&lt;/contributors&gt;&lt;titles&gt;&lt;title&gt;Pancreatic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UK&lt;/publisher&gt;&lt;urls&gt;&lt;related-urls&gt;&lt;url&gt;https://www.cancerresearchuk.org/health-professional/cancer-statistics/statistics-by-cancer-type/pancreatic-cancer/incidence#heading-Three &lt;/url&gt;&lt;/related-urls&gt;&lt;/urls&gt;&lt;custom4&gt;LUCY&amp;apos;S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248</w:t>
            </w:r>
            <w:r w:rsidR="006F7FD7">
              <w:rPr>
                <w:rFonts w:cs="Times New Roman"/>
                <w:sz w:val="20"/>
                <w:szCs w:val="20"/>
              </w:rPr>
              <w:fldChar w:fldCharType="end"/>
            </w:r>
          </w:p>
        </w:tc>
      </w:tr>
      <w:tr w:rsidR="0051552C" w:rsidRPr="00425275" w14:paraId="10E19609" w14:textId="77777777" w:rsidTr="0051552C">
        <w:trPr>
          <w:trHeight w:val="127"/>
        </w:trPr>
        <w:tc>
          <w:tcPr>
            <w:tcW w:w="2835" w:type="dxa"/>
            <w:shd w:val="clear" w:color="auto" w:fill="FFFFFF" w:themeFill="background1"/>
          </w:tcPr>
          <w:p w14:paraId="7AC5F8C9" w14:textId="77777777" w:rsidR="0051552C" w:rsidRPr="00425275" w:rsidRDefault="0051552C" w:rsidP="0051552C">
            <w:pPr>
              <w:spacing w:before="0" w:after="0" w:line="276" w:lineRule="auto"/>
              <w:rPr>
                <w:bCs/>
                <w:sz w:val="20"/>
              </w:rPr>
            </w:pPr>
            <w:r w:rsidRPr="00425275">
              <w:rPr>
                <w:bCs/>
                <w:sz w:val="20"/>
              </w:rPr>
              <w:t xml:space="preserve">Soft tissue sarcoma </w:t>
            </w:r>
          </w:p>
        </w:tc>
        <w:tc>
          <w:tcPr>
            <w:tcW w:w="3402" w:type="dxa"/>
            <w:shd w:val="clear" w:color="auto" w:fill="auto"/>
          </w:tcPr>
          <w:p w14:paraId="17E63EB8" w14:textId="6FCA9EB9"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7700CA85" w14:textId="60F9FA0C" w:rsidR="0051552C" w:rsidRPr="00425275" w:rsidRDefault="0051552C" w:rsidP="00055E4F">
            <w:pPr>
              <w:pStyle w:val="table"/>
              <w:rPr>
                <w:rFonts w:cs="Times New Roman"/>
                <w:sz w:val="20"/>
                <w:szCs w:val="20"/>
                <w:lang w:eastAsia="en-GB"/>
              </w:rPr>
            </w:pPr>
            <w:r w:rsidRPr="00425275">
              <w:rPr>
                <w:rFonts w:cs="Times New Roman"/>
                <w:sz w:val="20"/>
                <w:szCs w:val="20"/>
                <w:lang w:eastAsia="en-GB"/>
              </w:rPr>
              <w:t xml:space="preserve">Cancer Research </w:t>
            </w:r>
            <w:r w:rsidRPr="00425275">
              <w:rPr>
                <w:rFonts w:cs="Times New Roman"/>
                <w:noProof/>
                <w:sz w:val="20"/>
                <w:szCs w:val="20"/>
                <w:lang w:eastAsia="en-GB"/>
              </w:rPr>
              <w:t>UK</w:t>
            </w:r>
            <w:r w:rsidRPr="00425275">
              <w:rPr>
                <w:rFonts w:cs="Times New Roman"/>
                <w:sz w:val="20"/>
                <w:szCs w:val="20"/>
                <w:lang w:eastAsia="en-GB"/>
              </w:rPr>
              <w:t>: Soft Tissue Sarcoma Incidence Statistics</w:t>
            </w:r>
            <w:r w:rsidR="006F7FD7">
              <w:rPr>
                <w:rFonts w:cs="Times New Roman"/>
                <w:sz w:val="20"/>
                <w:szCs w:val="20"/>
                <w:lang w:eastAsia="en-GB"/>
              </w:rPr>
              <w:fldChar w:fldCharType="begin"/>
            </w:r>
            <w:r w:rsidR="00055E4F">
              <w:rPr>
                <w:rFonts w:cs="Times New Roman"/>
                <w:sz w:val="20"/>
                <w:szCs w:val="20"/>
                <w:lang w:eastAsia="en-GB"/>
              </w:rPr>
              <w:instrText xml:space="preserve"> ADDIN EN.CITE &lt;EndNote&gt;&lt;Cite&gt;&lt;Author&gt;Cancer Research UK&lt;/Author&gt;&lt;Year&gt;2010&lt;/Year&gt;&lt;RecNum&gt;3561&lt;/RecNum&gt;&lt;DisplayText&gt;&lt;style face="superscript"&gt;249&lt;/style&gt;&lt;/DisplayText&gt;&lt;record&gt;&lt;rec-number&gt;3561&lt;/rec-number&gt;&lt;foreign-keys&gt;&lt;key app="EN" db-id="dwaevxvazfs2f3ewvzmxrd0k0wasw55p2z2w" timestamp="1579875628"&gt;3561&lt;/key&gt;&lt;/foreign-keys&gt;&lt;ref-type name="Web Page"&gt;12&lt;/ref-type&gt;&lt;contributors&gt;&lt;authors&gt;&lt;author&gt;Cancer Research UK,&lt;/author&gt;&lt;/authors&gt;&lt;/contributors&gt;&lt;titles&gt;&lt;title&gt;Soft tissue sarcoma incidence statistics&lt;/title&gt;&lt;/titles&gt;&lt;volume&gt;2019&lt;/volume&gt;&lt;number&gt;27th February&lt;/number&gt;&lt;dates&gt;&lt;year&gt;2010&lt;/year&gt;&lt;/dates&gt;&lt;pub-location&gt;London&lt;/pub-location&gt;&lt;urls&gt;&lt;related-urls&gt;&lt;url&gt;https://www.cancerresearchuk.org/health-professional/cancer-statistics/statistics-by-cancer-type/soft-tissue-sarcoma/incidence#heading-Four&lt;/url&gt;&lt;/related-urls&gt;&lt;/urls&gt;&lt;custom4&gt;LUCY&amp;apos;S REFERENCES&lt;/custom4&gt;&lt;/record&gt;&lt;/Cite&gt;&lt;/EndNote&gt;</w:instrText>
            </w:r>
            <w:r w:rsidR="006F7FD7">
              <w:rPr>
                <w:rFonts w:cs="Times New Roman"/>
                <w:sz w:val="20"/>
                <w:szCs w:val="20"/>
                <w:lang w:eastAsia="en-GB"/>
              </w:rPr>
              <w:fldChar w:fldCharType="separate"/>
            </w:r>
            <w:r w:rsidR="00055E4F" w:rsidRPr="00055E4F">
              <w:rPr>
                <w:rFonts w:cs="Times New Roman"/>
                <w:noProof/>
                <w:sz w:val="20"/>
                <w:szCs w:val="20"/>
                <w:vertAlign w:val="superscript"/>
                <w:lang w:eastAsia="en-GB"/>
              </w:rPr>
              <w:t>249</w:t>
            </w:r>
            <w:r w:rsidR="006F7FD7">
              <w:rPr>
                <w:rFonts w:cs="Times New Roman"/>
                <w:sz w:val="20"/>
                <w:szCs w:val="20"/>
                <w:lang w:eastAsia="en-GB"/>
              </w:rPr>
              <w:fldChar w:fldCharType="end"/>
            </w:r>
          </w:p>
        </w:tc>
        <w:tc>
          <w:tcPr>
            <w:tcW w:w="3022" w:type="dxa"/>
            <w:shd w:val="clear" w:color="auto" w:fill="auto"/>
          </w:tcPr>
          <w:p w14:paraId="74663A90" w14:textId="70FA7832" w:rsidR="0051552C" w:rsidRPr="00425275" w:rsidRDefault="0051552C" w:rsidP="00055E4F">
            <w:pPr>
              <w:pStyle w:val="table"/>
              <w:rPr>
                <w:rFonts w:cs="Times New Roman"/>
                <w:sz w:val="20"/>
                <w:szCs w:val="20"/>
                <w:lang w:eastAsia="en-GB"/>
              </w:rPr>
            </w:pPr>
            <w:r w:rsidRPr="00425275">
              <w:rPr>
                <w:rFonts w:cs="Times New Roman"/>
                <w:sz w:val="20"/>
                <w:szCs w:val="20"/>
                <w:lang w:eastAsia="en-GB"/>
              </w:rPr>
              <w:t>American Cancer</w:t>
            </w:r>
            <w:r w:rsidRPr="00425275">
              <w:rPr>
                <w:rFonts w:cs="Times New Roman"/>
                <w:noProof/>
                <w:sz w:val="20"/>
                <w:szCs w:val="20"/>
                <w:lang w:eastAsia="en-GB"/>
              </w:rPr>
              <w:t xml:space="preserve"> Society 2017</w:t>
            </w:r>
            <w:r w:rsidR="006F7FD7">
              <w:rPr>
                <w:rFonts w:cs="Times New Roman"/>
                <w:sz w:val="20"/>
                <w:szCs w:val="20"/>
              </w:rPr>
              <w:fldChar w:fldCharType="begin"/>
            </w:r>
            <w:r w:rsidR="00055E4F">
              <w:rPr>
                <w:rFonts w:cs="Times New Roman"/>
                <w:sz w:val="20"/>
                <w:szCs w:val="20"/>
              </w:rPr>
              <w:instrText xml:space="preserve"> ADDIN EN.CITE &lt;EndNote&gt;&lt;Cite&gt;&lt;Author&gt;American Cancer Society&lt;/Author&gt;&lt;Year&gt;2017&lt;/Year&gt;&lt;RecNum&gt;3555&lt;/RecNum&gt;&lt;DisplayText&gt;&lt;style face="superscript"&gt;250&lt;/style&gt;&lt;/DisplayText&gt;&lt;record&gt;&lt;rec-number&gt;3555&lt;/rec-number&gt;&lt;foreign-keys&gt;&lt;key app="EN" db-id="dwaevxvazfs2f3ewvzmxrd0k0wasw55p2z2w" timestamp="1579875628"&gt;3555&lt;/key&gt;&lt;/foreign-keys&gt;&lt;ref-type name="Web Page"&gt;12&lt;/ref-type&gt;&lt;contributors&gt;&lt;authors&gt;&lt;author&gt;American Cancer Society,&lt;/author&gt;&lt;/authors&gt;&lt;/contributors&gt;&lt;titles&gt;&lt;title&gt;Cancer Facts and Figures&lt;/title&gt;&lt;/titles&gt;&lt;volume&gt;2020&lt;/volume&gt;&lt;number&gt;24th January&lt;/number&gt;&lt;dates&gt;&lt;year&gt;2017&lt;/year&gt;&lt;/dates&gt;&lt;pub-location&gt;Atlanta&lt;/pub-location&gt;&lt;urls&gt;&lt;related-urls&gt;&lt;url&gt;https://www.cancer.org/research/cancer-facts-statistics/all-cancer-facts-figures/cancer-facts-figures-2017.html&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250</w:t>
            </w:r>
            <w:r w:rsidR="006F7FD7">
              <w:rPr>
                <w:rFonts w:cs="Times New Roman"/>
                <w:sz w:val="20"/>
                <w:szCs w:val="20"/>
              </w:rPr>
              <w:fldChar w:fldCharType="end"/>
            </w:r>
          </w:p>
        </w:tc>
      </w:tr>
      <w:tr w:rsidR="0051552C" w:rsidRPr="00425275" w14:paraId="35036529" w14:textId="77777777" w:rsidTr="0051552C">
        <w:trPr>
          <w:trHeight w:val="127"/>
        </w:trPr>
        <w:tc>
          <w:tcPr>
            <w:tcW w:w="2835" w:type="dxa"/>
            <w:shd w:val="clear" w:color="auto" w:fill="FFFFFF" w:themeFill="background1"/>
          </w:tcPr>
          <w:p w14:paraId="39458427" w14:textId="77777777" w:rsidR="0051552C" w:rsidRPr="00425275" w:rsidRDefault="0051552C" w:rsidP="0051552C">
            <w:pPr>
              <w:spacing w:before="0" w:after="0" w:line="276" w:lineRule="auto"/>
              <w:rPr>
                <w:bCs/>
                <w:sz w:val="20"/>
              </w:rPr>
            </w:pPr>
            <w:r w:rsidRPr="00425275">
              <w:rPr>
                <w:bCs/>
                <w:sz w:val="20"/>
              </w:rPr>
              <w:t>Thyroid</w:t>
            </w:r>
          </w:p>
        </w:tc>
        <w:tc>
          <w:tcPr>
            <w:tcW w:w="3402" w:type="dxa"/>
            <w:shd w:val="clear" w:color="auto" w:fill="auto"/>
          </w:tcPr>
          <w:p w14:paraId="3AEB9E71" w14:textId="117D55D3"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7C2A1975" w14:textId="22479412" w:rsidR="0051552C" w:rsidRPr="00425275" w:rsidRDefault="00A11F90"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761F977C" w14:textId="2F082C57" w:rsidR="0051552C" w:rsidRPr="00425275" w:rsidRDefault="0051552C" w:rsidP="00CB2733">
            <w:pPr>
              <w:pStyle w:val="table"/>
              <w:rPr>
                <w:rFonts w:cs="Times New Roman"/>
                <w:sz w:val="20"/>
                <w:szCs w:val="20"/>
              </w:rPr>
            </w:pPr>
            <w:r w:rsidRPr="00425275">
              <w:rPr>
                <w:rFonts w:cs="Times New Roman"/>
                <w:noProof/>
                <w:sz w:val="20"/>
                <w:szCs w:val="20"/>
                <w:lang w:eastAsia="en-GB"/>
              </w:rPr>
              <w:t>Deen, Burke et al. 2016</w:t>
            </w:r>
            <w:r w:rsidR="006F7FD7">
              <w:rPr>
                <w:rFonts w:cs="Times New Roman"/>
                <w:sz w:val="20"/>
                <w:szCs w:val="20"/>
              </w:rPr>
              <w:fldChar w:fldCharType="begin"/>
            </w:r>
            <w:r w:rsidR="00CB2733">
              <w:rPr>
                <w:rFonts w:cs="Times New Roman"/>
                <w:sz w:val="20"/>
                <w:szCs w:val="20"/>
              </w:rPr>
              <w:instrText xml:space="preserve"> ADDIN EN.CITE &lt;EndNote&gt;&lt;Cite&gt;&lt;Author&gt;Deen&lt;/Author&gt;&lt;Year&gt;2016&lt;/Year&gt;&lt;RecNum&gt;3531&lt;/RecNum&gt;&lt;DisplayText&gt;&lt;style face="superscript"&gt;238&lt;/style&gt;&lt;/DisplayText&gt;&lt;record&gt;&lt;rec-number&gt;3531&lt;/rec-number&gt;&lt;foreign-keys&gt;&lt;key app="EN" db-id="dwaevxvazfs2f3ewvzmxrd0k0wasw55p2z2w" timestamp="1579875628"&gt;3531&lt;/key&gt;&lt;/foreign-keys&gt;&lt;ref-type name="Journal Article"&gt;17&lt;/ref-type&gt;&lt;contributors&gt;&lt;authors&gt;&lt;author&gt;Deen, Munim H.&lt;/author&gt;&lt;author&gt;Burke, Kaitlin M.&lt;/author&gt;&lt;author&gt;Janitz, Amanda&lt;/author&gt;&lt;author&gt;Campbell, Janis&lt;/author&gt;&lt;/authors&gt;&lt;/contributors&gt;&lt;titles&gt;&lt;title&gt;Cancers of the thyroid: overview and statistics in the United States and Oklahoma&lt;/title&gt;&lt;secondary-title&gt;The Journal of the Oklahoma State Medical Association&lt;/secondary-title&gt;&lt;/titles&gt;&lt;pages&gt;333&lt;/pages&gt;&lt;volume&gt;109&lt;/volume&gt;&lt;number&gt;7-8&lt;/number&gt;&lt;dates&gt;&lt;year&gt;2016&lt;/year&gt;&lt;/dates&gt;&lt;urls&gt;&lt;/urls&gt;&lt;custom4&gt;LUCY&amp;apos;S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238</w:t>
            </w:r>
            <w:r w:rsidR="006F7FD7">
              <w:rPr>
                <w:rFonts w:cs="Times New Roman"/>
                <w:sz w:val="20"/>
                <w:szCs w:val="20"/>
              </w:rPr>
              <w:fldChar w:fldCharType="end"/>
            </w:r>
          </w:p>
        </w:tc>
      </w:tr>
      <w:tr w:rsidR="0051552C" w:rsidRPr="00425275" w14:paraId="3E74972D" w14:textId="77777777" w:rsidTr="0051552C">
        <w:trPr>
          <w:trHeight w:val="127"/>
        </w:trPr>
        <w:tc>
          <w:tcPr>
            <w:tcW w:w="13512" w:type="dxa"/>
            <w:gridSpan w:val="4"/>
            <w:shd w:val="clear" w:color="auto" w:fill="D9D9D9" w:themeFill="background1" w:themeFillShade="D9"/>
            <w:vAlign w:val="center"/>
          </w:tcPr>
          <w:p w14:paraId="5E4CAC23" w14:textId="77777777" w:rsidR="0051552C" w:rsidRPr="002832AE" w:rsidRDefault="0051552C" w:rsidP="0051552C">
            <w:pPr>
              <w:pStyle w:val="table"/>
              <w:rPr>
                <w:rFonts w:cs="Times New Roman"/>
                <w:b/>
                <w:noProof/>
                <w:sz w:val="20"/>
                <w:szCs w:val="20"/>
                <w:lang w:eastAsia="en-GB"/>
              </w:rPr>
            </w:pPr>
            <w:r>
              <w:rPr>
                <w:rFonts w:cs="Times New Roman"/>
                <w:b/>
                <w:noProof/>
                <w:sz w:val="20"/>
                <w:szCs w:val="20"/>
                <w:lang w:eastAsia="en-GB"/>
              </w:rPr>
              <w:t xml:space="preserve">Unrepresented Tumour Types </w:t>
            </w:r>
          </w:p>
        </w:tc>
      </w:tr>
      <w:tr w:rsidR="0051552C" w:rsidRPr="00425275" w14:paraId="38E0EA31" w14:textId="77777777" w:rsidTr="0051552C">
        <w:trPr>
          <w:trHeight w:val="127"/>
        </w:trPr>
        <w:tc>
          <w:tcPr>
            <w:tcW w:w="2835" w:type="dxa"/>
            <w:shd w:val="clear" w:color="auto" w:fill="auto"/>
            <w:vAlign w:val="center"/>
          </w:tcPr>
          <w:p w14:paraId="19D878BC" w14:textId="77777777" w:rsidR="0051552C" w:rsidRPr="002832AE" w:rsidRDefault="0051552C" w:rsidP="0051552C">
            <w:pPr>
              <w:pStyle w:val="table"/>
              <w:rPr>
                <w:rFonts w:cs="Times New Roman"/>
                <w:sz w:val="20"/>
                <w:szCs w:val="20"/>
                <w:lang w:eastAsia="en-GB"/>
              </w:rPr>
            </w:pPr>
            <w:r w:rsidRPr="002832AE">
              <w:rPr>
                <w:rFonts w:cs="Times New Roman"/>
                <w:sz w:val="20"/>
                <w:szCs w:val="20"/>
                <w:lang w:eastAsia="en-GB"/>
              </w:rPr>
              <w:t>Cervical cancer</w:t>
            </w:r>
          </w:p>
        </w:tc>
        <w:tc>
          <w:tcPr>
            <w:tcW w:w="3402" w:type="dxa"/>
            <w:shd w:val="clear" w:color="auto" w:fill="auto"/>
          </w:tcPr>
          <w:p w14:paraId="209C808B" w14:textId="163B2245" w:rsidR="0051552C" w:rsidRPr="00425275" w:rsidRDefault="00A11F90" w:rsidP="004D5B2B">
            <w:pPr>
              <w:pStyle w:val="table"/>
              <w:rPr>
                <w:rFonts w:cs="Times New Roman"/>
                <w:sz w:val="20"/>
                <w:szCs w:val="20"/>
                <w:lang w:eastAsia="en-GB"/>
              </w:rPr>
            </w:pPr>
            <w:r w:rsidRPr="00425275">
              <w:rPr>
                <w:rFonts w:cs="Times New Roman"/>
                <w:noProof/>
                <w:sz w:val="20"/>
                <w:szCs w:val="20"/>
                <w:lang w:eastAsia="en-GB"/>
              </w:rPr>
              <w:t>O</w:t>
            </w:r>
            <w:r>
              <w:rPr>
                <w:rFonts w:cs="Times New Roman"/>
                <w:noProof/>
                <w:sz w:val="20"/>
                <w:szCs w:val="20"/>
                <w:lang w:eastAsia="en-GB"/>
              </w:rPr>
              <w:t>kamura, Boichard et al. 2018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&lt;EndNote&gt;&lt;Cite&gt;&lt;Author&gt;Okamura&lt;/Author&gt;&lt;Year&gt;2018&lt;/Year&gt;&lt;RecNum&gt;3547&lt;/RecNum&gt;&lt;DisplayText&gt;&lt;style face="superscript"&gt;172&lt;/style&gt;&lt;/DisplayText&gt;&lt;record&gt;&lt;rec-number&gt;3547&lt;/rec-number&gt;&lt;foreign-keys&gt;&lt;key app="EN" db-id="dwaevxvazfs2f3ewvzmxrd0k0wasw55p2z2w" timestamp="1579875628"&gt;3547&lt;/key&gt;&lt;/foreign-keys&gt;&lt;ref-type name="Journal Article"&gt;17&lt;/ref-type&gt;&lt;contributors&gt;&lt;authors&gt;&lt;author&gt;Okamura, R.&lt;/author&gt;&lt;author&gt;Boichard, A.&lt;/author&gt;&lt;author&gt;Kato, S.&lt;/author&gt;&lt;author&gt;Sicklick, J.K.&lt;/author&gt;&lt;author&gt;Bazhenova, L.&lt;/author&gt;&lt;author&gt;Kurzrock, R.&lt;/author&gt;&lt;/authors&gt;&lt;/contributors&gt;&lt;titles&gt;&lt;title&gt;Analysis of NTRK alterations in pan-cancer adult and pediatric malignancies: implications for NTRK-targeted therapeutics&lt;/title&gt;&lt;secondary-title&gt;JCO Precision Oncology&lt;/secondary-title&gt;&lt;alt-title&gt;JCO Precis Oncol&lt;/alt-title&gt;&lt;/titles&gt;&lt;periodical&gt;&lt;full-title&gt;JCO Precision Oncology&lt;/full-title&gt;&lt;/periodical&gt;&lt;volume&gt;2018&lt;/volume&gt;&lt;edition&gt;2018/11/15&lt;/edition&gt;&lt;dates&gt;&lt;year&gt;2018&lt;/year&gt;&lt;/dates&gt;&lt;isbn&gt;2473-4284&lt;/isbn&gt;&lt;accession-num&gt;30637364&lt;/accession-num&gt;&lt;urls&gt;&lt;/urls&gt;&lt;custom4&gt;LUCY&amp;apos;S REFERENCES&lt;/custom4&gt;&lt;electronic-resource-num&gt;10.1200/PO.18.00183&lt;/electronic-resource-num&gt;&lt;remote-database-name&gt;PubMed&lt;/remote-database-name&gt;&lt;language&gt;eng&lt;/language&gt;&lt;/record&gt;&lt;/Cite&gt;&lt;/EndNote&gt;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172</w:t>
            </w:r>
            <w:r w:rsidR="006F7FD7">
              <w:rPr>
                <w:rFonts w:cs="Times New Roman"/>
                <w:noProof/>
                <w:sz w:val="20"/>
                <w:szCs w:val="20"/>
                <w:lang w:eastAsia="en-GB"/>
              </w:rPr>
              <w:fldChar w:fldCharType="end"/>
            </w:r>
          </w:p>
        </w:tc>
        <w:tc>
          <w:tcPr>
            <w:tcW w:w="4253" w:type="dxa"/>
            <w:shd w:val="clear" w:color="auto" w:fill="auto"/>
          </w:tcPr>
          <w:p w14:paraId="2EFC0979" w14:textId="11C550A1" w:rsidR="0051552C" w:rsidRPr="00425275" w:rsidRDefault="00A11F90"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16042A8C" w14:textId="59B2E3F6" w:rsidR="0051552C" w:rsidRPr="00425275" w:rsidRDefault="0051552C" w:rsidP="00055E4F">
            <w:pPr>
              <w:pStyle w:val="table"/>
              <w:rPr>
                <w:rFonts w:cs="Times New Roman"/>
                <w:sz w:val="20"/>
                <w:szCs w:val="20"/>
                <w:lang w:eastAsia="en-GB"/>
              </w:rPr>
            </w:pPr>
            <w:r w:rsidRPr="00425275">
              <w:rPr>
                <w:rFonts w:cs="Times New Roman"/>
                <w:noProof/>
                <w:sz w:val="20"/>
                <w:szCs w:val="20"/>
                <w:lang w:eastAsia="en-GB"/>
              </w:rPr>
              <w:t>Cancer Reasearch UK</w:t>
            </w:r>
            <w:r w:rsidRPr="00425275">
              <w:rPr>
                <w:rFonts w:cs="Times New Roman"/>
                <w:sz w:val="20"/>
                <w:szCs w:val="20"/>
                <w:lang w:eastAsia="en-GB"/>
              </w:rPr>
              <w:t>: Cervical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UK&lt;/Author&gt;&lt;Year&gt;2016&lt;/Year&gt;&lt;RecNum&gt;3564&lt;/RecNum&gt;&lt;DisplayText&gt;&lt;style face="superscript"&gt;251&lt;/style&gt;&lt;/DisplayText&gt;&lt;record&gt;&lt;rec-number&gt;3564&lt;/rec-number&gt;&lt;foreign-keys&gt;&lt;key app="EN" db-id="dwaevxvazfs2f3ewvzmxrd0k0wasw55p2z2w" timestamp="1579875628"&gt;3564&lt;/key&gt;&lt;/foreign-keys&gt;&lt;ref-type name="Web Page"&gt;12&lt;/ref-type&gt;&lt;contributors&gt;&lt;authors&gt;&lt;author&gt;Cancer Research UK,&lt;/author&gt;&lt;/authors&gt;&lt;secondary-authors&gt;&lt;author&gt;Cancer Research UK&lt;/author&gt;&lt;/secondary-authors&gt;&lt;/contributors&gt;&lt;titles&gt;&lt;title&gt;Cervical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UK&lt;/publisher&gt;&lt;urls&gt;&lt;related-urls&gt;&lt;url&gt;https://www.cancerresearchuk.org/health-professional/cancer-statistics/statistics-by-cancer-type/cervical-cancer/incidence#heading-Three&lt;/url&gt;&lt;/related-urls&gt;&lt;/urls&gt;&lt;custom4&gt;LUCY&amp;apos;S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251</w:t>
            </w:r>
            <w:r w:rsidR="006F7FD7">
              <w:rPr>
                <w:rFonts w:cs="Times New Roman"/>
                <w:sz w:val="20"/>
                <w:szCs w:val="20"/>
              </w:rPr>
              <w:fldChar w:fldCharType="end"/>
            </w:r>
          </w:p>
        </w:tc>
      </w:tr>
      <w:tr w:rsidR="0051552C" w:rsidRPr="00425275" w14:paraId="35CC2E4B" w14:textId="77777777" w:rsidTr="0051552C">
        <w:trPr>
          <w:trHeight w:val="127"/>
        </w:trPr>
        <w:tc>
          <w:tcPr>
            <w:tcW w:w="2835" w:type="dxa"/>
            <w:shd w:val="clear" w:color="auto" w:fill="auto"/>
            <w:vAlign w:val="center"/>
          </w:tcPr>
          <w:p w14:paraId="27852F85" w14:textId="77777777" w:rsidR="0051552C" w:rsidRPr="002832AE" w:rsidRDefault="0051552C" w:rsidP="0051552C">
            <w:pPr>
              <w:pStyle w:val="table"/>
              <w:rPr>
                <w:rFonts w:cs="Times New Roman"/>
                <w:sz w:val="20"/>
                <w:szCs w:val="20"/>
                <w:lang w:eastAsia="en-GB"/>
              </w:rPr>
            </w:pPr>
            <w:r w:rsidRPr="002832AE">
              <w:rPr>
                <w:rFonts w:cs="Times New Roman"/>
                <w:sz w:val="20"/>
                <w:szCs w:val="20"/>
                <w:lang w:eastAsia="en-GB"/>
              </w:rPr>
              <w:t>Congenital mesoblastic nephroma</w:t>
            </w:r>
          </w:p>
        </w:tc>
        <w:tc>
          <w:tcPr>
            <w:tcW w:w="3402" w:type="dxa"/>
            <w:shd w:val="clear" w:color="auto" w:fill="auto"/>
          </w:tcPr>
          <w:p w14:paraId="3B7CD35D" w14:textId="4CEEDB3A"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3EC56CA7" w14:textId="669BB16C" w:rsidR="0051552C" w:rsidRPr="00425275" w:rsidRDefault="00A11F90" w:rsidP="00054FE8">
            <w:pPr>
              <w:pStyle w:val="table"/>
              <w:rPr>
                <w:rFonts w:cs="Times New Roman"/>
                <w:sz w:val="20"/>
                <w:szCs w:val="20"/>
                <w:lang w:eastAsia="en-GB"/>
              </w:rPr>
            </w:pPr>
            <w:r w:rsidRPr="00425275">
              <w:rPr>
                <w:rFonts w:cs="Times New Roman"/>
                <w:sz w:val="20"/>
                <w:szCs w:val="20"/>
                <w:lang w:eastAsia="en-GB"/>
              </w:rPr>
              <w:t>Rare and Less Common Cancers Statistics</w:t>
            </w:r>
            <w:r w:rsidR="006F7FD7">
              <w:rPr>
                <w:rFonts w:cs="Times New Roman"/>
                <w:sz w:val="20"/>
                <w:szCs w:val="20"/>
              </w:rPr>
              <w:fldChar w:fldCharType="begin"/>
            </w:r>
            <w:r w:rsidR="00CB2733">
              <w:rPr>
                <w:rFonts w:cs="Times New Roman"/>
                <w:sz w:val="20"/>
                <w:szCs w:val="20"/>
              </w:rPr>
              <w:instrText xml:space="preserve"> ADDIN EN.CITE &lt;EndNote&gt;&lt;Cite&gt;&lt;Author&gt;Coombes&lt;/Author&gt;&lt;Year&gt;2015&lt;/Year&gt;&lt;RecNum&gt;3530&lt;/RecNum&gt;&lt;DisplayText&gt;&lt;style face="superscript"&gt;228&lt;/style&gt;&lt;/DisplayText&gt;&lt;record&gt;&lt;rec-number&gt;3530&lt;/rec-number&gt;&lt;foreign-keys&gt;&lt;key app="EN" db-id="dwaevxvazfs2f3ewvzmxrd0k0wasw55p2z2w" timestamp="1579875628"&gt;3530&lt;/key&gt;&lt;/foreign-keys&gt;&lt;ref-type name="Generic"&gt;13&lt;/ref-type&gt;&lt;contributors&gt;&lt;authors&gt;&lt;author&gt;Coombes, N.&lt;/author&gt;&lt;author&gt;Elliss-Brookes, L.&lt;/author&gt;&lt;author&gt;Johnson, S.&lt;/author&gt;&lt;author&gt;Lyons, J.&lt;/author&gt;&lt;author&gt;Mackay, C.&lt;/author&gt;&lt;author&gt;Morement, H.&lt;/author&gt;&lt;author&gt;Oehler, C.&lt;/author&gt;&lt;author&gt;Peake, M.&lt;/author&gt;&lt;/authors&gt;&lt;secondary-authors&gt;&lt;author&gt;National Cancer Intelligence Network &lt;/author&gt;&lt;/secondary-authors&gt;&lt;/contributors&gt;&lt;titles&gt;&lt;title&gt;Rare and less common cancers: Incidence and Mortality in England, 2010 to 2013&lt;/title&gt;&lt;/titles&gt;&lt;dates&gt;&lt;year&gt;2015&lt;/year&gt;&lt;/dates&gt;&lt;pub-location&gt;London, UK&lt;/pub-location&gt;&lt;publisher&gt;Public Health England&lt;/publisher&gt;&lt;urls&gt;&lt;/urls&gt;&lt;custom4&gt;LUCY&amp;apos;S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228</w:t>
            </w:r>
            <w:r w:rsidR="006F7FD7">
              <w:rPr>
                <w:rFonts w:cs="Times New Roman"/>
                <w:sz w:val="20"/>
                <w:szCs w:val="20"/>
              </w:rPr>
              <w:fldChar w:fldCharType="end"/>
            </w:r>
            <w:r>
              <w:rPr>
                <w:rFonts w:cs="Times New Roman"/>
                <w:sz w:val="20"/>
                <w:szCs w:val="20"/>
              </w:rPr>
              <w:t xml:space="preserve"> </w:t>
            </w:r>
            <w:r w:rsidR="0051552C" w:rsidRPr="00425275">
              <w:rPr>
                <w:rFonts w:cs="Times New Roman"/>
                <w:sz w:val="20"/>
                <w:szCs w:val="20"/>
                <w:lang w:eastAsia="en-GB"/>
              </w:rPr>
              <w:t xml:space="preserve">and </w:t>
            </w:r>
            <w:r>
              <w:rPr>
                <w:rFonts w:cs="Times New Roman"/>
                <w:noProof/>
                <w:sz w:val="20"/>
                <w:szCs w:val="20"/>
                <w:lang w:eastAsia="en-GB"/>
              </w:rPr>
              <w:t>Gooskens, Houwing et al. 2017</w:t>
            </w:r>
            <w:r w:rsidR="006F7FD7">
              <w:rPr>
                <w:rFonts w:cs="Times New Roman"/>
                <w:noProof/>
                <w:sz w:val="20"/>
                <w:szCs w:val="20"/>
                <w:lang w:eastAsia="en-GB"/>
              </w:rPr>
              <w:fldChar w:fldCharType="begin"/>
            </w:r>
            <w:r w:rsidR="00054FE8">
              <w:rPr>
                <w:rFonts w:cs="Times New Roman"/>
                <w:noProof/>
                <w:sz w:val="20"/>
                <w:szCs w:val="20"/>
                <w:lang w:eastAsia="en-GB"/>
              </w:rPr>
              <w:instrText xml:space="preserve"> ADDIN EN.CITE &lt;EndNote&gt;&lt;Cite&gt;&lt;Author&gt;Gooskens&lt;/Author&gt;&lt;Year&gt;2017&lt;/Year&gt;&lt;RecNum&gt;3537&lt;/RecNum&gt;&lt;DisplayText&gt;&lt;style face="superscript"&gt;237&lt;/style&gt;&lt;/DisplayText&gt;&lt;record&gt;&lt;rec-number&gt;3537&lt;/rec-number&gt;&lt;foreign-keys&gt;&lt;key app="EN" db-id="dwaevxvazfs2f3ewvzmxrd0k0wasw55p2z2w" timestamp="1579875628"&gt;3537&lt;/key&gt;&lt;/foreign-keys&gt;&lt;ref-type name="Journal Article"&gt;17&lt;/ref-type&gt;&lt;contributors&gt;&lt;authors&gt;&lt;author&gt;Gooskens, S. L.&lt;/author&gt;&lt;author&gt;Houwing, Maite E.&lt;/author&gt;&lt;author&gt;Vujanic, G. M.&lt;/author&gt;&lt;author&gt;Dome, J. S.&lt;/author&gt;&lt;author&gt;Diertens, T.&lt;/author&gt;&lt;author&gt;Coulomb‐l&amp;apos;Herminé, A.&lt;/author&gt;&lt;author&gt;Godzinski, J.&lt;/author&gt;&lt;author&gt;Pritchard‐Jones, Kathy&lt;/author&gt;&lt;author&gt;Graf, Norbert&lt;/author&gt;&lt;author&gt;van den Heuvel‐Eibrink, M. M.&lt;/author&gt;&lt;/authors&gt;&lt;/contributors&gt;&lt;titles&gt;&lt;title&gt;Congenital mesoblastic nephroma 50 years after its recognition: a narrative review&lt;/title&gt;&lt;secondary-title&gt;Pediatric blood &amp;amp; cancer&lt;/secondary-title&gt;&lt;/titles&gt;&lt;pages&gt;e26437&lt;/pages&gt;&lt;volume&gt;64&lt;/volume&gt;&lt;number&gt;7&lt;/number&gt;&lt;dates&gt;&lt;year&gt;2017&lt;/year&gt;&lt;/dates&gt;&lt;isbn&gt;1545-5009&lt;/isbn&gt;&lt;urls&gt;&lt;/urls&gt;&lt;custom4&gt;LUCY&amp;apos;S REFERENCES&lt;/custom4&gt;&lt;/record&gt;&lt;/Cite&gt;&lt;/EndNote&gt;</w:instrText>
            </w:r>
            <w:r w:rsidR="006F7FD7">
              <w:rPr>
                <w:rFonts w:cs="Times New Roman"/>
                <w:noProof/>
                <w:sz w:val="20"/>
                <w:szCs w:val="20"/>
                <w:lang w:eastAsia="en-GB"/>
              </w:rPr>
              <w:fldChar w:fldCharType="separate"/>
            </w:r>
            <w:r w:rsidR="00CB2733" w:rsidRPr="00CB2733">
              <w:rPr>
                <w:rFonts w:cs="Times New Roman"/>
                <w:noProof/>
                <w:sz w:val="20"/>
                <w:szCs w:val="20"/>
                <w:vertAlign w:val="superscript"/>
                <w:lang w:eastAsia="en-GB"/>
              </w:rPr>
              <w:t>237</w:t>
            </w:r>
            <w:r w:rsidR="006F7FD7">
              <w:rPr>
                <w:rFonts w:cs="Times New Roman"/>
                <w:noProof/>
                <w:sz w:val="20"/>
                <w:szCs w:val="20"/>
                <w:lang w:eastAsia="en-GB"/>
              </w:rPr>
              <w:fldChar w:fldCharType="end"/>
            </w:r>
          </w:p>
        </w:tc>
        <w:tc>
          <w:tcPr>
            <w:tcW w:w="3022" w:type="dxa"/>
            <w:shd w:val="clear" w:color="auto" w:fill="auto"/>
          </w:tcPr>
          <w:p w14:paraId="36E622A7" w14:textId="2B497A59" w:rsidR="0051552C" w:rsidRPr="00425275" w:rsidRDefault="0051552C" w:rsidP="00054FE8">
            <w:pPr>
              <w:pStyle w:val="table"/>
              <w:rPr>
                <w:rFonts w:cs="Times New Roman"/>
                <w:sz w:val="20"/>
                <w:szCs w:val="20"/>
                <w:lang w:eastAsia="en-GB"/>
              </w:rPr>
            </w:pPr>
            <w:r w:rsidRPr="00425275">
              <w:rPr>
                <w:rFonts w:cs="Times New Roman"/>
                <w:noProof/>
                <w:sz w:val="20"/>
                <w:szCs w:val="20"/>
                <w:lang w:eastAsia="en-GB"/>
              </w:rPr>
              <w:t>Gooskens, Houwing et al. 2017</w:t>
            </w:r>
            <w:r w:rsidR="006F7FD7">
              <w:rPr>
                <w:rFonts w:cs="Times New Roman"/>
                <w:sz w:val="20"/>
                <w:szCs w:val="20"/>
              </w:rPr>
              <w:fldChar w:fldCharType="begin"/>
            </w:r>
            <w:r w:rsidR="00054FE8">
              <w:rPr>
                <w:rFonts w:cs="Times New Roman"/>
                <w:sz w:val="20"/>
                <w:szCs w:val="20"/>
              </w:rPr>
              <w:instrText xml:space="preserve"> ADDIN EN.CITE &lt;EndNote&gt;&lt;Cite&gt;&lt;Author&gt;Gooskens&lt;/Author&gt;&lt;Year&gt;2017&lt;/Year&gt;&lt;RecNum&gt;3537&lt;/RecNum&gt;&lt;DisplayText&gt;&lt;style face="superscript"&gt;237&lt;/style&gt;&lt;/DisplayText&gt;&lt;record&gt;&lt;rec-number&gt;3537&lt;/rec-number&gt;&lt;foreign-keys&gt;&lt;key app="EN" db-id="dwaevxvazfs2f3ewvzmxrd0k0wasw55p2z2w" timestamp="1579875628"&gt;3537&lt;/key&gt;&lt;/foreign-keys&gt;&lt;ref-type name="Journal Article"&gt;17&lt;/ref-type&gt;&lt;contributors&gt;&lt;authors&gt;&lt;author&gt;Gooskens, S. L.&lt;/author&gt;&lt;author&gt;Houwing, Maite E.&lt;/author&gt;&lt;author&gt;Vujanic, G. M.&lt;/author&gt;&lt;author&gt;Dome, J. S.&lt;/author&gt;&lt;author&gt;Diertens, T.&lt;/author&gt;&lt;author&gt;Coulomb‐l&amp;apos;Herminé, A.&lt;/author&gt;&lt;author&gt;Godzinski, J.&lt;/author&gt;&lt;author&gt;Pritchard‐Jones, Kathy&lt;/author&gt;&lt;author&gt;Graf, Norbert&lt;/author&gt;&lt;author&gt;van den Heuvel‐Eibrink, M. M.&lt;/author&gt;&lt;/authors&gt;&lt;/contributors&gt;&lt;titles&gt;&lt;title&gt;Congenital mesoblastic nephroma 50 years after its recognition: a narrative review&lt;/title&gt;&lt;secondary-title&gt;Pediatric blood &amp;amp; cancer&lt;/secondary-title&gt;&lt;/titles&gt;&lt;pages&gt;e26437&lt;/pages&gt;&lt;volume&gt;64&lt;/volume&gt;&lt;number&gt;7&lt;/number&gt;&lt;dates&gt;&lt;year&gt;2017&lt;/year&gt;&lt;/dates&gt;&lt;isbn&gt;1545-5009&lt;/isbn&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237</w:t>
            </w:r>
            <w:r w:rsidR="006F7FD7">
              <w:rPr>
                <w:rFonts w:cs="Times New Roman"/>
                <w:sz w:val="20"/>
                <w:szCs w:val="20"/>
              </w:rPr>
              <w:fldChar w:fldCharType="end"/>
            </w:r>
          </w:p>
        </w:tc>
      </w:tr>
      <w:tr w:rsidR="0051552C" w:rsidRPr="00425275" w14:paraId="3031D164" w14:textId="77777777" w:rsidTr="0051552C">
        <w:trPr>
          <w:trHeight w:val="127"/>
        </w:trPr>
        <w:tc>
          <w:tcPr>
            <w:tcW w:w="2835" w:type="dxa"/>
            <w:shd w:val="clear" w:color="auto" w:fill="auto"/>
            <w:vAlign w:val="center"/>
          </w:tcPr>
          <w:p w14:paraId="7518D3FA" w14:textId="77777777" w:rsidR="0051552C" w:rsidRPr="002832AE" w:rsidRDefault="0051552C" w:rsidP="0051552C">
            <w:pPr>
              <w:pStyle w:val="table"/>
              <w:rPr>
                <w:rFonts w:cs="Times New Roman"/>
                <w:sz w:val="20"/>
                <w:szCs w:val="20"/>
                <w:lang w:eastAsia="en-GB"/>
              </w:rPr>
            </w:pPr>
            <w:r w:rsidRPr="002832AE">
              <w:rPr>
                <w:rFonts w:cs="Times New Roman"/>
                <w:sz w:val="20"/>
                <w:szCs w:val="20"/>
                <w:lang w:eastAsia="en-GB"/>
              </w:rPr>
              <w:t>Gastro-oesphoegeal junction adenocarcinoma</w:t>
            </w:r>
          </w:p>
        </w:tc>
        <w:tc>
          <w:tcPr>
            <w:tcW w:w="3402" w:type="dxa"/>
            <w:shd w:val="clear" w:color="auto" w:fill="auto"/>
          </w:tcPr>
          <w:p w14:paraId="54890AC4" w14:textId="72B59891"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286EDF3D" w14:textId="2E1F937C" w:rsidR="0051552C" w:rsidRPr="00425275" w:rsidRDefault="0051552C" w:rsidP="00055E4F">
            <w:pPr>
              <w:pStyle w:val="table"/>
              <w:rPr>
                <w:rFonts w:cs="Times New Roman"/>
                <w:sz w:val="20"/>
                <w:szCs w:val="20"/>
                <w:lang w:eastAsia="en-GB"/>
              </w:rPr>
            </w:pPr>
            <w:r w:rsidRPr="00425275">
              <w:rPr>
                <w:rFonts w:cs="Times New Roman"/>
                <w:noProof/>
                <w:sz w:val="20"/>
                <w:szCs w:val="20"/>
                <w:lang w:eastAsia="en-GB"/>
              </w:rPr>
              <w:t>National Institute for Health and Care Excellence (NICE)</w:t>
            </w:r>
            <w:r w:rsidRPr="00425275">
              <w:rPr>
                <w:rFonts w:cs="Times New Roman"/>
                <w:sz w:val="20"/>
                <w:szCs w:val="20"/>
              </w:rPr>
              <w:t xml:space="preserve"> </w:t>
            </w:r>
            <w:r w:rsidR="00CB2733">
              <w:rPr>
                <w:rFonts w:cs="Times New Roman"/>
                <w:sz w:val="20"/>
                <w:szCs w:val="20"/>
              </w:rPr>
              <w:fldChar w:fldCharType="begin"/>
            </w:r>
            <w:r w:rsidR="00055E4F">
              <w:rPr>
                <w:rFonts w:cs="Times New Roman"/>
                <w:sz w:val="20"/>
                <w:szCs w:val="20"/>
              </w:rPr>
              <w:instrText xml:space="preserve"> ADDIN EN.CITE &lt;EndNote&gt;&lt;Cite&gt;&lt;Author&gt;National Institute for Health and Care Excellence&lt;/Author&gt;&lt;Year&gt;2018&lt;/Year&gt;&lt;RecNum&gt;3545&lt;/RecNum&gt;&lt;DisplayText&gt;&lt;style face="superscript"&gt;252&lt;/style&gt;&lt;/DisplayText&gt;&lt;record&gt;&lt;rec-number&gt;3545&lt;/rec-number&gt;&lt;foreign-keys&gt;&lt;key app="EN" db-id="dwaevxvazfs2f3ewvzmxrd0k0wasw55p2z2w" timestamp="1579875628"&gt;3545&lt;/key&gt;&lt;/foreign-keys&gt;&lt;ref-type name="Report"&gt;27&lt;/ref-type&gt;&lt;contributors&gt;&lt;authors&gt;&lt;author&gt;National Institute for Health and Care Excellence,&lt;/author&gt;&lt;/authors&gt;&lt;/contributors&gt;&lt;titles&gt;&lt;title&gt;Pembrolizumab for previously treated oesophageal or gastrooesophageal junction cancer Draft scope&lt;/title&gt;&lt;/titles&gt;&lt;dates&gt;&lt;year&gt;2018&lt;/year&gt;&lt;/dates&gt;&lt;pub-location&gt;London&lt;/pub-location&gt;&lt;publisher&gt;NICE&lt;/publisher&gt;&lt;urls&gt;&lt;related-urls&gt;&lt;url&gt;https://www.nice.org.uk/guidance/gid-ta10322/documents/draft-scope-post-referral&lt;/url&gt;&lt;/related-urls&gt;&lt;/urls&gt;&lt;custom4&gt;LUCY&amp;apos;S REFERENCES&lt;/custom4&gt;&lt;/record&gt;&lt;/Cite&gt;&lt;/EndNote&gt;</w:instrText>
            </w:r>
            <w:r w:rsidR="00CB2733">
              <w:rPr>
                <w:rFonts w:cs="Times New Roman"/>
                <w:sz w:val="20"/>
                <w:szCs w:val="20"/>
              </w:rPr>
              <w:fldChar w:fldCharType="separate"/>
            </w:r>
            <w:r w:rsidR="00055E4F" w:rsidRPr="00055E4F">
              <w:rPr>
                <w:rFonts w:cs="Times New Roman"/>
                <w:noProof/>
                <w:sz w:val="20"/>
                <w:szCs w:val="20"/>
                <w:vertAlign w:val="superscript"/>
              </w:rPr>
              <w:t>252</w:t>
            </w:r>
            <w:r w:rsidR="00CB2733">
              <w:rPr>
                <w:rFonts w:cs="Times New Roman"/>
                <w:sz w:val="20"/>
                <w:szCs w:val="20"/>
              </w:rPr>
              <w:fldChar w:fldCharType="end"/>
            </w:r>
          </w:p>
        </w:tc>
        <w:tc>
          <w:tcPr>
            <w:tcW w:w="3022" w:type="dxa"/>
            <w:shd w:val="clear" w:color="auto" w:fill="auto"/>
          </w:tcPr>
          <w:p w14:paraId="4076FF6D" w14:textId="0AD6FB85" w:rsidR="0051552C" w:rsidRPr="00425275" w:rsidRDefault="0051552C" w:rsidP="00055E4F">
            <w:pPr>
              <w:pStyle w:val="table"/>
              <w:rPr>
                <w:rFonts w:cs="Times New Roman"/>
                <w:sz w:val="20"/>
                <w:szCs w:val="20"/>
                <w:lang w:eastAsia="en-GB"/>
              </w:rPr>
            </w:pPr>
            <w:r w:rsidRPr="00425275">
              <w:rPr>
                <w:rFonts w:cs="Times New Roman"/>
                <w:noProof/>
                <w:sz w:val="20"/>
                <w:szCs w:val="20"/>
                <w:lang w:eastAsia="en-GB"/>
              </w:rPr>
              <w:t>Cancer Research UK</w:t>
            </w:r>
            <w:r w:rsidRPr="00425275">
              <w:rPr>
                <w:rFonts w:cs="Times New Roman"/>
                <w:sz w:val="20"/>
                <w:szCs w:val="20"/>
                <w:lang w:eastAsia="en-GB"/>
              </w:rPr>
              <w:t xml:space="preserve">: </w:t>
            </w:r>
            <w:r w:rsidRPr="00425275">
              <w:rPr>
                <w:rFonts w:cs="Times New Roman"/>
                <w:sz w:val="20"/>
                <w:szCs w:val="20"/>
              </w:rPr>
              <w:t>Oesophageal cancer incidence by stage at diagnosis</w:t>
            </w:r>
            <w:r w:rsidR="006F7FD7">
              <w:rPr>
                <w:rFonts w:cs="Times New Roman"/>
                <w:sz w:val="20"/>
                <w:szCs w:val="20"/>
                <w:lang w:eastAsia="en-GB"/>
              </w:rPr>
              <w:fldChar w:fldCharType="begin"/>
            </w:r>
            <w:r w:rsidR="00055E4F">
              <w:rPr>
                <w:rFonts w:cs="Times New Roman"/>
                <w:sz w:val="20"/>
                <w:szCs w:val="20"/>
                <w:lang w:eastAsia="en-GB"/>
              </w:rPr>
              <w:instrText xml:space="preserve"> ADDIN EN.CITE &lt;EndNote&gt;&lt;Cite&gt;&lt;Author&gt;Cancer Research UK&lt;/Author&gt;&lt;Year&gt;2016&lt;/Year&gt;&lt;RecNum&gt;3566&lt;/RecNum&gt;&lt;DisplayText&gt;&lt;style face="superscript"&gt;253&lt;/style&gt;&lt;/DisplayText&gt;&lt;record&gt;&lt;rec-number&gt;3566&lt;/rec-number&gt;&lt;foreign-keys&gt;&lt;key app="EN" db-id="dwaevxvazfs2f3ewvzmxrd0k0wasw55p2z2w" timestamp="1579875628"&gt;3566&lt;/key&gt;&lt;/foreign-keys&gt;&lt;ref-type name="Web Page"&gt;12&lt;/ref-type&gt;&lt;contributors&gt;&lt;authors&gt;&lt;author&gt;Cancer Research UK,&lt;/author&gt;&lt;/authors&gt;&lt;secondary-authors&gt;&lt;author&gt;Cancer Research UK&lt;/author&gt;&lt;/secondary-authors&gt;&lt;/contributors&gt;&lt;titles&gt;&lt;title&gt;Oesophageal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UK&lt;/publisher&gt;&lt;urls&gt;&lt;related-urls&gt;&lt;url&gt;https://www.cancerresearchuk.org/health-professional/cancer-statistics/statistics-by-cancer-type/oesophageal-cancer/incidence&lt;/url&gt;&lt;/related-urls&gt;&lt;/urls&gt;&lt;custom4&gt;LUCY&amp;apos;S REFERENCES&lt;/custom4&gt;&lt;/record&gt;&lt;/Cite&gt;&lt;/EndNote&gt;</w:instrText>
            </w:r>
            <w:r w:rsidR="006F7FD7">
              <w:rPr>
                <w:rFonts w:cs="Times New Roman"/>
                <w:sz w:val="20"/>
                <w:szCs w:val="20"/>
                <w:lang w:eastAsia="en-GB"/>
              </w:rPr>
              <w:fldChar w:fldCharType="separate"/>
            </w:r>
            <w:r w:rsidR="00055E4F" w:rsidRPr="00055E4F">
              <w:rPr>
                <w:rFonts w:cs="Times New Roman"/>
                <w:noProof/>
                <w:sz w:val="20"/>
                <w:szCs w:val="20"/>
                <w:vertAlign w:val="superscript"/>
                <w:lang w:eastAsia="en-GB"/>
              </w:rPr>
              <w:t>253</w:t>
            </w:r>
            <w:r w:rsidR="006F7FD7">
              <w:rPr>
                <w:rFonts w:cs="Times New Roman"/>
                <w:sz w:val="20"/>
                <w:szCs w:val="20"/>
                <w:lang w:eastAsia="en-GB"/>
              </w:rPr>
              <w:fldChar w:fldCharType="end"/>
            </w:r>
          </w:p>
        </w:tc>
      </w:tr>
      <w:tr w:rsidR="0051552C" w:rsidRPr="00425275" w14:paraId="1800D64D" w14:textId="77777777" w:rsidTr="0051552C">
        <w:trPr>
          <w:trHeight w:val="149"/>
        </w:trPr>
        <w:tc>
          <w:tcPr>
            <w:tcW w:w="2835" w:type="dxa"/>
            <w:shd w:val="clear" w:color="auto" w:fill="auto"/>
            <w:vAlign w:val="center"/>
          </w:tcPr>
          <w:p w14:paraId="023AA62D" w14:textId="77777777" w:rsidR="0051552C" w:rsidRPr="002832AE" w:rsidRDefault="0051552C" w:rsidP="0051552C">
            <w:pPr>
              <w:pStyle w:val="table"/>
              <w:rPr>
                <w:rFonts w:cs="Times New Roman"/>
                <w:sz w:val="20"/>
                <w:szCs w:val="20"/>
                <w:lang w:eastAsia="en-GB"/>
              </w:rPr>
            </w:pPr>
            <w:r w:rsidRPr="002832AE">
              <w:rPr>
                <w:rFonts w:cs="Times New Roman"/>
                <w:sz w:val="20"/>
                <w:szCs w:val="20"/>
                <w:lang w:eastAsia="en-GB"/>
              </w:rPr>
              <w:t>Head and neck squamous cell carcinoma (NOS)</w:t>
            </w:r>
          </w:p>
        </w:tc>
        <w:tc>
          <w:tcPr>
            <w:tcW w:w="3402" w:type="dxa"/>
            <w:shd w:val="clear" w:color="auto" w:fill="auto"/>
          </w:tcPr>
          <w:p w14:paraId="1F05AC58" w14:textId="128DEE40" w:rsidR="0051552C" w:rsidRPr="00425275" w:rsidRDefault="00A11F90" w:rsidP="004D5B2B">
            <w:pPr>
              <w:pStyle w:val="table"/>
              <w:rPr>
                <w:rFonts w:cs="Times New Roman"/>
                <w:sz w:val="20"/>
                <w:szCs w:val="20"/>
                <w:lang w:eastAsia="en-GB"/>
              </w:rPr>
            </w:pPr>
            <w:r w:rsidRPr="00425275">
              <w:rPr>
                <w:rFonts w:cs="Times New Roman"/>
                <w:noProof/>
                <w:sz w:val="20"/>
                <w:szCs w:val="20"/>
                <w:lang w:eastAsia="en-GB"/>
              </w:rPr>
              <w:t>O</w:t>
            </w:r>
            <w:r>
              <w:rPr>
                <w:rFonts w:cs="Times New Roman"/>
                <w:noProof/>
                <w:sz w:val="20"/>
                <w:szCs w:val="20"/>
                <w:lang w:eastAsia="en-GB"/>
              </w:rPr>
              <w:t>kamura, Boichard et al. 2018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&lt;EndNote&gt;&lt;Cite&gt;&lt;Author&gt;Okamura&lt;/Author&gt;&lt;Year&gt;2018&lt;/Year&gt;&lt;RecNum&gt;3547&lt;/RecNum&gt;&lt;DisplayText&gt;&lt;style face="superscript"&gt;172&lt;/style&gt;&lt;/DisplayText&gt;&lt;record&gt;&lt;rec-number&gt;3547&lt;/rec-number&gt;&lt;foreign-keys&gt;&lt;key app="EN" db-id="dwaevxvazfs2f3ewvzmxrd0k0wasw55p2z2w" timestamp="1579875628"&gt;3547&lt;/key&gt;&lt;/foreign-keys&gt;&lt;ref-type name="Journal Article"&gt;17&lt;/ref-type&gt;&lt;contributors&gt;&lt;authors&gt;&lt;author&gt;Okamura, R.&lt;/author&gt;&lt;author&gt;Boichard, A.&lt;/author&gt;&lt;author&gt;Kato, S.&lt;/author&gt;&lt;author&gt;Sicklick, J.K.&lt;/author&gt;&lt;author&gt;Bazhenova, L.&lt;/author&gt;&lt;author&gt;Kurzrock, R.&lt;/author&gt;&lt;/authors&gt;&lt;/contributors&gt;&lt;titles&gt;&lt;title&gt;Analysis of NTRK alterations in pan-cancer adult and pediatric malignancies: implications for NTRK-targeted therapeutics&lt;/title&gt;&lt;secondary-title&gt;JCO Precision Oncology&lt;/secondary-title&gt;&lt;alt-title&gt;JCO Precis Oncol&lt;/alt-title&gt;&lt;/titles&gt;&lt;periodical&gt;&lt;full-title&gt;JCO Precision Oncology&lt;/full-title&gt;&lt;/periodical&gt;&lt;volume&gt;2018&lt;/volume&gt;&lt;edition&gt;2018/11/15&lt;/edition&gt;&lt;dates&gt;&lt;year&gt;2018&lt;/year&gt;&lt;/dates&gt;&lt;isbn&gt;2473-4284&lt;/isbn&gt;&lt;accession-num&gt;30637364&lt;/accession-num&gt;&lt;urls&gt;&lt;/urls&gt;&lt;custom4&gt;LUCY&amp;apos;S REFERENCES&lt;/custom4&gt;&lt;electronic-resource-num&gt;10.1200/PO.18.00183&lt;/electronic-resource-num&gt;&lt;remote-database-name&gt;PubMed&lt;/remote-database-name&gt;&lt;language&gt;eng&lt;/language&gt;&lt;/record&gt;&lt;/Cite&gt;&lt;/EndNote&gt;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172</w:t>
            </w:r>
            <w:r w:rsidR="006F7FD7">
              <w:rPr>
                <w:rFonts w:cs="Times New Roman"/>
                <w:noProof/>
                <w:sz w:val="20"/>
                <w:szCs w:val="20"/>
                <w:lang w:eastAsia="en-GB"/>
              </w:rPr>
              <w:fldChar w:fldCharType="end"/>
            </w:r>
          </w:p>
        </w:tc>
        <w:tc>
          <w:tcPr>
            <w:tcW w:w="4253" w:type="dxa"/>
            <w:shd w:val="clear" w:color="auto" w:fill="auto"/>
          </w:tcPr>
          <w:p w14:paraId="37B174F4" w14:textId="4E533E6A" w:rsidR="0051552C" w:rsidRPr="00425275" w:rsidRDefault="00A11F90"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2DE07BF9" w14:textId="6A8E56BA" w:rsidR="0051552C" w:rsidRPr="00425275" w:rsidRDefault="0051552C" w:rsidP="00055E4F">
            <w:pPr>
              <w:pStyle w:val="table"/>
              <w:rPr>
                <w:rFonts w:cs="Times New Roman"/>
                <w:sz w:val="20"/>
                <w:szCs w:val="20"/>
                <w:lang w:eastAsia="en-GB"/>
              </w:rPr>
            </w:pPr>
            <w:r w:rsidRPr="00425275">
              <w:rPr>
                <w:rFonts w:cs="Times New Roman"/>
                <w:noProof/>
                <w:sz w:val="20"/>
                <w:szCs w:val="20"/>
                <w:lang w:eastAsia="en-GB"/>
              </w:rPr>
              <w:t>Cancer Research UK</w:t>
            </w:r>
            <w:r w:rsidRPr="00425275">
              <w:rPr>
                <w:rFonts w:cs="Times New Roman"/>
                <w:sz w:val="20"/>
                <w:szCs w:val="20"/>
                <w:lang w:eastAsia="en-GB"/>
              </w:rPr>
              <w:t>: Head and Neck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UK&lt;/Author&gt;&lt;Year&gt;2016&lt;/Year&gt;&lt;RecNum&gt;3567&lt;/RecNum&gt;&lt;DisplayText&gt;&lt;style face="superscript"&gt;254&lt;/style&gt;&lt;/DisplayText&gt;&lt;record&gt;&lt;rec-number&gt;3567&lt;/rec-number&gt;&lt;foreign-keys&gt;&lt;key app="EN" db-id="dwaevxvazfs2f3ewvzmxrd0k0wasw55p2z2w" timestamp="1579875628"&gt;3567&lt;/key&gt;&lt;/foreign-keys&gt;&lt;ref-type name="Web Page"&gt;12&lt;/ref-type&gt;&lt;contributors&gt;&lt;authors&gt;&lt;author&gt;Cancer Research UK,&lt;/author&gt;&lt;/authors&gt;&lt;/contributors&gt;&lt;titles&gt;&lt;title&gt;Head and neck cancers statistics&lt;/title&gt;&lt;/titles&gt;&lt;volume&gt;2019&lt;/volume&gt;&lt;dates&gt;&lt;year&gt;2016&lt;/year&gt;&lt;/dates&gt;&lt;pub-location&gt;London&lt;/pub-location&gt;&lt;urls&gt;&lt;related-urls&gt;&lt;url&gt;https://www.cancerresearchuk.org/health-professional/cancer-statistics/statistics-by-cancer-type/head-and-neck-cancers&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254</w:t>
            </w:r>
            <w:r w:rsidR="006F7FD7">
              <w:rPr>
                <w:rFonts w:cs="Times New Roman"/>
                <w:sz w:val="20"/>
                <w:szCs w:val="20"/>
              </w:rPr>
              <w:fldChar w:fldCharType="end"/>
            </w:r>
          </w:p>
        </w:tc>
      </w:tr>
      <w:tr w:rsidR="0051552C" w:rsidRPr="00425275" w14:paraId="51ACE5FF" w14:textId="77777777" w:rsidTr="0051552C">
        <w:trPr>
          <w:trHeight w:val="127"/>
        </w:trPr>
        <w:tc>
          <w:tcPr>
            <w:tcW w:w="2835" w:type="dxa"/>
            <w:shd w:val="clear" w:color="auto" w:fill="auto"/>
            <w:vAlign w:val="center"/>
          </w:tcPr>
          <w:p w14:paraId="732A0F74" w14:textId="77777777" w:rsidR="0051552C" w:rsidRPr="002832AE" w:rsidRDefault="0051552C" w:rsidP="0051552C">
            <w:pPr>
              <w:pStyle w:val="table"/>
              <w:rPr>
                <w:rFonts w:cs="Times New Roman"/>
                <w:sz w:val="20"/>
                <w:szCs w:val="20"/>
                <w:lang w:eastAsia="en-GB"/>
              </w:rPr>
            </w:pPr>
            <w:r w:rsidRPr="002832AE">
              <w:rPr>
                <w:rFonts w:cs="Times New Roman"/>
                <w:sz w:val="20"/>
                <w:szCs w:val="20"/>
                <w:lang w:eastAsia="en-GB"/>
              </w:rPr>
              <w:t>High grade glioma</w:t>
            </w:r>
          </w:p>
        </w:tc>
        <w:tc>
          <w:tcPr>
            <w:tcW w:w="3402" w:type="dxa"/>
            <w:shd w:val="clear" w:color="auto" w:fill="auto"/>
          </w:tcPr>
          <w:p w14:paraId="2F9FB9EC" w14:textId="1C21657F" w:rsidR="0051552C" w:rsidRPr="00425275" w:rsidRDefault="00A11F90"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1DAC520D" w14:textId="6EB9DC03" w:rsidR="0051552C" w:rsidRPr="00425275" w:rsidRDefault="0051552C" w:rsidP="00055E4F">
            <w:pPr>
              <w:pStyle w:val="table"/>
              <w:rPr>
                <w:rFonts w:cs="Times New Roman"/>
                <w:sz w:val="20"/>
                <w:szCs w:val="20"/>
                <w:lang w:eastAsia="en-GB"/>
              </w:rPr>
            </w:pPr>
            <w:r w:rsidRPr="00425275">
              <w:rPr>
                <w:rFonts w:cs="Times New Roman"/>
                <w:noProof/>
                <w:sz w:val="20"/>
                <w:szCs w:val="20"/>
                <w:lang w:eastAsia="en-GB"/>
              </w:rPr>
              <w:t>Public Health England</w:t>
            </w:r>
            <w:r w:rsidR="006F7FD7">
              <w:rPr>
                <w:rFonts w:cs="Times New Roman"/>
                <w:noProof/>
                <w:sz w:val="20"/>
                <w:szCs w:val="20"/>
                <w:lang w:eastAsia="en-GB"/>
              </w:rPr>
              <w:fldChar w:fldCharType="begin"/>
            </w:r>
            <w:r w:rsidR="00055E4F">
              <w:rPr>
                <w:rFonts w:cs="Times New Roman"/>
                <w:noProof/>
                <w:sz w:val="20"/>
                <w:szCs w:val="20"/>
                <w:lang w:eastAsia="en-GB"/>
              </w:rPr>
              <w:instrText xml:space="preserve"> ADDIN EN.CITE &lt;EndNote&gt;&lt;Cite&gt;&lt;Author&gt;Public Health England&lt;/Author&gt;&lt;Year&gt;2016&lt;/Year&gt;&lt;RecNum&gt;3534&lt;/RecNum&gt;&lt;DisplayText&gt;&lt;style face="superscript"&gt;255&lt;/style&gt;&lt;/DisplayText&gt;&lt;record&gt;&lt;rec-number&gt;3534&lt;/rec-number&gt;&lt;foreign-keys&gt;&lt;key app="EN" db-id="dwaevxvazfs2f3ewvzmxrd0k0wasw55p2z2w" timestamp="1579875628"&gt;3534&lt;/key&gt;&lt;/foreign-keys&gt;&lt;ref-type name="Report"&gt;27&lt;/ref-type&gt;&lt;contributors&gt;&lt;authors&gt;&lt;author&gt;Public Health England,&lt;/author&gt;&lt;/authors&gt;&lt;secondary-authors&gt;&lt;author&gt;Public Health England&lt;/author&gt;&lt;/secondary-authors&gt;&lt;/contributors&gt;&lt;titles&gt;&lt;title&gt;Glioblastoma in England 2007-2011&lt;/title&gt;&lt;secondary-title&gt;National Cancer Registration and Analysis Service Data Briefing&lt;/secondary-title&gt;&lt;/titles&gt;&lt;dates&gt;&lt;year&gt;2016&lt;/year&gt;&lt;/dates&gt;&lt;urls&gt;&lt;/urls&gt;&lt;custom4&gt;LUCY&amp;apos;S REFERENCES&lt;/custom4&gt;&lt;/record&gt;&lt;/Cite&gt;&lt;/EndNote&gt;</w:instrText>
            </w:r>
            <w:r w:rsidR="006F7FD7">
              <w:rPr>
                <w:rFonts w:cs="Times New Roman"/>
                <w:noProof/>
                <w:sz w:val="20"/>
                <w:szCs w:val="20"/>
                <w:lang w:eastAsia="en-GB"/>
              </w:rPr>
              <w:fldChar w:fldCharType="separate"/>
            </w:r>
            <w:r w:rsidR="00055E4F" w:rsidRPr="00055E4F">
              <w:rPr>
                <w:rFonts w:cs="Times New Roman"/>
                <w:noProof/>
                <w:sz w:val="20"/>
                <w:szCs w:val="20"/>
                <w:vertAlign w:val="superscript"/>
                <w:lang w:eastAsia="en-GB"/>
              </w:rPr>
              <w:t>255</w:t>
            </w:r>
            <w:r w:rsidR="006F7FD7">
              <w:rPr>
                <w:rFonts w:cs="Times New Roman"/>
                <w:noProof/>
                <w:sz w:val="20"/>
                <w:szCs w:val="20"/>
                <w:lang w:eastAsia="en-GB"/>
              </w:rPr>
              <w:fldChar w:fldCharType="end"/>
            </w:r>
          </w:p>
        </w:tc>
        <w:tc>
          <w:tcPr>
            <w:tcW w:w="3022" w:type="dxa"/>
            <w:shd w:val="clear" w:color="auto" w:fill="auto"/>
          </w:tcPr>
          <w:p w14:paraId="76D482DA" w14:textId="7F587206" w:rsidR="0051552C" w:rsidRPr="00425275" w:rsidRDefault="0051552C" w:rsidP="00500BB3">
            <w:pPr>
              <w:pStyle w:val="table"/>
              <w:rPr>
                <w:rFonts w:cs="Times New Roman"/>
                <w:sz w:val="20"/>
                <w:szCs w:val="20"/>
                <w:lang w:eastAsia="en-GB"/>
              </w:rPr>
            </w:pPr>
            <w:r w:rsidRPr="00425275">
              <w:rPr>
                <w:rFonts w:cs="Times New Roman"/>
                <w:sz w:val="20"/>
                <w:szCs w:val="20"/>
                <w:lang w:eastAsia="en-GB"/>
              </w:rPr>
              <w:t>All high-grade glioma cancers are advanced or metastatic</w:t>
            </w:r>
            <w:r w:rsidR="006F7FD7">
              <w:rPr>
                <w:rFonts w:cs="Times New Roman"/>
                <w:sz w:val="20"/>
                <w:szCs w:val="20"/>
                <w:lang w:eastAsia="en-GB"/>
              </w:rPr>
              <w:fldChar w:fldCharType="begin"/>
            </w:r>
            <w:r w:rsidR="00500BB3">
              <w:rPr>
                <w:rFonts w:cs="Times New Roman"/>
                <w:sz w:val="20"/>
                <w:szCs w:val="20"/>
                <w:lang w:eastAsia="en-GB"/>
              </w:rPr>
              <w:instrText xml:space="preserve"> ADDIN EN.CITE &lt;EndNote&gt;&lt;Cite&gt;&lt;Author&gt;Lee&lt;/Author&gt;&lt;Year&gt;2017&lt;/Year&gt;&lt;RecNum&gt;3541&lt;/RecNum&gt;&lt;DisplayText&gt;&lt;style face="superscript"&gt;225&lt;/style&gt;&lt;/DisplayText&gt;&lt;record&gt;&lt;rec-number&gt;3541&lt;/rec-number&gt;&lt;foreign-keys&gt;&lt;key app="EN" db-id="dwaevxvazfs2f3ewvzmxrd0k0wasw55p2z2w" timestamp="1579875628"&gt;3541&lt;/key&gt;&lt;/foreign-keys&gt;&lt;ref-type name="Journal Article"&gt;17&lt;/ref-type&gt;&lt;contributors&gt;&lt;authors&gt;&lt;author&gt;Lee, Su Jin&lt;/author&gt;&lt;author&gt;Kim, Nayoung K. D.&lt;/author&gt;&lt;author&gt;Lee, Se-Hoon&lt;/author&gt;&lt;author&gt;Kim, Seung Tae&lt;/author&gt;&lt;author&gt;Park, Se Hoon&lt;/author&gt;&lt;author&gt;Park, Joon Oh&lt;/author&gt;&lt;author&gt;Park, Young Suk&lt;/author&gt;&lt;author&gt;Lim, Ho Yeong&lt;/author&gt;&lt;author&gt;Kang, Won Ki&lt;/author&gt;&lt;author&gt;Park, Woong Yang&lt;/author&gt;&lt;/authors&gt;&lt;/contributors&gt;&lt;titles&gt;&lt;title&gt;NTRK gene amplification in patients with metastatic cancer&lt;/title&gt;&lt;secondary-title&gt;Precision and Future Medicine&lt;/secondary-title&gt;&lt;/titles&gt;&lt;periodical&gt;&lt;full-title&gt;Precision and Future Medicine&lt;/full-title&gt;&lt;abbr-1&gt;Precision Future Med&lt;/abbr-1&gt;&lt;/periodical&gt;&lt;pages&gt;129-137&lt;/pages&gt;&lt;volume&gt;1&lt;/volume&gt;&lt;number&gt;3&lt;/number&gt;&lt;dates&gt;&lt;year&gt;2017&lt;/year&gt;&lt;/dates&gt;&lt;isbn&gt;2508-7940&lt;/isbn&gt;&lt;urls&gt;&lt;/urls&gt;&lt;custom4&gt;LUCY&amp;apos;S REFERENCES&lt;/custom4&gt;&lt;/record&gt;&lt;/Cite&gt;&lt;/EndNote&gt;</w:instrText>
            </w:r>
            <w:r w:rsidR="006F7FD7">
              <w:rPr>
                <w:rFonts w:cs="Times New Roman"/>
                <w:sz w:val="20"/>
                <w:szCs w:val="20"/>
                <w:lang w:eastAsia="en-GB"/>
              </w:rPr>
              <w:fldChar w:fldCharType="separate"/>
            </w:r>
            <w:r w:rsidR="00CB2733" w:rsidRPr="00CB2733">
              <w:rPr>
                <w:rFonts w:cs="Times New Roman"/>
                <w:noProof/>
                <w:sz w:val="20"/>
                <w:szCs w:val="20"/>
                <w:vertAlign w:val="superscript"/>
                <w:lang w:eastAsia="en-GB"/>
              </w:rPr>
              <w:t>225</w:t>
            </w:r>
            <w:r w:rsidR="006F7FD7">
              <w:rPr>
                <w:rFonts w:cs="Times New Roman"/>
                <w:sz w:val="20"/>
                <w:szCs w:val="20"/>
                <w:lang w:eastAsia="en-GB"/>
              </w:rPr>
              <w:fldChar w:fldCharType="end"/>
            </w:r>
          </w:p>
        </w:tc>
      </w:tr>
      <w:tr w:rsidR="00282A53" w:rsidRPr="00425275" w14:paraId="6A96FED5" w14:textId="77777777" w:rsidTr="0051552C">
        <w:trPr>
          <w:trHeight w:val="127"/>
        </w:trPr>
        <w:tc>
          <w:tcPr>
            <w:tcW w:w="2835" w:type="dxa"/>
            <w:shd w:val="clear" w:color="auto" w:fill="auto"/>
            <w:vAlign w:val="center"/>
          </w:tcPr>
          <w:p w14:paraId="71004AC4"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 xml:space="preserve">Neuroendocrine tumour </w:t>
            </w:r>
          </w:p>
        </w:tc>
        <w:tc>
          <w:tcPr>
            <w:tcW w:w="3402" w:type="dxa"/>
            <w:shd w:val="clear" w:color="auto" w:fill="auto"/>
          </w:tcPr>
          <w:p w14:paraId="334126F5" w14:textId="31C261CC" w:rsidR="00282A53" w:rsidRPr="00425275" w:rsidRDefault="00282A53" w:rsidP="004D5B2B">
            <w:pPr>
              <w:pStyle w:val="table"/>
              <w:rPr>
                <w:rFonts w:cs="Times New Roman"/>
                <w:sz w:val="20"/>
                <w:szCs w:val="20"/>
                <w:lang w:eastAsia="en-GB"/>
              </w:rPr>
            </w:pPr>
            <w:r w:rsidRPr="00425275">
              <w:rPr>
                <w:rFonts w:cs="Times New Roman"/>
                <w:noProof/>
                <w:sz w:val="20"/>
                <w:szCs w:val="20"/>
                <w:lang w:eastAsia="en-GB"/>
              </w:rPr>
              <w:t>Sigal, Bhangoo et al. 201</w:t>
            </w:r>
            <w:r>
              <w:rPr>
                <w:rFonts w:cs="Times New Roman"/>
                <w:noProof/>
                <w:sz w:val="20"/>
                <w:szCs w:val="20"/>
                <w:lang w:eastAsia="en-GB"/>
              </w:rPr>
              <w:t>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&lt;EndNote&gt;&lt;Cite&gt;&lt;Author&gt;Sigal&lt;/Author&gt;&lt;Year&gt;2018&lt;/Year&gt;&lt;RecNum&gt;3553&lt;/RecNum&gt;&lt;DisplayText&gt;&lt;style face="superscript"&gt;171&lt;/style&gt;&lt;/DisplayText&gt;&lt;record&gt;&lt;rec-number&gt;3553&lt;/rec-number&gt;&lt;foreign-keys&gt;&lt;key app="EN" db-id="dwaevxvazfs2f3ewvzmxrd0k0wasw55p2z2w" timestamp="1579875628"&gt;3553&lt;/key&gt;&lt;/foreign-keys&gt;&lt;ref-type name="Journal Article"&gt;17&lt;/ref-type&gt;&lt;contributors&gt;&lt;authors&gt;&lt;author&gt;Sigal, Darren S.&lt;/author&gt;&lt;author&gt;Bhangoo, Munveer S.&lt;/author&gt;&lt;author&gt;Hermel, Jonathan A.&lt;/author&gt;&lt;author&gt;Pavlick, Dean C.&lt;/author&gt;&lt;author&gt;Frampton, Garrett&lt;/author&gt;&lt;author&gt;Miller, Vincent A.&lt;/author&gt;&lt;author&gt;Ross, Jeffrey S.&lt;/author&gt;&lt;author&gt;Ali, Siraj M.&lt;/author&gt;&lt;/authors&gt;&lt;/contributors&gt;&lt;titles&gt;&lt;title&gt;Comprehensive genomic profiling identifies novel NTRK fusions in neuroendocrine tumors&lt;/title&gt;&lt;secondary-title&gt;Oncotarget&lt;/secondary-title&gt;&lt;alt-title&gt;Oncotarget&lt;/alt-title&gt;&lt;/titles&gt;&lt;periodical&gt;&lt;full-title&gt;Oncotarget&lt;/full-title&gt;&lt;/periodical&gt;&lt;alt-periodical&gt;&lt;full-title&gt;Oncotarget&lt;/full-title&gt;&lt;/alt-periodical&gt;&lt;pages&gt;35809-35812&lt;/pages&gt;&lt;volume&gt;9&lt;/volume&gt;&lt;number&gt;88&lt;/number&gt;&lt;keywords&gt;&lt;keyword&gt;NET&lt;/keyword&gt;&lt;keyword&gt;NTRK&lt;/keyword&gt;&lt;keyword&gt;neuroendocrine cancer&lt;/keyword&gt;&lt;keyword&gt;neuroendocrine tumor&lt;/keyword&gt;&lt;keyword&gt;next-generation sequencing&lt;/keyword&gt;&lt;/keywords&gt;&lt;dates&gt;&lt;year&gt;2018&lt;/year&gt;&lt;/dates&gt;&lt;isbn&gt;1949-2553&lt;/isbn&gt;&lt;accession-num&gt;30533196&lt;/accession-num&gt;&lt;urls&gt;&lt;/urls&gt;&lt;custom4&gt;LUCY&amp;apos;S REFERENCES&lt;/custom4&gt;&lt;electronic-resource-num&gt;10.18632/oncotarget.26260&lt;/electronic-resource-num&gt;&lt;remote-database-name&gt;PubMed&lt;/remote-database-name&gt;&lt;language&gt;eng&lt;/language&gt;&lt;/record&gt;&lt;/Cite&gt;&lt;/EndNote&gt;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171</w:t>
            </w:r>
            <w:r w:rsidR="006F7FD7">
              <w:rPr>
                <w:rFonts w:cs="Times New Roman"/>
                <w:noProof/>
                <w:sz w:val="20"/>
                <w:szCs w:val="20"/>
                <w:lang w:eastAsia="en-GB"/>
              </w:rPr>
              <w:fldChar w:fldCharType="end"/>
            </w:r>
          </w:p>
        </w:tc>
        <w:tc>
          <w:tcPr>
            <w:tcW w:w="4253" w:type="dxa"/>
            <w:shd w:val="clear" w:color="auto" w:fill="auto"/>
          </w:tcPr>
          <w:p w14:paraId="65805241" w14:textId="08371DCB" w:rsidR="00282A53" w:rsidRPr="00425275" w:rsidRDefault="00282A53" w:rsidP="00CB2733">
            <w:pPr>
              <w:pStyle w:val="table"/>
              <w:rPr>
                <w:rFonts w:cs="Times New Roman"/>
                <w:sz w:val="20"/>
                <w:szCs w:val="20"/>
                <w:lang w:eastAsia="en-GB"/>
              </w:rPr>
            </w:pPr>
            <w:r>
              <w:rPr>
                <w:rFonts w:cs="Times New Roman"/>
                <w:sz w:val="20"/>
                <w:szCs w:val="20"/>
                <w:lang w:eastAsia="en-GB"/>
              </w:rPr>
              <w:t>UK and Ireland Neuroendocrine Tumour Society</w:t>
            </w:r>
            <w:r w:rsidR="006F7FD7">
              <w:rPr>
                <w:rFonts w:cs="Times New Roman"/>
                <w:sz w:val="20"/>
                <w:szCs w:val="20"/>
              </w:rPr>
              <w:fldChar w:fldCharType="begin"/>
            </w:r>
            <w:r w:rsidR="00CB2733">
              <w:rPr>
                <w:rFonts w:cs="Times New Roman"/>
                <w:sz w:val="20"/>
                <w:szCs w:val="20"/>
              </w:rPr>
              <w:instrText xml:space="preserve"> ADDIN EN.CITE &lt;EndNote&gt;&lt;Cite&gt;&lt;Author&gt;UK and Ireland Neuroendcrine Tumour Society&lt;/Author&gt;&lt;Year&gt;2017&lt;/Year&gt;&lt;RecNum&gt;3556&lt;/RecNum&gt;&lt;DisplayText&gt;&lt;style face="superscript"&gt;229&lt;/style&gt;&lt;/DisplayText&gt;&lt;record&gt;&lt;rec-number&gt;3556&lt;/rec-number&gt;&lt;foreign-keys&gt;&lt;key app="EN" db-id="dwaevxvazfs2f3ewvzmxrd0k0wasw55p2z2w" timestamp="1579875628"&gt;3556&lt;/key&gt;&lt;/foreign-keys&gt;&lt;ref-type name="Conference Paper"&gt;47&lt;/ref-type&gt;&lt;contributors&gt;&lt;authors&gt;&lt;author&gt;UK and Ireland Neuroendcrine Tumour Society,&lt;/author&gt;&lt;/authors&gt;&lt;/contributors&gt;&lt;titles&gt;&lt;title&gt;Incidence and prevalence of neuroendocrine tumours in England&lt;/title&gt;&lt;secondary-title&gt;UKI NETS&lt;/secondary-title&gt;&lt;/titles&gt;&lt;volume&gt;52&lt;/volume&gt;&lt;num-vols&gt;Oral Communications 3&lt;/num-vols&gt;&lt;dates&gt;&lt;year&gt;2017&lt;/year&gt;&lt;pub-dates&gt;&lt;date&gt;04 Dec 2017&lt;/date&gt;&lt;/pub-dates&gt;&lt;/dates&gt;&lt;pub-location&gt;London, UK&lt;/pub-location&gt;&lt;publisher&gt;Endocrine Abstracts&lt;/publisher&gt;&lt;urls&gt;&lt;/urls&gt;&lt;custom4&gt;LUCY&amp;apos;S REFERENCES&lt;/custom4&gt;&lt;electronic-resource-num&gt;https://doi.org/10.1530/endoabs.52.OC3&lt;/electronic-resource-num&gt;&lt;/record&gt;&lt;/Cite&gt;&lt;/EndNote&gt;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229</w:t>
            </w:r>
            <w:r w:rsidR="006F7FD7">
              <w:rPr>
                <w:rFonts w:cs="Times New Roman"/>
                <w:sz w:val="20"/>
                <w:szCs w:val="20"/>
              </w:rPr>
              <w:fldChar w:fldCharType="end"/>
            </w:r>
          </w:p>
        </w:tc>
        <w:tc>
          <w:tcPr>
            <w:tcW w:w="3022" w:type="dxa"/>
            <w:shd w:val="clear" w:color="auto" w:fill="auto"/>
          </w:tcPr>
          <w:p w14:paraId="06E06BDF" w14:textId="457E96EA" w:rsidR="00282A53" w:rsidRPr="00425275" w:rsidRDefault="00282A53" w:rsidP="00CB2733">
            <w:pPr>
              <w:pStyle w:val="table"/>
              <w:rPr>
                <w:rFonts w:cs="Times New Roman"/>
                <w:sz w:val="20"/>
                <w:szCs w:val="20"/>
                <w:lang w:eastAsia="en-GB"/>
              </w:rPr>
            </w:pPr>
            <w:r>
              <w:rPr>
                <w:rFonts w:cs="Times New Roman"/>
                <w:sz w:val="20"/>
                <w:szCs w:val="20"/>
                <w:lang w:eastAsia="en-GB"/>
              </w:rPr>
              <w:t>UK and Ireland Neuroendocrine Tumour Society</w:t>
            </w:r>
            <w:r w:rsidR="006F7FD7">
              <w:rPr>
                <w:rFonts w:cs="Times New Roman"/>
                <w:sz w:val="20"/>
                <w:szCs w:val="20"/>
              </w:rPr>
              <w:fldChar w:fldCharType="begin"/>
            </w:r>
            <w:r w:rsidR="00CB2733">
              <w:rPr>
                <w:rFonts w:cs="Times New Roman"/>
                <w:sz w:val="20"/>
                <w:szCs w:val="20"/>
              </w:rPr>
              <w:instrText xml:space="preserve"> ADDIN EN.CITE &lt;EndNote&gt;&lt;Cite&gt;&lt;Author&gt;UK and Ireland Neuroendcrine Tumour Society&lt;/Author&gt;&lt;Year&gt;2017&lt;/Year&gt;&lt;RecNum&gt;3556&lt;/RecNum&gt;&lt;DisplayText&gt;&lt;style face="superscript"&gt;229&lt;/style&gt;&lt;/DisplayText&gt;&lt;record&gt;&lt;rec-number&gt;3556&lt;/rec-number&gt;&lt;foreign-keys&gt;&lt;key app="EN" db-id="dwaevxvazfs2f3ewvzmxrd0k0wasw55p2z2w" timestamp="1579875628"&gt;3556&lt;/key&gt;&lt;/foreign-keys&gt;&lt;ref-type name="Conference Paper"&gt;47&lt;/ref-type&gt;&lt;contributors&gt;&lt;authors&gt;&lt;author&gt;UK and Ireland Neuroendcrine Tumour Society,&lt;/author&gt;&lt;/authors&gt;&lt;/contributors&gt;&lt;titles&gt;&lt;title&gt;Incidence and prevalence of neuroendocrine tumours in England&lt;/title&gt;&lt;secondary-title&gt;UKI NETS&lt;/secondary-title&gt;&lt;/titles&gt;&lt;volume&gt;52&lt;/volume&gt;&lt;num-vols&gt;Oral Communications 3&lt;/num-vols&gt;&lt;dates&gt;&lt;year&gt;2017&lt;/year&gt;&lt;pub-dates&gt;&lt;date&gt;04 Dec 2017&lt;/date&gt;&lt;/pub-dates&gt;&lt;/dates&gt;&lt;pub-location&gt;London, UK&lt;/pub-location&gt;&lt;publisher&gt;Endocrine Abstracts&lt;/publisher&gt;&lt;urls&gt;&lt;/urls&gt;&lt;custom4&gt;LUCY&amp;apos;S REFERENCES&lt;/custom4&gt;&lt;electronic-resource-num&gt;https://doi.org/10.1530/endoabs.52.OC3&lt;/electronic-resource-num&gt;&lt;/record&gt;&lt;/Cite&gt;&lt;/EndNote&gt;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229</w:t>
            </w:r>
            <w:r w:rsidR="006F7FD7">
              <w:rPr>
                <w:rFonts w:cs="Times New Roman"/>
                <w:sz w:val="20"/>
                <w:szCs w:val="20"/>
              </w:rPr>
              <w:fldChar w:fldCharType="end"/>
            </w:r>
          </w:p>
        </w:tc>
      </w:tr>
      <w:tr w:rsidR="00282A53" w:rsidRPr="00425275" w14:paraId="0C73220C" w14:textId="77777777" w:rsidTr="0051552C">
        <w:trPr>
          <w:trHeight w:val="127"/>
        </w:trPr>
        <w:tc>
          <w:tcPr>
            <w:tcW w:w="2835" w:type="dxa"/>
            <w:shd w:val="clear" w:color="auto" w:fill="auto"/>
            <w:vAlign w:val="center"/>
          </w:tcPr>
          <w:p w14:paraId="3DBB33C1"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 xml:space="preserve">Ovarian cancer (NOS) </w:t>
            </w:r>
          </w:p>
        </w:tc>
        <w:tc>
          <w:tcPr>
            <w:tcW w:w="3402" w:type="dxa"/>
            <w:shd w:val="clear" w:color="auto" w:fill="auto"/>
          </w:tcPr>
          <w:p w14:paraId="51BD4F0D" w14:textId="4AAD6E24" w:rsidR="00282A53" w:rsidRPr="00425275" w:rsidRDefault="00282A53" w:rsidP="00054FE8">
            <w:pPr>
              <w:pStyle w:val="table"/>
              <w:rPr>
                <w:rFonts w:cs="Times New Roman"/>
                <w:sz w:val="20"/>
                <w:szCs w:val="20"/>
                <w:lang w:eastAsia="en-GB"/>
              </w:rPr>
            </w:pPr>
            <w:r w:rsidRPr="00425275">
              <w:rPr>
                <w:rFonts w:cs="Times New Roman"/>
                <w:sz w:val="20"/>
                <w:szCs w:val="20"/>
                <w:lang w:eastAsia="en-GB"/>
              </w:rPr>
              <w:t xml:space="preserve">Assumption based on average prevelence </w:t>
            </w:r>
            <w:r w:rsidRPr="00425275">
              <w:rPr>
                <w:rFonts w:cs="Times New Roman"/>
                <w:noProof/>
                <w:sz w:val="20"/>
                <w:szCs w:val="20"/>
                <w:lang w:eastAsia="en-GB"/>
              </w:rPr>
              <w:t>(Solomon, Linkov et al. 2019)</w:t>
            </w:r>
            <w:r w:rsidR="006F7FD7">
              <w:rPr>
                <w:rFonts w:cs="Times New Roman"/>
                <w:sz w:val="20"/>
                <w:szCs w:val="20"/>
              </w:rPr>
              <w:fldChar w:fldCharType="begin"/>
            </w:r>
            <w:r w:rsidR="00054FE8">
              <w:rPr>
                <w:rFonts w:cs="Times New Roman"/>
                <w:sz w:val="20"/>
                <w:szCs w:val="20"/>
              </w:rPr>
              <w:instrText xml:space="preserve"> ADDIN EN.CITE &lt;EndNote&gt;&lt;Cite&gt;&lt;Author&gt;Solomon&lt;/Author&gt;&lt;Year&gt;2019&lt;/Year&gt;&lt;RecNum&gt;3557&lt;/RecNum&gt;&lt;DisplayText&gt;&lt;style face="superscript"&gt;176&lt;/style&gt;&lt;/DisplayText&gt;&lt;record&gt;&lt;rec-number&gt;3557&lt;/rec-number&gt;&lt;foreign-keys&gt;&lt;key app="EN" db-id="dwaevxvazfs2f3ewvzmxrd0k0wasw55p2z2w" timestamp="1579875628"&gt;3557&lt;/key&gt;&lt;/foreign-keys&gt;&lt;ref-type name="Journal Article"&gt;17&lt;/ref-type&gt;&lt;contributors&gt;&lt;authors&gt;&lt;author&gt;Solomon, James P.&lt;/author&gt;&lt;author&gt;Linkov, Irina&lt;/author&gt;&lt;author&gt;Rosado, Andrea&lt;/author&gt;&lt;author&gt;Mullaney, Kerry&lt;/author&gt;&lt;author&gt;Rosen, Ezra Y.&lt;/author&gt;&lt;author&gt;Frosina, Denise&lt;/author&gt;&lt;author&gt;Jungbluth, Achim A.&lt;/author&gt;&lt;author&gt;Zehir, Ahmet&lt;/author&gt;&lt;author&gt;Benayed, Ryma&lt;/author&gt;&lt;author&gt;Drilon, Alexander&lt;/author&gt;&lt;author&gt;Hyman, David M.&lt;/author&gt;&lt;author&gt;Ladanyi, Marc&lt;/author&gt;&lt;author&gt;Sireci, Anthony N.&lt;/author&gt;&lt;author&gt;Hechtman, Jaclyn F.&lt;/author&gt;&lt;/authors&gt;&lt;/contributors&gt;&lt;titles&gt;&lt;title&gt;NTRK fusion detection across multiple assays and 33,997 cases: diagnostic implications and pitfalls&lt;/title&gt;&lt;secondary-title&gt;Modern Pathology&lt;/secondary-title&gt;&lt;/titles&gt;&lt;pages&gt;38-46&lt;/pages&gt;&lt;volume&gt;33&lt;/volume&gt;&lt;dates&gt;&lt;year&gt;2019&lt;/year&gt;&lt;pub-dates&gt;&lt;date&gt;2019/08/02&lt;/date&gt;&lt;/pub-dates&gt;&lt;/dates&gt;&lt;isbn&gt;1530-0285&lt;/isbn&gt;&lt;urls&gt;&lt;/urls&gt;&lt;custom4&gt;LUCY&amp;apos;S REFERENCES&lt;/custom4&gt;&lt;electronic-resource-num&gt;10.1038/s41379-019-0324-7&lt;/electronic-resource-num&gt;&lt;/record&gt;&lt;/Cite&gt;&lt;/EndNote&gt;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176</w:t>
            </w:r>
            <w:r w:rsidR="006F7FD7">
              <w:rPr>
                <w:rFonts w:cs="Times New Roman"/>
                <w:sz w:val="20"/>
                <w:szCs w:val="20"/>
              </w:rPr>
              <w:fldChar w:fldCharType="end"/>
            </w:r>
          </w:p>
        </w:tc>
        <w:tc>
          <w:tcPr>
            <w:tcW w:w="4253" w:type="dxa"/>
            <w:shd w:val="clear" w:color="auto" w:fill="auto"/>
          </w:tcPr>
          <w:p w14:paraId="668E7AB0" w14:textId="067629E3" w:rsidR="00282A53" w:rsidRPr="00425275" w:rsidRDefault="00282A53"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0305B165" w14:textId="7E31ADDF" w:rsidR="00282A53" w:rsidRPr="00425275" w:rsidRDefault="00282A53" w:rsidP="00055E4F">
            <w:pPr>
              <w:pStyle w:val="table"/>
              <w:rPr>
                <w:rFonts w:cs="Times New Roman"/>
                <w:sz w:val="20"/>
                <w:szCs w:val="20"/>
              </w:rPr>
            </w:pPr>
            <w:r w:rsidRPr="00425275">
              <w:rPr>
                <w:rFonts w:cs="Times New Roman"/>
                <w:sz w:val="20"/>
                <w:szCs w:val="20"/>
                <w:lang w:eastAsia="en-GB"/>
              </w:rPr>
              <w:t xml:space="preserve">Cancer Research </w:t>
            </w:r>
            <w:r w:rsidRPr="00425275">
              <w:rPr>
                <w:rFonts w:cs="Times New Roman"/>
                <w:noProof/>
                <w:sz w:val="20"/>
                <w:szCs w:val="20"/>
                <w:lang w:eastAsia="en-GB"/>
              </w:rPr>
              <w:t>(UK)</w:t>
            </w:r>
            <w:r w:rsidRPr="00425275">
              <w:rPr>
                <w:rFonts w:cs="Times New Roman"/>
                <w:sz w:val="20"/>
                <w:szCs w:val="20"/>
                <w:lang w:eastAsia="en-GB"/>
              </w:rPr>
              <w:t xml:space="preserve">: </w:t>
            </w:r>
            <w:r w:rsidRPr="00425275">
              <w:rPr>
                <w:rFonts w:cs="Times New Roman"/>
                <w:sz w:val="20"/>
                <w:szCs w:val="20"/>
              </w:rPr>
              <w:t>Ovarian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UK&lt;/Author&gt;&lt;Year&gt;2016&lt;/Year&gt;&lt;RecNum&gt;3569&lt;/RecNum&gt;&lt;DisplayText&gt;&lt;style face="superscript"&gt;256&lt;/style&gt;&lt;/DisplayText&gt;&lt;record&gt;&lt;rec-number&gt;3569&lt;/rec-number&gt;&lt;foreign-keys&gt;&lt;key app="EN" db-id="dwaevxvazfs2f3ewvzmxrd0k0wasw55p2z2w" timestamp="1579875628"&gt;3569&lt;/key&gt;&lt;/foreign-keys&gt;&lt;ref-type name="Web Page"&gt;12&lt;/ref-type&gt;&lt;contributors&gt;&lt;authors&gt;&lt;author&gt;Cancer Research UK,&lt;/author&gt;&lt;/authors&gt;&lt;secondary-authors&gt;&lt;author&gt;Cancer Research UK&lt;/author&gt;&lt;/secondary-authors&gt;&lt;/contributors&gt;&lt;titles&gt;&lt;title&gt;Ovarian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UK&lt;/publisher&gt;&lt;urls&gt;&lt;related-urls&gt;&lt;url&gt;https://www.cancerresearchuk.org/health-professional/cancer-statistics/statistics-by-cancer-type/ovarian-cancer/incidence &lt;/url&gt;&lt;/related-urls&gt;&lt;/urls&gt;&lt;custom4&gt;LUCY&amp;apos;S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256</w:t>
            </w:r>
            <w:r w:rsidR="006F7FD7">
              <w:rPr>
                <w:rFonts w:cs="Times New Roman"/>
                <w:sz w:val="20"/>
                <w:szCs w:val="20"/>
              </w:rPr>
              <w:fldChar w:fldCharType="end"/>
            </w:r>
          </w:p>
        </w:tc>
      </w:tr>
      <w:tr w:rsidR="00282A53" w:rsidRPr="00425275" w14:paraId="00C368BC" w14:textId="77777777" w:rsidTr="0051552C">
        <w:trPr>
          <w:trHeight w:val="32"/>
        </w:trPr>
        <w:tc>
          <w:tcPr>
            <w:tcW w:w="2835" w:type="dxa"/>
            <w:shd w:val="clear" w:color="auto" w:fill="auto"/>
            <w:vAlign w:val="center"/>
          </w:tcPr>
          <w:p w14:paraId="37EDDC3C"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Paediatric high grade glioma</w:t>
            </w:r>
          </w:p>
        </w:tc>
        <w:tc>
          <w:tcPr>
            <w:tcW w:w="3402" w:type="dxa"/>
            <w:shd w:val="clear" w:color="auto" w:fill="auto"/>
          </w:tcPr>
          <w:p w14:paraId="3B26CB45" w14:textId="007FB419" w:rsidR="00282A53" w:rsidRPr="00425275" w:rsidRDefault="00282A53" w:rsidP="004D5B2B">
            <w:pPr>
              <w:pStyle w:val="table"/>
              <w:rPr>
                <w:rFonts w:cs="Times New Roman"/>
                <w:sz w:val="20"/>
                <w:szCs w:val="20"/>
                <w:lang w:eastAsia="en-GB"/>
              </w:rPr>
            </w:pPr>
            <w:r w:rsidRPr="00425275">
              <w:rPr>
                <w:rFonts w:cs="Times New Roman"/>
                <w:noProof/>
                <w:sz w:val="20"/>
                <w:szCs w:val="20"/>
                <w:lang w:eastAsia="en-GB"/>
              </w:rPr>
              <w:t>O</w:t>
            </w:r>
            <w:r>
              <w:rPr>
                <w:rFonts w:cs="Times New Roman"/>
                <w:noProof/>
                <w:sz w:val="20"/>
                <w:szCs w:val="20"/>
                <w:lang w:eastAsia="en-GB"/>
              </w:rPr>
              <w:t>kamura, Boichard et al. 2018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&lt;EndNote&gt;&lt;Cite&gt;&lt;Author&gt;Okamura&lt;/Author&gt;&lt;Year&gt;2018&lt;/Year&gt;&lt;RecNum&gt;3547&lt;/RecNum&gt;&lt;DisplayText&gt;&lt;style face="superscript"&gt;172&lt;/style&gt;&lt;/DisplayText&gt;&lt;record&gt;&lt;rec-number&gt;3547&lt;/rec-number&gt;&lt;foreign-keys&gt;&lt;key app="EN" db-id="dwaevxvazfs2f3ewvzmxrd0k0wasw55p2z2w" timestamp="1579875628"&gt;3547&lt;/key&gt;&lt;/foreign-keys&gt;&lt;ref-type name="Journal Article"&gt;17&lt;/ref-type&gt;&lt;contributors&gt;&lt;authors&gt;&lt;author&gt;Okamura, R.&lt;/author&gt;&lt;author&gt;Boichard, A.&lt;/author&gt;&lt;author&gt;Kato, S.&lt;/author&gt;&lt;author&gt;Sicklick, J.K.&lt;/author&gt;&lt;author&gt;Bazhenova, L.&lt;/author&gt;&lt;author&gt;Kurzrock, R.&lt;/author&gt;&lt;/authors&gt;&lt;/contributors&gt;&lt;titles&gt;&lt;title&gt;Analysis of NTRK alterations in pan-cancer adult and pediatric malignancies: implications for NTRK-targeted therapeutics&lt;/title&gt;&lt;secondary-title&gt;JCO Precision Oncology&lt;/secondary-title&gt;&lt;alt-title&gt;JCO Precis Oncol&lt;/alt-title&gt;&lt;/titles&gt;&lt;periodical&gt;&lt;full-title&gt;JCO Precision Oncology&lt;/full-title&gt;&lt;/periodical&gt;&lt;volume&gt;2018&lt;/volume&gt;&lt;edition&gt;2018/11/15&lt;/edition&gt;&lt;dates&gt;&lt;year&gt;2018&lt;/year&gt;&lt;/dates&gt;&lt;isbn&gt;2473-4284&lt;/isbn&gt;&lt;accession-num&gt;30637364&lt;/accession-num&gt;&lt;urls&gt;&lt;/urls&gt;&lt;custom4&gt;LUCY&amp;apos;S REFERENCES&lt;/custom4&gt;&lt;electronic-resource-num&gt;10.1200/PO.18.00183&lt;/electronic-resource-num&gt;&lt;remote-database-name&gt;PubMed&lt;/remote-database-name&gt;&lt;language&gt;eng&lt;/language&gt;&lt;/record&gt;&lt;/Cite&gt;&lt;/EndNote&gt;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172</w:t>
            </w:r>
            <w:r w:rsidR="006F7FD7">
              <w:rPr>
                <w:rFonts w:cs="Times New Roman"/>
                <w:noProof/>
                <w:sz w:val="20"/>
                <w:szCs w:val="20"/>
                <w:lang w:eastAsia="en-GB"/>
              </w:rPr>
              <w:fldChar w:fldCharType="end"/>
            </w:r>
          </w:p>
        </w:tc>
        <w:tc>
          <w:tcPr>
            <w:tcW w:w="4253" w:type="dxa"/>
            <w:shd w:val="clear" w:color="auto" w:fill="auto"/>
          </w:tcPr>
          <w:p w14:paraId="5A50ECAF" w14:textId="67A06B07" w:rsidR="00282A53" w:rsidRPr="00425275" w:rsidRDefault="00282A53" w:rsidP="00500BB3">
            <w:pPr>
              <w:pStyle w:val="table"/>
              <w:rPr>
                <w:rFonts w:cs="Times New Roman"/>
                <w:sz w:val="20"/>
                <w:szCs w:val="20"/>
                <w:lang w:eastAsia="en-GB"/>
              </w:rPr>
            </w:pPr>
            <w:r w:rsidRPr="00425275">
              <w:rPr>
                <w:rFonts w:cs="Times New Roman"/>
                <w:noProof/>
                <w:sz w:val="20"/>
                <w:szCs w:val="20"/>
                <w:lang w:eastAsia="en-GB"/>
              </w:rPr>
              <w:t>Farrimond 2010</w:t>
            </w:r>
            <w:r w:rsidR="006F7FD7">
              <w:rPr>
                <w:rFonts w:cs="Times New Roman"/>
                <w:noProof/>
                <w:sz w:val="20"/>
                <w:szCs w:val="20"/>
                <w:lang w:eastAsia="en-GB"/>
              </w:rPr>
              <w:fldChar w:fldCharType="begin"/>
            </w:r>
            <w:r w:rsidR="00500BB3">
              <w:rPr>
                <w:rFonts w:cs="Times New Roman"/>
                <w:noProof/>
                <w:sz w:val="20"/>
                <w:szCs w:val="20"/>
                <w:lang w:eastAsia="en-GB"/>
              </w:rPr>
              <w:instrText xml:space="preserve"> ADDIN EN.CITE &lt;EndNote&gt;&lt;Cite&gt;&lt;Author&gt;Farrimond&lt;/Author&gt;&lt;Year&gt;2010&lt;/Year&gt;&lt;RecNum&gt;3546&lt;/RecNum&gt;&lt;DisplayText&gt;&lt;style face="superscript"&gt;257&lt;/style&gt;&lt;/DisplayText&gt;&lt;record&gt;&lt;rec-number&gt;3546&lt;/rec-number&gt;&lt;foreign-keys&gt;&lt;key app="EN" db-id="dwaevxvazfs2f3ewvzmxrd0k0wasw55p2z2w" timestamp="1579875628"&gt;3546&lt;/key&gt;&lt;/foreign-keys&gt;&lt;ref-type name="Report"&gt;27&lt;/ref-type&gt;&lt;contributors&gt;&lt;authors&gt;&lt;author&gt;Farrimond, Jessica&lt;/author&gt;&lt;/authors&gt;&lt;/contributors&gt;&lt;titles&gt;&lt;title&gt;Analysis of the cancer registry combined database for use with the Brain and CNS Registry&lt;/title&gt;&lt;/titles&gt;&lt;dates&gt;&lt;year&gt;2010&lt;/year&gt;&lt;/dates&gt;&lt;publisher&gt;National Cancer Intelligence Network. Eastern Cancer Registration and Information Centre&lt;/publisher&gt;&lt;urls&gt;&lt;related-urls&gt;&lt;url&gt;http://www.ncin.org.uk/search/brain+cns+registry&lt;/url&gt;&lt;/related-urls&gt;&lt;/urls&gt;&lt;custom4&gt;LUCY&amp;apos;S REFERENCES&lt;/custom4&gt;&lt;/record&gt;&lt;/Cite&gt;&lt;/EndNote&gt;</w:instrText>
            </w:r>
            <w:r w:rsidR="006F7FD7">
              <w:rPr>
                <w:rFonts w:cs="Times New Roman"/>
                <w:noProof/>
                <w:sz w:val="20"/>
                <w:szCs w:val="20"/>
                <w:lang w:eastAsia="en-GB"/>
              </w:rPr>
              <w:fldChar w:fldCharType="separate"/>
            </w:r>
            <w:r w:rsidR="00055E4F" w:rsidRPr="00055E4F">
              <w:rPr>
                <w:rFonts w:cs="Times New Roman"/>
                <w:noProof/>
                <w:sz w:val="20"/>
                <w:szCs w:val="20"/>
                <w:vertAlign w:val="superscript"/>
                <w:lang w:eastAsia="en-GB"/>
              </w:rPr>
              <w:t>257</w:t>
            </w:r>
            <w:r w:rsidR="006F7FD7">
              <w:rPr>
                <w:rFonts w:cs="Times New Roman"/>
                <w:noProof/>
                <w:sz w:val="20"/>
                <w:szCs w:val="20"/>
                <w:lang w:eastAsia="en-GB"/>
              </w:rPr>
              <w:fldChar w:fldCharType="end"/>
            </w:r>
          </w:p>
        </w:tc>
        <w:tc>
          <w:tcPr>
            <w:tcW w:w="3022" w:type="dxa"/>
            <w:shd w:val="clear" w:color="auto" w:fill="auto"/>
          </w:tcPr>
          <w:p w14:paraId="6D94CE83" w14:textId="54292A7B" w:rsidR="00282A53" w:rsidRPr="00425275" w:rsidRDefault="00282A53" w:rsidP="00500BB3">
            <w:pPr>
              <w:pStyle w:val="table"/>
              <w:rPr>
                <w:rFonts w:cs="Times New Roman"/>
                <w:sz w:val="20"/>
                <w:szCs w:val="20"/>
                <w:lang w:eastAsia="en-GB"/>
              </w:rPr>
            </w:pPr>
            <w:r w:rsidRPr="00425275">
              <w:rPr>
                <w:rFonts w:cs="Times New Roman"/>
                <w:noProof/>
                <w:sz w:val="20"/>
                <w:szCs w:val="20"/>
                <w:lang w:eastAsia="en-GB"/>
              </w:rPr>
              <w:t>Lee, Kim et al 2019</w:t>
            </w:r>
            <w:r w:rsidR="006F7FD7">
              <w:rPr>
                <w:rFonts w:cs="Times New Roman"/>
                <w:sz w:val="20"/>
                <w:szCs w:val="20"/>
              </w:rPr>
              <w:fldChar w:fldCharType="begin"/>
            </w:r>
            <w:r w:rsidR="00500BB3">
              <w:rPr>
                <w:rFonts w:cs="Times New Roman"/>
                <w:sz w:val="20"/>
                <w:szCs w:val="20"/>
              </w:rPr>
              <w:instrText xml:space="preserve"> ADDIN EN.CITE &lt;EndNote&gt;&lt;Cite&gt;&lt;Author&gt;Lee&lt;/Author&gt;&lt;Year&gt;2017&lt;/Year&gt;&lt;RecNum&gt;3541&lt;/RecNum&gt;&lt;DisplayText&gt;&lt;style face="superscript"&gt;225&lt;/style&gt;&lt;/DisplayText&gt;&lt;record&gt;&lt;rec-number&gt;3541&lt;/rec-number&gt;&lt;foreign-keys&gt;&lt;key app="EN" db-id="dwaevxvazfs2f3ewvzmxrd0k0wasw55p2z2w" timestamp="1579875628"&gt;3541&lt;/key&gt;&lt;/foreign-keys&gt;&lt;ref-type name="Journal Article"&gt;17&lt;/ref-type&gt;&lt;contributors&gt;&lt;authors&gt;&lt;author&gt;Lee, Su Jin&lt;/author&gt;&lt;author&gt;Kim, Nayoung K. D.&lt;/author&gt;&lt;author&gt;Lee, Se-Hoon&lt;/author&gt;&lt;author&gt;Kim, Seung Tae&lt;/author&gt;&lt;author&gt;Park, Se Hoon&lt;/author&gt;&lt;author&gt;Park, Joon Oh&lt;/author&gt;&lt;author&gt;Park, Young Suk&lt;/author&gt;&lt;author&gt;Lim, Ho Yeong&lt;/author&gt;&lt;author&gt;Kang, Won Ki&lt;/author&gt;&lt;author&gt;Park, Woong Yang&lt;/author&gt;&lt;/authors&gt;&lt;/contributors&gt;&lt;titles&gt;&lt;title&gt;NTRK gene amplification in patients with metastatic cancer&lt;/title&gt;&lt;secondary-title&gt;Precision and Future Medicine&lt;/secondary-title&gt;&lt;/titles&gt;&lt;periodical&gt;&lt;full-title&gt;Precision and Future Medicine&lt;/full-title&gt;&lt;abbr-1&gt;Precision Future Med&lt;/abbr-1&gt;&lt;/periodical&gt;&lt;pages&gt;129-137&lt;/pages&gt;&lt;volume&gt;1&lt;/volume&gt;&lt;number&gt;3&lt;/number&gt;&lt;dates&gt;&lt;year&gt;2017&lt;/year&gt;&lt;/dates&gt;&lt;isbn&gt;2508-7940&lt;/isbn&gt;&lt;urls&gt;&lt;/urls&gt;&lt;custom4&gt;LUCY&amp;apos;S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225</w:t>
            </w:r>
            <w:r w:rsidR="006F7FD7">
              <w:rPr>
                <w:rFonts w:cs="Times New Roman"/>
                <w:sz w:val="20"/>
                <w:szCs w:val="20"/>
              </w:rPr>
              <w:fldChar w:fldCharType="end"/>
            </w:r>
          </w:p>
        </w:tc>
      </w:tr>
      <w:tr w:rsidR="00282A53" w:rsidRPr="00425275" w14:paraId="32516B41" w14:textId="77777777" w:rsidTr="0051552C">
        <w:trPr>
          <w:trHeight w:val="127"/>
        </w:trPr>
        <w:tc>
          <w:tcPr>
            <w:tcW w:w="2835" w:type="dxa"/>
            <w:shd w:val="clear" w:color="auto" w:fill="auto"/>
            <w:vAlign w:val="center"/>
          </w:tcPr>
          <w:p w14:paraId="6395B28F"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Paediatric melanoma</w:t>
            </w:r>
          </w:p>
        </w:tc>
        <w:tc>
          <w:tcPr>
            <w:tcW w:w="3402" w:type="dxa"/>
            <w:shd w:val="clear" w:color="auto" w:fill="auto"/>
          </w:tcPr>
          <w:p w14:paraId="00F015FC" w14:textId="47C41F7D" w:rsidR="00282A53" w:rsidRPr="00425275" w:rsidRDefault="00282A53" w:rsidP="004D5B2B">
            <w:pPr>
              <w:pStyle w:val="table"/>
              <w:rPr>
                <w:rFonts w:cs="Times New Roman"/>
                <w:sz w:val="20"/>
                <w:szCs w:val="20"/>
                <w:lang w:eastAsia="en-GB"/>
              </w:rPr>
            </w:pPr>
            <w:r w:rsidRPr="00425275">
              <w:rPr>
                <w:rFonts w:cs="Times New Roman"/>
                <w:noProof/>
                <w:sz w:val="20"/>
                <w:szCs w:val="20"/>
                <w:lang w:eastAsia="en-GB"/>
              </w:rPr>
              <w:t>O</w:t>
            </w:r>
            <w:r>
              <w:rPr>
                <w:rFonts w:cs="Times New Roman"/>
                <w:noProof/>
                <w:sz w:val="20"/>
                <w:szCs w:val="20"/>
                <w:lang w:eastAsia="en-GB"/>
              </w:rPr>
              <w:t>kamura, Boichard et al. 2018</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&lt;EndNote&gt;&lt;Cite&gt;&lt;Author&gt;Okamura&lt;/Author&gt;&lt;Year&gt;2018&lt;/Year&gt;&lt;RecNum&gt;3547&lt;/RecNum&gt;&lt;DisplayText&gt;&lt;style face="superscript"&gt;172&lt;/style&gt;&lt;/DisplayText&gt;&lt;record&gt;&lt;rec-number&gt;3547&lt;/rec-number&gt;&lt;foreign-keys&gt;&lt;key app="EN" db-id="dwaevxvazfs2f3ewvzmxrd0k0wasw55p2z2w" timestamp="1579875628"&gt;3547&lt;/key&gt;&lt;/foreign-keys&gt;&lt;ref-type name="Journal Article"&gt;17&lt;/ref-type&gt;&lt;contributors&gt;&lt;authors&gt;&lt;author&gt;Okamura, R.&lt;/author&gt;&lt;author&gt;Boichard, A.&lt;/author&gt;&lt;author&gt;Kato, S.&lt;/author&gt;&lt;author&gt;Sicklick, J.K.&lt;/author&gt;&lt;author&gt;Bazhenova, L.&lt;/author&gt;&lt;author&gt;Kurzrock, R.&lt;/author&gt;&lt;/authors&gt;&lt;/contributors&gt;&lt;titles&gt;&lt;title&gt;Analysis of NTRK alterations in pan-cancer adult and pediatric malignancies: implications for NTRK-targeted therapeutics&lt;/title&gt;&lt;secondary-title&gt;JCO Precision Oncology&lt;/secondary-title&gt;&lt;alt-title&gt;JCO Precis Oncol&lt;/alt-title&gt;&lt;/titles&gt;&lt;periodical&gt;&lt;full-title&gt;JCO Precision Oncology&lt;/full-title&gt;&lt;/periodical&gt;&lt;volume&gt;2018&lt;/volume&gt;&lt;edition&gt;2018/11/15&lt;/edition&gt;&lt;dates&gt;&lt;year&gt;2018&lt;/year&gt;&lt;/dates&gt;&lt;isbn&gt;2473-4284&lt;/isbn&gt;&lt;accession-num&gt;30637364&lt;/accession-num&gt;&lt;urls&gt;&lt;/urls&gt;&lt;custom4&gt;LUCY&amp;apos;S REFERENCES&lt;/custom4&gt;&lt;electronic-resource-num&gt;10.1200/PO.18.00183&lt;/electronic-resource-num&gt;&lt;remote-database-name&gt;PubMed&lt;/remote-database-name&gt;&lt;language&gt;eng&lt;/language&gt;&lt;/record&gt;&lt;/Cite&gt;&lt;/EndNote&gt;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172</w:t>
            </w:r>
            <w:r w:rsidR="006F7FD7">
              <w:rPr>
                <w:rFonts w:cs="Times New Roman"/>
                <w:noProof/>
                <w:sz w:val="20"/>
                <w:szCs w:val="20"/>
                <w:lang w:eastAsia="en-GB"/>
              </w:rPr>
              <w:fldChar w:fldCharType="end"/>
            </w:r>
          </w:p>
        </w:tc>
        <w:tc>
          <w:tcPr>
            <w:tcW w:w="4253" w:type="dxa"/>
            <w:shd w:val="clear" w:color="auto" w:fill="auto"/>
          </w:tcPr>
          <w:p w14:paraId="1588110F" w14:textId="67A04CF9" w:rsidR="00282A53" w:rsidRPr="00425275" w:rsidRDefault="00282A53" w:rsidP="00055E4F">
            <w:pPr>
              <w:pStyle w:val="table"/>
              <w:rPr>
                <w:rFonts w:cs="Times New Roman"/>
                <w:sz w:val="20"/>
                <w:szCs w:val="20"/>
                <w:lang w:eastAsia="en-GB"/>
              </w:rPr>
            </w:pPr>
            <w:r w:rsidRPr="00425275">
              <w:rPr>
                <w:rFonts w:cs="Times New Roman"/>
                <w:sz w:val="20"/>
                <w:szCs w:val="20"/>
                <w:lang w:eastAsia="en-GB"/>
              </w:rPr>
              <w:t>Cancer Research UK</w:t>
            </w:r>
            <w:r w:rsidR="006F7FD7">
              <w:rPr>
                <w:rFonts w:cs="Times New Roman"/>
                <w:sz w:val="20"/>
                <w:szCs w:val="20"/>
                <w:lang w:eastAsia="en-GB"/>
              </w:rPr>
              <w:fldChar w:fldCharType="begin"/>
            </w:r>
            <w:r w:rsidR="00055E4F">
              <w:rPr>
                <w:rFonts w:cs="Times New Roman"/>
                <w:sz w:val="20"/>
                <w:szCs w:val="20"/>
                <w:lang w:eastAsia="en-GB"/>
              </w:rPr>
              <w:instrText xml:space="preserve"> ADDIN EN.CITE &lt;EndNote&gt;&lt;Cite&gt;&lt;Author&gt;Cancer Research UK&lt;/Author&gt;&lt;Year&gt;2014&lt;/Year&gt;&lt;RecNum&gt;3563&lt;/RecNum&gt;&lt;DisplayText&gt;&lt;style face="superscript"&gt;258&lt;/style&gt;&lt;/DisplayText&gt;&lt;record&gt;&lt;rec-number&gt;3563&lt;/rec-number&gt;&lt;foreign-keys&gt;&lt;key app="EN" db-id="dwaevxvazfs2f3ewvzmxrd0k0wasw55p2z2w" timestamp="1579875628"&gt;3563&lt;/key&gt;&lt;/foreign-keys&gt;&lt;ref-type name="Web Page"&gt;12&lt;/ref-type&gt;&lt;contributors&gt;&lt;authors&gt;&lt;author&gt;Cancer Research UK,&lt;/author&gt;&lt;/authors&gt;&lt;secondary-authors&gt;&lt;author&gt;Cancer Research UK&lt;/author&gt;&lt;/secondary-authors&gt;&lt;/contributors&gt;&lt;titles&gt;&lt;title&gt;Children&amp;apos;s cancer incidence statistics&lt;/title&gt;&lt;/titles&gt;&lt;volume&gt;2019&lt;/volume&gt;&lt;number&gt;Jun&lt;/number&gt;&lt;dates&gt;&lt;year&gt;2014&lt;/year&gt;&lt;/dates&gt;&lt;pub-location&gt;London&lt;/pub-location&gt;&lt;publisher&gt;Cancer Research UK&lt;/publisher&gt;&lt;urls&gt;&lt;related-urls&gt;&lt;url&gt;https://www.cancerresearchuk.org/health-professional/cancer-statistics/childrens-cancers&lt;/url&gt;&lt;/related-urls&gt;&lt;/urls&gt;&lt;custom4&gt;LUCY&amp;apos;S REFERENCES&lt;/custom4&gt;&lt;/record&gt;&lt;/Cite&gt;&lt;/EndNote&gt;</w:instrText>
            </w:r>
            <w:r w:rsidR="006F7FD7">
              <w:rPr>
                <w:rFonts w:cs="Times New Roman"/>
                <w:sz w:val="20"/>
                <w:szCs w:val="20"/>
                <w:lang w:eastAsia="en-GB"/>
              </w:rPr>
              <w:fldChar w:fldCharType="separate"/>
            </w:r>
            <w:r w:rsidR="00055E4F" w:rsidRPr="00055E4F">
              <w:rPr>
                <w:rFonts w:cs="Times New Roman"/>
                <w:noProof/>
                <w:sz w:val="20"/>
                <w:szCs w:val="20"/>
                <w:vertAlign w:val="superscript"/>
                <w:lang w:eastAsia="en-GB"/>
              </w:rPr>
              <w:t>258</w:t>
            </w:r>
            <w:r w:rsidR="006F7FD7">
              <w:rPr>
                <w:rFonts w:cs="Times New Roman"/>
                <w:sz w:val="20"/>
                <w:szCs w:val="20"/>
                <w:lang w:eastAsia="en-GB"/>
              </w:rPr>
              <w:fldChar w:fldCharType="end"/>
            </w:r>
          </w:p>
        </w:tc>
        <w:tc>
          <w:tcPr>
            <w:tcW w:w="3022" w:type="dxa"/>
            <w:shd w:val="clear" w:color="auto" w:fill="auto"/>
          </w:tcPr>
          <w:p w14:paraId="20031BE2" w14:textId="5B994510" w:rsidR="00282A53" w:rsidRPr="00425275" w:rsidRDefault="00282A53" w:rsidP="00500BB3">
            <w:pPr>
              <w:pStyle w:val="table"/>
              <w:rPr>
                <w:rFonts w:cs="Times New Roman"/>
                <w:sz w:val="20"/>
                <w:szCs w:val="20"/>
                <w:lang w:eastAsia="en-GB"/>
              </w:rPr>
            </w:pPr>
            <w:r w:rsidRPr="00425275">
              <w:rPr>
                <w:rFonts w:cs="Times New Roman"/>
                <w:noProof/>
                <w:sz w:val="20"/>
                <w:szCs w:val="20"/>
                <w:lang w:eastAsia="en-GB"/>
              </w:rPr>
              <w:t>Austin, Xing et al. 2013</w:t>
            </w:r>
            <w:r w:rsidR="006F7FD7">
              <w:rPr>
                <w:rFonts w:cs="Times New Roman"/>
                <w:sz w:val="20"/>
                <w:szCs w:val="20"/>
              </w:rPr>
              <w:fldChar w:fldCharType="begin"/>
            </w:r>
            <w:r w:rsidR="00500BB3">
              <w:rPr>
                <w:rFonts w:cs="Times New Roman"/>
                <w:sz w:val="20"/>
                <w:szCs w:val="20"/>
              </w:rPr>
              <w:instrText xml:space="preserve"> ADDIN EN.CITE &lt;EndNote&gt;&lt;Cite&gt;&lt;Author&gt;Austin&lt;/Author&gt;&lt;Year&gt;2013&lt;/Year&gt;&lt;RecNum&gt;3526&lt;/RecNum&gt;&lt;DisplayText&gt;&lt;style face="superscript"&gt;239&lt;/style&gt;&lt;/DisplayText&gt;&lt;record&gt;&lt;rec-number&gt;3526&lt;/rec-number&gt;&lt;foreign-keys&gt;&lt;key app="EN" db-id="dwaevxvazfs2f3ewvzmxrd0k0wasw55p2z2w" timestamp="1579875628"&gt;3526&lt;/key&gt;&lt;/foreign-keys&gt;&lt;ref-type name="Journal Article"&gt;17&lt;/ref-type&gt;&lt;contributors&gt;&lt;authors&gt;&lt;author&gt;Austin, MT&lt;/author&gt;&lt;author&gt;Xing, Y&lt;/author&gt;&lt;author&gt;Hayes-Jordan, AA&lt;/author&gt;&lt;author&gt;Lally, KP&lt;/author&gt;&lt;author&gt;Cormier, JN&lt;/author&gt;&lt;/authors&gt;&lt;/contributors&gt;&lt;titles&gt;&lt;title&gt;Melanoma incidence rises for children and adolescents: an epidemiologic review of pediatric melanoma in the United States&lt;/title&gt;&lt;secondary-title&gt;Journal of Pediatric Surgery&lt;/secondary-title&gt;&lt;/titles&gt;&lt;periodical&gt;&lt;full-title&gt;Journal of Pediatric Surgery&lt;/full-title&gt;&lt;abbr-1&gt;J Pediatr Surg&lt;/abbr-1&gt;&lt;/periodical&gt;&lt;pages&gt;2207&lt;/pages&gt;&lt;volume&gt;48&lt;/volume&gt;&lt;number&gt;11&lt;/number&gt;&lt;dates&gt;&lt;year&gt;2013&lt;/year&gt;&lt;/dates&gt;&lt;isbn&gt;1531-5037&lt;/isbn&gt;&lt;urls&gt;&lt;/urls&gt;&lt;custom4&gt;LUCY&amp;apos;S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239</w:t>
            </w:r>
            <w:r w:rsidR="006F7FD7">
              <w:rPr>
                <w:rFonts w:cs="Times New Roman"/>
                <w:sz w:val="20"/>
                <w:szCs w:val="20"/>
              </w:rPr>
              <w:fldChar w:fldCharType="end"/>
            </w:r>
          </w:p>
        </w:tc>
      </w:tr>
      <w:tr w:rsidR="00282A53" w:rsidRPr="00425275" w14:paraId="72468121" w14:textId="77777777" w:rsidTr="0051552C">
        <w:trPr>
          <w:trHeight w:val="127"/>
        </w:trPr>
        <w:tc>
          <w:tcPr>
            <w:tcW w:w="2835" w:type="dxa"/>
            <w:shd w:val="clear" w:color="auto" w:fill="auto"/>
            <w:vAlign w:val="center"/>
          </w:tcPr>
          <w:p w14:paraId="788C7D01"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Papillary thyroid tumour</w:t>
            </w:r>
          </w:p>
        </w:tc>
        <w:tc>
          <w:tcPr>
            <w:tcW w:w="3402" w:type="dxa"/>
            <w:shd w:val="clear" w:color="auto" w:fill="auto"/>
          </w:tcPr>
          <w:p w14:paraId="40A4967F" w14:textId="6697BA12" w:rsidR="00282A53" w:rsidRPr="00425275" w:rsidRDefault="00282A53"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052E636D" w14:textId="1903A4F8" w:rsidR="00282A53" w:rsidRPr="00425275" w:rsidRDefault="00282A53" w:rsidP="00500BB3">
            <w:pPr>
              <w:pStyle w:val="table"/>
              <w:rPr>
                <w:rFonts w:cs="Times New Roman"/>
                <w:sz w:val="20"/>
                <w:szCs w:val="20"/>
                <w:lang w:eastAsia="en-GB"/>
              </w:rPr>
            </w:pPr>
            <w:r w:rsidRPr="00425275">
              <w:rPr>
                <w:rFonts w:cs="Times New Roman"/>
                <w:sz w:val="20"/>
                <w:szCs w:val="20"/>
              </w:rPr>
              <w:t xml:space="preserve">Cancer Registration Statistics </w:t>
            </w:r>
            <w:r w:rsidRPr="00425275">
              <w:rPr>
                <w:rFonts w:cs="Times New Roman"/>
                <w:noProof/>
                <w:sz w:val="20"/>
                <w:szCs w:val="20"/>
              </w:rPr>
              <w:t>(9)</w:t>
            </w:r>
            <w:r w:rsidRPr="00425275">
              <w:rPr>
                <w:rFonts w:cs="Times New Roman"/>
                <w:sz w:val="20"/>
                <w:szCs w:val="20"/>
              </w:rPr>
              <w:t xml:space="preserve"> and </w:t>
            </w:r>
            <w:r w:rsidRPr="00425275">
              <w:rPr>
                <w:rFonts w:cs="Times New Roman"/>
                <w:noProof/>
                <w:sz w:val="20"/>
                <w:szCs w:val="20"/>
              </w:rPr>
              <w:t>Brzeziańska, Karbownik et al. 2006</w:t>
            </w:r>
            <w:r>
              <w:rPr>
                <w:rFonts w:cs="Times New Roman"/>
                <w:noProof/>
                <w:sz w:val="20"/>
                <w:szCs w:val="20"/>
              </w:rPr>
              <w:t xml:space="preserve"> </w:t>
            </w:r>
            <w:r w:rsidR="00CB2733">
              <w:rPr>
                <w:rFonts w:cs="Times New Roman"/>
                <w:noProof/>
                <w:sz w:val="20"/>
                <w:szCs w:val="20"/>
              </w:rPr>
              <w:fldChar w:fldCharType="begin"/>
            </w:r>
            <w:r w:rsidR="00500BB3">
              <w:rPr>
                <w:rFonts w:cs="Times New Roman"/>
                <w:noProof/>
                <w:sz w:val="20"/>
                <w:szCs w:val="20"/>
              </w:rPr>
              <w:instrText xml:space="preserve"> ADDIN EN.CITE &lt;EndNote&gt;&lt;Cite&gt;&lt;Author&gt;Brzeziańska&lt;/Author&gt;&lt;Year&gt;2006&lt;/Year&gt;&lt;RecNum&gt;3602&lt;/RecNum&gt;&lt;DisplayText&gt;&lt;style face="superscript"&gt;259&lt;/style&gt;&lt;/DisplayText&gt;&lt;record&gt;&lt;rec-number&gt;3602&lt;/rec-number&gt;&lt;foreign-keys&gt;&lt;key app="EN" db-id="dwaevxvazfs2f3ewvzmxrd0k0wasw55p2z2w" timestamp="1582281831"&gt;3602&lt;/key&gt;&lt;/foreign-keys&gt;&lt;ref-type name="Journal Article"&gt;17&lt;/ref-type&gt;&lt;contributors&gt;&lt;authors&gt;&lt;author&gt;Brzeziańska, Ewa&lt;/author&gt;&lt;author&gt;Karbownik, Małgorzata&lt;/author&gt;&lt;author&gt;Migdalska-Sęk, Monika&lt;/author&gt;&lt;author&gt;Pastuszak-Lewandoska, Dorota&lt;/author&gt;&lt;author&gt;Włoch, Jan&lt;/author&gt;&lt;author&gt;Lewiński, Andrzej&lt;/author&gt;&lt;/authors&gt;&lt;/contributors&gt;&lt;titles&gt;&lt;title&gt;Molecular analysis of the RET and NTRK1 gene rearrangements in papillary thyroid carcinoma in the Polish population&lt;/title&gt;&lt;secondary-title&gt;Mutation Research/Fundamental and Molecular Mechanisms of Mutagenesis&lt;/secondary-title&gt;&lt;/titles&gt;&lt;periodical&gt;&lt;full-title&gt;Mutation Research/Fundamental and Molecular Mechanisms of Mutagenesis&lt;/full-title&gt;&lt;abbr-1&gt;Mut Res/Fundamental Molecular Mechanisms Mutagenesis&lt;/abbr-1&gt;&lt;/periodical&gt;&lt;pages&gt;26-35&lt;/pages&gt;&lt;volume&gt;599&lt;/volume&gt;&lt;number&gt;1-2&lt;/number&gt;&lt;dates&gt;&lt;year&gt;2006&lt;/year&gt;&lt;/dates&gt;&lt;isbn&gt;0027-5107&lt;/isbn&gt;&lt;urls&gt;&lt;/urls&gt;&lt;/record&gt;&lt;/Cite&gt;&lt;/EndNote&gt;</w:instrText>
            </w:r>
            <w:r w:rsidR="00CB2733">
              <w:rPr>
                <w:rFonts w:cs="Times New Roman"/>
                <w:noProof/>
                <w:sz w:val="20"/>
                <w:szCs w:val="20"/>
              </w:rPr>
              <w:fldChar w:fldCharType="separate"/>
            </w:r>
            <w:r w:rsidR="00055E4F" w:rsidRPr="00055E4F">
              <w:rPr>
                <w:rFonts w:cs="Times New Roman"/>
                <w:noProof/>
                <w:sz w:val="20"/>
                <w:szCs w:val="20"/>
                <w:vertAlign w:val="superscript"/>
              </w:rPr>
              <w:t>259</w:t>
            </w:r>
            <w:r w:rsidR="00CB2733">
              <w:rPr>
                <w:rFonts w:cs="Times New Roman"/>
                <w:noProof/>
                <w:sz w:val="20"/>
                <w:szCs w:val="20"/>
              </w:rPr>
              <w:fldChar w:fldCharType="end"/>
            </w:r>
          </w:p>
        </w:tc>
        <w:tc>
          <w:tcPr>
            <w:tcW w:w="3022" w:type="dxa"/>
            <w:shd w:val="clear" w:color="auto" w:fill="auto"/>
          </w:tcPr>
          <w:p w14:paraId="5FA9058B" w14:textId="6875AE4C" w:rsidR="00282A53" w:rsidRPr="00425275" w:rsidRDefault="00282A53" w:rsidP="00CB2733">
            <w:pPr>
              <w:pStyle w:val="table"/>
              <w:rPr>
                <w:rFonts w:cs="Times New Roman"/>
                <w:sz w:val="20"/>
                <w:szCs w:val="20"/>
                <w:highlight w:val="yellow"/>
                <w:lang w:eastAsia="en-GB"/>
              </w:rPr>
            </w:pPr>
            <w:r w:rsidRPr="00425275">
              <w:rPr>
                <w:rFonts w:cs="Times New Roman"/>
                <w:noProof/>
                <w:sz w:val="20"/>
                <w:szCs w:val="20"/>
                <w:lang w:eastAsia="en-GB"/>
              </w:rPr>
              <w:t>Deen, Burke et al. 2016</w:t>
            </w:r>
            <w:r w:rsidR="006F7FD7">
              <w:rPr>
                <w:rFonts w:cs="Times New Roman"/>
                <w:sz w:val="20"/>
                <w:szCs w:val="20"/>
              </w:rPr>
              <w:fldChar w:fldCharType="begin"/>
            </w:r>
            <w:r w:rsidR="00CB2733">
              <w:rPr>
                <w:rFonts w:cs="Times New Roman"/>
                <w:sz w:val="20"/>
                <w:szCs w:val="20"/>
              </w:rPr>
              <w:instrText xml:space="preserve"> ADDIN EN.CITE &lt;EndNote&gt;&lt;Cite&gt;&lt;Author&gt;Deen&lt;/Author&gt;&lt;Year&gt;2016&lt;/Year&gt;&lt;RecNum&gt;3531&lt;/RecNum&gt;&lt;DisplayText&gt;&lt;style face="superscript"&gt;238&lt;/style&gt;&lt;/DisplayText&gt;&lt;record&gt;&lt;rec-number&gt;3531&lt;/rec-number&gt;&lt;foreign-keys&gt;&lt;key app="EN" db-id="dwaevxvazfs2f3ewvzmxrd0k0wasw55p2z2w" timestamp="1579875628"&gt;3531&lt;/key&gt;&lt;/foreign-keys&gt;&lt;ref-type name="Journal Article"&gt;17&lt;/ref-type&gt;&lt;contributors&gt;&lt;authors&gt;&lt;author&gt;Deen, Munim H.&lt;/author&gt;&lt;author&gt;Burke, Kaitlin M.&lt;/author&gt;&lt;author&gt;Janitz, Amanda&lt;/author&gt;&lt;author&gt;Campbell, Janis&lt;/author&gt;&lt;/authors&gt;&lt;/contributors&gt;&lt;titles&gt;&lt;title&gt;Cancers of the thyroid: overview and statistics in the United States and Oklahoma&lt;/title&gt;&lt;secondary-title&gt;The Journal of the Oklahoma State Medical Association&lt;/secondary-title&gt;&lt;/titles&gt;&lt;pages&gt;333&lt;/pages&gt;&lt;volume&gt;109&lt;/volume&gt;&lt;number&gt;7-8&lt;/number&gt;&lt;dates&gt;&lt;year&gt;2016&lt;/year&gt;&lt;/dates&gt;&lt;urls&gt;&lt;/urls&gt;&lt;custom4&gt;LUCY&amp;apos;S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238</w:t>
            </w:r>
            <w:r w:rsidR="006F7FD7">
              <w:rPr>
                <w:rFonts w:cs="Times New Roman"/>
                <w:sz w:val="20"/>
                <w:szCs w:val="20"/>
              </w:rPr>
              <w:fldChar w:fldCharType="end"/>
            </w:r>
          </w:p>
        </w:tc>
      </w:tr>
      <w:tr w:rsidR="00282A53" w:rsidRPr="00425275" w14:paraId="20C5E5DC" w14:textId="77777777" w:rsidTr="0051552C">
        <w:trPr>
          <w:trHeight w:val="127"/>
        </w:trPr>
        <w:tc>
          <w:tcPr>
            <w:tcW w:w="2835" w:type="dxa"/>
            <w:shd w:val="clear" w:color="auto" w:fill="auto"/>
            <w:vAlign w:val="center"/>
          </w:tcPr>
          <w:p w14:paraId="15D4D4D0"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 xml:space="preserve">Prostate cancer (NOS) </w:t>
            </w:r>
          </w:p>
        </w:tc>
        <w:tc>
          <w:tcPr>
            <w:tcW w:w="3402" w:type="dxa"/>
            <w:shd w:val="clear" w:color="auto" w:fill="auto"/>
          </w:tcPr>
          <w:p w14:paraId="20F4F2ED" w14:textId="7E621302" w:rsidR="00282A53" w:rsidRPr="00425275" w:rsidRDefault="00282A53" w:rsidP="00054FE8">
            <w:pPr>
              <w:pStyle w:val="table"/>
              <w:rPr>
                <w:rFonts w:cs="Times New Roman"/>
                <w:sz w:val="20"/>
                <w:szCs w:val="20"/>
                <w:lang w:eastAsia="en-GB"/>
              </w:rPr>
            </w:pPr>
            <w:r w:rsidRPr="00425275">
              <w:rPr>
                <w:rFonts w:cs="Times New Roman"/>
                <w:sz w:val="20"/>
                <w:szCs w:val="20"/>
                <w:lang w:eastAsia="en-GB"/>
              </w:rPr>
              <w:t xml:space="preserve">Assumption based on average prevelence </w:t>
            </w:r>
            <w:r w:rsidRPr="00425275">
              <w:rPr>
                <w:rFonts w:cs="Times New Roman"/>
                <w:noProof/>
                <w:sz w:val="20"/>
                <w:szCs w:val="20"/>
                <w:lang w:eastAsia="en-GB"/>
              </w:rPr>
              <w:t>(Solomon, Linkov et al. 2019)</w:t>
            </w:r>
            <w:r w:rsidR="006F7FD7">
              <w:rPr>
                <w:rFonts w:cs="Times New Roman"/>
                <w:sz w:val="20"/>
                <w:szCs w:val="20"/>
              </w:rPr>
              <w:fldChar w:fldCharType="begin"/>
            </w:r>
            <w:r w:rsidR="00054FE8">
              <w:rPr>
                <w:rFonts w:cs="Times New Roman"/>
                <w:sz w:val="20"/>
                <w:szCs w:val="20"/>
              </w:rPr>
              <w:instrText xml:space="preserve"> ADDIN EN.CITE &lt;EndNote&gt;&lt;Cite&gt;&lt;Author&gt;Solomon&lt;/Author&gt;&lt;Year&gt;2019&lt;/Year&gt;&lt;RecNum&gt;3557&lt;/RecNum&gt;&lt;DisplayText&gt;&lt;style face="superscript"&gt;176&lt;/style&gt;&lt;/DisplayText&gt;&lt;record&gt;&lt;rec-number&gt;3557&lt;/rec-number&gt;&lt;foreign-keys&gt;&lt;key app="EN" db-id="dwaevxvazfs2f3ewvzmxrd0k0wasw55p2z2w" timestamp="1579875628"&gt;3557&lt;/key&gt;&lt;/foreign-keys&gt;&lt;ref-type name="Journal Article"&gt;17&lt;/ref-type&gt;&lt;contributors&gt;&lt;authors&gt;&lt;author&gt;Solomon, James P.&lt;/author&gt;&lt;author&gt;Linkov, Irina&lt;/author&gt;&lt;author&gt;Rosado, Andrea&lt;/author&gt;&lt;author&gt;Mullaney, Kerry&lt;/author&gt;&lt;author&gt;Rosen, Ezra Y.&lt;/author&gt;&lt;author&gt;Frosina, Denise&lt;/author&gt;&lt;author&gt;Jungbluth, Achim A.&lt;/author&gt;&lt;author&gt;Zehir, Ahmet&lt;/author&gt;&lt;author&gt;Benayed, Ryma&lt;/author&gt;&lt;author&gt;Drilon, Alexander&lt;/author&gt;&lt;author&gt;Hyman, David M.&lt;/author&gt;&lt;author&gt;Ladanyi, Marc&lt;/author&gt;&lt;author&gt;Sireci, Anthony N.&lt;/author&gt;&lt;author&gt;Hechtman, Jaclyn F.&lt;/author&gt;&lt;/authors&gt;&lt;/contributors&gt;&lt;titles&gt;&lt;title&gt;NTRK fusion detection across multiple assays and 33,997 cases: diagnostic implications and pitfalls&lt;/title&gt;&lt;secondary-title&gt;Modern Pathology&lt;/secondary-title&gt;&lt;/titles&gt;&lt;pages&gt;38-46&lt;/pages&gt;&lt;volume&gt;33&lt;/volume&gt;&lt;dates&gt;&lt;year&gt;2019&lt;/year&gt;&lt;pub-dates&gt;&lt;date&gt;2019/08/02&lt;/date&gt;&lt;/pub-dates&gt;&lt;/dates&gt;&lt;isbn&gt;1530-0285&lt;/isbn&gt;&lt;urls&gt;&lt;/urls&gt;&lt;custom4&gt;LUCY&amp;apos;S REFERENCES&lt;/custom4&gt;&lt;electronic-resource-num&gt;10.1038/s41379-019-0324-7&lt;/electronic-resource-num&gt;&lt;/record&gt;&lt;/Cite&gt;&lt;/EndNote&gt;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176</w:t>
            </w:r>
            <w:r w:rsidR="006F7FD7">
              <w:rPr>
                <w:rFonts w:cs="Times New Roman"/>
                <w:sz w:val="20"/>
                <w:szCs w:val="20"/>
              </w:rPr>
              <w:fldChar w:fldCharType="end"/>
            </w:r>
          </w:p>
        </w:tc>
        <w:tc>
          <w:tcPr>
            <w:tcW w:w="4253" w:type="dxa"/>
            <w:shd w:val="clear" w:color="auto" w:fill="auto"/>
          </w:tcPr>
          <w:p w14:paraId="70182CE3" w14:textId="48620012" w:rsidR="00282A53" w:rsidRPr="00425275" w:rsidRDefault="00282A53"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6A7EE28B" w14:textId="72A99EE2" w:rsidR="00282A53" w:rsidRPr="00425275" w:rsidRDefault="00282A53" w:rsidP="00055E4F">
            <w:pPr>
              <w:pStyle w:val="table"/>
              <w:rPr>
                <w:rFonts w:cs="Times New Roman"/>
                <w:sz w:val="20"/>
                <w:szCs w:val="20"/>
                <w:lang w:eastAsia="en-GB"/>
              </w:rPr>
            </w:pPr>
            <w:r w:rsidRPr="00425275">
              <w:rPr>
                <w:rFonts w:cs="Times New Roman"/>
                <w:sz w:val="20"/>
                <w:szCs w:val="20"/>
                <w:lang w:eastAsia="en-GB"/>
              </w:rPr>
              <w:t xml:space="preserve">Cancer Research </w:t>
            </w:r>
            <w:r w:rsidRPr="00425275">
              <w:rPr>
                <w:rFonts w:cs="Times New Roman"/>
                <w:noProof/>
                <w:sz w:val="20"/>
                <w:szCs w:val="20"/>
              </w:rPr>
              <w:t>(UK)</w:t>
            </w:r>
            <w:r w:rsidRPr="00425275">
              <w:rPr>
                <w:rFonts w:cs="Times New Roman"/>
                <w:sz w:val="20"/>
                <w:szCs w:val="20"/>
              </w:rPr>
              <w:t>: Prostate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UK&lt;/Author&gt;&lt;Year&gt;2016&lt;/Year&gt;&lt;RecNum&gt;3571&lt;/RecNum&gt;&lt;DisplayText&gt;&lt;style face="superscript"&gt;260&lt;/style&gt;&lt;/DisplayText&gt;&lt;record&gt;&lt;rec-number&gt;3571&lt;/rec-number&gt;&lt;foreign-keys&gt;&lt;key app="EN" db-id="dwaevxvazfs2f3ewvzmxrd0k0wasw55p2z2w" timestamp="1579875628"&gt;3571&lt;/key&gt;&lt;/foreign-keys&gt;&lt;ref-type name="Web Page"&gt;12&lt;/ref-type&gt;&lt;contributors&gt;&lt;authors&gt;&lt;author&gt;Cancer Research UK,&lt;/author&gt;&lt;/authors&gt;&lt;secondary-authors&gt;&lt;author&gt;Cancer Research UK&lt;/author&gt;&lt;/secondary-authors&gt;&lt;/contributors&gt;&lt;titles&gt;&lt;title&gt;Prostate cancer incidence by stage at diagnosis &lt;/title&gt;&lt;/titles&gt;&lt;volume&gt;2019&lt;/volume&gt;&lt;number&gt;Jun&lt;/number&gt;&lt;dates&gt;&lt;year&gt;2016&lt;/year&gt;&lt;/dates&gt;&lt;pub-location&gt;London&lt;/pub-location&gt;&lt;publisher&gt;Cancer Research UK&lt;/publisher&gt;&lt;urls&gt;&lt;related-urls&gt;&lt;url&gt;https://www.cancerresearchuk.org/health-professional/cancer-statistics/statistics-by-cancer-type/prostate-cancer/incidence#heading-Three&lt;/url&gt;&lt;/related-urls&gt;&lt;/urls&gt;&lt;custom4&gt;LUCY&amp;apos;S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260</w:t>
            </w:r>
            <w:r w:rsidR="006F7FD7">
              <w:rPr>
                <w:rFonts w:cs="Times New Roman"/>
                <w:sz w:val="20"/>
                <w:szCs w:val="20"/>
              </w:rPr>
              <w:fldChar w:fldCharType="end"/>
            </w:r>
          </w:p>
        </w:tc>
      </w:tr>
      <w:tr w:rsidR="00282A53" w:rsidRPr="00425275" w14:paraId="61724D80" w14:textId="77777777" w:rsidTr="0051552C">
        <w:trPr>
          <w:trHeight w:val="127"/>
        </w:trPr>
        <w:tc>
          <w:tcPr>
            <w:tcW w:w="2835" w:type="dxa"/>
            <w:shd w:val="clear" w:color="auto" w:fill="auto"/>
            <w:vAlign w:val="center"/>
          </w:tcPr>
          <w:p w14:paraId="630FE9F5"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Renal cell carcinoma</w:t>
            </w:r>
          </w:p>
        </w:tc>
        <w:tc>
          <w:tcPr>
            <w:tcW w:w="3402" w:type="dxa"/>
            <w:shd w:val="clear" w:color="auto" w:fill="auto"/>
          </w:tcPr>
          <w:p w14:paraId="748F4F51" w14:textId="632A38B1" w:rsidR="00282A53" w:rsidRPr="00425275" w:rsidRDefault="00282A53" w:rsidP="00054FE8">
            <w:pPr>
              <w:pStyle w:val="table"/>
              <w:rPr>
                <w:rFonts w:cs="Times New Roman"/>
                <w:sz w:val="20"/>
                <w:szCs w:val="20"/>
                <w:lang w:eastAsia="en-GB"/>
              </w:rPr>
            </w:pPr>
            <w:r w:rsidRPr="00425275">
              <w:rPr>
                <w:rFonts w:cs="Times New Roman"/>
                <w:sz w:val="20"/>
                <w:szCs w:val="20"/>
                <w:lang w:eastAsia="en-GB"/>
              </w:rPr>
              <w:t xml:space="preserve">Assumption based on average prevelence </w:t>
            </w:r>
            <w:r w:rsidRPr="00425275">
              <w:rPr>
                <w:rFonts w:cs="Times New Roman"/>
                <w:noProof/>
                <w:sz w:val="20"/>
                <w:szCs w:val="20"/>
                <w:lang w:eastAsia="en-GB"/>
              </w:rPr>
              <w:t>(Solomon, Linkov et al. 2019)</w:t>
            </w:r>
            <w:r w:rsidR="006F7FD7">
              <w:rPr>
                <w:rFonts w:cs="Times New Roman"/>
                <w:sz w:val="20"/>
                <w:szCs w:val="20"/>
              </w:rPr>
              <w:fldChar w:fldCharType="begin"/>
            </w:r>
            <w:r w:rsidR="00054FE8">
              <w:rPr>
                <w:rFonts w:cs="Times New Roman"/>
                <w:sz w:val="20"/>
                <w:szCs w:val="20"/>
              </w:rPr>
              <w:instrText xml:space="preserve"> ADDIN EN.CITE &lt;EndNote&gt;&lt;Cite&gt;&lt;Author&gt;Solomon&lt;/Author&gt;&lt;Year&gt;2019&lt;/Year&gt;&lt;RecNum&gt;3557&lt;/RecNum&gt;&lt;DisplayText&gt;&lt;style face="superscript"&gt;176&lt;/style&gt;&lt;/DisplayText&gt;&lt;record&gt;&lt;rec-number&gt;3557&lt;/rec-number&gt;&lt;foreign-keys&gt;&lt;key app="EN" db-id="dwaevxvazfs2f3ewvzmxrd0k0wasw55p2z2w" timestamp="1579875628"&gt;3557&lt;/key&gt;&lt;/foreign-keys&gt;&lt;ref-type name="Journal Article"&gt;17&lt;/ref-type&gt;&lt;contributors&gt;&lt;authors&gt;&lt;author&gt;Solomon, James P.&lt;/author&gt;&lt;author&gt;Linkov, Irina&lt;/author&gt;&lt;author&gt;Rosado, Andrea&lt;/author&gt;&lt;author&gt;Mullaney, Kerry&lt;/author&gt;&lt;author&gt;Rosen, Ezra Y.&lt;/author&gt;&lt;author&gt;Frosina, Denise&lt;/author&gt;&lt;author&gt;Jungbluth, Achim A.&lt;/author&gt;&lt;author&gt;Zehir, Ahmet&lt;/author&gt;&lt;author&gt;Benayed, Ryma&lt;/author&gt;&lt;author&gt;Drilon, Alexander&lt;/author&gt;&lt;author&gt;Hyman, David M.&lt;/author&gt;&lt;author&gt;Ladanyi, Marc&lt;/author&gt;&lt;author&gt;Sireci, Anthony N.&lt;/author&gt;&lt;author&gt;Hechtman, Jaclyn F.&lt;/author&gt;&lt;/authors&gt;&lt;/contributors&gt;&lt;titles&gt;&lt;title&gt;NTRK fusion detection across multiple assays and 33,997 cases: diagnostic implications and pitfalls&lt;/title&gt;&lt;secondary-title&gt;Modern Pathology&lt;/secondary-title&gt;&lt;/titles&gt;&lt;pages&gt;38-46&lt;/pages&gt;&lt;volume&gt;33&lt;/volume&gt;&lt;dates&gt;&lt;year&gt;2019&lt;/year&gt;&lt;pub-dates&gt;&lt;date&gt;2019/08/02&lt;/date&gt;&lt;/pub-dates&gt;&lt;/dates&gt;&lt;isbn&gt;1530-0285&lt;/isbn&gt;&lt;urls&gt;&lt;/urls&gt;&lt;custom4&gt;LUCY&amp;apos;S REFERENCES&lt;/custom4&gt;&lt;electronic-resource-num&gt;10.1038/s41379-019-0324-7&lt;/electronic-resource-num&gt;&lt;/record&gt;&lt;/Cite&gt;&lt;/EndNote&gt;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176</w:t>
            </w:r>
            <w:r w:rsidR="006F7FD7">
              <w:rPr>
                <w:rFonts w:cs="Times New Roman"/>
                <w:sz w:val="20"/>
                <w:szCs w:val="20"/>
              </w:rPr>
              <w:fldChar w:fldCharType="end"/>
            </w:r>
          </w:p>
        </w:tc>
        <w:tc>
          <w:tcPr>
            <w:tcW w:w="4253" w:type="dxa"/>
            <w:shd w:val="clear" w:color="auto" w:fill="auto"/>
          </w:tcPr>
          <w:p w14:paraId="38E2C52C" w14:textId="77C00385" w:rsidR="00282A53" w:rsidRPr="00425275" w:rsidRDefault="00282A53" w:rsidP="00055E4F">
            <w:pPr>
              <w:pStyle w:val="table"/>
              <w:rPr>
                <w:rFonts w:cs="Times New Roman"/>
                <w:sz w:val="20"/>
                <w:szCs w:val="20"/>
                <w:lang w:eastAsia="en-GB"/>
              </w:rPr>
            </w:pPr>
            <w:r w:rsidRPr="00425275">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r>
              <w:rPr>
                <w:rFonts w:cs="Times New Roman"/>
                <w:sz w:val="20"/>
                <w:szCs w:val="20"/>
              </w:rPr>
              <w:t xml:space="preserve"> </w:t>
            </w:r>
            <w:r w:rsidRPr="00425275">
              <w:rPr>
                <w:rFonts w:cs="Times New Roman"/>
                <w:sz w:val="20"/>
                <w:szCs w:val="20"/>
              </w:rPr>
              <w:t xml:space="preserve">and Cancer Research </w:t>
            </w:r>
            <w:r w:rsidRPr="00425275">
              <w:rPr>
                <w:rFonts w:cs="Times New Roman"/>
                <w:noProof/>
                <w:sz w:val="20"/>
                <w:szCs w:val="20"/>
              </w:rPr>
              <w:t>UK</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UK&lt;/Author&gt;&lt;Year&gt;2016&lt;/Year&gt;&lt;RecNum&gt;3572&lt;/RecNum&gt;&lt;DisplayText&gt;&lt;style face="superscript"&gt;261&lt;/style&gt;&lt;/DisplayText&gt;&lt;record&gt;&lt;rec-number&gt;3572&lt;/rec-number&gt;&lt;foreign-keys&gt;&lt;key app="EN" db-id="dwaevxvazfs2f3ewvzmxrd0k0wasw55p2z2w" timestamp="1579875628"&gt;3572&lt;/key&gt;&lt;/foreign-keys&gt;&lt;ref-type name="Web Page"&gt;12&lt;/ref-type&gt;&lt;contributors&gt;&lt;authors&gt;&lt;author&gt;Cancer Research UK,&lt;/author&gt;&lt;/authors&gt;&lt;secondary-authors&gt;&lt;author&gt;Cancer Research UK&lt;/author&gt;&lt;/secondary-authors&gt;&lt;/contributors&gt;&lt;titles&gt;&lt;title&gt;Kidney Cancer: Stages, types and grades&lt;/title&gt;&lt;/titles&gt;&lt;volume&gt;2019&lt;/volume&gt;&lt;number&gt;Dec&lt;/number&gt;&lt;dates&gt;&lt;year&gt;2016&lt;/year&gt;&lt;/dates&gt;&lt;pub-location&gt;London&lt;/pub-location&gt;&lt;publisher&gt;Cancer Research UK&lt;/publisher&gt;&lt;urls&gt;&lt;related-urls&gt;&lt;url&gt;https://www.cancerresearchuk.org/about-cancer/kidney-cancer/stages-types-grades/types-grades&lt;/url&gt;&lt;/related-urls&gt;&lt;/urls&gt;&lt;custom4&gt;LUCY&amp;apos;S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261</w:t>
            </w:r>
            <w:r w:rsidR="006F7FD7">
              <w:rPr>
                <w:rFonts w:cs="Times New Roman"/>
                <w:sz w:val="20"/>
                <w:szCs w:val="20"/>
              </w:rPr>
              <w:fldChar w:fldCharType="end"/>
            </w:r>
          </w:p>
        </w:tc>
        <w:tc>
          <w:tcPr>
            <w:tcW w:w="3022" w:type="dxa"/>
            <w:shd w:val="clear" w:color="auto" w:fill="auto"/>
          </w:tcPr>
          <w:p w14:paraId="6EB2EE71" w14:textId="1C5406CC" w:rsidR="00282A53" w:rsidRPr="00425275" w:rsidRDefault="00282A53" w:rsidP="00055E4F">
            <w:pPr>
              <w:pStyle w:val="table"/>
              <w:rPr>
                <w:rFonts w:cs="Times New Roman"/>
                <w:sz w:val="20"/>
                <w:szCs w:val="20"/>
                <w:lang w:eastAsia="en-GB"/>
              </w:rPr>
            </w:pPr>
            <w:r w:rsidRPr="00425275">
              <w:rPr>
                <w:rFonts w:cs="Times New Roman"/>
                <w:sz w:val="20"/>
                <w:szCs w:val="20"/>
                <w:lang w:eastAsia="en-GB"/>
              </w:rPr>
              <w:t xml:space="preserve">Cancer Research </w:t>
            </w:r>
            <w:r w:rsidRPr="00425275">
              <w:rPr>
                <w:rFonts w:cs="Times New Roman"/>
                <w:noProof/>
                <w:sz w:val="20"/>
                <w:szCs w:val="20"/>
                <w:lang w:eastAsia="en-GB"/>
              </w:rPr>
              <w:t>(UK)</w:t>
            </w:r>
            <w:r w:rsidRPr="00425275">
              <w:rPr>
                <w:rFonts w:cs="Times New Roman"/>
                <w:sz w:val="20"/>
                <w:szCs w:val="20"/>
                <w:lang w:eastAsia="en-GB"/>
              </w:rPr>
              <w:t xml:space="preserve">: </w:t>
            </w:r>
            <w:r w:rsidRPr="00425275">
              <w:rPr>
                <w:rFonts w:cs="Times New Roman"/>
                <w:sz w:val="20"/>
                <w:szCs w:val="20"/>
              </w:rPr>
              <w:t>Kidney cancer incidence by stage at diagnosis</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UK&lt;/Author&gt;&lt;Year&gt;2016&lt;/Year&gt;&lt;RecNum&gt;3572&lt;/RecNum&gt;&lt;DisplayText&gt;&lt;style face="superscript"&gt;261&lt;/style&gt;&lt;/DisplayText&gt;&lt;record&gt;&lt;rec-number&gt;3572&lt;/rec-number&gt;&lt;foreign-keys&gt;&lt;key app="EN" db-id="dwaevxvazfs2f3ewvzmxrd0k0wasw55p2z2w" timestamp="1579875628"&gt;3572&lt;/key&gt;&lt;/foreign-keys&gt;&lt;ref-type name="Web Page"&gt;12&lt;/ref-type&gt;&lt;contributors&gt;&lt;authors&gt;&lt;author&gt;Cancer Research UK,&lt;/author&gt;&lt;/authors&gt;&lt;secondary-authors&gt;&lt;author&gt;Cancer Research UK&lt;/author&gt;&lt;/secondary-authors&gt;&lt;/contributors&gt;&lt;titles&gt;&lt;title&gt;Kidney Cancer: Stages, types and grades&lt;/title&gt;&lt;/titles&gt;&lt;volume&gt;2019&lt;/volume&gt;&lt;number&gt;Dec&lt;/number&gt;&lt;dates&gt;&lt;year&gt;2016&lt;/year&gt;&lt;/dates&gt;&lt;pub-location&gt;London&lt;/pub-location&gt;&lt;publisher&gt;Cancer Research UK&lt;/publisher&gt;&lt;urls&gt;&lt;related-urls&gt;&lt;url&gt;https://www.cancerresearchuk.org/about-cancer/kidney-cancer/stages-types-grades/types-grades&lt;/url&gt;&lt;/related-urls&gt;&lt;/urls&gt;&lt;custom4&gt;LUCY&amp;apos;S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261</w:t>
            </w:r>
            <w:r w:rsidR="006F7FD7">
              <w:rPr>
                <w:rFonts w:cs="Times New Roman"/>
                <w:sz w:val="20"/>
                <w:szCs w:val="20"/>
              </w:rPr>
              <w:fldChar w:fldCharType="end"/>
            </w:r>
          </w:p>
        </w:tc>
      </w:tr>
      <w:tr w:rsidR="00282A53" w:rsidRPr="00425275" w14:paraId="2CFB175C" w14:textId="77777777" w:rsidTr="0051552C">
        <w:trPr>
          <w:trHeight w:val="127"/>
        </w:trPr>
        <w:tc>
          <w:tcPr>
            <w:tcW w:w="2835" w:type="dxa"/>
            <w:shd w:val="clear" w:color="auto" w:fill="auto"/>
            <w:vAlign w:val="center"/>
          </w:tcPr>
          <w:p w14:paraId="7914096E"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Salivary gland (non MASC)</w:t>
            </w:r>
          </w:p>
        </w:tc>
        <w:tc>
          <w:tcPr>
            <w:tcW w:w="3402" w:type="dxa"/>
            <w:shd w:val="clear" w:color="auto" w:fill="auto"/>
          </w:tcPr>
          <w:p w14:paraId="10BAAA50" w14:textId="628F7459" w:rsidR="00282A53" w:rsidRPr="00425275" w:rsidRDefault="00282A53"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64248186" w14:textId="25C81B71" w:rsidR="00282A53" w:rsidRPr="00425275" w:rsidRDefault="00282A53"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6789CFF0" w14:textId="08D192A6" w:rsidR="00282A53" w:rsidRPr="00425275" w:rsidRDefault="00282A53" w:rsidP="00055E4F">
            <w:pPr>
              <w:pStyle w:val="table"/>
              <w:rPr>
                <w:rFonts w:cs="Times New Roman"/>
                <w:sz w:val="20"/>
                <w:szCs w:val="20"/>
                <w:lang w:eastAsia="en-GB"/>
              </w:rPr>
            </w:pPr>
            <w:r w:rsidRPr="00425275">
              <w:rPr>
                <w:rFonts w:cs="Times New Roman"/>
                <w:sz w:val="20"/>
                <w:szCs w:val="20"/>
                <w:lang w:eastAsia="en-GB"/>
              </w:rPr>
              <w:t>Assumed to be the same as Head and Neck Squamous Cell Carcinoma</w:t>
            </w:r>
            <w:r w:rsidR="006F7FD7">
              <w:rPr>
                <w:rFonts w:cs="Times New Roman"/>
                <w:sz w:val="20"/>
                <w:szCs w:val="20"/>
              </w:rPr>
              <w:fldChar w:fldCharType="begin"/>
            </w:r>
            <w:r w:rsidR="00055E4F">
              <w:rPr>
                <w:rFonts w:cs="Times New Roman"/>
                <w:sz w:val="20"/>
                <w:szCs w:val="20"/>
              </w:rPr>
              <w:instrText xml:space="preserve"> ADDIN EN.CITE &lt;EndNote&gt;&lt;Cite&gt;&lt;Author&gt;Cancer Research UK&lt;/Author&gt;&lt;Year&gt;2016&lt;/Year&gt;&lt;RecNum&gt;3567&lt;/RecNum&gt;&lt;DisplayText&gt;&lt;style face="superscript"&gt;254&lt;/style&gt;&lt;/DisplayText&gt;&lt;record&gt;&lt;rec-number&gt;3567&lt;/rec-number&gt;&lt;foreign-keys&gt;&lt;key app="EN" db-id="dwaevxvazfs2f3ewvzmxrd0k0wasw55p2z2w" timestamp="1579875628"&gt;3567&lt;/key&gt;&lt;/foreign-keys&gt;&lt;ref-type name="Web Page"&gt;12&lt;/ref-type&gt;&lt;contributors&gt;&lt;authors&gt;&lt;author&gt;Cancer Research UK,&lt;/author&gt;&lt;/authors&gt;&lt;/contributors&gt;&lt;titles&gt;&lt;title&gt;Head and neck cancers statistics&lt;/title&gt;&lt;/titles&gt;&lt;volume&gt;2019&lt;/volume&gt;&lt;dates&gt;&lt;year&gt;2016&lt;/year&gt;&lt;/dates&gt;&lt;pub-location&gt;London&lt;/pub-location&gt;&lt;urls&gt;&lt;related-urls&gt;&lt;url&gt;https://www.cancerresearchuk.org/health-professional/cancer-statistics/statistics-by-cancer-type/head-and-neck-cancers&lt;/url&gt;&lt;/related-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254</w:t>
            </w:r>
            <w:r w:rsidR="006F7FD7">
              <w:rPr>
                <w:rFonts w:cs="Times New Roman"/>
                <w:sz w:val="20"/>
                <w:szCs w:val="20"/>
              </w:rPr>
              <w:fldChar w:fldCharType="end"/>
            </w:r>
          </w:p>
        </w:tc>
      </w:tr>
      <w:tr w:rsidR="00282A53" w:rsidRPr="00425275" w14:paraId="53854159" w14:textId="77777777" w:rsidTr="0051552C">
        <w:trPr>
          <w:trHeight w:val="127"/>
        </w:trPr>
        <w:tc>
          <w:tcPr>
            <w:tcW w:w="2835" w:type="dxa"/>
            <w:shd w:val="clear" w:color="auto" w:fill="auto"/>
            <w:vAlign w:val="center"/>
          </w:tcPr>
          <w:p w14:paraId="37BBF0D9"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Secretory breast carcinoma</w:t>
            </w:r>
          </w:p>
        </w:tc>
        <w:tc>
          <w:tcPr>
            <w:tcW w:w="3402" w:type="dxa"/>
            <w:shd w:val="clear" w:color="auto" w:fill="auto"/>
          </w:tcPr>
          <w:p w14:paraId="40139929" w14:textId="4762ABFA" w:rsidR="00282A53" w:rsidRPr="00425275" w:rsidRDefault="00282A53"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4AE79C0D" w14:textId="21B33D8E" w:rsidR="00282A53" w:rsidRPr="00425275" w:rsidRDefault="00282A53" w:rsidP="00500BB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r>
              <w:rPr>
                <w:rFonts w:cs="Times New Roman"/>
                <w:sz w:val="20"/>
                <w:szCs w:val="20"/>
              </w:rPr>
              <w:t xml:space="preserve"> </w:t>
            </w:r>
            <w:r w:rsidRPr="00425275">
              <w:rPr>
                <w:rFonts w:cs="Times New Roman"/>
                <w:sz w:val="20"/>
                <w:szCs w:val="20"/>
              </w:rPr>
              <w:t xml:space="preserve">and </w:t>
            </w:r>
            <w:r w:rsidRPr="00425275">
              <w:rPr>
                <w:rFonts w:cs="Times New Roman"/>
                <w:noProof/>
                <w:sz w:val="20"/>
                <w:szCs w:val="20"/>
              </w:rPr>
              <w:t>Horowitz, Sharma et al. 2012</w:t>
            </w:r>
            <w:r w:rsidR="006F7FD7">
              <w:rPr>
                <w:rFonts w:cs="Times New Roman"/>
                <w:noProof/>
                <w:sz w:val="20"/>
                <w:szCs w:val="20"/>
              </w:rPr>
              <w:fldChar w:fldCharType="begin"/>
            </w:r>
            <w:r w:rsidR="00500BB3">
              <w:rPr>
                <w:rFonts w:cs="Times New Roman"/>
                <w:noProof/>
                <w:sz w:val="20"/>
                <w:szCs w:val="20"/>
              </w:rPr>
              <w:instrText xml:space="preserve"> ADDIN EN.CITE &lt;EndNote&gt;&lt;Cite&gt;&lt;Author&gt;Horowitz&lt;/Author&gt;&lt;Year&gt;2012&lt;/Year&gt;&lt;RecNum&gt;3538&lt;/RecNum&gt;&lt;DisplayText&gt;&lt;style face="superscript"&gt;262&lt;/style&gt;&lt;/DisplayText&gt;&lt;record&gt;&lt;rec-number&gt;3538&lt;/rec-number&gt;&lt;foreign-keys&gt;&lt;key app="EN" db-id="dwaevxvazfs2f3ewvzmxrd0k0wasw55p2z2w" timestamp="1579875628"&gt;3538&lt;/key&gt;&lt;/foreign-keys&gt;&lt;ref-type name="Journal Article"&gt;17&lt;/ref-type&gt;&lt;contributors&gt;&lt;authors&gt;&lt;author&gt;Horowitz, David P.&lt;/author&gt;&lt;author&gt;Sharma, Charu S.&lt;/author&gt;&lt;author&gt;Connolly, Eileen&lt;/author&gt;&lt;author&gt;Gidea-Addeo, Daniela&lt;/author&gt;&lt;author&gt;Deutsch, Israel&lt;/author&gt;&lt;/authors&gt;&lt;/contributors&gt;&lt;titles&gt;&lt;title&gt;Secretory carcinoma of the breast: results from the survival, epidemiology and end results database&lt;/title&gt;&lt;secondary-title&gt;The Breast&lt;/secondary-title&gt;&lt;/titles&gt;&lt;periodical&gt;&lt;full-title&gt;The Breast&lt;/full-title&gt;&lt;abbr-1&gt;Breast&lt;/abbr-1&gt;&lt;/periodical&gt;&lt;pages&gt;350-353&lt;/pages&gt;&lt;volume&gt;21&lt;/volume&gt;&lt;number&gt;3&lt;/number&gt;&lt;dates&gt;&lt;year&gt;2012&lt;/year&gt;&lt;/dates&gt;&lt;isbn&gt;0960-9776&lt;/isbn&gt;&lt;urls&gt;&lt;/urls&gt;&lt;custom4&gt;LUCY&amp;apos;S REFERENCES&lt;/custom4&gt;&lt;/record&gt;&lt;/Cite&gt;&lt;/EndNote&gt;</w:instrText>
            </w:r>
            <w:r w:rsidR="006F7FD7">
              <w:rPr>
                <w:rFonts w:cs="Times New Roman"/>
                <w:noProof/>
                <w:sz w:val="20"/>
                <w:szCs w:val="20"/>
              </w:rPr>
              <w:fldChar w:fldCharType="separate"/>
            </w:r>
            <w:r w:rsidR="00055E4F" w:rsidRPr="00055E4F">
              <w:rPr>
                <w:rFonts w:cs="Times New Roman"/>
                <w:noProof/>
                <w:sz w:val="20"/>
                <w:szCs w:val="20"/>
                <w:vertAlign w:val="superscript"/>
              </w:rPr>
              <w:t>262</w:t>
            </w:r>
            <w:r w:rsidR="006F7FD7">
              <w:rPr>
                <w:rFonts w:cs="Times New Roman"/>
                <w:noProof/>
                <w:sz w:val="20"/>
                <w:szCs w:val="20"/>
              </w:rPr>
              <w:fldChar w:fldCharType="end"/>
            </w:r>
          </w:p>
        </w:tc>
        <w:tc>
          <w:tcPr>
            <w:tcW w:w="3022" w:type="dxa"/>
            <w:shd w:val="clear" w:color="auto" w:fill="auto"/>
          </w:tcPr>
          <w:p w14:paraId="325A769D" w14:textId="0D766FC1" w:rsidR="00282A53" w:rsidRPr="00425275" w:rsidRDefault="00282A53" w:rsidP="00500BB3">
            <w:pPr>
              <w:pStyle w:val="table"/>
              <w:rPr>
                <w:rFonts w:cs="Times New Roman"/>
                <w:sz w:val="20"/>
                <w:szCs w:val="20"/>
                <w:lang w:eastAsia="en-GB"/>
              </w:rPr>
            </w:pPr>
            <w:r w:rsidRPr="00425275">
              <w:rPr>
                <w:rFonts w:cs="Times New Roman"/>
                <w:noProof/>
                <w:sz w:val="20"/>
                <w:szCs w:val="20"/>
                <w:lang w:eastAsia="en-GB"/>
              </w:rPr>
              <w:t>Jacob, Hodge et al. 2016</w:t>
            </w:r>
            <w:r w:rsidR="006F7FD7">
              <w:rPr>
                <w:rFonts w:cs="Times New Roman"/>
                <w:sz w:val="20"/>
                <w:szCs w:val="20"/>
              </w:rPr>
              <w:fldChar w:fldCharType="begin"/>
            </w:r>
            <w:r w:rsidR="00500BB3">
              <w:rPr>
                <w:rFonts w:cs="Times New Roman"/>
                <w:sz w:val="20"/>
                <w:szCs w:val="20"/>
              </w:rPr>
              <w:instrText xml:space="preserve"> ADDIN EN.CITE &lt;EndNote&gt;&lt;Cite&gt;&lt;Author&gt;Jacob&lt;/Author&gt;&lt;Year&gt;2016&lt;/Year&gt;&lt;RecNum&gt;3539&lt;/RecNum&gt;&lt;DisplayText&gt;&lt;style face="superscript"&gt;263&lt;/style&gt;&lt;/DisplayText&gt;&lt;record&gt;&lt;rec-number&gt;3539&lt;/rec-number&gt;&lt;foreign-keys&gt;&lt;key app="EN" db-id="dwaevxvazfs2f3ewvzmxrd0k0wasw55p2z2w" timestamp="1579875628"&gt;3539&lt;/key&gt;&lt;/foreign-keys&gt;&lt;ref-type name="Journal Article"&gt;17&lt;/ref-type&gt;&lt;contributors&gt;&lt;authors&gt;&lt;author&gt;Jacob, John Doromal&lt;/author&gt;&lt;author&gt;Hodge, Caitlin&lt;/author&gt;&lt;author&gt;Franko, Jan&lt;/author&gt;&lt;author&gt;Pezzi, Christopher M.&lt;/author&gt;&lt;author&gt;Goldman, Charles D.&lt;/author&gt;&lt;author&gt;Klimberg, Vicki Suzanne&lt;/author&gt;&lt;/authors&gt;&lt;/contributors&gt;&lt;titles&gt;&lt;title&gt;Rare breast cancer: 246 invasive secretory carcinomas from the National Cancer Data Base&lt;/title&gt;&lt;secondary-title&gt;Journal of surgical oncology&lt;/secondary-title&gt;&lt;/titles&gt;&lt;periodical&gt;&lt;full-title&gt;Journal of Surgical Oncology&lt;/full-title&gt;&lt;abbr-1&gt;J Surg Oncol&lt;/abbr-1&gt;&lt;/periodical&gt;&lt;pages&gt;721-725&lt;/pages&gt;&lt;volume&gt;113&lt;/volume&gt;&lt;number&gt;7&lt;/number&gt;&lt;dates&gt;&lt;year&gt;2016&lt;/year&gt;&lt;/dates&gt;&lt;isbn&gt;0022-4790&lt;/isbn&gt;&lt;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263</w:t>
            </w:r>
            <w:r w:rsidR="006F7FD7">
              <w:rPr>
                <w:rFonts w:cs="Times New Roman"/>
                <w:sz w:val="20"/>
                <w:szCs w:val="20"/>
              </w:rPr>
              <w:fldChar w:fldCharType="end"/>
            </w:r>
          </w:p>
        </w:tc>
      </w:tr>
      <w:tr w:rsidR="00282A53" w:rsidRPr="00425275" w14:paraId="7B524A4A" w14:textId="77777777" w:rsidTr="0051552C">
        <w:trPr>
          <w:trHeight w:val="127"/>
        </w:trPr>
        <w:tc>
          <w:tcPr>
            <w:tcW w:w="2835" w:type="dxa"/>
            <w:shd w:val="clear" w:color="auto" w:fill="auto"/>
            <w:vAlign w:val="center"/>
          </w:tcPr>
          <w:p w14:paraId="3A28C4C8" w14:textId="77777777" w:rsidR="00282A53" w:rsidRPr="002832AE" w:rsidRDefault="00282A53" w:rsidP="00282A53">
            <w:pPr>
              <w:pStyle w:val="table"/>
              <w:rPr>
                <w:rFonts w:cs="Times New Roman"/>
                <w:sz w:val="20"/>
                <w:szCs w:val="20"/>
                <w:lang w:eastAsia="en-GB"/>
              </w:rPr>
            </w:pPr>
            <w:r w:rsidRPr="002832AE">
              <w:rPr>
                <w:rFonts w:cs="Times New Roman"/>
                <w:sz w:val="20"/>
                <w:szCs w:val="20"/>
                <w:lang w:eastAsia="en-GB"/>
              </w:rPr>
              <w:t>Sinonasal adenocarcinoma</w:t>
            </w:r>
          </w:p>
        </w:tc>
        <w:tc>
          <w:tcPr>
            <w:tcW w:w="3402" w:type="dxa"/>
            <w:shd w:val="clear" w:color="auto" w:fill="auto"/>
          </w:tcPr>
          <w:p w14:paraId="4911F124" w14:textId="5541AB9F" w:rsidR="00282A53" w:rsidRPr="00425275" w:rsidRDefault="00282A53" w:rsidP="00054FE8">
            <w:pPr>
              <w:pStyle w:val="table"/>
              <w:rPr>
                <w:rFonts w:cs="Times New Roman"/>
                <w:sz w:val="20"/>
                <w:szCs w:val="20"/>
                <w:lang w:eastAsia="en-GB"/>
              </w:rPr>
            </w:pPr>
            <w:r w:rsidRPr="00425275">
              <w:rPr>
                <w:rFonts w:cs="Times New Roman"/>
                <w:sz w:val="20"/>
                <w:szCs w:val="20"/>
                <w:lang w:eastAsia="en-GB"/>
              </w:rPr>
              <w:t xml:space="preserve">Assumption based on average prevelence </w:t>
            </w:r>
            <w:r w:rsidRPr="00425275">
              <w:rPr>
                <w:rFonts w:cs="Times New Roman"/>
                <w:noProof/>
                <w:sz w:val="20"/>
                <w:szCs w:val="20"/>
                <w:lang w:eastAsia="en-GB"/>
              </w:rPr>
              <w:t>(Solomon, Linkov et al. 2019)</w:t>
            </w:r>
            <w:r w:rsidR="006F7FD7">
              <w:rPr>
                <w:rFonts w:cs="Times New Roman"/>
                <w:sz w:val="20"/>
                <w:szCs w:val="20"/>
              </w:rPr>
              <w:fldChar w:fldCharType="begin"/>
            </w:r>
            <w:r w:rsidR="00054FE8">
              <w:rPr>
                <w:rFonts w:cs="Times New Roman"/>
                <w:sz w:val="20"/>
                <w:szCs w:val="20"/>
              </w:rPr>
              <w:instrText xml:space="preserve"> ADDIN EN.CITE &lt;EndNote&gt;&lt;Cite&gt;&lt;Author&gt;Solomon&lt;/Author&gt;&lt;Year&gt;2019&lt;/Year&gt;&lt;RecNum&gt;3557&lt;/RecNum&gt;&lt;DisplayText&gt;&lt;style face="superscript"&gt;176&lt;/style&gt;&lt;/DisplayText&gt;&lt;record&gt;&lt;rec-number&gt;3557&lt;/rec-number&gt;&lt;foreign-keys&gt;&lt;key app="EN" db-id="dwaevxvazfs2f3ewvzmxrd0k0wasw55p2z2w" timestamp="1579875628"&gt;3557&lt;/key&gt;&lt;/foreign-keys&gt;&lt;ref-type name="Journal Article"&gt;17&lt;/ref-type&gt;&lt;contributors&gt;&lt;authors&gt;&lt;author&gt;Solomon, James P.&lt;/author&gt;&lt;author&gt;Linkov, Irina&lt;/author&gt;&lt;author&gt;Rosado, Andrea&lt;/author&gt;&lt;author&gt;Mullaney, Kerry&lt;/author&gt;&lt;author&gt;Rosen, Ezra Y.&lt;/author&gt;&lt;author&gt;Frosina, Denise&lt;/author&gt;&lt;author&gt;Jungbluth, Achim A.&lt;/author&gt;&lt;author&gt;Zehir, Ahmet&lt;/author&gt;&lt;author&gt;Benayed, Ryma&lt;/author&gt;&lt;author&gt;Drilon, Alexander&lt;/author&gt;&lt;author&gt;Hyman, David M.&lt;/author&gt;&lt;author&gt;Ladanyi, Marc&lt;/author&gt;&lt;author&gt;Sireci, Anthony N.&lt;/author&gt;&lt;author&gt;Hechtman, Jaclyn F.&lt;/author&gt;&lt;/authors&gt;&lt;/contributors&gt;&lt;titles&gt;&lt;title&gt;NTRK fusion detection across multiple assays and 33,997 cases: diagnostic implications and pitfalls&lt;/title&gt;&lt;secondary-title&gt;Modern Pathology&lt;/secondary-title&gt;&lt;/titles&gt;&lt;pages&gt;38-46&lt;/pages&gt;&lt;volume&gt;33&lt;/volume&gt;&lt;dates&gt;&lt;year&gt;2019&lt;/year&gt;&lt;pub-dates&gt;&lt;date&gt;2019/08/02&lt;/date&gt;&lt;/pub-dates&gt;&lt;/dates&gt;&lt;isbn&gt;1530-0285&lt;/isbn&gt;&lt;urls&gt;&lt;/urls&gt;&lt;custom4&gt;LUCY&amp;apos;S REFERENCES&lt;/custom4&gt;&lt;electronic-resource-num&gt;10.1038/s41379-019-0324-7&lt;/electronic-resource-num&gt;&lt;/record&gt;&lt;/Cite&gt;&lt;/EndNote&gt;</w:instrText>
            </w:r>
            <w:r w:rsidR="006F7FD7">
              <w:rPr>
                <w:rFonts w:cs="Times New Roman"/>
                <w:sz w:val="20"/>
                <w:szCs w:val="20"/>
              </w:rPr>
              <w:fldChar w:fldCharType="separate"/>
            </w:r>
            <w:r w:rsidR="004D5B2B" w:rsidRPr="004D5B2B">
              <w:rPr>
                <w:rFonts w:cs="Times New Roman"/>
                <w:noProof/>
                <w:sz w:val="20"/>
                <w:szCs w:val="20"/>
                <w:vertAlign w:val="superscript"/>
              </w:rPr>
              <w:t>176</w:t>
            </w:r>
            <w:r w:rsidR="006F7FD7">
              <w:rPr>
                <w:rFonts w:cs="Times New Roman"/>
                <w:sz w:val="20"/>
                <w:szCs w:val="20"/>
              </w:rPr>
              <w:fldChar w:fldCharType="end"/>
            </w:r>
          </w:p>
        </w:tc>
        <w:tc>
          <w:tcPr>
            <w:tcW w:w="4253" w:type="dxa"/>
            <w:shd w:val="clear" w:color="auto" w:fill="auto"/>
          </w:tcPr>
          <w:p w14:paraId="505CCCAA" w14:textId="37588DDD" w:rsidR="00282A53" w:rsidRPr="00425275" w:rsidRDefault="00282A53" w:rsidP="00055E4F">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r>
              <w:rPr>
                <w:rFonts w:cs="Times New Roman"/>
                <w:sz w:val="20"/>
                <w:szCs w:val="20"/>
              </w:rPr>
              <w:t xml:space="preserve"> </w:t>
            </w:r>
            <w:r w:rsidRPr="00425275">
              <w:rPr>
                <w:rFonts w:cs="Times New Roman"/>
                <w:sz w:val="20"/>
                <w:szCs w:val="20"/>
              </w:rPr>
              <w:t xml:space="preserve">and </w:t>
            </w:r>
            <w:r w:rsidRPr="00425275">
              <w:rPr>
                <w:rFonts w:cs="Times New Roman"/>
                <w:noProof/>
                <w:sz w:val="20"/>
                <w:szCs w:val="20"/>
              </w:rPr>
              <w:t>Rushton 2012</w:t>
            </w:r>
            <w:r w:rsidR="006F7FD7">
              <w:rPr>
                <w:rFonts w:cs="Times New Roman"/>
                <w:sz w:val="20"/>
                <w:szCs w:val="20"/>
              </w:rPr>
              <w:fldChar w:fldCharType="begin"/>
            </w:r>
            <w:r w:rsidR="00055E4F">
              <w:rPr>
                <w:rFonts w:cs="Times New Roman"/>
                <w:sz w:val="20"/>
                <w:szCs w:val="20"/>
              </w:rPr>
              <w:instrText xml:space="preserve"> ADDIN EN.CITE &lt;EndNote&gt;&lt;Cite&gt;&lt;Author&gt;Rushton&lt;/Author&gt;&lt;Year&gt;2010&lt;/Year&gt;&lt;RecNum&gt;3551&lt;/RecNum&gt;&lt;DisplayText&gt;&lt;style face="superscript"&gt;264&lt;/style&gt;&lt;/DisplayText&gt;&lt;record&gt;&lt;rec-number&gt;3551&lt;/rec-number&gt;&lt;foreign-keys&gt;&lt;key app="EN" db-id="dwaevxvazfs2f3ewvzmxrd0k0wasw55p2z2w" timestamp="1579875628"&gt;3551&lt;/key&gt;&lt;/foreign-keys&gt;&lt;ref-type name="Report"&gt;27&lt;/ref-type&gt;&lt;contributors&gt;&lt;authors&gt;&lt;author&gt;Rushton, Lesley&lt;/author&gt;&lt;author&gt;Bagga, S.&lt;/author&gt;&lt;author&gt;Bevan, R.&lt;/author&gt;&lt;author&gt;Brown, T.&lt;/author&gt;&lt;author&gt;Cherrie, J.&lt;/author&gt;&lt;author&gt;Holmes, P.&lt;/author&gt;&lt;author&gt;Hutchings, S. J.&lt;/author&gt;&lt;author&gt;Fortunato, L.&lt;/author&gt;&lt;author&gt;Slack, R.&lt;/author&gt;&lt;author&gt;Van Tongeren, M.&lt;/author&gt;&lt;/authors&gt;&lt;/contributors&gt;&lt;titles&gt;&lt;title&gt;The burden of occupational cancer in Great Britain&lt;/title&gt;&lt;/titles&gt;&lt;num-vols&gt;RR800&lt;/num-vols&gt;&lt;dates&gt;&lt;year&gt;2010&lt;/year&gt;&lt;/dates&gt;&lt;pub-location&gt;London&lt;/pub-location&gt;&lt;publisher&gt;Health &amp;amp; Safety Executive&lt;/publisher&gt;&lt;urls&gt;&lt;/urls&gt;&lt;custom4&gt;LUCY&amp;apos;S REFERENCES&lt;/custom4&gt;&lt;/record&gt;&lt;/Cite&gt;&lt;/EndNote&gt;</w:instrText>
            </w:r>
            <w:r w:rsidR="006F7FD7">
              <w:rPr>
                <w:rFonts w:cs="Times New Roman"/>
                <w:sz w:val="20"/>
                <w:szCs w:val="20"/>
              </w:rPr>
              <w:fldChar w:fldCharType="separate"/>
            </w:r>
            <w:r w:rsidR="00055E4F" w:rsidRPr="00055E4F">
              <w:rPr>
                <w:rFonts w:cs="Times New Roman"/>
                <w:noProof/>
                <w:sz w:val="20"/>
                <w:szCs w:val="20"/>
                <w:vertAlign w:val="superscript"/>
              </w:rPr>
              <w:t>264</w:t>
            </w:r>
            <w:r w:rsidR="006F7FD7">
              <w:rPr>
                <w:rFonts w:cs="Times New Roman"/>
                <w:sz w:val="20"/>
                <w:szCs w:val="20"/>
              </w:rPr>
              <w:fldChar w:fldCharType="end"/>
            </w:r>
          </w:p>
        </w:tc>
        <w:tc>
          <w:tcPr>
            <w:tcW w:w="3022" w:type="dxa"/>
            <w:shd w:val="clear" w:color="auto" w:fill="auto"/>
          </w:tcPr>
          <w:p w14:paraId="132486C1" w14:textId="516BB5E1" w:rsidR="00282A53" w:rsidRPr="00425275" w:rsidRDefault="00282A53" w:rsidP="00055E4F">
            <w:pPr>
              <w:pStyle w:val="table"/>
              <w:rPr>
                <w:rFonts w:cs="Times New Roman"/>
                <w:sz w:val="20"/>
                <w:szCs w:val="20"/>
                <w:lang w:eastAsia="en-GB"/>
              </w:rPr>
            </w:pPr>
            <w:r w:rsidRPr="00425275">
              <w:rPr>
                <w:rFonts w:cs="Times New Roman"/>
                <w:sz w:val="20"/>
                <w:szCs w:val="20"/>
                <w:lang w:eastAsia="en-GB"/>
              </w:rPr>
              <w:t>Assumed to be the same as Head and Neck Squamous Cell Carcinoma</w:t>
            </w:r>
            <w:r w:rsidR="006F7FD7">
              <w:rPr>
                <w:rFonts w:cs="Times New Roman"/>
                <w:sz w:val="20"/>
                <w:szCs w:val="20"/>
                <w:lang w:eastAsia="en-GB"/>
              </w:rPr>
              <w:fldChar w:fldCharType="begin"/>
            </w:r>
            <w:r w:rsidR="00055E4F">
              <w:rPr>
                <w:rFonts w:cs="Times New Roman"/>
                <w:sz w:val="20"/>
                <w:szCs w:val="20"/>
                <w:lang w:eastAsia="en-GB"/>
              </w:rPr>
              <w:instrText xml:space="preserve"> ADDIN EN.CITE &lt;EndNote&gt;&lt;Cite&gt;&lt;Author&gt;Cancer Research UK&lt;/Author&gt;&lt;Year&gt;2016&lt;/Year&gt;&lt;RecNum&gt;3567&lt;/RecNum&gt;&lt;DisplayText&gt;&lt;style face="superscript"&gt;254&lt;/style&gt;&lt;/DisplayText&gt;&lt;record&gt;&lt;rec-number&gt;3567&lt;/rec-number&gt;&lt;foreign-keys&gt;&lt;key app="EN" db-id="dwaevxvazfs2f3ewvzmxrd0k0wasw55p2z2w" timestamp="1579875628"&gt;3567&lt;/key&gt;&lt;/foreign-keys&gt;&lt;ref-type name="Web Page"&gt;12&lt;/ref-type&gt;&lt;contributors&gt;&lt;authors&gt;&lt;author&gt;Cancer Research UK,&lt;/author&gt;&lt;/authors&gt;&lt;/contributors&gt;&lt;titles&gt;&lt;title&gt;Head and neck cancers statistics&lt;/title&gt;&lt;/titles&gt;&lt;volume&gt;2019&lt;/volume&gt;&lt;dates&gt;&lt;year&gt;2016&lt;/year&gt;&lt;/dates&gt;&lt;pub-location&gt;London&lt;/pub-location&gt;&lt;urls&gt;&lt;related-urls&gt;&lt;url&gt;https://www.cancerresearchuk.org/health-professional/cancer-statistics/statistics-by-cancer-type/head-and-neck-cancers&lt;/url&gt;&lt;/related-urls&gt;&lt;/urls&gt;&lt;custom4&gt;LUCY&amp;apos;S REFERENCES&lt;/custom4&gt;&lt;/record&gt;&lt;/Cite&gt;&lt;/EndNote&gt;</w:instrText>
            </w:r>
            <w:r w:rsidR="006F7FD7">
              <w:rPr>
                <w:rFonts w:cs="Times New Roman"/>
                <w:sz w:val="20"/>
                <w:szCs w:val="20"/>
                <w:lang w:eastAsia="en-GB"/>
              </w:rPr>
              <w:fldChar w:fldCharType="separate"/>
            </w:r>
            <w:r w:rsidR="00055E4F" w:rsidRPr="00055E4F">
              <w:rPr>
                <w:rFonts w:cs="Times New Roman"/>
                <w:noProof/>
                <w:sz w:val="20"/>
                <w:szCs w:val="20"/>
                <w:vertAlign w:val="superscript"/>
                <w:lang w:eastAsia="en-GB"/>
              </w:rPr>
              <w:t>254</w:t>
            </w:r>
            <w:r w:rsidR="006F7FD7">
              <w:rPr>
                <w:rFonts w:cs="Times New Roman"/>
                <w:sz w:val="20"/>
                <w:szCs w:val="20"/>
                <w:lang w:eastAsia="en-GB"/>
              </w:rPr>
              <w:fldChar w:fldCharType="end"/>
            </w:r>
          </w:p>
        </w:tc>
      </w:tr>
      <w:tr w:rsidR="00282A53" w:rsidRPr="00425275" w14:paraId="7A7C3860" w14:textId="77777777" w:rsidTr="0051552C">
        <w:trPr>
          <w:trHeight w:val="127"/>
        </w:trPr>
        <w:tc>
          <w:tcPr>
            <w:tcW w:w="2835" w:type="dxa"/>
            <w:shd w:val="clear" w:color="auto" w:fill="auto"/>
            <w:vAlign w:val="center"/>
          </w:tcPr>
          <w:p w14:paraId="1F0B0AF0" w14:textId="62DC9CE4" w:rsidR="00282A53" w:rsidRPr="002832AE" w:rsidRDefault="00CB2733" w:rsidP="00055E4F">
            <w:pPr>
              <w:pStyle w:val="table"/>
              <w:rPr>
                <w:rFonts w:cs="Times New Roman"/>
                <w:sz w:val="20"/>
                <w:szCs w:val="20"/>
                <w:lang w:eastAsia="en-GB"/>
              </w:rPr>
            </w:pPr>
            <w:r>
              <w:rPr>
                <w:rFonts w:cs="Times New Roman"/>
                <w:sz w:val="20"/>
                <w:szCs w:val="20"/>
                <w:lang w:eastAsia="en-GB"/>
              </w:rPr>
              <w:t>U</w:t>
            </w:r>
            <w:r w:rsidR="00282A53" w:rsidRPr="002832AE">
              <w:rPr>
                <w:rFonts w:cs="Times New Roman"/>
                <w:sz w:val="20"/>
                <w:szCs w:val="20"/>
                <w:lang w:eastAsia="en-GB"/>
              </w:rPr>
              <w:t>terine carcinoma</w:t>
            </w:r>
          </w:p>
        </w:tc>
        <w:tc>
          <w:tcPr>
            <w:tcW w:w="3402" w:type="dxa"/>
            <w:shd w:val="clear" w:color="auto" w:fill="auto"/>
          </w:tcPr>
          <w:p w14:paraId="05AF694A" w14:textId="568A7441" w:rsidR="00282A53" w:rsidRPr="00425275" w:rsidRDefault="00282A53" w:rsidP="004D5B2B">
            <w:pPr>
              <w:pStyle w:val="table"/>
              <w:rPr>
                <w:rFonts w:cs="Times New Roman"/>
                <w:sz w:val="20"/>
                <w:szCs w:val="20"/>
                <w:lang w:eastAsia="en-GB"/>
              </w:rPr>
            </w:pPr>
            <w:r w:rsidRPr="00425275">
              <w:rPr>
                <w:rFonts w:cs="Times New Roman"/>
                <w:sz w:val="20"/>
                <w:szCs w:val="20"/>
              </w:rPr>
              <w:t>NDA Multidisciplinary Review and Evaluation:</w:t>
            </w:r>
            <w:r w:rsidRPr="00425275">
              <w:rPr>
                <w:rFonts w:cs="Times New Roman"/>
                <w:sz w:val="20"/>
                <w:szCs w:val="20"/>
                <w:lang w:eastAsia="en-GB"/>
              </w:rPr>
              <w:t xml:space="preserve"> Larotrectinib</w:t>
            </w:r>
            <w:r w:rsidR="006F7FD7">
              <w:rPr>
                <w:rFonts w:cs="Times New Roman"/>
                <w:noProof/>
                <w:sz w:val="20"/>
                <w:szCs w:val="20"/>
                <w:lang w:eastAsia="en-GB"/>
              </w:rPr>
              <w:fldChar w:fldCharType="begin"/>
            </w:r>
            <w:r w:rsidR="004D5B2B">
              <w:rPr>
                <w:rFonts w:cs="Times New Roman"/>
                <w:noProof/>
                <w:sz w:val="20"/>
                <w:szCs w:val="20"/>
                <w:lang w:eastAsia="en-GB"/>
              </w:rPr>
              <w:instrText xml:space="preserve"> ADDIN EN.CITE &lt;EndNote&gt;&lt;Cite&gt;&lt;Author&gt;Center for Drug Evaluation and Research&lt;/Author&gt;&lt;Year&gt;2016&lt;/Year&gt;&lt;RecNum&gt;3529&lt;/RecNum&gt;&lt;DisplayText&gt;&lt;style face="superscript"&gt;173&lt;/style&gt;&lt;/DisplayText&gt;&lt;record&gt;&lt;rec-number&gt;3529&lt;/rec-number&gt;&lt;foreign-keys&gt;&lt;key app="EN" db-id="dwaevxvazfs2f3ewvzmxrd0k0wasw55p2z2w" timestamp="1579875628"&gt;3529&lt;/key&gt;&lt;/foreign-keys&gt;&lt;ref-type name="Report"&gt;27&lt;/ref-type&gt;&lt;contributors&gt;&lt;authors&gt;&lt;author&gt;Center for Drug Evaluation and Research,&lt;/author&gt;&lt;/authors&gt;&lt;/contributors&gt;&lt;titles&gt;&lt;title&gt;NDA Multidisciplinary Review and Evaluation NDA 210861 and NDA 211710 VITRAKVI (larotrectinib)&lt;/title&gt;&lt;/titles&gt;&lt;dates&gt;&lt;year&gt;2016&lt;/year&gt;&lt;/dates&gt;&lt;publisher&gt;U.S. Food and Drug Administration, &lt;/publisher&gt;&lt;urls&gt;&lt;related-urls&gt;&lt;url&gt;https://www.accessdata.fda.gov/drugsatfda_docs/nda/2018/210861Orig1s000_211710Orig1s000MultidisciplineR.pdf&lt;/url&gt;&lt;/related-urls&gt;&lt;/urls&gt;&lt;custom4&gt;LUCY&amp;apos;S REFERENCES&lt;/custom4&gt;&lt;access-date&gt;June 18, 2019&lt;/access-date&gt;&lt;/record&gt;&lt;/Cite&gt;&lt;/EndNote&gt;</w:instrText>
            </w:r>
            <w:r w:rsidR="006F7FD7">
              <w:rPr>
                <w:rFonts w:cs="Times New Roman"/>
                <w:noProof/>
                <w:sz w:val="20"/>
                <w:szCs w:val="20"/>
                <w:lang w:eastAsia="en-GB"/>
              </w:rPr>
              <w:fldChar w:fldCharType="separate"/>
            </w:r>
            <w:r w:rsidR="004D5B2B" w:rsidRPr="004D5B2B">
              <w:rPr>
                <w:rFonts w:cs="Times New Roman"/>
                <w:noProof/>
                <w:sz w:val="20"/>
                <w:szCs w:val="20"/>
                <w:vertAlign w:val="superscript"/>
                <w:lang w:eastAsia="en-GB"/>
              </w:rPr>
              <w:t>173</w:t>
            </w:r>
            <w:r w:rsidR="006F7FD7">
              <w:rPr>
                <w:rFonts w:cs="Times New Roman"/>
                <w:noProof/>
                <w:sz w:val="20"/>
                <w:szCs w:val="20"/>
                <w:lang w:eastAsia="en-GB"/>
              </w:rPr>
              <w:fldChar w:fldCharType="end"/>
            </w:r>
          </w:p>
        </w:tc>
        <w:tc>
          <w:tcPr>
            <w:tcW w:w="4253" w:type="dxa"/>
            <w:shd w:val="clear" w:color="auto" w:fill="auto"/>
          </w:tcPr>
          <w:p w14:paraId="3566F607" w14:textId="5B79DC28" w:rsidR="00282A53" w:rsidRPr="00425275" w:rsidRDefault="00282A53" w:rsidP="00CB2733">
            <w:pPr>
              <w:pStyle w:val="table"/>
              <w:rPr>
                <w:rFonts w:cs="Times New Roman"/>
                <w:sz w:val="20"/>
                <w:szCs w:val="20"/>
                <w:lang w:eastAsia="en-GB"/>
              </w:rPr>
            </w:pPr>
            <w:r>
              <w:rPr>
                <w:rFonts w:cs="Times New Roman"/>
                <w:sz w:val="20"/>
                <w:szCs w:val="20"/>
              </w:rPr>
              <w:t>Cancer Registration Statistics</w:t>
            </w:r>
            <w:r w:rsidR="006F7FD7">
              <w:rPr>
                <w:rFonts w:cs="Times New Roman"/>
                <w:sz w:val="20"/>
                <w:szCs w:val="20"/>
              </w:rPr>
              <w:fldChar w:fldCharType="begin"/>
            </w:r>
            <w:r w:rsidR="00CB2733">
              <w:rPr>
                <w:rFonts w:cs="Times New Roman"/>
                <w:sz w:val="20"/>
                <w:szCs w:val="20"/>
              </w:rPr>
              <w:instrText xml:space="preserve"> ADDIN EN.CITE &lt;EndNote&gt;&lt;Cite&gt;&lt;Author&gt;Office for National Statistics&lt;/Author&gt;&lt;Year&gt;2019&lt;/Year&gt;&lt;RecNum&gt;3558&lt;/RecNum&gt;&lt;DisplayText&gt;&lt;style face="superscript"&gt;227&lt;/style&gt;&lt;/DisplayText&gt;&lt;record&gt;&lt;rec-number&gt;3558&lt;/rec-number&gt;&lt;foreign-keys&gt;&lt;key app="EN" db-id="dwaevxvazfs2f3ewvzmxrd0k0wasw55p2z2w" timestamp="1579875628"&gt;3558&lt;/key&gt;&lt;/foreign-keys&gt;&lt;ref-type name="Generic"&gt;13&lt;/ref-type&gt;&lt;contributors&gt;&lt;authors&gt;&lt;author&gt;Office for National Statistics,&lt;/author&gt;&lt;/authors&gt;&lt;/contributors&gt;&lt;titles&gt;&lt;title&gt;Cancer Registration Statistics, England: 2017&lt;/title&gt;&lt;/titles&gt;&lt;dates&gt;&lt;year&gt;2019&lt;/year&gt;&lt;/dates&gt;&lt;pub-location&gt;London&lt;/pub-location&gt;&lt;urls&gt;&lt;related-urls&gt;&lt;url&gt;https://www.ons.gov.uk/releases/cancerregistrationstatisticsengland2017&lt;/url&gt;&lt;/related-urls&gt;&lt;/urls&gt;&lt;custom4&gt;LUCY&amp;apos;S REFERENCES&lt;/custom4&gt;&lt;/record&gt;&lt;/Cite&gt;&lt;/EndNote&gt;</w:instrText>
            </w:r>
            <w:r w:rsidR="006F7FD7">
              <w:rPr>
                <w:rFonts w:cs="Times New Roman"/>
                <w:sz w:val="20"/>
                <w:szCs w:val="20"/>
              </w:rPr>
              <w:fldChar w:fldCharType="separate"/>
            </w:r>
            <w:r w:rsidR="00CB2733" w:rsidRPr="00CB2733">
              <w:rPr>
                <w:rFonts w:cs="Times New Roman"/>
                <w:noProof/>
                <w:sz w:val="20"/>
                <w:szCs w:val="20"/>
                <w:vertAlign w:val="superscript"/>
              </w:rPr>
              <w:t>227</w:t>
            </w:r>
            <w:r w:rsidR="006F7FD7">
              <w:rPr>
                <w:rFonts w:cs="Times New Roman"/>
                <w:sz w:val="20"/>
                <w:szCs w:val="20"/>
              </w:rPr>
              <w:fldChar w:fldCharType="end"/>
            </w:r>
          </w:p>
        </w:tc>
        <w:tc>
          <w:tcPr>
            <w:tcW w:w="3022" w:type="dxa"/>
            <w:shd w:val="clear" w:color="auto" w:fill="auto"/>
          </w:tcPr>
          <w:p w14:paraId="49F94295" w14:textId="6CFFE051" w:rsidR="00282A53" w:rsidRPr="00425275" w:rsidRDefault="00282A53" w:rsidP="00055E4F">
            <w:pPr>
              <w:pStyle w:val="table"/>
              <w:keepNext/>
              <w:rPr>
                <w:rFonts w:cs="Times New Roman"/>
                <w:sz w:val="20"/>
                <w:szCs w:val="20"/>
              </w:rPr>
            </w:pPr>
            <w:r w:rsidRPr="00425275">
              <w:rPr>
                <w:rFonts w:cs="Times New Roman"/>
                <w:sz w:val="20"/>
                <w:szCs w:val="20"/>
                <w:lang w:eastAsia="en-GB"/>
              </w:rPr>
              <w:t xml:space="preserve">Cancer Research </w:t>
            </w:r>
            <w:r w:rsidRPr="00425275">
              <w:rPr>
                <w:rFonts w:cs="Times New Roman"/>
                <w:noProof/>
                <w:sz w:val="20"/>
                <w:szCs w:val="20"/>
                <w:lang w:eastAsia="en-GB"/>
              </w:rPr>
              <w:t>UK</w:t>
            </w:r>
            <w:r w:rsidRPr="00425275">
              <w:rPr>
                <w:rFonts w:cs="Times New Roman"/>
                <w:sz w:val="20"/>
                <w:szCs w:val="20"/>
                <w:lang w:eastAsia="en-GB"/>
              </w:rPr>
              <w:t>: Uterine cancer incidence by stage at diagnosis</w:t>
            </w:r>
            <w:r>
              <w:rPr>
                <w:rFonts w:cs="Times New Roman"/>
                <w:sz w:val="20"/>
                <w:szCs w:val="20"/>
                <w:lang w:eastAsia="en-GB"/>
              </w:rPr>
              <w:t>.</w:t>
            </w:r>
            <w:r w:rsidR="006F7FD7">
              <w:rPr>
                <w:rFonts w:cs="Times New Roman"/>
                <w:sz w:val="20"/>
                <w:szCs w:val="20"/>
                <w:lang w:eastAsia="en-GB"/>
              </w:rPr>
              <w:fldChar w:fldCharType="begin"/>
            </w:r>
            <w:r w:rsidR="00055E4F">
              <w:rPr>
                <w:rFonts w:cs="Times New Roman"/>
                <w:sz w:val="20"/>
                <w:szCs w:val="20"/>
                <w:lang w:eastAsia="en-GB"/>
              </w:rPr>
              <w:instrText xml:space="preserve"> ADDIN EN.CITE &lt;EndNote&gt;&lt;Cite&gt;&lt;Author&gt;Cancer Research UK&lt;/Author&gt;&lt;Year&gt;2017&lt;/Year&gt;&lt;RecNum&gt;3574&lt;/RecNum&gt;&lt;DisplayText&gt;&lt;style face="superscript"&gt;265&lt;/style&gt;&lt;/DisplayText&gt;&lt;record&gt;&lt;rec-number&gt;3574&lt;/rec-number&gt;&lt;foreign-keys&gt;&lt;key app="EN" db-id="dwaevxvazfs2f3ewvzmxrd0k0wasw55p2z2w" timestamp="1579875628"&gt;3574&lt;/key&gt;&lt;/foreign-keys&gt;&lt;ref-type name="Web Page"&gt;12&lt;/ref-type&gt;&lt;contributors&gt;&lt;authors&gt;&lt;author&gt;Cancer Research UK,&lt;/author&gt;&lt;/authors&gt;&lt;secondary-authors&gt;&lt;author&gt;Cancer Research UK&lt;/author&gt;&lt;/secondary-authors&gt;&lt;/contributors&gt;&lt;titles&gt;&lt;title&gt;Cancer of the Unknown Primary (CUP): stages and types&lt;/title&gt;&lt;/titles&gt;&lt;volume&gt;2019&lt;/volume&gt;&lt;number&gt;16th December&lt;/number&gt;&lt;dates&gt;&lt;year&gt;2017&lt;/year&gt;&lt;/dates&gt;&lt;pub-location&gt;London&lt;/pub-location&gt;&lt;urls&gt;&lt;related-urls&gt;&lt;url&gt;https://www.cancerresearchuk.org/about-cancer/cancer-unknown-primary-cup&lt;/url&gt;&lt;/related-urls&gt;&lt;/urls&gt;&lt;custom4&gt;LUCY&amp;apos;S REFERENCES&lt;/custom4&gt;&lt;/record&gt;&lt;/Cite&gt;&lt;/EndNote&gt;</w:instrText>
            </w:r>
            <w:r w:rsidR="006F7FD7">
              <w:rPr>
                <w:rFonts w:cs="Times New Roman"/>
                <w:sz w:val="20"/>
                <w:szCs w:val="20"/>
                <w:lang w:eastAsia="en-GB"/>
              </w:rPr>
              <w:fldChar w:fldCharType="separate"/>
            </w:r>
            <w:r w:rsidR="00055E4F" w:rsidRPr="00055E4F">
              <w:rPr>
                <w:rFonts w:cs="Times New Roman"/>
                <w:noProof/>
                <w:sz w:val="20"/>
                <w:szCs w:val="20"/>
                <w:vertAlign w:val="superscript"/>
                <w:lang w:eastAsia="en-GB"/>
              </w:rPr>
              <w:t>265</w:t>
            </w:r>
            <w:r w:rsidR="006F7FD7">
              <w:rPr>
                <w:rFonts w:cs="Times New Roman"/>
                <w:sz w:val="20"/>
                <w:szCs w:val="20"/>
                <w:lang w:eastAsia="en-GB"/>
              </w:rPr>
              <w:fldChar w:fldCharType="end"/>
            </w:r>
          </w:p>
        </w:tc>
      </w:tr>
    </w:tbl>
    <w:p w14:paraId="0A8BAA72" w14:textId="59CBF4AB" w:rsidR="0051552C" w:rsidRDefault="0051552C" w:rsidP="0051552C">
      <w:pPr>
        <w:spacing w:before="0" w:after="0" w:line="240" w:lineRule="auto"/>
        <w:rPr>
          <w:b/>
          <w:bCs/>
        </w:rPr>
        <w:sectPr w:rsidR="0051552C" w:rsidSect="0051552C">
          <w:pgSz w:w="16838" w:h="11906" w:orient="landscape" w:code="9"/>
          <w:pgMar w:top="1440" w:right="1440" w:bottom="1440" w:left="1440" w:header="709" w:footer="709" w:gutter="0"/>
          <w:cols w:space="708"/>
          <w:docGrid w:linePitch="360"/>
        </w:sectPr>
      </w:pPr>
      <w:r>
        <w:rPr>
          <w:vertAlign w:val="superscript"/>
        </w:rPr>
        <w:t>1</w:t>
      </w:r>
      <w:r>
        <w:t xml:space="preserve"> </w:t>
      </w:r>
      <w:r w:rsidRPr="002832AE">
        <w:rPr>
          <w:rFonts w:cs="Times New Roman"/>
          <w:sz w:val="20"/>
        </w:rPr>
        <w:t>Prevalence of NTRK fusions in papillary thyroid tumour is based on the average of two estimates provided in the NDA multidisciplinary revie</w:t>
      </w:r>
      <w:r w:rsidR="00700AFE">
        <w:rPr>
          <w:rFonts w:cs="Times New Roman"/>
          <w:sz w:val="20"/>
        </w:rPr>
        <w:t>w</w:t>
      </w:r>
    </w:p>
    <w:p w14:paraId="712F7410" w14:textId="0CFE9F09" w:rsidR="00A5630B" w:rsidRDefault="00A5630B" w:rsidP="00A5630B">
      <w:pPr>
        <w:pStyle w:val="Caption"/>
      </w:pPr>
      <w:bookmarkStart w:id="427" w:name="_Ref33775748"/>
      <w:bookmarkStart w:id="428" w:name="_Toc34033553"/>
      <w:r>
        <w:t xml:space="preserve">Table </w:t>
      </w:r>
      <w:r w:rsidR="00C974E5">
        <w:fldChar w:fldCharType="begin"/>
      </w:r>
      <w:r w:rsidR="00C974E5">
        <w:instrText xml:space="preserve"> SEQ Table \* ARABIC </w:instrText>
      </w:r>
      <w:r w:rsidR="00C974E5">
        <w:fldChar w:fldCharType="separate"/>
      </w:r>
      <w:r w:rsidR="000C737A">
        <w:rPr>
          <w:noProof/>
        </w:rPr>
        <w:t>39</w:t>
      </w:r>
      <w:r w:rsidR="00C974E5">
        <w:rPr>
          <w:noProof/>
        </w:rPr>
        <w:fldChar w:fldCharType="end"/>
      </w:r>
      <w:bookmarkEnd w:id="427"/>
      <w:r>
        <w:t>: calculations of the annual eligible population for three testing strategies based on the prealence of NTRK fusion, the annual incidence of cancer in England and the proportion of patients with advanced or metastatic cancer at diagnosis</w:t>
      </w:r>
      <w:bookmarkEnd w:id="428"/>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560"/>
        <w:gridCol w:w="2126"/>
        <w:gridCol w:w="1701"/>
        <w:gridCol w:w="1417"/>
        <w:gridCol w:w="1843"/>
        <w:gridCol w:w="1559"/>
      </w:tblGrid>
      <w:tr w:rsidR="00700AFE" w:rsidRPr="00700AFE" w14:paraId="7B0093F2" w14:textId="7BF54BD2" w:rsidTr="00A5630B">
        <w:trPr>
          <w:trHeight w:val="440"/>
        </w:trPr>
        <w:tc>
          <w:tcPr>
            <w:tcW w:w="3392" w:type="dxa"/>
            <w:vMerge w:val="restart"/>
            <w:shd w:val="clear" w:color="000000" w:fill="FFFFFF"/>
            <w:vAlign w:val="center"/>
            <w:hideMark/>
          </w:tcPr>
          <w:p w14:paraId="42721A9B"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Tumour Type</w:t>
            </w:r>
          </w:p>
        </w:tc>
        <w:tc>
          <w:tcPr>
            <w:tcW w:w="1560" w:type="dxa"/>
            <w:vMerge w:val="restart"/>
            <w:shd w:val="clear" w:color="000000" w:fill="FFFFFF"/>
            <w:vAlign w:val="center"/>
            <w:hideMark/>
          </w:tcPr>
          <w:p w14:paraId="2E738C11" w14:textId="77777777" w:rsidR="00700AFE" w:rsidRPr="00700AFE" w:rsidRDefault="00700AFE" w:rsidP="00A5630B">
            <w:pPr>
              <w:spacing w:before="0" w:after="0" w:line="240" w:lineRule="auto"/>
              <w:jc w:val="center"/>
              <w:rPr>
                <w:rFonts w:eastAsia="Times New Roman" w:cs="Times New Roman"/>
                <w:b/>
                <w:bCs/>
                <w:sz w:val="20"/>
                <w:szCs w:val="20"/>
                <w:lang w:eastAsia="en-GB"/>
              </w:rPr>
            </w:pPr>
            <w:r w:rsidRPr="00700AFE">
              <w:rPr>
                <w:rFonts w:eastAsia="Times New Roman" w:cs="Times New Roman"/>
                <w:b/>
                <w:bCs/>
                <w:sz w:val="20"/>
                <w:szCs w:val="20"/>
                <w:lang w:eastAsia="en-GB"/>
              </w:rPr>
              <w:t>Prevalence of NTRK fusion</w:t>
            </w:r>
          </w:p>
        </w:tc>
        <w:tc>
          <w:tcPr>
            <w:tcW w:w="2126" w:type="dxa"/>
            <w:vMerge w:val="restart"/>
            <w:shd w:val="clear" w:color="000000" w:fill="FFFFFF"/>
            <w:vAlign w:val="center"/>
            <w:hideMark/>
          </w:tcPr>
          <w:p w14:paraId="21D14743" w14:textId="77777777" w:rsidR="00700AFE" w:rsidRPr="00700AFE" w:rsidRDefault="00700AFE" w:rsidP="00A5630B">
            <w:pPr>
              <w:spacing w:before="0" w:after="0" w:line="240" w:lineRule="auto"/>
              <w:jc w:val="center"/>
              <w:rPr>
                <w:rFonts w:eastAsia="Times New Roman" w:cs="Times New Roman"/>
                <w:b/>
                <w:bCs/>
                <w:sz w:val="20"/>
                <w:szCs w:val="20"/>
                <w:lang w:eastAsia="en-GB"/>
              </w:rPr>
            </w:pPr>
            <w:r w:rsidRPr="00700AFE">
              <w:rPr>
                <w:rFonts w:eastAsia="Times New Roman" w:cs="Times New Roman"/>
                <w:b/>
                <w:bCs/>
                <w:sz w:val="20"/>
                <w:szCs w:val="20"/>
                <w:lang w:eastAsia="en-GB"/>
              </w:rPr>
              <w:t>Cancer Incidence (England)</w:t>
            </w:r>
          </w:p>
        </w:tc>
        <w:tc>
          <w:tcPr>
            <w:tcW w:w="1701" w:type="dxa"/>
            <w:vMerge w:val="restart"/>
            <w:shd w:val="clear" w:color="000000" w:fill="FFFFFF"/>
            <w:vAlign w:val="center"/>
            <w:hideMark/>
          </w:tcPr>
          <w:p w14:paraId="74A79C12" w14:textId="77777777" w:rsidR="00700AFE" w:rsidRPr="00700AFE" w:rsidRDefault="00700AFE" w:rsidP="00A5630B">
            <w:pPr>
              <w:spacing w:before="0" w:after="0" w:line="240" w:lineRule="auto"/>
              <w:jc w:val="center"/>
              <w:rPr>
                <w:rFonts w:eastAsia="Times New Roman" w:cs="Times New Roman"/>
                <w:b/>
                <w:bCs/>
                <w:sz w:val="20"/>
                <w:szCs w:val="20"/>
                <w:lang w:eastAsia="en-GB"/>
              </w:rPr>
            </w:pPr>
            <w:r w:rsidRPr="00700AFE">
              <w:rPr>
                <w:rFonts w:eastAsia="Times New Roman" w:cs="Times New Roman"/>
                <w:b/>
                <w:bCs/>
                <w:sz w:val="20"/>
                <w:szCs w:val="20"/>
                <w:lang w:eastAsia="en-GB"/>
              </w:rPr>
              <w:t>% with Stage III/IV Cancer</w:t>
            </w:r>
          </w:p>
        </w:tc>
        <w:tc>
          <w:tcPr>
            <w:tcW w:w="4819" w:type="dxa"/>
            <w:gridSpan w:val="3"/>
            <w:shd w:val="clear" w:color="000000" w:fill="FFFFFF"/>
            <w:vAlign w:val="center"/>
            <w:hideMark/>
          </w:tcPr>
          <w:p w14:paraId="0C6AC030" w14:textId="718ADD82" w:rsidR="00700AFE" w:rsidRPr="00700AFE" w:rsidRDefault="00700AFE" w:rsidP="00A5630B">
            <w:pPr>
              <w:spacing w:before="0" w:after="0" w:line="240" w:lineRule="auto"/>
              <w:jc w:val="center"/>
              <w:rPr>
                <w:rFonts w:eastAsia="Times New Roman" w:cs="Times New Roman"/>
                <w:b/>
                <w:bCs/>
                <w:sz w:val="20"/>
                <w:szCs w:val="20"/>
                <w:lang w:eastAsia="en-GB"/>
              </w:rPr>
            </w:pPr>
            <w:r w:rsidRPr="00700AFE">
              <w:rPr>
                <w:rFonts w:eastAsia="Times New Roman" w:cs="Times New Roman"/>
                <w:b/>
                <w:bCs/>
                <w:sz w:val="20"/>
                <w:szCs w:val="20"/>
                <w:lang w:eastAsia="en-GB"/>
              </w:rPr>
              <w:t>Annual TRK-inhibitor eligible population</w:t>
            </w:r>
          </w:p>
        </w:tc>
      </w:tr>
      <w:tr w:rsidR="00700AFE" w:rsidRPr="00700AFE" w14:paraId="6CAC7055" w14:textId="77777777" w:rsidTr="00A5630B">
        <w:trPr>
          <w:trHeight w:val="439"/>
        </w:trPr>
        <w:tc>
          <w:tcPr>
            <w:tcW w:w="3392" w:type="dxa"/>
            <w:vMerge/>
            <w:shd w:val="clear" w:color="000000" w:fill="FFFFFF"/>
            <w:vAlign w:val="center"/>
          </w:tcPr>
          <w:p w14:paraId="7C4FF07E" w14:textId="77777777" w:rsidR="00700AFE" w:rsidRPr="00700AFE" w:rsidRDefault="00700AFE" w:rsidP="00A5630B">
            <w:pPr>
              <w:spacing w:before="0" w:after="0" w:line="240" w:lineRule="auto"/>
              <w:rPr>
                <w:rFonts w:eastAsia="Times New Roman" w:cs="Times New Roman"/>
                <w:b/>
                <w:bCs/>
                <w:sz w:val="20"/>
                <w:szCs w:val="20"/>
                <w:lang w:eastAsia="en-GB"/>
              </w:rPr>
            </w:pPr>
          </w:p>
        </w:tc>
        <w:tc>
          <w:tcPr>
            <w:tcW w:w="1560" w:type="dxa"/>
            <w:vMerge/>
            <w:shd w:val="clear" w:color="000000" w:fill="FFFFFF"/>
            <w:vAlign w:val="center"/>
          </w:tcPr>
          <w:p w14:paraId="21CA1413" w14:textId="77777777" w:rsidR="00700AFE" w:rsidRPr="00700AFE" w:rsidRDefault="00700AFE" w:rsidP="00A5630B">
            <w:pPr>
              <w:spacing w:before="0" w:after="0" w:line="240" w:lineRule="auto"/>
              <w:jc w:val="center"/>
              <w:rPr>
                <w:rFonts w:eastAsia="Times New Roman" w:cs="Times New Roman"/>
                <w:b/>
                <w:bCs/>
                <w:sz w:val="20"/>
                <w:szCs w:val="20"/>
                <w:lang w:eastAsia="en-GB"/>
              </w:rPr>
            </w:pPr>
          </w:p>
        </w:tc>
        <w:tc>
          <w:tcPr>
            <w:tcW w:w="2126" w:type="dxa"/>
            <w:vMerge/>
            <w:shd w:val="clear" w:color="000000" w:fill="FFFFFF"/>
            <w:vAlign w:val="center"/>
          </w:tcPr>
          <w:p w14:paraId="6070F1F2" w14:textId="77777777" w:rsidR="00700AFE" w:rsidRPr="00700AFE" w:rsidRDefault="00700AFE" w:rsidP="00A5630B">
            <w:pPr>
              <w:spacing w:before="0" w:after="0" w:line="240" w:lineRule="auto"/>
              <w:jc w:val="center"/>
              <w:rPr>
                <w:rFonts w:eastAsia="Times New Roman" w:cs="Times New Roman"/>
                <w:b/>
                <w:bCs/>
                <w:sz w:val="20"/>
                <w:szCs w:val="20"/>
                <w:lang w:eastAsia="en-GB"/>
              </w:rPr>
            </w:pPr>
          </w:p>
        </w:tc>
        <w:tc>
          <w:tcPr>
            <w:tcW w:w="1701" w:type="dxa"/>
            <w:vMerge/>
            <w:shd w:val="clear" w:color="000000" w:fill="FFFFFF"/>
            <w:vAlign w:val="center"/>
          </w:tcPr>
          <w:p w14:paraId="67FEB0F8" w14:textId="77777777" w:rsidR="00700AFE" w:rsidRPr="00700AFE" w:rsidRDefault="00700AFE" w:rsidP="00A5630B">
            <w:pPr>
              <w:spacing w:before="0" w:after="0" w:line="240" w:lineRule="auto"/>
              <w:jc w:val="center"/>
              <w:rPr>
                <w:rFonts w:eastAsia="Times New Roman" w:cs="Times New Roman"/>
                <w:b/>
                <w:bCs/>
                <w:sz w:val="20"/>
                <w:szCs w:val="20"/>
                <w:lang w:eastAsia="en-GB"/>
              </w:rPr>
            </w:pPr>
          </w:p>
        </w:tc>
        <w:tc>
          <w:tcPr>
            <w:tcW w:w="1417" w:type="dxa"/>
            <w:shd w:val="clear" w:color="000000" w:fill="FFFFFF"/>
            <w:vAlign w:val="center"/>
          </w:tcPr>
          <w:p w14:paraId="19F78381" w14:textId="5CD319E8" w:rsidR="00700AFE" w:rsidRPr="00700AFE" w:rsidRDefault="00700AFE" w:rsidP="00A5630B">
            <w:pPr>
              <w:spacing w:before="0" w:after="0" w:line="240" w:lineRule="auto"/>
              <w:jc w:val="center"/>
              <w:rPr>
                <w:rFonts w:eastAsia="Times New Roman" w:cs="Times New Roman"/>
                <w:b/>
                <w:bCs/>
                <w:sz w:val="20"/>
                <w:szCs w:val="20"/>
                <w:lang w:eastAsia="en-GB"/>
              </w:rPr>
            </w:pPr>
            <w:r>
              <w:rPr>
                <w:rFonts w:eastAsia="Times New Roman" w:cs="Times New Roman"/>
                <w:b/>
                <w:bCs/>
                <w:sz w:val="20"/>
                <w:szCs w:val="20"/>
                <w:lang w:eastAsia="en-GB"/>
              </w:rPr>
              <w:t>Hierarchical</w:t>
            </w:r>
          </w:p>
        </w:tc>
        <w:tc>
          <w:tcPr>
            <w:tcW w:w="1843" w:type="dxa"/>
            <w:shd w:val="clear" w:color="000000" w:fill="FFFFFF"/>
            <w:vAlign w:val="center"/>
          </w:tcPr>
          <w:p w14:paraId="477CBB10" w14:textId="5431BF3A" w:rsidR="00700AFE" w:rsidRPr="00700AFE" w:rsidRDefault="00700AFE" w:rsidP="00A5630B">
            <w:pPr>
              <w:spacing w:before="0" w:after="0" w:line="240" w:lineRule="auto"/>
              <w:jc w:val="center"/>
              <w:rPr>
                <w:rFonts w:eastAsia="Times New Roman" w:cs="Times New Roman"/>
                <w:b/>
                <w:bCs/>
                <w:sz w:val="20"/>
                <w:szCs w:val="20"/>
                <w:lang w:eastAsia="en-GB"/>
              </w:rPr>
            </w:pPr>
            <w:r>
              <w:rPr>
                <w:rFonts w:eastAsia="Times New Roman" w:cs="Times New Roman"/>
                <w:b/>
                <w:bCs/>
                <w:sz w:val="20"/>
                <w:szCs w:val="20"/>
                <w:lang w:eastAsia="en-GB"/>
              </w:rPr>
              <w:t>RNA-based NGS</w:t>
            </w:r>
          </w:p>
        </w:tc>
        <w:tc>
          <w:tcPr>
            <w:tcW w:w="1559" w:type="dxa"/>
            <w:shd w:val="clear" w:color="000000" w:fill="FFFFFF"/>
            <w:vAlign w:val="center"/>
          </w:tcPr>
          <w:p w14:paraId="30D8150D" w14:textId="0E52250F" w:rsidR="00700AFE" w:rsidRPr="00700AFE" w:rsidRDefault="00700AFE" w:rsidP="00A5630B">
            <w:pPr>
              <w:spacing w:before="0" w:after="0" w:line="240" w:lineRule="auto"/>
              <w:jc w:val="center"/>
              <w:rPr>
                <w:rFonts w:eastAsia="Times New Roman" w:cs="Times New Roman"/>
                <w:b/>
                <w:bCs/>
                <w:sz w:val="20"/>
                <w:szCs w:val="20"/>
                <w:lang w:eastAsia="en-GB"/>
              </w:rPr>
            </w:pPr>
            <w:r>
              <w:rPr>
                <w:rFonts w:eastAsia="Times New Roman" w:cs="Times New Roman"/>
                <w:b/>
                <w:bCs/>
                <w:sz w:val="20"/>
                <w:szCs w:val="20"/>
                <w:lang w:eastAsia="en-GB"/>
              </w:rPr>
              <w:t>Exhaustive</w:t>
            </w:r>
          </w:p>
        </w:tc>
      </w:tr>
      <w:tr w:rsidR="00700AFE" w:rsidRPr="00700AFE" w14:paraId="60A71C94" w14:textId="765B9F84" w:rsidTr="00A5630B">
        <w:trPr>
          <w:trHeight w:val="367"/>
        </w:trPr>
        <w:tc>
          <w:tcPr>
            <w:tcW w:w="10196" w:type="dxa"/>
            <w:gridSpan w:val="5"/>
            <w:shd w:val="clear" w:color="auto" w:fill="D9D9D9" w:themeFill="background1" w:themeFillShade="D9"/>
            <w:vAlign w:val="center"/>
            <w:hideMark/>
          </w:tcPr>
          <w:p w14:paraId="2A2821D8" w14:textId="78BD4351" w:rsidR="00700AFE" w:rsidRPr="00700AFE" w:rsidRDefault="00700AFE" w:rsidP="00A5630B">
            <w:pPr>
              <w:spacing w:before="0" w:after="0" w:line="240" w:lineRule="auto"/>
              <w:rPr>
                <w:rFonts w:eastAsia="Times New Roman" w:cs="Times New Roman"/>
                <w:sz w:val="20"/>
                <w:szCs w:val="20"/>
                <w:lang w:eastAsia="en-GB"/>
              </w:rPr>
            </w:pPr>
            <w:r w:rsidRPr="00700AFE">
              <w:rPr>
                <w:rFonts w:eastAsia="Times New Roman" w:cs="Times New Roman"/>
                <w:b/>
                <w:bCs/>
                <w:sz w:val="20"/>
                <w:szCs w:val="20"/>
                <w:lang w:eastAsia="en-GB"/>
              </w:rPr>
              <w:t>Tumours represented in tria</w:t>
            </w:r>
            <w:r>
              <w:rPr>
                <w:rFonts w:eastAsia="Times New Roman" w:cs="Times New Roman"/>
                <w:b/>
                <w:bCs/>
                <w:sz w:val="20"/>
                <w:szCs w:val="20"/>
                <w:lang w:eastAsia="en-GB"/>
              </w:rPr>
              <w:t>l</w:t>
            </w:r>
          </w:p>
        </w:tc>
        <w:tc>
          <w:tcPr>
            <w:tcW w:w="1843" w:type="dxa"/>
            <w:shd w:val="clear" w:color="auto" w:fill="D9D9D9" w:themeFill="background1" w:themeFillShade="D9"/>
            <w:vAlign w:val="center"/>
          </w:tcPr>
          <w:p w14:paraId="27421A96" w14:textId="77777777" w:rsidR="00700AFE" w:rsidRPr="00700AFE" w:rsidRDefault="00700AFE" w:rsidP="00A5630B">
            <w:pPr>
              <w:spacing w:before="0" w:after="0" w:line="240" w:lineRule="auto"/>
              <w:rPr>
                <w:rFonts w:eastAsia="Times New Roman" w:cs="Times New Roman"/>
                <w:b/>
                <w:bCs/>
                <w:sz w:val="20"/>
                <w:szCs w:val="20"/>
                <w:lang w:eastAsia="en-GB"/>
              </w:rPr>
            </w:pPr>
          </w:p>
        </w:tc>
        <w:tc>
          <w:tcPr>
            <w:tcW w:w="1559" w:type="dxa"/>
            <w:shd w:val="clear" w:color="auto" w:fill="D9D9D9" w:themeFill="background1" w:themeFillShade="D9"/>
            <w:vAlign w:val="center"/>
          </w:tcPr>
          <w:p w14:paraId="34037FFE" w14:textId="3AECBE02" w:rsidR="00700AFE" w:rsidRPr="00700AFE" w:rsidRDefault="00700AFE" w:rsidP="00A5630B">
            <w:pPr>
              <w:spacing w:before="0" w:after="0" w:line="240" w:lineRule="auto"/>
              <w:rPr>
                <w:rFonts w:eastAsia="Times New Roman" w:cs="Times New Roman"/>
                <w:b/>
                <w:bCs/>
                <w:sz w:val="20"/>
                <w:szCs w:val="20"/>
                <w:lang w:eastAsia="en-GB"/>
              </w:rPr>
            </w:pPr>
          </w:p>
        </w:tc>
      </w:tr>
      <w:tr w:rsidR="00A5630B" w:rsidRPr="00700AFE" w14:paraId="74C2B9FD" w14:textId="055202A0" w:rsidTr="00A5630B">
        <w:trPr>
          <w:trHeight w:val="367"/>
        </w:trPr>
        <w:tc>
          <w:tcPr>
            <w:tcW w:w="3392" w:type="dxa"/>
            <w:shd w:val="clear" w:color="auto" w:fill="FFFFFF" w:themeFill="background1"/>
            <w:vAlign w:val="center"/>
            <w:hideMark/>
          </w:tcPr>
          <w:p w14:paraId="0600540D"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Appendix</w:t>
            </w:r>
          </w:p>
        </w:tc>
        <w:tc>
          <w:tcPr>
            <w:tcW w:w="1560" w:type="dxa"/>
            <w:shd w:val="clear" w:color="auto" w:fill="FFFFFF" w:themeFill="background1"/>
            <w:noWrap/>
            <w:vAlign w:val="center"/>
            <w:hideMark/>
          </w:tcPr>
          <w:p w14:paraId="55A53AFB"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4.00%</w:t>
            </w:r>
          </w:p>
        </w:tc>
        <w:tc>
          <w:tcPr>
            <w:tcW w:w="2126" w:type="dxa"/>
            <w:shd w:val="clear" w:color="auto" w:fill="FFFFFF" w:themeFill="background1"/>
            <w:noWrap/>
            <w:vAlign w:val="center"/>
            <w:hideMark/>
          </w:tcPr>
          <w:p w14:paraId="3ED49B3B" w14:textId="77777777" w:rsidR="00700AFE" w:rsidRPr="00700AFE" w:rsidRDefault="00700AFE" w:rsidP="00A5630B">
            <w:pPr>
              <w:spacing w:before="0" w:after="0" w:line="240" w:lineRule="auto"/>
              <w:jc w:val="center"/>
              <w:rPr>
                <w:rFonts w:eastAsia="Times New Roman" w:cs="Times New Roman"/>
                <w:color w:val="3A3838"/>
                <w:sz w:val="20"/>
                <w:szCs w:val="20"/>
                <w:lang w:eastAsia="en-GB"/>
              </w:rPr>
            </w:pPr>
            <w:r w:rsidRPr="00700AFE">
              <w:rPr>
                <w:rFonts w:eastAsia="Times New Roman" w:cs="Times New Roman"/>
                <w:color w:val="3A3838"/>
                <w:sz w:val="20"/>
                <w:szCs w:val="20"/>
                <w:lang w:eastAsia="en-GB"/>
              </w:rPr>
              <w:t>540</w:t>
            </w:r>
          </w:p>
        </w:tc>
        <w:tc>
          <w:tcPr>
            <w:tcW w:w="1701" w:type="dxa"/>
            <w:shd w:val="clear" w:color="auto" w:fill="FFFFFF" w:themeFill="background1"/>
            <w:noWrap/>
            <w:vAlign w:val="center"/>
            <w:hideMark/>
          </w:tcPr>
          <w:p w14:paraId="7D53FD6C" w14:textId="77777777" w:rsidR="00700AFE" w:rsidRPr="00700AFE" w:rsidRDefault="00700AFE" w:rsidP="00A5630B">
            <w:pPr>
              <w:spacing w:before="0" w:after="0" w:line="240" w:lineRule="auto"/>
              <w:jc w:val="center"/>
              <w:rPr>
                <w:rFonts w:eastAsia="Times New Roman" w:cs="Times New Roman"/>
                <w:color w:val="3A3838"/>
                <w:sz w:val="20"/>
                <w:szCs w:val="20"/>
                <w:lang w:eastAsia="en-GB"/>
              </w:rPr>
            </w:pPr>
            <w:r w:rsidRPr="00700AFE">
              <w:rPr>
                <w:rFonts w:eastAsia="Times New Roman" w:cs="Times New Roman"/>
                <w:color w:val="3A3838"/>
                <w:sz w:val="20"/>
                <w:szCs w:val="20"/>
                <w:lang w:eastAsia="en-GB"/>
              </w:rPr>
              <w:t>74%</w:t>
            </w:r>
          </w:p>
        </w:tc>
        <w:tc>
          <w:tcPr>
            <w:tcW w:w="1417" w:type="dxa"/>
            <w:shd w:val="clear" w:color="auto" w:fill="FFFFFF" w:themeFill="background1"/>
            <w:noWrap/>
            <w:vAlign w:val="center"/>
          </w:tcPr>
          <w:p w14:paraId="1A2E1405" w14:textId="2F570B9A"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cs="Times New Roman"/>
                <w:sz w:val="20"/>
                <w:szCs w:val="20"/>
              </w:rPr>
              <w:t>14.04</w:t>
            </w:r>
          </w:p>
        </w:tc>
        <w:tc>
          <w:tcPr>
            <w:tcW w:w="1843" w:type="dxa"/>
            <w:shd w:val="clear" w:color="auto" w:fill="FFFFFF" w:themeFill="background1"/>
            <w:vAlign w:val="center"/>
          </w:tcPr>
          <w:p w14:paraId="36DC51F7" w14:textId="48C3591F"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cs="Times New Roman"/>
                <w:sz w:val="20"/>
                <w:szCs w:val="20"/>
              </w:rPr>
              <w:t>15.97</w:t>
            </w:r>
          </w:p>
        </w:tc>
        <w:tc>
          <w:tcPr>
            <w:tcW w:w="1559" w:type="dxa"/>
            <w:shd w:val="clear" w:color="auto" w:fill="FFFFFF" w:themeFill="background1"/>
            <w:vAlign w:val="center"/>
          </w:tcPr>
          <w:p w14:paraId="363B7550" w14:textId="1071EA1E"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12.95</w:t>
            </w:r>
          </w:p>
        </w:tc>
      </w:tr>
      <w:tr w:rsidR="00A5630B" w:rsidRPr="00700AFE" w14:paraId="137A4CF7" w14:textId="221058F4" w:rsidTr="00A5630B">
        <w:trPr>
          <w:trHeight w:val="367"/>
        </w:trPr>
        <w:tc>
          <w:tcPr>
            <w:tcW w:w="3392" w:type="dxa"/>
            <w:shd w:val="clear" w:color="auto" w:fill="FFFFFF" w:themeFill="background1"/>
            <w:vAlign w:val="center"/>
            <w:hideMark/>
          </w:tcPr>
          <w:p w14:paraId="6D660543"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 xml:space="preserve">Breast </w:t>
            </w:r>
          </w:p>
        </w:tc>
        <w:tc>
          <w:tcPr>
            <w:tcW w:w="1560" w:type="dxa"/>
            <w:shd w:val="clear" w:color="auto" w:fill="FFFFFF" w:themeFill="background1"/>
            <w:noWrap/>
            <w:vAlign w:val="center"/>
            <w:hideMark/>
          </w:tcPr>
          <w:p w14:paraId="7DE4B9F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0.07%</w:t>
            </w:r>
          </w:p>
        </w:tc>
        <w:tc>
          <w:tcPr>
            <w:tcW w:w="2126" w:type="dxa"/>
            <w:shd w:val="clear" w:color="auto" w:fill="FFFFFF" w:themeFill="background1"/>
            <w:noWrap/>
            <w:vAlign w:val="center"/>
            <w:hideMark/>
          </w:tcPr>
          <w:p w14:paraId="4ABF6F2E" w14:textId="77777777" w:rsidR="00700AFE" w:rsidRPr="00700AFE" w:rsidRDefault="00700AFE" w:rsidP="00A5630B">
            <w:pPr>
              <w:spacing w:before="0" w:after="0" w:line="240" w:lineRule="auto"/>
              <w:jc w:val="center"/>
              <w:rPr>
                <w:rFonts w:eastAsia="Times New Roman" w:cs="Times New Roman"/>
                <w:color w:val="3A3838"/>
                <w:sz w:val="20"/>
                <w:szCs w:val="20"/>
                <w:lang w:eastAsia="en-GB"/>
              </w:rPr>
            </w:pPr>
            <w:r w:rsidRPr="00700AFE">
              <w:rPr>
                <w:rFonts w:eastAsia="Times New Roman" w:cs="Times New Roman"/>
                <w:color w:val="3A3838"/>
                <w:sz w:val="20"/>
                <w:szCs w:val="20"/>
                <w:lang w:eastAsia="en-GB"/>
              </w:rPr>
              <w:t>46102</w:t>
            </w:r>
          </w:p>
        </w:tc>
        <w:tc>
          <w:tcPr>
            <w:tcW w:w="1701" w:type="dxa"/>
            <w:shd w:val="clear" w:color="auto" w:fill="FFFFFF" w:themeFill="background1"/>
            <w:noWrap/>
            <w:vAlign w:val="center"/>
            <w:hideMark/>
          </w:tcPr>
          <w:p w14:paraId="2D191CF1" w14:textId="77777777" w:rsidR="00700AFE" w:rsidRPr="00700AFE" w:rsidRDefault="00700AFE" w:rsidP="00A5630B">
            <w:pPr>
              <w:spacing w:before="0" w:after="0" w:line="240" w:lineRule="auto"/>
              <w:jc w:val="center"/>
              <w:rPr>
                <w:rFonts w:eastAsia="Times New Roman" w:cs="Times New Roman"/>
                <w:color w:val="3A3838"/>
                <w:sz w:val="20"/>
                <w:szCs w:val="20"/>
                <w:lang w:eastAsia="en-GB"/>
              </w:rPr>
            </w:pPr>
            <w:r w:rsidRPr="00700AFE">
              <w:rPr>
                <w:rFonts w:eastAsia="Times New Roman" w:cs="Times New Roman"/>
                <w:color w:val="3A3838"/>
                <w:sz w:val="20"/>
                <w:szCs w:val="20"/>
                <w:lang w:eastAsia="en-GB"/>
              </w:rPr>
              <w:t>15%</w:t>
            </w:r>
          </w:p>
        </w:tc>
        <w:tc>
          <w:tcPr>
            <w:tcW w:w="1417" w:type="dxa"/>
            <w:shd w:val="clear" w:color="auto" w:fill="FFFFFF" w:themeFill="background1"/>
            <w:noWrap/>
            <w:vAlign w:val="center"/>
          </w:tcPr>
          <w:p w14:paraId="37780C3D" w14:textId="3964D64E"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cs="Times New Roman"/>
                <w:sz w:val="20"/>
                <w:szCs w:val="20"/>
              </w:rPr>
              <w:t>4.25</w:t>
            </w:r>
          </w:p>
        </w:tc>
        <w:tc>
          <w:tcPr>
            <w:tcW w:w="1843" w:type="dxa"/>
            <w:shd w:val="clear" w:color="auto" w:fill="FFFFFF" w:themeFill="background1"/>
            <w:vAlign w:val="center"/>
          </w:tcPr>
          <w:p w14:paraId="091F1F85" w14:textId="093EE783"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cs="Times New Roman"/>
                <w:sz w:val="20"/>
                <w:szCs w:val="20"/>
              </w:rPr>
              <w:t>4.84</w:t>
            </w:r>
          </w:p>
        </w:tc>
        <w:tc>
          <w:tcPr>
            <w:tcW w:w="1559" w:type="dxa"/>
            <w:shd w:val="clear" w:color="auto" w:fill="FFFFFF" w:themeFill="background1"/>
            <w:vAlign w:val="center"/>
          </w:tcPr>
          <w:p w14:paraId="683148C7" w14:textId="7D2F4BC0"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3.93</w:t>
            </w:r>
          </w:p>
        </w:tc>
      </w:tr>
      <w:tr w:rsidR="00A5630B" w:rsidRPr="00700AFE" w14:paraId="15CB3760" w14:textId="45C1E6B7" w:rsidTr="00A5630B">
        <w:trPr>
          <w:trHeight w:val="349"/>
        </w:trPr>
        <w:tc>
          <w:tcPr>
            <w:tcW w:w="3392" w:type="dxa"/>
            <w:shd w:val="clear" w:color="auto" w:fill="FFFFFF" w:themeFill="background1"/>
            <w:vAlign w:val="center"/>
            <w:hideMark/>
          </w:tcPr>
          <w:p w14:paraId="55E75A2C"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Cholangiocarcinoma</w:t>
            </w:r>
          </w:p>
        </w:tc>
        <w:tc>
          <w:tcPr>
            <w:tcW w:w="1560" w:type="dxa"/>
            <w:shd w:val="clear" w:color="auto" w:fill="FFFFFF" w:themeFill="background1"/>
            <w:noWrap/>
            <w:vAlign w:val="center"/>
            <w:hideMark/>
          </w:tcPr>
          <w:p w14:paraId="277B3DE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0.10%</w:t>
            </w:r>
          </w:p>
        </w:tc>
        <w:tc>
          <w:tcPr>
            <w:tcW w:w="2126" w:type="dxa"/>
            <w:shd w:val="clear" w:color="auto" w:fill="FFFFFF" w:themeFill="background1"/>
            <w:noWrap/>
            <w:vAlign w:val="center"/>
            <w:hideMark/>
          </w:tcPr>
          <w:p w14:paraId="3E027A52" w14:textId="77777777" w:rsidR="00700AFE" w:rsidRPr="00700AFE" w:rsidRDefault="00700AFE" w:rsidP="00A5630B">
            <w:pPr>
              <w:spacing w:before="0" w:after="0" w:line="240" w:lineRule="auto"/>
              <w:jc w:val="center"/>
              <w:rPr>
                <w:rFonts w:eastAsia="Times New Roman" w:cs="Times New Roman"/>
                <w:color w:val="3A3838"/>
                <w:sz w:val="20"/>
                <w:szCs w:val="20"/>
                <w:lang w:eastAsia="en-GB"/>
              </w:rPr>
            </w:pPr>
            <w:r w:rsidRPr="00700AFE">
              <w:rPr>
                <w:rFonts w:eastAsia="Times New Roman" w:cs="Times New Roman"/>
                <w:color w:val="3A3838"/>
                <w:sz w:val="20"/>
                <w:szCs w:val="20"/>
                <w:lang w:eastAsia="en-GB"/>
              </w:rPr>
              <w:t>556</w:t>
            </w:r>
          </w:p>
        </w:tc>
        <w:tc>
          <w:tcPr>
            <w:tcW w:w="1701" w:type="dxa"/>
            <w:shd w:val="clear" w:color="auto" w:fill="FFFFFF" w:themeFill="background1"/>
            <w:noWrap/>
            <w:vAlign w:val="center"/>
            <w:hideMark/>
          </w:tcPr>
          <w:p w14:paraId="001B667F" w14:textId="77777777" w:rsidR="00700AFE" w:rsidRPr="00700AFE" w:rsidRDefault="00700AFE" w:rsidP="00A5630B">
            <w:pPr>
              <w:spacing w:before="0" w:after="0" w:line="240" w:lineRule="auto"/>
              <w:jc w:val="center"/>
              <w:rPr>
                <w:rFonts w:eastAsia="Times New Roman" w:cs="Times New Roman"/>
                <w:color w:val="3A3838"/>
                <w:sz w:val="20"/>
                <w:szCs w:val="20"/>
                <w:lang w:eastAsia="en-GB"/>
              </w:rPr>
            </w:pPr>
            <w:r w:rsidRPr="00700AFE">
              <w:rPr>
                <w:rFonts w:eastAsia="Times New Roman" w:cs="Times New Roman"/>
                <w:color w:val="3A3838"/>
                <w:sz w:val="20"/>
                <w:szCs w:val="20"/>
                <w:lang w:eastAsia="en-GB"/>
              </w:rPr>
              <w:t>60%</w:t>
            </w:r>
          </w:p>
        </w:tc>
        <w:tc>
          <w:tcPr>
            <w:tcW w:w="1417" w:type="dxa"/>
            <w:shd w:val="clear" w:color="auto" w:fill="FFFFFF" w:themeFill="background1"/>
            <w:noWrap/>
            <w:vAlign w:val="center"/>
          </w:tcPr>
          <w:p w14:paraId="3637CD49" w14:textId="6C7E537D"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cs="Times New Roman"/>
                <w:sz w:val="20"/>
                <w:szCs w:val="20"/>
              </w:rPr>
              <w:t>0.29</w:t>
            </w:r>
          </w:p>
        </w:tc>
        <w:tc>
          <w:tcPr>
            <w:tcW w:w="1843" w:type="dxa"/>
            <w:shd w:val="clear" w:color="auto" w:fill="FFFFFF" w:themeFill="background1"/>
            <w:vAlign w:val="center"/>
          </w:tcPr>
          <w:p w14:paraId="15600D57" w14:textId="4D44399F"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cs="Times New Roman"/>
                <w:sz w:val="20"/>
                <w:szCs w:val="20"/>
              </w:rPr>
              <w:t>0.33</w:t>
            </w:r>
          </w:p>
        </w:tc>
        <w:tc>
          <w:tcPr>
            <w:tcW w:w="1559" w:type="dxa"/>
            <w:shd w:val="clear" w:color="auto" w:fill="FFFFFF" w:themeFill="background1"/>
            <w:vAlign w:val="center"/>
          </w:tcPr>
          <w:p w14:paraId="3ABCCDF4" w14:textId="1A79F033"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0.27</w:t>
            </w:r>
          </w:p>
        </w:tc>
      </w:tr>
      <w:tr w:rsidR="00A5630B" w:rsidRPr="00700AFE" w14:paraId="21ED718E" w14:textId="7835CA73" w:rsidTr="00A5630B">
        <w:trPr>
          <w:trHeight w:val="367"/>
        </w:trPr>
        <w:tc>
          <w:tcPr>
            <w:tcW w:w="3392" w:type="dxa"/>
            <w:shd w:val="clear" w:color="auto" w:fill="FFFFFF" w:themeFill="background1"/>
            <w:vAlign w:val="center"/>
            <w:hideMark/>
          </w:tcPr>
          <w:p w14:paraId="3018152C"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Colorectal</w:t>
            </w:r>
          </w:p>
        </w:tc>
        <w:tc>
          <w:tcPr>
            <w:tcW w:w="1560" w:type="dxa"/>
            <w:shd w:val="clear" w:color="auto" w:fill="FFFFFF" w:themeFill="background1"/>
            <w:noWrap/>
            <w:vAlign w:val="center"/>
            <w:hideMark/>
          </w:tcPr>
          <w:p w14:paraId="26F114C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0.12%</w:t>
            </w:r>
          </w:p>
        </w:tc>
        <w:tc>
          <w:tcPr>
            <w:tcW w:w="2126" w:type="dxa"/>
            <w:shd w:val="clear" w:color="auto" w:fill="FFFFFF" w:themeFill="background1"/>
            <w:noWrap/>
            <w:vAlign w:val="center"/>
            <w:hideMark/>
          </w:tcPr>
          <w:p w14:paraId="09B6B6F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34825</w:t>
            </w:r>
          </w:p>
        </w:tc>
        <w:tc>
          <w:tcPr>
            <w:tcW w:w="1701" w:type="dxa"/>
            <w:shd w:val="clear" w:color="auto" w:fill="FFFFFF" w:themeFill="background1"/>
            <w:noWrap/>
            <w:vAlign w:val="center"/>
            <w:hideMark/>
          </w:tcPr>
          <w:p w14:paraId="4195DCB3"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55%</w:t>
            </w:r>
          </w:p>
        </w:tc>
        <w:tc>
          <w:tcPr>
            <w:tcW w:w="1417" w:type="dxa"/>
            <w:shd w:val="clear" w:color="auto" w:fill="FFFFFF" w:themeFill="background1"/>
            <w:noWrap/>
            <w:vAlign w:val="center"/>
          </w:tcPr>
          <w:p w14:paraId="2D4096FF" w14:textId="4555C47E"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20.20</w:t>
            </w:r>
          </w:p>
        </w:tc>
        <w:tc>
          <w:tcPr>
            <w:tcW w:w="1843" w:type="dxa"/>
            <w:shd w:val="clear" w:color="auto" w:fill="FFFFFF" w:themeFill="background1"/>
            <w:vAlign w:val="center"/>
          </w:tcPr>
          <w:p w14:paraId="2A94B423" w14:textId="4D6368F8"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22.98</w:t>
            </w:r>
          </w:p>
        </w:tc>
        <w:tc>
          <w:tcPr>
            <w:tcW w:w="1559" w:type="dxa"/>
            <w:shd w:val="clear" w:color="auto" w:fill="FFFFFF" w:themeFill="background1"/>
            <w:vAlign w:val="center"/>
          </w:tcPr>
          <w:p w14:paraId="42A4A28D" w14:textId="53009A49"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18.64</w:t>
            </w:r>
          </w:p>
        </w:tc>
      </w:tr>
      <w:tr w:rsidR="00A5630B" w:rsidRPr="00700AFE" w14:paraId="27E1568A" w14:textId="40FCCFF8" w:rsidTr="00A5630B">
        <w:trPr>
          <w:trHeight w:val="384"/>
        </w:trPr>
        <w:tc>
          <w:tcPr>
            <w:tcW w:w="3392" w:type="dxa"/>
            <w:shd w:val="clear" w:color="auto" w:fill="FFFFFF" w:themeFill="background1"/>
            <w:vAlign w:val="center"/>
            <w:hideMark/>
          </w:tcPr>
          <w:p w14:paraId="2D2A21EA"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GIST</w:t>
            </w:r>
          </w:p>
        </w:tc>
        <w:tc>
          <w:tcPr>
            <w:tcW w:w="1560" w:type="dxa"/>
            <w:shd w:val="clear" w:color="auto" w:fill="FFFFFF" w:themeFill="background1"/>
            <w:noWrap/>
            <w:vAlign w:val="center"/>
            <w:hideMark/>
          </w:tcPr>
          <w:p w14:paraId="4463D2DE"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1.28%</w:t>
            </w:r>
          </w:p>
        </w:tc>
        <w:tc>
          <w:tcPr>
            <w:tcW w:w="2126" w:type="dxa"/>
            <w:shd w:val="clear" w:color="auto" w:fill="FFFFFF" w:themeFill="background1"/>
            <w:noWrap/>
            <w:vAlign w:val="center"/>
            <w:hideMark/>
          </w:tcPr>
          <w:p w14:paraId="449D65B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734</w:t>
            </w:r>
          </w:p>
        </w:tc>
        <w:tc>
          <w:tcPr>
            <w:tcW w:w="1701" w:type="dxa"/>
            <w:shd w:val="clear" w:color="auto" w:fill="FFFFFF" w:themeFill="background1"/>
            <w:noWrap/>
            <w:vAlign w:val="center"/>
            <w:hideMark/>
          </w:tcPr>
          <w:p w14:paraId="6553F9DD"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40%</w:t>
            </w:r>
          </w:p>
        </w:tc>
        <w:tc>
          <w:tcPr>
            <w:tcW w:w="1417" w:type="dxa"/>
            <w:shd w:val="clear" w:color="auto" w:fill="FFFFFF" w:themeFill="background1"/>
            <w:noWrap/>
            <w:vAlign w:val="center"/>
          </w:tcPr>
          <w:p w14:paraId="61A59210" w14:textId="065FE6C6"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3.30</w:t>
            </w:r>
          </w:p>
        </w:tc>
        <w:tc>
          <w:tcPr>
            <w:tcW w:w="1843" w:type="dxa"/>
            <w:shd w:val="clear" w:color="auto" w:fill="FFFFFF" w:themeFill="background1"/>
            <w:vAlign w:val="center"/>
          </w:tcPr>
          <w:p w14:paraId="2409C3D6" w14:textId="79BED49F"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3.76</w:t>
            </w:r>
          </w:p>
        </w:tc>
        <w:tc>
          <w:tcPr>
            <w:tcW w:w="1559" w:type="dxa"/>
            <w:shd w:val="clear" w:color="auto" w:fill="FFFFFF" w:themeFill="background1"/>
            <w:vAlign w:val="center"/>
          </w:tcPr>
          <w:p w14:paraId="3DC32147" w14:textId="592BC07A"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3.05</w:t>
            </w:r>
          </w:p>
        </w:tc>
      </w:tr>
      <w:tr w:rsidR="00A5630B" w:rsidRPr="00700AFE" w14:paraId="265F0446" w14:textId="01E085E0" w:rsidTr="00A5630B">
        <w:trPr>
          <w:trHeight w:val="349"/>
        </w:trPr>
        <w:tc>
          <w:tcPr>
            <w:tcW w:w="3392" w:type="dxa"/>
            <w:shd w:val="clear" w:color="auto" w:fill="FFFFFF" w:themeFill="background1"/>
            <w:vAlign w:val="center"/>
            <w:hideMark/>
          </w:tcPr>
          <w:p w14:paraId="0AC1C719"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Infantile Fibrosarcoma</w:t>
            </w:r>
          </w:p>
        </w:tc>
        <w:tc>
          <w:tcPr>
            <w:tcW w:w="1560" w:type="dxa"/>
            <w:shd w:val="clear" w:color="auto" w:fill="FFFFFF" w:themeFill="background1"/>
            <w:noWrap/>
            <w:vAlign w:val="center"/>
            <w:hideMark/>
          </w:tcPr>
          <w:p w14:paraId="46FFD130"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90.90%</w:t>
            </w:r>
          </w:p>
        </w:tc>
        <w:tc>
          <w:tcPr>
            <w:tcW w:w="2126" w:type="dxa"/>
            <w:shd w:val="clear" w:color="auto" w:fill="FFFFFF" w:themeFill="background1"/>
            <w:noWrap/>
            <w:vAlign w:val="center"/>
            <w:hideMark/>
          </w:tcPr>
          <w:p w14:paraId="5F0906B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59</w:t>
            </w:r>
          </w:p>
        </w:tc>
        <w:tc>
          <w:tcPr>
            <w:tcW w:w="1701" w:type="dxa"/>
            <w:shd w:val="clear" w:color="auto" w:fill="FFFFFF" w:themeFill="background1"/>
            <w:noWrap/>
            <w:vAlign w:val="center"/>
            <w:hideMark/>
          </w:tcPr>
          <w:p w14:paraId="78545480"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51%</w:t>
            </w:r>
          </w:p>
        </w:tc>
        <w:tc>
          <w:tcPr>
            <w:tcW w:w="1417" w:type="dxa"/>
            <w:shd w:val="clear" w:color="auto" w:fill="FFFFFF" w:themeFill="background1"/>
            <w:noWrap/>
            <w:vAlign w:val="center"/>
          </w:tcPr>
          <w:p w14:paraId="563ABC84" w14:textId="2824FAF8"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24.04</w:t>
            </w:r>
          </w:p>
        </w:tc>
        <w:tc>
          <w:tcPr>
            <w:tcW w:w="1843" w:type="dxa"/>
            <w:shd w:val="clear" w:color="auto" w:fill="FFFFFF" w:themeFill="background1"/>
            <w:vAlign w:val="center"/>
          </w:tcPr>
          <w:p w14:paraId="21DB0C9B" w14:textId="28EFD27F"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27.35</w:t>
            </w:r>
          </w:p>
        </w:tc>
        <w:tc>
          <w:tcPr>
            <w:tcW w:w="1559" w:type="dxa"/>
            <w:shd w:val="clear" w:color="auto" w:fill="FFFFFF" w:themeFill="background1"/>
            <w:vAlign w:val="center"/>
          </w:tcPr>
          <w:p w14:paraId="1D7C9721" w14:textId="7E83FFFA"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22.18</w:t>
            </w:r>
          </w:p>
        </w:tc>
      </w:tr>
      <w:tr w:rsidR="00A5630B" w:rsidRPr="00700AFE" w14:paraId="17155F69" w14:textId="4FBE7BAC" w:rsidTr="00A5630B">
        <w:trPr>
          <w:trHeight w:val="349"/>
        </w:trPr>
        <w:tc>
          <w:tcPr>
            <w:tcW w:w="3392" w:type="dxa"/>
            <w:shd w:val="clear" w:color="auto" w:fill="FFFFFF" w:themeFill="background1"/>
            <w:noWrap/>
            <w:vAlign w:val="center"/>
            <w:hideMark/>
          </w:tcPr>
          <w:p w14:paraId="2633AF9F" w14:textId="77777777" w:rsidR="00700AFE" w:rsidRPr="00700AFE" w:rsidRDefault="00700AFE" w:rsidP="00A5630B">
            <w:pPr>
              <w:spacing w:before="0" w:after="0" w:line="240" w:lineRule="auto"/>
              <w:rPr>
                <w:rFonts w:eastAsia="Times New Roman" w:cs="Times New Roman"/>
                <w:b/>
                <w:bCs/>
                <w:color w:val="000000"/>
                <w:sz w:val="20"/>
                <w:szCs w:val="20"/>
                <w:lang w:eastAsia="en-GB"/>
              </w:rPr>
            </w:pPr>
            <w:r w:rsidRPr="00700AFE">
              <w:rPr>
                <w:rFonts w:eastAsia="Times New Roman" w:cs="Times New Roman"/>
                <w:b/>
                <w:bCs/>
                <w:color w:val="000000"/>
                <w:sz w:val="20"/>
                <w:szCs w:val="20"/>
                <w:lang w:eastAsia="en-GB"/>
              </w:rPr>
              <w:t>MASC</w:t>
            </w:r>
          </w:p>
        </w:tc>
        <w:tc>
          <w:tcPr>
            <w:tcW w:w="1560" w:type="dxa"/>
            <w:shd w:val="clear" w:color="auto" w:fill="FFFFFF" w:themeFill="background1"/>
            <w:noWrap/>
            <w:vAlign w:val="center"/>
            <w:hideMark/>
          </w:tcPr>
          <w:p w14:paraId="27E5377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92.90%</w:t>
            </w:r>
          </w:p>
        </w:tc>
        <w:tc>
          <w:tcPr>
            <w:tcW w:w="2126" w:type="dxa"/>
            <w:shd w:val="clear" w:color="auto" w:fill="FFFFFF" w:themeFill="background1"/>
            <w:noWrap/>
            <w:vAlign w:val="center"/>
            <w:hideMark/>
          </w:tcPr>
          <w:p w14:paraId="1F8D756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11</w:t>
            </w:r>
          </w:p>
        </w:tc>
        <w:tc>
          <w:tcPr>
            <w:tcW w:w="1701" w:type="dxa"/>
            <w:shd w:val="clear" w:color="auto" w:fill="FFFFFF" w:themeFill="background1"/>
            <w:noWrap/>
            <w:vAlign w:val="center"/>
            <w:hideMark/>
          </w:tcPr>
          <w:p w14:paraId="10DD8121"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22%</w:t>
            </w:r>
          </w:p>
        </w:tc>
        <w:tc>
          <w:tcPr>
            <w:tcW w:w="1417" w:type="dxa"/>
            <w:shd w:val="clear" w:color="auto" w:fill="FFFFFF" w:themeFill="background1"/>
            <w:noWrap/>
            <w:vAlign w:val="center"/>
          </w:tcPr>
          <w:p w14:paraId="1CAF95DF" w14:textId="2DBCC90C"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1.80</w:t>
            </w:r>
          </w:p>
        </w:tc>
        <w:tc>
          <w:tcPr>
            <w:tcW w:w="1843" w:type="dxa"/>
            <w:shd w:val="clear" w:color="auto" w:fill="FFFFFF" w:themeFill="background1"/>
            <w:vAlign w:val="center"/>
          </w:tcPr>
          <w:p w14:paraId="10D36C71" w14:textId="136B19FF"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2.25</w:t>
            </w:r>
          </w:p>
        </w:tc>
        <w:tc>
          <w:tcPr>
            <w:tcW w:w="1559" w:type="dxa"/>
            <w:shd w:val="clear" w:color="auto" w:fill="FFFFFF" w:themeFill="background1"/>
            <w:vAlign w:val="center"/>
          </w:tcPr>
          <w:p w14:paraId="599B462E" w14:textId="29001D19"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1.82</w:t>
            </w:r>
          </w:p>
        </w:tc>
      </w:tr>
      <w:tr w:rsidR="00A5630B" w:rsidRPr="00700AFE" w14:paraId="7581612E" w14:textId="34E0449A" w:rsidTr="00A5630B">
        <w:trPr>
          <w:trHeight w:val="349"/>
        </w:trPr>
        <w:tc>
          <w:tcPr>
            <w:tcW w:w="3392" w:type="dxa"/>
            <w:shd w:val="clear" w:color="auto" w:fill="FFFFFF" w:themeFill="background1"/>
            <w:vAlign w:val="center"/>
            <w:hideMark/>
          </w:tcPr>
          <w:p w14:paraId="29F9F8FE"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Melanoma</w:t>
            </w:r>
          </w:p>
        </w:tc>
        <w:tc>
          <w:tcPr>
            <w:tcW w:w="1560" w:type="dxa"/>
            <w:shd w:val="clear" w:color="auto" w:fill="FFFFFF" w:themeFill="background1"/>
            <w:noWrap/>
            <w:vAlign w:val="center"/>
            <w:hideMark/>
          </w:tcPr>
          <w:p w14:paraId="75D1E470"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0.21%</w:t>
            </w:r>
          </w:p>
        </w:tc>
        <w:tc>
          <w:tcPr>
            <w:tcW w:w="2126" w:type="dxa"/>
            <w:shd w:val="clear" w:color="auto" w:fill="FFFFFF" w:themeFill="background1"/>
            <w:noWrap/>
            <w:vAlign w:val="center"/>
            <w:hideMark/>
          </w:tcPr>
          <w:p w14:paraId="1035976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13740</w:t>
            </w:r>
          </w:p>
        </w:tc>
        <w:tc>
          <w:tcPr>
            <w:tcW w:w="1701" w:type="dxa"/>
            <w:shd w:val="clear" w:color="auto" w:fill="FFFFFF" w:themeFill="background1"/>
            <w:noWrap/>
            <w:vAlign w:val="center"/>
            <w:hideMark/>
          </w:tcPr>
          <w:p w14:paraId="72FED216" w14:textId="3FD4FD09" w:rsidR="00700AFE" w:rsidRPr="00700AFE" w:rsidRDefault="00A5630B" w:rsidP="00A5630B">
            <w:pPr>
              <w:spacing w:before="0" w:after="0" w:line="240" w:lineRule="auto"/>
              <w:jc w:val="center"/>
              <w:rPr>
                <w:rFonts w:eastAsia="Times New Roman" w:cs="Times New Roman"/>
                <w:sz w:val="20"/>
                <w:szCs w:val="20"/>
                <w:lang w:eastAsia="en-GB"/>
              </w:rPr>
            </w:pPr>
            <w:r w:rsidRPr="00A5630B">
              <w:rPr>
                <w:rFonts w:eastAsia="Times New Roman" w:cs="Times New Roman"/>
                <w:sz w:val="20"/>
                <w:szCs w:val="20"/>
                <w:lang w:eastAsia="en-GB"/>
              </w:rPr>
              <w:t>10</w:t>
            </w:r>
            <w:r w:rsidR="00700AFE" w:rsidRPr="00700AFE">
              <w:rPr>
                <w:rFonts w:eastAsia="Times New Roman" w:cs="Times New Roman"/>
                <w:sz w:val="20"/>
                <w:szCs w:val="20"/>
                <w:lang w:eastAsia="en-GB"/>
              </w:rPr>
              <w:t>%</w:t>
            </w:r>
          </w:p>
        </w:tc>
        <w:tc>
          <w:tcPr>
            <w:tcW w:w="1417" w:type="dxa"/>
            <w:shd w:val="clear" w:color="auto" w:fill="FFFFFF" w:themeFill="background1"/>
            <w:noWrap/>
            <w:vAlign w:val="center"/>
          </w:tcPr>
          <w:p w14:paraId="34CE9D9D" w14:textId="3E7999BE"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2.28</w:t>
            </w:r>
          </w:p>
        </w:tc>
        <w:tc>
          <w:tcPr>
            <w:tcW w:w="1843" w:type="dxa"/>
            <w:shd w:val="clear" w:color="auto" w:fill="FFFFFF" w:themeFill="background1"/>
            <w:vAlign w:val="center"/>
          </w:tcPr>
          <w:p w14:paraId="3A148514" w14:textId="0ED10689"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2.60</w:t>
            </w:r>
          </w:p>
        </w:tc>
        <w:tc>
          <w:tcPr>
            <w:tcW w:w="1559" w:type="dxa"/>
            <w:shd w:val="clear" w:color="auto" w:fill="FFFFFF" w:themeFill="background1"/>
            <w:vAlign w:val="center"/>
          </w:tcPr>
          <w:p w14:paraId="1AB4A562" w14:textId="0469048E"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2.11</w:t>
            </w:r>
          </w:p>
        </w:tc>
      </w:tr>
      <w:tr w:rsidR="00A5630B" w:rsidRPr="00700AFE" w14:paraId="180357A6" w14:textId="1F39677C" w:rsidTr="00A5630B">
        <w:trPr>
          <w:trHeight w:val="349"/>
        </w:trPr>
        <w:tc>
          <w:tcPr>
            <w:tcW w:w="3392" w:type="dxa"/>
            <w:shd w:val="clear" w:color="auto" w:fill="FFFFFF" w:themeFill="background1"/>
            <w:vAlign w:val="center"/>
            <w:hideMark/>
          </w:tcPr>
          <w:p w14:paraId="7F7A170C"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NSCLC</w:t>
            </w:r>
          </w:p>
        </w:tc>
        <w:tc>
          <w:tcPr>
            <w:tcW w:w="1560" w:type="dxa"/>
            <w:shd w:val="clear" w:color="auto" w:fill="FFFFFF" w:themeFill="background1"/>
            <w:noWrap/>
            <w:vAlign w:val="center"/>
            <w:hideMark/>
          </w:tcPr>
          <w:p w14:paraId="09D3129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0.09%</w:t>
            </w:r>
          </w:p>
        </w:tc>
        <w:tc>
          <w:tcPr>
            <w:tcW w:w="2126" w:type="dxa"/>
            <w:shd w:val="clear" w:color="auto" w:fill="FFFFFF" w:themeFill="background1"/>
            <w:noWrap/>
            <w:vAlign w:val="center"/>
            <w:hideMark/>
          </w:tcPr>
          <w:p w14:paraId="017CB54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32576</w:t>
            </w:r>
          </w:p>
        </w:tc>
        <w:tc>
          <w:tcPr>
            <w:tcW w:w="1701" w:type="dxa"/>
            <w:shd w:val="clear" w:color="auto" w:fill="FFFFFF" w:themeFill="background1"/>
            <w:noWrap/>
            <w:vAlign w:val="center"/>
            <w:hideMark/>
          </w:tcPr>
          <w:p w14:paraId="2842FB6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57%</w:t>
            </w:r>
          </w:p>
        </w:tc>
        <w:tc>
          <w:tcPr>
            <w:tcW w:w="1417" w:type="dxa"/>
            <w:shd w:val="clear" w:color="auto" w:fill="FFFFFF" w:themeFill="background1"/>
            <w:noWrap/>
            <w:vAlign w:val="center"/>
          </w:tcPr>
          <w:p w14:paraId="2CB43288" w14:textId="5A0BD355"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14.69</w:t>
            </w:r>
          </w:p>
        </w:tc>
        <w:tc>
          <w:tcPr>
            <w:tcW w:w="1843" w:type="dxa"/>
            <w:shd w:val="clear" w:color="auto" w:fill="FFFFFF" w:themeFill="background1"/>
            <w:vAlign w:val="center"/>
          </w:tcPr>
          <w:p w14:paraId="46BA8F72" w14:textId="03F46068"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16.71</w:t>
            </w:r>
          </w:p>
        </w:tc>
        <w:tc>
          <w:tcPr>
            <w:tcW w:w="1559" w:type="dxa"/>
            <w:shd w:val="clear" w:color="auto" w:fill="FFFFFF" w:themeFill="background1"/>
            <w:vAlign w:val="center"/>
          </w:tcPr>
          <w:p w14:paraId="7843D370" w14:textId="4BE05F1A"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13.55</w:t>
            </w:r>
          </w:p>
        </w:tc>
      </w:tr>
      <w:tr w:rsidR="00A5630B" w:rsidRPr="00700AFE" w14:paraId="0F49B744" w14:textId="5D137642" w:rsidTr="00A5630B">
        <w:trPr>
          <w:trHeight w:val="349"/>
        </w:trPr>
        <w:tc>
          <w:tcPr>
            <w:tcW w:w="3392" w:type="dxa"/>
            <w:shd w:val="clear" w:color="auto" w:fill="FFFFFF" w:themeFill="background1"/>
            <w:vAlign w:val="center"/>
            <w:hideMark/>
          </w:tcPr>
          <w:p w14:paraId="53463B08"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Pancreatic</w:t>
            </w:r>
          </w:p>
        </w:tc>
        <w:tc>
          <w:tcPr>
            <w:tcW w:w="1560" w:type="dxa"/>
            <w:shd w:val="clear" w:color="auto" w:fill="FFFFFF" w:themeFill="background1"/>
            <w:noWrap/>
            <w:vAlign w:val="center"/>
            <w:hideMark/>
          </w:tcPr>
          <w:p w14:paraId="48537B2F"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0.26%</w:t>
            </w:r>
          </w:p>
        </w:tc>
        <w:tc>
          <w:tcPr>
            <w:tcW w:w="2126" w:type="dxa"/>
            <w:shd w:val="clear" w:color="auto" w:fill="FFFFFF" w:themeFill="background1"/>
            <w:noWrap/>
            <w:vAlign w:val="center"/>
            <w:hideMark/>
          </w:tcPr>
          <w:p w14:paraId="45A990FE"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8388</w:t>
            </w:r>
          </w:p>
        </w:tc>
        <w:tc>
          <w:tcPr>
            <w:tcW w:w="1701" w:type="dxa"/>
            <w:shd w:val="clear" w:color="auto" w:fill="FFFFFF" w:themeFill="background1"/>
            <w:noWrap/>
            <w:vAlign w:val="center"/>
            <w:hideMark/>
          </w:tcPr>
          <w:p w14:paraId="152C2EBA"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78%</w:t>
            </w:r>
          </w:p>
        </w:tc>
        <w:tc>
          <w:tcPr>
            <w:tcW w:w="1417" w:type="dxa"/>
            <w:shd w:val="clear" w:color="auto" w:fill="FFFFFF" w:themeFill="background1"/>
            <w:noWrap/>
            <w:vAlign w:val="center"/>
          </w:tcPr>
          <w:p w14:paraId="5B094FDD" w14:textId="12B73E65"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14.95</w:t>
            </w:r>
          </w:p>
        </w:tc>
        <w:tc>
          <w:tcPr>
            <w:tcW w:w="1843" w:type="dxa"/>
            <w:shd w:val="clear" w:color="auto" w:fill="FFFFFF" w:themeFill="background1"/>
            <w:vAlign w:val="center"/>
          </w:tcPr>
          <w:p w14:paraId="5994FF45" w14:textId="512336D1"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17.01</w:t>
            </w:r>
          </w:p>
        </w:tc>
        <w:tc>
          <w:tcPr>
            <w:tcW w:w="1559" w:type="dxa"/>
            <w:shd w:val="clear" w:color="auto" w:fill="FFFFFF" w:themeFill="background1"/>
            <w:vAlign w:val="center"/>
          </w:tcPr>
          <w:p w14:paraId="4EACA482" w14:textId="79AD4607"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13.80</w:t>
            </w:r>
          </w:p>
        </w:tc>
      </w:tr>
      <w:tr w:rsidR="00A5630B" w:rsidRPr="00700AFE" w14:paraId="4FD05764" w14:textId="502FE398" w:rsidTr="00A5630B">
        <w:trPr>
          <w:trHeight w:val="349"/>
        </w:trPr>
        <w:tc>
          <w:tcPr>
            <w:tcW w:w="3392" w:type="dxa"/>
            <w:shd w:val="clear" w:color="auto" w:fill="FFFFFF" w:themeFill="background1"/>
            <w:vAlign w:val="center"/>
            <w:hideMark/>
          </w:tcPr>
          <w:p w14:paraId="1A086759"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 xml:space="preserve">Soft tissue sarcoma </w:t>
            </w:r>
          </w:p>
        </w:tc>
        <w:tc>
          <w:tcPr>
            <w:tcW w:w="1560" w:type="dxa"/>
            <w:shd w:val="clear" w:color="auto" w:fill="FFFFFF" w:themeFill="background1"/>
            <w:noWrap/>
            <w:vAlign w:val="center"/>
            <w:hideMark/>
          </w:tcPr>
          <w:p w14:paraId="4F718B4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0.56%</w:t>
            </w:r>
          </w:p>
        </w:tc>
        <w:tc>
          <w:tcPr>
            <w:tcW w:w="2126" w:type="dxa"/>
            <w:shd w:val="clear" w:color="auto" w:fill="FFFFFF" w:themeFill="background1"/>
            <w:noWrap/>
            <w:vAlign w:val="center"/>
            <w:hideMark/>
          </w:tcPr>
          <w:p w14:paraId="51F95413"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2740</w:t>
            </w:r>
          </w:p>
        </w:tc>
        <w:tc>
          <w:tcPr>
            <w:tcW w:w="1701" w:type="dxa"/>
            <w:shd w:val="clear" w:color="auto" w:fill="FFFFFF" w:themeFill="background1"/>
            <w:noWrap/>
            <w:vAlign w:val="center"/>
            <w:hideMark/>
          </w:tcPr>
          <w:p w14:paraId="651B2D9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32%</w:t>
            </w:r>
          </w:p>
        </w:tc>
        <w:tc>
          <w:tcPr>
            <w:tcW w:w="1417" w:type="dxa"/>
            <w:shd w:val="clear" w:color="auto" w:fill="FFFFFF" w:themeFill="background1"/>
            <w:noWrap/>
            <w:vAlign w:val="center"/>
          </w:tcPr>
          <w:p w14:paraId="5EB13879" w14:textId="1AE16C5B"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4.32</w:t>
            </w:r>
          </w:p>
        </w:tc>
        <w:tc>
          <w:tcPr>
            <w:tcW w:w="1843" w:type="dxa"/>
            <w:shd w:val="clear" w:color="auto" w:fill="FFFFFF" w:themeFill="background1"/>
            <w:vAlign w:val="center"/>
          </w:tcPr>
          <w:p w14:paraId="7C6B2C65" w14:textId="4EFAE33D"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4.91</w:t>
            </w:r>
          </w:p>
        </w:tc>
        <w:tc>
          <w:tcPr>
            <w:tcW w:w="1559" w:type="dxa"/>
            <w:shd w:val="clear" w:color="auto" w:fill="FFFFFF" w:themeFill="background1"/>
            <w:vAlign w:val="center"/>
          </w:tcPr>
          <w:p w14:paraId="583B2C4A" w14:textId="076475BB"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3.98</w:t>
            </w:r>
          </w:p>
        </w:tc>
      </w:tr>
      <w:tr w:rsidR="00A5630B" w:rsidRPr="00700AFE" w14:paraId="6820FE94" w14:textId="711EE633" w:rsidTr="00A5630B">
        <w:trPr>
          <w:trHeight w:val="349"/>
        </w:trPr>
        <w:tc>
          <w:tcPr>
            <w:tcW w:w="3392" w:type="dxa"/>
            <w:shd w:val="clear" w:color="auto" w:fill="FFFFFF" w:themeFill="background1"/>
            <w:vAlign w:val="center"/>
            <w:hideMark/>
          </w:tcPr>
          <w:p w14:paraId="06B58494"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Thyroid</w:t>
            </w:r>
          </w:p>
        </w:tc>
        <w:tc>
          <w:tcPr>
            <w:tcW w:w="1560" w:type="dxa"/>
            <w:shd w:val="clear" w:color="auto" w:fill="FFFFFF" w:themeFill="background1"/>
            <w:noWrap/>
            <w:vAlign w:val="center"/>
            <w:hideMark/>
          </w:tcPr>
          <w:p w14:paraId="7CABCECB"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0.92%</w:t>
            </w:r>
          </w:p>
        </w:tc>
        <w:tc>
          <w:tcPr>
            <w:tcW w:w="2126" w:type="dxa"/>
            <w:shd w:val="clear" w:color="auto" w:fill="FFFFFF" w:themeFill="background1"/>
            <w:noWrap/>
            <w:vAlign w:val="center"/>
            <w:hideMark/>
          </w:tcPr>
          <w:p w14:paraId="66294851"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2195</w:t>
            </w:r>
          </w:p>
        </w:tc>
        <w:tc>
          <w:tcPr>
            <w:tcW w:w="1701" w:type="dxa"/>
            <w:shd w:val="clear" w:color="auto" w:fill="FFFFFF" w:themeFill="background1"/>
            <w:noWrap/>
            <w:vAlign w:val="center"/>
            <w:hideMark/>
          </w:tcPr>
          <w:p w14:paraId="58C82DF5"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31%</w:t>
            </w:r>
          </w:p>
        </w:tc>
        <w:tc>
          <w:tcPr>
            <w:tcW w:w="1417" w:type="dxa"/>
            <w:shd w:val="clear" w:color="auto" w:fill="FFFFFF" w:themeFill="background1"/>
            <w:noWrap/>
            <w:vAlign w:val="center"/>
          </w:tcPr>
          <w:p w14:paraId="1297E460" w14:textId="5506935C"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5.50</w:t>
            </w:r>
          </w:p>
        </w:tc>
        <w:tc>
          <w:tcPr>
            <w:tcW w:w="1843" w:type="dxa"/>
            <w:shd w:val="clear" w:color="auto" w:fill="FFFFFF" w:themeFill="background1"/>
            <w:vAlign w:val="center"/>
          </w:tcPr>
          <w:p w14:paraId="4673B929" w14:textId="09EC89E8"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6.26</w:t>
            </w:r>
          </w:p>
        </w:tc>
        <w:tc>
          <w:tcPr>
            <w:tcW w:w="1559" w:type="dxa"/>
            <w:shd w:val="clear" w:color="auto" w:fill="FFFFFF" w:themeFill="background1"/>
            <w:vAlign w:val="center"/>
          </w:tcPr>
          <w:p w14:paraId="49723221" w14:textId="34052BB9"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5.08</w:t>
            </w:r>
          </w:p>
        </w:tc>
      </w:tr>
      <w:tr w:rsidR="00700AFE" w:rsidRPr="00700AFE" w14:paraId="5E1A949B" w14:textId="3CFA02B7" w:rsidTr="00A5630B">
        <w:trPr>
          <w:trHeight w:val="349"/>
        </w:trPr>
        <w:tc>
          <w:tcPr>
            <w:tcW w:w="10196" w:type="dxa"/>
            <w:gridSpan w:val="5"/>
            <w:shd w:val="clear" w:color="auto" w:fill="D9D9D9" w:themeFill="background1" w:themeFillShade="D9"/>
            <w:vAlign w:val="center"/>
            <w:hideMark/>
          </w:tcPr>
          <w:p w14:paraId="6EF59323" w14:textId="76BD93BB" w:rsidR="00700AFE" w:rsidRPr="00700AFE" w:rsidRDefault="00700AFE" w:rsidP="00A5630B">
            <w:pPr>
              <w:spacing w:before="0" w:after="0" w:line="240" w:lineRule="auto"/>
              <w:rPr>
                <w:rFonts w:eastAsia="Times New Roman" w:cs="Times New Roman"/>
                <w:sz w:val="20"/>
                <w:szCs w:val="20"/>
                <w:lang w:eastAsia="en-GB"/>
              </w:rPr>
            </w:pPr>
            <w:r w:rsidRPr="00700AFE">
              <w:rPr>
                <w:rFonts w:eastAsia="Times New Roman" w:cs="Times New Roman"/>
                <w:b/>
                <w:bCs/>
                <w:sz w:val="20"/>
                <w:szCs w:val="20"/>
                <w:lang w:eastAsia="en-GB"/>
              </w:rPr>
              <w:t xml:space="preserve">Tumours not represented in trial </w:t>
            </w:r>
          </w:p>
        </w:tc>
        <w:tc>
          <w:tcPr>
            <w:tcW w:w="1843" w:type="dxa"/>
            <w:shd w:val="clear" w:color="auto" w:fill="D9D9D9" w:themeFill="background1" w:themeFillShade="D9"/>
            <w:vAlign w:val="center"/>
          </w:tcPr>
          <w:p w14:paraId="0A9360B4" w14:textId="77777777" w:rsidR="00700AFE" w:rsidRPr="00A5630B" w:rsidRDefault="00700AFE" w:rsidP="00A5630B">
            <w:pPr>
              <w:spacing w:before="0" w:after="0" w:line="240" w:lineRule="auto"/>
              <w:rPr>
                <w:rFonts w:eastAsia="Times New Roman" w:cs="Times New Roman"/>
                <w:b/>
                <w:bCs/>
                <w:sz w:val="20"/>
                <w:szCs w:val="20"/>
                <w:lang w:eastAsia="en-GB"/>
              </w:rPr>
            </w:pPr>
          </w:p>
        </w:tc>
        <w:tc>
          <w:tcPr>
            <w:tcW w:w="1559" w:type="dxa"/>
            <w:shd w:val="clear" w:color="auto" w:fill="D9D9D9" w:themeFill="background1" w:themeFillShade="D9"/>
            <w:vAlign w:val="center"/>
          </w:tcPr>
          <w:p w14:paraId="5E470171" w14:textId="60933634" w:rsidR="00700AFE" w:rsidRPr="00A5630B" w:rsidRDefault="00700AFE" w:rsidP="00A5630B">
            <w:pPr>
              <w:spacing w:before="0" w:after="0" w:line="240" w:lineRule="auto"/>
              <w:rPr>
                <w:rFonts w:eastAsia="Times New Roman" w:cs="Times New Roman"/>
                <w:b/>
                <w:bCs/>
                <w:sz w:val="20"/>
                <w:szCs w:val="20"/>
                <w:lang w:eastAsia="en-GB"/>
              </w:rPr>
            </w:pPr>
          </w:p>
        </w:tc>
      </w:tr>
      <w:tr w:rsidR="00A5630B" w:rsidRPr="00700AFE" w14:paraId="6A99C896" w14:textId="650F3985" w:rsidTr="00A5630B">
        <w:trPr>
          <w:trHeight w:val="367"/>
        </w:trPr>
        <w:tc>
          <w:tcPr>
            <w:tcW w:w="3392" w:type="dxa"/>
            <w:shd w:val="clear" w:color="auto" w:fill="FFFFFF" w:themeFill="background1"/>
            <w:vAlign w:val="center"/>
            <w:hideMark/>
          </w:tcPr>
          <w:p w14:paraId="3CC3F7EB"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Cervix</w:t>
            </w:r>
          </w:p>
        </w:tc>
        <w:tc>
          <w:tcPr>
            <w:tcW w:w="1560" w:type="dxa"/>
            <w:shd w:val="clear" w:color="auto" w:fill="FFFFFF" w:themeFill="background1"/>
            <w:noWrap/>
            <w:vAlign w:val="center"/>
            <w:hideMark/>
          </w:tcPr>
          <w:p w14:paraId="450AC4A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0.33%</w:t>
            </w:r>
          </w:p>
        </w:tc>
        <w:tc>
          <w:tcPr>
            <w:tcW w:w="2126" w:type="dxa"/>
            <w:shd w:val="clear" w:color="auto" w:fill="FFFFFF" w:themeFill="background1"/>
            <w:noWrap/>
            <w:vAlign w:val="center"/>
            <w:hideMark/>
          </w:tcPr>
          <w:p w14:paraId="4926B25A"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2591</w:t>
            </w:r>
          </w:p>
        </w:tc>
        <w:tc>
          <w:tcPr>
            <w:tcW w:w="1701" w:type="dxa"/>
            <w:shd w:val="clear" w:color="auto" w:fill="FFFFFF" w:themeFill="background1"/>
            <w:noWrap/>
            <w:vAlign w:val="center"/>
            <w:hideMark/>
          </w:tcPr>
          <w:p w14:paraId="6C94FA50"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24%</w:t>
            </w:r>
          </w:p>
        </w:tc>
        <w:tc>
          <w:tcPr>
            <w:tcW w:w="1417" w:type="dxa"/>
            <w:shd w:val="clear" w:color="auto" w:fill="FFFFFF" w:themeFill="background1"/>
            <w:noWrap/>
            <w:vAlign w:val="center"/>
          </w:tcPr>
          <w:p w14:paraId="2A53C42D" w14:textId="79062842"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1.80</w:t>
            </w:r>
          </w:p>
        </w:tc>
        <w:tc>
          <w:tcPr>
            <w:tcW w:w="1843" w:type="dxa"/>
            <w:shd w:val="clear" w:color="auto" w:fill="FFFFFF" w:themeFill="background1"/>
            <w:vAlign w:val="center"/>
          </w:tcPr>
          <w:p w14:paraId="1A4274F7" w14:textId="0F1AB0E5"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2.05</w:t>
            </w:r>
          </w:p>
        </w:tc>
        <w:tc>
          <w:tcPr>
            <w:tcW w:w="1559" w:type="dxa"/>
            <w:shd w:val="clear" w:color="auto" w:fill="FFFFFF" w:themeFill="background1"/>
            <w:vAlign w:val="center"/>
          </w:tcPr>
          <w:p w14:paraId="141E8B9F" w14:textId="1B669C45"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1.66</w:t>
            </w:r>
          </w:p>
        </w:tc>
      </w:tr>
      <w:tr w:rsidR="00A5630B" w:rsidRPr="00700AFE" w14:paraId="4BCDD164" w14:textId="72DF003E" w:rsidTr="00A5630B">
        <w:trPr>
          <w:trHeight w:val="349"/>
        </w:trPr>
        <w:tc>
          <w:tcPr>
            <w:tcW w:w="3392" w:type="dxa"/>
            <w:shd w:val="clear" w:color="auto" w:fill="FFFFFF" w:themeFill="background1"/>
            <w:vAlign w:val="center"/>
            <w:hideMark/>
          </w:tcPr>
          <w:p w14:paraId="28B12552"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Congenital Mesoblastic Nephroma</w:t>
            </w:r>
          </w:p>
        </w:tc>
        <w:tc>
          <w:tcPr>
            <w:tcW w:w="1560" w:type="dxa"/>
            <w:shd w:val="clear" w:color="auto" w:fill="FFFFFF" w:themeFill="background1"/>
            <w:noWrap/>
            <w:vAlign w:val="center"/>
            <w:hideMark/>
          </w:tcPr>
          <w:p w14:paraId="2EF173D0"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60.70%</w:t>
            </w:r>
          </w:p>
        </w:tc>
        <w:tc>
          <w:tcPr>
            <w:tcW w:w="2126" w:type="dxa"/>
            <w:shd w:val="clear" w:color="auto" w:fill="FFFFFF" w:themeFill="background1"/>
            <w:noWrap/>
            <w:vAlign w:val="center"/>
            <w:hideMark/>
          </w:tcPr>
          <w:p w14:paraId="7FF4AECD"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w:t>
            </w:r>
          </w:p>
        </w:tc>
        <w:tc>
          <w:tcPr>
            <w:tcW w:w="1701" w:type="dxa"/>
            <w:shd w:val="clear" w:color="auto" w:fill="FFFFFF" w:themeFill="background1"/>
            <w:noWrap/>
            <w:vAlign w:val="center"/>
            <w:hideMark/>
          </w:tcPr>
          <w:p w14:paraId="68E2F02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17%</w:t>
            </w:r>
          </w:p>
        </w:tc>
        <w:tc>
          <w:tcPr>
            <w:tcW w:w="1417" w:type="dxa"/>
            <w:shd w:val="clear" w:color="auto" w:fill="FFFFFF" w:themeFill="background1"/>
            <w:noWrap/>
            <w:vAlign w:val="center"/>
          </w:tcPr>
          <w:p w14:paraId="6524B202" w14:textId="7C4361FC"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0.20</w:t>
            </w:r>
          </w:p>
        </w:tc>
        <w:tc>
          <w:tcPr>
            <w:tcW w:w="1843" w:type="dxa"/>
            <w:shd w:val="clear" w:color="auto" w:fill="FFFFFF" w:themeFill="background1"/>
            <w:vAlign w:val="center"/>
          </w:tcPr>
          <w:p w14:paraId="1A9789F7" w14:textId="0E00F3D9"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0.23</w:t>
            </w:r>
          </w:p>
        </w:tc>
        <w:tc>
          <w:tcPr>
            <w:tcW w:w="1559" w:type="dxa"/>
            <w:shd w:val="clear" w:color="auto" w:fill="FFFFFF" w:themeFill="background1"/>
            <w:vAlign w:val="center"/>
          </w:tcPr>
          <w:p w14:paraId="70192E2D" w14:textId="4A85D124"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0.18</w:t>
            </w:r>
          </w:p>
        </w:tc>
      </w:tr>
      <w:tr w:rsidR="00A5630B" w:rsidRPr="00700AFE" w14:paraId="6BE4C1DD" w14:textId="110D64AB" w:rsidTr="00A5630B">
        <w:trPr>
          <w:trHeight w:val="367"/>
        </w:trPr>
        <w:tc>
          <w:tcPr>
            <w:tcW w:w="3392" w:type="dxa"/>
            <w:shd w:val="clear" w:color="auto" w:fill="FFFFFF" w:themeFill="background1"/>
            <w:vAlign w:val="center"/>
            <w:hideMark/>
          </w:tcPr>
          <w:p w14:paraId="31E6BAED" w14:textId="77777777" w:rsidR="00700AFE" w:rsidRPr="00700AFE" w:rsidRDefault="00700AFE" w:rsidP="00A5630B">
            <w:pPr>
              <w:spacing w:before="0" w:after="0" w:line="240" w:lineRule="auto"/>
              <w:rPr>
                <w:rFonts w:eastAsia="Times New Roman" w:cs="Times New Roman"/>
                <w:b/>
                <w:bCs/>
                <w:color w:val="000000"/>
                <w:sz w:val="20"/>
                <w:szCs w:val="20"/>
                <w:lang w:eastAsia="en-GB"/>
              </w:rPr>
            </w:pPr>
            <w:r w:rsidRPr="00700AFE">
              <w:rPr>
                <w:rFonts w:eastAsia="Times New Roman" w:cs="Times New Roman"/>
                <w:b/>
                <w:bCs/>
                <w:color w:val="000000"/>
                <w:sz w:val="20"/>
                <w:szCs w:val="20"/>
                <w:lang w:eastAsia="en-GB"/>
              </w:rPr>
              <w:t>Gastro-oesophageal junction</w:t>
            </w:r>
          </w:p>
        </w:tc>
        <w:tc>
          <w:tcPr>
            <w:tcW w:w="1560" w:type="dxa"/>
            <w:shd w:val="clear" w:color="auto" w:fill="FFFFFF" w:themeFill="background1"/>
            <w:noWrap/>
            <w:vAlign w:val="center"/>
            <w:hideMark/>
          </w:tcPr>
          <w:p w14:paraId="7B9DE88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0.10%</w:t>
            </w:r>
          </w:p>
        </w:tc>
        <w:tc>
          <w:tcPr>
            <w:tcW w:w="2126" w:type="dxa"/>
            <w:shd w:val="clear" w:color="auto" w:fill="FFFFFF" w:themeFill="background1"/>
            <w:noWrap/>
            <w:vAlign w:val="center"/>
            <w:hideMark/>
          </w:tcPr>
          <w:p w14:paraId="73EE08A9" w14:textId="0BF1E4C3" w:rsidR="00700AFE" w:rsidRPr="00700AFE" w:rsidRDefault="00A5630B" w:rsidP="00A5630B">
            <w:pPr>
              <w:spacing w:before="0" w:after="0" w:line="240" w:lineRule="auto"/>
              <w:jc w:val="center"/>
              <w:rPr>
                <w:rFonts w:eastAsia="Times New Roman" w:cs="Times New Roman"/>
                <w:sz w:val="20"/>
                <w:szCs w:val="20"/>
                <w:lang w:eastAsia="en-GB"/>
              </w:rPr>
            </w:pPr>
            <w:r w:rsidRPr="00A5630B">
              <w:rPr>
                <w:rFonts w:eastAsia="Times New Roman" w:cs="Times New Roman"/>
                <w:sz w:val="20"/>
                <w:szCs w:val="20"/>
                <w:lang w:eastAsia="en-GB"/>
              </w:rPr>
              <w:t>7569</w:t>
            </w:r>
          </w:p>
        </w:tc>
        <w:tc>
          <w:tcPr>
            <w:tcW w:w="1701" w:type="dxa"/>
            <w:shd w:val="clear" w:color="auto" w:fill="FFFFFF" w:themeFill="background1"/>
            <w:noWrap/>
            <w:vAlign w:val="center"/>
            <w:hideMark/>
          </w:tcPr>
          <w:p w14:paraId="0DCF2D3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73%</w:t>
            </w:r>
          </w:p>
        </w:tc>
        <w:tc>
          <w:tcPr>
            <w:tcW w:w="1417" w:type="dxa"/>
            <w:shd w:val="clear" w:color="auto" w:fill="FFFFFF" w:themeFill="background1"/>
            <w:noWrap/>
            <w:vAlign w:val="center"/>
          </w:tcPr>
          <w:p w14:paraId="60064728" w14:textId="4013040C"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3.40</w:t>
            </w:r>
          </w:p>
        </w:tc>
        <w:tc>
          <w:tcPr>
            <w:tcW w:w="1843" w:type="dxa"/>
            <w:shd w:val="clear" w:color="auto" w:fill="FFFFFF" w:themeFill="background1"/>
            <w:vAlign w:val="center"/>
          </w:tcPr>
          <w:p w14:paraId="59FFD14B" w14:textId="55977737"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3.87</w:t>
            </w:r>
          </w:p>
        </w:tc>
        <w:tc>
          <w:tcPr>
            <w:tcW w:w="1559" w:type="dxa"/>
            <w:shd w:val="clear" w:color="auto" w:fill="FFFFFF" w:themeFill="background1"/>
            <w:vAlign w:val="center"/>
          </w:tcPr>
          <w:p w14:paraId="49DBB263" w14:textId="0AB53643"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3.14</w:t>
            </w:r>
          </w:p>
        </w:tc>
      </w:tr>
      <w:tr w:rsidR="00A5630B" w:rsidRPr="00700AFE" w14:paraId="42E062A0" w14:textId="0C5757A2" w:rsidTr="00A5630B">
        <w:trPr>
          <w:trHeight w:val="349"/>
        </w:trPr>
        <w:tc>
          <w:tcPr>
            <w:tcW w:w="3392" w:type="dxa"/>
            <w:shd w:val="clear" w:color="auto" w:fill="FFFFFF" w:themeFill="background1"/>
            <w:vAlign w:val="center"/>
            <w:hideMark/>
          </w:tcPr>
          <w:p w14:paraId="41EE308C"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High Grade Glioma</w:t>
            </w:r>
          </w:p>
        </w:tc>
        <w:tc>
          <w:tcPr>
            <w:tcW w:w="1560" w:type="dxa"/>
            <w:shd w:val="clear" w:color="auto" w:fill="FFFFFF" w:themeFill="background1"/>
            <w:noWrap/>
            <w:vAlign w:val="center"/>
            <w:hideMark/>
          </w:tcPr>
          <w:p w14:paraId="69C94F0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0.05%</w:t>
            </w:r>
          </w:p>
        </w:tc>
        <w:tc>
          <w:tcPr>
            <w:tcW w:w="2126" w:type="dxa"/>
            <w:shd w:val="clear" w:color="auto" w:fill="FFFFFF" w:themeFill="background1"/>
            <w:noWrap/>
            <w:vAlign w:val="center"/>
            <w:hideMark/>
          </w:tcPr>
          <w:p w14:paraId="6AEA06DA" w14:textId="33FCC974" w:rsidR="00700AFE" w:rsidRPr="00700AFE" w:rsidRDefault="00A5630B" w:rsidP="00A5630B">
            <w:pPr>
              <w:spacing w:before="0" w:after="0" w:line="240" w:lineRule="auto"/>
              <w:jc w:val="center"/>
              <w:rPr>
                <w:rFonts w:eastAsia="Times New Roman" w:cs="Times New Roman"/>
                <w:sz w:val="20"/>
                <w:szCs w:val="20"/>
                <w:lang w:eastAsia="en-GB"/>
              </w:rPr>
            </w:pPr>
            <w:r w:rsidRPr="00A5630B">
              <w:rPr>
                <w:rFonts w:eastAsia="Times New Roman" w:cs="Times New Roman"/>
                <w:sz w:val="20"/>
                <w:szCs w:val="20"/>
                <w:lang w:eastAsia="en-GB"/>
              </w:rPr>
              <w:t>2781</w:t>
            </w:r>
          </w:p>
        </w:tc>
        <w:tc>
          <w:tcPr>
            <w:tcW w:w="1701" w:type="dxa"/>
            <w:shd w:val="clear" w:color="auto" w:fill="FFFFFF" w:themeFill="background1"/>
            <w:noWrap/>
            <w:vAlign w:val="center"/>
            <w:hideMark/>
          </w:tcPr>
          <w:p w14:paraId="2F15B95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100%</w:t>
            </w:r>
          </w:p>
        </w:tc>
        <w:tc>
          <w:tcPr>
            <w:tcW w:w="1417" w:type="dxa"/>
            <w:shd w:val="clear" w:color="auto" w:fill="FFFFFF" w:themeFill="background1"/>
            <w:noWrap/>
            <w:vAlign w:val="center"/>
          </w:tcPr>
          <w:p w14:paraId="6F73A726" w14:textId="348F11CF"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1.18</w:t>
            </w:r>
          </w:p>
        </w:tc>
        <w:tc>
          <w:tcPr>
            <w:tcW w:w="1843" w:type="dxa"/>
            <w:shd w:val="clear" w:color="auto" w:fill="FFFFFF" w:themeFill="background1"/>
            <w:vAlign w:val="center"/>
          </w:tcPr>
          <w:p w14:paraId="7C908F97" w14:textId="2EC55957"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1.34</w:t>
            </w:r>
          </w:p>
        </w:tc>
        <w:tc>
          <w:tcPr>
            <w:tcW w:w="1559" w:type="dxa"/>
            <w:shd w:val="clear" w:color="auto" w:fill="FFFFFF" w:themeFill="background1"/>
            <w:vAlign w:val="center"/>
          </w:tcPr>
          <w:p w14:paraId="0DC9A943" w14:textId="64EF5632"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1.09</w:t>
            </w:r>
          </w:p>
        </w:tc>
      </w:tr>
      <w:tr w:rsidR="00A5630B" w:rsidRPr="00700AFE" w14:paraId="0938A5D8" w14:textId="0C6F26CA" w:rsidTr="00A5630B">
        <w:trPr>
          <w:trHeight w:val="367"/>
        </w:trPr>
        <w:tc>
          <w:tcPr>
            <w:tcW w:w="3392" w:type="dxa"/>
            <w:shd w:val="clear" w:color="auto" w:fill="FFFFFF" w:themeFill="background1"/>
            <w:vAlign w:val="center"/>
            <w:hideMark/>
          </w:tcPr>
          <w:p w14:paraId="35347DDA"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HNSCC</w:t>
            </w:r>
          </w:p>
        </w:tc>
        <w:tc>
          <w:tcPr>
            <w:tcW w:w="1560" w:type="dxa"/>
            <w:shd w:val="clear" w:color="auto" w:fill="FFFFFF" w:themeFill="background1"/>
            <w:noWrap/>
            <w:vAlign w:val="center"/>
            <w:hideMark/>
          </w:tcPr>
          <w:p w14:paraId="39CCD2F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0.38%</w:t>
            </w:r>
          </w:p>
        </w:tc>
        <w:tc>
          <w:tcPr>
            <w:tcW w:w="2126" w:type="dxa"/>
            <w:shd w:val="clear" w:color="auto" w:fill="FFFFFF" w:themeFill="background1"/>
            <w:noWrap/>
            <w:vAlign w:val="center"/>
            <w:hideMark/>
          </w:tcPr>
          <w:p w14:paraId="01C6EFA2"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9946</w:t>
            </w:r>
          </w:p>
        </w:tc>
        <w:tc>
          <w:tcPr>
            <w:tcW w:w="1701" w:type="dxa"/>
            <w:shd w:val="clear" w:color="auto" w:fill="FFFFFF" w:themeFill="background1"/>
            <w:noWrap/>
            <w:vAlign w:val="center"/>
            <w:hideMark/>
          </w:tcPr>
          <w:p w14:paraId="47E3C46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63%</w:t>
            </w:r>
          </w:p>
        </w:tc>
        <w:tc>
          <w:tcPr>
            <w:tcW w:w="1417" w:type="dxa"/>
            <w:shd w:val="clear" w:color="auto" w:fill="FFFFFF" w:themeFill="background1"/>
            <w:noWrap/>
            <w:vAlign w:val="center"/>
          </w:tcPr>
          <w:p w14:paraId="07F2D095" w14:textId="6FAAF6AE"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20.93</w:t>
            </w:r>
          </w:p>
        </w:tc>
        <w:tc>
          <w:tcPr>
            <w:tcW w:w="1843" w:type="dxa"/>
            <w:shd w:val="clear" w:color="auto" w:fill="FFFFFF" w:themeFill="background1"/>
            <w:vAlign w:val="center"/>
          </w:tcPr>
          <w:p w14:paraId="7A868359" w14:textId="640128B5"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23.81</w:t>
            </w:r>
          </w:p>
        </w:tc>
        <w:tc>
          <w:tcPr>
            <w:tcW w:w="1559" w:type="dxa"/>
            <w:shd w:val="clear" w:color="auto" w:fill="FFFFFF" w:themeFill="background1"/>
            <w:vAlign w:val="center"/>
          </w:tcPr>
          <w:p w14:paraId="1F2FD6BF" w14:textId="4CCA9C4C"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19.31</w:t>
            </w:r>
          </w:p>
        </w:tc>
      </w:tr>
      <w:tr w:rsidR="00A5630B" w:rsidRPr="00700AFE" w14:paraId="2E7563BB" w14:textId="094E1C2E" w:rsidTr="00A5630B">
        <w:trPr>
          <w:trHeight w:val="349"/>
        </w:trPr>
        <w:tc>
          <w:tcPr>
            <w:tcW w:w="3392" w:type="dxa"/>
            <w:shd w:val="clear" w:color="auto" w:fill="FFFFFF" w:themeFill="background1"/>
            <w:vAlign w:val="center"/>
            <w:hideMark/>
          </w:tcPr>
          <w:p w14:paraId="5D3F0E68"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Neuroendocrine</w:t>
            </w:r>
          </w:p>
        </w:tc>
        <w:tc>
          <w:tcPr>
            <w:tcW w:w="1560" w:type="dxa"/>
            <w:shd w:val="clear" w:color="auto" w:fill="FFFFFF" w:themeFill="background1"/>
            <w:noWrap/>
            <w:vAlign w:val="center"/>
            <w:hideMark/>
          </w:tcPr>
          <w:p w14:paraId="57189BC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0.30%</w:t>
            </w:r>
          </w:p>
        </w:tc>
        <w:tc>
          <w:tcPr>
            <w:tcW w:w="2126" w:type="dxa"/>
            <w:shd w:val="clear" w:color="auto" w:fill="FFFFFF" w:themeFill="background1"/>
            <w:noWrap/>
            <w:vAlign w:val="center"/>
            <w:hideMark/>
          </w:tcPr>
          <w:p w14:paraId="661DD02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4363</w:t>
            </w:r>
          </w:p>
        </w:tc>
        <w:tc>
          <w:tcPr>
            <w:tcW w:w="1701" w:type="dxa"/>
            <w:shd w:val="clear" w:color="auto" w:fill="FFFFFF" w:themeFill="background1"/>
            <w:noWrap/>
            <w:vAlign w:val="center"/>
            <w:hideMark/>
          </w:tcPr>
          <w:p w14:paraId="20C7495A"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53%</w:t>
            </w:r>
          </w:p>
        </w:tc>
        <w:tc>
          <w:tcPr>
            <w:tcW w:w="1417" w:type="dxa"/>
            <w:shd w:val="clear" w:color="auto" w:fill="FFFFFF" w:themeFill="background1"/>
            <w:noWrap/>
            <w:vAlign w:val="center"/>
          </w:tcPr>
          <w:p w14:paraId="1855CBBA" w14:textId="0CC6722A"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6.10</w:t>
            </w:r>
          </w:p>
        </w:tc>
        <w:tc>
          <w:tcPr>
            <w:tcW w:w="1843" w:type="dxa"/>
            <w:shd w:val="clear" w:color="auto" w:fill="FFFFFF" w:themeFill="background1"/>
            <w:vAlign w:val="center"/>
          </w:tcPr>
          <w:p w14:paraId="18077DC5" w14:textId="1B839A3F"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6.94</w:t>
            </w:r>
          </w:p>
        </w:tc>
        <w:tc>
          <w:tcPr>
            <w:tcW w:w="1559" w:type="dxa"/>
            <w:shd w:val="clear" w:color="auto" w:fill="FFFFFF" w:themeFill="background1"/>
            <w:vAlign w:val="center"/>
          </w:tcPr>
          <w:p w14:paraId="149BCC6F" w14:textId="13DAEB2D"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5.63</w:t>
            </w:r>
          </w:p>
        </w:tc>
      </w:tr>
      <w:tr w:rsidR="00A5630B" w:rsidRPr="00700AFE" w14:paraId="2F4EEFDF" w14:textId="37FE68E2" w:rsidTr="00A5630B">
        <w:trPr>
          <w:trHeight w:val="349"/>
        </w:trPr>
        <w:tc>
          <w:tcPr>
            <w:tcW w:w="3392" w:type="dxa"/>
            <w:shd w:val="clear" w:color="auto" w:fill="FFFFFF" w:themeFill="background1"/>
            <w:vAlign w:val="center"/>
            <w:hideMark/>
          </w:tcPr>
          <w:p w14:paraId="687FC982"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Ovarian</w:t>
            </w:r>
          </w:p>
        </w:tc>
        <w:tc>
          <w:tcPr>
            <w:tcW w:w="1560" w:type="dxa"/>
            <w:shd w:val="clear" w:color="auto" w:fill="FFFFFF" w:themeFill="background1"/>
            <w:noWrap/>
            <w:vAlign w:val="center"/>
            <w:hideMark/>
          </w:tcPr>
          <w:p w14:paraId="0962727F"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0.25%</w:t>
            </w:r>
          </w:p>
        </w:tc>
        <w:tc>
          <w:tcPr>
            <w:tcW w:w="2126" w:type="dxa"/>
            <w:shd w:val="clear" w:color="auto" w:fill="FFFFFF" w:themeFill="background1"/>
            <w:noWrap/>
            <w:vAlign w:val="center"/>
            <w:hideMark/>
          </w:tcPr>
          <w:p w14:paraId="20CF25B1"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2724</w:t>
            </w:r>
          </w:p>
        </w:tc>
        <w:tc>
          <w:tcPr>
            <w:tcW w:w="1701" w:type="dxa"/>
            <w:shd w:val="clear" w:color="auto" w:fill="FFFFFF" w:themeFill="background1"/>
            <w:noWrap/>
            <w:vAlign w:val="center"/>
            <w:hideMark/>
          </w:tcPr>
          <w:p w14:paraId="45E5A99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55%</w:t>
            </w:r>
          </w:p>
        </w:tc>
        <w:tc>
          <w:tcPr>
            <w:tcW w:w="1417" w:type="dxa"/>
            <w:shd w:val="clear" w:color="auto" w:fill="FFFFFF" w:themeFill="background1"/>
            <w:noWrap/>
            <w:vAlign w:val="center"/>
          </w:tcPr>
          <w:p w14:paraId="16A76809" w14:textId="34167FF6"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3.29</w:t>
            </w:r>
          </w:p>
        </w:tc>
        <w:tc>
          <w:tcPr>
            <w:tcW w:w="1843" w:type="dxa"/>
            <w:shd w:val="clear" w:color="auto" w:fill="FFFFFF" w:themeFill="background1"/>
            <w:vAlign w:val="center"/>
          </w:tcPr>
          <w:p w14:paraId="65DFF359" w14:textId="22C12B58"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3.75</w:t>
            </w:r>
          </w:p>
        </w:tc>
        <w:tc>
          <w:tcPr>
            <w:tcW w:w="1559" w:type="dxa"/>
            <w:shd w:val="clear" w:color="auto" w:fill="FFFFFF" w:themeFill="background1"/>
            <w:vAlign w:val="center"/>
          </w:tcPr>
          <w:p w14:paraId="360A8689" w14:textId="507CCF79"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3.04</w:t>
            </w:r>
          </w:p>
        </w:tc>
      </w:tr>
      <w:tr w:rsidR="00A5630B" w:rsidRPr="00700AFE" w14:paraId="5C64B33E" w14:textId="4CD806D7" w:rsidTr="00A5630B">
        <w:trPr>
          <w:trHeight w:val="349"/>
        </w:trPr>
        <w:tc>
          <w:tcPr>
            <w:tcW w:w="3392" w:type="dxa"/>
            <w:shd w:val="clear" w:color="auto" w:fill="FFFFFF" w:themeFill="background1"/>
            <w:vAlign w:val="center"/>
            <w:hideMark/>
          </w:tcPr>
          <w:p w14:paraId="0255063F"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Paediatric High Grade Glioma</w:t>
            </w:r>
          </w:p>
        </w:tc>
        <w:tc>
          <w:tcPr>
            <w:tcW w:w="1560" w:type="dxa"/>
            <w:shd w:val="clear" w:color="auto" w:fill="FFFFFF" w:themeFill="background1"/>
            <w:noWrap/>
            <w:vAlign w:val="center"/>
            <w:hideMark/>
          </w:tcPr>
          <w:p w14:paraId="12DD5643"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5.30%</w:t>
            </w:r>
          </w:p>
        </w:tc>
        <w:tc>
          <w:tcPr>
            <w:tcW w:w="2126" w:type="dxa"/>
            <w:shd w:val="clear" w:color="auto" w:fill="FFFFFF" w:themeFill="background1"/>
            <w:noWrap/>
            <w:vAlign w:val="center"/>
            <w:hideMark/>
          </w:tcPr>
          <w:p w14:paraId="504304B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67</w:t>
            </w:r>
          </w:p>
        </w:tc>
        <w:tc>
          <w:tcPr>
            <w:tcW w:w="1701" w:type="dxa"/>
            <w:shd w:val="clear" w:color="auto" w:fill="FFFFFF" w:themeFill="background1"/>
            <w:noWrap/>
            <w:vAlign w:val="center"/>
            <w:hideMark/>
          </w:tcPr>
          <w:p w14:paraId="36197A3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100%</w:t>
            </w:r>
          </w:p>
        </w:tc>
        <w:tc>
          <w:tcPr>
            <w:tcW w:w="1417" w:type="dxa"/>
            <w:shd w:val="clear" w:color="auto" w:fill="FFFFFF" w:themeFill="background1"/>
            <w:noWrap/>
            <w:vAlign w:val="center"/>
          </w:tcPr>
          <w:p w14:paraId="0A724243" w14:textId="5E37DDE0"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3.11</w:t>
            </w:r>
          </w:p>
        </w:tc>
        <w:tc>
          <w:tcPr>
            <w:tcW w:w="1843" w:type="dxa"/>
            <w:shd w:val="clear" w:color="auto" w:fill="FFFFFF" w:themeFill="background1"/>
            <w:vAlign w:val="center"/>
          </w:tcPr>
          <w:p w14:paraId="792CCB0C" w14:textId="67A89B3E"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3.54</w:t>
            </w:r>
          </w:p>
        </w:tc>
        <w:tc>
          <w:tcPr>
            <w:tcW w:w="1559" w:type="dxa"/>
            <w:shd w:val="clear" w:color="auto" w:fill="FFFFFF" w:themeFill="background1"/>
            <w:vAlign w:val="center"/>
          </w:tcPr>
          <w:p w14:paraId="168B547A" w14:textId="5F3042A7"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2.87</w:t>
            </w:r>
          </w:p>
        </w:tc>
      </w:tr>
      <w:tr w:rsidR="00A5630B" w:rsidRPr="00700AFE" w14:paraId="3EA6024F" w14:textId="7A349526" w:rsidTr="00A5630B">
        <w:trPr>
          <w:trHeight w:val="349"/>
        </w:trPr>
        <w:tc>
          <w:tcPr>
            <w:tcW w:w="3392" w:type="dxa"/>
            <w:shd w:val="clear" w:color="auto" w:fill="FFFFFF" w:themeFill="background1"/>
            <w:vAlign w:val="center"/>
            <w:hideMark/>
          </w:tcPr>
          <w:p w14:paraId="1E3D467D"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Paediatric melanoma</w:t>
            </w:r>
          </w:p>
        </w:tc>
        <w:tc>
          <w:tcPr>
            <w:tcW w:w="1560" w:type="dxa"/>
            <w:shd w:val="clear" w:color="auto" w:fill="FFFFFF" w:themeFill="background1"/>
            <w:noWrap/>
            <w:vAlign w:val="center"/>
            <w:hideMark/>
          </w:tcPr>
          <w:p w14:paraId="2FC5F1A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11.11%</w:t>
            </w:r>
          </w:p>
        </w:tc>
        <w:tc>
          <w:tcPr>
            <w:tcW w:w="2126" w:type="dxa"/>
            <w:shd w:val="clear" w:color="auto" w:fill="FFFFFF" w:themeFill="background1"/>
            <w:noWrap/>
            <w:vAlign w:val="center"/>
            <w:hideMark/>
          </w:tcPr>
          <w:p w14:paraId="57D3FE50" w14:textId="08874706"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w:t>
            </w:r>
            <w:r w:rsidR="00A5630B" w:rsidRPr="00A5630B">
              <w:rPr>
                <w:rFonts w:eastAsia="Times New Roman" w:cs="Times New Roman"/>
                <w:sz w:val="20"/>
                <w:szCs w:val="20"/>
                <w:lang w:eastAsia="en-GB"/>
              </w:rPr>
              <w:t>6</w:t>
            </w:r>
          </w:p>
        </w:tc>
        <w:tc>
          <w:tcPr>
            <w:tcW w:w="1701" w:type="dxa"/>
            <w:shd w:val="clear" w:color="auto" w:fill="FFFFFF" w:themeFill="background1"/>
            <w:noWrap/>
            <w:vAlign w:val="center"/>
            <w:hideMark/>
          </w:tcPr>
          <w:p w14:paraId="7AD025D1"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34%</w:t>
            </w:r>
          </w:p>
        </w:tc>
        <w:tc>
          <w:tcPr>
            <w:tcW w:w="1417" w:type="dxa"/>
            <w:shd w:val="clear" w:color="auto" w:fill="FFFFFF" w:themeFill="background1"/>
            <w:noWrap/>
            <w:vAlign w:val="center"/>
          </w:tcPr>
          <w:p w14:paraId="1E47AC34" w14:textId="2047CE97"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1.83</w:t>
            </w:r>
          </w:p>
        </w:tc>
        <w:tc>
          <w:tcPr>
            <w:tcW w:w="1843" w:type="dxa"/>
            <w:shd w:val="clear" w:color="auto" w:fill="FFFFFF" w:themeFill="background1"/>
            <w:vAlign w:val="center"/>
          </w:tcPr>
          <w:p w14:paraId="4B36F7AF" w14:textId="4A589647"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2.08</w:t>
            </w:r>
          </w:p>
        </w:tc>
        <w:tc>
          <w:tcPr>
            <w:tcW w:w="1559" w:type="dxa"/>
            <w:shd w:val="clear" w:color="auto" w:fill="FFFFFF" w:themeFill="background1"/>
            <w:vAlign w:val="center"/>
          </w:tcPr>
          <w:p w14:paraId="4E4AC1EC" w14:textId="5979D782"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1.68</w:t>
            </w:r>
          </w:p>
        </w:tc>
      </w:tr>
      <w:tr w:rsidR="00A5630B" w:rsidRPr="00700AFE" w14:paraId="5553683B" w14:textId="24FE62F6" w:rsidTr="00A5630B">
        <w:trPr>
          <w:trHeight w:val="349"/>
        </w:trPr>
        <w:tc>
          <w:tcPr>
            <w:tcW w:w="3392" w:type="dxa"/>
            <w:shd w:val="clear" w:color="auto" w:fill="FFFFFF" w:themeFill="background1"/>
            <w:vAlign w:val="center"/>
            <w:hideMark/>
          </w:tcPr>
          <w:p w14:paraId="01B36C1E"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Papillary thyroid tumour</w:t>
            </w:r>
          </w:p>
        </w:tc>
        <w:tc>
          <w:tcPr>
            <w:tcW w:w="1560" w:type="dxa"/>
            <w:shd w:val="clear" w:color="auto" w:fill="FFFFFF" w:themeFill="background1"/>
            <w:noWrap/>
            <w:vAlign w:val="center"/>
            <w:hideMark/>
          </w:tcPr>
          <w:p w14:paraId="5B475F1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13.30%</w:t>
            </w:r>
          </w:p>
        </w:tc>
        <w:tc>
          <w:tcPr>
            <w:tcW w:w="2126" w:type="dxa"/>
            <w:shd w:val="clear" w:color="auto" w:fill="FFFFFF" w:themeFill="background1"/>
            <w:noWrap/>
            <w:vAlign w:val="center"/>
            <w:hideMark/>
          </w:tcPr>
          <w:p w14:paraId="5C17C4EE"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1057</w:t>
            </w:r>
          </w:p>
        </w:tc>
        <w:tc>
          <w:tcPr>
            <w:tcW w:w="1701" w:type="dxa"/>
            <w:shd w:val="clear" w:color="auto" w:fill="FFFFFF" w:themeFill="background1"/>
            <w:noWrap/>
            <w:vAlign w:val="center"/>
            <w:hideMark/>
          </w:tcPr>
          <w:p w14:paraId="16EACB8F"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31%</w:t>
            </w:r>
          </w:p>
        </w:tc>
        <w:tc>
          <w:tcPr>
            <w:tcW w:w="1417" w:type="dxa"/>
            <w:shd w:val="clear" w:color="auto" w:fill="FFFFFF" w:themeFill="background1"/>
            <w:noWrap/>
            <w:vAlign w:val="center"/>
          </w:tcPr>
          <w:p w14:paraId="488FF268" w14:textId="7DCD4620"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38.30</w:t>
            </w:r>
          </w:p>
        </w:tc>
        <w:tc>
          <w:tcPr>
            <w:tcW w:w="1843" w:type="dxa"/>
            <w:shd w:val="clear" w:color="auto" w:fill="FFFFFF" w:themeFill="background1"/>
            <w:vAlign w:val="center"/>
          </w:tcPr>
          <w:p w14:paraId="2E8FC21B" w14:textId="438A0C31"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43.57</w:t>
            </w:r>
          </w:p>
        </w:tc>
        <w:tc>
          <w:tcPr>
            <w:tcW w:w="1559" w:type="dxa"/>
            <w:shd w:val="clear" w:color="auto" w:fill="FFFFFF" w:themeFill="background1"/>
            <w:vAlign w:val="center"/>
          </w:tcPr>
          <w:p w14:paraId="4E27443E" w14:textId="324D8413"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35.34</w:t>
            </w:r>
          </w:p>
        </w:tc>
      </w:tr>
      <w:tr w:rsidR="00A5630B" w:rsidRPr="00700AFE" w14:paraId="3E3716A2" w14:textId="5371E64C" w:rsidTr="00A5630B">
        <w:trPr>
          <w:trHeight w:val="349"/>
        </w:trPr>
        <w:tc>
          <w:tcPr>
            <w:tcW w:w="3392" w:type="dxa"/>
            <w:shd w:val="clear" w:color="auto" w:fill="FFFFFF" w:themeFill="background1"/>
            <w:vAlign w:val="center"/>
            <w:hideMark/>
          </w:tcPr>
          <w:p w14:paraId="7BD28136"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 xml:space="preserve">Prostate </w:t>
            </w:r>
          </w:p>
        </w:tc>
        <w:tc>
          <w:tcPr>
            <w:tcW w:w="1560" w:type="dxa"/>
            <w:shd w:val="clear" w:color="auto" w:fill="FFFFFF" w:themeFill="background1"/>
            <w:noWrap/>
            <w:vAlign w:val="center"/>
            <w:hideMark/>
          </w:tcPr>
          <w:p w14:paraId="55B3F66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0.25%</w:t>
            </w:r>
          </w:p>
        </w:tc>
        <w:tc>
          <w:tcPr>
            <w:tcW w:w="2126" w:type="dxa"/>
            <w:shd w:val="clear" w:color="auto" w:fill="FFFFFF" w:themeFill="background1"/>
            <w:noWrap/>
            <w:vAlign w:val="center"/>
            <w:hideMark/>
          </w:tcPr>
          <w:p w14:paraId="74004B3E"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41201</w:t>
            </w:r>
          </w:p>
        </w:tc>
        <w:tc>
          <w:tcPr>
            <w:tcW w:w="1701" w:type="dxa"/>
            <w:shd w:val="clear" w:color="auto" w:fill="FFFFFF" w:themeFill="background1"/>
            <w:noWrap/>
            <w:vAlign w:val="center"/>
            <w:hideMark/>
          </w:tcPr>
          <w:p w14:paraId="4A537F76"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43%</w:t>
            </w:r>
          </w:p>
        </w:tc>
        <w:tc>
          <w:tcPr>
            <w:tcW w:w="1417" w:type="dxa"/>
            <w:shd w:val="clear" w:color="auto" w:fill="FFFFFF" w:themeFill="background1"/>
            <w:noWrap/>
            <w:vAlign w:val="center"/>
          </w:tcPr>
          <w:p w14:paraId="004DA81D" w14:textId="47084092"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38.93</w:t>
            </w:r>
          </w:p>
        </w:tc>
        <w:tc>
          <w:tcPr>
            <w:tcW w:w="1843" w:type="dxa"/>
            <w:shd w:val="clear" w:color="auto" w:fill="FFFFFF" w:themeFill="background1"/>
            <w:vAlign w:val="center"/>
          </w:tcPr>
          <w:p w14:paraId="60941E28" w14:textId="22028AF2"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44.29</w:t>
            </w:r>
          </w:p>
        </w:tc>
        <w:tc>
          <w:tcPr>
            <w:tcW w:w="1559" w:type="dxa"/>
            <w:shd w:val="clear" w:color="auto" w:fill="FFFFFF" w:themeFill="background1"/>
            <w:vAlign w:val="center"/>
          </w:tcPr>
          <w:p w14:paraId="539CE167" w14:textId="62D08B51"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35.92</w:t>
            </w:r>
          </w:p>
        </w:tc>
      </w:tr>
      <w:tr w:rsidR="00A5630B" w:rsidRPr="00700AFE" w14:paraId="157D38DF" w14:textId="4480068F" w:rsidTr="00A5630B">
        <w:trPr>
          <w:trHeight w:val="349"/>
        </w:trPr>
        <w:tc>
          <w:tcPr>
            <w:tcW w:w="3392" w:type="dxa"/>
            <w:shd w:val="clear" w:color="auto" w:fill="FFFFFF" w:themeFill="background1"/>
            <w:vAlign w:val="center"/>
            <w:hideMark/>
          </w:tcPr>
          <w:p w14:paraId="626C243C"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Renal cell carcinoma</w:t>
            </w:r>
          </w:p>
        </w:tc>
        <w:tc>
          <w:tcPr>
            <w:tcW w:w="1560" w:type="dxa"/>
            <w:shd w:val="clear" w:color="auto" w:fill="FFFFFF" w:themeFill="background1"/>
            <w:noWrap/>
            <w:vAlign w:val="center"/>
            <w:hideMark/>
          </w:tcPr>
          <w:p w14:paraId="69B702C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0.25%</w:t>
            </w:r>
          </w:p>
        </w:tc>
        <w:tc>
          <w:tcPr>
            <w:tcW w:w="2126" w:type="dxa"/>
            <w:shd w:val="clear" w:color="auto" w:fill="FFFFFF" w:themeFill="background1"/>
            <w:noWrap/>
            <w:vAlign w:val="center"/>
            <w:hideMark/>
          </w:tcPr>
          <w:p w14:paraId="2CF2D5ED"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7438</w:t>
            </w:r>
          </w:p>
        </w:tc>
        <w:tc>
          <w:tcPr>
            <w:tcW w:w="1701" w:type="dxa"/>
            <w:shd w:val="clear" w:color="auto" w:fill="FFFFFF" w:themeFill="background1"/>
            <w:noWrap/>
            <w:vAlign w:val="center"/>
            <w:hideMark/>
          </w:tcPr>
          <w:p w14:paraId="7B05B711" w14:textId="08964133"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w:t>
            </w:r>
            <w:r w:rsidR="00A5630B" w:rsidRPr="00A5630B">
              <w:rPr>
                <w:rFonts w:eastAsia="Times New Roman" w:cs="Times New Roman"/>
                <w:sz w:val="20"/>
                <w:szCs w:val="20"/>
                <w:lang w:eastAsia="en-GB"/>
              </w:rPr>
              <w:t>3</w:t>
            </w:r>
            <w:r w:rsidRPr="00700AFE">
              <w:rPr>
                <w:rFonts w:eastAsia="Times New Roman" w:cs="Times New Roman"/>
                <w:sz w:val="20"/>
                <w:szCs w:val="20"/>
                <w:lang w:eastAsia="en-GB"/>
              </w:rPr>
              <w:t>%</w:t>
            </w:r>
          </w:p>
        </w:tc>
        <w:tc>
          <w:tcPr>
            <w:tcW w:w="1417" w:type="dxa"/>
            <w:shd w:val="clear" w:color="auto" w:fill="FFFFFF" w:themeFill="background1"/>
            <w:noWrap/>
            <w:vAlign w:val="center"/>
          </w:tcPr>
          <w:p w14:paraId="254CFC71" w14:textId="22A20020"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7.19</w:t>
            </w:r>
          </w:p>
        </w:tc>
        <w:tc>
          <w:tcPr>
            <w:tcW w:w="1843" w:type="dxa"/>
            <w:shd w:val="clear" w:color="auto" w:fill="FFFFFF" w:themeFill="background1"/>
            <w:vAlign w:val="center"/>
          </w:tcPr>
          <w:p w14:paraId="50FE8B72" w14:textId="569922E8"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8.18</w:t>
            </w:r>
          </w:p>
        </w:tc>
        <w:tc>
          <w:tcPr>
            <w:tcW w:w="1559" w:type="dxa"/>
            <w:shd w:val="clear" w:color="auto" w:fill="FFFFFF" w:themeFill="background1"/>
            <w:vAlign w:val="center"/>
          </w:tcPr>
          <w:p w14:paraId="7E886321" w14:textId="757D8807"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6.64</w:t>
            </w:r>
          </w:p>
        </w:tc>
      </w:tr>
      <w:tr w:rsidR="00A5630B" w:rsidRPr="00700AFE" w14:paraId="05BFA9D8" w14:textId="514FD842" w:rsidTr="00A5630B">
        <w:trPr>
          <w:trHeight w:val="349"/>
        </w:trPr>
        <w:tc>
          <w:tcPr>
            <w:tcW w:w="3392" w:type="dxa"/>
            <w:shd w:val="clear" w:color="auto" w:fill="FFFFFF" w:themeFill="background1"/>
            <w:vAlign w:val="center"/>
            <w:hideMark/>
          </w:tcPr>
          <w:p w14:paraId="7FFB70DD"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Salivary gland</w:t>
            </w:r>
          </w:p>
        </w:tc>
        <w:tc>
          <w:tcPr>
            <w:tcW w:w="1560" w:type="dxa"/>
            <w:shd w:val="clear" w:color="auto" w:fill="FFFFFF" w:themeFill="background1"/>
            <w:noWrap/>
            <w:vAlign w:val="center"/>
            <w:hideMark/>
          </w:tcPr>
          <w:p w14:paraId="6C25D4C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1.72%</w:t>
            </w:r>
          </w:p>
        </w:tc>
        <w:tc>
          <w:tcPr>
            <w:tcW w:w="2126" w:type="dxa"/>
            <w:shd w:val="clear" w:color="auto" w:fill="FFFFFF" w:themeFill="background1"/>
            <w:noWrap/>
            <w:vAlign w:val="center"/>
            <w:hideMark/>
          </w:tcPr>
          <w:p w14:paraId="0260D84C"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517</w:t>
            </w:r>
          </w:p>
        </w:tc>
        <w:tc>
          <w:tcPr>
            <w:tcW w:w="1701" w:type="dxa"/>
            <w:shd w:val="clear" w:color="auto" w:fill="FFFFFF" w:themeFill="background1"/>
            <w:noWrap/>
            <w:vAlign w:val="center"/>
            <w:hideMark/>
          </w:tcPr>
          <w:p w14:paraId="585694C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63%</w:t>
            </w:r>
          </w:p>
        </w:tc>
        <w:tc>
          <w:tcPr>
            <w:tcW w:w="1417" w:type="dxa"/>
            <w:shd w:val="clear" w:color="auto" w:fill="FFFFFF" w:themeFill="background1"/>
            <w:noWrap/>
            <w:vAlign w:val="center"/>
          </w:tcPr>
          <w:p w14:paraId="0C9686D7" w14:textId="3BEB925C"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4.92</w:t>
            </w:r>
          </w:p>
        </w:tc>
        <w:tc>
          <w:tcPr>
            <w:tcW w:w="1843" w:type="dxa"/>
            <w:shd w:val="clear" w:color="auto" w:fill="FFFFFF" w:themeFill="background1"/>
            <w:vAlign w:val="center"/>
          </w:tcPr>
          <w:p w14:paraId="20C7DB54" w14:textId="4BDCF293"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5.60</w:t>
            </w:r>
          </w:p>
        </w:tc>
        <w:tc>
          <w:tcPr>
            <w:tcW w:w="1559" w:type="dxa"/>
            <w:shd w:val="clear" w:color="auto" w:fill="FFFFFF" w:themeFill="background1"/>
            <w:vAlign w:val="center"/>
          </w:tcPr>
          <w:p w14:paraId="7F282BC6" w14:textId="6BD85A12"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4.54</w:t>
            </w:r>
          </w:p>
        </w:tc>
      </w:tr>
      <w:tr w:rsidR="00A5630B" w:rsidRPr="00700AFE" w14:paraId="435207C6" w14:textId="432435ED" w:rsidTr="00A5630B">
        <w:trPr>
          <w:trHeight w:val="349"/>
        </w:trPr>
        <w:tc>
          <w:tcPr>
            <w:tcW w:w="3392" w:type="dxa"/>
            <w:shd w:val="clear" w:color="auto" w:fill="FFFFFF" w:themeFill="background1"/>
            <w:noWrap/>
            <w:vAlign w:val="center"/>
            <w:hideMark/>
          </w:tcPr>
          <w:p w14:paraId="24E37EBD" w14:textId="77777777" w:rsidR="00700AFE" w:rsidRPr="00700AFE" w:rsidRDefault="00700AFE" w:rsidP="00A5630B">
            <w:pPr>
              <w:spacing w:before="0" w:after="0" w:line="240" w:lineRule="auto"/>
              <w:rPr>
                <w:rFonts w:eastAsia="Times New Roman" w:cs="Times New Roman"/>
                <w:b/>
                <w:bCs/>
                <w:color w:val="000000"/>
                <w:sz w:val="20"/>
                <w:szCs w:val="20"/>
                <w:lang w:eastAsia="en-GB"/>
              </w:rPr>
            </w:pPr>
            <w:r w:rsidRPr="00700AFE">
              <w:rPr>
                <w:rFonts w:eastAsia="Times New Roman" w:cs="Times New Roman"/>
                <w:b/>
                <w:bCs/>
                <w:color w:val="000000"/>
                <w:sz w:val="20"/>
                <w:szCs w:val="20"/>
                <w:lang w:eastAsia="en-GB"/>
              </w:rPr>
              <w:t>Secretory Breast Carcinoma</w:t>
            </w:r>
          </w:p>
        </w:tc>
        <w:tc>
          <w:tcPr>
            <w:tcW w:w="1560" w:type="dxa"/>
            <w:shd w:val="clear" w:color="auto" w:fill="FFFFFF" w:themeFill="background1"/>
            <w:noWrap/>
            <w:vAlign w:val="center"/>
            <w:hideMark/>
          </w:tcPr>
          <w:p w14:paraId="4681E623"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91.70%</w:t>
            </w:r>
          </w:p>
        </w:tc>
        <w:tc>
          <w:tcPr>
            <w:tcW w:w="2126" w:type="dxa"/>
            <w:shd w:val="clear" w:color="auto" w:fill="FFFFFF" w:themeFill="background1"/>
            <w:noWrap/>
            <w:vAlign w:val="center"/>
            <w:hideMark/>
          </w:tcPr>
          <w:p w14:paraId="00669F84"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7</w:t>
            </w:r>
          </w:p>
        </w:tc>
        <w:tc>
          <w:tcPr>
            <w:tcW w:w="1701" w:type="dxa"/>
            <w:shd w:val="clear" w:color="auto" w:fill="FFFFFF" w:themeFill="background1"/>
            <w:noWrap/>
            <w:vAlign w:val="center"/>
            <w:hideMark/>
          </w:tcPr>
          <w:p w14:paraId="7C023369"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9%</w:t>
            </w:r>
          </w:p>
        </w:tc>
        <w:tc>
          <w:tcPr>
            <w:tcW w:w="1417" w:type="dxa"/>
            <w:shd w:val="clear" w:color="auto" w:fill="FFFFFF" w:themeFill="background1"/>
            <w:noWrap/>
            <w:vAlign w:val="center"/>
          </w:tcPr>
          <w:p w14:paraId="7B7B46A4" w14:textId="575A98E1"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0.46</w:t>
            </w:r>
          </w:p>
        </w:tc>
        <w:tc>
          <w:tcPr>
            <w:tcW w:w="1843" w:type="dxa"/>
            <w:shd w:val="clear" w:color="auto" w:fill="FFFFFF" w:themeFill="background1"/>
            <w:vAlign w:val="center"/>
          </w:tcPr>
          <w:p w14:paraId="66F14A7B" w14:textId="7652D880"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0.58</w:t>
            </w:r>
          </w:p>
        </w:tc>
        <w:tc>
          <w:tcPr>
            <w:tcW w:w="1559" w:type="dxa"/>
            <w:shd w:val="clear" w:color="auto" w:fill="FFFFFF" w:themeFill="background1"/>
            <w:vAlign w:val="center"/>
          </w:tcPr>
          <w:p w14:paraId="5F35AD9F" w14:textId="6604432C"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0.47</w:t>
            </w:r>
          </w:p>
        </w:tc>
      </w:tr>
      <w:tr w:rsidR="00A5630B" w:rsidRPr="00700AFE" w14:paraId="5A586DEE" w14:textId="29529583" w:rsidTr="00A5630B">
        <w:trPr>
          <w:trHeight w:val="349"/>
        </w:trPr>
        <w:tc>
          <w:tcPr>
            <w:tcW w:w="3392" w:type="dxa"/>
            <w:shd w:val="clear" w:color="auto" w:fill="FFFFFF" w:themeFill="background1"/>
            <w:vAlign w:val="center"/>
            <w:hideMark/>
          </w:tcPr>
          <w:p w14:paraId="3D011D0F"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Sinonasal adenocarcinoma</w:t>
            </w:r>
          </w:p>
        </w:tc>
        <w:tc>
          <w:tcPr>
            <w:tcW w:w="1560" w:type="dxa"/>
            <w:shd w:val="clear" w:color="auto" w:fill="FFFFFF" w:themeFill="background1"/>
            <w:noWrap/>
            <w:vAlign w:val="center"/>
            <w:hideMark/>
          </w:tcPr>
          <w:p w14:paraId="6EC49207"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0.25%</w:t>
            </w:r>
          </w:p>
        </w:tc>
        <w:tc>
          <w:tcPr>
            <w:tcW w:w="2126" w:type="dxa"/>
            <w:shd w:val="clear" w:color="auto" w:fill="FFFFFF" w:themeFill="background1"/>
            <w:noWrap/>
            <w:vAlign w:val="center"/>
            <w:hideMark/>
          </w:tcPr>
          <w:p w14:paraId="0622FE9F"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5</w:t>
            </w:r>
          </w:p>
        </w:tc>
        <w:tc>
          <w:tcPr>
            <w:tcW w:w="1701" w:type="dxa"/>
            <w:shd w:val="clear" w:color="auto" w:fill="FFFFFF" w:themeFill="background1"/>
            <w:noWrap/>
            <w:vAlign w:val="center"/>
            <w:hideMark/>
          </w:tcPr>
          <w:p w14:paraId="078ED8C8"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63%</w:t>
            </w:r>
          </w:p>
        </w:tc>
        <w:tc>
          <w:tcPr>
            <w:tcW w:w="1417" w:type="dxa"/>
            <w:shd w:val="clear" w:color="auto" w:fill="FFFFFF" w:themeFill="background1"/>
            <w:noWrap/>
            <w:vAlign w:val="center"/>
          </w:tcPr>
          <w:p w14:paraId="0E1F1AEB" w14:textId="49A7D830"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0.01</w:t>
            </w:r>
          </w:p>
        </w:tc>
        <w:tc>
          <w:tcPr>
            <w:tcW w:w="1843" w:type="dxa"/>
            <w:shd w:val="clear" w:color="auto" w:fill="FFFFFF" w:themeFill="background1"/>
            <w:vAlign w:val="center"/>
          </w:tcPr>
          <w:p w14:paraId="4A81E2FA" w14:textId="6348A44E"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0.01</w:t>
            </w:r>
          </w:p>
        </w:tc>
        <w:tc>
          <w:tcPr>
            <w:tcW w:w="1559" w:type="dxa"/>
            <w:shd w:val="clear" w:color="auto" w:fill="FFFFFF" w:themeFill="background1"/>
            <w:vAlign w:val="center"/>
          </w:tcPr>
          <w:p w14:paraId="603E99E1" w14:textId="4C91D8B5"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0.01</w:t>
            </w:r>
          </w:p>
        </w:tc>
      </w:tr>
      <w:tr w:rsidR="00A5630B" w:rsidRPr="00700AFE" w14:paraId="111C8CA8" w14:textId="5CA23E07" w:rsidTr="00A5630B">
        <w:trPr>
          <w:trHeight w:val="349"/>
        </w:trPr>
        <w:tc>
          <w:tcPr>
            <w:tcW w:w="3392" w:type="dxa"/>
            <w:shd w:val="clear" w:color="auto" w:fill="FFFFFF" w:themeFill="background1"/>
            <w:vAlign w:val="center"/>
            <w:hideMark/>
          </w:tcPr>
          <w:p w14:paraId="0D7E2505" w14:textId="77777777" w:rsidR="00700AFE" w:rsidRPr="00700AFE" w:rsidRDefault="00700AFE" w:rsidP="00A5630B">
            <w:pPr>
              <w:spacing w:before="0" w:after="0" w:line="240" w:lineRule="auto"/>
              <w:rPr>
                <w:rFonts w:eastAsia="Times New Roman" w:cs="Times New Roman"/>
                <w:b/>
                <w:bCs/>
                <w:sz w:val="20"/>
                <w:szCs w:val="20"/>
                <w:lang w:eastAsia="en-GB"/>
              </w:rPr>
            </w:pPr>
            <w:r w:rsidRPr="00700AFE">
              <w:rPr>
                <w:rFonts w:eastAsia="Times New Roman" w:cs="Times New Roman"/>
                <w:b/>
                <w:bCs/>
                <w:sz w:val="20"/>
                <w:szCs w:val="20"/>
                <w:lang w:eastAsia="en-GB"/>
              </w:rPr>
              <w:t>Uterine</w:t>
            </w:r>
          </w:p>
        </w:tc>
        <w:tc>
          <w:tcPr>
            <w:tcW w:w="1560" w:type="dxa"/>
            <w:shd w:val="clear" w:color="auto" w:fill="FFFFFF" w:themeFill="background1"/>
            <w:noWrap/>
            <w:vAlign w:val="center"/>
            <w:hideMark/>
          </w:tcPr>
          <w:p w14:paraId="3B5EF753"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0.10%</w:t>
            </w:r>
          </w:p>
        </w:tc>
        <w:tc>
          <w:tcPr>
            <w:tcW w:w="2126" w:type="dxa"/>
            <w:shd w:val="clear" w:color="auto" w:fill="FFFFFF" w:themeFill="background1"/>
            <w:noWrap/>
            <w:vAlign w:val="center"/>
            <w:hideMark/>
          </w:tcPr>
          <w:p w14:paraId="45430212"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7862</w:t>
            </w:r>
          </w:p>
        </w:tc>
        <w:tc>
          <w:tcPr>
            <w:tcW w:w="1701" w:type="dxa"/>
            <w:shd w:val="clear" w:color="auto" w:fill="FFFFFF" w:themeFill="background1"/>
            <w:noWrap/>
            <w:vAlign w:val="center"/>
            <w:hideMark/>
          </w:tcPr>
          <w:p w14:paraId="36B33AFD" w14:textId="77777777" w:rsidR="00700AFE" w:rsidRPr="00700AFE"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18%</w:t>
            </w:r>
          </w:p>
        </w:tc>
        <w:tc>
          <w:tcPr>
            <w:tcW w:w="1417" w:type="dxa"/>
            <w:shd w:val="clear" w:color="auto" w:fill="FFFFFF" w:themeFill="background1"/>
            <w:noWrap/>
            <w:vAlign w:val="center"/>
          </w:tcPr>
          <w:p w14:paraId="14EADC92" w14:textId="471D8B38" w:rsidR="00700AFE" w:rsidRPr="00700AFE"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1.24</w:t>
            </w:r>
          </w:p>
        </w:tc>
        <w:tc>
          <w:tcPr>
            <w:tcW w:w="1843" w:type="dxa"/>
            <w:shd w:val="clear" w:color="auto" w:fill="FFFFFF" w:themeFill="background1"/>
            <w:vAlign w:val="center"/>
          </w:tcPr>
          <w:p w14:paraId="75CE4AD0" w14:textId="74D41D46" w:rsidR="00700AFE" w:rsidRPr="00A5630B" w:rsidRDefault="00700AFE" w:rsidP="00A5630B">
            <w:pPr>
              <w:spacing w:before="0" w:after="0" w:line="240" w:lineRule="auto"/>
              <w:jc w:val="center"/>
              <w:rPr>
                <w:rFonts w:eastAsia="Times New Roman" w:cs="Times New Roman"/>
                <w:sz w:val="20"/>
                <w:szCs w:val="20"/>
                <w:lang w:eastAsia="en-GB"/>
              </w:rPr>
            </w:pPr>
            <w:r w:rsidRPr="00A5630B">
              <w:rPr>
                <w:rFonts w:cs="Times New Roman"/>
                <w:sz w:val="20"/>
                <w:szCs w:val="20"/>
              </w:rPr>
              <w:t>1.42</w:t>
            </w:r>
          </w:p>
        </w:tc>
        <w:tc>
          <w:tcPr>
            <w:tcW w:w="1559" w:type="dxa"/>
            <w:shd w:val="clear" w:color="auto" w:fill="FFFFFF" w:themeFill="background1"/>
            <w:vAlign w:val="center"/>
          </w:tcPr>
          <w:p w14:paraId="573284F5" w14:textId="12337CE9" w:rsidR="00700AFE" w:rsidRPr="00A5630B" w:rsidRDefault="00700AFE" w:rsidP="00A5630B">
            <w:pPr>
              <w:spacing w:before="0" w:after="0" w:line="240" w:lineRule="auto"/>
              <w:jc w:val="center"/>
              <w:rPr>
                <w:rFonts w:eastAsia="Times New Roman" w:cs="Times New Roman"/>
                <w:sz w:val="20"/>
                <w:szCs w:val="20"/>
                <w:lang w:eastAsia="en-GB"/>
              </w:rPr>
            </w:pPr>
            <w:r w:rsidRPr="00700AFE">
              <w:rPr>
                <w:rFonts w:eastAsia="Times New Roman" w:cs="Times New Roman"/>
                <w:sz w:val="20"/>
                <w:szCs w:val="20"/>
                <w:lang w:eastAsia="en-GB"/>
              </w:rPr>
              <w:t>1.15</w:t>
            </w:r>
          </w:p>
        </w:tc>
      </w:tr>
    </w:tbl>
    <w:p w14:paraId="1CA7CEA3" w14:textId="77777777" w:rsidR="00E64596" w:rsidRDefault="00E64596" w:rsidP="0051552C">
      <w:pPr>
        <w:sectPr w:rsidR="00E64596" w:rsidSect="0051552C">
          <w:pgSz w:w="16838" w:h="11906" w:orient="landscape" w:code="9"/>
          <w:pgMar w:top="1440" w:right="1440" w:bottom="1440" w:left="1440" w:header="709" w:footer="709" w:gutter="0"/>
          <w:cols w:space="708"/>
          <w:docGrid w:linePitch="360"/>
        </w:sectPr>
      </w:pPr>
    </w:p>
    <w:p w14:paraId="10ED2166" w14:textId="77777777" w:rsidR="0051552C" w:rsidRDefault="0051552C" w:rsidP="0051552C">
      <w:pPr>
        <w:pStyle w:val="Caption"/>
        <w:framePr w:hSpace="181" w:wrap="around" w:vAnchor="page" w:hAnchor="page" w:x="1260" w:y="15421" w:anchorLock="1"/>
        <w:jc w:val="both"/>
      </w:pPr>
    </w:p>
    <w:p w14:paraId="74270045" w14:textId="1509040E" w:rsidR="0051552C" w:rsidRPr="000E405B" w:rsidRDefault="00A5630B" w:rsidP="000E405B">
      <w:pPr>
        <w:rPr>
          <w:b/>
          <w:bCs/>
        </w:rPr>
      </w:pPr>
      <w:bookmarkStart w:id="429" w:name="_Toc33198810"/>
      <w:bookmarkStart w:id="430" w:name="_Toc33695148"/>
      <w:bookmarkStart w:id="431" w:name="_Toc33696110"/>
      <w:r w:rsidRPr="000E405B">
        <w:rPr>
          <w:b/>
          <w:bCs/>
        </w:rPr>
        <w:t>M</w:t>
      </w:r>
      <w:r w:rsidR="0051552C" w:rsidRPr="000E405B">
        <w:rPr>
          <w:b/>
          <w:bCs/>
        </w:rPr>
        <w:t>odelled testing strategies</w:t>
      </w:r>
      <w:bookmarkEnd w:id="429"/>
      <w:bookmarkEnd w:id="430"/>
      <w:bookmarkEnd w:id="431"/>
    </w:p>
    <w:p w14:paraId="15ED4523" w14:textId="3342C5A3" w:rsidR="00A5630B" w:rsidRPr="00A5630B" w:rsidRDefault="00A5630B" w:rsidP="005E2923">
      <w:r>
        <w:t>Ta</w:t>
      </w:r>
      <w:r w:rsidR="00655346">
        <w:t xml:space="preserve">bles </w:t>
      </w:r>
      <w:r>
        <w:t>40-4</w:t>
      </w:r>
      <w:r w:rsidR="00655346">
        <w:t>2</w:t>
      </w:r>
      <w:r>
        <w:t xml:space="preserve"> present the testing that would be used to identify NTRK fusions for each tumour type across the three testing strategies. The appropriate test is dependent on NTRK fusion frequency and current testing availability. </w:t>
      </w:r>
    </w:p>
    <w:p w14:paraId="17425C71" w14:textId="048E9372" w:rsidR="0051552C" w:rsidRPr="00655346" w:rsidRDefault="0051552C" w:rsidP="0051552C">
      <w:pPr>
        <w:pStyle w:val="Caption"/>
        <w:spacing w:before="240" w:after="0"/>
        <w:rPr>
          <w:bCs w:val="0"/>
        </w:rPr>
      </w:pPr>
      <w:bookmarkStart w:id="432" w:name="_Ref33172326"/>
      <w:bookmarkStart w:id="433" w:name="_Toc34033554"/>
      <w:r>
        <w:t xml:space="preserve">Table </w:t>
      </w:r>
      <w:r w:rsidR="00C974E5">
        <w:fldChar w:fldCharType="begin"/>
      </w:r>
      <w:r w:rsidR="00C974E5">
        <w:instrText xml:space="preserve"> SEQ Table \* ARABIC </w:instrText>
      </w:r>
      <w:r w:rsidR="00C974E5">
        <w:fldChar w:fldCharType="separate"/>
      </w:r>
      <w:r w:rsidR="00655346">
        <w:rPr>
          <w:noProof/>
        </w:rPr>
        <w:t>40</w:t>
      </w:r>
      <w:r w:rsidR="00C974E5">
        <w:rPr>
          <w:noProof/>
        </w:rPr>
        <w:fldChar w:fldCharType="end"/>
      </w:r>
      <w:bookmarkEnd w:id="432"/>
      <w:r>
        <w:t xml:space="preserve">: </w:t>
      </w:r>
      <w:r w:rsidRPr="00655346">
        <w:rPr>
          <w:bCs w:val="0"/>
        </w:rPr>
        <w:t xml:space="preserve">Testing </w:t>
      </w:r>
      <w:r w:rsidR="00655346">
        <w:rPr>
          <w:bCs w:val="0"/>
        </w:rPr>
        <w:t>s</w:t>
      </w:r>
      <w:r w:rsidRPr="00655346">
        <w:rPr>
          <w:bCs w:val="0"/>
        </w:rPr>
        <w:t>trategy for each tumour type under the hierarchical approach</w:t>
      </w:r>
      <w:bookmarkEnd w:id="433"/>
    </w:p>
    <w:tbl>
      <w:tblPr>
        <w:tblpPr w:leftFromText="180" w:rightFromText="180" w:vertAnchor="text" w:horzAnchor="margin" w:tblpY="195"/>
        <w:tblW w:w="5232" w:type="pct"/>
        <w:tblLayout w:type="fixed"/>
        <w:tblLook w:val="04A0" w:firstRow="1" w:lastRow="0" w:firstColumn="1" w:lastColumn="0" w:noHBand="0" w:noVBand="1"/>
      </w:tblPr>
      <w:tblGrid>
        <w:gridCol w:w="2406"/>
        <w:gridCol w:w="2126"/>
        <w:gridCol w:w="2270"/>
        <w:gridCol w:w="2632"/>
      </w:tblGrid>
      <w:tr w:rsidR="0051552C" w:rsidRPr="004E45AC" w14:paraId="1B145D7E" w14:textId="77777777" w:rsidTr="0051552C">
        <w:trPr>
          <w:trHeight w:val="311"/>
          <w:tblHeader/>
        </w:trPr>
        <w:tc>
          <w:tcPr>
            <w:tcW w:w="12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E11AD0" w14:textId="77777777" w:rsidR="0051552C" w:rsidRPr="00494197" w:rsidRDefault="0051552C" w:rsidP="0051552C">
            <w:pPr>
              <w:spacing w:after="0" w:line="276" w:lineRule="auto"/>
              <w:jc w:val="center"/>
              <w:rPr>
                <w:rFonts w:cs="Times New Roman"/>
                <w:b/>
                <w:bCs/>
                <w:sz w:val="20"/>
              </w:rPr>
            </w:pPr>
            <w:r w:rsidRPr="00494197">
              <w:rPr>
                <w:rFonts w:cs="Times New Roman"/>
                <w:b/>
                <w:bCs/>
                <w:sz w:val="20"/>
              </w:rPr>
              <w:t>Testing Strategy</w:t>
            </w:r>
          </w:p>
        </w:tc>
        <w:tc>
          <w:tcPr>
            <w:tcW w:w="1127" w:type="pct"/>
            <w:tcBorders>
              <w:top w:val="single" w:sz="4" w:space="0" w:color="auto"/>
              <w:left w:val="nil"/>
              <w:bottom w:val="single" w:sz="4" w:space="0" w:color="auto"/>
              <w:right w:val="single" w:sz="4" w:space="0" w:color="auto"/>
            </w:tcBorders>
            <w:shd w:val="clear" w:color="000000" w:fill="FFFFFF"/>
          </w:tcPr>
          <w:p w14:paraId="41CE8D81" w14:textId="77777777" w:rsidR="0051552C" w:rsidRPr="00494197" w:rsidRDefault="0051552C" w:rsidP="0051552C">
            <w:pPr>
              <w:spacing w:after="0" w:line="276" w:lineRule="auto"/>
              <w:jc w:val="center"/>
              <w:rPr>
                <w:rFonts w:cs="Times New Roman"/>
                <w:b/>
                <w:bCs/>
                <w:color w:val="000000"/>
                <w:sz w:val="20"/>
              </w:rPr>
            </w:pPr>
            <w:r w:rsidRPr="00494197">
              <w:rPr>
                <w:rFonts w:cs="Times New Roman"/>
                <w:b/>
                <w:bCs/>
                <w:color w:val="000000"/>
                <w:sz w:val="20"/>
              </w:rPr>
              <w:t>Costs</w:t>
            </w:r>
          </w:p>
        </w:tc>
        <w:tc>
          <w:tcPr>
            <w:tcW w:w="2598"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C1775F1" w14:textId="77777777" w:rsidR="0051552C" w:rsidRPr="00494197" w:rsidRDefault="0051552C" w:rsidP="0051552C">
            <w:pPr>
              <w:spacing w:after="0" w:line="276" w:lineRule="auto"/>
              <w:jc w:val="center"/>
              <w:rPr>
                <w:rFonts w:cs="Times New Roman"/>
                <w:b/>
                <w:bCs/>
                <w:color w:val="000000"/>
                <w:sz w:val="20"/>
              </w:rPr>
            </w:pPr>
            <w:r w:rsidRPr="00494197">
              <w:rPr>
                <w:rFonts w:cs="Times New Roman"/>
                <w:b/>
                <w:bCs/>
                <w:color w:val="000000"/>
                <w:sz w:val="20"/>
              </w:rPr>
              <w:t>Tumour Type</w:t>
            </w:r>
          </w:p>
        </w:tc>
      </w:tr>
      <w:tr w:rsidR="0051552C" w:rsidRPr="009C542B" w14:paraId="04D5D9F5" w14:textId="77777777" w:rsidTr="0051552C">
        <w:trPr>
          <w:trHeight w:val="176"/>
          <w:tblHeader/>
        </w:trPr>
        <w:tc>
          <w:tcPr>
            <w:tcW w:w="12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3746D"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FISH</w:t>
            </w:r>
          </w:p>
        </w:tc>
        <w:tc>
          <w:tcPr>
            <w:tcW w:w="1127" w:type="pct"/>
            <w:tcBorders>
              <w:top w:val="single" w:sz="4" w:space="0" w:color="auto"/>
              <w:left w:val="nil"/>
              <w:bottom w:val="single" w:sz="4" w:space="0" w:color="auto"/>
              <w:right w:val="single" w:sz="4" w:space="0" w:color="auto"/>
            </w:tcBorders>
            <w:shd w:val="clear" w:color="000000" w:fill="FFFFFF"/>
            <w:vAlign w:val="center"/>
          </w:tcPr>
          <w:p w14:paraId="57A668A4" w14:textId="77777777" w:rsidR="0051552C" w:rsidRPr="00494197" w:rsidRDefault="0051552C" w:rsidP="0051552C">
            <w:pPr>
              <w:spacing w:before="0" w:after="0" w:line="276" w:lineRule="auto"/>
              <w:jc w:val="center"/>
              <w:rPr>
                <w:rFonts w:cs="Times New Roman"/>
                <w:color w:val="000000"/>
                <w:sz w:val="20"/>
              </w:rPr>
            </w:pPr>
            <w:r w:rsidRPr="00494197">
              <w:rPr>
                <w:rFonts w:cs="Times New Roman"/>
                <w:color w:val="000000"/>
                <w:sz w:val="20"/>
              </w:rPr>
              <w:t>No incremental costs</w:t>
            </w:r>
          </w:p>
        </w:tc>
        <w:tc>
          <w:tcPr>
            <w:tcW w:w="1203" w:type="pct"/>
            <w:tcBorders>
              <w:top w:val="single" w:sz="4" w:space="0" w:color="auto"/>
              <w:left w:val="single" w:sz="4" w:space="0" w:color="auto"/>
              <w:bottom w:val="single" w:sz="4" w:space="0" w:color="auto"/>
            </w:tcBorders>
            <w:shd w:val="clear" w:color="000000" w:fill="FFFFFF"/>
            <w:noWrap/>
            <w:hideMark/>
          </w:tcPr>
          <w:p w14:paraId="26093CE9" w14:textId="77777777" w:rsidR="0051552C" w:rsidRPr="00494197" w:rsidRDefault="0051552C" w:rsidP="009A66EC">
            <w:pPr>
              <w:pStyle w:val="ListParagraph"/>
              <w:numPr>
                <w:ilvl w:val="0"/>
                <w:numId w:val="97"/>
              </w:numPr>
              <w:spacing w:before="0" w:after="0" w:line="276" w:lineRule="auto"/>
              <w:rPr>
                <w:rFonts w:cs="Times New Roman"/>
                <w:color w:val="000000"/>
                <w:sz w:val="20"/>
              </w:rPr>
            </w:pPr>
            <w:r w:rsidRPr="00494197">
              <w:rPr>
                <w:rFonts w:cs="Times New Roman"/>
                <w:color w:val="000000"/>
                <w:sz w:val="20"/>
              </w:rPr>
              <w:t>MASC</w:t>
            </w:r>
          </w:p>
        </w:tc>
        <w:tc>
          <w:tcPr>
            <w:tcW w:w="1395" w:type="pct"/>
            <w:tcBorders>
              <w:top w:val="single" w:sz="4" w:space="0" w:color="auto"/>
              <w:left w:val="nil"/>
              <w:bottom w:val="single" w:sz="4" w:space="0" w:color="auto"/>
              <w:right w:val="single" w:sz="4" w:space="0" w:color="auto"/>
            </w:tcBorders>
            <w:shd w:val="clear" w:color="000000" w:fill="FFFFFF"/>
            <w:noWrap/>
            <w:hideMark/>
          </w:tcPr>
          <w:p w14:paraId="4B728E9C" w14:textId="77777777" w:rsidR="0051552C" w:rsidRPr="00494197" w:rsidRDefault="0051552C" w:rsidP="009A66EC">
            <w:pPr>
              <w:pStyle w:val="ListParagraph"/>
              <w:numPr>
                <w:ilvl w:val="0"/>
                <w:numId w:val="97"/>
              </w:numPr>
              <w:spacing w:before="0" w:after="0" w:line="276" w:lineRule="auto"/>
              <w:rPr>
                <w:rFonts w:cs="Times New Roman"/>
                <w:color w:val="000000"/>
                <w:sz w:val="20"/>
              </w:rPr>
            </w:pPr>
            <w:r w:rsidRPr="00494197">
              <w:rPr>
                <w:rFonts w:cs="Times New Roman"/>
                <w:color w:val="000000"/>
                <w:sz w:val="20"/>
              </w:rPr>
              <w:t>Secretory breast carcinoma</w:t>
            </w:r>
          </w:p>
        </w:tc>
      </w:tr>
      <w:tr w:rsidR="0051552C" w:rsidRPr="009C542B" w14:paraId="38B86935" w14:textId="77777777" w:rsidTr="0051552C">
        <w:trPr>
          <w:trHeight w:val="70"/>
          <w:tblHeader/>
        </w:trPr>
        <w:tc>
          <w:tcPr>
            <w:tcW w:w="12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732F8"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WGS &amp; Confirmatory RNA-based NGS</w:t>
            </w:r>
          </w:p>
        </w:tc>
        <w:tc>
          <w:tcPr>
            <w:tcW w:w="1127" w:type="pct"/>
            <w:tcBorders>
              <w:top w:val="single" w:sz="4" w:space="0" w:color="auto"/>
              <w:left w:val="nil"/>
              <w:bottom w:val="single" w:sz="4" w:space="0" w:color="auto"/>
              <w:right w:val="single" w:sz="4" w:space="0" w:color="auto"/>
            </w:tcBorders>
            <w:shd w:val="clear" w:color="000000" w:fill="FFFFFF"/>
            <w:vAlign w:val="center"/>
          </w:tcPr>
          <w:p w14:paraId="640B18F3"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Cost of confirmatory RNA-based NGS only.</w:t>
            </w:r>
          </w:p>
        </w:tc>
        <w:tc>
          <w:tcPr>
            <w:tcW w:w="1203" w:type="pct"/>
            <w:tcBorders>
              <w:top w:val="single" w:sz="4" w:space="0" w:color="auto"/>
              <w:left w:val="single" w:sz="4" w:space="0" w:color="auto"/>
              <w:bottom w:val="single" w:sz="4" w:space="0" w:color="auto"/>
            </w:tcBorders>
            <w:shd w:val="clear" w:color="000000" w:fill="FFFFFF"/>
            <w:hideMark/>
          </w:tcPr>
          <w:p w14:paraId="18C91FB6"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Congenital Mesoblastic Nephroma</w:t>
            </w:r>
            <w:r w:rsidRPr="00494197">
              <w:rPr>
                <w:rFonts w:cs="Times New Roman"/>
                <w:color w:val="000000"/>
                <w:sz w:val="20"/>
              </w:rPr>
              <w:t xml:space="preserve"> </w:t>
            </w:r>
          </w:p>
          <w:p w14:paraId="76D23F23"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color w:val="000000"/>
                <w:sz w:val="20"/>
              </w:rPr>
              <w:t>Infantile fibrosarcoma</w:t>
            </w:r>
          </w:p>
        </w:tc>
        <w:tc>
          <w:tcPr>
            <w:tcW w:w="1395" w:type="pct"/>
            <w:tcBorders>
              <w:top w:val="single" w:sz="4" w:space="0" w:color="auto"/>
              <w:left w:val="nil"/>
              <w:bottom w:val="single" w:sz="4" w:space="0" w:color="auto"/>
              <w:right w:val="single" w:sz="4" w:space="0" w:color="auto"/>
            </w:tcBorders>
            <w:shd w:val="clear" w:color="000000" w:fill="FFFFFF"/>
            <w:hideMark/>
          </w:tcPr>
          <w:p w14:paraId="7ACD207E"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Paediatric high grade glioma</w:t>
            </w:r>
          </w:p>
          <w:p w14:paraId="2A646880"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 xml:space="preserve">Paediatric melanoma </w:t>
            </w:r>
          </w:p>
          <w:p w14:paraId="6909D189"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Soft tissue sarcoma</w:t>
            </w:r>
          </w:p>
        </w:tc>
      </w:tr>
      <w:tr w:rsidR="0051552C" w:rsidRPr="009C542B" w14:paraId="550F9E55" w14:textId="77777777" w:rsidTr="0051552C">
        <w:trPr>
          <w:trHeight w:val="3109"/>
          <w:tblHeader/>
        </w:trPr>
        <w:tc>
          <w:tcPr>
            <w:tcW w:w="12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A8FA70"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IHC + RNA-based NGS</w:t>
            </w:r>
          </w:p>
        </w:tc>
        <w:tc>
          <w:tcPr>
            <w:tcW w:w="1127" w:type="pct"/>
            <w:tcBorders>
              <w:top w:val="single" w:sz="4" w:space="0" w:color="auto"/>
              <w:left w:val="nil"/>
              <w:bottom w:val="single" w:sz="4" w:space="0" w:color="auto"/>
              <w:right w:val="single" w:sz="4" w:space="0" w:color="auto"/>
            </w:tcBorders>
            <w:shd w:val="clear" w:color="000000" w:fill="FFFFFF"/>
            <w:vAlign w:val="center"/>
          </w:tcPr>
          <w:p w14:paraId="0E9C488C"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Total cost of IHC and RNA-based NGS</w:t>
            </w:r>
          </w:p>
        </w:tc>
        <w:tc>
          <w:tcPr>
            <w:tcW w:w="1203" w:type="pct"/>
            <w:tcBorders>
              <w:top w:val="single" w:sz="4" w:space="0" w:color="auto"/>
              <w:left w:val="single" w:sz="4" w:space="0" w:color="auto"/>
              <w:bottom w:val="single" w:sz="4" w:space="0" w:color="auto"/>
            </w:tcBorders>
            <w:shd w:val="clear" w:color="000000" w:fill="FFFFFF"/>
          </w:tcPr>
          <w:p w14:paraId="1C97DCA2"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Appendiceal adenocarcinoma</w:t>
            </w:r>
          </w:p>
          <w:p w14:paraId="08F7E80E"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Breast cancer (NOS)</w:t>
            </w:r>
          </w:p>
          <w:p w14:paraId="298E1337"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 xml:space="preserve">Cervical cancer (NOS) </w:t>
            </w:r>
          </w:p>
          <w:p w14:paraId="4A83EC50"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Cholangiocarcinoma</w:t>
            </w:r>
          </w:p>
          <w:p w14:paraId="420D8FE8"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Colorectal adenocarcinoma</w:t>
            </w:r>
          </w:p>
          <w:p w14:paraId="1D567EC4"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Gastrointestinal stromal tumour</w:t>
            </w:r>
          </w:p>
          <w:p w14:paraId="1A49E39F"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color w:val="000000"/>
                <w:sz w:val="20"/>
              </w:rPr>
              <w:t xml:space="preserve">GEJ adenocarcinoma </w:t>
            </w:r>
          </w:p>
          <w:p w14:paraId="1FAE0A01" w14:textId="77777777" w:rsidR="0051552C" w:rsidRPr="00494197" w:rsidRDefault="0051552C" w:rsidP="009A66EC">
            <w:pPr>
              <w:pStyle w:val="ListParagraph"/>
              <w:numPr>
                <w:ilvl w:val="0"/>
                <w:numId w:val="94"/>
              </w:numPr>
              <w:spacing w:before="0" w:after="0" w:line="276" w:lineRule="auto"/>
              <w:rPr>
                <w:rFonts w:cs="Times New Roman"/>
                <w:color w:val="000000"/>
                <w:sz w:val="20"/>
              </w:rPr>
            </w:pPr>
            <w:r w:rsidRPr="00494197">
              <w:rPr>
                <w:rFonts w:cs="Times New Roman"/>
                <w:sz w:val="20"/>
              </w:rPr>
              <w:t>HNSCC (NOS)</w:t>
            </w:r>
          </w:p>
          <w:p w14:paraId="72C28786"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 xml:space="preserve">High grade glioma </w:t>
            </w:r>
          </w:p>
          <w:p w14:paraId="2BD6249B"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Melanoma (NOS)</w:t>
            </w:r>
          </w:p>
        </w:tc>
        <w:tc>
          <w:tcPr>
            <w:tcW w:w="1395" w:type="pct"/>
            <w:tcBorders>
              <w:top w:val="single" w:sz="4" w:space="0" w:color="auto"/>
              <w:left w:val="nil"/>
              <w:bottom w:val="single" w:sz="4" w:space="0" w:color="auto"/>
              <w:right w:val="single" w:sz="4" w:space="0" w:color="auto"/>
            </w:tcBorders>
            <w:shd w:val="clear" w:color="000000" w:fill="FFFFFF"/>
          </w:tcPr>
          <w:p w14:paraId="51470AC6"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Neuroendocrine (NOS)</w:t>
            </w:r>
          </w:p>
          <w:p w14:paraId="2D753E2C"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 xml:space="preserve">NSCLC (adenocarcinoma)  </w:t>
            </w:r>
          </w:p>
          <w:p w14:paraId="05DEFB93"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Ovarian cancer (NOS)</w:t>
            </w:r>
          </w:p>
          <w:p w14:paraId="5665E4DB"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Pancreatic adenocarcinoma</w:t>
            </w:r>
          </w:p>
          <w:p w14:paraId="1E099714"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Papillary thyroid tumour</w:t>
            </w:r>
          </w:p>
          <w:p w14:paraId="70F594DB"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Prostate cancer (NOS)</w:t>
            </w:r>
          </w:p>
          <w:p w14:paraId="185C9769"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Renal cell carcinoma</w:t>
            </w:r>
          </w:p>
          <w:p w14:paraId="332968BE"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 xml:space="preserve">Salivary gland carcinoma </w:t>
            </w:r>
          </w:p>
          <w:p w14:paraId="56A41372"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Sinonasal adenocarcinoma</w:t>
            </w:r>
          </w:p>
          <w:p w14:paraId="6F8ACEC2"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Thyroid tumour (NOS)</w:t>
            </w:r>
          </w:p>
          <w:p w14:paraId="3B2ADA38"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 xml:space="preserve">Cancer of Unknown Primary </w:t>
            </w:r>
          </w:p>
          <w:p w14:paraId="760265FD"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Uterine carcinoma</w:t>
            </w:r>
          </w:p>
        </w:tc>
      </w:tr>
    </w:tbl>
    <w:p w14:paraId="533A13CC" w14:textId="6345F9B7" w:rsidR="0051552C" w:rsidRPr="00494197" w:rsidRDefault="0051552C" w:rsidP="0051552C">
      <w:pPr>
        <w:pStyle w:val="Caption"/>
        <w:rPr>
          <w:rFonts w:cs="Times New Roman"/>
        </w:rPr>
      </w:pPr>
      <w:bookmarkStart w:id="434" w:name="_Toc34033555"/>
      <w:r w:rsidRPr="00494197">
        <w:rPr>
          <w:rFonts w:cs="Times New Roman"/>
        </w:rPr>
        <w:t xml:space="preserve">Table </w:t>
      </w:r>
      <w:r w:rsidR="001F16E2">
        <w:rPr>
          <w:rFonts w:cs="Times New Roman"/>
        </w:rPr>
        <w:fldChar w:fldCharType="begin"/>
      </w:r>
      <w:r w:rsidR="001F16E2">
        <w:rPr>
          <w:rFonts w:cs="Times New Roman"/>
        </w:rPr>
        <w:instrText xml:space="preserve"> SEQ Table \* ARABIC </w:instrText>
      </w:r>
      <w:r w:rsidR="001F16E2">
        <w:rPr>
          <w:rFonts w:cs="Times New Roman"/>
        </w:rPr>
        <w:fldChar w:fldCharType="separate"/>
      </w:r>
      <w:r w:rsidR="00C663A2">
        <w:rPr>
          <w:rFonts w:cs="Times New Roman"/>
          <w:noProof/>
        </w:rPr>
        <w:t>41</w:t>
      </w:r>
      <w:r w:rsidR="001F16E2">
        <w:rPr>
          <w:rFonts w:cs="Times New Roman"/>
        </w:rPr>
        <w:fldChar w:fldCharType="end"/>
      </w:r>
      <w:r w:rsidRPr="00494197">
        <w:rPr>
          <w:rFonts w:cs="Times New Roman"/>
        </w:rPr>
        <w:t xml:space="preserve">: Testing </w:t>
      </w:r>
      <w:r w:rsidR="00655346">
        <w:rPr>
          <w:rFonts w:cs="Times New Roman"/>
        </w:rPr>
        <w:t>s</w:t>
      </w:r>
      <w:r w:rsidRPr="00494197">
        <w:rPr>
          <w:rFonts w:cs="Times New Roman"/>
        </w:rPr>
        <w:t>trategy for each tumour type under the first-line RNA based NGS approach</w:t>
      </w:r>
      <w:bookmarkEnd w:id="434"/>
    </w:p>
    <w:tbl>
      <w:tblPr>
        <w:tblpPr w:leftFromText="180" w:rightFromText="180" w:vertAnchor="text" w:horzAnchor="margin" w:tblpY="219"/>
        <w:tblW w:w="5000" w:type="pct"/>
        <w:tblLayout w:type="fixed"/>
        <w:tblLook w:val="04A0" w:firstRow="1" w:lastRow="0" w:firstColumn="1" w:lastColumn="0" w:noHBand="0" w:noVBand="1"/>
      </w:tblPr>
      <w:tblGrid>
        <w:gridCol w:w="2405"/>
        <w:gridCol w:w="2124"/>
        <w:gridCol w:w="1991"/>
        <w:gridCol w:w="2496"/>
      </w:tblGrid>
      <w:tr w:rsidR="0051552C" w:rsidRPr="00494197" w14:paraId="13DFA671" w14:textId="77777777" w:rsidTr="0051552C">
        <w:trPr>
          <w:trHeight w:val="159"/>
          <w:tblHeader/>
        </w:trPr>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1648AE" w14:textId="77777777" w:rsidR="0051552C" w:rsidRPr="00494197" w:rsidRDefault="0051552C" w:rsidP="0051552C">
            <w:pPr>
              <w:spacing w:after="0" w:line="276" w:lineRule="auto"/>
              <w:jc w:val="center"/>
              <w:rPr>
                <w:rFonts w:cs="Times New Roman"/>
                <w:sz w:val="20"/>
              </w:rPr>
            </w:pPr>
            <w:r w:rsidRPr="00494197">
              <w:rPr>
                <w:rFonts w:cs="Times New Roman"/>
                <w:b/>
                <w:bCs/>
                <w:sz w:val="20"/>
              </w:rPr>
              <w:t>Testing Strategy</w:t>
            </w:r>
          </w:p>
        </w:tc>
        <w:tc>
          <w:tcPr>
            <w:tcW w:w="1178" w:type="pct"/>
            <w:tcBorders>
              <w:top w:val="single" w:sz="4" w:space="0" w:color="auto"/>
              <w:left w:val="nil"/>
              <w:bottom w:val="single" w:sz="4" w:space="0" w:color="auto"/>
              <w:right w:val="single" w:sz="4" w:space="0" w:color="auto"/>
            </w:tcBorders>
            <w:shd w:val="clear" w:color="000000" w:fill="FFFFFF"/>
            <w:vAlign w:val="center"/>
          </w:tcPr>
          <w:p w14:paraId="4FEF37AB" w14:textId="77777777" w:rsidR="0051552C" w:rsidRPr="00494197" w:rsidRDefault="0051552C" w:rsidP="0051552C">
            <w:pPr>
              <w:spacing w:after="0" w:line="276" w:lineRule="auto"/>
              <w:jc w:val="center"/>
              <w:rPr>
                <w:rFonts w:cs="Times New Roman"/>
                <w:color w:val="000000"/>
                <w:sz w:val="20"/>
              </w:rPr>
            </w:pPr>
            <w:r w:rsidRPr="00494197">
              <w:rPr>
                <w:rFonts w:cs="Times New Roman"/>
                <w:b/>
                <w:bCs/>
                <w:color w:val="000000"/>
                <w:sz w:val="20"/>
              </w:rPr>
              <w:t>Costs</w:t>
            </w:r>
          </w:p>
        </w:tc>
        <w:tc>
          <w:tcPr>
            <w:tcW w:w="248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3769B9" w14:textId="77777777" w:rsidR="0051552C" w:rsidRPr="00494197" w:rsidRDefault="0051552C" w:rsidP="0051552C">
            <w:pPr>
              <w:spacing w:after="0" w:line="276" w:lineRule="auto"/>
              <w:jc w:val="center"/>
              <w:rPr>
                <w:rFonts w:cs="Times New Roman"/>
                <w:color w:val="000000"/>
                <w:sz w:val="20"/>
              </w:rPr>
            </w:pPr>
            <w:r w:rsidRPr="00494197">
              <w:rPr>
                <w:rFonts w:cs="Times New Roman"/>
                <w:b/>
                <w:bCs/>
                <w:color w:val="000000"/>
                <w:sz w:val="20"/>
              </w:rPr>
              <w:t>Tumour Type</w:t>
            </w:r>
          </w:p>
        </w:tc>
      </w:tr>
      <w:tr w:rsidR="0051552C" w:rsidRPr="00494197" w14:paraId="3CED9CF9" w14:textId="77777777" w:rsidTr="0051552C">
        <w:trPr>
          <w:trHeight w:val="159"/>
          <w:tblHeader/>
        </w:trPr>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0F46D" w14:textId="77777777" w:rsidR="0051552C" w:rsidRPr="00494197" w:rsidRDefault="0051552C" w:rsidP="0051552C">
            <w:pPr>
              <w:spacing w:after="0" w:line="276" w:lineRule="auto"/>
              <w:jc w:val="center"/>
              <w:rPr>
                <w:rFonts w:cs="Times New Roman"/>
                <w:sz w:val="20"/>
              </w:rPr>
            </w:pPr>
            <w:r w:rsidRPr="00494197">
              <w:rPr>
                <w:rFonts w:cs="Times New Roman"/>
                <w:sz w:val="20"/>
              </w:rPr>
              <w:t>First-line RNA-based NGS</w:t>
            </w:r>
          </w:p>
        </w:tc>
        <w:tc>
          <w:tcPr>
            <w:tcW w:w="1178" w:type="pct"/>
            <w:tcBorders>
              <w:top w:val="single" w:sz="4" w:space="0" w:color="auto"/>
              <w:left w:val="nil"/>
              <w:bottom w:val="single" w:sz="4" w:space="0" w:color="auto"/>
              <w:right w:val="single" w:sz="4" w:space="0" w:color="auto"/>
            </w:tcBorders>
            <w:shd w:val="clear" w:color="000000" w:fill="FFFFFF"/>
            <w:vAlign w:val="center"/>
          </w:tcPr>
          <w:p w14:paraId="6DADB5FD" w14:textId="77777777" w:rsidR="0051552C" w:rsidRPr="00494197" w:rsidRDefault="0051552C" w:rsidP="0051552C">
            <w:pPr>
              <w:spacing w:before="0" w:after="0" w:line="276" w:lineRule="auto"/>
              <w:jc w:val="center"/>
              <w:rPr>
                <w:rFonts w:cs="Times New Roman"/>
                <w:color w:val="000000"/>
                <w:sz w:val="20"/>
              </w:rPr>
            </w:pPr>
            <w:r w:rsidRPr="00494197">
              <w:rPr>
                <w:rFonts w:cs="Times New Roman"/>
                <w:color w:val="000000"/>
                <w:sz w:val="20"/>
              </w:rPr>
              <w:t>Incremental costs of displacing FISH</w:t>
            </w:r>
          </w:p>
        </w:tc>
        <w:tc>
          <w:tcPr>
            <w:tcW w:w="1104" w:type="pct"/>
            <w:tcBorders>
              <w:top w:val="single" w:sz="4" w:space="0" w:color="auto"/>
              <w:left w:val="single" w:sz="4" w:space="0" w:color="auto"/>
              <w:bottom w:val="single" w:sz="4" w:space="0" w:color="auto"/>
            </w:tcBorders>
            <w:shd w:val="clear" w:color="000000" w:fill="FFFFFF"/>
            <w:noWrap/>
          </w:tcPr>
          <w:p w14:paraId="3C2B942F" w14:textId="77777777" w:rsidR="0051552C" w:rsidRPr="00494197" w:rsidRDefault="0051552C" w:rsidP="009A66EC">
            <w:pPr>
              <w:pStyle w:val="ListParagraph"/>
              <w:numPr>
                <w:ilvl w:val="0"/>
                <w:numId w:val="97"/>
              </w:numPr>
              <w:spacing w:before="0" w:after="0" w:line="276" w:lineRule="auto"/>
              <w:rPr>
                <w:rFonts w:cs="Times New Roman"/>
                <w:color w:val="000000"/>
                <w:sz w:val="20"/>
              </w:rPr>
            </w:pPr>
            <w:r w:rsidRPr="00494197">
              <w:rPr>
                <w:rFonts w:cs="Times New Roman"/>
                <w:color w:val="000000"/>
                <w:sz w:val="20"/>
              </w:rPr>
              <w:t>MASC</w:t>
            </w:r>
          </w:p>
        </w:tc>
        <w:tc>
          <w:tcPr>
            <w:tcW w:w="1384" w:type="pct"/>
            <w:tcBorders>
              <w:top w:val="single" w:sz="4" w:space="0" w:color="auto"/>
              <w:left w:val="nil"/>
              <w:bottom w:val="single" w:sz="4" w:space="0" w:color="auto"/>
              <w:right w:val="single" w:sz="4" w:space="0" w:color="auto"/>
            </w:tcBorders>
            <w:shd w:val="clear" w:color="000000" w:fill="FFFFFF"/>
            <w:noWrap/>
          </w:tcPr>
          <w:p w14:paraId="6EE0B0DA" w14:textId="77777777" w:rsidR="0051552C" w:rsidRPr="00494197" w:rsidRDefault="0051552C" w:rsidP="009A66EC">
            <w:pPr>
              <w:pStyle w:val="ListParagraph"/>
              <w:numPr>
                <w:ilvl w:val="0"/>
                <w:numId w:val="97"/>
              </w:numPr>
              <w:spacing w:before="0" w:after="0" w:line="276" w:lineRule="auto"/>
              <w:rPr>
                <w:rFonts w:cs="Times New Roman"/>
                <w:color w:val="000000"/>
                <w:sz w:val="20"/>
              </w:rPr>
            </w:pPr>
            <w:r w:rsidRPr="00494197">
              <w:rPr>
                <w:rFonts w:cs="Times New Roman"/>
                <w:color w:val="000000"/>
                <w:sz w:val="20"/>
              </w:rPr>
              <w:t>Secretory breast carcinoma</w:t>
            </w:r>
          </w:p>
        </w:tc>
      </w:tr>
      <w:tr w:rsidR="0051552C" w:rsidRPr="00494197" w14:paraId="0D8EAF9D" w14:textId="77777777" w:rsidTr="0051552C">
        <w:trPr>
          <w:trHeight w:val="464"/>
          <w:tblHeader/>
        </w:trPr>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ABC704" w14:textId="77777777" w:rsidR="0051552C" w:rsidRPr="00494197" w:rsidRDefault="0051552C" w:rsidP="0051552C">
            <w:pPr>
              <w:spacing w:after="0" w:line="276" w:lineRule="auto"/>
              <w:jc w:val="center"/>
              <w:rPr>
                <w:rFonts w:cs="Times New Roman"/>
                <w:sz w:val="20"/>
              </w:rPr>
            </w:pPr>
            <w:r w:rsidRPr="00494197">
              <w:rPr>
                <w:rFonts w:cs="Times New Roman"/>
                <w:sz w:val="20"/>
              </w:rPr>
              <w:t>WGS &amp; Confirmatory RNA-based NGS</w:t>
            </w:r>
          </w:p>
        </w:tc>
        <w:tc>
          <w:tcPr>
            <w:tcW w:w="1178" w:type="pct"/>
            <w:tcBorders>
              <w:top w:val="single" w:sz="4" w:space="0" w:color="auto"/>
              <w:left w:val="nil"/>
              <w:bottom w:val="single" w:sz="4" w:space="0" w:color="auto"/>
              <w:right w:val="single" w:sz="4" w:space="0" w:color="auto"/>
            </w:tcBorders>
            <w:shd w:val="clear" w:color="000000" w:fill="FFFFFF"/>
            <w:vAlign w:val="center"/>
          </w:tcPr>
          <w:p w14:paraId="12FE8DAB"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Cost of confirmatory RNA-based NGS only.</w:t>
            </w:r>
          </w:p>
        </w:tc>
        <w:tc>
          <w:tcPr>
            <w:tcW w:w="1104" w:type="pct"/>
            <w:tcBorders>
              <w:top w:val="single" w:sz="4" w:space="0" w:color="auto"/>
              <w:left w:val="single" w:sz="4" w:space="0" w:color="auto"/>
              <w:bottom w:val="single" w:sz="4" w:space="0" w:color="auto"/>
            </w:tcBorders>
            <w:shd w:val="clear" w:color="000000" w:fill="FFFFFF"/>
          </w:tcPr>
          <w:p w14:paraId="4A8D88DA"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Congenital Mesoblastic Nephroma</w:t>
            </w:r>
          </w:p>
          <w:p w14:paraId="32C7F8B9"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color w:val="000000"/>
                <w:sz w:val="20"/>
              </w:rPr>
              <w:t>Infantile fibrosarcoma</w:t>
            </w:r>
          </w:p>
        </w:tc>
        <w:tc>
          <w:tcPr>
            <w:tcW w:w="1384" w:type="pct"/>
            <w:tcBorders>
              <w:top w:val="single" w:sz="4" w:space="0" w:color="auto"/>
              <w:left w:val="nil"/>
              <w:bottom w:val="single" w:sz="4" w:space="0" w:color="auto"/>
              <w:right w:val="single" w:sz="4" w:space="0" w:color="auto"/>
            </w:tcBorders>
            <w:shd w:val="clear" w:color="000000" w:fill="FFFFFF"/>
          </w:tcPr>
          <w:p w14:paraId="3C9DAFC4"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Paediatric high grade glioma</w:t>
            </w:r>
          </w:p>
          <w:p w14:paraId="086CD4E3"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Paediatric melanoma</w:t>
            </w:r>
          </w:p>
          <w:p w14:paraId="522FC468" w14:textId="77777777" w:rsidR="0051552C" w:rsidRPr="00494197" w:rsidRDefault="0051552C" w:rsidP="009A66EC">
            <w:pPr>
              <w:pStyle w:val="ListParagraph"/>
              <w:numPr>
                <w:ilvl w:val="0"/>
                <w:numId w:val="96"/>
              </w:numPr>
              <w:spacing w:before="0" w:after="0" w:line="276" w:lineRule="auto"/>
              <w:rPr>
                <w:rFonts w:cs="Times New Roman"/>
                <w:sz w:val="20"/>
              </w:rPr>
            </w:pPr>
            <w:r w:rsidRPr="00494197">
              <w:rPr>
                <w:rFonts w:cs="Times New Roman"/>
                <w:sz w:val="20"/>
              </w:rPr>
              <w:t>Soft tissue sarcoma</w:t>
            </w:r>
          </w:p>
        </w:tc>
      </w:tr>
      <w:tr w:rsidR="0051552C" w:rsidRPr="00494197" w14:paraId="78FA9911" w14:textId="77777777" w:rsidTr="0051552C">
        <w:trPr>
          <w:trHeight w:val="1789"/>
          <w:tblHeader/>
        </w:trPr>
        <w:tc>
          <w:tcPr>
            <w:tcW w:w="13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F3C7BE" w14:textId="77777777" w:rsidR="0051552C" w:rsidRPr="00494197" w:rsidRDefault="0051552C" w:rsidP="0051552C">
            <w:pPr>
              <w:spacing w:after="0" w:line="276" w:lineRule="auto"/>
              <w:jc w:val="center"/>
              <w:rPr>
                <w:rFonts w:cs="Times New Roman"/>
                <w:sz w:val="20"/>
              </w:rPr>
            </w:pPr>
            <w:r w:rsidRPr="00494197">
              <w:rPr>
                <w:rFonts w:cs="Times New Roman"/>
                <w:sz w:val="20"/>
              </w:rPr>
              <w:t>First-line RNA-based NGS</w:t>
            </w:r>
          </w:p>
        </w:tc>
        <w:tc>
          <w:tcPr>
            <w:tcW w:w="1178" w:type="pct"/>
            <w:tcBorders>
              <w:top w:val="single" w:sz="4" w:space="0" w:color="auto"/>
              <w:left w:val="nil"/>
              <w:bottom w:val="single" w:sz="4" w:space="0" w:color="auto"/>
              <w:right w:val="single" w:sz="4" w:space="0" w:color="auto"/>
            </w:tcBorders>
            <w:shd w:val="clear" w:color="000000" w:fill="FFFFFF"/>
            <w:vAlign w:val="center"/>
          </w:tcPr>
          <w:p w14:paraId="64429638" w14:textId="77777777" w:rsidR="0051552C" w:rsidRPr="00494197" w:rsidRDefault="0051552C" w:rsidP="0051552C">
            <w:pPr>
              <w:spacing w:before="0" w:after="0" w:line="276" w:lineRule="auto"/>
              <w:jc w:val="center"/>
              <w:rPr>
                <w:rFonts w:cs="Times New Roman"/>
                <w:sz w:val="20"/>
              </w:rPr>
            </w:pPr>
            <w:r w:rsidRPr="00494197">
              <w:rPr>
                <w:rFonts w:cs="Times New Roman"/>
                <w:sz w:val="20"/>
              </w:rPr>
              <w:t>Total cost of RNA-based NGS</w:t>
            </w:r>
          </w:p>
        </w:tc>
        <w:tc>
          <w:tcPr>
            <w:tcW w:w="1104" w:type="pct"/>
            <w:tcBorders>
              <w:top w:val="single" w:sz="4" w:space="0" w:color="auto"/>
              <w:left w:val="single" w:sz="4" w:space="0" w:color="auto"/>
              <w:bottom w:val="single" w:sz="4" w:space="0" w:color="auto"/>
            </w:tcBorders>
            <w:shd w:val="clear" w:color="000000" w:fill="FFFFFF"/>
          </w:tcPr>
          <w:p w14:paraId="6989C625"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Appendiceal adenocarcinoma</w:t>
            </w:r>
          </w:p>
          <w:p w14:paraId="6583778B"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Breast cancer (NOS)</w:t>
            </w:r>
          </w:p>
          <w:p w14:paraId="7F8E043B"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Cervical cancer (NOS)</w:t>
            </w:r>
          </w:p>
          <w:p w14:paraId="06454B7D"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Cholangiocarcinoma</w:t>
            </w:r>
          </w:p>
          <w:p w14:paraId="2B6DBE39"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Colorectal adenocarcinoma</w:t>
            </w:r>
          </w:p>
          <w:p w14:paraId="2C2752F2"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Gastrointestinal stromal tumour</w:t>
            </w:r>
          </w:p>
          <w:p w14:paraId="7BA5D744"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color w:val="000000"/>
                <w:sz w:val="20"/>
              </w:rPr>
              <w:t>GEJ adenocarcinoma</w:t>
            </w:r>
          </w:p>
          <w:p w14:paraId="2440453D" w14:textId="77777777" w:rsidR="0051552C" w:rsidRPr="00494197" w:rsidRDefault="0051552C" w:rsidP="009A66EC">
            <w:pPr>
              <w:pStyle w:val="ListParagraph"/>
              <w:numPr>
                <w:ilvl w:val="0"/>
                <w:numId w:val="94"/>
              </w:numPr>
              <w:spacing w:before="0" w:after="0" w:line="276" w:lineRule="auto"/>
              <w:rPr>
                <w:rFonts w:cs="Times New Roman"/>
                <w:color w:val="000000"/>
                <w:sz w:val="20"/>
              </w:rPr>
            </w:pPr>
            <w:r w:rsidRPr="00494197">
              <w:rPr>
                <w:rFonts w:cs="Times New Roman"/>
                <w:sz w:val="20"/>
              </w:rPr>
              <w:t>HNSCC (NOS)</w:t>
            </w:r>
          </w:p>
          <w:p w14:paraId="50AD009D"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High grade glioma</w:t>
            </w:r>
          </w:p>
          <w:p w14:paraId="17FD5D81" w14:textId="77777777" w:rsidR="0051552C" w:rsidRPr="00494197" w:rsidRDefault="0051552C" w:rsidP="009A66EC">
            <w:pPr>
              <w:pStyle w:val="ListParagraph"/>
              <w:numPr>
                <w:ilvl w:val="0"/>
                <w:numId w:val="94"/>
              </w:numPr>
              <w:spacing w:before="0" w:after="0" w:line="276" w:lineRule="auto"/>
              <w:rPr>
                <w:rFonts w:cs="Times New Roman"/>
                <w:sz w:val="20"/>
              </w:rPr>
            </w:pPr>
            <w:r w:rsidRPr="00494197">
              <w:rPr>
                <w:rFonts w:cs="Times New Roman"/>
                <w:sz w:val="20"/>
              </w:rPr>
              <w:t>Melanoma (NOS)</w:t>
            </w:r>
          </w:p>
        </w:tc>
        <w:tc>
          <w:tcPr>
            <w:tcW w:w="1384" w:type="pct"/>
            <w:tcBorders>
              <w:top w:val="single" w:sz="4" w:space="0" w:color="auto"/>
              <w:left w:val="nil"/>
              <w:bottom w:val="single" w:sz="4" w:space="0" w:color="auto"/>
              <w:right w:val="single" w:sz="4" w:space="0" w:color="auto"/>
            </w:tcBorders>
            <w:shd w:val="clear" w:color="000000" w:fill="FFFFFF"/>
          </w:tcPr>
          <w:p w14:paraId="6DF8E8DD"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Neuroendocrine (NOS)</w:t>
            </w:r>
          </w:p>
          <w:p w14:paraId="010A5FAC"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NSCLC (adenocarcinoma)</w:t>
            </w:r>
          </w:p>
          <w:p w14:paraId="060506DB"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Ovarian cancer (NOS)</w:t>
            </w:r>
          </w:p>
          <w:p w14:paraId="09E4A9F9"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Pancreatic adenocarcinoma</w:t>
            </w:r>
          </w:p>
          <w:p w14:paraId="24596D17"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Papillary thyroid tumour</w:t>
            </w:r>
          </w:p>
          <w:p w14:paraId="15BAC556"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Prostate cancer (NOS)</w:t>
            </w:r>
          </w:p>
          <w:p w14:paraId="39311FDA"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Renal cell carcinoma</w:t>
            </w:r>
          </w:p>
          <w:p w14:paraId="2C9FBD19"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Salivary gland carcinoma</w:t>
            </w:r>
          </w:p>
          <w:p w14:paraId="072625D4"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Sinonasal adenocarcinoma</w:t>
            </w:r>
          </w:p>
          <w:p w14:paraId="5D85DCE7"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Thyroid tumour (NOS)</w:t>
            </w:r>
          </w:p>
          <w:p w14:paraId="73786E2B"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Cancer of Unknown Primary</w:t>
            </w:r>
          </w:p>
          <w:p w14:paraId="6E27692B" w14:textId="77777777" w:rsidR="0051552C" w:rsidRPr="00494197" w:rsidRDefault="0051552C" w:rsidP="009A66EC">
            <w:pPr>
              <w:pStyle w:val="ListParagraph"/>
              <w:numPr>
                <w:ilvl w:val="0"/>
                <w:numId w:val="95"/>
              </w:numPr>
              <w:spacing w:before="0" w:after="0" w:line="276" w:lineRule="auto"/>
              <w:rPr>
                <w:rFonts w:cs="Times New Roman"/>
                <w:sz w:val="20"/>
              </w:rPr>
            </w:pPr>
            <w:r w:rsidRPr="00494197">
              <w:rPr>
                <w:rFonts w:cs="Times New Roman"/>
                <w:sz w:val="20"/>
              </w:rPr>
              <w:t>Uterine carcinoma</w:t>
            </w:r>
          </w:p>
        </w:tc>
      </w:tr>
    </w:tbl>
    <w:p w14:paraId="40CF2A85" w14:textId="77777777" w:rsidR="0051552C" w:rsidRDefault="0051552C" w:rsidP="0051552C"/>
    <w:p w14:paraId="669F0835" w14:textId="77777777" w:rsidR="0051552C" w:rsidRDefault="0051552C" w:rsidP="0051552C"/>
    <w:p w14:paraId="7E0AB590" w14:textId="77777777" w:rsidR="0051552C" w:rsidRDefault="0051552C" w:rsidP="0051552C"/>
    <w:p w14:paraId="7BE44D1F" w14:textId="77777777" w:rsidR="0051552C" w:rsidRDefault="0051552C" w:rsidP="0051552C"/>
    <w:p w14:paraId="006F8930" w14:textId="57A16AE7" w:rsidR="0051552C" w:rsidRPr="00494197" w:rsidRDefault="0051552C" w:rsidP="0051552C">
      <w:pPr>
        <w:pStyle w:val="Caption"/>
        <w:rPr>
          <w:rFonts w:cs="Times New Roman"/>
        </w:rPr>
      </w:pPr>
      <w:bookmarkStart w:id="435" w:name="_Toc34033556"/>
      <w:r w:rsidRPr="00494197">
        <w:rPr>
          <w:rFonts w:cs="Times New Roman"/>
        </w:rPr>
        <w:t xml:space="preserve">Table </w:t>
      </w:r>
      <w:r w:rsidR="001F16E2">
        <w:rPr>
          <w:rFonts w:cs="Times New Roman"/>
        </w:rPr>
        <w:fldChar w:fldCharType="begin"/>
      </w:r>
      <w:r w:rsidR="001F16E2">
        <w:rPr>
          <w:rFonts w:cs="Times New Roman"/>
        </w:rPr>
        <w:instrText xml:space="preserve"> SEQ Table \* ARABIC </w:instrText>
      </w:r>
      <w:r w:rsidR="001F16E2">
        <w:rPr>
          <w:rFonts w:cs="Times New Roman"/>
        </w:rPr>
        <w:fldChar w:fldCharType="separate"/>
      </w:r>
      <w:r w:rsidR="00C663A2">
        <w:rPr>
          <w:rFonts w:cs="Times New Roman"/>
          <w:noProof/>
        </w:rPr>
        <w:t>42</w:t>
      </w:r>
      <w:r w:rsidR="001F16E2">
        <w:rPr>
          <w:rFonts w:cs="Times New Roman"/>
        </w:rPr>
        <w:fldChar w:fldCharType="end"/>
      </w:r>
      <w:r w:rsidRPr="00494197">
        <w:rPr>
          <w:rFonts w:cs="Times New Roman"/>
        </w:rPr>
        <w:t xml:space="preserve">: Testing </w:t>
      </w:r>
      <w:r w:rsidR="00655346">
        <w:rPr>
          <w:rFonts w:cs="Times New Roman"/>
        </w:rPr>
        <w:t>s</w:t>
      </w:r>
      <w:r w:rsidRPr="00494197">
        <w:rPr>
          <w:rFonts w:cs="Times New Roman"/>
        </w:rPr>
        <w:t>trategy for each tumour type under the exhaustive approach</w:t>
      </w:r>
      <w:bookmarkEnd w:id="435"/>
    </w:p>
    <w:tbl>
      <w:tblPr>
        <w:tblW w:w="0" w:type="auto"/>
        <w:jc w:val="center"/>
        <w:tblLook w:val="04A0" w:firstRow="1" w:lastRow="0" w:firstColumn="1" w:lastColumn="0" w:noHBand="0" w:noVBand="1"/>
      </w:tblPr>
      <w:tblGrid>
        <w:gridCol w:w="2122"/>
        <w:gridCol w:w="2099"/>
        <w:gridCol w:w="2243"/>
        <w:gridCol w:w="2552"/>
      </w:tblGrid>
      <w:tr w:rsidR="0051552C" w:rsidRPr="00494197" w14:paraId="412BBE79" w14:textId="77777777" w:rsidTr="0051552C">
        <w:trPr>
          <w:trHeight w:val="258"/>
          <w:tblHeader/>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EB1B4" w14:textId="77777777" w:rsidR="0051552C" w:rsidRPr="00494197" w:rsidRDefault="0051552C" w:rsidP="0051552C">
            <w:pPr>
              <w:spacing w:after="0"/>
              <w:jc w:val="center"/>
              <w:rPr>
                <w:rFonts w:cs="Times New Roman"/>
                <w:b/>
                <w:bCs/>
                <w:sz w:val="20"/>
              </w:rPr>
            </w:pPr>
            <w:r w:rsidRPr="00494197">
              <w:rPr>
                <w:rFonts w:cs="Times New Roman"/>
                <w:b/>
                <w:bCs/>
                <w:sz w:val="20"/>
              </w:rPr>
              <w:t>Testing Strategy</w:t>
            </w:r>
          </w:p>
        </w:tc>
        <w:tc>
          <w:tcPr>
            <w:tcW w:w="2109" w:type="dxa"/>
            <w:tcBorders>
              <w:top w:val="single" w:sz="4" w:space="0" w:color="auto"/>
              <w:left w:val="nil"/>
              <w:bottom w:val="single" w:sz="4" w:space="0" w:color="auto"/>
              <w:right w:val="single" w:sz="4" w:space="0" w:color="auto"/>
            </w:tcBorders>
            <w:shd w:val="clear" w:color="000000" w:fill="FFFFFF"/>
            <w:vAlign w:val="center"/>
          </w:tcPr>
          <w:p w14:paraId="4D243A3B" w14:textId="77777777" w:rsidR="0051552C" w:rsidRPr="00494197" w:rsidRDefault="0051552C" w:rsidP="0051552C">
            <w:pPr>
              <w:spacing w:after="0"/>
              <w:jc w:val="center"/>
              <w:rPr>
                <w:rFonts w:cs="Times New Roman"/>
                <w:b/>
                <w:bCs/>
                <w:color w:val="000000"/>
                <w:sz w:val="20"/>
              </w:rPr>
            </w:pPr>
            <w:r w:rsidRPr="00494197">
              <w:rPr>
                <w:rFonts w:cs="Times New Roman"/>
                <w:b/>
                <w:bCs/>
                <w:color w:val="000000"/>
                <w:sz w:val="20"/>
              </w:rPr>
              <w:t>Costs</w:t>
            </w:r>
          </w:p>
        </w:tc>
        <w:tc>
          <w:tcPr>
            <w:tcW w:w="4785"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DAC7B3" w14:textId="77777777" w:rsidR="0051552C" w:rsidRPr="00494197" w:rsidRDefault="0051552C" w:rsidP="0051552C">
            <w:pPr>
              <w:spacing w:after="0"/>
              <w:jc w:val="center"/>
              <w:rPr>
                <w:rFonts w:cs="Times New Roman"/>
                <w:b/>
                <w:bCs/>
                <w:color w:val="000000"/>
                <w:sz w:val="20"/>
              </w:rPr>
            </w:pPr>
            <w:r w:rsidRPr="00494197">
              <w:rPr>
                <w:rFonts w:cs="Times New Roman"/>
                <w:b/>
                <w:bCs/>
                <w:color w:val="000000"/>
                <w:sz w:val="20"/>
              </w:rPr>
              <w:t>Tumour Type</w:t>
            </w:r>
          </w:p>
        </w:tc>
      </w:tr>
      <w:tr w:rsidR="0051552C" w:rsidRPr="00494197" w14:paraId="26837172" w14:textId="77777777" w:rsidTr="0051552C">
        <w:trPr>
          <w:trHeight w:val="146"/>
          <w:tblHeader/>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36F463"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DNA-based NGS &amp; Confirmatory  RNA-based NGS</w:t>
            </w:r>
          </w:p>
        </w:tc>
        <w:tc>
          <w:tcPr>
            <w:tcW w:w="2109" w:type="dxa"/>
            <w:tcBorders>
              <w:top w:val="single" w:sz="4" w:space="0" w:color="auto"/>
              <w:left w:val="nil"/>
              <w:bottom w:val="single" w:sz="4" w:space="0" w:color="auto"/>
              <w:right w:val="single" w:sz="4" w:space="0" w:color="auto"/>
            </w:tcBorders>
            <w:shd w:val="clear" w:color="000000" w:fill="FFFFFF"/>
            <w:vAlign w:val="center"/>
          </w:tcPr>
          <w:p w14:paraId="454A4EEF" w14:textId="77777777" w:rsidR="0051552C" w:rsidRPr="00494197" w:rsidRDefault="0051552C" w:rsidP="0051552C">
            <w:pPr>
              <w:spacing w:before="0" w:after="0" w:line="240" w:lineRule="auto"/>
              <w:jc w:val="center"/>
              <w:rPr>
                <w:rFonts w:cs="Times New Roman"/>
                <w:color w:val="000000"/>
                <w:sz w:val="20"/>
              </w:rPr>
            </w:pPr>
            <w:r w:rsidRPr="00494197">
              <w:rPr>
                <w:rFonts w:cs="Times New Roman"/>
                <w:color w:val="000000"/>
                <w:sz w:val="20"/>
              </w:rPr>
              <w:t>Incremental costs of displacing FISH</w:t>
            </w:r>
          </w:p>
        </w:tc>
        <w:tc>
          <w:tcPr>
            <w:tcW w:w="2233" w:type="dxa"/>
            <w:tcBorders>
              <w:top w:val="single" w:sz="4" w:space="0" w:color="auto"/>
              <w:left w:val="single" w:sz="4" w:space="0" w:color="auto"/>
              <w:bottom w:val="single" w:sz="4" w:space="0" w:color="auto"/>
            </w:tcBorders>
            <w:shd w:val="clear" w:color="000000" w:fill="FFFFFF"/>
            <w:noWrap/>
          </w:tcPr>
          <w:p w14:paraId="4EC2FFEA" w14:textId="77777777" w:rsidR="0051552C" w:rsidRPr="00494197" w:rsidRDefault="0051552C" w:rsidP="009A66EC">
            <w:pPr>
              <w:pStyle w:val="ListParagraph"/>
              <w:numPr>
                <w:ilvl w:val="0"/>
                <w:numId w:val="97"/>
              </w:numPr>
              <w:spacing w:before="0" w:after="0" w:line="240" w:lineRule="auto"/>
              <w:rPr>
                <w:rFonts w:cs="Times New Roman"/>
                <w:color w:val="000000"/>
                <w:sz w:val="20"/>
              </w:rPr>
            </w:pPr>
            <w:r w:rsidRPr="00494197">
              <w:rPr>
                <w:rFonts w:cs="Times New Roman"/>
                <w:color w:val="000000"/>
                <w:sz w:val="20"/>
              </w:rPr>
              <w:t>MASC</w:t>
            </w:r>
          </w:p>
        </w:tc>
        <w:tc>
          <w:tcPr>
            <w:tcW w:w="2552" w:type="dxa"/>
            <w:tcBorders>
              <w:top w:val="single" w:sz="4" w:space="0" w:color="auto"/>
              <w:left w:val="nil"/>
              <w:bottom w:val="single" w:sz="4" w:space="0" w:color="auto"/>
              <w:right w:val="single" w:sz="4" w:space="0" w:color="auto"/>
            </w:tcBorders>
            <w:shd w:val="clear" w:color="000000" w:fill="FFFFFF"/>
            <w:noWrap/>
          </w:tcPr>
          <w:p w14:paraId="29E08CB9" w14:textId="77777777" w:rsidR="0051552C" w:rsidRPr="00494197" w:rsidRDefault="0051552C" w:rsidP="009A66EC">
            <w:pPr>
              <w:pStyle w:val="ListParagraph"/>
              <w:numPr>
                <w:ilvl w:val="0"/>
                <w:numId w:val="97"/>
              </w:numPr>
              <w:spacing w:before="0" w:after="0" w:line="240" w:lineRule="auto"/>
              <w:rPr>
                <w:rFonts w:cs="Times New Roman"/>
                <w:color w:val="000000"/>
                <w:sz w:val="20"/>
              </w:rPr>
            </w:pPr>
            <w:r w:rsidRPr="00494197">
              <w:rPr>
                <w:rFonts w:cs="Times New Roman"/>
                <w:color w:val="000000"/>
                <w:sz w:val="20"/>
              </w:rPr>
              <w:t>Secretory breast carcinoma</w:t>
            </w:r>
          </w:p>
        </w:tc>
      </w:tr>
      <w:tr w:rsidR="0051552C" w:rsidRPr="00494197" w14:paraId="272E7481" w14:textId="77777777" w:rsidTr="0051552C">
        <w:trPr>
          <w:trHeight w:val="685"/>
          <w:tblHeader/>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3ECE5"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WGS &amp; Confirmatory RNA-based NGS</w:t>
            </w:r>
          </w:p>
        </w:tc>
        <w:tc>
          <w:tcPr>
            <w:tcW w:w="2109" w:type="dxa"/>
            <w:tcBorders>
              <w:top w:val="single" w:sz="4" w:space="0" w:color="auto"/>
              <w:left w:val="nil"/>
              <w:bottom w:val="single" w:sz="4" w:space="0" w:color="auto"/>
              <w:right w:val="single" w:sz="4" w:space="0" w:color="auto"/>
            </w:tcBorders>
            <w:shd w:val="clear" w:color="000000" w:fill="FFFFFF"/>
            <w:vAlign w:val="center"/>
          </w:tcPr>
          <w:p w14:paraId="7AC3D5CB"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Cost of confirmatory RNA-based NGS only.</w:t>
            </w:r>
          </w:p>
        </w:tc>
        <w:tc>
          <w:tcPr>
            <w:tcW w:w="2233" w:type="dxa"/>
            <w:tcBorders>
              <w:top w:val="single" w:sz="4" w:space="0" w:color="auto"/>
              <w:left w:val="single" w:sz="4" w:space="0" w:color="auto"/>
              <w:bottom w:val="single" w:sz="4" w:space="0" w:color="auto"/>
            </w:tcBorders>
            <w:shd w:val="clear" w:color="000000" w:fill="FFFFFF"/>
          </w:tcPr>
          <w:p w14:paraId="45EDCD53" w14:textId="77777777" w:rsidR="0051552C" w:rsidRPr="00494197" w:rsidRDefault="0051552C" w:rsidP="009A66EC">
            <w:pPr>
              <w:pStyle w:val="ListParagraph"/>
              <w:numPr>
                <w:ilvl w:val="0"/>
                <w:numId w:val="96"/>
              </w:numPr>
              <w:spacing w:before="0" w:after="0" w:line="240" w:lineRule="auto"/>
              <w:rPr>
                <w:rFonts w:cs="Times New Roman"/>
                <w:sz w:val="20"/>
              </w:rPr>
            </w:pPr>
            <w:r w:rsidRPr="00494197">
              <w:rPr>
                <w:rFonts w:cs="Times New Roman"/>
                <w:sz w:val="20"/>
              </w:rPr>
              <w:t>Congenital Mesoblastic Nephroma</w:t>
            </w:r>
          </w:p>
          <w:p w14:paraId="4EEAB74D" w14:textId="77777777" w:rsidR="0051552C" w:rsidRPr="00494197" w:rsidRDefault="0051552C" w:rsidP="009A66EC">
            <w:pPr>
              <w:pStyle w:val="ListParagraph"/>
              <w:numPr>
                <w:ilvl w:val="0"/>
                <w:numId w:val="96"/>
              </w:numPr>
              <w:spacing w:before="0" w:after="0" w:line="240" w:lineRule="auto"/>
              <w:rPr>
                <w:rFonts w:cs="Times New Roman"/>
                <w:sz w:val="20"/>
              </w:rPr>
            </w:pPr>
            <w:r w:rsidRPr="00494197">
              <w:rPr>
                <w:rFonts w:cs="Times New Roman"/>
                <w:color w:val="000000"/>
                <w:sz w:val="20"/>
              </w:rPr>
              <w:t>Infantile fibrosarcoma</w:t>
            </w:r>
          </w:p>
        </w:tc>
        <w:tc>
          <w:tcPr>
            <w:tcW w:w="2552" w:type="dxa"/>
            <w:tcBorders>
              <w:top w:val="single" w:sz="4" w:space="0" w:color="auto"/>
              <w:left w:val="nil"/>
              <w:bottom w:val="single" w:sz="4" w:space="0" w:color="auto"/>
              <w:right w:val="single" w:sz="4" w:space="0" w:color="auto"/>
            </w:tcBorders>
            <w:shd w:val="clear" w:color="000000" w:fill="FFFFFF"/>
          </w:tcPr>
          <w:p w14:paraId="1D86F01F" w14:textId="77777777" w:rsidR="0051552C" w:rsidRPr="00494197" w:rsidRDefault="0051552C" w:rsidP="009A66EC">
            <w:pPr>
              <w:pStyle w:val="ListParagraph"/>
              <w:numPr>
                <w:ilvl w:val="0"/>
                <w:numId w:val="96"/>
              </w:numPr>
              <w:spacing w:before="0" w:after="0" w:line="240" w:lineRule="auto"/>
              <w:rPr>
                <w:rFonts w:cs="Times New Roman"/>
                <w:sz w:val="20"/>
              </w:rPr>
            </w:pPr>
            <w:r w:rsidRPr="00494197">
              <w:rPr>
                <w:rFonts w:cs="Times New Roman"/>
                <w:sz w:val="20"/>
              </w:rPr>
              <w:t>Paediatric high grade glioma</w:t>
            </w:r>
          </w:p>
          <w:p w14:paraId="5CB6A55C" w14:textId="77777777" w:rsidR="0051552C" w:rsidRPr="00494197" w:rsidRDefault="0051552C" w:rsidP="009A66EC">
            <w:pPr>
              <w:pStyle w:val="ListParagraph"/>
              <w:numPr>
                <w:ilvl w:val="0"/>
                <w:numId w:val="96"/>
              </w:numPr>
              <w:spacing w:before="0" w:after="0" w:line="240" w:lineRule="auto"/>
              <w:rPr>
                <w:rFonts w:cs="Times New Roman"/>
                <w:sz w:val="20"/>
              </w:rPr>
            </w:pPr>
            <w:r w:rsidRPr="00494197">
              <w:rPr>
                <w:rFonts w:cs="Times New Roman"/>
                <w:sz w:val="20"/>
              </w:rPr>
              <w:t>Paediatric melanoma</w:t>
            </w:r>
          </w:p>
          <w:p w14:paraId="65F29AED" w14:textId="77777777" w:rsidR="0051552C" w:rsidRPr="00494197" w:rsidRDefault="0051552C" w:rsidP="009A66EC">
            <w:pPr>
              <w:pStyle w:val="ListParagraph"/>
              <w:numPr>
                <w:ilvl w:val="0"/>
                <w:numId w:val="96"/>
              </w:numPr>
              <w:spacing w:before="0" w:after="0" w:line="240" w:lineRule="auto"/>
              <w:rPr>
                <w:rFonts w:cs="Times New Roman"/>
                <w:sz w:val="20"/>
              </w:rPr>
            </w:pPr>
            <w:r w:rsidRPr="00494197">
              <w:rPr>
                <w:rFonts w:cs="Times New Roman"/>
                <w:sz w:val="20"/>
              </w:rPr>
              <w:t>Soft tissue sarcoma</w:t>
            </w:r>
          </w:p>
        </w:tc>
      </w:tr>
      <w:tr w:rsidR="0051552C" w:rsidRPr="00494197" w14:paraId="53FA7028" w14:textId="77777777" w:rsidTr="0051552C">
        <w:trPr>
          <w:trHeight w:val="1462"/>
          <w:tblHeader/>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83CC0"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DNA-based NGS &amp; Confirmatory  RNA-based NGS</w:t>
            </w:r>
          </w:p>
        </w:tc>
        <w:tc>
          <w:tcPr>
            <w:tcW w:w="2109" w:type="dxa"/>
            <w:tcBorders>
              <w:top w:val="single" w:sz="4" w:space="0" w:color="auto"/>
              <w:left w:val="nil"/>
              <w:bottom w:val="single" w:sz="4" w:space="0" w:color="auto"/>
              <w:right w:val="single" w:sz="4" w:space="0" w:color="auto"/>
            </w:tcBorders>
            <w:shd w:val="clear" w:color="000000" w:fill="FFFFFF"/>
            <w:vAlign w:val="center"/>
          </w:tcPr>
          <w:p w14:paraId="547F5AF4"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Total cost of DNA-based NGS and  RNA-based NGS</w:t>
            </w:r>
          </w:p>
        </w:tc>
        <w:tc>
          <w:tcPr>
            <w:tcW w:w="2233" w:type="dxa"/>
            <w:tcBorders>
              <w:top w:val="single" w:sz="4" w:space="0" w:color="auto"/>
              <w:left w:val="single" w:sz="4" w:space="0" w:color="auto"/>
              <w:bottom w:val="single" w:sz="4" w:space="0" w:color="auto"/>
            </w:tcBorders>
            <w:shd w:val="clear" w:color="000000" w:fill="FFFFFF"/>
          </w:tcPr>
          <w:p w14:paraId="34D12E3D"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 xml:space="preserve">Appendiceal adenocarcinoma </w:t>
            </w:r>
          </w:p>
          <w:p w14:paraId="57E7ADB4"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Cervical cancer</w:t>
            </w:r>
          </w:p>
          <w:p w14:paraId="6DFFC088"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Cholangiocarcinoma</w:t>
            </w:r>
          </w:p>
          <w:p w14:paraId="078A2210"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Gastrointestinal stromal tumour</w:t>
            </w:r>
          </w:p>
          <w:p w14:paraId="59496EA4"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color w:val="000000"/>
                <w:sz w:val="20"/>
              </w:rPr>
              <w:t>GEJ adenocarcinoma</w:t>
            </w:r>
          </w:p>
          <w:p w14:paraId="71267792"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 xml:space="preserve">HNSCC (NOS) </w:t>
            </w:r>
          </w:p>
          <w:p w14:paraId="6BC60EC0"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High grade glioma</w:t>
            </w:r>
          </w:p>
        </w:tc>
        <w:tc>
          <w:tcPr>
            <w:tcW w:w="2552" w:type="dxa"/>
            <w:tcBorders>
              <w:top w:val="single" w:sz="4" w:space="0" w:color="auto"/>
              <w:left w:val="nil"/>
              <w:bottom w:val="single" w:sz="4" w:space="0" w:color="auto"/>
              <w:right w:val="single" w:sz="4" w:space="0" w:color="auto"/>
            </w:tcBorders>
            <w:shd w:val="clear" w:color="000000" w:fill="FFFFFF"/>
          </w:tcPr>
          <w:p w14:paraId="2830DF8D"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Neuroendocrine tumour</w:t>
            </w:r>
          </w:p>
          <w:p w14:paraId="75FCEB2D"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 xml:space="preserve">Pancreatic adenocarcinoma </w:t>
            </w:r>
          </w:p>
          <w:p w14:paraId="02D71E14"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Prostate cancer (NOS)</w:t>
            </w:r>
          </w:p>
          <w:p w14:paraId="11A99B24"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Renal cell carcinoma</w:t>
            </w:r>
          </w:p>
          <w:p w14:paraId="32B17E8F"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Salivary gland carcinoma</w:t>
            </w:r>
          </w:p>
          <w:p w14:paraId="5E51138E"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Sinonasal adenocarcinoma</w:t>
            </w:r>
          </w:p>
          <w:p w14:paraId="67682618"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Cancer of Unknown Primary</w:t>
            </w:r>
          </w:p>
          <w:p w14:paraId="218A5C0F" w14:textId="77777777" w:rsidR="0051552C" w:rsidRPr="00494197" w:rsidRDefault="0051552C" w:rsidP="009A66EC">
            <w:pPr>
              <w:pStyle w:val="ListParagraph"/>
              <w:numPr>
                <w:ilvl w:val="0"/>
                <w:numId w:val="95"/>
              </w:numPr>
              <w:spacing w:before="0" w:after="0" w:line="240" w:lineRule="auto"/>
              <w:rPr>
                <w:rFonts w:cs="Times New Roman"/>
                <w:sz w:val="20"/>
              </w:rPr>
            </w:pPr>
            <w:r w:rsidRPr="00494197">
              <w:rPr>
                <w:rFonts w:cs="Times New Roman"/>
                <w:sz w:val="20"/>
              </w:rPr>
              <w:t xml:space="preserve">Uterine carcinoma </w:t>
            </w:r>
          </w:p>
        </w:tc>
      </w:tr>
      <w:tr w:rsidR="0051552C" w:rsidRPr="00494197" w14:paraId="76492874" w14:textId="77777777" w:rsidTr="0051552C">
        <w:trPr>
          <w:trHeight w:val="1029"/>
          <w:tblHeader/>
          <w:jc w:val="center"/>
        </w:trPr>
        <w:tc>
          <w:tcPr>
            <w:tcW w:w="2122" w:type="dxa"/>
            <w:tcBorders>
              <w:top w:val="single" w:sz="4" w:space="0" w:color="auto"/>
              <w:left w:val="single" w:sz="4" w:space="0" w:color="auto"/>
              <w:bottom w:val="single" w:sz="4" w:space="0" w:color="auto"/>
              <w:right w:val="single" w:sz="4" w:space="0" w:color="auto"/>
            </w:tcBorders>
            <w:vAlign w:val="center"/>
          </w:tcPr>
          <w:p w14:paraId="49AD9E06"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DNA-based NGS &amp; Confirmatory  RNA-based NGS</w:t>
            </w:r>
          </w:p>
        </w:tc>
        <w:tc>
          <w:tcPr>
            <w:tcW w:w="2109" w:type="dxa"/>
            <w:tcBorders>
              <w:top w:val="single" w:sz="4" w:space="0" w:color="auto"/>
              <w:left w:val="nil"/>
              <w:bottom w:val="single" w:sz="4" w:space="0" w:color="auto"/>
              <w:right w:val="single" w:sz="4" w:space="0" w:color="auto"/>
            </w:tcBorders>
            <w:shd w:val="clear" w:color="000000" w:fill="FFFFFF"/>
            <w:vAlign w:val="center"/>
          </w:tcPr>
          <w:p w14:paraId="249430CF" w14:textId="77777777" w:rsidR="0051552C" w:rsidRPr="00494197" w:rsidRDefault="0051552C" w:rsidP="0051552C">
            <w:pPr>
              <w:spacing w:before="0" w:after="0" w:line="240" w:lineRule="auto"/>
              <w:jc w:val="center"/>
              <w:rPr>
                <w:rFonts w:cs="Times New Roman"/>
                <w:sz w:val="20"/>
              </w:rPr>
            </w:pPr>
            <w:r w:rsidRPr="00494197">
              <w:rPr>
                <w:rFonts w:cs="Times New Roman"/>
                <w:sz w:val="20"/>
              </w:rPr>
              <w:t>Cost of confirmatory RNA-based NGS only</w:t>
            </w:r>
          </w:p>
        </w:tc>
        <w:tc>
          <w:tcPr>
            <w:tcW w:w="2233" w:type="dxa"/>
            <w:tcBorders>
              <w:top w:val="single" w:sz="4" w:space="0" w:color="auto"/>
              <w:left w:val="single" w:sz="4" w:space="0" w:color="auto"/>
              <w:bottom w:val="single" w:sz="4" w:space="0" w:color="auto"/>
            </w:tcBorders>
            <w:shd w:val="clear" w:color="000000" w:fill="FFFFFF"/>
          </w:tcPr>
          <w:p w14:paraId="64214CDD"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Breast cancer (NOS)</w:t>
            </w:r>
          </w:p>
          <w:p w14:paraId="6C8EA80D"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Colorectal adenocarcinoma</w:t>
            </w:r>
          </w:p>
          <w:p w14:paraId="37D1FEE6"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Melanoma (NOS)</w:t>
            </w:r>
          </w:p>
          <w:p w14:paraId="0E2C80EB" w14:textId="77777777" w:rsidR="0051552C" w:rsidRPr="00494197" w:rsidRDefault="0051552C" w:rsidP="009A66EC">
            <w:pPr>
              <w:pStyle w:val="ListParagraph"/>
              <w:numPr>
                <w:ilvl w:val="0"/>
                <w:numId w:val="94"/>
              </w:numPr>
              <w:spacing w:before="0" w:after="0" w:line="240" w:lineRule="auto"/>
              <w:rPr>
                <w:rFonts w:cs="Times New Roman"/>
                <w:sz w:val="20"/>
              </w:rPr>
            </w:pPr>
            <w:r w:rsidRPr="00494197">
              <w:rPr>
                <w:rFonts w:cs="Times New Roman"/>
                <w:sz w:val="20"/>
              </w:rPr>
              <w:t>NSCLC</w:t>
            </w:r>
          </w:p>
        </w:tc>
        <w:tc>
          <w:tcPr>
            <w:tcW w:w="2552" w:type="dxa"/>
            <w:tcBorders>
              <w:top w:val="single" w:sz="4" w:space="0" w:color="auto"/>
              <w:left w:val="nil"/>
              <w:bottom w:val="single" w:sz="4" w:space="0" w:color="auto"/>
              <w:right w:val="single" w:sz="4" w:space="0" w:color="auto"/>
            </w:tcBorders>
            <w:shd w:val="clear" w:color="000000" w:fill="FFFFFF"/>
            <w:noWrap/>
          </w:tcPr>
          <w:p w14:paraId="5C5A7629" w14:textId="77777777" w:rsidR="0051552C" w:rsidRPr="00494197" w:rsidRDefault="0051552C" w:rsidP="009A66EC">
            <w:pPr>
              <w:pStyle w:val="ListParagraph"/>
              <w:keepNext/>
              <w:numPr>
                <w:ilvl w:val="0"/>
                <w:numId w:val="95"/>
              </w:numPr>
              <w:spacing w:before="0" w:after="0" w:line="240" w:lineRule="auto"/>
              <w:rPr>
                <w:rFonts w:cs="Times New Roman"/>
                <w:color w:val="000000"/>
                <w:sz w:val="20"/>
              </w:rPr>
            </w:pPr>
            <w:r w:rsidRPr="00494197">
              <w:rPr>
                <w:rFonts w:cs="Times New Roman"/>
                <w:sz w:val="20"/>
              </w:rPr>
              <w:t xml:space="preserve">Ovarian cancer (NOS) </w:t>
            </w:r>
          </w:p>
          <w:p w14:paraId="1573E4FB" w14:textId="77777777" w:rsidR="0051552C" w:rsidRPr="00494197" w:rsidRDefault="0051552C" w:rsidP="009A66EC">
            <w:pPr>
              <w:pStyle w:val="ListParagraph"/>
              <w:keepNext/>
              <w:numPr>
                <w:ilvl w:val="0"/>
                <w:numId w:val="95"/>
              </w:numPr>
              <w:spacing w:before="0" w:after="0" w:line="240" w:lineRule="auto"/>
              <w:rPr>
                <w:rFonts w:cs="Times New Roman"/>
                <w:color w:val="000000"/>
                <w:sz w:val="20"/>
              </w:rPr>
            </w:pPr>
            <w:r w:rsidRPr="00494197">
              <w:rPr>
                <w:rFonts w:cs="Times New Roman"/>
                <w:sz w:val="20"/>
              </w:rPr>
              <w:t>Papillary thyroid tumour</w:t>
            </w:r>
          </w:p>
          <w:p w14:paraId="1A241BBF" w14:textId="77777777" w:rsidR="0051552C" w:rsidRPr="00494197" w:rsidRDefault="0051552C" w:rsidP="009A66EC">
            <w:pPr>
              <w:pStyle w:val="ListParagraph"/>
              <w:keepNext/>
              <w:numPr>
                <w:ilvl w:val="0"/>
                <w:numId w:val="95"/>
              </w:numPr>
              <w:spacing w:before="0" w:after="0" w:line="240" w:lineRule="auto"/>
              <w:rPr>
                <w:rFonts w:cs="Times New Roman"/>
                <w:color w:val="000000"/>
                <w:sz w:val="20"/>
              </w:rPr>
            </w:pPr>
            <w:r w:rsidRPr="00494197">
              <w:rPr>
                <w:rFonts w:cs="Times New Roman"/>
                <w:sz w:val="20"/>
              </w:rPr>
              <w:t>Thyroid tumour (NOS)</w:t>
            </w:r>
          </w:p>
        </w:tc>
      </w:tr>
    </w:tbl>
    <w:p w14:paraId="4D379FF8" w14:textId="3D910597" w:rsidR="0051552C" w:rsidRDefault="0051552C" w:rsidP="00E64596"/>
    <w:p w14:paraId="7F905176" w14:textId="6C435375" w:rsidR="00E64596" w:rsidRDefault="00E64596">
      <w:r>
        <w:br w:type="page"/>
      </w:r>
    </w:p>
    <w:p w14:paraId="2B3AC921" w14:textId="298AE81C" w:rsidR="009F3A8E" w:rsidRPr="00AD2C66" w:rsidRDefault="006145AF" w:rsidP="001B6272">
      <w:pPr>
        <w:pStyle w:val="NonnumberedH2"/>
        <w:rPr>
          <w:rFonts w:eastAsia="DengXian Light" w:cs="Times New Roman"/>
        </w:rPr>
      </w:pPr>
      <w:bookmarkStart w:id="436" w:name="_Toc33776264"/>
      <w:r>
        <w:rPr>
          <w:rFonts w:eastAsia="DengXian Light" w:cs="Times New Roman"/>
        </w:rPr>
        <w:t>Appendix 1</w:t>
      </w:r>
      <w:r w:rsidR="004C66DF">
        <w:rPr>
          <w:rFonts w:eastAsia="DengXian Light" w:cs="Times New Roman"/>
        </w:rPr>
        <w:t xml:space="preserve">3 </w:t>
      </w:r>
      <w:r>
        <w:rPr>
          <w:rFonts w:eastAsia="DengXian Light" w:cs="Times New Roman"/>
        </w:rPr>
        <w:t xml:space="preserve">: </w:t>
      </w:r>
      <w:r w:rsidR="009F3A8E" w:rsidRPr="00AD2C66">
        <w:t>Case Study: Economic model</w:t>
      </w:r>
      <w:bookmarkEnd w:id="436"/>
    </w:p>
    <w:p w14:paraId="6ADA2ADE" w14:textId="77777777" w:rsidR="000E405B" w:rsidRDefault="000E405B" w:rsidP="000E405B">
      <w:pPr>
        <w:rPr>
          <w:b/>
        </w:rPr>
      </w:pPr>
    </w:p>
    <w:p w14:paraId="4D44443F" w14:textId="7728949C" w:rsidR="009F3A8E" w:rsidRPr="000E405B" w:rsidRDefault="009F3A8E" w:rsidP="000E405B">
      <w:pPr>
        <w:rPr>
          <w:b/>
          <w:bCs/>
          <w:i/>
          <w:iCs/>
        </w:rPr>
      </w:pPr>
      <w:r w:rsidRPr="000E405B">
        <w:rPr>
          <w:b/>
          <w:bCs/>
          <w:i/>
          <w:iCs/>
        </w:rPr>
        <w:t xml:space="preserve">Survival </w:t>
      </w:r>
    </w:p>
    <w:p w14:paraId="4EFB04B8" w14:textId="1297FB77" w:rsidR="009F3A8E" w:rsidRDefault="009F3A8E" w:rsidP="009F3A8E">
      <w:r w:rsidRPr="00ED1079">
        <w:t xml:space="preserve">The distribution of patients in each health state is determined by using </w:t>
      </w:r>
      <w:r>
        <w:t>observed</w:t>
      </w:r>
      <w:r w:rsidRPr="00ED1079">
        <w:t xml:space="preserve"> </w:t>
      </w:r>
      <w:r>
        <w:t>PFS</w:t>
      </w:r>
      <w:r w:rsidRPr="00ED1079">
        <w:t xml:space="preserve"> and </w:t>
      </w:r>
      <w:r>
        <w:t>OS</w:t>
      </w:r>
      <w:r w:rsidRPr="00ED1079">
        <w:t>.</w:t>
      </w:r>
      <w:r>
        <w:t xml:space="preserve"> Traditionally, observed time-to-event data for PFS and OS is utilised for both treatment arms and depending on the maturity of the data, direct extrapolation required. However, time</w:t>
      </w:r>
      <w:r w:rsidR="00D03CCE">
        <w:t>-</w:t>
      </w:r>
      <w:r>
        <w:t>to</w:t>
      </w:r>
      <w:r w:rsidR="00D03CCE">
        <w:t>-</w:t>
      </w:r>
      <w:r>
        <w:t xml:space="preserve">event data for PFS and OS were not available in the literature for either of the approved Trk-inhibitors: larotrectinib and entrectinib. </w:t>
      </w:r>
    </w:p>
    <w:p w14:paraId="0EF0ECE6" w14:textId="77F8F8D5" w:rsidR="009F3A8E" w:rsidRPr="008726C7" w:rsidRDefault="009F3A8E" w:rsidP="009F3A8E">
      <w:r w:rsidRPr="008726C7">
        <w:t xml:space="preserve">The literature did report median PFS and OS for both larotrectinib and entrectinib, however there were significant differences between the median survival estimates of the two. Median PFS and OS were </w:t>
      </w:r>
      <w:r w:rsidRPr="008726C7">
        <w:rPr>
          <w:shd w:val="clear" w:color="auto" w:fill="FFFFFF"/>
        </w:rPr>
        <w:t xml:space="preserve">28.3 months and 44.4 months for patients in the larotrectinib study, and </w:t>
      </w:r>
      <w:r w:rsidRPr="008726C7">
        <w:t xml:space="preserve">11.2 months and 20.9 months </w:t>
      </w:r>
      <w:r w:rsidRPr="008726C7">
        <w:rPr>
          <w:shd w:val="clear" w:color="auto" w:fill="FFFFFF"/>
        </w:rPr>
        <w:t>for patients in the entrectinib study.</w:t>
      </w:r>
      <w:r w:rsidR="00F10E43">
        <w:rPr>
          <w:shd w:val="clear" w:color="auto" w:fill="FFFFFF"/>
        </w:rPr>
        <w:t xml:space="preserve"> </w:t>
      </w:r>
      <w:r w:rsidR="006B1C6D">
        <w:rPr>
          <w:shd w:val="clear" w:color="auto" w:fill="FFFFFF"/>
        </w:rPr>
        <w:fldChar w:fldCharType="begin">
          <w:fldData xml:space="preserve">PEVuZE5vdGU+PENpdGU+PEF1dGhvcj5EZW1ldHJpPC9BdXRob3I+PFllYXI+MjAxODwvWWVhcj48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</w:fldData>
        </w:fldChar>
      </w:r>
      <w:r w:rsidR="00500BB3">
        <w:rPr>
          <w:shd w:val="clear" w:color="auto" w:fill="FFFFFF"/>
        </w:rPr>
        <w:instrText xml:space="preserve"> ADDIN EN.CITE </w:instrText>
      </w:r>
      <w:r w:rsidR="00500BB3">
        <w:rPr>
          <w:shd w:val="clear" w:color="auto" w:fill="FFFFFF"/>
        </w:rPr>
        <w:fldChar w:fldCharType="begin">
          <w:fldData xml:space="preserve">PEVuZE5vdGU+PENpdGU+PEF1dGhvcj5EZW1ldHJpPC9BdXRob3I+PFllYXI+MjAxODwvWWVhcj48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</w:fldData>
        </w:fldChar>
      </w:r>
      <w:r w:rsidR="00500BB3">
        <w:rPr>
          <w:shd w:val="clear" w:color="auto" w:fill="FFFFFF"/>
        </w:rPr>
        <w:instrText xml:space="preserve"> ADDIN EN.CITE.DATA </w:instrText>
      </w:r>
      <w:r w:rsidR="00500BB3">
        <w:rPr>
          <w:shd w:val="clear" w:color="auto" w:fill="FFFFFF"/>
        </w:rPr>
      </w:r>
      <w:r w:rsidR="00500BB3">
        <w:rPr>
          <w:shd w:val="clear" w:color="auto" w:fill="FFFFFF"/>
        </w:rPr>
        <w:fldChar w:fldCharType="end"/>
      </w:r>
      <w:r w:rsidR="006B1C6D">
        <w:rPr>
          <w:shd w:val="clear" w:color="auto" w:fill="FFFFFF"/>
        </w:rPr>
      </w:r>
      <w:r w:rsidR="006B1C6D">
        <w:rPr>
          <w:shd w:val="clear" w:color="auto" w:fill="FFFFFF"/>
        </w:rPr>
        <w:fldChar w:fldCharType="separate"/>
      </w:r>
      <w:r w:rsidR="00055E4F" w:rsidRPr="00055E4F">
        <w:rPr>
          <w:noProof/>
          <w:shd w:val="clear" w:color="auto" w:fill="FFFFFF"/>
          <w:vertAlign w:val="superscript"/>
        </w:rPr>
        <w:t>266, 267</w:t>
      </w:r>
      <w:r w:rsidR="006B1C6D">
        <w:rPr>
          <w:shd w:val="clear" w:color="auto" w:fill="FFFFFF"/>
        </w:rPr>
        <w:fldChar w:fldCharType="end"/>
      </w:r>
      <w:r w:rsidR="00AD2C66">
        <w:rPr>
          <w:shd w:val="clear" w:color="auto" w:fill="FFFFFF"/>
        </w:rPr>
        <w:t xml:space="preserve"> </w:t>
      </w:r>
      <w:r w:rsidRPr="008726C7">
        <w:t xml:space="preserve">Furthermore, the reported OS and PFS were deemed highly uncertainty due to the significant data immaturity and </w:t>
      </w:r>
      <w:r>
        <w:t>uncertainty</w:t>
      </w:r>
      <w:r w:rsidRPr="008726C7">
        <w:t xml:space="preserve"> about the extent to which OS is driven by the efficacy of subsequent therapies. </w:t>
      </w:r>
    </w:p>
    <w:p w14:paraId="4BBCF62A" w14:textId="1C083CBA" w:rsidR="009F3A8E" w:rsidRDefault="009F3A8E" w:rsidP="009F3A8E">
      <w:r w:rsidRPr="008726C7">
        <w:t>Due to these uncertainties, hypothetical estimates</w:t>
      </w:r>
      <w:r>
        <w:t xml:space="preserve"> of PFS and OS</w:t>
      </w:r>
      <w:r w:rsidRPr="008726C7">
        <w:t xml:space="preserve"> were used</w:t>
      </w:r>
      <w:r>
        <w:t xml:space="preserve"> in the economic model and can be </w:t>
      </w:r>
      <w:r w:rsidRPr="00316D12">
        <w:t xml:space="preserve">seen in </w:t>
      </w:r>
      <w:r w:rsidRPr="00281C41">
        <w:fldChar w:fldCharType="begin"/>
      </w:r>
      <w:r w:rsidRPr="00316D12">
        <w:instrText xml:space="preserve"> REF _Ref26173572 \h </w:instrText>
      </w:r>
      <w:r w:rsidRPr="00281C41">
        <w:instrText xml:space="preserve"> \* MERGEFORMAT </w:instrText>
      </w:r>
      <w:r w:rsidRPr="00281C41">
        <w:fldChar w:fldCharType="separate"/>
      </w:r>
      <w:r w:rsidR="00C663A2" w:rsidRPr="00C663A2">
        <w:rPr>
          <w:sz w:val="20"/>
        </w:rPr>
        <w:t xml:space="preserve">Table </w:t>
      </w:r>
      <w:r w:rsidR="00C663A2" w:rsidRPr="00C663A2">
        <w:rPr>
          <w:noProof/>
          <w:sz w:val="20"/>
        </w:rPr>
        <w:t>43</w:t>
      </w:r>
      <w:r w:rsidRPr="00281C41">
        <w:fldChar w:fldCharType="end"/>
      </w:r>
      <w:r w:rsidRPr="00316D12">
        <w:t>. Standard</w:t>
      </w:r>
      <w:r>
        <w:t xml:space="preserve"> errors were assumed to be 10% of the mean. </w:t>
      </w:r>
    </w:p>
    <w:p w14:paraId="2B3C9575" w14:textId="5792F945" w:rsidR="009F3A8E" w:rsidRPr="00281C41" w:rsidRDefault="009F3A8E" w:rsidP="009F3A8E">
      <w:pPr>
        <w:pStyle w:val="Caption"/>
      </w:pPr>
      <w:bookmarkStart w:id="437" w:name="_Ref26173572"/>
      <w:bookmarkStart w:id="438" w:name="_Toc34033557"/>
      <w:r w:rsidRPr="00281C41">
        <w:t xml:space="preserve">Table </w:t>
      </w:r>
      <w:r w:rsidR="00C974E5">
        <w:fldChar w:fldCharType="begin"/>
      </w:r>
      <w:r w:rsidR="00C974E5">
        <w:instrText xml:space="preserve"> SEQ Table \* ARABIC</w:instrText>
      </w:r>
      <w:r w:rsidR="00C974E5">
        <w:instrText xml:space="preserve"> </w:instrText>
      </w:r>
      <w:r w:rsidR="00C974E5">
        <w:fldChar w:fldCharType="separate"/>
      </w:r>
      <w:r w:rsidR="00C663A2">
        <w:rPr>
          <w:noProof/>
        </w:rPr>
        <w:t>43</w:t>
      </w:r>
      <w:r w:rsidR="00C974E5">
        <w:rPr>
          <w:noProof/>
        </w:rPr>
        <w:fldChar w:fldCharType="end"/>
      </w:r>
      <w:bookmarkEnd w:id="437"/>
      <w:r w:rsidR="00A675ED">
        <w:rPr>
          <w:noProof/>
        </w:rPr>
        <w:t>:</w:t>
      </w:r>
      <w:r w:rsidRPr="00281C41">
        <w:t xml:space="preserve"> Survival Estimates</w:t>
      </w:r>
      <w:bookmarkEnd w:id="438"/>
    </w:p>
    <w:tbl>
      <w:tblPr>
        <w:tblStyle w:val="TableGrid"/>
        <w:tblW w:w="0" w:type="auto"/>
        <w:tblLook w:val="04A0" w:firstRow="1" w:lastRow="0" w:firstColumn="1" w:lastColumn="0" w:noHBand="0" w:noVBand="1"/>
      </w:tblPr>
      <w:tblGrid>
        <w:gridCol w:w="3005"/>
        <w:gridCol w:w="3005"/>
        <w:gridCol w:w="3006"/>
      </w:tblGrid>
      <w:tr w:rsidR="009F3A8E" w:rsidRPr="003A0C8A" w14:paraId="65088283" w14:textId="77777777" w:rsidTr="00DC0835">
        <w:trPr>
          <w:trHeight w:val="567"/>
        </w:trPr>
        <w:tc>
          <w:tcPr>
            <w:tcW w:w="3005" w:type="dxa"/>
            <w:vAlign w:val="center"/>
          </w:tcPr>
          <w:p w14:paraId="4E3E6812" w14:textId="77777777" w:rsidR="009F3A8E" w:rsidRPr="00EE170F" w:rsidRDefault="009F3A8E" w:rsidP="00DC0835"/>
        </w:tc>
        <w:tc>
          <w:tcPr>
            <w:tcW w:w="3005" w:type="dxa"/>
            <w:vAlign w:val="center"/>
          </w:tcPr>
          <w:p w14:paraId="4B2B47B7" w14:textId="77777777" w:rsidR="009F3A8E" w:rsidRPr="00EE170F" w:rsidRDefault="009F3A8E" w:rsidP="00DC0835">
            <w:r w:rsidRPr="00556DC5">
              <w:rPr>
                <w:b/>
              </w:rPr>
              <w:t>Median PFS (months) [95% Confidence Interval]</w:t>
            </w:r>
          </w:p>
        </w:tc>
        <w:tc>
          <w:tcPr>
            <w:tcW w:w="3006" w:type="dxa"/>
            <w:vAlign w:val="center"/>
          </w:tcPr>
          <w:p w14:paraId="566B14C4" w14:textId="77777777" w:rsidR="009F3A8E" w:rsidRPr="00EE170F" w:rsidRDefault="009F3A8E" w:rsidP="00DC0835">
            <w:r w:rsidRPr="00556DC5">
              <w:rPr>
                <w:b/>
              </w:rPr>
              <w:t>Median OS (months) [95% Confidence Interval]</w:t>
            </w:r>
          </w:p>
        </w:tc>
      </w:tr>
      <w:tr w:rsidR="009F3A8E" w:rsidRPr="003A0C8A" w14:paraId="194F3B9E" w14:textId="77777777" w:rsidTr="00DC0835">
        <w:trPr>
          <w:trHeight w:val="567"/>
        </w:trPr>
        <w:tc>
          <w:tcPr>
            <w:tcW w:w="3005" w:type="dxa"/>
            <w:vAlign w:val="center"/>
          </w:tcPr>
          <w:p w14:paraId="1283B73B" w14:textId="77777777" w:rsidR="009F3A8E" w:rsidRPr="00EE170F" w:rsidRDefault="009F3A8E" w:rsidP="00DC0835">
            <w:r w:rsidRPr="00556DC5">
              <w:t>Responders</w:t>
            </w:r>
          </w:p>
        </w:tc>
        <w:tc>
          <w:tcPr>
            <w:tcW w:w="3005" w:type="dxa"/>
            <w:vAlign w:val="center"/>
          </w:tcPr>
          <w:p w14:paraId="62190B87" w14:textId="77777777" w:rsidR="009F3A8E" w:rsidRPr="00EE170F" w:rsidRDefault="009F3A8E" w:rsidP="00DC0835">
            <w:r w:rsidRPr="00556DC5">
              <w:t>24 [21.6;26.4]</w:t>
            </w:r>
          </w:p>
        </w:tc>
        <w:tc>
          <w:tcPr>
            <w:tcW w:w="3006" w:type="dxa"/>
            <w:vAlign w:val="center"/>
          </w:tcPr>
          <w:p w14:paraId="75DC239D" w14:textId="77777777" w:rsidR="009F3A8E" w:rsidRPr="00EE170F" w:rsidRDefault="009F3A8E" w:rsidP="00DC0835">
            <w:r w:rsidRPr="00556DC5">
              <w:t>36 [32.4;39.6]</w:t>
            </w:r>
          </w:p>
        </w:tc>
      </w:tr>
      <w:tr w:rsidR="009F3A8E" w:rsidRPr="003A0C8A" w14:paraId="62333795" w14:textId="77777777" w:rsidTr="00DC0835">
        <w:trPr>
          <w:trHeight w:val="567"/>
        </w:trPr>
        <w:tc>
          <w:tcPr>
            <w:tcW w:w="3005" w:type="dxa"/>
            <w:vAlign w:val="center"/>
          </w:tcPr>
          <w:p w14:paraId="0FAEE05D" w14:textId="77777777" w:rsidR="009F3A8E" w:rsidRPr="00EE170F" w:rsidRDefault="009F3A8E" w:rsidP="00DC0835">
            <w:r w:rsidRPr="00556DC5">
              <w:t>Non Responders</w:t>
            </w:r>
          </w:p>
        </w:tc>
        <w:tc>
          <w:tcPr>
            <w:tcW w:w="3005" w:type="dxa"/>
            <w:vAlign w:val="center"/>
          </w:tcPr>
          <w:p w14:paraId="42E1F998" w14:textId="77777777" w:rsidR="009F3A8E" w:rsidRPr="00EE170F" w:rsidRDefault="009F3A8E" w:rsidP="00DC0835">
            <w:r w:rsidRPr="00556DC5">
              <w:t>6 [5.4;6.6]</w:t>
            </w:r>
          </w:p>
        </w:tc>
        <w:tc>
          <w:tcPr>
            <w:tcW w:w="3006" w:type="dxa"/>
            <w:vAlign w:val="center"/>
          </w:tcPr>
          <w:p w14:paraId="723123B1" w14:textId="77777777" w:rsidR="009F3A8E" w:rsidRPr="00EE170F" w:rsidRDefault="009F3A8E" w:rsidP="00DC0835">
            <w:r w:rsidRPr="00556DC5">
              <w:t>12 [10.8;13.2]</w:t>
            </w:r>
          </w:p>
        </w:tc>
      </w:tr>
    </w:tbl>
    <w:p w14:paraId="61E839C0" w14:textId="77777777" w:rsidR="009F3A8E" w:rsidRDefault="009F3A8E" w:rsidP="009F3A8E"/>
    <w:p w14:paraId="24FC66CC" w14:textId="77777777" w:rsidR="009F3A8E" w:rsidRPr="004D1338" w:rsidRDefault="009F3A8E" w:rsidP="009F3A8E">
      <w:pPr>
        <w:rPr>
          <w:i/>
        </w:rPr>
      </w:pPr>
      <w:r w:rsidRPr="00EE170F">
        <w:t xml:space="preserve">It is assumed the survival function of responders and non-responders follows an exponential distribution. </w:t>
      </w:r>
      <w:r w:rsidRPr="006804BF">
        <w:t xml:space="preserve">Exponential parametric survival curves were </w:t>
      </w:r>
      <w:r>
        <w:t xml:space="preserve">therefore generated based on </w:t>
      </w:r>
      <w:r w:rsidRPr="006804BF">
        <w:t>median OS</w:t>
      </w:r>
      <w:r>
        <w:t xml:space="preserve"> and PFS</w:t>
      </w:r>
      <w:r w:rsidRPr="006804BF">
        <w:t xml:space="preserve"> </w:t>
      </w:r>
      <w:r>
        <w:t xml:space="preserve">values. </w:t>
      </w:r>
    </w:p>
    <w:p w14:paraId="0200771B" w14:textId="3B333F6B" w:rsidR="009F3A8E" w:rsidRDefault="009F3A8E" w:rsidP="009F3A8E">
      <w:r w:rsidRPr="00556DC5">
        <w:t>The resulting</w:t>
      </w:r>
      <w:r>
        <w:t xml:space="preserve"> OS and PFS</w:t>
      </w:r>
      <w:r w:rsidRPr="00556DC5">
        <w:t xml:space="preserve"> survival curves for</w:t>
      </w:r>
      <w:r>
        <w:t xml:space="preserve"> </w:t>
      </w:r>
      <w:r w:rsidRPr="00556DC5">
        <w:t xml:space="preserve">responders and non-responders can be seen in </w:t>
      </w:r>
      <w:r w:rsidRPr="00556DC5">
        <w:fldChar w:fldCharType="begin"/>
      </w:r>
      <w:r w:rsidRPr="00556DC5">
        <w:instrText xml:space="preserve"> REF _Ref24109110 \h  \* MERGEFORMAT </w:instrText>
      </w:r>
      <w:r w:rsidRPr="00556DC5">
        <w:fldChar w:fldCharType="separate"/>
      </w:r>
      <w:r w:rsidR="00C663A2" w:rsidRPr="00C663A2">
        <w:t xml:space="preserve">Figure </w:t>
      </w:r>
      <w:r w:rsidR="00C663A2" w:rsidRPr="00C663A2">
        <w:rPr>
          <w:noProof/>
        </w:rPr>
        <w:t>16</w:t>
      </w:r>
      <w:r w:rsidRPr="00556DC5">
        <w:fldChar w:fldCharType="end"/>
      </w:r>
      <w:r>
        <w:t xml:space="preserve">. </w:t>
      </w:r>
    </w:p>
    <w:p w14:paraId="27C60F91" w14:textId="440A1F37" w:rsidR="00E64596" w:rsidRPr="00F029AF" w:rsidRDefault="00E64596" w:rsidP="00E64596">
      <w:pPr>
        <w:pStyle w:val="Caption"/>
        <w:jc w:val="both"/>
        <w:rPr>
          <w:rFonts w:cs="Times New Roman"/>
          <w:b w:val="0"/>
          <w:i/>
          <w:sz w:val="28"/>
          <w:szCs w:val="24"/>
        </w:rPr>
      </w:pPr>
      <w:bookmarkStart w:id="439" w:name="_Ref24109110"/>
      <w:bookmarkStart w:id="440" w:name="_Toc34033576"/>
      <w:r w:rsidRPr="00F029AF">
        <w:rPr>
          <w:rFonts w:cs="Times New Roman"/>
        </w:rPr>
        <w:t xml:space="preserve">Figure </w:t>
      </w:r>
      <w:r>
        <w:rPr>
          <w:rFonts w:cs="Times New Roman"/>
          <w:b w:val="0"/>
          <w:i/>
        </w:rPr>
        <w:fldChar w:fldCharType="begin"/>
      </w:r>
      <w:r>
        <w:rPr>
          <w:rFonts w:cs="Times New Roman"/>
        </w:rPr>
        <w:instrText xml:space="preserve"> SEQ Figure \* ARABIC </w:instrText>
      </w:r>
      <w:r>
        <w:rPr>
          <w:rFonts w:cs="Times New Roman"/>
          <w:b w:val="0"/>
          <w:i/>
        </w:rPr>
        <w:fldChar w:fldCharType="separate"/>
      </w:r>
      <w:r w:rsidR="00C663A2">
        <w:rPr>
          <w:rFonts w:cs="Times New Roman"/>
          <w:noProof/>
        </w:rPr>
        <w:t>16</w:t>
      </w:r>
      <w:r>
        <w:rPr>
          <w:rFonts w:cs="Times New Roman"/>
          <w:b w:val="0"/>
          <w:i/>
        </w:rPr>
        <w:fldChar w:fldCharType="end"/>
      </w:r>
      <w:bookmarkEnd w:id="439"/>
      <w:r w:rsidR="00A675ED">
        <w:rPr>
          <w:rFonts w:cs="Times New Roman"/>
          <w:b w:val="0"/>
        </w:rPr>
        <w:t>:</w:t>
      </w:r>
      <w:r w:rsidRPr="00F029AF">
        <w:rPr>
          <w:rFonts w:cs="Times New Roman"/>
        </w:rPr>
        <w:t xml:space="preserve"> Plots showing the </w:t>
      </w:r>
      <w:r>
        <w:rPr>
          <w:rFonts w:cs="Times New Roman"/>
        </w:rPr>
        <w:t xml:space="preserve">stylised </w:t>
      </w:r>
      <w:r w:rsidRPr="00F029AF">
        <w:rPr>
          <w:rFonts w:cs="Times New Roman"/>
        </w:rPr>
        <w:t>progression free survival</w:t>
      </w:r>
      <w:r>
        <w:rPr>
          <w:rFonts w:cs="Times New Roman"/>
        </w:rPr>
        <w:t xml:space="preserve"> (a)</w:t>
      </w:r>
      <w:r w:rsidRPr="00F029AF">
        <w:rPr>
          <w:rFonts w:cs="Times New Roman"/>
        </w:rPr>
        <w:t xml:space="preserve"> and the overall survival</w:t>
      </w:r>
      <w:r>
        <w:rPr>
          <w:rFonts w:cs="Times New Roman"/>
        </w:rPr>
        <w:t xml:space="preserve"> (b) curves</w:t>
      </w:r>
      <w:r w:rsidRPr="00F029AF">
        <w:rPr>
          <w:rFonts w:cs="Times New Roman"/>
        </w:rPr>
        <w:t xml:space="preserve"> for responders and non</w:t>
      </w:r>
      <w:r>
        <w:rPr>
          <w:rFonts w:cs="Times New Roman"/>
        </w:rPr>
        <w:t>-responders</w:t>
      </w:r>
      <w:bookmarkEnd w:id="440"/>
      <w:r w:rsidRPr="00F029AF">
        <w:rPr>
          <w:rFonts w:cs="Times New Roman"/>
        </w:rPr>
        <w:t xml:space="preserve"> </w:t>
      </w:r>
    </w:p>
    <w:p w14:paraId="5CADA66A" w14:textId="6D5AD34B" w:rsidR="009F3A8E" w:rsidRDefault="009F3A8E" w:rsidP="00E64596">
      <w:pPr>
        <w:keepNext/>
      </w:pPr>
      <w:r>
        <w:t>(a)</w:t>
      </w:r>
      <w:r>
        <w:rPr>
          <w:noProof/>
          <w:lang w:eastAsia="en-GB"/>
        </w:rPr>
        <w:drawing>
          <wp:inline distT="0" distB="0" distL="0" distR="0" wp14:anchorId="536DF851" wp14:editId="3CDC1E42">
            <wp:extent cx="5731510" cy="3245485"/>
            <wp:effectExtent l="0" t="0" r="2540" b="120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t xml:space="preserve"> </w:t>
      </w:r>
    </w:p>
    <w:p w14:paraId="4F450207" w14:textId="05653235" w:rsidR="009F3A8E" w:rsidRDefault="009F3A8E" w:rsidP="000E405B">
      <w:pPr>
        <w:keepNext/>
      </w:pPr>
      <w:r>
        <w:t>(b)</w:t>
      </w:r>
      <w:r>
        <w:rPr>
          <w:noProof/>
          <w:lang w:eastAsia="en-GB"/>
        </w:rPr>
        <w:drawing>
          <wp:inline distT="0" distB="0" distL="0" distR="0" wp14:anchorId="638193DB" wp14:editId="7D121624">
            <wp:extent cx="5731510" cy="3245485"/>
            <wp:effectExtent l="0" t="0" r="2540"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t xml:space="preserve"> </w:t>
      </w:r>
    </w:p>
    <w:p w14:paraId="1643CEE2" w14:textId="6DBBFDA8" w:rsidR="000E405B" w:rsidRDefault="000E405B" w:rsidP="000E405B">
      <w:pPr>
        <w:keepNext/>
      </w:pPr>
    </w:p>
    <w:p w14:paraId="5FFF011A" w14:textId="77777777" w:rsidR="000E405B" w:rsidRDefault="000E405B" w:rsidP="000E405B">
      <w:pPr>
        <w:keepNext/>
      </w:pPr>
    </w:p>
    <w:p w14:paraId="2B1A569D" w14:textId="3EE56F08" w:rsidR="009F3A8E" w:rsidRPr="000E405B" w:rsidRDefault="00AD2C66" w:rsidP="000E405B">
      <w:pPr>
        <w:rPr>
          <w:b/>
          <w:bCs/>
        </w:rPr>
      </w:pPr>
      <w:bookmarkStart w:id="441" w:name="_Toc33198812"/>
      <w:bookmarkStart w:id="442" w:name="_Toc33695150"/>
      <w:bookmarkStart w:id="443" w:name="_Toc33696112"/>
      <w:r w:rsidRPr="000E405B">
        <w:rPr>
          <w:b/>
          <w:bCs/>
        </w:rPr>
        <w:t>U</w:t>
      </w:r>
      <w:r w:rsidR="009F3A8E" w:rsidRPr="000E405B">
        <w:rPr>
          <w:b/>
          <w:bCs/>
        </w:rPr>
        <w:t>tilities</w:t>
      </w:r>
      <w:bookmarkEnd w:id="441"/>
      <w:bookmarkEnd w:id="442"/>
      <w:bookmarkEnd w:id="443"/>
    </w:p>
    <w:p w14:paraId="2C7993DC" w14:textId="39799F0D" w:rsidR="009F3A8E" w:rsidRDefault="009F3A8E" w:rsidP="009F3A8E">
      <w:r>
        <w:t xml:space="preserve">Stylised health state utilities were used in the economic model and can be seen in </w:t>
      </w:r>
      <w:r w:rsidRPr="00281C41">
        <w:fldChar w:fldCharType="begin"/>
      </w:r>
      <w:r w:rsidRPr="00316D12">
        <w:instrText xml:space="preserve"> REF _Ref26173628 \h </w:instrText>
      </w:r>
      <w:r w:rsidRPr="00281C41">
        <w:instrText xml:space="preserve"> \* MERGEFORMAT </w:instrText>
      </w:r>
      <w:r w:rsidRPr="00281C41">
        <w:fldChar w:fldCharType="separate"/>
      </w:r>
      <w:r w:rsidR="00C663A2" w:rsidRPr="00C663A2">
        <w:rPr>
          <w:sz w:val="20"/>
        </w:rPr>
        <w:t xml:space="preserve">Table </w:t>
      </w:r>
      <w:r w:rsidR="00C663A2" w:rsidRPr="00C663A2">
        <w:rPr>
          <w:noProof/>
          <w:sz w:val="20"/>
        </w:rPr>
        <w:t>44</w:t>
      </w:r>
      <w:r w:rsidRPr="00281C41">
        <w:fldChar w:fldCharType="end"/>
      </w:r>
      <w:r>
        <w:t xml:space="preserve">. The utility values used for progression-free disease </w:t>
      </w:r>
      <w:r w:rsidR="00AD2C66">
        <w:t>for Drug X</w:t>
      </w:r>
      <w:r>
        <w:t xml:space="preserve"> and progressed disease were based on the mean values reported in the NICE technology appraisal of Brigatinib for the treatment of patients with ALK+ advanced NSCLC previously treated with crizotinib.</w:t>
      </w:r>
      <w:r w:rsidR="006F7FD7">
        <w:fldChar w:fldCharType="begin">
          <w:fldData xml:space="preserve">PEVuZE5vdGU+PENpdGU+PEF1dGhvcj5OYXRpb25hbCBJbnN0aXR1dGUgZm9yIEhlYWx0aCBhbmQg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</w:fldData>
        </w:fldChar>
      </w:r>
      <w:r w:rsidR="000E66DE">
        <w:instrText xml:space="preserve"> ADDIN EN.CITE </w:instrText>
      </w:r>
      <w:r w:rsidR="000E66DE">
        <w:fldChar w:fldCharType="begin">
          <w:fldData xml:space="preserve">PEVuZE5vdGU+PENpdGU+PEF1dGhvcj5OYXRpb25hbCBJbnN0aXR1dGUgZm9yIEhlYWx0aCBhbmQg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</w:fldData>
        </w:fldChar>
      </w:r>
      <w:r w:rsidR="000E66DE">
        <w:instrText xml:space="preserve"> ADDIN EN.CITE.DATA </w:instrText>
      </w:r>
      <w:r w:rsidR="000E66DE">
        <w:fldChar w:fldCharType="end"/>
      </w:r>
      <w:r w:rsidR="006F7FD7">
        <w:fldChar w:fldCharType="separate"/>
      </w:r>
      <w:r w:rsidR="00055E4F" w:rsidRPr="00055E4F">
        <w:rPr>
          <w:noProof/>
          <w:vertAlign w:val="superscript"/>
        </w:rPr>
        <w:t>71, 102, 268</w:t>
      </w:r>
      <w:r w:rsidR="006F7FD7">
        <w:fldChar w:fldCharType="end"/>
      </w:r>
      <w:r>
        <w:t xml:space="preserve"> Given the cytotoxic nature of chemotherapy and the targeted nature of </w:t>
      </w:r>
      <w:r w:rsidR="00AD2C66">
        <w:t>Drug X</w:t>
      </w:r>
      <w:r>
        <w:t xml:space="preserve">, the utility value of </w:t>
      </w:r>
      <w:r w:rsidR="00AD2C66">
        <w:t>SoC</w:t>
      </w:r>
      <w:r>
        <w:t xml:space="preserve"> was assumed to be lower than that of </w:t>
      </w:r>
      <w:r w:rsidR="00AD2C66">
        <w:t>Drug X</w:t>
      </w:r>
      <w:r>
        <w:t xml:space="preserve">. As a result, a utility value of 0.72 was used for </w:t>
      </w:r>
      <w:r w:rsidR="00AD2C66">
        <w:t>SoC</w:t>
      </w:r>
      <w:r>
        <w:t>. This value was based on the utility reported in the NICE technology appraisal of Crizotinib for treating ROS1 positive advanced NSCLC</w:t>
      </w:r>
      <w:r w:rsidRPr="00D74CC0">
        <w:t>.</w:t>
      </w:r>
      <w:r w:rsidR="006B1C6D">
        <w:fldChar w:fldCharType="begin"/>
      </w:r>
      <w:r w:rsidR="004D5B2B">
        <w:instrText xml:space="preserve"> ADDIN EN.CITE &lt;EndNote&gt;&lt;Cite&gt;&lt;Author&gt;National Institute for Health and Care Excellence (NICE)&lt;/Author&gt;&lt;Year&gt;2018&lt;/Year&gt;&lt;RecNum&gt;8&lt;/RecNum&gt;&lt;DisplayText&gt;&lt;style face="superscript"&gt;219&lt;/style&gt;&lt;/DisplayText&gt;&lt;record&gt;&lt;rec-number&gt;8&lt;/rec-number&gt;&lt;foreign-keys&gt;&lt;key app="EN" db-id="daz00ttd0zveried0d7vprw9rd5fpsrwas2p" timestamp="1582034906"&gt;8&lt;/key&gt;&lt;/foreign-keys&gt;&lt;ref-type name="Report"&gt;27&lt;/ref-type&gt;&lt;contributors&gt;&lt;authors&gt;&lt;author&gt;National Institute for Health and Care Excellence (NICE),&lt;/author&gt;&lt;/authors&gt;&lt;/contributors&gt;&lt;titles&gt;&lt;title&gt;TA529: Crizotinib for treating ROS1-positive advanced non-small-cell lung cancer&lt;/title&gt;&lt;/titles&gt;&lt;dates&gt;&lt;year&gt;2018&lt;/year&gt;&lt;/dates&gt;&lt;urls&gt;&lt;related-urls&gt;&lt;url&gt;https://www.nice.org.uk/guidance/ta529&lt;/url&gt;&lt;/related-urls&gt;&lt;/urls&gt;&lt;access-date&gt;27 February 2019&lt;/access-date&gt;&lt;/record&gt;&lt;/Cite&gt;&lt;/EndNote&gt;</w:instrText>
      </w:r>
      <w:r w:rsidR="006B1C6D">
        <w:fldChar w:fldCharType="separate"/>
      </w:r>
      <w:r w:rsidR="004D5B2B" w:rsidRPr="004D5B2B">
        <w:rPr>
          <w:noProof/>
          <w:vertAlign w:val="superscript"/>
        </w:rPr>
        <w:t>219</w:t>
      </w:r>
      <w:r w:rsidR="006B1C6D">
        <w:fldChar w:fldCharType="end"/>
      </w:r>
      <w:r w:rsidR="00D74CC0" w:rsidRPr="00A77BC5">
        <w:t xml:space="preserve"> </w:t>
      </w:r>
      <w:r>
        <w:t xml:space="preserve">The progressed disease health state utilities for </w:t>
      </w:r>
      <w:r w:rsidR="00AD2C66">
        <w:t>Drug X</w:t>
      </w:r>
      <w:r>
        <w:t xml:space="preserve"> and</w:t>
      </w:r>
      <w:r w:rsidR="00AD2C66">
        <w:t xml:space="preserve"> SoC</w:t>
      </w:r>
      <w:r>
        <w:t xml:space="preserve"> were assumed to be equivalent as active treatment was assumed to be discontinued upon progression. </w:t>
      </w:r>
    </w:p>
    <w:p w14:paraId="4F2A3C0F" w14:textId="77777777" w:rsidR="009F3A8E" w:rsidRDefault="009F3A8E" w:rsidP="009F3A8E">
      <w:r>
        <w:t xml:space="preserve">It was assumed the health state utilities were unchanged across tumour types. To reflect uncertainty in the utilities, standard errors were assumed to be 10% of the mean.  </w:t>
      </w:r>
    </w:p>
    <w:p w14:paraId="224EDCD3" w14:textId="5983E698" w:rsidR="009F3A8E" w:rsidRPr="00281C41" w:rsidRDefault="009F3A8E" w:rsidP="009F3A8E">
      <w:pPr>
        <w:pStyle w:val="Caption"/>
      </w:pPr>
      <w:bookmarkStart w:id="444" w:name="_Ref26173628"/>
      <w:bookmarkStart w:id="445" w:name="_Toc34033558"/>
      <w:r w:rsidRPr="00281C41">
        <w:t xml:space="preserve">Table </w:t>
      </w:r>
      <w:r w:rsidR="00C974E5">
        <w:fldChar w:fldCharType="begin"/>
      </w:r>
      <w:r w:rsidR="00C974E5">
        <w:instrText xml:space="preserve"> SEQ Table \* ARABIC </w:instrText>
      </w:r>
      <w:r w:rsidR="00C974E5">
        <w:fldChar w:fldCharType="separate"/>
      </w:r>
      <w:r w:rsidR="00C663A2">
        <w:rPr>
          <w:noProof/>
        </w:rPr>
        <w:t>44</w:t>
      </w:r>
      <w:r w:rsidR="00C974E5">
        <w:rPr>
          <w:noProof/>
        </w:rPr>
        <w:fldChar w:fldCharType="end"/>
      </w:r>
      <w:bookmarkEnd w:id="444"/>
      <w:r w:rsidR="00A675ED">
        <w:rPr>
          <w:noProof/>
        </w:rPr>
        <w:t>:</w:t>
      </w:r>
      <w:r w:rsidRPr="00281C41">
        <w:t xml:space="preserve"> Health state utilities</w:t>
      </w:r>
      <w:bookmarkEnd w:id="445"/>
    </w:p>
    <w:tbl>
      <w:tblPr>
        <w:tblStyle w:val="TableGrid"/>
        <w:tblW w:w="0" w:type="auto"/>
        <w:tblLook w:val="04A0" w:firstRow="1" w:lastRow="0" w:firstColumn="1" w:lastColumn="0" w:noHBand="0" w:noVBand="1"/>
      </w:tblPr>
      <w:tblGrid>
        <w:gridCol w:w="3005"/>
        <w:gridCol w:w="3005"/>
        <w:gridCol w:w="3006"/>
      </w:tblGrid>
      <w:tr w:rsidR="009F3A8E" w:rsidRPr="003A0C8A" w14:paraId="323F356B" w14:textId="77777777" w:rsidTr="00DC0835">
        <w:trPr>
          <w:trHeight w:val="567"/>
        </w:trPr>
        <w:tc>
          <w:tcPr>
            <w:tcW w:w="3005" w:type="dxa"/>
            <w:vAlign w:val="center"/>
          </w:tcPr>
          <w:p w14:paraId="467A482B" w14:textId="77777777" w:rsidR="009F3A8E" w:rsidRPr="00EE170F" w:rsidRDefault="009F3A8E" w:rsidP="00DC0835">
            <w:pPr>
              <w:pStyle w:val="NoSpacing"/>
            </w:pPr>
          </w:p>
        </w:tc>
        <w:tc>
          <w:tcPr>
            <w:tcW w:w="3005" w:type="dxa"/>
            <w:vAlign w:val="center"/>
          </w:tcPr>
          <w:p w14:paraId="5C2F7854" w14:textId="53D8493E" w:rsidR="009F3A8E" w:rsidRPr="00556DC5" w:rsidRDefault="00AD2C66" w:rsidP="00DC0835">
            <w:pPr>
              <w:pStyle w:val="NoSpacing"/>
              <w:rPr>
                <w:b/>
              </w:rPr>
            </w:pPr>
            <w:r>
              <w:rPr>
                <w:b/>
              </w:rPr>
              <w:t>Drug X</w:t>
            </w:r>
            <w:r w:rsidR="009F3A8E">
              <w:rPr>
                <w:b/>
              </w:rPr>
              <w:t xml:space="preserve"> </w:t>
            </w:r>
            <w:r w:rsidR="009F3A8E" w:rsidRPr="00556DC5">
              <w:rPr>
                <w:b/>
              </w:rPr>
              <w:t>[95% Confidence Interval]</w:t>
            </w:r>
          </w:p>
        </w:tc>
        <w:tc>
          <w:tcPr>
            <w:tcW w:w="3006" w:type="dxa"/>
            <w:vAlign w:val="center"/>
          </w:tcPr>
          <w:p w14:paraId="24281F23" w14:textId="5B76E632" w:rsidR="009F3A8E" w:rsidRPr="00556DC5" w:rsidRDefault="009F3A8E" w:rsidP="00DC0835">
            <w:pPr>
              <w:pStyle w:val="NoSpacing"/>
              <w:rPr>
                <w:b/>
              </w:rPr>
            </w:pPr>
            <w:r>
              <w:rPr>
                <w:b/>
              </w:rPr>
              <w:t xml:space="preserve"> </w:t>
            </w:r>
            <w:r w:rsidR="00AD2C66">
              <w:rPr>
                <w:b/>
              </w:rPr>
              <w:t>SoC</w:t>
            </w:r>
            <w:r>
              <w:rPr>
                <w:b/>
              </w:rPr>
              <w:t xml:space="preserve"> </w:t>
            </w:r>
            <w:r w:rsidRPr="00556DC5">
              <w:rPr>
                <w:b/>
              </w:rPr>
              <w:t>[95% Confidence Interval]</w:t>
            </w:r>
          </w:p>
        </w:tc>
      </w:tr>
      <w:tr w:rsidR="009F3A8E" w:rsidRPr="003A0C8A" w14:paraId="7ED7F8CE" w14:textId="77777777" w:rsidTr="00DC0835">
        <w:trPr>
          <w:trHeight w:val="567"/>
        </w:trPr>
        <w:tc>
          <w:tcPr>
            <w:tcW w:w="3005" w:type="dxa"/>
            <w:vAlign w:val="center"/>
          </w:tcPr>
          <w:p w14:paraId="3DF10A16" w14:textId="77777777" w:rsidR="009F3A8E" w:rsidRPr="007B62B3" w:rsidRDefault="009F3A8E" w:rsidP="00DC0835">
            <w:pPr>
              <w:pStyle w:val="NoSpacing"/>
            </w:pPr>
            <w:r w:rsidRPr="00281C41">
              <w:t>Progression-free disease</w:t>
            </w:r>
          </w:p>
        </w:tc>
        <w:tc>
          <w:tcPr>
            <w:tcW w:w="3005" w:type="dxa"/>
            <w:vAlign w:val="center"/>
          </w:tcPr>
          <w:p w14:paraId="631CBB04" w14:textId="77777777" w:rsidR="009F3A8E" w:rsidRPr="00EE170F" w:rsidRDefault="009F3A8E" w:rsidP="00DC0835">
            <w:pPr>
              <w:pStyle w:val="NoSpacing"/>
            </w:pPr>
            <w:r w:rsidRPr="00556DC5">
              <w:t>0.79 [0.71;0.87]</w:t>
            </w:r>
          </w:p>
        </w:tc>
        <w:tc>
          <w:tcPr>
            <w:tcW w:w="3006" w:type="dxa"/>
            <w:vAlign w:val="center"/>
          </w:tcPr>
          <w:p w14:paraId="603F7E2A" w14:textId="77777777" w:rsidR="009F3A8E" w:rsidRPr="00EE170F" w:rsidRDefault="009F3A8E" w:rsidP="00DC0835">
            <w:pPr>
              <w:pStyle w:val="NoSpacing"/>
            </w:pPr>
            <w:r w:rsidRPr="00556DC5">
              <w:t>0.72 [0.65;0.79]</w:t>
            </w:r>
          </w:p>
        </w:tc>
      </w:tr>
      <w:tr w:rsidR="009F3A8E" w:rsidRPr="003A0C8A" w14:paraId="0112AB87" w14:textId="77777777" w:rsidTr="00DC0835">
        <w:trPr>
          <w:trHeight w:val="567"/>
        </w:trPr>
        <w:tc>
          <w:tcPr>
            <w:tcW w:w="3005" w:type="dxa"/>
            <w:vAlign w:val="center"/>
          </w:tcPr>
          <w:p w14:paraId="3E70F816" w14:textId="77777777" w:rsidR="009F3A8E" w:rsidRPr="007B62B3" w:rsidRDefault="009F3A8E" w:rsidP="00DC0835">
            <w:pPr>
              <w:pStyle w:val="NoSpacing"/>
            </w:pPr>
            <w:r w:rsidRPr="00281C41">
              <w:t>Progressed</w:t>
            </w:r>
            <w:r>
              <w:t xml:space="preserve"> </w:t>
            </w:r>
            <w:r w:rsidRPr="00281C41">
              <w:t>disease</w:t>
            </w:r>
          </w:p>
        </w:tc>
        <w:tc>
          <w:tcPr>
            <w:tcW w:w="3005" w:type="dxa"/>
            <w:vAlign w:val="center"/>
          </w:tcPr>
          <w:p w14:paraId="0EEA4A93" w14:textId="77777777" w:rsidR="009F3A8E" w:rsidRPr="00EE170F" w:rsidRDefault="009F3A8E" w:rsidP="00DC0835">
            <w:pPr>
              <w:pStyle w:val="NoSpacing"/>
            </w:pPr>
            <w:r w:rsidRPr="00556DC5">
              <w:t>0.64 [0.57;0.71]</w:t>
            </w:r>
          </w:p>
        </w:tc>
        <w:tc>
          <w:tcPr>
            <w:tcW w:w="3006" w:type="dxa"/>
            <w:vAlign w:val="center"/>
          </w:tcPr>
          <w:p w14:paraId="4D3B9011" w14:textId="77777777" w:rsidR="009F3A8E" w:rsidRPr="00EE170F" w:rsidRDefault="009F3A8E" w:rsidP="00DC0835">
            <w:pPr>
              <w:pStyle w:val="NoSpacing"/>
            </w:pPr>
            <w:r w:rsidRPr="00556DC5">
              <w:t>0.64 [0.57;0.71]</w:t>
            </w:r>
          </w:p>
        </w:tc>
      </w:tr>
    </w:tbl>
    <w:p w14:paraId="444B1B3B" w14:textId="77777777" w:rsidR="009F3A8E" w:rsidRDefault="009F3A8E" w:rsidP="009F3A8E">
      <w:pPr>
        <w:spacing w:line="480" w:lineRule="auto"/>
        <w:jc w:val="both"/>
        <w:rPr>
          <w:rFonts w:cs="Times New Roman"/>
          <w:sz w:val="24"/>
          <w:szCs w:val="24"/>
        </w:rPr>
      </w:pPr>
    </w:p>
    <w:p w14:paraId="10608153" w14:textId="77777777" w:rsidR="009F3A8E" w:rsidRPr="000E405B" w:rsidRDefault="009F3A8E" w:rsidP="000E405B">
      <w:pPr>
        <w:rPr>
          <w:b/>
          <w:bCs/>
        </w:rPr>
      </w:pPr>
      <w:bookmarkStart w:id="446" w:name="_Toc33198813"/>
      <w:bookmarkStart w:id="447" w:name="_Toc33695151"/>
      <w:bookmarkStart w:id="448" w:name="_Toc33696113"/>
      <w:r w:rsidRPr="000E405B">
        <w:rPr>
          <w:b/>
          <w:bCs/>
        </w:rPr>
        <w:t>Resource Use and Costs</w:t>
      </w:r>
      <w:bookmarkEnd w:id="446"/>
      <w:bookmarkEnd w:id="447"/>
      <w:bookmarkEnd w:id="448"/>
      <w:r w:rsidRPr="000E405B">
        <w:rPr>
          <w:b/>
          <w:bCs/>
        </w:rPr>
        <w:t xml:space="preserve"> </w:t>
      </w:r>
    </w:p>
    <w:p w14:paraId="614E18C1" w14:textId="6F62AADB" w:rsidR="009F3A8E" w:rsidRDefault="009F3A8E" w:rsidP="009F3A8E">
      <w:r>
        <w:t>In the absence of the</w:t>
      </w:r>
      <w:r w:rsidRPr="00D159C2">
        <w:t xml:space="preserve"> acquisition cost of </w:t>
      </w:r>
      <w:r>
        <w:t>any currently available Trk-inhibitors</w:t>
      </w:r>
      <w:r w:rsidRPr="00D159C2">
        <w:t xml:space="preserve"> </w:t>
      </w:r>
      <w:r>
        <w:t>inclusive of pricing</w:t>
      </w:r>
      <w:r w:rsidRPr="00D159C2">
        <w:t xml:space="preserve"> discounts</w:t>
      </w:r>
      <w:r>
        <w:t xml:space="preserve"> for the NHS</w:t>
      </w:r>
      <w:r w:rsidRPr="00D159C2">
        <w:t xml:space="preserve">, it is assumed the manufacturer </w:t>
      </w:r>
      <w:r>
        <w:t xml:space="preserve">of </w:t>
      </w:r>
      <w:r w:rsidR="00AD2C66">
        <w:t>Drug X</w:t>
      </w:r>
      <w:r>
        <w:t xml:space="preserve"> </w:t>
      </w:r>
      <w:r w:rsidRPr="00D159C2">
        <w:t>would employ a value-based approach to pricing</w:t>
      </w:r>
      <w:r>
        <w:t>.</w:t>
      </w:r>
      <w:r w:rsidRPr="00D159C2">
        <w:t xml:space="preserve"> </w:t>
      </w:r>
      <w:r>
        <w:t>This assumes the drug</w:t>
      </w:r>
      <w:r w:rsidRPr="00D159C2">
        <w:t xml:space="preserve"> acquisition cost would be set at a level that results in a</w:t>
      </w:r>
      <w:r w:rsidR="00DE2E42">
        <w:t xml:space="preserve"> histology independent</w:t>
      </w:r>
      <w:r w:rsidRPr="00D159C2">
        <w:t xml:space="preserve"> </w:t>
      </w:r>
      <w:r>
        <w:t>ICER</w:t>
      </w:r>
      <w:r w:rsidR="00DE2E42">
        <w:t xml:space="preserve"> (inclusive of testing costs and weighted according to the eligible population)</w:t>
      </w:r>
      <w:r>
        <w:t xml:space="preserve"> at approximately</w:t>
      </w:r>
      <w:r w:rsidRPr="00D159C2">
        <w:t xml:space="preserve"> NICE’s </w:t>
      </w:r>
      <w:r w:rsidR="00AD2C66">
        <w:t>decision</w:t>
      </w:r>
      <w:r>
        <w:t xml:space="preserve"> threshold</w:t>
      </w:r>
      <w:r w:rsidR="00DE2E42">
        <w:t xml:space="preserve">. </w:t>
      </w:r>
      <w:r>
        <w:t xml:space="preserve">For the purpose of the case study, </w:t>
      </w:r>
      <w:r w:rsidR="00AD2C66">
        <w:t>Drug X</w:t>
      </w:r>
      <w:r>
        <w:t xml:space="preserve"> is assumed to meet NICE’s end</w:t>
      </w:r>
      <w:r w:rsidR="00D03CCE">
        <w:t>-</w:t>
      </w:r>
      <w:r>
        <w:t>of</w:t>
      </w:r>
      <w:r w:rsidR="00D03CCE">
        <w:t>-</w:t>
      </w:r>
      <w:r>
        <w:t xml:space="preserve">life criteria, allowing a maximum willingness to pay threshold of £50,000 per QALY. </w:t>
      </w:r>
    </w:p>
    <w:p w14:paraId="0C188885" w14:textId="1E6D42F0" w:rsidR="009F3A8E" w:rsidRDefault="009F3A8E" w:rsidP="009F3A8E">
      <w:r>
        <w:t xml:space="preserve">To ensure generalisability of the results, the preferred approach to generate a weighted average is to use the eligible population rather than the trial population. This should also include the unrepresented tumour types. The threshold analysis used to generate the value-based price of </w:t>
      </w:r>
      <w:r w:rsidR="00AD2C66">
        <w:t>Drug X</w:t>
      </w:r>
      <w:r>
        <w:t xml:space="preserve"> is conducted using the eligible population including the unrepresented tumour types. The acquisition cost of the</w:t>
      </w:r>
      <w:r w:rsidR="00AD2C66">
        <w:t xml:space="preserve"> SoC</w:t>
      </w:r>
      <w:r>
        <w:t xml:space="preserve"> is assumed to be £20 per month.  </w:t>
      </w:r>
    </w:p>
    <w:p w14:paraId="243A1914" w14:textId="23D71BBB" w:rsidR="009F3A8E" w:rsidRDefault="009F3A8E" w:rsidP="009F3A8E">
      <w:r>
        <w:t xml:space="preserve">For simplicity it is assumed there are no costs associated with administering </w:t>
      </w:r>
      <w:r w:rsidR="00AD2C66">
        <w:t>Drug X</w:t>
      </w:r>
      <w:r>
        <w:t xml:space="preserve"> or </w:t>
      </w:r>
      <w:r w:rsidR="00AD2C66">
        <w:t>SoC</w:t>
      </w:r>
      <w:r>
        <w:t xml:space="preserve"> and that there are no adverse event costs.</w:t>
      </w:r>
      <w:r w:rsidRPr="005C104E">
        <w:t xml:space="preserve"> </w:t>
      </w:r>
      <w:r>
        <w:t xml:space="preserve">It is also assumed patients discontinue </w:t>
      </w:r>
      <w:r w:rsidR="00AD2C66">
        <w:t>Drug X</w:t>
      </w:r>
      <w:r>
        <w:t xml:space="preserve"> and </w:t>
      </w:r>
      <w:r w:rsidR="00AD2C66">
        <w:t>SoC</w:t>
      </w:r>
      <w:r>
        <w:t xml:space="preserve"> upon disease progression.</w:t>
      </w:r>
    </w:p>
    <w:p w14:paraId="63E0E809" w14:textId="47C011BA" w:rsidR="009F3A8E" w:rsidRDefault="009F3A8E" w:rsidP="009F3A8E">
      <w:r w:rsidRPr="00187933">
        <w:t>Health state c</w:t>
      </w:r>
      <w:r>
        <w:t xml:space="preserve">osts were assumed to be £350 per month per patient in the progression-free disease state and £500 per month per patient in the progressed disease health state. These values were informed by the health state costs reported in the NICE technology appraisals of brigatinib and </w:t>
      </w:r>
      <w:r w:rsidR="00DE2E42">
        <w:t>crizotinib</w:t>
      </w:r>
      <w:r>
        <w:t>.</w:t>
      </w:r>
      <w:r w:rsidR="006F7FD7">
        <w:fldChar w:fldCharType="begin"/>
      </w:r>
      <w:r w:rsidR="004D5B2B">
        <w:instrText xml:space="preserve"> ADDIN EN.CITE &lt;EndNote&gt;&lt;Cite&gt;&lt;Author&gt;National Institute for Health and Care Excellence (NICE)&lt;/Author&gt;&lt;Year&gt;2019&lt;/Year&gt;&lt;RecNum&gt;6&lt;/RecNum&gt;&lt;DisplayText&gt;&lt;style face="superscript"&gt;216, 268&lt;/style&gt;&lt;/DisplayText&gt;&lt;record&gt;&lt;rec-number&gt;6&lt;/rec-number&gt;&lt;foreign-keys&gt;&lt;key app="EN" db-id="pz0rrdex3zsv21etatn5ww0i0509tzrzexxd" timestamp="1580649514"&gt;6&lt;/key&gt;&lt;/foreign-keys&gt;&lt;ref-type name="Report"&gt;27&lt;/ref-type&gt;&lt;contributors&gt;&lt;authors&gt;&lt;author&gt;National Institute for Health and Care Excellence (NICE),&lt;/author&gt;&lt;/authors&gt;&lt;/contributors&gt;&lt;titles&gt;&lt;title&gt;GID-TA10268: Brigatinib for treating ALK-positive non-small-cell lung cancer after crizotinib [ID1328]&lt;/title&gt;&lt;/titles&gt;&lt;dates&gt;&lt;year&gt;2019&lt;/year&gt;&lt;/dates&gt;&lt;urls&gt;&lt;related-urls&gt;&lt;url&gt;https://www.nice.org.uk/guidance/indevelopment/gid-ta10268&lt;/url&gt;&lt;/related-urls&gt;&lt;/urls&gt;&lt;access-date&gt;5 March 2019&lt;/access-date&gt;&lt;/record&gt;&lt;/Cite&gt;&lt;Cite&gt;&lt;Author&gt;National Institute for Health and Clinical Excellence&lt;/Author&gt;&lt;Year&gt;2019&lt;/Year&gt;&lt;RecNum&gt;37&lt;/RecNum&gt;&lt;record&gt;&lt;rec-number&gt;37&lt;/rec-number&gt;&lt;foreign-keys&gt;&lt;key app="EN" db-id="pz0rrdex3zsv21etatn5ww0i0509tzrzexxd" timestamp="1580649519"&gt;37&lt;/key&gt;&lt;/foreign-keys&gt;&lt;ref-type name="Report"&gt;27&lt;/ref-type&gt;&lt;contributors&gt;&lt;authors&gt;&lt;author&gt;National Institute for Health and Clinical Excellence,&lt;/author&gt;&lt;/authors&gt;&lt;/contributors&gt;&lt;titles&gt;&lt;title&gt;Brigatinib for treating ALK-positive nonsmall-cell lung cancer after crizotinib [ID1328]. Committee papers&lt;/title&gt;&lt;/titles&gt;&lt;dates&gt;&lt;year&gt;2019&lt;/year&gt;&lt;/dates&gt;&lt;pub-location&gt;London&lt;/pub-location&gt;&lt;publisher&gt;NICE&lt;/publisher&gt;&lt;urls&gt;&lt;related-urls&gt;&lt;url&gt;https://www.nice.org.uk/guidance/ta571/documents/committee-papers&lt;/url&gt;&lt;/related-urls&gt;&lt;/urls&gt;&lt;/record&gt;&lt;/Cite&gt;&lt;/EndNote&gt;</w:instrText>
      </w:r>
      <w:r w:rsidR="006F7FD7">
        <w:fldChar w:fldCharType="separate"/>
      </w:r>
      <w:r w:rsidR="004D5B2B" w:rsidRPr="004D5B2B">
        <w:rPr>
          <w:noProof/>
          <w:vertAlign w:val="superscript"/>
        </w:rPr>
        <w:t>216, 268</w:t>
      </w:r>
      <w:r w:rsidR="006F7FD7">
        <w:fldChar w:fldCharType="end"/>
      </w:r>
      <w:r w:rsidR="008D470C">
        <w:t xml:space="preserve"> </w:t>
      </w:r>
      <w:r w:rsidR="006B1C6D">
        <w:fldChar w:fldCharType="begin"/>
      </w:r>
      <w:r w:rsidR="004D5B2B">
        <w:instrText xml:space="preserve"> ADDIN EN.CITE &lt;EndNote&gt;&lt;Cite&gt;&lt;Author&gt;National Institute for Health and Care Excellence (NICE)&lt;/Author&gt;&lt;Year&gt;2018&lt;/Year&gt;&lt;RecNum&gt;8&lt;/RecNum&gt;&lt;DisplayText&gt;&lt;style face="superscript"&gt;219&lt;/style&gt;&lt;/DisplayText&gt;&lt;record&gt;&lt;rec-number&gt;8&lt;/rec-number&gt;&lt;foreign-keys&gt;&lt;key app="EN" db-id="daz00ttd0zveried0d7vprw9rd5fpsrwas2p" timestamp="1582034906"&gt;8&lt;/key&gt;&lt;/foreign-keys&gt;&lt;ref-type name="Report"&gt;27&lt;/ref-type&gt;&lt;contributors&gt;&lt;authors&gt;&lt;author&gt;National Institute for Health and Care Excellence (NICE),&lt;/author&gt;&lt;/authors&gt;&lt;/contributors&gt;&lt;titles&gt;&lt;title&gt;TA529: Crizotinib for treating ROS1-positive advanced non-small-cell lung cancer&lt;/title&gt;&lt;/titles&gt;&lt;dates&gt;&lt;year&gt;2018&lt;/year&gt;&lt;/dates&gt;&lt;urls&gt;&lt;related-urls&gt;&lt;url&gt;https://www.nice.org.uk/guidance/ta529&lt;/url&gt;&lt;/related-urls&gt;&lt;/urls&gt;&lt;access-date&gt;27 February 2019&lt;/access-date&gt;&lt;/record&gt;&lt;/Cite&gt;&lt;/EndNote&gt;</w:instrText>
      </w:r>
      <w:r w:rsidR="006B1C6D">
        <w:fldChar w:fldCharType="separate"/>
      </w:r>
      <w:r w:rsidR="004D5B2B" w:rsidRPr="004D5B2B">
        <w:rPr>
          <w:noProof/>
          <w:vertAlign w:val="superscript"/>
        </w:rPr>
        <w:t>219</w:t>
      </w:r>
      <w:r w:rsidR="006B1C6D">
        <w:fldChar w:fldCharType="end"/>
      </w:r>
    </w:p>
    <w:p w14:paraId="46327DF5" w14:textId="77777777" w:rsidR="009F3A8E" w:rsidRDefault="009F3A8E" w:rsidP="009F3A8E">
      <w:r>
        <w:t xml:space="preserve">To reflect uncertainty in the health state costs, standard errors were assumed to be 10% of the mean.  </w:t>
      </w:r>
    </w:p>
    <w:p w14:paraId="1A16EDEF" w14:textId="42AA2899" w:rsidR="009F3A8E" w:rsidRDefault="009F3A8E" w:rsidP="009F3A8E">
      <w:r>
        <w:t>A one</w:t>
      </w:r>
      <w:r w:rsidR="00AD2C66">
        <w:t>-</w:t>
      </w:r>
      <w:r>
        <w:t xml:space="preserve">off terminal care cost of £6,878 is applied upon transition from the progressed disease state to the death </w:t>
      </w:r>
      <w:r w:rsidRPr="004E6910">
        <w:t>state. The terminal care cost was obtained from Georghiou and Bardsley.</w:t>
      </w:r>
      <w:r w:rsidR="008D470C">
        <w:t xml:space="preserve"> </w:t>
      </w:r>
      <w:r w:rsidR="006B1C6D">
        <w:fldChar w:fldCharType="begin"/>
      </w:r>
      <w:r w:rsidR="00055E4F">
        <w:instrText xml:space="preserve"> ADDIN EN.CITE &lt;EndNote&gt;&lt;Cite&gt;&lt;Author&gt;Georghiou&lt;/Author&gt;&lt;Year&gt;2014&lt;/Year&gt;&lt;RecNum&gt;3582&lt;/RecNum&gt;&lt;DisplayText&gt;&lt;style face="superscript"&gt;269&lt;/style&gt;&lt;/DisplayText&gt;&lt;record&gt;&lt;rec-number&gt;3582&lt;/rec-number&gt;&lt;foreign-keys&gt;&lt;key app="EN" db-id="dwaevxvazfs2f3ewvzmxrd0k0wasw55p2z2w" timestamp="1581696473"&gt;3582&lt;/key&gt;&lt;/foreign-keys&gt;&lt;ref-type name="Report"&gt;27&lt;/ref-type&gt;&lt;contributors&gt;&lt;authors&gt;&lt;author&gt;Georghiou, Theo&lt;/author&gt;&lt;author&gt;Bardsley, Martin&lt;/author&gt;&lt;/authors&gt;&lt;/contributors&gt;&lt;titles&gt;&lt;title&gt;Exploring the cost of end of life care&lt;/title&gt;&lt;/titles&gt;&lt;dates&gt;&lt;year&gt;2014&lt;/year&gt;&lt;/dates&gt;&lt;pub-location&gt;London&lt;/pub-location&gt;&lt;publisher&gt;Nuffield Trust&lt;/publisher&gt;&lt;urls&gt;&lt;/urls&gt;&lt;/record&gt;&lt;/Cite&gt;&lt;/EndNote&gt;</w:instrText>
      </w:r>
      <w:r w:rsidR="006B1C6D">
        <w:fldChar w:fldCharType="separate"/>
      </w:r>
      <w:r w:rsidR="00055E4F" w:rsidRPr="00055E4F">
        <w:rPr>
          <w:noProof/>
          <w:vertAlign w:val="superscript"/>
        </w:rPr>
        <w:t>269</w:t>
      </w:r>
      <w:r w:rsidR="006B1C6D">
        <w:fldChar w:fldCharType="end"/>
      </w:r>
      <w:r>
        <w:t xml:space="preserve"> </w:t>
      </w:r>
    </w:p>
    <w:p w14:paraId="7CB299B3" w14:textId="40E7739B" w:rsidR="009F3A8E" w:rsidRDefault="009F3A8E" w:rsidP="009F3A8E">
      <w:r>
        <w:t xml:space="preserve">The cost parameters used in the economic model can be seen in </w:t>
      </w:r>
      <w:r>
        <w:fldChar w:fldCharType="begin"/>
      </w:r>
      <w:r>
        <w:instrText xml:space="preserve"> REF _Ref26178023 \h  \* MERGEFORMAT </w:instrText>
      </w:r>
      <w:r>
        <w:fldChar w:fldCharType="separate"/>
      </w:r>
      <w:r w:rsidR="00C663A2" w:rsidRPr="00C663A2">
        <w:rPr>
          <w:sz w:val="20"/>
        </w:rPr>
        <w:t xml:space="preserve">Table </w:t>
      </w:r>
      <w:r w:rsidR="00C663A2" w:rsidRPr="00C663A2">
        <w:rPr>
          <w:noProof/>
          <w:sz w:val="20"/>
        </w:rPr>
        <w:t>45</w:t>
      </w:r>
      <w:r>
        <w:fldChar w:fldCharType="end"/>
      </w:r>
      <w:r>
        <w:t xml:space="preserve">. </w:t>
      </w:r>
    </w:p>
    <w:p w14:paraId="6ABF6ADA" w14:textId="7C27D44F" w:rsidR="009F3A8E" w:rsidRPr="00281C41" w:rsidRDefault="009F3A8E" w:rsidP="009F3A8E">
      <w:pPr>
        <w:pStyle w:val="Caption"/>
      </w:pPr>
      <w:bookmarkStart w:id="449" w:name="_Ref26178023"/>
      <w:bookmarkStart w:id="450" w:name="_Toc34033559"/>
      <w:r w:rsidRPr="00281C41">
        <w:t xml:space="preserve">Table </w:t>
      </w:r>
      <w:r w:rsidR="00C974E5">
        <w:fldChar w:fldCharType="begin"/>
      </w:r>
      <w:r w:rsidR="00C974E5">
        <w:instrText xml:space="preserve"> SEQ Table \* ARABIC </w:instrText>
      </w:r>
      <w:r w:rsidR="00C974E5">
        <w:fldChar w:fldCharType="separate"/>
      </w:r>
      <w:r w:rsidR="00C663A2">
        <w:rPr>
          <w:noProof/>
        </w:rPr>
        <w:t>45</w:t>
      </w:r>
      <w:r w:rsidR="00C974E5">
        <w:rPr>
          <w:noProof/>
        </w:rPr>
        <w:fldChar w:fldCharType="end"/>
      </w:r>
      <w:bookmarkEnd w:id="449"/>
      <w:r w:rsidR="00A675ED">
        <w:rPr>
          <w:noProof/>
        </w:rPr>
        <w:t>:</w:t>
      </w:r>
      <w:r w:rsidRPr="00281C41">
        <w:t xml:space="preserve"> Drug acquisition costs and health state costs</w:t>
      </w:r>
      <w:bookmarkEnd w:id="450"/>
    </w:p>
    <w:tbl>
      <w:tblPr>
        <w:tblStyle w:val="TableGrid"/>
        <w:tblW w:w="9016" w:type="dxa"/>
        <w:tblLook w:val="04A0" w:firstRow="1" w:lastRow="0" w:firstColumn="1" w:lastColumn="0" w:noHBand="0" w:noVBand="1"/>
      </w:tblPr>
      <w:tblGrid>
        <w:gridCol w:w="4508"/>
        <w:gridCol w:w="4508"/>
      </w:tblGrid>
      <w:tr w:rsidR="009F3A8E" w:rsidRPr="00A77BC5" w14:paraId="71F527A1" w14:textId="77777777" w:rsidTr="00DC0835">
        <w:trPr>
          <w:trHeight w:val="340"/>
        </w:trPr>
        <w:tc>
          <w:tcPr>
            <w:tcW w:w="4508" w:type="dxa"/>
            <w:vAlign w:val="bottom"/>
          </w:tcPr>
          <w:p w14:paraId="4C730CBA" w14:textId="77777777" w:rsidR="009F3A8E" w:rsidRPr="00A77BC5" w:rsidRDefault="009F3A8E" w:rsidP="00DC0835">
            <w:pPr>
              <w:rPr>
                <w:rFonts w:ascii="Calibri" w:eastAsia="Times New Roman" w:hAnsi="Calibri" w:cs="Calibri"/>
                <w:b/>
                <w:bCs/>
                <w:color w:val="000000"/>
                <w:sz w:val="20"/>
                <w:lang w:eastAsia="en-GB"/>
              </w:rPr>
            </w:pPr>
          </w:p>
        </w:tc>
        <w:tc>
          <w:tcPr>
            <w:tcW w:w="4508" w:type="dxa"/>
          </w:tcPr>
          <w:p w14:paraId="74BC2C1C" w14:textId="77777777" w:rsidR="009F3A8E" w:rsidRPr="00A77BC5" w:rsidRDefault="009F3A8E" w:rsidP="00DC0835">
            <w:pPr>
              <w:rPr>
                <w:b/>
                <w:sz w:val="20"/>
              </w:rPr>
            </w:pPr>
            <w:r w:rsidRPr="00A77BC5">
              <w:rPr>
                <w:b/>
                <w:sz w:val="20"/>
              </w:rPr>
              <w:t>Costs</w:t>
            </w:r>
            <w:r w:rsidRPr="00A77BC5">
              <w:rPr>
                <w:sz w:val="20"/>
              </w:rPr>
              <w:t xml:space="preserve"> </w:t>
            </w:r>
            <w:r w:rsidRPr="00A77BC5">
              <w:rPr>
                <w:b/>
                <w:sz w:val="20"/>
              </w:rPr>
              <w:t>[95% Confidence Interval]</w:t>
            </w:r>
          </w:p>
        </w:tc>
      </w:tr>
      <w:tr w:rsidR="009F3A8E" w:rsidRPr="00A77BC5" w14:paraId="07747C0A" w14:textId="77777777" w:rsidTr="00DC0835">
        <w:trPr>
          <w:trHeight w:val="340"/>
        </w:trPr>
        <w:tc>
          <w:tcPr>
            <w:tcW w:w="9016" w:type="dxa"/>
            <w:gridSpan w:val="2"/>
            <w:vAlign w:val="bottom"/>
          </w:tcPr>
          <w:p w14:paraId="64FE3642" w14:textId="77777777" w:rsidR="009F3A8E" w:rsidRPr="00A77BC5" w:rsidRDefault="009F3A8E" w:rsidP="00DC0835">
            <w:pPr>
              <w:rPr>
                <w:rFonts w:cs="Times New Roman"/>
                <w:sz w:val="20"/>
              </w:rPr>
            </w:pPr>
            <w:r w:rsidRPr="00A77BC5">
              <w:rPr>
                <w:rFonts w:eastAsia="Times New Roman" w:cs="Times New Roman"/>
                <w:b/>
                <w:bCs/>
                <w:color w:val="000000"/>
                <w:sz w:val="20"/>
                <w:lang w:eastAsia="en-GB"/>
              </w:rPr>
              <w:t>Drug Acquisition Costs</w:t>
            </w:r>
          </w:p>
        </w:tc>
      </w:tr>
      <w:tr w:rsidR="009F3A8E" w:rsidRPr="00A77BC5" w14:paraId="66A005DF" w14:textId="77777777" w:rsidTr="00DC0835">
        <w:trPr>
          <w:trHeight w:val="340"/>
        </w:trPr>
        <w:tc>
          <w:tcPr>
            <w:tcW w:w="4508" w:type="dxa"/>
            <w:vAlign w:val="bottom"/>
          </w:tcPr>
          <w:p w14:paraId="1AC73AFD" w14:textId="647BF86C" w:rsidR="009F3A8E" w:rsidRPr="00A77BC5" w:rsidRDefault="00AD2C66" w:rsidP="00DC0835">
            <w:pPr>
              <w:rPr>
                <w:rFonts w:cs="Times New Roman"/>
                <w:sz w:val="20"/>
              </w:rPr>
            </w:pPr>
            <w:r w:rsidRPr="00A77BC5">
              <w:rPr>
                <w:rFonts w:eastAsia="Times New Roman" w:cs="Times New Roman"/>
                <w:color w:val="000000"/>
                <w:sz w:val="20"/>
                <w:lang w:eastAsia="en-GB"/>
              </w:rPr>
              <w:t>Drug X</w:t>
            </w:r>
          </w:p>
        </w:tc>
        <w:tc>
          <w:tcPr>
            <w:tcW w:w="4508" w:type="dxa"/>
            <w:vAlign w:val="bottom"/>
          </w:tcPr>
          <w:p w14:paraId="682ECDF4" w14:textId="77777777" w:rsidR="009F3A8E" w:rsidRPr="00A77BC5" w:rsidRDefault="009F3A8E" w:rsidP="00DC0835">
            <w:pPr>
              <w:rPr>
                <w:rFonts w:cs="Times New Roman"/>
                <w:sz w:val="20"/>
              </w:rPr>
            </w:pPr>
            <w:r w:rsidRPr="00A77BC5">
              <w:rPr>
                <w:rFonts w:eastAsia="Times New Roman" w:cs="Times New Roman"/>
                <w:color w:val="000000"/>
                <w:sz w:val="20"/>
                <w:lang w:eastAsia="en-GB"/>
              </w:rPr>
              <w:t>£1250</w:t>
            </w:r>
          </w:p>
        </w:tc>
      </w:tr>
      <w:tr w:rsidR="009F3A8E" w:rsidRPr="00A77BC5" w14:paraId="6D399212" w14:textId="77777777" w:rsidTr="00DC0835">
        <w:trPr>
          <w:trHeight w:val="340"/>
        </w:trPr>
        <w:tc>
          <w:tcPr>
            <w:tcW w:w="4508" w:type="dxa"/>
            <w:vAlign w:val="bottom"/>
          </w:tcPr>
          <w:p w14:paraId="240E1BFF" w14:textId="61B6678D" w:rsidR="009F3A8E" w:rsidRPr="00A77BC5" w:rsidRDefault="00AD2C66" w:rsidP="00DC0835">
            <w:pPr>
              <w:rPr>
                <w:rFonts w:cs="Times New Roman"/>
                <w:sz w:val="20"/>
              </w:rPr>
            </w:pPr>
            <w:r w:rsidRPr="00A77BC5">
              <w:rPr>
                <w:rFonts w:eastAsia="Times New Roman" w:cs="Times New Roman"/>
                <w:color w:val="000000"/>
                <w:sz w:val="20"/>
                <w:lang w:eastAsia="en-GB"/>
              </w:rPr>
              <w:t>SoC</w:t>
            </w:r>
          </w:p>
        </w:tc>
        <w:tc>
          <w:tcPr>
            <w:tcW w:w="4508" w:type="dxa"/>
            <w:vAlign w:val="bottom"/>
          </w:tcPr>
          <w:p w14:paraId="4C54D343" w14:textId="77777777" w:rsidR="009F3A8E" w:rsidRPr="00A77BC5" w:rsidRDefault="009F3A8E" w:rsidP="00DC0835">
            <w:pPr>
              <w:rPr>
                <w:rFonts w:cs="Times New Roman"/>
                <w:sz w:val="20"/>
              </w:rPr>
            </w:pPr>
            <w:r w:rsidRPr="00A77BC5">
              <w:rPr>
                <w:rFonts w:eastAsia="Times New Roman" w:cs="Times New Roman"/>
                <w:color w:val="000000"/>
                <w:sz w:val="20"/>
                <w:lang w:eastAsia="en-GB"/>
              </w:rPr>
              <w:t>£20</w:t>
            </w:r>
          </w:p>
        </w:tc>
      </w:tr>
      <w:tr w:rsidR="009F3A8E" w:rsidRPr="00A77BC5" w14:paraId="7263D814" w14:textId="77777777" w:rsidTr="00DC0835">
        <w:trPr>
          <w:trHeight w:val="340"/>
        </w:trPr>
        <w:tc>
          <w:tcPr>
            <w:tcW w:w="9016" w:type="dxa"/>
            <w:gridSpan w:val="2"/>
            <w:vAlign w:val="bottom"/>
          </w:tcPr>
          <w:p w14:paraId="54A5A97C" w14:textId="77777777" w:rsidR="009F3A8E" w:rsidRPr="00A77BC5" w:rsidRDefault="009F3A8E" w:rsidP="00DC0835">
            <w:pPr>
              <w:rPr>
                <w:rFonts w:cs="Times New Roman"/>
                <w:sz w:val="20"/>
              </w:rPr>
            </w:pPr>
            <w:r w:rsidRPr="00A77BC5">
              <w:rPr>
                <w:rFonts w:eastAsia="Times New Roman" w:cs="Times New Roman"/>
                <w:b/>
                <w:bCs/>
                <w:color w:val="000000"/>
                <w:sz w:val="20"/>
                <w:lang w:eastAsia="en-GB"/>
              </w:rPr>
              <w:t>Health State Costs</w:t>
            </w:r>
          </w:p>
        </w:tc>
      </w:tr>
      <w:tr w:rsidR="009F3A8E" w:rsidRPr="00A77BC5" w14:paraId="107A0235" w14:textId="77777777" w:rsidTr="00DC0835">
        <w:trPr>
          <w:trHeight w:val="340"/>
        </w:trPr>
        <w:tc>
          <w:tcPr>
            <w:tcW w:w="4508" w:type="dxa"/>
            <w:vAlign w:val="bottom"/>
          </w:tcPr>
          <w:p w14:paraId="7B6575E4" w14:textId="77777777" w:rsidR="009F3A8E" w:rsidRPr="00A77BC5" w:rsidRDefault="009F3A8E" w:rsidP="00DC0835">
            <w:pPr>
              <w:rPr>
                <w:rFonts w:cs="Times New Roman"/>
                <w:sz w:val="20"/>
              </w:rPr>
            </w:pPr>
            <w:r w:rsidRPr="00A77BC5">
              <w:rPr>
                <w:rFonts w:eastAsia="Times New Roman" w:cs="Times New Roman"/>
                <w:color w:val="000000"/>
                <w:sz w:val="20"/>
                <w:lang w:eastAsia="en-GB"/>
              </w:rPr>
              <w:t>PFS</w:t>
            </w:r>
          </w:p>
        </w:tc>
        <w:tc>
          <w:tcPr>
            <w:tcW w:w="4508" w:type="dxa"/>
            <w:vAlign w:val="bottom"/>
          </w:tcPr>
          <w:p w14:paraId="7E68AB21" w14:textId="77777777" w:rsidR="009F3A8E" w:rsidRPr="00A77BC5" w:rsidRDefault="009F3A8E" w:rsidP="00DC0835">
            <w:pPr>
              <w:rPr>
                <w:rFonts w:cs="Times New Roman"/>
                <w:sz w:val="20"/>
              </w:rPr>
            </w:pPr>
            <w:r w:rsidRPr="00A77BC5">
              <w:rPr>
                <w:rFonts w:eastAsia="Times New Roman" w:cs="Times New Roman"/>
                <w:color w:val="000000"/>
                <w:sz w:val="20"/>
                <w:lang w:eastAsia="en-GB"/>
              </w:rPr>
              <w:t>£350 [£315; £385]</w:t>
            </w:r>
          </w:p>
        </w:tc>
      </w:tr>
      <w:tr w:rsidR="009F3A8E" w:rsidRPr="00A77BC5" w14:paraId="58089AE5" w14:textId="77777777" w:rsidTr="00DC0835">
        <w:trPr>
          <w:trHeight w:val="340"/>
        </w:trPr>
        <w:tc>
          <w:tcPr>
            <w:tcW w:w="4508" w:type="dxa"/>
            <w:vAlign w:val="bottom"/>
          </w:tcPr>
          <w:p w14:paraId="33B3706A" w14:textId="77777777" w:rsidR="009F3A8E" w:rsidRPr="00A77BC5" w:rsidRDefault="009F3A8E" w:rsidP="00DC0835">
            <w:pPr>
              <w:rPr>
                <w:rFonts w:cs="Times New Roman"/>
                <w:sz w:val="20"/>
              </w:rPr>
            </w:pPr>
            <w:r w:rsidRPr="00A77BC5">
              <w:rPr>
                <w:rFonts w:eastAsia="Times New Roman" w:cs="Times New Roman"/>
                <w:color w:val="000000"/>
                <w:sz w:val="20"/>
                <w:lang w:eastAsia="en-GB"/>
              </w:rPr>
              <w:t>PPS</w:t>
            </w:r>
          </w:p>
        </w:tc>
        <w:tc>
          <w:tcPr>
            <w:tcW w:w="4508" w:type="dxa"/>
            <w:vAlign w:val="bottom"/>
          </w:tcPr>
          <w:p w14:paraId="05EC5F17" w14:textId="77777777" w:rsidR="009F3A8E" w:rsidRPr="00A77BC5" w:rsidRDefault="009F3A8E" w:rsidP="00DC0835">
            <w:pPr>
              <w:rPr>
                <w:rFonts w:cs="Times New Roman"/>
                <w:sz w:val="20"/>
              </w:rPr>
            </w:pPr>
            <w:r w:rsidRPr="00A77BC5">
              <w:rPr>
                <w:rFonts w:eastAsia="Times New Roman" w:cs="Times New Roman"/>
                <w:color w:val="000000"/>
                <w:sz w:val="20"/>
                <w:lang w:eastAsia="en-GB"/>
              </w:rPr>
              <w:t>£500 [£450; 550]</w:t>
            </w:r>
          </w:p>
        </w:tc>
      </w:tr>
      <w:tr w:rsidR="009F3A8E" w:rsidRPr="00A77BC5" w14:paraId="105BAA0D" w14:textId="77777777" w:rsidTr="00DC0835">
        <w:trPr>
          <w:trHeight w:val="340"/>
        </w:trPr>
        <w:tc>
          <w:tcPr>
            <w:tcW w:w="4508" w:type="dxa"/>
            <w:vAlign w:val="bottom"/>
          </w:tcPr>
          <w:p w14:paraId="5D2B1D1B" w14:textId="77777777" w:rsidR="009F3A8E" w:rsidRPr="00A77BC5" w:rsidRDefault="009F3A8E" w:rsidP="00DC0835">
            <w:pPr>
              <w:rPr>
                <w:rFonts w:cs="Times New Roman"/>
                <w:sz w:val="20"/>
              </w:rPr>
            </w:pPr>
            <w:r w:rsidRPr="00A77BC5">
              <w:rPr>
                <w:rFonts w:eastAsia="Times New Roman" w:cs="Times New Roman"/>
                <w:color w:val="000000"/>
                <w:sz w:val="20"/>
                <w:lang w:eastAsia="en-GB"/>
              </w:rPr>
              <w:t>End of Life</w:t>
            </w:r>
          </w:p>
        </w:tc>
        <w:tc>
          <w:tcPr>
            <w:tcW w:w="4508" w:type="dxa"/>
            <w:vAlign w:val="bottom"/>
          </w:tcPr>
          <w:p w14:paraId="5A086D73" w14:textId="77777777" w:rsidR="009F3A8E" w:rsidRPr="00A77BC5" w:rsidRDefault="009F3A8E" w:rsidP="00DC0835">
            <w:pPr>
              <w:rPr>
                <w:rFonts w:cs="Times New Roman"/>
                <w:sz w:val="20"/>
              </w:rPr>
            </w:pPr>
            <w:r w:rsidRPr="00A77BC5">
              <w:rPr>
                <w:rFonts w:eastAsia="Times New Roman" w:cs="Times New Roman"/>
                <w:color w:val="000000"/>
                <w:sz w:val="20"/>
                <w:lang w:eastAsia="en-GB"/>
              </w:rPr>
              <w:t>£6878</w:t>
            </w:r>
          </w:p>
        </w:tc>
      </w:tr>
    </w:tbl>
    <w:p w14:paraId="27975CF6" w14:textId="77777777" w:rsidR="009F3A8E" w:rsidRDefault="009F3A8E" w:rsidP="009F3A8E"/>
    <w:p w14:paraId="74D61198" w14:textId="20BA47B0" w:rsidR="009F3A8E" w:rsidRDefault="009F3A8E" w:rsidP="009F3A8E">
      <w:r w:rsidRPr="00556DC5">
        <w:t>To assess the uncertainty surrounding the variables included in the cost-effectiveness model, a probabilistic sensitivity analysis (PSA) was undertaken using 10,000 samples. All results reported are the mean averages of the 10,000 iterations.</w:t>
      </w:r>
      <w:r>
        <w:t xml:space="preserve"> </w:t>
      </w:r>
    </w:p>
    <w:p w14:paraId="2D6A0FCD" w14:textId="3F663C66" w:rsidR="001F16E2" w:rsidRPr="000E405B" w:rsidRDefault="001F16E2" w:rsidP="000E405B">
      <w:pPr>
        <w:rPr>
          <w:b/>
          <w:bCs/>
        </w:rPr>
      </w:pPr>
      <w:r w:rsidRPr="000E405B">
        <w:rPr>
          <w:b/>
          <w:bCs/>
        </w:rPr>
        <w:t xml:space="preserve">Testing Costs for Unrepresented Tumours </w:t>
      </w:r>
    </w:p>
    <w:p w14:paraId="6B2E320C" w14:textId="17DB2CEB" w:rsidR="001F16E2" w:rsidRDefault="001F16E2" w:rsidP="001F16E2">
      <w:pPr>
        <w:pStyle w:val="Caption"/>
      </w:pPr>
      <w:bookmarkStart w:id="451" w:name="_Ref33172192"/>
      <w:bookmarkStart w:id="452" w:name="_Toc34033560"/>
      <w:r>
        <w:t xml:space="preserve">Table </w:t>
      </w:r>
      <w:r w:rsidR="00C974E5">
        <w:fldChar w:fldCharType="begin"/>
      </w:r>
      <w:r w:rsidR="00C974E5">
        <w:instrText xml:space="preserve"> SEQ Table \* ARABIC </w:instrText>
      </w:r>
      <w:r w:rsidR="00C974E5">
        <w:fldChar w:fldCharType="separate"/>
      </w:r>
      <w:r w:rsidR="00C663A2">
        <w:rPr>
          <w:noProof/>
        </w:rPr>
        <w:t>46</w:t>
      </w:r>
      <w:r w:rsidR="00C974E5">
        <w:rPr>
          <w:noProof/>
        </w:rPr>
        <w:fldChar w:fldCharType="end"/>
      </w:r>
      <w:r>
        <w:t xml:space="preserve">:  </w:t>
      </w:r>
      <w:r w:rsidRPr="00CD20ED">
        <w:t>Summary of NNS, Annual Eligible Population and testing costs for the tumours unrepresented in the trial</w:t>
      </w:r>
      <w:bookmarkEnd w:id="451"/>
      <w:bookmarkEnd w:id="452"/>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503"/>
        <w:gridCol w:w="1503"/>
        <w:gridCol w:w="2340"/>
      </w:tblGrid>
      <w:tr w:rsidR="001F16E2" w:rsidRPr="001F16E2" w14:paraId="4FF0BB1A" w14:textId="77777777" w:rsidTr="001F16E2">
        <w:trPr>
          <w:trHeight w:val="125"/>
        </w:trPr>
        <w:tc>
          <w:tcPr>
            <w:tcW w:w="3672" w:type="dxa"/>
            <w:shd w:val="clear" w:color="000000" w:fill="FFFFFF"/>
            <w:noWrap/>
            <w:vAlign w:val="center"/>
          </w:tcPr>
          <w:p w14:paraId="58ECE817" w14:textId="77777777" w:rsidR="001F16E2" w:rsidRPr="001F16E2" w:rsidRDefault="001F16E2" w:rsidP="001F16E2">
            <w:pPr>
              <w:spacing w:before="0" w:after="0" w:line="240" w:lineRule="auto"/>
              <w:jc w:val="center"/>
              <w:rPr>
                <w:rFonts w:eastAsia="Times New Roman" w:cs="Times New Roman"/>
                <w:sz w:val="20"/>
                <w:szCs w:val="20"/>
                <w:lang w:eastAsia="en-GB"/>
              </w:rPr>
            </w:pPr>
          </w:p>
        </w:tc>
        <w:tc>
          <w:tcPr>
            <w:tcW w:w="1503" w:type="dxa"/>
            <w:tcBorders>
              <w:top w:val="single" w:sz="4" w:space="0" w:color="auto"/>
              <w:left w:val="single" w:sz="4" w:space="0" w:color="auto"/>
              <w:bottom w:val="single" w:sz="4" w:space="0" w:color="auto"/>
              <w:right w:val="single" w:sz="4" w:space="0" w:color="auto"/>
            </w:tcBorders>
            <w:shd w:val="clear" w:color="000000" w:fill="FFFFFF"/>
            <w:vAlign w:val="center"/>
          </w:tcPr>
          <w:p w14:paraId="1390922D" w14:textId="77777777" w:rsidR="001F16E2" w:rsidRPr="001F16E2" w:rsidRDefault="001F16E2" w:rsidP="001F16E2">
            <w:pPr>
              <w:spacing w:before="0" w:line="240" w:lineRule="auto"/>
              <w:jc w:val="center"/>
              <w:rPr>
                <w:rFonts w:cs="Times New Roman"/>
                <w:b/>
                <w:sz w:val="20"/>
                <w:szCs w:val="20"/>
              </w:rPr>
            </w:pPr>
            <w:r w:rsidRPr="001F16E2">
              <w:rPr>
                <w:rFonts w:cs="Times New Roman"/>
                <w:b/>
                <w:sz w:val="20"/>
                <w:szCs w:val="20"/>
              </w:rPr>
              <w:t xml:space="preserve">Annual Eligible Population </w:t>
            </w:r>
          </w:p>
        </w:tc>
        <w:tc>
          <w:tcPr>
            <w:tcW w:w="1503" w:type="dxa"/>
            <w:shd w:val="clear" w:color="000000" w:fill="FFFFFF"/>
            <w:vAlign w:val="center"/>
          </w:tcPr>
          <w:p w14:paraId="2C447754" w14:textId="77777777" w:rsidR="001F16E2" w:rsidRPr="001F16E2" w:rsidRDefault="001F16E2" w:rsidP="001F16E2">
            <w:pPr>
              <w:spacing w:before="0" w:after="0" w:line="240" w:lineRule="auto"/>
              <w:jc w:val="center"/>
              <w:rPr>
                <w:rFonts w:eastAsia="Times New Roman" w:cs="Times New Roman"/>
                <w:b/>
                <w:sz w:val="20"/>
                <w:szCs w:val="20"/>
                <w:lang w:eastAsia="en-GB"/>
              </w:rPr>
            </w:pPr>
            <w:r w:rsidRPr="001F16E2">
              <w:rPr>
                <w:rFonts w:eastAsia="Times New Roman" w:cs="Times New Roman"/>
                <w:b/>
                <w:sz w:val="20"/>
                <w:szCs w:val="20"/>
                <w:lang w:eastAsia="en-GB"/>
              </w:rPr>
              <w:t>Number Needed to Screen</w:t>
            </w:r>
          </w:p>
        </w:tc>
        <w:tc>
          <w:tcPr>
            <w:tcW w:w="2340" w:type="dxa"/>
            <w:shd w:val="clear" w:color="000000" w:fill="FFFFFF"/>
            <w:vAlign w:val="center"/>
          </w:tcPr>
          <w:p w14:paraId="59A2A715" w14:textId="77777777" w:rsidR="001F16E2" w:rsidRPr="001F16E2" w:rsidRDefault="001F16E2" w:rsidP="001F16E2">
            <w:pPr>
              <w:spacing w:before="0" w:line="240" w:lineRule="auto"/>
              <w:jc w:val="center"/>
              <w:rPr>
                <w:rFonts w:cs="Times New Roman"/>
                <w:b/>
                <w:sz w:val="20"/>
                <w:szCs w:val="20"/>
              </w:rPr>
            </w:pPr>
            <w:r w:rsidRPr="001F16E2">
              <w:rPr>
                <w:rFonts w:cs="Times New Roman"/>
                <w:b/>
                <w:sz w:val="20"/>
                <w:szCs w:val="20"/>
              </w:rPr>
              <w:t>Cost to Identify One Patient Eligible for NTRK treatment</w:t>
            </w:r>
          </w:p>
        </w:tc>
      </w:tr>
      <w:tr w:rsidR="001F16E2" w:rsidRPr="001F16E2" w14:paraId="3A9DAB12" w14:textId="77777777" w:rsidTr="001F16E2">
        <w:trPr>
          <w:trHeight w:val="42"/>
        </w:trPr>
        <w:tc>
          <w:tcPr>
            <w:tcW w:w="3672" w:type="dxa"/>
            <w:shd w:val="clear" w:color="000000" w:fill="FFFFFF"/>
            <w:noWrap/>
            <w:vAlign w:val="center"/>
          </w:tcPr>
          <w:p w14:paraId="6146B28E"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Cervix</w:t>
            </w:r>
          </w:p>
        </w:tc>
        <w:tc>
          <w:tcPr>
            <w:tcW w:w="1503" w:type="dxa"/>
            <w:tcBorders>
              <w:top w:val="single" w:sz="4" w:space="0" w:color="auto"/>
              <w:left w:val="single" w:sz="4" w:space="0" w:color="auto"/>
              <w:bottom w:val="single" w:sz="4" w:space="0" w:color="auto"/>
              <w:right w:val="single" w:sz="4" w:space="0" w:color="auto"/>
            </w:tcBorders>
            <w:shd w:val="clear" w:color="000000" w:fill="FFFFFF"/>
            <w:vAlign w:val="center"/>
          </w:tcPr>
          <w:p w14:paraId="703CD0D1"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w:t>
            </w:r>
          </w:p>
        </w:tc>
        <w:tc>
          <w:tcPr>
            <w:tcW w:w="1503" w:type="dxa"/>
            <w:tcBorders>
              <w:top w:val="single" w:sz="4" w:space="0" w:color="auto"/>
              <w:left w:val="single" w:sz="4" w:space="0" w:color="auto"/>
              <w:bottom w:val="single" w:sz="4" w:space="0" w:color="auto"/>
              <w:right w:val="single" w:sz="4" w:space="0" w:color="auto"/>
            </w:tcBorders>
            <w:shd w:val="clear" w:color="000000" w:fill="FFFFFF"/>
            <w:vAlign w:val="center"/>
          </w:tcPr>
          <w:p w14:paraId="6823DCF5"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303.0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42E086BC"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£15,152</w:t>
            </w:r>
          </w:p>
        </w:tc>
      </w:tr>
      <w:tr w:rsidR="001F16E2" w:rsidRPr="001F16E2" w14:paraId="0C19CDBB" w14:textId="77777777" w:rsidTr="001F16E2">
        <w:trPr>
          <w:trHeight w:val="49"/>
        </w:trPr>
        <w:tc>
          <w:tcPr>
            <w:tcW w:w="3672" w:type="dxa"/>
            <w:shd w:val="clear" w:color="000000" w:fill="FFFFFF"/>
            <w:noWrap/>
            <w:vAlign w:val="center"/>
          </w:tcPr>
          <w:p w14:paraId="4DB8A409"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Congenital Mesoblastic Nephroma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3F79C696"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0</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3DC42FC0"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2A68A8A0"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£102</w:t>
            </w:r>
          </w:p>
        </w:tc>
      </w:tr>
      <w:tr w:rsidR="001F16E2" w:rsidRPr="001F16E2" w14:paraId="0BD25474" w14:textId="77777777" w:rsidTr="001F16E2">
        <w:trPr>
          <w:trHeight w:val="125"/>
        </w:trPr>
        <w:tc>
          <w:tcPr>
            <w:tcW w:w="3672" w:type="dxa"/>
            <w:shd w:val="clear" w:color="000000" w:fill="FFFFFF"/>
            <w:noWrap/>
            <w:vAlign w:val="center"/>
          </w:tcPr>
          <w:p w14:paraId="54F63CF9"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Gastro-oesophageal junction</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058E0596"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3478F8E6"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1000.0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1FF16C3E"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£50,000</w:t>
            </w:r>
          </w:p>
        </w:tc>
      </w:tr>
      <w:tr w:rsidR="001F16E2" w:rsidRPr="001F16E2" w14:paraId="7295E8FA" w14:textId="77777777" w:rsidTr="001F16E2">
        <w:trPr>
          <w:trHeight w:val="125"/>
        </w:trPr>
        <w:tc>
          <w:tcPr>
            <w:tcW w:w="3672" w:type="dxa"/>
            <w:shd w:val="clear" w:color="000000" w:fill="FFFFFF"/>
            <w:noWrap/>
            <w:vAlign w:val="center"/>
          </w:tcPr>
          <w:p w14:paraId="1EFE9606"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Head and Neck Squamous Cell Carcinoma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27CE1A48"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24</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28D2F52E"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263.2</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4014A1F4"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£13,158</w:t>
            </w:r>
          </w:p>
        </w:tc>
      </w:tr>
      <w:tr w:rsidR="001F16E2" w:rsidRPr="001F16E2" w14:paraId="3597DA4E" w14:textId="77777777" w:rsidTr="001F16E2">
        <w:trPr>
          <w:trHeight w:val="125"/>
        </w:trPr>
        <w:tc>
          <w:tcPr>
            <w:tcW w:w="3672" w:type="dxa"/>
            <w:shd w:val="clear" w:color="000000" w:fill="FFFFFF"/>
            <w:noWrap/>
            <w:vAlign w:val="center"/>
          </w:tcPr>
          <w:p w14:paraId="7C17A8C4"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High Grade Glioma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32B2616A"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004FDCE1"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2000.0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12D94E27"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£100,000</w:t>
            </w:r>
          </w:p>
        </w:tc>
      </w:tr>
      <w:tr w:rsidR="001F16E2" w:rsidRPr="001F16E2" w14:paraId="6879CEFB" w14:textId="77777777" w:rsidTr="001F16E2">
        <w:trPr>
          <w:trHeight w:val="125"/>
        </w:trPr>
        <w:tc>
          <w:tcPr>
            <w:tcW w:w="3672" w:type="dxa"/>
            <w:shd w:val="clear" w:color="000000" w:fill="FFFFFF"/>
            <w:noWrap/>
            <w:vAlign w:val="center"/>
          </w:tcPr>
          <w:p w14:paraId="1D9EA3A8"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 xml:space="preserve">Neuroendocrine </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69F92E5C"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7</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17746075"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333.3</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66A52498"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£16,667</w:t>
            </w:r>
          </w:p>
        </w:tc>
      </w:tr>
      <w:tr w:rsidR="001F16E2" w:rsidRPr="001F16E2" w14:paraId="30680585" w14:textId="77777777" w:rsidTr="001F16E2">
        <w:trPr>
          <w:trHeight w:val="125"/>
        </w:trPr>
        <w:tc>
          <w:tcPr>
            <w:tcW w:w="3672" w:type="dxa"/>
            <w:shd w:val="clear" w:color="000000" w:fill="FFFFFF"/>
            <w:noWrap/>
            <w:vAlign w:val="center"/>
          </w:tcPr>
          <w:p w14:paraId="24066560"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Ovarian</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246BE6D3"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5A82E30D"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400.0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6A4D3E9D"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£20,000</w:t>
            </w:r>
          </w:p>
        </w:tc>
      </w:tr>
      <w:tr w:rsidR="001F16E2" w:rsidRPr="001F16E2" w14:paraId="72BA171C" w14:textId="77777777" w:rsidTr="001F16E2">
        <w:trPr>
          <w:trHeight w:val="125"/>
        </w:trPr>
        <w:tc>
          <w:tcPr>
            <w:tcW w:w="3672" w:type="dxa"/>
            <w:shd w:val="clear" w:color="000000" w:fill="FFFFFF"/>
            <w:noWrap/>
            <w:vAlign w:val="center"/>
          </w:tcPr>
          <w:p w14:paraId="21A89C28"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Papillary Thyroid Tumour</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5C7B6007"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3</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041FE0E9"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23.3</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5604017E"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£1,163</w:t>
            </w:r>
          </w:p>
        </w:tc>
      </w:tr>
      <w:tr w:rsidR="001F16E2" w:rsidRPr="001F16E2" w14:paraId="340970A1" w14:textId="77777777" w:rsidTr="001F16E2">
        <w:trPr>
          <w:trHeight w:val="125"/>
        </w:trPr>
        <w:tc>
          <w:tcPr>
            <w:tcW w:w="3672" w:type="dxa"/>
            <w:shd w:val="clear" w:color="000000" w:fill="FFFFFF"/>
            <w:noWrap/>
            <w:vAlign w:val="center"/>
          </w:tcPr>
          <w:p w14:paraId="6815934B"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Paediatric High Grade Glioma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1EC0837B"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5A80DA5A"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9.0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1C459247"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£450</w:t>
            </w:r>
          </w:p>
        </w:tc>
      </w:tr>
      <w:tr w:rsidR="001F16E2" w:rsidRPr="001F16E2" w14:paraId="094341B5" w14:textId="77777777" w:rsidTr="001F16E2">
        <w:trPr>
          <w:trHeight w:val="125"/>
        </w:trPr>
        <w:tc>
          <w:tcPr>
            <w:tcW w:w="3672" w:type="dxa"/>
            <w:shd w:val="clear" w:color="000000" w:fill="FFFFFF"/>
            <w:noWrap/>
            <w:vAlign w:val="center"/>
          </w:tcPr>
          <w:p w14:paraId="6932AB39"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Paediatric Melanoma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57DFA8A2"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44</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3A554384"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461.4</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740BF1AC"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£23,070</w:t>
            </w:r>
          </w:p>
        </w:tc>
      </w:tr>
      <w:tr w:rsidR="001F16E2" w:rsidRPr="001F16E2" w14:paraId="7714A08B" w14:textId="77777777" w:rsidTr="001F16E2">
        <w:trPr>
          <w:trHeight w:val="125"/>
        </w:trPr>
        <w:tc>
          <w:tcPr>
            <w:tcW w:w="3672" w:type="dxa"/>
            <w:shd w:val="clear" w:color="000000" w:fill="FFFFFF"/>
            <w:noWrap/>
            <w:vAlign w:val="center"/>
          </w:tcPr>
          <w:p w14:paraId="743C77B8"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Prostate cancer (NOS)</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4EC9CC2C"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8</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2EAA976A"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400.0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617F98C5"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£20,000</w:t>
            </w:r>
          </w:p>
        </w:tc>
      </w:tr>
      <w:tr w:rsidR="001F16E2" w:rsidRPr="001F16E2" w14:paraId="7A4ECCE9" w14:textId="77777777" w:rsidTr="001F16E2">
        <w:trPr>
          <w:trHeight w:val="125"/>
        </w:trPr>
        <w:tc>
          <w:tcPr>
            <w:tcW w:w="3672" w:type="dxa"/>
            <w:shd w:val="clear" w:color="000000" w:fill="FFFFFF"/>
            <w:noWrap/>
            <w:vAlign w:val="center"/>
          </w:tcPr>
          <w:p w14:paraId="6D5FF2AC"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Renal cell carcinoma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14EDAC32"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6</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7CF3A971"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58.1</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2AB8457E"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£2,907</w:t>
            </w:r>
          </w:p>
        </w:tc>
      </w:tr>
      <w:tr w:rsidR="001F16E2" w:rsidRPr="001F16E2" w14:paraId="0E801A21" w14:textId="77777777" w:rsidTr="001F16E2">
        <w:trPr>
          <w:trHeight w:val="125"/>
        </w:trPr>
        <w:tc>
          <w:tcPr>
            <w:tcW w:w="3672" w:type="dxa"/>
            <w:shd w:val="clear" w:color="000000" w:fill="FFFFFF"/>
            <w:noWrap/>
            <w:vAlign w:val="center"/>
          </w:tcPr>
          <w:p w14:paraId="3C17F431"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Salivary gland</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7DFFC4DA"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582FE338"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1.1</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402CB748"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£55</w:t>
            </w:r>
          </w:p>
        </w:tc>
      </w:tr>
      <w:tr w:rsidR="001F16E2" w:rsidRPr="001F16E2" w14:paraId="4F16EE29" w14:textId="77777777" w:rsidTr="001F16E2">
        <w:trPr>
          <w:trHeight w:val="125"/>
        </w:trPr>
        <w:tc>
          <w:tcPr>
            <w:tcW w:w="3672" w:type="dxa"/>
            <w:shd w:val="clear" w:color="000000" w:fill="FFFFFF"/>
            <w:noWrap/>
            <w:vAlign w:val="center"/>
          </w:tcPr>
          <w:p w14:paraId="637716B7"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Secretory breast carcinoma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6AAF4331"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0</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60B1B166"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400.0</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1BEF86E6"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£20,000</w:t>
            </w:r>
          </w:p>
        </w:tc>
      </w:tr>
      <w:tr w:rsidR="001F16E2" w:rsidRPr="001F16E2" w14:paraId="28FA7507" w14:textId="77777777" w:rsidTr="001F16E2">
        <w:trPr>
          <w:trHeight w:val="125"/>
        </w:trPr>
        <w:tc>
          <w:tcPr>
            <w:tcW w:w="3672" w:type="dxa"/>
            <w:shd w:val="clear" w:color="000000" w:fill="FFFFFF"/>
            <w:noWrap/>
            <w:vAlign w:val="center"/>
          </w:tcPr>
          <w:p w14:paraId="3DBB751C"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Sinonasal Adenocarcinoma</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5B888152"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44</w:t>
            </w:r>
          </w:p>
        </w:tc>
        <w:tc>
          <w:tcPr>
            <w:tcW w:w="1503" w:type="dxa"/>
            <w:tcBorders>
              <w:top w:val="nil"/>
              <w:left w:val="single" w:sz="4" w:space="0" w:color="auto"/>
              <w:bottom w:val="single" w:sz="4" w:space="0" w:color="auto"/>
              <w:right w:val="single" w:sz="4" w:space="0" w:color="auto"/>
            </w:tcBorders>
            <w:shd w:val="clear" w:color="000000" w:fill="FFFFFF"/>
            <w:vAlign w:val="center"/>
          </w:tcPr>
          <w:p w14:paraId="1ED611F0"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7.5</w:t>
            </w:r>
          </w:p>
        </w:tc>
        <w:tc>
          <w:tcPr>
            <w:tcW w:w="2340" w:type="dxa"/>
            <w:tcBorders>
              <w:top w:val="single" w:sz="4" w:space="0" w:color="auto"/>
              <w:left w:val="single" w:sz="4" w:space="0" w:color="auto"/>
              <w:bottom w:val="single" w:sz="4" w:space="0" w:color="auto"/>
              <w:right w:val="single" w:sz="8" w:space="0" w:color="000000"/>
            </w:tcBorders>
            <w:shd w:val="clear" w:color="000000" w:fill="FFFFFF"/>
            <w:vAlign w:val="center"/>
          </w:tcPr>
          <w:p w14:paraId="157AF44A"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£376</w:t>
            </w:r>
          </w:p>
        </w:tc>
      </w:tr>
      <w:tr w:rsidR="001F16E2" w:rsidRPr="001F16E2" w14:paraId="4054F2DA" w14:textId="77777777" w:rsidTr="001F16E2">
        <w:trPr>
          <w:trHeight w:val="131"/>
        </w:trPr>
        <w:tc>
          <w:tcPr>
            <w:tcW w:w="3672" w:type="dxa"/>
            <w:shd w:val="clear" w:color="000000" w:fill="FFFFFF"/>
            <w:noWrap/>
            <w:vAlign w:val="center"/>
          </w:tcPr>
          <w:p w14:paraId="2B686596" w14:textId="77777777" w:rsidR="001F16E2" w:rsidRPr="001F16E2" w:rsidRDefault="001F16E2" w:rsidP="001F16E2">
            <w:pPr>
              <w:spacing w:before="0" w:after="0" w:line="240" w:lineRule="auto"/>
              <w:rPr>
                <w:rFonts w:eastAsia="Times New Roman" w:cs="Times New Roman"/>
                <w:sz w:val="20"/>
                <w:szCs w:val="20"/>
                <w:lang w:eastAsia="en-GB"/>
              </w:rPr>
            </w:pPr>
            <w:r w:rsidRPr="001F16E2">
              <w:rPr>
                <w:rFonts w:eastAsia="Times New Roman" w:cs="Times New Roman"/>
                <w:sz w:val="20"/>
                <w:szCs w:val="20"/>
                <w:lang w:eastAsia="en-GB"/>
              </w:rPr>
              <w:t>Uterine</w:t>
            </w:r>
          </w:p>
        </w:tc>
        <w:tc>
          <w:tcPr>
            <w:tcW w:w="1503" w:type="dxa"/>
            <w:tcBorders>
              <w:top w:val="nil"/>
              <w:left w:val="single" w:sz="4" w:space="0" w:color="auto"/>
              <w:bottom w:val="single" w:sz="8" w:space="0" w:color="auto"/>
              <w:right w:val="single" w:sz="4" w:space="0" w:color="auto"/>
            </w:tcBorders>
            <w:shd w:val="clear" w:color="000000" w:fill="FFFFFF"/>
            <w:vAlign w:val="center"/>
          </w:tcPr>
          <w:p w14:paraId="5F0DEF60"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w:t>
            </w:r>
          </w:p>
        </w:tc>
        <w:tc>
          <w:tcPr>
            <w:tcW w:w="1503" w:type="dxa"/>
            <w:tcBorders>
              <w:top w:val="nil"/>
              <w:left w:val="single" w:sz="4" w:space="0" w:color="auto"/>
              <w:bottom w:val="single" w:sz="8" w:space="0" w:color="auto"/>
              <w:right w:val="single" w:sz="4" w:space="0" w:color="auto"/>
            </w:tcBorders>
            <w:shd w:val="clear" w:color="000000" w:fill="FFFFFF"/>
            <w:vAlign w:val="center"/>
          </w:tcPr>
          <w:p w14:paraId="34A52572"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1000.0</w:t>
            </w:r>
          </w:p>
        </w:tc>
        <w:tc>
          <w:tcPr>
            <w:tcW w:w="2340" w:type="dxa"/>
            <w:tcBorders>
              <w:top w:val="single" w:sz="4" w:space="0" w:color="auto"/>
              <w:left w:val="single" w:sz="4" w:space="0" w:color="auto"/>
              <w:bottom w:val="single" w:sz="8" w:space="0" w:color="auto"/>
              <w:right w:val="single" w:sz="8" w:space="0" w:color="000000"/>
            </w:tcBorders>
            <w:shd w:val="clear" w:color="000000" w:fill="FFFFFF"/>
            <w:vAlign w:val="center"/>
          </w:tcPr>
          <w:p w14:paraId="3E9A4BA6" w14:textId="77777777" w:rsidR="001F16E2" w:rsidRPr="001F16E2" w:rsidRDefault="001F16E2" w:rsidP="001F16E2">
            <w:pPr>
              <w:spacing w:before="0" w:line="240" w:lineRule="auto"/>
              <w:jc w:val="center"/>
              <w:rPr>
                <w:rFonts w:cs="Times New Roman"/>
                <w:sz w:val="20"/>
                <w:szCs w:val="20"/>
              </w:rPr>
            </w:pPr>
            <w:r w:rsidRPr="001F16E2">
              <w:rPr>
                <w:rFonts w:cs="Times New Roman"/>
                <w:sz w:val="20"/>
                <w:szCs w:val="20"/>
              </w:rPr>
              <w:t>£50,000</w:t>
            </w:r>
          </w:p>
        </w:tc>
      </w:tr>
      <w:tr w:rsidR="001F16E2" w:rsidRPr="001F16E2" w14:paraId="4D95DFBB" w14:textId="77777777" w:rsidTr="001F16E2">
        <w:trPr>
          <w:trHeight w:val="131"/>
        </w:trPr>
        <w:tc>
          <w:tcPr>
            <w:tcW w:w="3672" w:type="dxa"/>
            <w:shd w:val="clear" w:color="000000" w:fill="FFFFFF"/>
            <w:noWrap/>
            <w:vAlign w:val="center"/>
          </w:tcPr>
          <w:p w14:paraId="15F55CFB" w14:textId="77777777" w:rsidR="001F16E2" w:rsidRPr="001F16E2" w:rsidRDefault="001F16E2" w:rsidP="001F16E2">
            <w:pPr>
              <w:spacing w:before="0" w:after="0" w:line="240" w:lineRule="auto"/>
              <w:jc w:val="center"/>
              <w:rPr>
                <w:rFonts w:eastAsia="Times New Roman" w:cs="Times New Roman"/>
                <w:sz w:val="20"/>
                <w:szCs w:val="20"/>
                <w:lang w:eastAsia="en-GB"/>
              </w:rPr>
            </w:pPr>
            <w:r w:rsidRPr="001F16E2">
              <w:rPr>
                <w:rFonts w:eastAsia="Times New Roman" w:cs="Times New Roman"/>
                <w:sz w:val="20"/>
                <w:szCs w:val="20"/>
                <w:lang w:eastAsia="en-GB"/>
              </w:rPr>
              <w:t xml:space="preserve">Total </w:t>
            </w:r>
          </w:p>
        </w:tc>
        <w:tc>
          <w:tcPr>
            <w:tcW w:w="1503" w:type="dxa"/>
            <w:shd w:val="clear" w:color="000000" w:fill="FFFFFF"/>
            <w:vAlign w:val="center"/>
          </w:tcPr>
          <w:p w14:paraId="00FCBD1D" w14:textId="77777777" w:rsidR="001F16E2" w:rsidRPr="001F16E2" w:rsidRDefault="001F16E2" w:rsidP="001F16E2">
            <w:pPr>
              <w:spacing w:before="0" w:line="240" w:lineRule="auto"/>
              <w:jc w:val="center"/>
              <w:rPr>
                <w:rFonts w:cs="Times New Roman"/>
                <w:b/>
                <w:sz w:val="20"/>
                <w:szCs w:val="20"/>
              </w:rPr>
            </w:pPr>
            <w:r w:rsidRPr="001F16E2">
              <w:rPr>
                <w:rFonts w:cs="Times New Roman"/>
                <w:b/>
                <w:sz w:val="20"/>
                <w:szCs w:val="20"/>
              </w:rPr>
              <w:t>151</w:t>
            </w:r>
          </w:p>
        </w:tc>
        <w:tc>
          <w:tcPr>
            <w:tcW w:w="1503" w:type="dxa"/>
            <w:shd w:val="clear" w:color="000000" w:fill="FFFFFF"/>
            <w:vAlign w:val="center"/>
          </w:tcPr>
          <w:p w14:paraId="7AEFB04A" w14:textId="77777777" w:rsidR="001F16E2" w:rsidRPr="001F16E2" w:rsidRDefault="001F16E2" w:rsidP="001F16E2">
            <w:pPr>
              <w:spacing w:before="0" w:line="240" w:lineRule="auto"/>
              <w:jc w:val="center"/>
              <w:rPr>
                <w:rFonts w:cs="Times New Roman"/>
                <w:sz w:val="20"/>
                <w:szCs w:val="20"/>
              </w:rPr>
            </w:pPr>
          </w:p>
        </w:tc>
        <w:tc>
          <w:tcPr>
            <w:tcW w:w="2340" w:type="dxa"/>
            <w:shd w:val="clear" w:color="000000" w:fill="FFFFFF"/>
            <w:vAlign w:val="center"/>
          </w:tcPr>
          <w:p w14:paraId="584AEDE9" w14:textId="77777777" w:rsidR="001F16E2" w:rsidRPr="001F16E2" w:rsidRDefault="001F16E2" w:rsidP="001F16E2">
            <w:pPr>
              <w:keepNext/>
              <w:spacing w:before="0" w:line="240" w:lineRule="auto"/>
              <w:jc w:val="center"/>
              <w:rPr>
                <w:rFonts w:cs="Times New Roman"/>
                <w:sz w:val="20"/>
                <w:szCs w:val="20"/>
              </w:rPr>
            </w:pPr>
          </w:p>
        </w:tc>
      </w:tr>
    </w:tbl>
    <w:p w14:paraId="09B4EBD8" w14:textId="77777777" w:rsidR="001F16E2" w:rsidRDefault="001F16E2" w:rsidP="001F16E2">
      <w:pPr>
        <w:pStyle w:val="Caption"/>
      </w:pPr>
    </w:p>
    <w:p w14:paraId="7CC867F3" w14:textId="660FF73B" w:rsidR="001F16E2" w:rsidRPr="006E4EF8" w:rsidRDefault="001F16E2" w:rsidP="001F16E2">
      <w:pPr>
        <w:rPr>
          <w:rFonts w:cs="Times New Roman"/>
        </w:rPr>
      </w:pPr>
      <w:r w:rsidRPr="006E4EF8">
        <w:rPr>
          <w:rFonts w:cs="Times New Roman"/>
        </w:rPr>
        <w:t xml:space="preserve">This illustrative example assumes that the testing costs equal £50 with a 100% sensitivity and specificity. The average cost to identify one individual eligible for </w:t>
      </w:r>
      <w:r>
        <w:rPr>
          <w:rFonts w:cs="Times New Roman"/>
        </w:rPr>
        <w:t>treatment is estimated to be £14</w:t>
      </w:r>
      <w:r w:rsidRPr="006E4EF8">
        <w:rPr>
          <w:rFonts w:cs="Times New Roman"/>
        </w:rPr>
        <w:t>,3</w:t>
      </w:r>
      <w:r>
        <w:rPr>
          <w:rFonts w:cs="Times New Roman"/>
        </w:rPr>
        <w:t>2</w:t>
      </w:r>
      <w:r w:rsidRPr="006E4EF8">
        <w:rPr>
          <w:rFonts w:cs="Times New Roman"/>
        </w:rPr>
        <w:t xml:space="preserve">2. </w:t>
      </w:r>
    </w:p>
    <w:p w14:paraId="255CE828" w14:textId="42BB1231" w:rsidR="00E64596" w:rsidRPr="001F16E2" w:rsidRDefault="00E64596" w:rsidP="009F3A8E">
      <w:pPr>
        <w:rPr>
          <w:b/>
        </w:rPr>
      </w:pPr>
    </w:p>
    <w:sectPr w:rsidR="00E64596" w:rsidRPr="001F16E2" w:rsidSect="00903F8C">
      <w:headerReference w:type="default" r:id="rId98"/>
      <w:footerReference w:type="even" r:id="rId99"/>
      <w:footerReference w:type="default" r:id="rId100"/>
      <w:footerReference w:type="firs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2A3CA" w14:textId="77777777" w:rsidR="00C974E5" w:rsidRDefault="00C974E5" w:rsidP="00AA7552">
      <w:pPr>
        <w:spacing w:before="0" w:after="0" w:line="240" w:lineRule="auto"/>
      </w:pPr>
      <w:r>
        <w:separator/>
      </w:r>
    </w:p>
  </w:endnote>
  <w:endnote w:type="continuationSeparator" w:id="0">
    <w:p w14:paraId="08344BE2" w14:textId="77777777" w:rsidR="00C974E5" w:rsidRDefault="00C974E5" w:rsidP="00AA75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dvTTd3e3db0f">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DE498" w14:textId="5EEA18F5" w:rsidR="00054FE8" w:rsidRDefault="00054FE8" w:rsidP="003358FF">
    <w:pPr>
      <w:pStyle w:val="Footer"/>
    </w:pPr>
    <w:r>
      <w:t>28/02/2020</w:t>
    </w:r>
    <w:r>
      <w:tab/>
    </w:r>
    <w:r>
      <w:tab/>
    </w:r>
    <w:r>
      <w:fldChar w:fldCharType="begin"/>
    </w:r>
    <w:r>
      <w:instrText xml:space="preserve"> PAGE   \* MERGEFORMAT </w:instrText>
    </w:r>
    <w:r>
      <w:fldChar w:fldCharType="separate"/>
    </w:r>
    <w:r w:rsidR="00500BB3">
      <w:rPr>
        <w:noProof/>
      </w:rPr>
      <w:t>107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95DA5" w14:textId="2235C78C" w:rsidR="00054FE8" w:rsidRPr="003358FF" w:rsidRDefault="00054FE8" w:rsidP="003358FF">
    <w:pPr>
      <w:pStyle w:val="Footer"/>
    </w:pPr>
    <w:r>
      <w:t>28/02/2020</w:t>
    </w:r>
    <w:r>
      <w:tab/>
    </w:r>
    <w:r>
      <w:tab/>
    </w:r>
    <w:r>
      <w:fldChar w:fldCharType="begin"/>
    </w:r>
    <w:r>
      <w:instrText xml:space="preserve"> PAGE   \* MERGEFORMAT </w:instrText>
    </w:r>
    <w:r>
      <w:fldChar w:fldCharType="separate"/>
    </w:r>
    <w:r w:rsidR="00500BB3">
      <w:rPr>
        <w:noProof/>
      </w:rPr>
      <w:t>112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947F9" w14:textId="2D22231D" w:rsidR="00054FE8" w:rsidRPr="003358FF" w:rsidRDefault="00054FE8" w:rsidP="003358FF">
    <w:pPr>
      <w:pStyle w:val="Footer"/>
    </w:pPr>
    <w:r>
      <w:t>28/02/2020</w:t>
    </w:r>
    <w:r>
      <w:tab/>
    </w:r>
    <w:r>
      <w:tab/>
    </w:r>
    <w:r>
      <w:fldChar w:fldCharType="begin"/>
    </w:r>
    <w:r>
      <w:instrText xml:space="preserve"> PAGE   \* MERGEFORMAT </w:instrText>
    </w:r>
    <w:r>
      <w:fldChar w:fldCharType="separate"/>
    </w:r>
    <w:r w:rsidR="00500BB3">
      <w:rPr>
        <w:noProof/>
      </w:rPr>
      <w:t>136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B5075" w14:textId="17568CC3" w:rsidR="00054FE8" w:rsidRPr="003358FF" w:rsidRDefault="00054FE8" w:rsidP="003358FF">
    <w:pPr>
      <w:pStyle w:val="Footer"/>
    </w:pPr>
    <w:r>
      <w:t>28/02/2020</w:t>
    </w:r>
    <w:r>
      <w:tab/>
    </w:r>
    <w:r>
      <w:tab/>
    </w:r>
    <w:r>
      <w:fldChar w:fldCharType="begin"/>
    </w:r>
    <w:r>
      <w:instrText xml:space="preserve"> PAGE   \* MERGEFORMAT </w:instrText>
    </w:r>
    <w:r>
      <w:fldChar w:fldCharType="separate"/>
    </w:r>
    <w:r w:rsidR="00500BB3">
      <w:rPr>
        <w:noProof/>
      </w:rPr>
      <w:t>193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DE94" w14:textId="19BE270A" w:rsidR="00054FE8" w:rsidRPr="003358FF" w:rsidRDefault="00054FE8" w:rsidP="003358FF">
    <w:pPr>
      <w:pStyle w:val="Footer"/>
    </w:pPr>
    <w:r>
      <w:t>28/02/2020</w:t>
    </w:r>
    <w:r>
      <w:tab/>
    </w:r>
    <w:r>
      <w:tab/>
    </w:r>
    <w:r>
      <w:fldChar w:fldCharType="begin"/>
    </w:r>
    <w:r>
      <w:instrText xml:space="preserve"> PAGE   \* MERGEFORMAT </w:instrText>
    </w:r>
    <w:r>
      <w:fldChar w:fldCharType="separate"/>
    </w:r>
    <w:r w:rsidR="00500BB3">
      <w:rPr>
        <w:noProof/>
      </w:rPr>
      <w:t>262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2AEDE" w14:textId="5E9E1DB2" w:rsidR="00054FE8" w:rsidRDefault="00054FE8" w:rsidP="00FC432E">
    <w:pPr>
      <w:pStyle w:val="Footer"/>
      <w:tabs>
        <w:tab w:val="clear" w:pos="4513"/>
      </w:tabs>
    </w:pPr>
    <w:r>
      <w:fldChar w:fldCharType="begin"/>
    </w:r>
    <w:r>
      <w:instrText xml:space="preserve"> PAGE   \* MERGEFORMAT </w:instrText>
    </w:r>
    <w:r>
      <w:fldChar w:fldCharType="separate"/>
    </w:r>
    <w:r>
      <w:rPr>
        <w:noProof/>
      </w:rPr>
      <w:t>118</w:t>
    </w:r>
    <w:r>
      <w:rPr>
        <w:noProof/>
      </w:rPr>
      <w:fldChar w:fldCharType="end"/>
    </w:r>
    <w:r>
      <w:rPr>
        <w:noProof/>
      </w:rPr>
      <w:tab/>
      <w:t>Date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CBA7" w14:textId="76CE1792" w:rsidR="00054FE8" w:rsidRPr="003358FF" w:rsidRDefault="00054FE8" w:rsidP="003358FF">
    <w:pPr>
      <w:pStyle w:val="Footer"/>
    </w:pPr>
    <w:r>
      <w:t>28/02/2020</w:t>
    </w:r>
    <w:r>
      <w:tab/>
    </w:r>
    <w:r>
      <w:tab/>
    </w:r>
    <w:r>
      <w:fldChar w:fldCharType="begin"/>
    </w:r>
    <w:r>
      <w:instrText xml:space="preserve"> PAGE   \* MERGEFORMAT </w:instrText>
    </w:r>
    <w:r>
      <w:fldChar w:fldCharType="separate"/>
    </w:r>
    <w:r w:rsidR="00500BB3">
      <w:rPr>
        <w:noProof/>
      </w:rPr>
      <w:t>270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3B28E" w14:textId="77777777" w:rsidR="00054FE8" w:rsidRDefault="00054FE8">
    <w:pPr>
      <w:pStyle w:val="Footer"/>
    </w:pPr>
    <w:r>
      <w:tab/>
      <w:t>date</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0243A" w14:textId="77777777" w:rsidR="00C974E5" w:rsidRDefault="00C974E5" w:rsidP="00AA7552">
      <w:pPr>
        <w:spacing w:before="0" w:after="0" w:line="240" w:lineRule="auto"/>
      </w:pPr>
      <w:r>
        <w:separator/>
      </w:r>
    </w:p>
  </w:footnote>
  <w:footnote w:type="continuationSeparator" w:id="0">
    <w:p w14:paraId="67E97320" w14:textId="77777777" w:rsidR="00C974E5" w:rsidRDefault="00C974E5" w:rsidP="00AA755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726CC" w14:textId="529C6D8D" w:rsidR="00054FE8" w:rsidRPr="001B3CCA" w:rsidRDefault="00054FE8" w:rsidP="00131351">
    <w:pPr>
      <w:pStyle w:val="NoSpacing"/>
      <w:jc w:val="center"/>
      <w:rPr>
        <w:i/>
        <w:sz w:val="16"/>
        <w:szCs w:val="16"/>
      </w:rPr>
    </w:pPr>
    <w:r>
      <w:rPr>
        <w:i/>
        <w:sz w:val="16"/>
        <w:szCs w:val="16"/>
      </w:rPr>
      <w:t xml:space="preserve">Final </w:t>
    </w:r>
    <w:r w:rsidRPr="001B3CCA">
      <w:rPr>
        <w:i/>
        <w:sz w:val="16"/>
        <w:szCs w:val="16"/>
      </w:rPr>
      <w:t xml:space="preserve">Research </w:t>
    </w:r>
    <w:r>
      <w:rPr>
        <w:i/>
        <w:sz w:val="16"/>
        <w:szCs w:val="16"/>
      </w:rPr>
      <w:t>Report</w:t>
    </w:r>
  </w:p>
  <w:p w14:paraId="7D32CAF1" w14:textId="20F6B02A" w:rsidR="00054FE8" w:rsidRDefault="00054FE8" w:rsidP="00DB76B5">
    <w:pPr>
      <w:pStyle w:val="NoSpacing"/>
      <w:jc w:val="center"/>
    </w:pPr>
    <w:r>
      <w:rPr>
        <w:i/>
        <w:sz w:val="16"/>
        <w:szCs w:val="16"/>
      </w:rPr>
      <w:t>Modelling approaches for histology-independent cancer drugs to inform NICE appraisals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92FC" w14:textId="0C1F8BEE" w:rsidR="00054FE8" w:rsidRPr="001B3CCA" w:rsidRDefault="00054FE8" w:rsidP="001B3CCA">
    <w:pPr>
      <w:pStyle w:val="NoSpacing"/>
      <w:jc w:val="center"/>
      <w:rPr>
        <w:i/>
        <w:sz w:val="16"/>
        <w:szCs w:val="16"/>
      </w:rPr>
    </w:pPr>
    <w:r>
      <w:rPr>
        <w:i/>
        <w:sz w:val="16"/>
        <w:szCs w:val="16"/>
      </w:rPr>
      <w:t xml:space="preserve">Final </w:t>
    </w:r>
    <w:r w:rsidRPr="001B3CCA">
      <w:rPr>
        <w:i/>
        <w:sz w:val="16"/>
        <w:szCs w:val="16"/>
      </w:rPr>
      <w:t xml:space="preserve">Research </w:t>
    </w:r>
    <w:r>
      <w:rPr>
        <w:i/>
        <w:sz w:val="16"/>
        <w:szCs w:val="16"/>
      </w:rPr>
      <w:t>Report</w:t>
    </w:r>
  </w:p>
  <w:p w14:paraId="2014C7FA" w14:textId="5CCFDFB8" w:rsidR="00054FE8" w:rsidRPr="001B3CCA" w:rsidRDefault="00054FE8" w:rsidP="001B3CCA">
    <w:pPr>
      <w:pStyle w:val="NoSpacing"/>
      <w:jc w:val="center"/>
      <w:rPr>
        <w:i/>
        <w:sz w:val="16"/>
        <w:szCs w:val="16"/>
      </w:rPr>
    </w:pPr>
    <w:r>
      <w:rPr>
        <w:i/>
        <w:sz w:val="16"/>
        <w:szCs w:val="16"/>
      </w:rPr>
      <w:t>Modelling approaches for histology-independent cancer drugs to inform NICE appraisals</w:t>
    </w:r>
  </w:p>
  <w:p w14:paraId="58488794" w14:textId="77777777" w:rsidR="00054FE8" w:rsidRDefault="00054F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96C12E6"/>
    <w:lvl w:ilvl="0">
      <w:start w:val="1"/>
      <w:numFmt w:val="bullet"/>
      <w:pStyle w:val="ListBullet2"/>
      <w:lvlText w:val=""/>
      <w:lvlJc w:val="left"/>
      <w:pPr>
        <w:tabs>
          <w:tab w:val="num" w:pos="680"/>
        </w:tabs>
        <w:ind w:left="680" w:hanging="397"/>
      </w:pPr>
      <w:rPr>
        <w:rFonts w:ascii="Symbol" w:hAnsi="Symbol" w:hint="default"/>
      </w:rPr>
    </w:lvl>
  </w:abstractNum>
  <w:abstractNum w:abstractNumId="1" w15:restartNumberingAfterBreak="0">
    <w:nsid w:val="FFFFFF88"/>
    <w:multiLevelType w:val="singleLevel"/>
    <w:tmpl w:val="3E546BCA"/>
    <w:lvl w:ilvl="0">
      <w:start w:val="1"/>
      <w:numFmt w:val="lowerLetter"/>
      <w:pStyle w:val="ListNumber"/>
      <w:lvlText w:val="%1)"/>
      <w:lvlJc w:val="left"/>
      <w:pPr>
        <w:tabs>
          <w:tab w:val="num" w:pos="397"/>
        </w:tabs>
        <w:ind w:left="397" w:hanging="397"/>
      </w:pPr>
      <w:rPr>
        <w:rFonts w:hint="default"/>
      </w:rPr>
    </w:lvl>
  </w:abstractNum>
  <w:abstractNum w:abstractNumId="2" w15:restartNumberingAfterBreak="0">
    <w:nsid w:val="FFFFFF89"/>
    <w:multiLevelType w:val="singleLevel"/>
    <w:tmpl w:val="0BAE502A"/>
    <w:lvl w:ilvl="0">
      <w:start w:val="1"/>
      <w:numFmt w:val="bullet"/>
      <w:pStyle w:val="ListBullet"/>
      <w:lvlText w:val=""/>
      <w:lvlJc w:val="left"/>
      <w:pPr>
        <w:tabs>
          <w:tab w:val="num" w:pos="397"/>
        </w:tabs>
        <w:ind w:left="397" w:hanging="397"/>
      </w:pPr>
      <w:rPr>
        <w:rFonts w:ascii="Symbol" w:hAnsi="Symbol" w:hint="default"/>
      </w:rPr>
    </w:lvl>
  </w:abstractNum>
  <w:abstractNum w:abstractNumId="3" w15:restartNumberingAfterBreak="0">
    <w:nsid w:val="005F684E"/>
    <w:multiLevelType w:val="hybridMultilevel"/>
    <w:tmpl w:val="C28AB8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0771431"/>
    <w:multiLevelType w:val="hybridMultilevel"/>
    <w:tmpl w:val="B60800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045421"/>
    <w:multiLevelType w:val="hybridMultilevel"/>
    <w:tmpl w:val="56A8FD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50371A"/>
    <w:multiLevelType w:val="hybridMultilevel"/>
    <w:tmpl w:val="A16E6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9B2FEF"/>
    <w:multiLevelType w:val="hybridMultilevel"/>
    <w:tmpl w:val="55947C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7F87016"/>
    <w:multiLevelType w:val="hybridMultilevel"/>
    <w:tmpl w:val="7BF4A768"/>
    <w:lvl w:ilvl="0" w:tplc="F6FCED88">
      <w:start w:val="1"/>
      <w:numFmt w:val="decimal"/>
      <w:lvlText w:val="%1."/>
      <w:lvlJc w:val="left"/>
      <w:pPr>
        <w:ind w:left="720" w:hanging="6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227DA3"/>
    <w:multiLevelType w:val="hybridMultilevel"/>
    <w:tmpl w:val="6C0219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2B7A1A"/>
    <w:multiLevelType w:val="hybridMultilevel"/>
    <w:tmpl w:val="28DCC6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A0E6394"/>
    <w:multiLevelType w:val="hybridMultilevel"/>
    <w:tmpl w:val="DE2E0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B5D205C"/>
    <w:multiLevelType w:val="hybridMultilevel"/>
    <w:tmpl w:val="65D2B0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C2A46C5"/>
    <w:multiLevelType w:val="hybridMultilevel"/>
    <w:tmpl w:val="E65AAE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EE052B3"/>
    <w:multiLevelType w:val="hybridMultilevel"/>
    <w:tmpl w:val="C02AB5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2730C18"/>
    <w:multiLevelType w:val="multilevel"/>
    <w:tmpl w:val="4588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FC7F04"/>
    <w:multiLevelType w:val="hybridMultilevel"/>
    <w:tmpl w:val="28A497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3D34B5F"/>
    <w:multiLevelType w:val="hybridMultilevel"/>
    <w:tmpl w:val="06EE2F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3EA1E65"/>
    <w:multiLevelType w:val="hybridMultilevel"/>
    <w:tmpl w:val="57781B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425023D"/>
    <w:multiLevelType w:val="hybridMultilevel"/>
    <w:tmpl w:val="31FE620E"/>
    <w:lvl w:ilvl="0" w:tplc="C39CCB46">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817177"/>
    <w:multiLevelType w:val="hybridMultilevel"/>
    <w:tmpl w:val="45380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1A415B"/>
    <w:multiLevelType w:val="hybridMultilevel"/>
    <w:tmpl w:val="1FEC19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84016AE"/>
    <w:multiLevelType w:val="hybridMultilevel"/>
    <w:tmpl w:val="AD6E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2E25A7"/>
    <w:multiLevelType w:val="hybridMultilevel"/>
    <w:tmpl w:val="48E4A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98E1218"/>
    <w:multiLevelType w:val="hybridMultilevel"/>
    <w:tmpl w:val="B0FE6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C940C6A"/>
    <w:multiLevelType w:val="hybridMultilevel"/>
    <w:tmpl w:val="E10E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0718CF"/>
    <w:multiLevelType w:val="hybridMultilevel"/>
    <w:tmpl w:val="5888DD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2CC2A14"/>
    <w:multiLevelType w:val="hybridMultilevel"/>
    <w:tmpl w:val="E0CEBA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AE835A5"/>
    <w:multiLevelType w:val="hybridMultilevel"/>
    <w:tmpl w:val="9878B4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B3D6CA1"/>
    <w:multiLevelType w:val="hybridMultilevel"/>
    <w:tmpl w:val="3D766A16"/>
    <w:lvl w:ilvl="0" w:tplc="6462722A">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B8F3AF9"/>
    <w:multiLevelType w:val="hybridMultilevel"/>
    <w:tmpl w:val="61404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C6B3656"/>
    <w:multiLevelType w:val="hybridMultilevel"/>
    <w:tmpl w:val="F37EF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CD7004F"/>
    <w:multiLevelType w:val="hybridMultilevel"/>
    <w:tmpl w:val="323804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CEB6163"/>
    <w:multiLevelType w:val="hybridMultilevel"/>
    <w:tmpl w:val="25C2EE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EFF2B1A"/>
    <w:multiLevelType w:val="hybridMultilevel"/>
    <w:tmpl w:val="8BD4D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10E1423"/>
    <w:multiLevelType w:val="hybridMultilevel"/>
    <w:tmpl w:val="D40094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12648CB"/>
    <w:multiLevelType w:val="hybridMultilevel"/>
    <w:tmpl w:val="C6CAEA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28976CC"/>
    <w:multiLevelType w:val="hybridMultilevel"/>
    <w:tmpl w:val="24680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2C56C60"/>
    <w:multiLevelType w:val="hybridMultilevel"/>
    <w:tmpl w:val="F7B20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2F64292"/>
    <w:multiLevelType w:val="hybridMultilevel"/>
    <w:tmpl w:val="E65AAE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4067E40"/>
    <w:multiLevelType w:val="hybridMultilevel"/>
    <w:tmpl w:val="1BCA7A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61B7A27"/>
    <w:multiLevelType w:val="hybridMultilevel"/>
    <w:tmpl w:val="9878B4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6AF09A5"/>
    <w:multiLevelType w:val="hybridMultilevel"/>
    <w:tmpl w:val="1B34D9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9512584"/>
    <w:multiLevelType w:val="hybridMultilevel"/>
    <w:tmpl w:val="B60800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3B207EA6"/>
    <w:multiLevelType w:val="hybridMultilevel"/>
    <w:tmpl w:val="D58E67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C5715AF"/>
    <w:multiLevelType w:val="hybridMultilevel"/>
    <w:tmpl w:val="7D5CBAEE"/>
    <w:lvl w:ilvl="0" w:tplc="6462722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D884107"/>
    <w:multiLevelType w:val="hybridMultilevel"/>
    <w:tmpl w:val="FCBA10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0FB1DCE"/>
    <w:multiLevelType w:val="hybridMultilevel"/>
    <w:tmpl w:val="F12826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3E57AC2"/>
    <w:multiLevelType w:val="multilevel"/>
    <w:tmpl w:val="4A7A79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459A5CF1"/>
    <w:multiLevelType w:val="hybridMultilevel"/>
    <w:tmpl w:val="812E5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64467AD"/>
    <w:multiLevelType w:val="hybridMultilevel"/>
    <w:tmpl w:val="F72E6840"/>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7D56A2F"/>
    <w:multiLevelType w:val="hybridMultilevel"/>
    <w:tmpl w:val="F12826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8B465E9"/>
    <w:multiLevelType w:val="hybridMultilevel"/>
    <w:tmpl w:val="1B34D9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4A9B666F"/>
    <w:multiLevelType w:val="hybridMultilevel"/>
    <w:tmpl w:val="1252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DC2C4A"/>
    <w:multiLevelType w:val="hybridMultilevel"/>
    <w:tmpl w:val="A3627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E3A4776"/>
    <w:multiLevelType w:val="hybridMultilevel"/>
    <w:tmpl w:val="5C64BC0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E54401D"/>
    <w:multiLevelType w:val="hybridMultilevel"/>
    <w:tmpl w:val="CABC4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4ECE7785"/>
    <w:multiLevelType w:val="hybridMultilevel"/>
    <w:tmpl w:val="65562194"/>
    <w:lvl w:ilvl="0" w:tplc="6462722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0865A56"/>
    <w:multiLevelType w:val="hybridMultilevel"/>
    <w:tmpl w:val="251C0C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515A382E"/>
    <w:multiLevelType w:val="hybridMultilevel"/>
    <w:tmpl w:val="DF3C8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5504394F"/>
    <w:multiLevelType w:val="hybridMultilevel"/>
    <w:tmpl w:val="BFB4E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5D17AC3"/>
    <w:multiLevelType w:val="hybridMultilevel"/>
    <w:tmpl w:val="9D182B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571F08BE"/>
    <w:multiLevelType w:val="multilevel"/>
    <w:tmpl w:val="5100E8A8"/>
    <w:numStyleLink w:val="Numberedheadingsscheme"/>
  </w:abstractNum>
  <w:abstractNum w:abstractNumId="63" w15:restartNumberingAfterBreak="0">
    <w:nsid w:val="575E755B"/>
    <w:multiLevelType w:val="hybridMultilevel"/>
    <w:tmpl w:val="97DA04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5800325A"/>
    <w:multiLevelType w:val="hybridMultilevel"/>
    <w:tmpl w:val="91D4DF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58404C95"/>
    <w:multiLevelType w:val="hybridMultilevel"/>
    <w:tmpl w:val="3454C7CE"/>
    <w:lvl w:ilvl="0" w:tplc="F6FCED88">
      <w:start w:val="1"/>
      <w:numFmt w:val="decimal"/>
      <w:lvlText w:val="%1."/>
      <w:lvlJc w:val="left"/>
      <w:pPr>
        <w:ind w:left="720" w:hanging="666"/>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66" w15:restartNumberingAfterBreak="0">
    <w:nsid w:val="58C95BFA"/>
    <w:multiLevelType w:val="hybridMultilevel"/>
    <w:tmpl w:val="0B783B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5A8866E0"/>
    <w:multiLevelType w:val="hybridMultilevel"/>
    <w:tmpl w:val="DA36C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5AED6E44"/>
    <w:multiLevelType w:val="hybridMultilevel"/>
    <w:tmpl w:val="C02AB5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5DBA68D9"/>
    <w:multiLevelType w:val="hybridMultilevel"/>
    <w:tmpl w:val="1BCA7A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F3B3454"/>
    <w:multiLevelType w:val="hybridMultilevel"/>
    <w:tmpl w:val="BE78AE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FD52C41"/>
    <w:multiLevelType w:val="hybridMultilevel"/>
    <w:tmpl w:val="D6727A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60283011"/>
    <w:multiLevelType w:val="hybridMultilevel"/>
    <w:tmpl w:val="FC9CB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06B2220"/>
    <w:multiLevelType w:val="hybridMultilevel"/>
    <w:tmpl w:val="D6E6C5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0E57136"/>
    <w:multiLevelType w:val="hybridMultilevel"/>
    <w:tmpl w:val="C5C0F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0EB52FC"/>
    <w:multiLevelType w:val="hybridMultilevel"/>
    <w:tmpl w:val="3ECEC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62174AC1"/>
    <w:multiLevelType w:val="hybridMultilevel"/>
    <w:tmpl w:val="6F78C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38529D2"/>
    <w:multiLevelType w:val="hybridMultilevel"/>
    <w:tmpl w:val="2A18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29539F"/>
    <w:multiLevelType w:val="hybridMultilevel"/>
    <w:tmpl w:val="82B625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4D87FBB"/>
    <w:multiLevelType w:val="hybridMultilevel"/>
    <w:tmpl w:val="F3BE4D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5B6502E"/>
    <w:multiLevelType w:val="hybridMultilevel"/>
    <w:tmpl w:val="7C66F2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7481073"/>
    <w:multiLevelType w:val="hybridMultilevel"/>
    <w:tmpl w:val="E3C45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8B23FB1"/>
    <w:multiLevelType w:val="multilevel"/>
    <w:tmpl w:val="5100E8A8"/>
    <w:styleLink w:val="Numberedheadingsschem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1008" w:hanging="1008"/>
      </w:pPr>
      <w:rPr>
        <w:rFonts w:hint="default"/>
      </w:rPr>
    </w:lvl>
    <w:lvl w:ilvl="5">
      <w:start w:val="1"/>
      <w:numFmt w:val="none"/>
      <w:pStyle w:val="Heading6"/>
      <w:suff w:val="nothing"/>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68D46A77"/>
    <w:multiLevelType w:val="hybridMultilevel"/>
    <w:tmpl w:val="9D182B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6AA76386"/>
    <w:multiLevelType w:val="hybridMultilevel"/>
    <w:tmpl w:val="DEBEA4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ADB3375"/>
    <w:multiLevelType w:val="hybridMultilevel"/>
    <w:tmpl w:val="97DA04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6C7500D5"/>
    <w:multiLevelType w:val="hybridMultilevel"/>
    <w:tmpl w:val="251C0C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F1D69EC"/>
    <w:multiLevelType w:val="hybridMultilevel"/>
    <w:tmpl w:val="0B783B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73026BC9"/>
    <w:multiLevelType w:val="hybridMultilevel"/>
    <w:tmpl w:val="2FBCCC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733D47AC"/>
    <w:multiLevelType w:val="hybridMultilevel"/>
    <w:tmpl w:val="52BE9FE6"/>
    <w:lvl w:ilvl="0" w:tplc="6462722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4995B05"/>
    <w:multiLevelType w:val="hybridMultilevel"/>
    <w:tmpl w:val="1C7C3C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52305AC"/>
    <w:multiLevelType w:val="hybridMultilevel"/>
    <w:tmpl w:val="7CBE0A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766008FF"/>
    <w:multiLevelType w:val="hybridMultilevel"/>
    <w:tmpl w:val="FBFA5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76AD1F7A"/>
    <w:multiLevelType w:val="hybridMultilevel"/>
    <w:tmpl w:val="1FEC19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78774A08"/>
    <w:multiLevelType w:val="hybridMultilevel"/>
    <w:tmpl w:val="760E60A0"/>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78A241E0"/>
    <w:multiLevelType w:val="hybridMultilevel"/>
    <w:tmpl w:val="C7CC50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79F16468"/>
    <w:multiLevelType w:val="hybridMultilevel"/>
    <w:tmpl w:val="E594113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7A804878"/>
    <w:multiLevelType w:val="hybridMultilevel"/>
    <w:tmpl w:val="B300B4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AB65AFF"/>
    <w:multiLevelType w:val="hybridMultilevel"/>
    <w:tmpl w:val="7CBE0A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7DDC28FD"/>
    <w:multiLevelType w:val="hybridMultilevel"/>
    <w:tmpl w:val="52BE9FE6"/>
    <w:lvl w:ilvl="0" w:tplc="6462722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F372AE4"/>
    <w:multiLevelType w:val="hybridMultilevel"/>
    <w:tmpl w:val="7438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F5536D6"/>
    <w:multiLevelType w:val="hybridMultilevel"/>
    <w:tmpl w:val="F81043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8"/>
  </w:num>
  <w:num w:numId="2">
    <w:abstractNumId w:val="82"/>
  </w:num>
  <w:num w:numId="3">
    <w:abstractNumId w:val="6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none"/>
        <w:pStyle w:val="Heading5"/>
        <w:suff w:val="nothing"/>
        <w:lvlText w:val=""/>
        <w:lvlJc w:val="left"/>
        <w:pPr>
          <w:ind w:left="1008" w:hanging="1008"/>
        </w:pPr>
        <w:rPr>
          <w:rFonts w:hint="default"/>
        </w:rPr>
      </w:lvl>
    </w:lvlOverride>
    <w:lvlOverride w:ilvl="5">
      <w:lvl w:ilvl="5">
        <w:start w:val="1"/>
        <w:numFmt w:val="none"/>
        <w:pStyle w:val="Heading6"/>
        <w:suff w:val="nothing"/>
        <w:lvlText w:val=""/>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abstractNumId w:val="2"/>
  </w:num>
  <w:num w:numId="5">
    <w:abstractNumId w:val="0"/>
  </w:num>
  <w:num w:numId="6">
    <w:abstractNumId w:val="1"/>
  </w:num>
  <w:num w:numId="7">
    <w:abstractNumId w:val="22"/>
  </w:num>
  <w:num w:numId="8">
    <w:abstractNumId w:val="77"/>
  </w:num>
  <w:num w:numId="9">
    <w:abstractNumId w:val="15"/>
  </w:num>
  <w:num w:numId="10">
    <w:abstractNumId w:val="79"/>
  </w:num>
  <w:num w:numId="11">
    <w:abstractNumId w:val="5"/>
  </w:num>
  <w:num w:numId="12">
    <w:abstractNumId w:val="33"/>
  </w:num>
  <w:num w:numId="13">
    <w:abstractNumId w:val="26"/>
  </w:num>
  <w:num w:numId="14">
    <w:abstractNumId w:val="32"/>
  </w:num>
  <w:num w:numId="15">
    <w:abstractNumId w:val="84"/>
  </w:num>
  <w:num w:numId="16">
    <w:abstractNumId w:val="11"/>
  </w:num>
  <w:num w:numId="17">
    <w:abstractNumId w:val="16"/>
  </w:num>
  <w:num w:numId="18">
    <w:abstractNumId w:val="35"/>
  </w:num>
  <w:num w:numId="19">
    <w:abstractNumId w:val="78"/>
  </w:num>
  <w:num w:numId="20">
    <w:abstractNumId w:val="7"/>
  </w:num>
  <w:num w:numId="21">
    <w:abstractNumId w:val="61"/>
  </w:num>
  <w:num w:numId="22">
    <w:abstractNumId w:val="83"/>
  </w:num>
  <w:num w:numId="23">
    <w:abstractNumId w:val="14"/>
  </w:num>
  <w:num w:numId="24">
    <w:abstractNumId w:val="68"/>
  </w:num>
  <w:num w:numId="25">
    <w:abstractNumId w:val="100"/>
  </w:num>
  <w:num w:numId="26">
    <w:abstractNumId w:val="87"/>
  </w:num>
  <w:num w:numId="27">
    <w:abstractNumId w:val="66"/>
  </w:num>
  <w:num w:numId="28">
    <w:abstractNumId w:val="43"/>
  </w:num>
  <w:num w:numId="29">
    <w:abstractNumId w:val="4"/>
  </w:num>
  <w:num w:numId="30">
    <w:abstractNumId w:val="3"/>
  </w:num>
  <w:num w:numId="31">
    <w:abstractNumId w:val="28"/>
  </w:num>
  <w:num w:numId="32">
    <w:abstractNumId w:val="41"/>
  </w:num>
  <w:num w:numId="33">
    <w:abstractNumId w:val="69"/>
  </w:num>
  <w:num w:numId="34">
    <w:abstractNumId w:val="40"/>
  </w:num>
  <w:num w:numId="35">
    <w:abstractNumId w:val="58"/>
  </w:num>
  <w:num w:numId="36">
    <w:abstractNumId w:val="86"/>
  </w:num>
  <w:num w:numId="37">
    <w:abstractNumId w:val="60"/>
  </w:num>
  <w:num w:numId="38">
    <w:abstractNumId w:val="64"/>
  </w:num>
  <w:num w:numId="39">
    <w:abstractNumId w:val="63"/>
  </w:num>
  <w:num w:numId="40">
    <w:abstractNumId w:val="85"/>
  </w:num>
  <w:num w:numId="41">
    <w:abstractNumId w:val="90"/>
  </w:num>
  <w:num w:numId="42">
    <w:abstractNumId w:val="47"/>
  </w:num>
  <w:num w:numId="43">
    <w:abstractNumId w:val="51"/>
  </w:num>
  <w:num w:numId="44">
    <w:abstractNumId w:val="93"/>
  </w:num>
  <w:num w:numId="45">
    <w:abstractNumId w:val="21"/>
  </w:num>
  <w:num w:numId="46">
    <w:abstractNumId w:val="42"/>
  </w:num>
  <w:num w:numId="47">
    <w:abstractNumId w:val="52"/>
  </w:num>
  <w:num w:numId="48">
    <w:abstractNumId w:val="54"/>
  </w:num>
  <w:num w:numId="49">
    <w:abstractNumId w:val="27"/>
  </w:num>
  <w:num w:numId="50">
    <w:abstractNumId w:val="73"/>
  </w:num>
  <w:num w:numId="51">
    <w:abstractNumId w:val="101"/>
  </w:num>
  <w:num w:numId="52">
    <w:abstractNumId w:val="71"/>
  </w:num>
  <w:num w:numId="53">
    <w:abstractNumId w:val="36"/>
  </w:num>
  <w:num w:numId="54">
    <w:abstractNumId w:val="59"/>
  </w:num>
  <w:num w:numId="55">
    <w:abstractNumId w:val="30"/>
  </w:num>
  <w:num w:numId="56">
    <w:abstractNumId w:val="38"/>
  </w:num>
  <w:num w:numId="57">
    <w:abstractNumId w:val="67"/>
  </w:num>
  <w:num w:numId="58">
    <w:abstractNumId w:val="80"/>
  </w:num>
  <w:num w:numId="59">
    <w:abstractNumId w:val="10"/>
  </w:num>
  <w:num w:numId="60">
    <w:abstractNumId w:val="97"/>
  </w:num>
  <w:num w:numId="61">
    <w:abstractNumId w:val="34"/>
  </w:num>
  <w:num w:numId="62">
    <w:abstractNumId w:val="75"/>
  </w:num>
  <w:num w:numId="63">
    <w:abstractNumId w:val="44"/>
  </w:num>
  <w:num w:numId="64">
    <w:abstractNumId w:val="13"/>
  </w:num>
  <w:num w:numId="65">
    <w:abstractNumId w:val="39"/>
  </w:num>
  <w:num w:numId="66">
    <w:abstractNumId w:val="98"/>
  </w:num>
  <w:num w:numId="67">
    <w:abstractNumId w:val="91"/>
  </w:num>
  <w:num w:numId="68">
    <w:abstractNumId w:val="46"/>
  </w:num>
  <w:num w:numId="69">
    <w:abstractNumId w:val="88"/>
  </w:num>
  <w:num w:numId="70">
    <w:abstractNumId w:val="29"/>
  </w:num>
  <w:num w:numId="71">
    <w:abstractNumId w:val="57"/>
  </w:num>
  <w:num w:numId="72">
    <w:abstractNumId w:val="45"/>
  </w:num>
  <w:num w:numId="73">
    <w:abstractNumId w:val="89"/>
  </w:num>
  <w:num w:numId="74">
    <w:abstractNumId w:val="99"/>
  </w:num>
  <w:num w:numId="75">
    <w:abstractNumId w:val="17"/>
  </w:num>
  <w:num w:numId="76">
    <w:abstractNumId w:val="94"/>
  </w:num>
  <w:num w:numId="77">
    <w:abstractNumId w:val="92"/>
  </w:num>
  <w:num w:numId="78">
    <w:abstractNumId w:val="50"/>
  </w:num>
  <w:num w:numId="79">
    <w:abstractNumId w:val="95"/>
  </w:num>
  <w:num w:numId="80">
    <w:abstractNumId w:val="96"/>
  </w:num>
  <w:num w:numId="81">
    <w:abstractNumId w:val="18"/>
  </w:num>
  <w:num w:numId="82">
    <w:abstractNumId w:val="55"/>
  </w:num>
  <w:num w:numId="83">
    <w:abstractNumId w:val="70"/>
  </w:num>
  <w:num w:numId="84">
    <w:abstractNumId w:val="20"/>
  </w:num>
  <w:num w:numId="85">
    <w:abstractNumId w:val="53"/>
  </w:num>
  <w:num w:numId="86">
    <w:abstractNumId w:val="19"/>
  </w:num>
  <w:num w:numId="87">
    <w:abstractNumId w:val="37"/>
  </w:num>
  <w:num w:numId="88">
    <w:abstractNumId w:val="23"/>
  </w:num>
  <w:num w:numId="89">
    <w:abstractNumId w:val="76"/>
  </w:num>
  <w:num w:numId="90">
    <w:abstractNumId w:val="24"/>
  </w:num>
  <w:num w:numId="91">
    <w:abstractNumId w:val="6"/>
  </w:num>
  <w:num w:numId="92">
    <w:abstractNumId w:val="49"/>
  </w:num>
  <w:num w:numId="93">
    <w:abstractNumId w:val="12"/>
  </w:num>
  <w:num w:numId="94">
    <w:abstractNumId w:val="74"/>
  </w:num>
  <w:num w:numId="95">
    <w:abstractNumId w:val="72"/>
  </w:num>
  <w:num w:numId="96">
    <w:abstractNumId w:val="81"/>
  </w:num>
  <w:num w:numId="97">
    <w:abstractNumId w:val="31"/>
  </w:num>
  <w:num w:numId="98">
    <w:abstractNumId w:val="9"/>
  </w:num>
  <w:num w:numId="99">
    <w:abstractNumId w:val="25"/>
  </w:num>
  <w:num w:numId="100">
    <w:abstractNumId w:val="56"/>
  </w:num>
  <w:num w:numId="101">
    <w:abstractNumId w:val="65"/>
  </w:num>
  <w:num w:numId="102">
    <w:abstractNumId w:val="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it-IT" w:vendorID="64" w:dllVersion="6" w:nlCheck="1" w:checkStyle="0"/>
  <w:activeWritingStyle w:appName="MSWord" w:lang="pt-PT" w:vendorID="64" w:dllVersion="6" w:nlCheck="1" w:checkStyle="0"/>
  <w:activeWritingStyle w:appName="MSWord" w:lang="nl-NL"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fr-FR"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JG&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aevxvazfs2f3ewvzmxrd0k0wasw55p2z2w&quot;&gt;SiteAgnostic-Converted&lt;record-ids&gt;&lt;item&gt;10&lt;/item&gt;&lt;item&gt;21&lt;/item&gt;&lt;item&gt;47&lt;/item&gt;&lt;item&gt;191&lt;/item&gt;&lt;item&gt;244&lt;/item&gt;&lt;item&gt;245&lt;/item&gt;&lt;item&gt;312&lt;/item&gt;&lt;item&gt;328&lt;/item&gt;&lt;item&gt;337&lt;/item&gt;&lt;item&gt;496&lt;/item&gt;&lt;item&gt;531&lt;/item&gt;&lt;item&gt;534&lt;/item&gt;&lt;item&gt;535&lt;/item&gt;&lt;item&gt;536&lt;/item&gt;&lt;item&gt;564&lt;/item&gt;&lt;item&gt;633&lt;/item&gt;&lt;item&gt;642&lt;/item&gt;&lt;item&gt;701&lt;/item&gt;&lt;item&gt;749&lt;/item&gt;&lt;item&gt;817&lt;/item&gt;&lt;item&gt;841&lt;/item&gt;&lt;item&gt;946&lt;/item&gt;&lt;item&gt;1071&lt;/item&gt;&lt;item&gt;1087&lt;/item&gt;&lt;item&gt;1098&lt;/item&gt;&lt;item&gt;1125&lt;/item&gt;&lt;item&gt;1126&lt;/item&gt;&lt;item&gt;1223&lt;/item&gt;&lt;item&gt;1225&lt;/item&gt;&lt;item&gt;1283&lt;/item&gt;&lt;item&gt;1286&lt;/item&gt;&lt;item&gt;1312&lt;/item&gt;&lt;item&gt;1313&lt;/item&gt;&lt;item&gt;1395&lt;/item&gt;&lt;item&gt;1450&lt;/item&gt;&lt;item&gt;1483&lt;/item&gt;&lt;item&gt;1713&lt;/item&gt;&lt;item&gt;1769&lt;/item&gt;&lt;item&gt;1788&lt;/item&gt;&lt;item&gt;1824&lt;/item&gt;&lt;item&gt;1862&lt;/item&gt;&lt;item&gt;1909&lt;/item&gt;&lt;item&gt;1921&lt;/item&gt;&lt;item&gt;1922&lt;/item&gt;&lt;item&gt;2079&lt;/item&gt;&lt;item&gt;2081&lt;/item&gt;&lt;item&gt;2115&lt;/item&gt;&lt;item&gt;2146&lt;/item&gt;&lt;item&gt;2177&lt;/item&gt;&lt;item&gt;2179&lt;/item&gt;&lt;item&gt;2287&lt;/item&gt;&lt;item&gt;2336&lt;/item&gt;&lt;item&gt;2349&lt;/item&gt;&lt;item&gt;2350&lt;/item&gt;&lt;item&gt;2414&lt;/item&gt;&lt;item&gt;2536&lt;/item&gt;&lt;item&gt;2561&lt;/item&gt;&lt;item&gt;2574&lt;/item&gt;&lt;item&gt;2647&lt;/item&gt;&lt;item&gt;2735&lt;/item&gt;&lt;item&gt;2747&lt;/item&gt;&lt;item&gt;2756&lt;/item&gt;&lt;item&gt;2760&lt;/item&gt;&lt;item&gt;2761&lt;/item&gt;&lt;item&gt;2902&lt;/item&gt;&lt;item&gt;2907&lt;/item&gt;&lt;item&gt;2979&lt;/item&gt;&lt;item&gt;3043&lt;/item&gt;&lt;item&gt;3131&lt;/item&gt;&lt;item&gt;3299&lt;/item&gt;&lt;item&gt;3368&lt;/item&gt;&lt;item&gt;3386&lt;/item&gt;&lt;item&gt;3387&lt;/item&gt;&lt;item&gt;3388&lt;/item&gt;&lt;item&gt;3390&lt;/item&gt;&lt;item&gt;3391&lt;/item&gt;&lt;item&gt;3392&lt;/item&gt;&lt;item&gt;3393&lt;/item&gt;&lt;item&gt;3395&lt;/item&gt;&lt;item&gt;3396&lt;/item&gt;&lt;item&gt;3397&lt;/item&gt;&lt;item&gt;3398&lt;/item&gt;&lt;item&gt;3399&lt;/item&gt;&lt;item&gt;3400&lt;/item&gt;&lt;item&gt;3401&lt;/item&gt;&lt;item&gt;3402&lt;/item&gt;&lt;item&gt;3403&lt;/item&gt;&lt;item&gt;3406&lt;/item&gt;&lt;item&gt;3407&lt;/item&gt;&lt;item&gt;3408&lt;/item&gt;&lt;item&gt;3409&lt;/item&gt;&lt;item&gt;3410&lt;/item&gt;&lt;item&gt;3411&lt;/item&gt;&lt;item&gt;3413&lt;/item&gt;&lt;item&gt;3415&lt;/item&gt;&lt;item&gt;3416&lt;/item&gt;&lt;item&gt;3418&lt;/item&gt;&lt;item&gt;3419&lt;/item&gt;&lt;item&gt;3421&lt;/item&gt;&lt;item&gt;3422&lt;/item&gt;&lt;item&gt;3423&lt;/item&gt;&lt;item&gt;3424&lt;/item&gt;&lt;item&gt;3426&lt;/item&gt;&lt;item&gt;3427&lt;/item&gt;&lt;item&gt;3428&lt;/item&gt;&lt;item&gt;3429&lt;/item&gt;&lt;item&gt;3430&lt;/item&gt;&lt;item&gt;3431&lt;/item&gt;&lt;item&gt;3432&lt;/item&gt;&lt;item&gt;3433&lt;/item&gt;&lt;item&gt;3434&lt;/item&gt;&lt;item&gt;3435&lt;/item&gt;&lt;item&gt;3436&lt;/item&gt;&lt;item&gt;3437&lt;/item&gt;&lt;item&gt;3439&lt;/item&gt;&lt;item&gt;3440&lt;/item&gt;&lt;item&gt;3442&lt;/item&gt;&lt;item&gt;3445&lt;/item&gt;&lt;item&gt;3446&lt;/item&gt;&lt;item&gt;3447&lt;/item&gt;&lt;item&gt;3448&lt;/item&gt;&lt;item&gt;3449&lt;/item&gt;&lt;item&gt;3451&lt;/item&gt;&lt;item&gt;3453&lt;/item&gt;&lt;item&gt;3454&lt;/item&gt;&lt;item&gt;3455&lt;/item&gt;&lt;item&gt;3456&lt;/item&gt;&lt;item&gt;3458&lt;/item&gt;&lt;item&gt;3459&lt;/item&gt;&lt;item&gt;3460&lt;/item&gt;&lt;item&gt;3461&lt;/item&gt;&lt;item&gt;3462&lt;/item&gt;&lt;item&gt;3464&lt;/item&gt;&lt;item&gt;3465&lt;/item&gt;&lt;item&gt;3468&lt;/item&gt;&lt;item&gt;3469&lt;/item&gt;&lt;item&gt;3470&lt;/item&gt;&lt;item&gt;3473&lt;/item&gt;&lt;item&gt;3474&lt;/item&gt;&lt;item&gt;3475&lt;/item&gt;&lt;item&gt;3476&lt;/item&gt;&lt;item&gt;3477&lt;/item&gt;&lt;item&gt;3478&lt;/item&gt;&lt;item&gt;3479&lt;/item&gt;&lt;item&gt;3481&lt;/item&gt;&lt;item&gt;3482&lt;/item&gt;&lt;item&gt;3483&lt;/item&gt;&lt;item&gt;3484&lt;/item&gt;&lt;item&gt;3485&lt;/item&gt;&lt;item&gt;3486&lt;/item&gt;&lt;item&gt;3491&lt;/item&gt;&lt;item&gt;3494&lt;/item&gt;&lt;item&gt;3495&lt;/item&gt;&lt;item&gt;3496&lt;/item&gt;&lt;item&gt;3497&lt;/item&gt;&lt;item&gt;3499&lt;/item&gt;&lt;item&gt;3500&lt;/item&gt;&lt;item&gt;3503&lt;/item&gt;&lt;item&gt;3504&lt;/item&gt;&lt;item&gt;3506&lt;/item&gt;&lt;item&gt;3512&lt;/item&gt;&lt;item&gt;3513&lt;/item&gt;&lt;item&gt;3514&lt;/item&gt;&lt;item&gt;3515&lt;/item&gt;&lt;item&gt;3516&lt;/item&gt;&lt;item&gt;3517&lt;/item&gt;&lt;item&gt;3518&lt;/item&gt;&lt;item&gt;3519&lt;/item&gt;&lt;item&gt;3520&lt;/item&gt;&lt;item&gt;3521&lt;/item&gt;&lt;item&gt;3522&lt;/item&gt;&lt;item&gt;3523&lt;/item&gt;&lt;item&gt;3524&lt;/item&gt;&lt;item&gt;3526&lt;/item&gt;&lt;item&gt;3527&lt;/item&gt;&lt;item&gt;3528&lt;/item&gt;&lt;item&gt;3529&lt;/item&gt;&lt;item&gt;3530&lt;/item&gt;&lt;item&gt;3531&lt;/item&gt;&lt;item&gt;3532&lt;/item&gt;&lt;item&gt;3534&lt;/item&gt;&lt;item&gt;3535&lt;/item&gt;&lt;item&gt;3537&lt;/item&gt;&lt;item&gt;3538&lt;/item&gt;&lt;item&gt;3539&lt;/item&gt;&lt;item&gt;3540&lt;/item&gt;&lt;item&gt;3541&lt;/item&gt;&lt;item&gt;3542&lt;/item&gt;&lt;item&gt;3543&lt;/item&gt;&lt;item&gt;3544&lt;/item&gt;&lt;item&gt;3545&lt;/item&gt;&lt;item&gt;3546&lt;/item&gt;&lt;item&gt;3547&lt;/item&gt;&lt;item&gt;3548&lt;/item&gt;&lt;item&gt;3550&lt;/item&gt;&lt;item&gt;3551&lt;/item&gt;&lt;item&gt;3552&lt;/item&gt;&lt;item&gt;3553&lt;/item&gt;&lt;item&gt;3554&lt;/item&gt;&lt;item&gt;3555&lt;/item&gt;&lt;item&gt;3556&lt;/item&gt;&lt;item&gt;3557&lt;/item&gt;&lt;item&gt;3558&lt;/item&gt;&lt;item&gt;3559&lt;/item&gt;&lt;item&gt;3560&lt;/item&gt;&lt;item&gt;3561&lt;/item&gt;&lt;item&gt;3562&lt;/item&gt;&lt;item&gt;3563&lt;/item&gt;&lt;item&gt;3564&lt;/item&gt;&lt;item&gt;3565&lt;/item&gt;&lt;item&gt;3566&lt;/item&gt;&lt;item&gt;3567&lt;/item&gt;&lt;item&gt;3568&lt;/item&gt;&lt;item&gt;3569&lt;/item&gt;&lt;item&gt;3570&lt;/item&gt;&lt;item&gt;3571&lt;/item&gt;&lt;item&gt;3572&lt;/item&gt;&lt;item&gt;3574&lt;/item&gt;&lt;item&gt;3575&lt;/item&gt;&lt;item&gt;3577&lt;/item&gt;&lt;item&gt;3578&lt;/item&gt;&lt;item&gt;3579&lt;/item&gt;&lt;item&gt;3580&lt;/item&gt;&lt;item&gt;3581&lt;/item&gt;&lt;item&gt;3582&lt;/item&gt;&lt;item&gt;3583&lt;/item&gt;&lt;item&gt;3585&lt;/item&gt;&lt;item&gt;3587&lt;/item&gt;&lt;item&gt;3588&lt;/item&gt;&lt;item&gt;3590&lt;/item&gt;&lt;item&gt;3591&lt;/item&gt;&lt;item&gt;3592&lt;/item&gt;&lt;item&gt;3594&lt;/item&gt;&lt;item&gt;3595&lt;/item&gt;&lt;item&gt;3596&lt;/item&gt;&lt;item&gt;3597&lt;/item&gt;&lt;item&gt;3600&lt;/item&gt;&lt;item&gt;3601&lt;/item&gt;&lt;item&gt;3602&lt;/item&gt;&lt;item&gt;3604&lt;/item&gt;&lt;/record-ids&gt;&lt;/item&gt;&lt;/Libraries&gt;"/>
  </w:docVars>
  <w:rsids>
    <w:rsidRoot w:val="001B3CCA"/>
    <w:rsid w:val="0000087B"/>
    <w:rsid w:val="00000F3D"/>
    <w:rsid w:val="00001080"/>
    <w:rsid w:val="0000253F"/>
    <w:rsid w:val="00002D4D"/>
    <w:rsid w:val="00003D88"/>
    <w:rsid w:val="00005DB0"/>
    <w:rsid w:val="00006F6F"/>
    <w:rsid w:val="00012226"/>
    <w:rsid w:val="00013D6C"/>
    <w:rsid w:val="00014194"/>
    <w:rsid w:val="00014747"/>
    <w:rsid w:val="00015137"/>
    <w:rsid w:val="00015580"/>
    <w:rsid w:val="00016E58"/>
    <w:rsid w:val="00017A7C"/>
    <w:rsid w:val="00017B0C"/>
    <w:rsid w:val="000205E8"/>
    <w:rsid w:val="00021442"/>
    <w:rsid w:val="0002192C"/>
    <w:rsid w:val="00021D64"/>
    <w:rsid w:val="000268EF"/>
    <w:rsid w:val="00027C85"/>
    <w:rsid w:val="00031265"/>
    <w:rsid w:val="00033CC7"/>
    <w:rsid w:val="000347C7"/>
    <w:rsid w:val="000349C0"/>
    <w:rsid w:val="0003530F"/>
    <w:rsid w:val="00035902"/>
    <w:rsid w:val="000361B1"/>
    <w:rsid w:val="00036323"/>
    <w:rsid w:val="000367DE"/>
    <w:rsid w:val="0003702B"/>
    <w:rsid w:val="00040E4D"/>
    <w:rsid w:val="00041E32"/>
    <w:rsid w:val="00043938"/>
    <w:rsid w:val="00043AF5"/>
    <w:rsid w:val="000441FE"/>
    <w:rsid w:val="000442BF"/>
    <w:rsid w:val="00044D63"/>
    <w:rsid w:val="00044D69"/>
    <w:rsid w:val="00044DBF"/>
    <w:rsid w:val="000454FD"/>
    <w:rsid w:val="000474A3"/>
    <w:rsid w:val="00050D88"/>
    <w:rsid w:val="000514C7"/>
    <w:rsid w:val="00054FE8"/>
    <w:rsid w:val="000556A5"/>
    <w:rsid w:val="00055E4F"/>
    <w:rsid w:val="00057280"/>
    <w:rsid w:val="00060C1D"/>
    <w:rsid w:val="00061256"/>
    <w:rsid w:val="000650DA"/>
    <w:rsid w:val="00065401"/>
    <w:rsid w:val="00065E5F"/>
    <w:rsid w:val="000662AE"/>
    <w:rsid w:val="000667A5"/>
    <w:rsid w:val="000679C7"/>
    <w:rsid w:val="00070DD0"/>
    <w:rsid w:val="00070E42"/>
    <w:rsid w:val="00074164"/>
    <w:rsid w:val="000741CA"/>
    <w:rsid w:val="00076767"/>
    <w:rsid w:val="00077320"/>
    <w:rsid w:val="00080267"/>
    <w:rsid w:val="00080BB6"/>
    <w:rsid w:val="00081096"/>
    <w:rsid w:val="000817BB"/>
    <w:rsid w:val="00084BFE"/>
    <w:rsid w:val="00086AE9"/>
    <w:rsid w:val="00086BC4"/>
    <w:rsid w:val="00087952"/>
    <w:rsid w:val="00087BC7"/>
    <w:rsid w:val="0009369F"/>
    <w:rsid w:val="00093DF1"/>
    <w:rsid w:val="000A0341"/>
    <w:rsid w:val="000A06F7"/>
    <w:rsid w:val="000A0793"/>
    <w:rsid w:val="000A0C61"/>
    <w:rsid w:val="000A1991"/>
    <w:rsid w:val="000A39DD"/>
    <w:rsid w:val="000A46AE"/>
    <w:rsid w:val="000A5D84"/>
    <w:rsid w:val="000A6388"/>
    <w:rsid w:val="000A65BF"/>
    <w:rsid w:val="000A6C0B"/>
    <w:rsid w:val="000A6FBA"/>
    <w:rsid w:val="000A77F5"/>
    <w:rsid w:val="000B1518"/>
    <w:rsid w:val="000B18DE"/>
    <w:rsid w:val="000B1C1F"/>
    <w:rsid w:val="000B29E1"/>
    <w:rsid w:val="000B2A8F"/>
    <w:rsid w:val="000B558A"/>
    <w:rsid w:val="000B6F77"/>
    <w:rsid w:val="000B74BE"/>
    <w:rsid w:val="000B7AE3"/>
    <w:rsid w:val="000B7C47"/>
    <w:rsid w:val="000C08C4"/>
    <w:rsid w:val="000C0DCF"/>
    <w:rsid w:val="000C1D30"/>
    <w:rsid w:val="000C27EE"/>
    <w:rsid w:val="000C2BF4"/>
    <w:rsid w:val="000C3FB3"/>
    <w:rsid w:val="000C4530"/>
    <w:rsid w:val="000C66CE"/>
    <w:rsid w:val="000C737A"/>
    <w:rsid w:val="000D1734"/>
    <w:rsid w:val="000D1ABD"/>
    <w:rsid w:val="000D2CC8"/>
    <w:rsid w:val="000D384F"/>
    <w:rsid w:val="000D3D7F"/>
    <w:rsid w:val="000D4B2B"/>
    <w:rsid w:val="000D7FC4"/>
    <w:rsid w:val="000E180E"/>
    <w:rsid w:val="000E18EF"/>
    <w:rsid w:val="000E1A78"/>
    <w:rsid w:val="000E376F"/>
    <w:rsid w:val="000E405B"/>
    <w:rsid w:val="000E4C2A"/>
    <w:rsid w:val="000E4C53"/>
    <w:rsid w:val="000E66DE"/>
    <w:rsid w:val="000E6807"/>
    <w:rsid w:val="000E723B"/>
    <w:rsid w:val="000E7A3C"/>
    <w:rsid w:val="000E7B35"/>
    <w:rsid w:val="000F1877"/>
    <w:rsid w:val="000F4096"/>
    <w:rsid w:val="000F5863"/>
    <w:rsid w:val="000F659B"/>
    <w:rsid w:val="000F7489"/>
    <w:rsid w:val="000F7FEF"/>
    <w:rsid w:val="001013CF"/>
    <w:rsid w:val="00103770"/>
    <w:rsid w:val="00106BBA"/>
    <w:rsid w:val="00112465"/>
    <w:rsid w:val="00115278"/>
    <w:rsid w:val="00115C5B"/>
    <w:rsid w:val="00121437"/>
    <w:rsid w:val="00121A2F"/>
    <w:rsid w:val="00123084"/>
    <w:rsid w:val="00124A95"/>
    <w:rsid w:val="00126252"/>
    <w:rsid w:val="00131351"/>
    <w:rsid w:val="00131466"/>
    <w:rsid w:val="001326A2"/>
    <w:rsid w:val="0013315F"/>
    <w:rsid w:val="00133209"/>
    <w:rsid w:val="0013396C"/>
    <w:rsid w:val="001353C7"/>
    <w:rsid w:val="00136921"/>
    <w:rsid w:val="001411F3"/>
    <w:rsid w:val="001417F4"/>
    <w:rsid w:val="001428CD"/>
    <w:rsid w:val="00143130"/>
    <w:rsid w:val="001436D7"/>
    <w:rsid w:val="00143EB5"/>
    <w:rsid w:val="00144895"/>
    <w:rsid w:val="0014544D"/>
    <w:rsid w:val="0015378A"/>
    <w:rsid w:val="00154F8E"/>
    <w:rsid w:val="001568F1"/>
    <w:rsid w:val="00157E31"/>
    <w:rsid w:val="00160E13"/>
    <w:rsid w:val="00160F14"/>
    <w:rsid w:val="0016126B"/>
    <w:rsid w:val="001664E4"/>
    <w:rsid w:val="0016678A"/>
    <w:rsid w:val="00167439"/>
    <w:rsid w:val="001706F8"/>
    <w:rsid w:val="0017332D"/>
    <w:rsid w:val="00173572"/>
    <w:rsid w:val="0017478A"/>
    <w:rsid w:val="001750FC"/>
    <w:rsid w:val="001756EA"/>
    <w:rsid w:val="001759D6"/>
    <w:rsid w:val="00176A4E"/>
    <w:rsid w:val="00177131"/>
    <w:rsid w:val="0017737E"/>
    <w:rsid w:val="0018000D"/>
    <w:rsid w:val="00181984"/>
    <w:rsid w:val="00181E4D"/>
    <w:rsid w:val="00183111"/>
    <w:rsid w:val="00184ADA"/>
    <w:rsid w:val="00187417"/>
    <w:rsid w:val="001908CA"/>
    <w:rsid w:val="0019149C"/>
    <w:rsid w:val="00191B68"/>
    <w:rsid w:val="0019332C"/>
    <w:rsid w:val="0019398B"/>
    <w:rsid w:val="00193B93"/>
    <w:rsid w:val="00195E79"/>
    <w:rsid w:val="0019616E"/>
    <w:rsid w:val="00196550"/>
    <w:rsid w:val="00197254"/>
    <w:rsid w:val="00197B27"/>
    <w:rsid w:val="001A1E03"/>
    <w:rsid w:val="001A272D"/>
    <w:rsid w:val="001A319C"/>
    <w:rsid w:val="001A554F"/>
    <w:rsid w:val="001A6D70"/>
    <w:rsid w:val="001B0B92"/>
    <w:rsid w:val="001B2B93"/>
    <w:rsid w:val="001B3CCA"/>
    <w:rsid w:val="001B48A3"/>
    <w:rsid w:val="001B4DC7"/>
    <w:rsid w:val="001B54EC"/>
    <w:rsid w:val="001B6272"/>
    <w:rsid w:val="001C1B00"/>
    <w:rsid w:val="001C250B"/>
    <w:rsid w:val="001C385F"/>
    <w:rsid w:val="001C3960"/>
    <w:rsid w:val="001C4837"/>
    <w:rsid w:val="001C4AFA"/>
    <w:rsid w:val="001C4B11"/>
    <w:rsid w:val="001C5937"/>
    <w:rsid w:val="001C632C"/>
    <w:rsid w:val="001C7215"/>
    <w:rsid w:val="001C7E59"/>
    <w:rsid w:val="001D1184"/>
    <w:rsid w:val="001D1DF4"/>
    <w:rsid w:val="001D20F3"/>
    <w:rsid w:val="001D2FFD"/>
    <w:rsid w:val="001D413D"/>
    <w:rsid w:val="001D6463"/>
    <w:rsid w:val="001D682F"/>
    <w:rsid w:val="001D741F"/>
    <w:rsid w:val="001E0FD7"/>
    <w:rsid w:val="001E1399"/>
    <w:rsid w:val="001E21CC"/>
    <w:rsid w:val="001E22A8"/>
    <w:rsid w:val="001E2639"/>
    <w:rsid w:val="001E6729"/>
    <w:rsid w:val="001F03DD"/>
    <w:rsid w:val="001F07B5"/>
    <w:rsid w:val="001F16E2"/>
    <w:rsid w:val="001F275A"/>
    <w:rsid w:val="001F2B5F"/>
    <w:rsid w:val="001F2DF2"/>
    <w:rsid w:val="001F48AB"/>
    <w:rsid w:val="001F7A2A"/>
    <w:rsid w:val="00200966"/>
    <w:rsid w:val="00201BF3"/>
    <w:rsid w:val="00204911"/>
    <w:rsid w:val="002050EA"/>
    <w:rsid w:val="00205DFC"/>
    <w:rsid w:val="00206DAB"/>
    <w:rsid w:val="00207369"/>
    <w:rsid w:val="00207569"/>
    <w:rsid w:val="002112DD"/>
    <w:rsid w:val="00212F89"/>
    <w:rsid w:val="00216A9B"/>
    <w:rsid w:val="00216CF5"/>
    <w:rsid w:val="00217214"/>
    <w:rsid w:val="00217DCC"/>
    <w:rsid w:val="00220180"/>
    <w:rsid w:val="0022051E"/>
    <w:rsid w:val="00221095"/>
    <w:rsid w:val="00221973"/>
    <w:rsid w:val="00222275"/>
    <w:rsid w:val="002226CB"/>
    <w:rsid w:val="00223273"/>
    <w:rsid w:val="00225DD5"/>
    <w:rsid w:val="002277E0"/>
    <w:rsid w:val="00231517"/>
    <w:rsid w:val="00232E18"/>
    <w:rsid w:val="00235023"/>
    <w:rsid w:val="00235C93"/>
    <w:rsid w:val="002362CD"/>
    <w:rsid w:val="002373DA"/>
    <w:rsid w:val="00240244"/>
    <w:rsid w:val="00240F70"/>
    <w:rsid w:val="00243EDE"/>
    <w:rsid w:val="00244064"/>
    <w:rsid w:val="00245778"/>
    <w:rsid w:val="00246AD7"/>
    <w:rsid w:val="00251BEC"/>
    <w:rsid w:val="002539DC"/>
    <w:rsid w:val="002559F5"/>
    <w:rsid w:val="00257BAD"/>
    <w:rsid w:val="0026194A"/>
    <w:rsid w:val="002620BB"/>
    <w:rsid w:val="00263D1A"/>
    <w:rsid w:val="002668A3"/>
    <w:rsid w:val="002673D5"/>
    <w:rsid w:val="0027014C"/>
    <w:rsid w:val="002701CD"/>
    <w:rsid w:val="002704FB"/>
    <w:rsid w:val="00270EBB"/>
    <w:rsid w:val="002710B8"/>
    <w:rsid w:val="002715D2"/>
    <w:rsid w:val="0027424F"/>
    <w:rsid w:val="00275186"/>
    <w:rsid w:val="002765E8"/>
    <w:rsid w:val="00276B77"/>
    <w:rsid w:val="00280480"/>
    <w:rsid w:val="0028051C"/>
    <w:rsid w:val="00280B9F"/>
    <w:rsid w:val="00282A53"/>
    <w:rsid w:val="002869A1"/>
    <w:rsid w:val="00293545"/>
    <w:rsid w:val="00296A72"/>
    <w:rsid w:val="002977F9"/>
    <w:rsid w:val="00297904"/>
    <w:rsid w:val="002A0AE3"/>
    <w:rsid w:val="002A0B73"/>
    <w:rsid w:val="002A1AAF"/>
    <w:rsid w:val="002A210F"/>
    <w:rsid w:val="002A2973"/>
    <w:rsid w:val="002A3E8C"/>
    <w:rsid w:val="002A4250"/>
    <w:rsid w:val="002A4D9E"/>
    <w:rsid w:val="002A5AE1"/>
    <w:rsid w:val="002A6CD6"/>
    <w:rsid w:val="002A7DD7"/>
    <w:rsid w:val="002B0B2A"/>
    <w:rsid w:val="002B1B0D"/>
    <w:rsid w:val="002B2428"/>
    <w:rsid w:val="002B4E36"/>
    <w:rsid w:val="002B5B60"/>
    <w:rsid w:val="002C0313"/>
    <w:rsid w:val="002C044E"/>
    <w:rsid w:val="002C3BDD"/>
    <w:rsid w:val="002C5D48"/>
    <w:rsid w:val="002C733A"/>
    <w:rsid w:val="002C7FF9"/>
    <w:rsid w:val="002D0E7F"/>
    <w:rsid w:val="002D0ECB"/>
    <w:rsid w:val="002D1DD7"/>
    <w:rsid w:val="002D2070"/>
    <w:rsid w:val="002D2457"/>
    <w:rsid w:val="002D5C99"/>
    <w:rsid w:val="002D641C"/>
    <w:rsid w:val="002D6448"/>
    <w:rsid w:val="002D65F3"/>
    <w:rsid w:val="002D6610"/>
    <w:rsid w:val="002E149A"/>
    <w:rsid w:val="002E230A"/>
    <w:rsid w:val="002E26FD"/>
    <w:rsid w:val="002E766E"/>
    <w:rsid w:val="002E7FFA"/>
    <w:rsid w:val="002F0112"/>
    <w:rsid w:val="002F0A05"/>
    <w:rsid w:val="002F3926"/>
    <w:rsid w:val="002F39A6"/>
    <w:rsid w:val="002F3FA7"/>
    <w:rsid w:val="002F4B6B"/>
    <w:rsid w:val="002F5350"/>
    <w:rsid w:val="002F6518"/>
    <w:rsid w:val="002F6CE7"/>
    <w:rsid w:val="002F7963"/>
    <w:rsid w:val="002F7A7B"/>
    <w:rsid w:val="0030052E"/>
    <w:rsid w:val="00303E3E"/>
    <w:rsid w:val="00305978"/>
    <w:rsid w:val="00306382"/>
    <w:rsid w:val="0030669B"/>
    <w:rsid w:val="003070AE"/>
    <w:rsid w:val="00307952"/>
    <w:rsid w:val="003101CB"/>
    <w:rsid w:val="00311222"/>
    <w:rsid w:val="003117A9"/>
    <w:rsid w:val="003118DF"/>
    <w:rsid w:val="003120E0"/>
    <w:rsid w:val="00312A54"/>
    <w:rsid w:val="00312F9D"/>
    <w:rsid w:val="0031395D"/>
    <w:rsid w:val="00317497"/>
    <w:rsid w:val="003201A8"/>
    <w:rsid w:val="00320B54"/>
    <w:rsid w:val="00321B5F"/>
    <w:rsid w:val="00323552"/>
    <w:rsid w:val="00324EC2"/>
    <w:rsid w:val="0032727C"/>
    <w:rsid w:val="003300C9"/>
    <w:rsid w:val="00330565"/>
    <w:rsid w:val="00330F4E"/>
    <w:rsid w:val="003358FF"/>
    <w:rsid w:val="003366C2"/>
    <w:rsid w:val="00340A26"/>
    <w:rsid w:val="00340B4B"/>
    <w:rsid w:val="00341D81"/>
    <w:rsid w:val="00341FFE"/>
    <w:rsid w:val="00342706"/>
    <w:rsid w:val="003433AF"/>
    <w:rsid w:val="00345C61"/>
    <w:rsid w:val="00346988"/>
    <w:rsid w:val="00351E51"/>
    <w:rsid w:val="00351EC0"/>
    <w:rsid w:val="003521D6"/>
    <w:rsid w:val="0035312D"/>
    <w:rsid w:val="003536F5"/>
    <w:rsid w:val="00354AED"/>
    <w:rsid w:val="00354FCE"/>
    <w:rsid w:val="00354FCF"/>
    <w:rsid w:val="00357460"/>
    <w:rsid w:val="00357E03"/>
    <w:rsid w:val="0036011A"/>
    <w:rsid w:val="003607E5"/>
    <w:rsid w:val="00360FD0"/>
    <w:rsid w:val="00361D8A"/>
    <w:rsid w:val="0036567E"/>
    <w:rsid w:val="0036748F"/>
    <w:rsid w:val="0037059F"/>
    <w:rsid w:val="00370D99"/>
    <w:rsid w:val="00370DB8"/>
    <w:rsid w:val="00373367"/>
    <w:rsid w:val="003756E9"/>
    <w:rsid w:val="0037645A"/>
    <w:rsid w:val="00377F55"/>
    <w:rsid w:val="00381CE1"/>
    <w:rsid w:val="00382231"/>
    <w:rsid w:val="00383127"/>
    <w:rsid w:val="00383C13"/>
    <w:rsid w:val="00383FA3"/>
    <w:rsid w:val="003901C8"/>
    <w:rsid w:val="003926E5"/>
    <w:rsid w:val="00394BAD"/>
    <w:rsid w:val="00395013"/>
    <w:rsid w:val="00396C4C"/>
    <w:rsid w:val="0039738A"/>
    <w:rsid w:val="00397F6A"/>
    <w:rsid w:val="003A0745"/>
    <w:rsid w:val="003A22A3"/>
    <w:rsid w:val="003A2610"/>
    <w:rsid w:val="003A3E9E"/>
    <w:rsid w:val="003A4ECD"/>
    <w:rsid w:val="003A53BE"/>
    <w:rsid w:val="003A6E9F"/>
    <w:rsid w:val="003A6F11"/>
    <w:rsid w:val="003A6F8F"/>
    <w:rsid w:val="003A729C"/>
    <w:rsid w:val="003A7BD0"/>
    <w:rsid w:val="003B00A8"/>
    <w:rsid w:val="003B1037"/>
    <w:rsid w:val="003B3C25"/>
    <w:rsid w:val="003B54AA"/>
    <w:rsid w:val="003B5C0C"/>
    <w:rsid w:val="003B7D1F"/>
    <w:rsid w:val="003C0DAE"/>
    <w:rsid w:val="003D12E6"/>
    <w:rsid w:val="003D1376"/>
    <w:rsid w:val="003D37F7"/>
    <w:rsid w:val="003D4532"/>
    <w:rsid w:val="003D4C63"/>
    <w:rsid w:val="003D7045"/>
    <w:rsid w:val="003D721E"/>
    <w:rsid w:val="003D7EBF"/>
    <w:rsid w:val="003E02C8"/>
    <w:rsid w:val="003E1114"/>
    <w:rsid w:val="003E17E4"/>
    <w:rsid w:val="003E20F8"/>
    <w:rsid w:val="003E24A2"/>
    <w:rsid w:val="003E335D"/>
    <w:rsid w:val="003E4737"/>
    <w:rsid w:val="003E4C2B"/>
    <w:rsid w:val="003E53A2"/>
    <w:rsid w:val="003E53FD"/>
    <w:rsid w:val="003E5850"/>
    <w:rsid w:val="003E5B9D"/>
    <w:rsid w:val="003F0CEB"/>
    <w:rsid w:val="003F12BF"/>
    <w:rsid w:val="003F1C9D"/>
    <w:rsid w:val="003F27F1"/>
    <w:rsid w:val="003F2D6D"/>
    <w:rsid w:val="003F42BC"/>
    <w:rsid w:val="003F4BB9"/>
    <w:rsid w:val="003F64F2"/>
    <w:rsid w:val="004007ED"/>
    <w:rsid w:val="00401D43"/>
    <w:rsid w:val="00402490"/>
    <w:rsid w:val="00402937"/>
    <w:rsid w:val="00402A3F"/>
    <w:rsid w:val="00402BF5"/>
    <w:rsid w:val="00403422"/>
    <w:rsid w:val="004037C2"/>
    <w:rsid w:val="00403B1B"/>
    <w:rsid w:val="0040572F"/>
    <w:rsid w:val="0040776B"/>
    <w:rsid w:val="004077AC"/>
    <w:rsid w:val="004103DF"/>
    <w:rsid w:val="00411258"/>
    <w:rsid w:val="0041168E"/>
    <w:rsid w:val="00413689"/>
    <w:rsid w:val="0041393F"/>
    <w:rsid w:val="00413FA2"/>
    <w:rsid w:val="0041547C"/>
    <w:rsid w:val="0041582D"/>
    <w:rsid w:val="00420176"/>
    <w:rsid w:val="00420639"/>
    <w:rsid w:val="00421752"/>
    <w:rsid w:val="00424AF8"/>
    <w:rsid w:val="00424CC3"/>
    <w:rsid w:val="00424FB8"/>
    <w:rsid w:val="004309DC"/>
    <w:rsid w:val="00430B8E"/>
    <w:rsid w:val="00435821"/>
    <w:rsid w:val="00435A05"/>
    <w:rsid w:val="0043691F"/>
    <w:rsid w:val="0044020F"/>
    <w:rsid w:val="00440A84"/>
    <w:rsid w:val="00440E43"/>
    <w:rsid w:val="004422F6"/>
    <w:rsid w:val="00443551"/>
    <w:rsid w:val="00443742"/>
    <w:rsid w:val="00445512"/>
    <w:rsid w:val="00445D68"/>
    <w:rsid w:val="0044747A"/>
    <w:rsid w:val="00447CB8"/>
    <w:rsid w:val="0045026C"/>
    <w:rsid w:val="00450AB6"/>
    <w:rsid w:val="00451CD3"/>
    <w:rsid w:val="00452D26"/>
    <w:rsid w:val="00452E58"/>
    <w:rsid w:val="004549F6"/>
    <w:rsid w:val="00454DA0"/>
    <w:rsid w:val="00456444"/>
    <w:rsid w:val="00460018"/>
    <w:rsid w:val="0046041A"/>
    <w:rsid w:val="004607E1"/>
    <w:rsid w:val="00460AAB"/>
    <w:rsid w:val="0046556F"/>
    <w:rsid w:val="0046709F"/>
    <w:rsid w:val="00471157"/>
    <w:rsid w:val="00471238"/>
    <w:rsid w:val="00472128"/>
    <w:rsid w:val="00472BF1"/>
    <w:rsid w:val="00472C36"/>
    <w:rsid w:val="00473FCB"/>
    <w:rsid w:val="004757FC"/>
    <w:rsid w:val="00475822"/>
    <w:rsid w:val="00475F92"/>
    <w:rsid w:val="00476841"/>
    <w:rsid w:val="004777EB"/>
    <w:rsid w:val="0048021C"/>
    <w:rsid w:val="004809F7"/>
    <w:rsid w:val="00482578"/>
    <w:rsid w:val="00482AD9"/>
    <w:rsid w:val="00483F3F"/>
    <w:rsid w:val="004846FE"/>
    <w:rsid w:val="004855E0"/>
    <w:rsid w:val="004856AB"/>
    <w:rsid w:val="00490BF0"/>
    <w:rsid w:val="00492A8F"/>
    <w:rsid w:val="004946D7"/>
    <w:rsid w:val="004954B1"/>
    <w:rsid w:val="00495669"/>
    <w:rsid w:val="004976B7"/>
    <w:rsid w:val="00497A86"/>
    <w:rsid w:val="00497DF3"/>
    <w:rsid w:val="004A2024"/>
    <w:rsid w:val="004A3570"/>
    <w:rsid w:val="004A3CEA"/>
    <w:rsid w:val="004A401A"/>
    <w:rsid w:val="004A4474"/>
    <w:rsid w:val="004A67F9"/>
    <w:rsid w:val="004B0174"/>
    <w:rsid w:val="004B094D"/>
    <w:rsid w:val="004B19F0"/>
    <w:rsid w:val="004B1CC9"/>
    <w:rsid w:val="004B318E"/>
    <w:rsid w:val="004B3D14"/>
    <w:rsid w:val="004B526D"/>
    <w:rsid w:val="004B7CE4"/>
    <w:rsid w:val="004C4AE9"/>
    <w:rsid w:val="004C4EA1"/>
    <w:rsid w:val="004C5B4B"/>
    <w:rsid w:val="004C66DF"/>
    <w:rsid w:val="004C6D2B"/>
    <w:rsid w:val="004D053C"/>
    <w:rsid w:val="004D5B2B"/>
    <w:rsid w:val="004D6EEA"/>
    <w:rsid w:val="004D7D66"/>
    <w:rsid w:val="004D7EC0"/>
    <w:rsid w:val="004D7F57"/>
    <w:rsid w:val="004E0A2F"/>
    <w:rsid w:val="004E0DC3"/>
    <w:rsid w:val="004E1767"/>
    <w:rsid w:val="004E2F9E"/>
    <w:rsid w:val="004E7F35"/>
    <w:rsid w:val="004F034A"/>
    <w:rsid w:val="004F07FE"/>
    <w:rsid w:val="004F129C"/>
    <w:rsid w:val="004F2956"/>
    <w:rsid w:val="004F2DE1"/>
    <w:rsid w:val="004F3332"/>
    <w:rsid w:val="004F6B5A"/>
    <w:rsid w:val="00500879"/>
    <w:rsid w:val="00500BB3"/>
    <w:rsid w:val="00507047"/>
    <w:rsid w:val="0050748C"/>
    <w:rsid w:val="005075FF"/>
    <w:rsid w:val="00507CA1"/>
    <w:rsid w:val="00511D3F"/>
    <w:rsid w:val="0051552C"/>
    <w:rsid w:val="0052043C"/>
    <w:rsid w:val="005210F9"/>
    <w:rsid w:val="005211A9"/>
    <w:rsid w:val="00521BFC"/>
    <w:rsid w:val="00523025"/>
    <w:rsid w:val="005264D0"/>
    <w:rsid w:val="0053014D"/>
    <w:rsid w:val="005309A3"/>
    <w:rsid w:val="00531CA4"/>
    <w:rsid w:val="0053278F"/>
    <w:rsid w:val="00534AD8"/>
    <w:rsid w:val="005376C7"/>
    <w:rsid w:val="00542460"/>
    <w:rsid w:val="0054384F"/>
    <w:rsid w:val="00543D15"/>
    <w:rsid w:val="00545476"/>
    <w:rsid w:val="00545E23"/>
    <w:rsid w:val="00546E59"/>
    <w:rsid w:val="0055292D"/>
    <w:rsid w:val="0055470C"/>
    <w:rsid w:val="00555827"/>
    <w:rsid w:val="00556A8E"/>
    <w:rsid w:val="00557925"/>
    <w:rsid w:val="005654F3"/>
    <w:rsid w:val="00571063"/>
    <w:rsid w:val="00571517"/>
    <w:rsid w:val="00573D5A"/>
    <w:rsid w:val="00574596"/>
    <w:rsid w:val="0057631E"/>
    <w:rsid w:val="00576883"/>
    <w:rsid w:val="005768DE"/>
    <w:rsid w:val="005841DF"/>
    <w:rsid w:val="005844B8"/>
    <w:rsid w:val="0059289C"/>
    <w:rsid w:val="00593780"/>
    <w:rsid w:val="00594D0A"/>
    <w:rsid w:val="00595B2C"/>
    <w:rsid w:val="00597A1F"/>
    <w:rsid w:val="00597BC6"/>
    <w:rsid w:val="00597FE1"/>
    <w:rsid w:val="005A0412"/>
    <w:rsid w:val="005A2297"/>
    <w:rsid w:val="005A3239"/>
    <w:rsid w:val="005A3936"/>
    <w:rsid w:val="005A3A4C"/>
    <w:rsid w:val="005A3E67"/>
    <w:rsid w:val="005A5141"/>
    <w:rsid w:val="005A55FB"/>
    <w:rsid w:val="005B2BE3"/>
    <w:rsid w:val="005B32D2"/>
    <w:rsid w:val="005B3A06"/>
    <w:rsid w:val="005B4FD5"/>
    <w:rsid w:val="005B5575"/>
    <w:rsid w:val="005C1E42"/>
    <w:rsid w:val="005C2A82"/>
    <w:rsid w:val="005C317C"/>
    <w:rsid w:val="005C3BB4"/>
    <w:rsid w:val="005C5958"/>
    <w:rsid w:val="005C5F64"/>
    <w:rsid w:val="005C6239"/>
    <w:rsid w:val="005C662B"/>
    <w:rsid w:val="005C7BBB"/>
    <w:rsid w:val="005D04D4"/>
    <w:rsid w:val="005D09DA"/>
    <w:rsid w:val="005D21EF"/>
    <w:rsid w:val="005D2293"/>
    <w:rsid w:val="005D2EEB"/>
    <w:rsid w:val="005D3226"/>
    <w:rsid w:val="005D3875"/>
    <w:rsid w:val="005D3FE8"/>
    <w:rsid w:val="005D4179"/>
    <w:rsid w:val="005D497E"/>
    <w:rsid w:val="005D573F"/>
    <w:rsid w:val="005D59F6"/>
    <w:rsid w:val="005D5BBC"/>
    <w:rsid w:val="005D6D13"/>
    <w:rsid w:val="005D7FA4"/>
    <w:rsid w:val="005E18F8"/>
    <w:rsid w:val="005E2923"/>
    <w:rsid w:val="005E5B3D"/>
    <w:rsid w:val="005E654A"/>
    <w:rsid w:val="005E69DC"/>
    <w:rsid w:val="005E7045"/>
    <w:rsid w:val="005F28AE"/>
    <w:rsid w:val="005F7ED2"/>
    <w:rsid w:val="00600A95"/>
    <w:rsid w:val="006017E3"/>
    <w:rsid w:val="006021E6"/>
    <w:rsid w:val="006032E6"/>
    <w:rsid w:val="0060466F"/>
    <w:rsid w:val="006048B0"/>
    <w:rsid w:val="00604A85"/>
    <w:rsid w:val="00604FB7"/>
    <w:rsid w:val="0061167F"/>
    <w:rsid w:val="00612341"/>
    <w:rsid w:val="006124E5"/>
    <w:rsid w:val="006145AF"/>
    <w:rsid w:val="006149AC"/>
    <w:rsid w:val="00615835"/>
    <w:rsid w:val="006169CB"/>
    <w:rsid w:val="006204B6"/>
    <w:rsid w:val="00620C2E"/>
    <w:rsid w:val="00621B4C"/>
    <w:rsid w:val="00622BB5"/>
    <w:rsid w:val="00625199"/>
    <w:rsid w:val="00626E7F"/>
    <w:rsid w:val="00632112"/>
    <w:rsid w:val="00632975"/>
    <w:rsid w:val="0063483A"/>
    <w:rsid w:val="0063508A"/>
    <w:rsid w:val="00640005"/>
    <w:rsid w:val="006416C2"/>
    <w:rsid w:val="00645C60"/>
    <w:rsid w:val="0064659D"/>
    <w:rsid w:val="00650E8D"/>
    <w:rsid w:val="00653412"/>
    <w:rsid w:val="006538FF"/>
    <w:rsid w:val="006543C5"/>
    <w:rsid w:val="00655346"/>
    <w:rsid w:val="006574F4"/>
    <w:rsid w:val="00660387"/>
    <w:rsid w:val="00660708"/>
    <w:rsid w:val="00661FFB"/>
    <w:rsid w:val="006630A0"/>
    <w:rsid w:val="00663EC7"/>
    <w:rsid w:val="006705D3"/>
    <w:rsid w:val="006722DB"/>
    <w:rsid w:val="00673E7E"/>
    <w:rsid w:val="006756BC"/>
    <w:rsid w:val="00676707"/>
    <w:rsid w:val="00677ED1"/>
    <w:rsid w:val="00680056"/>
    <w:rsid w:val="00680272"/>
    <w:rsid w:val="006858C8"/>
    <w:rsid w:val="006869F1"/>
    <w:rsid w:val="00687842"/>
    <w:rsid w:val="00687919"/>
    <w:rsid w:val="00687C8F"/>
    <w:rsid w:val="006903F8"/>
    <w:rsid w:val="00692830"/>
    <w:rsid w:val="006929B1"/>
    <w:rsid w:val="00693BE8"/>
    <w:rsid w:val="0069650C"/>
    <w:rsid w:val="006A0C03"/>
    <w:rsid w:val="006A37FF"/>
    <w:rsid w:val="006A6166"/>
    <w:rsid w:val="006A65AA"/>
    <w:rsid w:val="006A7B27"/>
    <w:rsid w:val="006B0459"/>
    <w:rsid w:val="006B13A4"/>
    <w:rsid w:val="006B1C6D"/>
    <w:rsid w:val="006B320F"/>
    <w:rsid w:val="006B3ED8"/>
    <w:rsid w:val="006B5020"/>
    <w:rsid w:val="006B66E8"/>
    <w:rsid w:val="006B7BB6"/>
    <w:rsid w:val="006C033A"/>
    <w:rsid w:val="006C1270"/>
    <w:rsid w:val="006C26D0"/>
    <w:rsid w:val="006C598A"/>
    <w:rsid w:val="006C6898"/>
    <w:rsid w:val="006C7053"/>
    <w:rsid w:val="006C74B9"/>
    <w:rsid w:val="006D0C0C"/>
    <w:rsid w:val="006D0C94"/>
    <w:rsid w:val="006D1775"/>
    <w:rsid w:val="006D3D8F"/>
    <w:rsid w:val="006D5C38"/>
    <w:rsid w:val="006D5CE6"/>
    <w:rsid w:val="006E0800"/>
    <w:rsid w:val="006E2570"/>
    <w:rsid w:val="006E5E6C"/>
    <w:rsid w:val="006F05F3"/>
    <w:rsid w:val="006F096F"/>
    <w:rsid w:val="006F1E86"/>
    <w:rsid w:val="006F2905"/>
    <w:rsid w:val="006F2A05"/>
    <w:rsid w:val="006F3787"/>
    <w:rsid w:val="006F427A"/>
    <w:rsid w:val="006F4843"/>
    <w:rsid w:val="006F52E9"/>
    <w:rsid w:val="006F7199"/>
    <w:rsid w:val="006F7FD7"/>
    <w:rsid w:val="007000B1"/>
    <w:rsid w:val="00700AFE"/>
    <w:rsid w:val="00701AA6"/>
    <w:rsid w:val="00701DE2"/>
    <w:rsid w:val="0070363B"/>
    <w:rsid w:val="00703D23"/>
    <w:rsid w:val="00703F50"/>
    <w:rsid w:val="007079CB"/>
    <w:rsid w:val="007100D9"/>
    <w:rsid w:val="00713F05"/>
    <w:rsid w:val="00716DF9"/>
    <w:rsid w:val="00717B9D"/>
    <w:rsid w:val="00720E9F"/>
    <w:rsid w:val="007211AD"/>
    <w:rsid w:val="0072188D"/>
    <w:rsid w:val="00722078"/>
    <w:rsid w:val="0072317E"/>
    <w:rsid w:val="007244E8"/>
    <w:rsid w:val="00725F63"/>
    <w:rsid w:val="00726BA0"/>
    <w:rsid w:val="007278C1"/>
    <w:rsid w:val="00732CF3"/>
    <w:rsid w:val="00734885"/>
    <w:rsid w:val="007357C6"/>
    <w:rsid w:val="00736055"/>
    <w:rsid w:val="007401A5"/>
    <w:rsid w:val="007402DD"/>
    <w:rsid w:val="007408EF"/>
    <w:rsid w:val="00742485"/>
    <w:rsid w:val="0074285D"/>
    <w:rsid w:val="00742F06"/>
    <w:rsid w:val="00745024"/>
    <w:rsid w:val="0074556C"/>
    <w:rsid w:val="007473DD"/>
    <w:rsid w:val="007478F3"/>
    <w:rsid w:val="00751370"/>
    <w:rsid w:val="007522F6"/>
    <w:rsid w:val="00752426"/>
    <w:rsid w:val="00752E26"/>
    <w:rsid w:val="007546FF"/>
    <w:rsid w:val="00754B8C"/>
    <w:rsid w:val="00755546"/>
    <w:rsid w:val="00760023"/>
    <w:rsid w:val="0076013D"/>
    <w:rsid w:val="007603D9"/>
    <w:rsid w:val="00762D41"/>
    <w:rsid w:val="00762F8F"/>
    <w:rsid w:val="00764B03"/>
    <w:rsid w:val="00764F54"/>
    <w:rsid w:val="00766295"/>
    <w:rsid w:val="0076655E"/>
    <w:rsid w:val="007676E0"/>
    <w:rsid w:val="00767972"/>
    <w:rsid w:val="00767DEC"/>
    <w:rsid w:val="007729F0"/>
    <w:rsid w:val="00775058"/>
    <w:rsid w:val="00777BBE"/>
    <w:rsid w:val="00777C76"/>
    <w:rsid w:val="00781494"/>
    <w:rsid w:val="00782FCE"/>
    <w:rsid w:val="0078318E"/>
    <w:rsid w:val="00783BEC"/>
    <w:rsid w:val="007843C5"/>
    <w:rsid w:val="007843FB"/>
    <w:rsid w:val="00784F1D"/>
    <w:rsid w:val="00787BBC"/>
    <w:rsid w:val="00791A8F"/>
    <w:rsid w:val="007A1039"/>
    <w:rsid w:val="007A1985"/>
    <w:rsid w:val="007A19E3"/>
    <w:rsid w:val="007A1C4B"/>
    <w:rsid w:val="007A27FA"/>
    <w:rsid w:val="007A28F6"/>
    <w:rsid w:val="007A4AAA"/>
    <w:rsid w:val="007A50B5"/>
    <w:rsid w:val="007A5193"/>
    <w:rsid w:val="007B0EAD"/>
    <w:rsid w:val="007B139F"/>
    <w:rsid w:val="007B2FB4"/>
    <w:rsid w:val="007B3467"/>
    <w:rsid w:val="007B4F76"/>
    <w:rsid w:val="007B5756"/>
    <w:rsid w:val="007B5FF8"/>
    <w:rsid w:val="007C1324"/>
    <w:rsid w:val="007C1B16"/>
    <w:rsid w:val="007C29FB"/>
    <w:rsid w:val="007C2C9B"/>
    <w:rsid w:val="007C619C"/>
    <w:rsid w:val="007C6223"/>
    <w:rsid w:val="007C6FBA"/>
    <w:rsid w:val="007C7729"/>
    <w:rsid w:val="007D0A5F"/>
    <w:rsid w:val="007D2D0F"/>
    <w:rsid w:val="007E0429"/>
    <w:rsid w:val="007E0C61"/>
    <w:rsid w:val="007E1112"/>
    <w:rsid w:val="007E147C"/>
    <w:rsid w:val="007E167B"/>
    <w:rsid w:val="007E294F"/>
    <w:rsid w:val="007E6D8C"/>
    <w:rsid w:val="007F200C"/>
    <w:rsid w:val="007F48D1"/>
    <w:rsid w:val="007F4AFA"/>
    <w:rsid w:val="007F5E57"/>
    <w:rsid w:val="007F7E66"/>
    <w:rsid w:val="0080192D"/>
    <w:rsid w:val="00802678"/>
    <w:rsid w:val="00804836"/>
    <w:rsid w:val="00804C2F"/>
    <w:rsid w:val="0080532E"/>
    <w:rsid w:val="0080662D"/>
    <w:rsid w:val="0081205B"/>
    <w:rsid w:val="00812066"/>
    <w:rsid w:val="008121C7"/>
    <w:rsid w:val="008125FD"/>
    <w:rsid w:val="00812B6A"/>
    <w:rsid w:val="00815221"/>
    <w:rsid w:val="0081696D"/>
    <w:rsid w:val="00817B20"/>
    <w:rsid w:val="00817FCC"/>
    <w:rsid w:val="00820584"/>
    <w:rsid w:val="008244C2"/>
    <w:rsid w:val="008250BE"/>
    <w:rsid w:val="00827E5E"/>
    <w:rsid w:val="00830B95"/>
    <w:rsid w:val="008330B4"/>
    <w:rsid w:val="008336DD"/>
    <w:rsid w:val="00835CE8"/>
    <w:rsid w:val="00837648"/>
    <w:rsid w:val="00837F22"/>
    <w:rsid w:val="00842260"/>
    <w:rsid w:val="00843006"/>
    <w:rsid w:val="008444D7"/>
    <w:rsid w:val="00845511"/>
    <w:rsid w:val="00846DC7"/>
    <w:rsid w:val="0084725F"/>
    <w:rsid w:val="00850C5D"/>
    <w:rsid w:val="0085140A"/>
    <w:rsid w:val="0085359F"/>
    <w:rsid w:val="00853A11"/>
    <w:rsid w:val="00854E42"/>
    <w:rsid w:val="00857372"/>
    <w:rsid w:val="008575A8"/>
    <w:rsid w:val="008575C4"/>
    <w:rsid w:val="00860CA3"/>
    <w:rsid w:val="00862C68"/>
    <w:rsid w:val="00862F1A"/>
    <w:rsid w:val="00863D6B"/>
    <w:rsid w:val="0086402E"/>
    <w:rsid w:val="0086427D"/>
    <w:rsid w:val="00867092"/>
    <w:rsid w:val="008708F6"/>
    <w:rsid w:val="0087247E"/>
    <w:rsid w:val="008736FA"/>
    <w:rsid w:val="00874833"/>
    <w:rsid w:val="00875D4D"/>
    <w:rsid w:val="00877330"/>
    <w:rsid w:val="0087794A"/>
    <w:rsid w:val="00880205"/>
    <w:rsid w:val="00884643"/>
    <w:rsid w:val="0088674F"/>
    <w:rsid w:val="008912E8"/>
    <w:rsid w:val="00891AE9"/>
    <w:rsid w:val="00893924"/>
    <w:rsid w:val="00894320"/>
    <w:rsid w:val="008969D5"/>
    <w:rsid w:val="008A0496"/>
    <w:rsid w:val="008A0811"/>
    <w:rsid w:val="008A198C"/>
    <w:rsid w:val="008A28A0"/>
    <w:rsid w:val="008A30DF"/>
    <w:rsid w:val="008A4DBF"/>
    <w:rsid w:val="008A5F9E"/>
    <w:rsid w:val="008A75BC"/>
    <w:rsid w:val="008B2489"/>
    <w:rsid w:val="008B27E8"/>
    <w:rsid w:val="008B287E"/>
    <w:rsid w:val="008B4931"/>
    <w:rsid w:val="008B56EC"/>
    <w:rsid w:val="008B6451"/>
    <w:rsid w:val="008B7E5D"/>
    <w:rsid w:val="008C0E18"/>
    <w:rsid w:val="008C3153"/>
    <w:rsid w:val="008C3F88"/>
    <w:rsid w:val="008C4430"/>
    <w:rsid w:val="008C4895"/>
    <w:rsid w:val="008C4DCF"/>
    <w:rsid w:val="008C4FD7"/>
    <w:rsid w:val="008C5B11"/>
    <w:rsid w:val="008C65BF"/>
    <w:rsid w:val="008C725D"/>
    <w:rsid w:val="008C7423"/>
    <w:rsid w:val="008D06AF"/>
    <w:rsid w:val="008D1C0B"/>
    <w:rsid w:val="008D23A4"/>
    <w:rsid w:val="008D3175"/>
    <w:rsid w:val="008D460B"/>
    <w:rsid w:val="008D470C"/>
    <w:rsid w:val="008D5879"/>
    <w:rsid w:val="008D6307"/>
    <w:rsid w:val="008D6857"/>
    <w:rsid w:val="008D68F9"/>
    <w:rsid w:val="008D790A"/>
    <w:rsid w:val="008E0174"/>
    <w:rsid w:val="008E0391"/>
    <w:rsid w:val="008E0C09"/>
    <w:rsid w:val="008E127D"/>
    <w:rsid w:val="008E2200"/>
    <w:rsid w:val="008E60D6"/>
    <w:rsid w:val="008E70BE"/>
    <w:rsid w:val="008E79A7"/>
    <w:rsid w:val="008F0A2F"/>
    <w:rsid w:val="008F1D92"/>
    <w:rsid w:val="008F4F15"/>
    <w:rsid w:val="008F5D8B"/>
    <w:rsid w:val="009000ED"/>
    <w:rsid w:val="00900576"/>
    <w:rsid w:val="00900D39"/>
    <w:rsid w:val="009015BB"/>
    <w:rsid w:val="009021AF"/>
    <w:rsid w:val="009036FD"/>
    <w:rsid w:val="00903F8C"/>
    <w:rsid w:val="0090558D"/>
    <w:rsid w:val="00906086"/>
    <w:rsid w:val="009068A7"/>
    <w:rsid w:val="00906D50"/>
    <w:rsid w:val="009079D9"/>
    <w:rsid w:val="0091084E"/>
    <w:rsid w:val="009126F0"/>
    <w:rsid w:val="00913158"/>
    <w:rsid w:val="00922234"/>
    <w:rsid w:val="0092310A"/>
    <w:rsid w:val="00923293"/>
    <w:rsid w:val="009271E5"/>
    <w:rsid w:val="009303C0"/>
    <w:rsid w:val="0093138D"/>
    <w:rsid w:val="00931F6A"/>
    <w:rsid w:val="00932006"/>
    <w:rsid w:val="009335B7"/>
    <w:rsid w:val="00933802"/>
    <w:rsid w:val="00936890"/>
    <w:rsid w:val="00937FFA"/>
    <w:rsid w:val="00940245"/>
    <w:rsid w:val="0094091E"/>
    <w:rsid w:val="00947404"/>
    <w:rsid w:val="009508E1"/>
    <w:rsid w:val="00951FB7"/>
    <w:rsid w:val="00953E91"/>
    <w:rsid w:val="00955877"/>
    <w:rsid w:val="009621EE"/>
    <w:rsid w:val="0096584E"/>
    <w:rsid w:val="00966BA0"/>
    <w:rsid w:val="0096703A"/>
    <w:rsid w:val="009678EA"/>
    <w:rsid w:val="00972109"/>
    <w:rsid w:val="00974DBF"/>
    <w:rsid w:val="009757D2"/>
    <w:rsid w:val="009764BD"/>
    <w:rsid w:val="0097654B"/>
    <w:rsid w:val="009812EA"/>
    <w:rsid w:val="0098136D"/>
    <w:rsid w:val="009828E5"/>
    <w:rsid w:val="00984161"/>
    <w:rsid w:val="009857B9"/>
    <w:rsid w:val="009875FD"/>
    <w:rsid w:val="00987A4E"/>
    <w:rsid w:val="009904DB"/>
    <w:rsid w:val="00990910"/>
    <w:rsid w:val="0099124D"/>
    <w:rsid w:val="009920EE"/>
    <w:rsid w:val="009927EA"/>
    <w:rsid w:val="009950B3"/>
    <w:rsid w:val="0099604C"/>
    <w:rsid w:val="009967F0"/>
    <w:rsid w:val="009A0243"/>
    <w:rsid w:val="009A033E"/>
    <w:rsid w:val="009A03B3"/>
    <w:rsid w:val="009A1750"/>
    <w:rsid w:val="009A1EB5"/>
    <w:rsid w:val="009A2A12"/>
    <w:rsid w:val="009A2F54"/>
    <w:rsid w:val="009A39AD"/>
    <w:rsid w:val="009A5000"/>
    <w:rsid w:val="009A546E"/>
    <w:rsid w:val="009A5C39"/>
    <w:rsid w:val="009A5C55"/>
    <w:rsid w:val="009A66EC"/>
    <w:rsid w:val="009B160D"/>
    <w:rsid w:val="009B1EE8"/>
    <w:rsid w:val="009B291C"/>
    <w:rsid w:val="009B307D"/>
    <w:rsid w:val="009B46F9"/>
    <w:rsid w:val="009B4909"/>
    <w:rsid w:val="009B7485"/>
    <w:rsid w:val="009C09C8"/>
    <w:rsid w:val="009C0D40"/>
    <w:rsid w:val="009C210B"/>
    <w:rsid w:val="009C24AD"/>
    <w:rsid w:val="009C2564"/>
    <w:rsid w:val="009C2CC8"/>
    <w:rsid w:val="009C302F"/>
    <w:rsid w:val="009C39A1"/>
    <w:rsid w:val="009C3A69"/>
    <w:rsid w:val="009C3BDC"/>
    <w:rsid w:val="009C543A"/>
    <w:rsid w:val="009D115F"/>
    <w:rsid w:val="009D1F3B"/>
    <w:rsid w:val="009D32F6"/>
    <w:rsid w:val="009D36DA"/>
    <w:rsid w:val="009D4612"/>
    <w:rsid w:val="009D6276"/>
    <w:rsid w:val="009D6CA1"/>
    <w:rsid w:val="009E2BB0"/>
    <w:rsid w:val="009E42B6"/>
    <w:rsid w:val="009E631A"/>
    <w:rsid w:val="009E6636"/>
    <w:rsid w:val="009F011A"/>
    <w:rsid w:val="009F1897"/>
    <w:rsid w:val="009F2701"/>
    <w:rsid w:val="009F28C7"/>
    <w:rsid w:val="009F3A8E"/>
    <w:rsid w:val="009F45A2"/>
    <w:rsid w:val="009F5530"/>
    <w:rsid w:val="00A01149"/>
    <w:rsid w:val="00A02049"/>
    <w:rsid w:val="00A046F9"/>
    <w:rsid w:val="00A07C49"/>
    <w:rsid w:val="00A07D37"/>
    <w:rsid w:val="00A07DE6"/>
    <w:rsid w:val="00A1109D"/>
    <w:rsid w:val="00A114EA"/>
    <w:rsid w:val="00A11D0D"/>
    <w:rsid w:val="00A11F68"/>
    <w:rsid w:val="00A11F90"/>
    <w:rsid w:val="00A12730"/>
    <w:rsid w:val="00A12E0A"/>
    <w:rsid w:val="00A13248"/>
    <w:rsid w:val="00A14A3A"/>
    <w:rsid w:val="00A156C8"/>
    <w:rsid w:val="00A16C4D"/>
    <w:rsid w:val="00A16E63"/>
    <w:rsid w:val="00A17F13"/>
    <w:rsid w:val="00A21743"/>
    <w:rsid w:val="00A21778"/>
    <w:rsid w:val="00A23FF7"/>
    <w:rsid w:val="00A250F2"/>
    <w:rsid w:val="00A259CE"/>
    <w:rsid w:val="00A2628B"/>
    <w:rsid w:val="00A309B8"/>
    <w:rsid w:val="00A31CFD"/>
    <w:rsid w:val="00A324A9"/>
    <w:rsid w:val="00A354EA"/>
    <w:rsid w:val="00A35D7C"/>
    <w:rsid w:val="00A35F58"/>
    <w:rsid w:val="00A40B53"/>
    <w:rsid w:val="00A4278B"/>
    <w:rsid w:val="00A427D2"/>
    <w:rsid w:val="00A436D8"/>
    <w:rsid w:val="00A4604B"/>
    <w:rsid w:val="00A469D1"/>
    <w:rsid w:val="00A4771E"/>
    <w:rsid w:val="00A50134"/>
    <w:rsid w:val="00A51129"/>
    <w:rsid w:val="00A55AA4"/>
    <w:rsid w:val="00A5630B"/>
    <w:rsid w:val="00A56954"/>
    <w:rsid w:val="00A575AA"/>
    <w:rsid w:val="00A579CA"/>
    <w:rsid w:val="00A579D3"/>
    <w:rsid w:val="00A60EC2"/>
    <w:rsid w:val="00A61245"/>
    <w:rsid w:val="00A624FD"/>
    <w:rsid w:val="00A64995"/>
    <w:rsid w:val="00A6522C"/>
    <w:rsid w:val="00A675ED"/>
    <w:rsid w:val="00A67742"/>
    <w:rsid w:val="00A6776B"/>
    <w:rsid w:val="00A706B6"/>
    <w:rsid w:val="00A70A5F"/>
    <w:rsid w:val="00A72828"/>
    <w:rsid w:val="00A73329"/>
    <w:rsid w:val="00A741A2"/>
    <w:rsid w:val="00A74A4B"/>
    <w:rsid w:val="00A76385"/>
    <w:rsid w:val="00A76526"/>
    <w:rsid w:val="00A77BC5"/>
    <w:rsid w:val="00A77D9C"/>
    <w:rsid w:val="00A812B0"/>
    <w:rsid w:val="00A812C4"/>
    <w:rsid w:val="00A86C18"/>
    <w:rsid w:val="00A93648"/>
    <w:rsid w:val="00A97C7A"/>
    <w:rsid w:val="00A97CD9"/>
    <w:rsid w:val="00AA008A"/>
    <w:rsid w:val="00AA1EC7"/>
    <w:rsid w:val="00AA25B6"/>
    <w:rsid w:val="00AA3550"/>
    <w:rsid w:val="00AA5949"/>
    <w:rsid w:val="00AA7552"/>
    <w:rsid w:val="00AA7805"/>
    <w:rsid w:val="00AB0D40"/>
    <w:rsid w:val="00AB419F"/>
    <w:rsid w:val="00AB4596"/>
    <w:rsid w:val="00AB4AF5"/>
    <w:rsid w:val="00AB4C3C"/>
    <w:rsid w:val="00AB6EA0"/>
    <w:rsid w:val="00AB705A"/>
    <w:rsid w:val="00AB7DB9"/>
    <w:rsid w:val="00AB7E50"/>
    <w:rsid w:val="00AC0B89"/>
    <w:rsid w:val="00AC0C3A"/>
    <w:rsid w:val="00AC2D8B"/>
    <w:rsid w:val="00AC4DE5"/>
    <w:rsid w:val="00AC6F0A"/>
    <w:rsid w:val="00AC7EF6"/>
    <w:rsid w:val="00AD1154"/>
    <w:rsid w:val="00AD2C66"/>
    <w:rsid w:val="00AD35FE"/>
    <w:rsid w:val="00AD63AC"/>
    <w:rsid w:val="00AD6D5A"/>
    <w:rsid w:val="00AD71C1"/>
    <w:rsid w:val="00AE1EAA"/>
    <w:rsid w:val="00AE40B2"/>
    <w:rsid w:val="00AE7239"/>
    <w:rsid w:val="00AF0FCA"/>
    <w:rsid w:val="00AF19F3"/>
    <w:rsid w:val="00AF1B3D"/>
    <w:rsid w:val="00AF2340"/>
    <w:rsid w:val="00AF28F9"/>
    <w:rsid w:val="00AF47E2"/>
    <w:rsid w:val="00AF4DC7"/>
    <w:rsid w:val="00AF5220"/>
    <w:rsid w:val="00AF6A29"/>
    <w:rsid w:val="00AF6EFE"/>
    <w:rsid w:val="00AF75A9"/>
    <w:rsid w:val="00AF7678"/>
    <w:rsid w:val="00B0116C"/>
    <w:rsid w:val="00B01727"/>
    <w:rsid w:val="00B02BF6"/>
    <w:rsid w:val="00B07206"/>
    <w:rsid w:val="00B104CE"/>
    <w:rsid w:val="00B10A5E"/>
    <w:rsid w:val="00B1123C"/>
    <w:rsid w:val="00B1622D"/>
    <w:rsid w:val="00B16627"/>
    <w:rsid w:val="00B168D7"/>
    <w:rsid w:val="00B16F81"/>
    <w:rsid w:val="00B17C5F"/>
    <w:rsid w:val="00B20177"/>
    <w:rsid w:val="00B21C04"/>
    <w:rsid w:val="00B21C2A"/>
    <w:rsid w:val="00B21F40"/>
    <w:rsid w:val="00B26462"/>
    <w:rsid w:val="00B273D7"/>
    <w:rsid w:val="00B3067C"/>
    <w:rsid w:val="00B307BE"/>
    <w:rsid w:val="00B30C5C"/>
    <w:rsid w:val="00B32640"/>
    <w:rsid w:val="00B326BC"/>
    <w:rsid w:val="00B33679"/>
    <w:rsid w:val="00B3386D"/>
    <w:rsid w:val="00B3459B"/>
    <w:rsid w:val="00B3496B"/>
    <w:rsid w:val="00B41669"/>
    <w:rsid w:val="00B4390C"/>
    <w:rsid w:val="00B43FEB"/>
    <w:rsid w:val="00B455E0"/>
    <w:rsid w:val="00B47481"/>
    <w:rsid w:val="00B5270A"/>
    <w:rsid w:val="00B5672D"/>
    <w:rsid w:val="00B5674D"/>
    <w:rsid w:val="00B57FCC"/>
    <w:rsid w:val="00B60546"/>
    <w:rsid w:val="00B61A05"/>
    <w:rsid w:val="00B65D25"/>
    <w:rsid w:val="00B70203"/>
    <w:rsid w:val="00B70AB0"/>
    <w:rsid w:val="00B7280F"/>
    <w:rsid w:val="00B740BF"/>
    <w:rsid w:val="00B77592"/>
    <w:rsid w:val="00B801C6"/>
    <w:rsid w:val="00B80271"/>
    <w:rsid w:val="00B80A44"/>
    <w:rsid w:val="00B81168"/>
    <w:rsid w:val="00B82201"/>
    <w:rsid w:val="00B83155"/>
    <w:rsid w:val="00B851C8"/>
    <w:rsid w:val="00B87315"/>
    <w:rsid w:val="00B92E4F"/>
    <w:rsid w:val="00B945D7"/>
    <w:rsid w:val="00B957BB"/>
    <w:rsid w:val="00B96AE7"/>
    <w:rsid w:val="00BA1241"/>
    <w:rsid w:val="00BA194D"/>
    <w:rsid w:val="00BA20D3"/>
    <w:rsid w:val="00BA27F6"/>
    <w:rsid w:val="00BA3354"/>
    <w:rsid w:val="00BA435D"/>
    <w:rsid w:val="00BB04A1"/>
    <w:rsid w:val="00BB1886"/>
    <w:rsid w:val="00BB1FFB"/>
    <w:rsid w:val="00BC006F"/>
    <w:rsid w:val="00BC00D6"/>
    <w:rsid w:val="00BC16FE"/>
    <w:rsid w:val="00BC1BD3"/>
    <w:rsid w:val="00BC28C8"/>
    <w:rsid w:val="00BC3B80"/>
    <w:rsid w:val="00BC3C2D"/>
    <w:rsid w:val="00BC56C5"/>
    <w:rsid w:val="00BC74D5"/>
    <w:rsid w:val="00BC79D7"/>
    <w:rsid w:val="00BC7A48"/>
    <w:rsid w:val="00BD0736"/>
    <w:rsid w:val="00BD0BA9"/>
    <w:rsid w:val="00BD0BE7"/>
    <w:rsid w:val="00BD1415"/>
    <w:rsid w:val="00BD2722"/>
    <w:rsid w:val="00BD352F"/>
    <w:rsid w:val="00BD64B8"/>
    <w:rsid w:val="00BD7D89"/>
    <w:rsid w:val="00BE1ED5"/>
    <w:rsid w:val="00BE1F41"/>
    <w:rsid w:val="00BE4866"/>
    <w:rsid w:val="00BE4CFE"/>
    <w:rsid w:val="00BE4D4B"/>
    <w:rsid w:val="00BE719B"/>
    <w:rsid w:val="00BF0D1D"/>
    <w:rsid w:val="00BF0FE5"/>
    <w:rsid w:val="00BF13DF"/>
    <w:rsid w:val="00BF1E7B"/>
    <w:rsid w:val="00BF47C0"/>
    <w:rsid w:val="00BF49BD"/>
    <w:rsid w:val="00BF52D7"/>
    <w:rsid w:val="00BF6CF3"/>
    <w:rsid w:val="00BF77BD"/>
    <w:rsid w:val="00C022EE"/>
    <w:rsid w:val="00C03177"/>
    <w:rsid w:val="00C0434F"/>
    <w:rsid w:val="00C04A34"/>
    <w:rsid w:val="00C07C9C"/>
    <w:rsid w:val="00C10F99"/>
    <w:rsid w:val="00C114A0"/>
    <w:rsid w:val="00C144A9"/>
    <w:rsid w:val="00C14FAF"/>
    <w:rsid w:val="00C16104"/>
    <w:rsid w:val="00C17A5C"/>
    <w:rsid w:val="00C20257"/>
    <w:rsid w:val="00C206E3"/>
    <w:rsid w:val="00C2091A"/>
    <w:rsid w:val="00C20CC6"/>
    <w:rsid w:val="00C2165D"/>
    <w:rsid w:val="00C21F62"/>
    <w:rsid w:val="00C22C69"/>
    <w:rsid w:val="00C22D56"/>
    <w:rsid w:val="00C23F3C"/>
    <w:rsid w:val="00C24A7E"/>
    <w:rsid w:val="00C25301"/>
    <w:rsid w:val="00C25BF3"/>
    <w:rsid w:val="00C26135"/>
    <w:rsid w:val="00C2720D"/>
    <w:rsid w:val="00C2763D"/>
    <w:rsid w:val="00C27B09"/>
    <w:rsid w:val="00C27FFA"/>
    <w:rsid w:val="00C305B7"/>
    <w:rsid w:val="00C30606"/>
    <w:rsid w:val="00C30D9F"/>
    <w:rsid w:val="00C313E4"/>
    <w:rsid w:val="00C3231F"/>
    <w:rsid w:val="00C347DC"/>
    <w:rsid w:val="00C34F2B"/>
    <w:rsid w:val="00C35194"/>
    <w:rsid w:val="00C3526F"/>
    <w:rsid w:val="00C35389"/>
    <w:rsid w:val="00C353BE"/>
    <w:rsid w:val="00C36F0B"/>
    <w:rsid w:val="00C37896"/>
    <w:rsid w:val="00C37DEF"/>
    <w:rsid w:val="00C419A0"/>
    <w:rsid w:val="00C41D2C"/>
    <w:rsid w:val="00C42D5A"/>
    <w:rsid w:val="00C4349B"/>
    <w:rsid w:val="00C44ADB"/>
    <w:rsid w:val="00C45AF7"/>
    <w:rsid w:val="00C46ACA"/>
    <w:rsid w:val="00C506B9"/>
    <w:rsid w:val="00C506C2"/>
    <w:rsid w:val="00C516CA"/>
    <w:rsid w:val="00C51703"/>
    <w:rsid w:val="00C51E3F"/>
    <w:rsid w:val="00C5417A"/>
    <w:rsid w:val="00C5442E"/>
    <w:rsid w:val="00C5498E"/>
    <w:rsid w:val="00C57296"/>
    <w:rsid w:val="00C605AF"/>
    <w:rsid w:val="00C6189A"/>
    <w:rsid w:val="00C61E84"/>
    <w:rsid w:val="00C62750"/>
    <w:rsid w:val="00C64290"/>
    <w:rsid w:val="00C661CE"/>
    <w:rsid w:val="00C663A2"/>
    <w:rsid w:val="00C73D19"/>
    <w:rsid w:val="00C73D4F"/>
    <w:rsid w:val="00C74931"/>
    <w:rsid w:val="00C75235"/>
    <w:rsid w:val="00C7562E"/>
    <w:rsid w:val="00C75BFC"/>
    <w:rsid w:val="00C76E92"/>
    <w:rsid w:val="00C80AB6"/>
    <w:rsid w:val="00C8165F"/>
    <w:rsid w:val="00C817F3"/>
    <w:rsid w:val="00C82EEC"/>
    <w:rsid w:val="00C8387C"/>
    <w:rsid w:val="00C91A7B"/>
    <w:rsid w:val="00C91F10"/>
    <w:rsid w:val="00C93A21"/>
    <w:rsid w:val="00C93EA9"/>
    <w:rsid w:val="00C941F0"/>
    <w:rsid w:val="00C9471F"/>
    <w:rsid w:val="00C94FD7"/>
    <w:rsid w:val="00C952B3"/>
    <w:rsid w:val="00C96FB0"/>
    <w:rsid w:val="00C974E5"/>
    <w:rsid w:val="00C97F0F"/>
    <w:rsid w:val="00CA06F1"/>
    <w:rsid w:val="00CA14A9"/>
    <w:rsid w:val="00CA1DE1"/>
    <w:rsid w:val="00CA2142"/>
    <w:rsid w:val="00CA3091"/>
    <w:rsid w:val="00CA386F"/>
    <w:rsid w:val="00CA3882"/>
    <w:rsid w:val="00CA76BE"/>
    <w:rsid w:val="00CB17BD"/>
    <w:rsid w:val="00CB2733"/>
    <w:rsid w:val="00CB704B"/>
    <w:rsid w:val="00CC144E"/>
    <w:rsid w:val="00CC28B6"/>
    <w:rsid w:val="00CC41AB"/>
    <w:rsid w:val="00CC41D8"/>
    <w:rsid w:val="00CC4B0A"/>
    <w:rsid w:val="00CC4CC1"/>
    <w:rsid w:val="00CC66A0"/>
    <w:rsid w:val="00CC7021"/>
    <w:rsid w:val="00CC7191"/>
    <w:rsid w:val="00CD1CF1"/>
    <w:rsid w:val="00CD3695"/>
    <w:rsid w:val="00CD39D2"/>
    <w:rsid w:val="00CD3D91"/>
    <w:rsid w:val="00CD45A3"/>
    <w:rsid w:val="00CE0D09"/>
    <w:rsid w:val="00CE10A1"/>
    <w:rsid w:val="00CE2F86"/>
    <w:rsid w:val="00CE3F07"/>
    <w:rsid w:val="00CE482A"/>
    <w:rsid w:val="00CE71BA"/>
    <w:rsid w:val="00CE76D1"/>
    <w:rsid w:val="00CE7AE4"/>
    <w:rsid w:val="00CF0772"/>
    <w:rsid w:val="00CF07DA"/>
    <w:rsid w:val="00CF16D8"/>
    <w:rsid w:val="00CF24F5"/>
    <w:rsid w:val="00CF3278"/>
    <w:rsid w:val="00CF4AA0"/>
    <w:rsid w:val="00CF7C6E"/>
    <w:rsid w:val="00CF7E13"/>
    <w:rsid w:val="00D001BE"/>
    <w:rsid w:val="00D0089B"/>
    <w:rsid w:val="00D03130"/>
    <w:rsid w:val="00D03CCE"/>
    <w:rsid w:val="00D03F7B"/>
    <w:rsid w:val="00D06F93"/>
    <w:rsid w:val="00D07853"/>
    <w:rsid w:val="00D11C93"/>
    <w:rsid w:val="00D16131"/>
    <w:rsid w:val="00D21877"/>
    <w:rsid w:val="00D21AF2"/>
    <w:rsid w:val="00D21EC1"/>
    <w:rsid w:val="00D22295"/>
    <w:rsid w:val="00D2389B"/>
    <w:rsid w:val="00D23BF8"/>
    <w:rsid w:val="00D23E45"/>
    <w:rsid w:val="00D23F94"/>
    <w:rsid w:val="00D248C3"/>
    <w:rsid w:val="00D26E6E"/>
    <w:rsid w:val="00D275EB"/>
    <w:rsid w:val="00D30F90"/>
    <w:rsid w:val="00D3143B"/>
    <w:rsid w:val="00D33713"/>
    <w:rsid w:val="00D33A28"/>
    <w:rsid w:val="00D36DC7"/>
    <w:rsid w:val="00D37DBF"/>
    <w:rsid w:val="00D4299F"/>
    <w:rsid w:val="00D42AE1"/>
    <w:rsid w:val="00D43574"/>
    <w:rsid w:val="00D44AF3"/>
    <w:rsid w:val="00D46853"/>
    <w:rsid w:val="00D50CAF"/>
    <w:rsid w:val="00D5129D"/>
    <w:rsid w:val="00D51D3F"/>
    <w:rsid w:val="00D52E6B"/>
    <w:rsid w:val="00D5473F"/>
    <w:rsid w:val="00D55A73"/>
    <w:rsid w:val="00D57CBD"/>
    <w:rsid w:val="00D60341"/>
    <w:rsid w:val="00D6106D"/>
    <w:rsid w:val="00D61309"/>
    <w:rsid w:val="00D6246C"/>
    <w:rsid w:val="00D62EA3"/>
    <w:rsid w:val="00D64819"/>
    <w:rsid w:val="00D6492A"/>
    <w:rsid w:val="00D65A05"/>
    <w:rsid w:val="00D66123"/>
    <w:rsid w:val="00D71E5E"/>
    <w:rsid w:val="00D72ACE"/>
    <w:rsid w:val="00D74CC0"/>
    <w:rsid w:val="00D765F4"/>
    <w:rsid w:val="00D77AD5"/>
    <w:rsid w:val="00D77FD6"/>
    <w:rsid w:val="00D81F5F"/>
    <w:rsid w:val="00D84837"/>
    <w:rsid w:val="00D85353"/>
    <w:rsid w:val="00D8571D"/>
    <w:rsid w:val="00D8687B"/>
    <w:rsid w:val="00D87FD4"/>
    <w:rsid w:val="00D90104"/>
    <w:rsid w:val="00D9077A"/>
    <w:rsid w:val="00D917AC"/>
    <w:rsid w:val="00D923C1"/>
    <w:rsid w:val="00D92C6C"/>
    <w:rsid w:val="00D930D0"/>
    <w:rsid w:val="00D94CF9"/>
    <w:rsid w:val="00D94E96"/>
    <w:rsid w:val="00D951D3"/>
    <w:rsid w:val="00D95364"/>
    <w:rsid w:val="00D96E3B"/>
    <w:rsid w:val="00D977B6"/>
    <w:rsid w:val="00D97FE4"/>
    <w:rsid w:val="00DA0F29"/>
    <w:rsid w:val="00DA1C9B"/>
    <w:rsid w:val="00DA1F81"/>
    <w:rsid w:val="00DA3D7B"/>
    <w:rsid w:val="00DA41EC"/>
    <w:rsid w:val="00DA4314"/>
    <w:rsid w:val="00DB05E8"/>
    <w:rsid w:val="00DB2690"/>
    <w:rsid w:val="00DB2743"/>
    <w:rsid w:val="00DB29D3"/>
    <w:rsid w:val="00DB3BC2"/>
    <w:rsid w:val="00DB3EDF"/>
    <w:rsid w:val="00DB4B7A"/>
    <w:rsid w:val="00DB5946"/>
    <w:rsid w:val="00DB6AB0"/>
    <w:rsid w:val="00DB6E40"/>
    <w:rsid w:val="00DB76B5"/>
    <w:rsid w:val="00DC013F"/>
    <w:rsid w:val="00DC0835"/>
    <w:rsid w:val="00DC171D"/>
    <w:rsid w:val="00DC2CB9"/>
    <w:rsid w:val="00DC40F4"/>
    <w:rsid w:val="00DC4E86"/>
    <w:rsid w:val="00DC6E46"/>
    <w:rsid w:val="00DC70E4"/>
    <w:rsid w:val="00DC71E3"/>
    <w:rsid w:val="00DC78D7"/>
    <w:rsid w:val="00DC7AFE"/>
    <w:rsid w:val="00DC7CC6"/>
    <w:rsid w:val="00DD010B"/>
    <w:rsid w:val="00DD0224"/>
    <w:rsid w:val="00DD07F9"/>
    <w:rsid w:val="00DD1032"/>
    <w:rsid w:val="00DD2243"/>
    <w:rsid w:val="00DD2605"/>
    <w:rsid w:val="00DD33AD"/>
    <w:rsid w:val="00DD4C32"/>
    <w:rsid w:val="00DD63AF"/>
    <w:rsid w:val="00DD690C"/>
    <w:rsid w:val="00DD741C"/>
    <w:rsid w:val="00DE1E22"/>
    <w:rsid w:val="00DE1EFA"/>
    <w:rsid w:val="00DE24E8"/>
    <w:rsid w:val="00DE2E42"/>
    <w:rsid w:val="00DE4BE8"/>
    <w:rsid w:val="00DE4D8F"/>
    <w:rsid w:val="00DE5931"/>
    <w:rsid w:val="00DE5C16"/>
    <w:rsid w:val="00DE757E"/>
    <w:rsid w:val="00DF0A43"/>
    <w:rsid w:val="00DF1435"/>
    <w:rsid w:val="00DF19E3"/>
    <w:rsid w:val="00DF322A"/>
    <w:rsid w:val="00DF3D9C"/>
    <w:rsid w:val="00DF5225"/>
    <w:rsid w:val="00DF6384"/>
    <w:rsid w:val="00DF793F"/>
    <w:rsid w:val="00DF7AF0"/>
    <w:rsid w:val="00DF7D05"/>
    <w:rsid w:val="00DF7F23"/>
    <w:rsid w:val="00E001C5"/>
    <w:rsid w:val="00E00B71"/>
    <w:rsid w:val="00E016ED"/>
    <w:rsid w:val="00E05082"/>
    <w:rsid w:val="00E076FA"/>
    <w:rsid w:val="00E07C1D"/>
    <w:rsid w:val="00E110FA"/>
    <w:rsid w:val="00E14EE5"/>
    <w:rsid w:val="00E209D1"/>
    <w:rsid w:val="00E22A97"/>
    <w:rsid w:val="00E2477E"/>
    <w:rsid w:val="00E25C4B"/>
    <w:rsid w:val="00E31AF8"/>
    <w:rsid w:val="00E32539"/>
    <w:rsid w:val="00E3365D"/>
    <w:rsid w:val="00E3441D"/>
    <w:rsid w:val="00E34496"/>
    <w:rsid w:val="00E34950"/>
    <w:rsid w:val="00E34F64"/>
    <w:rsid w:val="00E35165"/>
    <w:rsid w:val="00E36461"/>
    <w:rsid w:val="00E36F78"/>
    <w:rsid w:val="00E40337"/>
    <w:rsid w:val="00E407C3"/>
    <w:rsid w:val="00E40B69"/>
    <w:rsid w:val="00E43067"/>
    <w:rsid w:val="00E4367D"/>
    <w:rsid w:val="00E44848"/>
    <w:rsid w:val="00E45CD8"/>
    <w:rsid w:val="00E46146"/>
    <w:rsid w:val="00E46767"/>
    <w:rsid w:val="00E467CF"/>
    <w:rsid w:val="00E47834"/>
    <w:rsid w:val="00E47A4D"/>
    <w:rsid w:val="00E5445C"/>
    <w:rsid w:val="00E54F45"/>
    <w:rsid w:val="00E5525B"/>
    <w:rsid w:val="00E5547F"/>
    <w:rsid w:val="00E60C45"/>
    <w:rsid w:val="00E61652"/>
    <w:rsid w:val="00E622BB"/>
    <w:rsid w:val="00E6252B"/>
    <w:rsid w:val="00E644D3"/>
    <w:rsid w:val="00E64596"/>
    <w:rsid w:val="00E6622D"/>
    <w:rsid w:val="00E6646E"/>
    <w:rsid w:val="00E66C21"/>
    <w:rsid w:val="00E7166C"/>
    <w:rsid w:val="00E71753"/>
    <w:rsid w:val="00E73179"/>
    <w:rsid w:val="00E746EF"/>
    <w:rsid w:val="00E74DA5"/>
    <w:rsid w:val="00E753E6"/>
    <w:rsid w:val="00E767C6"/>
    <w:rsid w:val="00E777BF"/>
    <w:rsid w:val="00E803B4"/>
    <w:rsid w:val="00E80BD1"/>
    <w:rsid w:val="00E82199"/>
    <w:rsid w:val="00E8325E"/>
    <w:rsid w:val="00E85001"/>
    <w:rsid w:val="00E8612B"/>
    <w:rsid w:val="00E87045"/>
    <w:rsid w:val="00E874B5"/>
    <w:rsid w:val="00E90CFC"/>
    <w:rsid w:val="00E92B89"/>
    <w:rsid w:val="00E93733"/>
    <w:rsid w:val="00E944DE"/>
    <w:rsid w:val="00E94564"/>
    <w:rsid w:val="00E948DB"/>
    <w:rsid w:val="00E96404"/>
    <w:rsid w:val="00EA246B"/>
    <w:rsid w:val="00EA24CD"/>
    <w:rsid w:val="00EA2AE4"/>
    <w:rsid w:val="00EA2CA6"/>
    <w:rsid w:val="00EA4D18"/>
    <w:rsid w:val="00EA5C46"/>
    <w:rsid w:val="00EA5D34"/>
    <w:rsid w:val="00EA5D83"/>
    <w:rsid w:val="00EA63DD"/>
    <w:rsid w:val="00EA6986"/>
    <w:rsid w:val="00EA7198"/>
    <w:rsid w:val="00EB04E8"/>
    <w:rsid w:val="00EB09A6"/>
    <w:rsid w:val="00EB28E9"/>
    <w:rsid w:val="00EB2D1B"/>
    <w:rsid w:val="00EB662A"/>
    <w:rsid w:val="00EB67C0"/>
    <w:rsid w:val="00EB70FF"/>
    <w:rsid w:val="00EB78DD"/>
    <w:rsid w:val="00EC11CD"/>
    <w:rsid w:val="00EC1374"/>
    <w:rsid w:val="00EC2169"/>
    <w:rsid w:val="00EC222B"/>
    <w:rsid w:val="00EC26A9"/>
    <w:rsid w:val="00EC395B"/>
    <w:rsid w:val="00EC3ADE"/>
    <w:rsid w:val="00EC639A"/>
    <w:rsid w:val="00EC7FEB"/>
    <w:rsid w:val="00ED2522"/>
    <w:rsid w:val="00ED2A63"/>
    <w:rsid w:val="00ED2BF1"/>
    <w:rsid w:val="00ED3FB4"/>
    <w:rsid w:val="00ED4A85"/>
    <w:rsid w:val="00EE1592"/>
    <w:rsid w:val="00EE2571"/>
    <w:rsid w:val="00EE2AAB"/>
    <w:rsid w:val="00EE3A90"/>
    <w:rsid w:val="00EE58D4"/>
    <w:rsid w:val="00EE6136"/>
    <w:rsid w:val="00EE6846"/>
    <w:rsid w:val="00EF0CE1"/>
    <w:rsid w:val="00EF1D02"/>
    <w:rsid w:val="00EF2782"/>
    <w:rsid w:val="00EF2CCF"/>
    <w:rsid w:val="00EF6A49"/>
    <w:rsid w:val="00F00A57"/>
    <w:rsid w:val="00F01A38"/>
    <w:rsid w:val="00F0326E"/>
    <w:rsid w:val="00F03755"/>
    <w:rsid w:val="00F0594B"/>
    <w:rsid w:val="00F063FD"/>
    <w:rsid w:val="00F06EA5"/>
    <w:rsid w:val="00F10D01"/>
    <w:rsid w:val="00F10E43"/>
    <w:rsid w:val="00F115CF"/>
    <w:rsid w:val="00F11AFD"/>
    <w:rsid w:val="00F11CE8"/>
    <w:rsid w:val="00F130DE"/>
    <w:rsid w:val="00F13620"/>
    <w:rsid w:val="00F146ED"/>
    <w:rsid w:val="00F14739"/>
    <w:rsid w:val="00F14A5F"/>
    <w:rsid w:val="00F1591E"/>
    <w:rsid w:val="00F16DA9"/>
    <w:rsid w:val="00F17643"/>
    <w:rsid w:val="00F21EEB"/>
    <w:rsid w:val="00F2219D"/>
    <w:rsid w:val="00F2495D"/>
    <w:rsid w:val="00F25DB7"/>
    <w:rsid w:val="00F26DA0"/>
    <w:rsid w:val="00F26E7C"/>
    <w:rsid w:val="00F30215"/>
    <w:rsid w:val="00F3121A"/>
    <w:rsid w:val="00F3130D"/>
    <w:rsid w:val="00F3139A"/>
    <w:rsid w:val="00F32ADD"/>
    <w:rsid w:val="00F35518"/>
    <w:rsid w:val="00F40BFA"/>
    <w:rsid w:val="00F40F54"/>
    <w:rsid w:val="00F43243"/>
    <w:rsid w:val="00F446FF"/>
    <w:rsid w:val="00F45D16"/>
    <w:rsid w:val="00F46E8E"/>
    <w:rsid w:val="00F500BD"/>
    <w:rsid w:val="00F52E1B"/>
    <w:rsid w:val="00F53792"/>
    <w:rsid w:val="00F55833"/>
    <w:rsid w:val="00F5612B"/>
    <w:rsid w:val="00F6078E"/>
    <w:rsid w:val="00F609C4"/>
    <w:rsid w:val="00F622DE"/>
    <w:rsid w:val="00F64719"/>
    <w:rsid w:val="00F65EEC"/>
    <w:rsid w:val="00F70E7C"/>
    <w:rsid w:val="00F731D8"/>
    <w:rsid w:val="00F74F5A"/>
    <w:rsid w:val="00F7606B"/>
    <w:rsid w:val="00F83028"/>
    <w:rsid w:val="00F8412B"/>
    <w:rsid w:val="00F84356"/>
    <w:rsid w:val="00F851CE"/>
    <w:rsid w:val="00F851D9"/>
    <w:rsid w:val="00F914B9"/>
    <w:rsid w:val="00F929B3"/>
    <w:rsid w:val="00F936AF"/>
    <w:rsid w:val="00F93F90"/>
    <w:rsid w:val="00F94955"/>
    <w:rsid w:val="00F957F8"/>
    <w:rsid w:val="00F962ED"/>
    <w:rsid w:val="00F9693A"/>
    <w:rsid w:val="00F9728C"/>
    <w:rsid w:val="00F97694"/>
    <w:rsid w:val="00FA0273"/>
    <w:rsid w:val="00FA1A69"/>
    <w:rsid w:val="00FA1DE9"/>
    <w:rsid w:val="00FA36F6"/>
    <w:rsid w:val="00FA45E1"/>
    <w:rsid w:val="00FA54C1"/>
    <w:rsid w:val="00FA59DE"/>
    <w:rsid w:val="00FA5FDE"/>
    <w:rsid w:val="00FA771A"/>
    <w:rsid w:val="00FA7BE6"/>
    <w:rsid w:val="00FA7FD8"/>
    <w:rsid w:val="00FB0E91"/>
    <w:rsid w:val="00FB2EA6"/>
    <w:rsid w:val="00FB3A32"/>
    <w:rsid w:val="00FB3CCC"/>
    <w:rsid w:val="00FB4DDC"/>
    <w:rsid w:val="00FB61A8"/>
    <w:rsid w:val="00FB76EF"/>
    <w:rsid w:val="00FB77D7"/>
    <w:rsid w:val="00FC01B1"/>
    <w:rsid w:val="00FC1023"/>
    <w:rsid w:val="00FC3668"/>
    <w:rsid w:val="00FC3AA7"/>
    <w:rsid w:val="00FC432E"/>
    <w:rsid w:val="00FC50BF"/>
    <w:rsid w:val="00FC6178"/>
    <w:rsid w:val="00FC622F"/>
    <w:rsid w:val="00FC628A"/>
    <w:rsid w:val="00FC7526"/>
    <w:rsid w:val="00FD089A"/>
    <w:rsid w:val="00FD1081"/>
    <w:rsid w:val="00FD1242"/>
    <w:rsid w:val="00FD31A8"/>
    <w:rsid w:val="00FD3AF1"/>
    <w:rsid w:val="00FD44AA"/>
    <w:rsid w:val="00FD7784"/>
    <w:rsid w:val="00FE204F"/>
    <w:rsid w:val="00FE3A73"/>
    <w:rsid w:val="00FE3CA8"/>
    <w:rsid w:val="00FE46F0"/>
    <w:rsid w:val="00FE5598"/>
    <w:rsid w:val="00FE58FF"/>
    <w:rsid w:val="00FE63E5"/>
    <w:rsid w:val="00FF0638"/>
    <w:rsid w:val="00FF1722"/>
    <w:rsid w:val="00FF29DA"/>
    <w:rsid w:val="00FF6E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362C1"/>
  <w15:docId w15:val="{623AF0B3-EFBD-4E6A-8B18-E9D2B1F2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2"/>
        <w:szCs w:val="22"/>
        <w:lang w:val="en-GB" w:eastAsia="en-US" w:bidi="ar-SA"/>
      </w:rPr>
    </w:rPrDefault>
    <w:pPrDefault>
      <w:pPr>
        <w:spacing w:before="120"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0" w:uiPriority="22" w:qFormat="1"/>
    <w:lsdException w:name="Emphasis" w:locked="0"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022EE"/>
  </w:style>
  <w:style w:type="paragraph" w:styleId="Heading1">
    <w:name w:val="heading 1"/>
    <w:basedOn w:val="Normal"/>
    <w:next w:val="Normal"/>
    <w:link w:val="Heading1Char"/>
    <w:uiPriority w:val="9"/>
    <w:qFormat/>
    <w:rsid w:val="002F6518"/>
    <w:pPr>
      <w:keepNext/>
      <w:numPr>
        <w:numId w:val="3"/>
      </w:numPr>
      <w:spacing w:before="480" w:line="240" w:lineRule="auto"/>
      <w:ind w:left="431" w:hanging="431"/>
      <w:contextualSpacing/>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EC11CD"/>
    <w:pPr>
      <w:keepNext/>
      <w:keepLines/>
      <w:numPr>
        <w:ilvl w:val="1"/>
        <w:numId w:val="3"/>
      </w:numPr>
      <w:spacing w:before="240" w:after="120" w:line="240" w:lineRule="auto"/>
      <w:ind w:left="578" w:hanging="578"/>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F1435"/>
    <w:pPr>
      <w:keepNext/>
      <w:numPr>
        <w:ilvl w:val="2"/>
        <w:numId w:val="3"/>
      </w:numPr>
      <w:spacing w:before="200"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9904DB"/>
    <w:pPr>
      <w:keepNext/>
      <w:numPr>
        <w:ilvl w:val="3"/>
        <w:numId w:val="3"/>
      </w:numPr>
      <w:spacing w:before="200" w:after="120" w:line="240" w:lineRule="auto"/>
      <w:ind w:left="862" w:hanging="862"/>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D977B6"/>
    <w:pPr>
      <w:keepNext/>
      <w:numPr>
        <w:ilvl w:val="4"/>
        <w:numId w:val="3"/>
      </w:numPr>
      <w:spacing w:before="200" w:after="120" w:line="240" w:lineRule="auto"/>
      <w:ind w:left="1009" w:hanging="1009"/>
      <w:outlineLvl w:val="4"/>
    </w:pPr>
    <w:rPr>
      <w:rFonts w:eastAsiaTheme="majorEastAsia" w:cstheme="majorBidi"/>
      <w:b/>
      <w:bCs/>
      <w:i/>
    </w:rPr>
  </w:style>
  <w:style w:type="paragraph" w:styleId="Heading6">
    <w:name w:val="heading 6"/>
    <w:basedOn w:val="Normal"/>
    <w:next w:val="Normal"/>
    <w:link w:val="Heading6Char"/>
    <w:autoRedefine/>
    <w:uiPriority w:val="9"/>
    <w:unhideWhenUsed/>
    <w:qFormat/>
    <w:rsid w:val="000E405B"/>
    <w:pPr>
      <w:keepNext/>
      <w:numPr>
        <w:ilvl w:val="5"/>
        <w:numId w:val="3"/>
      </w:numPr>
      <w:spacing w:after="120" w:line="240" w:lineRule="auto"/>
      <w:ind w:left="1151" w:hanging="1151"/>
      <w:contextualSpacing/>
      <w:outlineLvl w:val="5"/>
    </w:pPr>
    <w:rPr>
      <w:rFonts w:eastAsiaTheme="majorEastAsia" w:cstheme="majorBidi"/>
      <w:bCs/>
      <w:i/>
      <w:iCs/>
    </w:rPr>
  </w:style>
  <w:style w:type="paragraph" w:styleId="Heading7">
    <w:name w:val="heading 7"/>
    <w:basedOn w:val="Normal"/>
    <w:next w:val="Normal"/>
    <w:link w:val="Heading7Char"/>
    <w:uiPriority w:val="9"/>
    <w:semiHidden/>
    <w:unhideWhenUsed/>
    <w:locked/>
    <w:rsid w:val="00AA755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AA755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AA755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6F6"/>
    <w:pPr>
      <w:spacing w:line="240" w:lineRule="auto"/>
      <w:contextualSpacing/>
      <w:jc w:val="center"/>
    </w:pPr>
    <w:rPr>
      <w:rFonts w:eastAsiaTheme="majorEastAsia" w:cstheme="majorBidi"/>
      <w:b/>
      <w:spacing w:val="5"/>
      <w:sz w:val="32"/>
      <w:szCs w:val="52"/>
    </w:rPr>
  </w:style>
  <w:style w:type="character" w:customStyle="1" w:styleId="TitleChar">
    <w:name w:val="Title Char"/>
    <w:basedOn w:val="DefaultParagraphFont"/>
    <w:link w:val="Title"/>
    <w:uiPriority w:val="10"/>
    <w:rsid w:val="00FA36F6"/>
    <w:rPr>
      <w:rFonts w:eastAsiaTheme="majorEastAsia" w:cstheme="majorBidi"/>
      <w:b/>
      <w:spacing w:val="5"/>
      <w:sz w:val="32"/>
      <w:szCs w:val="52"/>
    </w:rPr>
  </w:style>
  <w:style w:type="character" w:customStyle="1" w:styleId="Heading2Char">
    <w:name w:val="Heading 2 Char"/>
    <w:basedOn w:val="DefaultParagraphFont"/>
    <w:link w:val="Heading2"/>
    <w:uiPriority w:val="9"/>
    <w:rsid w:val="00EC11CD"/>
    <w:rPr>
      <w:rFonts w:eastAsiaTheme="majorEastAsia" w:cstheme="majorBidi"/>
      <w:b/>
      <w:bCs/>
      <w:sz w:val="24"/>
      <w:szCs w:val="26"/>
    </w:rPr>
  </w:style>
  <w:style w:type="paragraph" w:styleId="Header">
    <w:name w:val="header"/>
    <w:basedOn w:val="Normal"/>
    <w:link w:val="HeaderChar"/>
    <w:uiPriority w:val="99"/>
    <w:rsid w:val="00604FB7"/>
    <w:pPr>
      <w:tabs>
        <w:tab w:val="center" w:pos="4153"/>
        <w:tab w:val="right" w:pos="8306"/>
      </w:tabs>
      <w:jc w:val="center"/>
    </w:pPr>
    <w:rPr>
      <w:i/>
      <w:sz w:val="16"/>
    </w:rPr>
  </w:style>
  <w:style w:type="character" w:customStyle="1" w:styleId="HeaderChar">
    <w:name w:val="Header Char"/>
    <w:basedOn w:val="DefaultParagraphFont"/>
    <w:link w:val="Header"/>
    <w:uiPriority w:val="99"/>
    <w:rsid w:val="00604FB7"/>
    <w:rPr>
      <w:i/>
      <w:sz w:val="16"/>
    </w:rPr>
  </w:style>
  <w:style w:type="character" w:styleId="Hyperlink">
    <w:name w:val="Hyperlink"/>
    <w:uiPriority w:val="99"/>
    <w:locked/>
    <w:rsid w:val="009000ED"/>
    <w:rPr>
      <w:color w:val="0000FF"/>
      <w:u w:val="single"/>
    </w:rPr>
  </w:style>
  <w:style w:type="paragraph" w:styleId="Footer">
    <w:name w:val="footer"/>
    <w:basedOn w:val="Normal"/>
    <w:link w:val="FooterChar"/>
    <w:uiPriority w:val="99"/>
    <w:unhideWhenUsed/>
    <w:rsid w:val="00FC432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432E"/>
  </w:style>
  <w:style w:type="character" w:customStyle="1" w:styleId="Heading1Char">
    <w:name w:val="Heading 1 Char"/>
    <w:basedOn w:val="DefaultParagraphFont"/>
    <w:link w:val="Heading1"/>
    <w:uiPriority w:val="9"/>
    <w:rsid w:val="002F6518"/>
    <w:rPr>
      <w:rFonts w:eastAsiaTheme="majorEastAsia" w:cstheme="majorBidi"/>
      <w:b/>
      <w:bCs/>
      <w:sz w:val="28"/>
      <w:szCs w:val="28"/>
    </w:rPr>
  </w:style>
  <w:style w:type="character" w:customStyle="1" w:styleId="Heading3Char">
    <w:name w:val="Heading 3 Char"/>
    <w:basedOn w:val="DefaultParagraphFont"/>
    <w:link w:val="Heading3"/>
    <w:uiPriority w:val="9"/>
    <w:rsid w:val="00DF1435"/>
    <w:rPr>
      <w:rFonts w:eastAsiaTheme="majorEastAsia" w:cstheme="majorBidi"/>
      <w:b/>
      <w:bCs/>
    </w:rPr>
  </w:style>
  <w:style w:type="character" w:customStyle="1" w:styleId="Heading4Char">
    <w:name w:val="Heading 4 Char"/>
    <w:basedOn w:val="DefaultParagraphFont"/>
    <w:link w:val="Heading4"/>
    <w:uiPriority w:val="9"/>
    <w:rsid w:val="009904DB"/>
    <w:rPr>
      <w:rFonts w:eastAsiaTheme="majorEastAsia" w:cstheme="majorBidi"/>
      <w:b/>
      <w:bCs/>
      <w:iCs/>
    </w:rPr>
  </w:style>
  <w:style w:type="character" w:customStyle="1" w:styleId="Heading5Char">
    <w:name w:val="Heading 5 Char"/>
    <w:basedOn w:val="DefaultParagraphFont"/>
    <w:link w:val="Heading5"/>
    <w:uiPriority w:val="9"/>
    <w:rsid w:val="00D977B6"/>
    <w:rPr>
      <w:rFonts w:eastAsiaTheme="majorEastAsia" w:cstheme="majorBidi"/>
      <w:b/>
      <w:bCs/>
      <w:i/>
    </w:rPr>
  </w:style>
  <w:style w:type="character" w:customStyle="1" w:styleId="Heading6Char">
    <w:name w:val="Heading 6 Char"/>
    <w:basedOn w:val="DefaultParagraphFont"/>
    <w:link w:val="Heading6"/>
    <w:uiPriority w:val="9"/>
    <w:rsid w:val="000E405B"/>
    <w:rPr>
      <w:rFonts w:eastAsiaTheme="majorEastAsia" w:cstheme="majorBidi"/>
      <w:bCs/>
      <w:i/>
      <w:iCs/>
    </w:rPr>
  </w:style>
  <w:style w:type="character" w:customStyle="1" w:styleId="Heading7Char">
    <w:name w:val="Heading 7 Char"/>
    <w:basedOn w:val="DefaultParagraphFont"/>
    <w:link w:val="Heading7"/>
    <w:uiPriority w:val="9"/>
    <w:semiHidden/>
    <w:rsid w:val="00AA755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A755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A7552"/>
    <w:rPr>
      <w:rFonts w:asciiTheme="majorHAnsi" w:eastAsiaTheme="majorEastAsia" w:hAnsiTheme="majorHAnsi" w:cstheme="majorBidi"/>
      <w:i/>
      <w:iCs/>
      <w:spacing w:val="5"/>
      <w:sz w:val="20"/>
      <w:szCs w:val="20"/>
    </w:rPr>
  </w:style>
  <w:style w:type="character" w:styleId="Strong">
    <w:name w:val="Strong"/>
    <w:uiPriority w:val="22"/>
    <w:qFormat/>
    <w:rsid w:val="00AA7552"/>
    <w:rPr>
      <w:b/>
      <w:bCs/>
    </w:rPr>
  </w:style>
  <w:style w:type="character" w:styleId="Emphasis">
    <w:name w:val="Emphasis"/>
    <w:uiPriority w:val="20"/>
    <w:qFormat/>
    <w:rsid w:val="00CC28B6"/>
    <w:rPr>
      <w:bCs/>
      <w:i/>
      <w:iCs/>
      <w:spacing w:val="0"/>
      <w:bdr w:val="none" w:sz="0" w:space="0" w:color="auto"/>
      <w:shd w:val="clear" w:color="auto" w:fill="auto"/>
    </w:rPr>
  </w:style>
  <w:style w:type="paragraph" w:styleId="NoSpacing">
    <w:name w:val="No Spacing"/>
    <w:basedOn w:val="Normal"/>
    <w:link w:val="NoSpacingChar"/>
    <w:uiPriority w:val="1"/>
    <w:qFormat/>
    <w:locked/>
    <w:rsid w:val="00AA7552"/>
    <w:pPr>
      <w:spacing w:after="0" w:line="240" w:lineRule="auto"/>
    </w:pPr>
  </w:style>
  <w:style w:type="paragraph" w:styleId="ListParagraph">
    <w:name w:val="List Paragraph"/>
    <w:basedOn w:val="Normal"/>
    <w:uiPriority w:val="34"/>
    <w:qFormat/>
    <w:locked/>
    <w:rsid w:val="00AA7552"/>
    <w:pPr>
      <w:ind w:left="720"/>
      <w:contextualSpacing/>
    </w:pPr>
  </w:style>
  <w:style w:type="paragraph" w:styleId="Quote">
    <w:name w:val="Quote"/>
    <w:basedOn w:val="Normal"/>
    <w:next w:val="Normal"/>
    <w:link w:val="QuoteChar"/>
    <w:uiPriority w:val="29"/>
    <w:qFormat/>
    <w:rsid w:val="00B57FCC"/>
    <w:pPr>
      <w:spacing w:before="0"/>
      <w:ind w:left="357" w:right="357"/>
    </w:pPr>
    <w:rPr>
      <w:iCs/>
    </w:rPr>
  </w:style>
  <w:style w:type="character" w:customStyle="1" w:styleId="QuoteChar">
    <w:name w:val="Quote Char"/>
    <w:basedOn w:val="DefaultParagraphFont"/>
    <w:link w:val="Quote"/>
    <w:uiPriority w:val="29"/>
    <w:rsid w:val="00B57FCC"/>
    <w:rPr>
      <w:iCs/>
    </w:rPr>
  </w:style>
  <w:style w:type="paragraph" w:styleId="IntenseQuote">
    <w:name w:val="Intense Quote"/>
    <w:basedOn w:val="Normal"/>
    <w:next w:val="Normal"/>
    <w:link w:val="IntenseQuoteChar"/>
    <w:uiPriority w:val="30"/>
    <w:qFormat/>
    <w:locked/>
    <w:rsid w:val="00AA755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A7552"/>
    <w:rPr>
      <w:b/>
      <w:bCs/>
      <w:i/>
      <w:iCs/>
    </w:rPr>
  </w:style>
  <w:style w:type="character" w:styleId="SubtleEmphasis">
    <w:name w:val="Subtle Emphasis"/>
    <w:uiPriority w:val="19"/>
    <w:qFormat/>
    <w:rsid w:val="00AA7552"/>
    <w:rPr>
      <w:i/>
      <w:iCs/>
    </w:rPr>
  </w:style>
  <w:style w:type="character" w:styleId="IntenseEmphasis">
    <w:name w:val="Intense Emphasis"/>
    <w:uiPriority w:val="21"/>
    <w:qFormat/>
    <w:locked/>
    <w:rsid w:val="00CC28B6"/>
    <w:rPr>
      <w:b/>
      <w:bCs/>
      <w:i/>
    </w:rPr>
  </w:style>
  <w:style w:type="character" w:styleId="SubtleReference">
    <w:name w:val="Subtle Reference"/>
    <w:uiPriority w:val="31"/>
    <w:qFormat/>
    <w:locked/>
    <w:rsid w:val="00AA7552"/>
    <w:rPr>
      <w:smallCaps/>
    </w:rPr>
  </w:style>
  <w:style w:type="character" w:styleId="IntenseReference">
    <w:name w:val="Intense Reference"/>
    <w:uiPriority w:val="32"/>
    <w:qFormat/>
    <w:locked/>
    <w:rsid w:val="00AA7552"/>
    <w:rPr>
      <w:smallCaps/>
      <w:spacing w:val="5"/>
      <w:u w:val="single"/>
    </w:rPr>
  </w:style>
  <w:style w:type="character" w:styleId="BookTitle">
    <w:name w:val="Book Title"/>
    <w:uiPriority w:val="33"/>
    <w:qFormat/>
    <w:locked/>
    <w:rsid w:val="00AA7552"/>
    <w:rPr>
      <w:i/>
      <w:iCs/>
      <w:smallCaps/>
      <w:spacing w:val="5"/>
    </w:rPr>
  </w:style>
  <w:style w:type="paragraph" w:styleId="TOCHeading">
    <w:name w:val="TOC Heading"/>
    <w:basedOn w:val="Nonnumberedheading1"/>
    <w:next w:val="Normal"/>
    <w:uiPriority w:val="39"/>
    <w:unhideWhenUsed/>
    <w:qFormat/>
    <w:rsid w:val="00AA7552"/>
    <w:rPr>
      <w:lang w:bidi="en-US"/>
    </w:rPr>
  </w:style>
  <w:style w:type="numbering" w:customStyle="1" w:styleId="Numberedheadingsscheme">
    <w:name w:val="Numbered headings scheme"/>
    <w:uiPriority w:val="99"/>
    <w:rsid w:val="00D66123"/>
    <w:pPr>
      <w:numPr>
        <w:numId w:val="2"/>
      </w:numPr>
    </w:pPr>
  </w:style>
  <w:style w:type="character" w:customStyle="1" w:styleId="AIC">
    <w:name w:val="AIC"/>
    <w:basedOn w:val="DefaultParagraphFont"/>
    <w:uiPriority w:val="1"/>
    <w:rsid w:val="00BD2722"/>
    <w:rPr>
      <w:u w:val="single"/>
      <w:bdr w:val="none" w:sz="0" w:space="0" w:color="auto"/>
      <w:shd w:val="clear" w:color="auto" w:fill="FFFF00"/>
    </w:rPr>
  </w:style>
  <w:style w:type="paragraph" w:customStyle="1" w:styleId="Titlepageboldsmallheadings">
    <w:name w:val="Title page bold small headings"/>
    <w:basedOn w:val="Normal"/>
    <w:link w:val="TitlepageboldsmallheadingsChar"/>
    <w:qFormat/>
    <w:rsid w:val="00AF1B3D"/>
    <w:pPr>
      <w:spacing w:before="240" w:after="120" w:line="240" w:lineRule="auto"/>
    </w:pPr>
    <w:rPr>
      <w:b/>
    </w:rPr>
  </w:style>
  <w:style w:type="paragraph" w:customStyle="1" w:styleId="Nonnumberedheading1">
    <w:name w:val="Non numbered heading 1"/>
    <w:basedOn w:val="Heading1"/>
    <w:next w:val="Normal"/>
    <w:link w:val="Nonnumberedheading1Char"/>
    <w:qFormat/>
    <w:rsid w:val="000B2A8F"/>
    <w:pPr>
      <w:numPr>
        <w:numId w:val="0"/>
      </w:numPr>
    </w:pPr>
  </w:style>
  <w:style w:type="character" w:customStyle="1" w:styleId="TitlepageboldsmallheadingsChar">
    <w:name w:val="Title page bold small headings Char"/>
    <w:basedOn w:val="DefaultParagraphFont"/>
    <w:link w:val="Titlepageboldsmallheadings"/>
    <w:rsid w:val="00AF1B3D"/>
    <w:rPr>
      <w:b/>
    </w:rPr>
  </w:style>
  <w:style w:type="paragraph" w:styleId="TOC1">
    <w:name w:val="toc 1"/>
    <w:basedOn w:val="Normal"/>
    <w:next w:val="Normal"/>
    <w:autoRedefine/>
    <w:uiPriority w:val="39"/>
    <w:unhideWhenUsed/>
    <w:rsid w:val="00CF4AA0"/>
    <w:pPr>
      <w:tabs>
        <w:tab w:val="left" w:pos="440"/>
        <w:tab w:val="right" w:pos="9016"/>
      </w:tabs>
      <w:spacing w:after="0" w:line="240" w:lineRule="auto"/>
      <w:ind w:left="442" w:hanging="442"/>
      <w:contextualSpacing/>
    </w:pPr>
  </w:style>
  <w:style w:type="character" w:customStyle="1" w:styleId="Nonnumberedheading1Char">
    <w:name w:val="Non numbered heading 1 Char"/>
    <w:basedOn w:val="DefaultParagraphFont"/>
    <w:link w:val="Nonnumberedheading1"/>
    <w:rsid w:val="000B2A8F"/>
    <w:rPr>
      <w:rFonts w:eastAsiaTheme="majorEastAsia" w:cstheme="majorBidi"/>
      <w:b/>
      <w:bCs/>
      <w:sz w:val="28"/>
      <w:szCs w:val="28"/>
    </w:rPr>
  </w:style>
  <w:style w:type="paragraph" w:styleId="TOC2">
    <w:name w:val="toc 2"/>
    <w:basedOn w:val="Normal"/>
    <w:next w:val="Normal"/>
    <w:autoRedefine/>
    <w:uiPriority w:val="39"/>
    <w:unhideWhenUsed/>
    <w:rsid w:val="005C5F64"/>
    <w:pPr>
      <w:tabs>
        <w:tab w:val="left" w:pos="624"/>
        <w:tab w:val="right" w:pos="9016"/>
      </w:tabs>
      <w:spacing w:after="100" w:line="240" w:lineRule="auto"/>
      <w:ind w:left="624" w:right="284" w:hanging="624"/>
    </w:pPr>
  </w:style>
  <w:style w:type="paragraph" w:styleId="TOC3">
    <w:name w:val="toc 3"/>
    <w:basedOn w:val="Normal"/>
    <w:next w:val="Normal"/>
    <w:autoRedefine/>
    <w:uiPriority w:val="39"/>
    <w:unhideWhenUsed/>
    <w:rsid w:val="005841DF"/>
    <w:pPr>
      <w:tabs>
        <w:tab w:val="left" w:pos="907"/>
        <w:tab w:val="right" w:pos="9016"/>
      </w:tabs>
      <w:spacing w:after="100" w:line="240" w:lineRule="auto"/>
      <w:ind w:left="907" w:right="170" w:hanging="907"/>
    </w:pPr>
  </w:style>
  <w:style w:type="character" w:customStyle="1" w:styleId="CIC">
    <w:name w:val="CIC"/>
    <w:basedOn w:val="AIC"/>
    <w:uiPriority w:val="1"/>
    <w:qFormat/>
    <w:rsid w:val="00E34950"/>
    <w:rPr>
      <w:rFonts w:ascii="Times New Roman" w:hAnsi="Times New Roman"/>
      <w:u w:val="single"/>
      <w:bdr w:val="none" w:sz="0" w:space="0" w:color="auto"/>
      <w:shd w:val="clear" w:color="auto" w:fill="05DCF9"/>
    </w:rPr>
  </w:style>
  <w:style w:type="character" w:styleId="FootnoteReference">
    <w:name w:val="footnote reference"/>
    <w:basedOn w:val="DefaultParagraphFont"/>
    <w:uiPriority w:val="99"/>
    <w:semiHidden/>
    <w:unhideWhenUsed/>
    <w:rsid w:val="00D23E45"/>
    <w:rPr>
      <w:rFonts w:ascii="Times New Roman" w:hAnsi="Times New Roman"/>
      <w:sz w:val="16"/>
      <w:vertAlign w:val="superscript"/>
    </w:rPr>
  </w:style>
  <w:style w:type="paragraph" w:styleId="FootnoteText">
    <w:name w:val="footnote text"/>
    <w:basedOn w:val="Normal"/>
    <w:link w:val="FootnoteTextChar"/>
    <w:uiPriority w:val="99"/>
    <w:semiHidden/>
    <w:unhideWhenUsed/>
    <w:rsid w:val="00D23E45"/>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D23E45"/>
    <w:rPr>
      <w:sz w:val="18"/>
      <w:szCs w:val="20"/>
    </w:rPr>
  </w:style>
  <w:style w:type="paragraph" w:styleId="Caption">
    <w:name w:val="caption"/>
    <w:aliases w:val="NICE Caption,- H17,Bayer Caption,IB Caption,Medical Caption,Caption - H17,! Q,B Caption,PHE Caption,Caption Char2,Caption Char1 Char,Caption Char Char Char,Caption Char1 Char Char Char,Caption Char Char Char Char Char,Source Caption,Caption PHMR"/>
    <w:basedOn w:val="Normal"/>
    <w:next w:val="Normal"/>
    <w:link w:val="CaptionChar"/>
    <w:uiPriority w:val="35"/>
    <w:unhideWhenUsed/>
    <w:qFormat/>
    <w:rsid w:val="003A7BD0"/>
    <w:pPr>
      <w:keepNext/>
      <w:spacing w:before="0" w:after="120" w:line="240" w:lineRule="auto"/>
    </w:pPr>
    <w:rPr>
      <w:b/>
      <w:bCs/>
      <w:sz w:val="20"/>
      <w:szCs w:val="18"/>
    </w:rPr>
  </w:style>
  <w:style w:type="table" w:styleId="TableGrid">
    <w:name w:val="Table Grid"/>
    <w:aliases w:val="Dossier table,Section 3- footnotes,Header Table"/>
    <w:basedOn w:val="TableNormal"/>
    <w:uiPriority w:val="39"/>
    <w:rsid w:val="00EE1592"/>
    <w:pPr>
      <w:spacing w:before="40" w:after="4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paragraph" w:styleId="TableofFigures">
    <w:name w:val="table of figures"/>
    <w:basedOn w:val="Normal"/>
    <w:next w:val="Normal"/>
    <w:uiPriority w:val="99"/>
    <w:unhideWhenUsed/>
    <w:rsid w:val="004E2F9E"/>
    <w:pPr>
      <w:spacing w:after="0" w:line="240" w:lineRule="auto"/>
      <w:ind w:left="851" w:hanging="851"/>
    </w:pPr>
  </w:style>
  <w:style w:type="paragraph" w:styleId="BalloonText">
    <w:name w:val="Balloon Text"/>
    <w:basedOn w:val="Normal"/>
    <w:link w:val="BalloonTextChar"/>
    <w:uiPriority w:val="99"/>
    <w:semiHidden/>
    <w:unhideWhenUsed/>
    <w:locked/>
    <w:rsid w:val="008A28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A0"/>
    <w:rPr>
      <w:rFonts w:ascii="Tahoma" w:hAnsi="Tahoma" w:cs="Tahoma"/>
      <w:sz w:val="16"/>
      <w:szCs w:val="16"/>
    </w:rPr>
  </w:style>
  <w:style w:type="paragraph" w:styleId="TOC4">
    <w:name w:val="toc 4"/>
    <w:basedOn w:val="Normal"/>
    <w:next w:val="Normal"/>
    <w:autoRedefine/>
    <w:uiPriority w:val="39"/>
    <w:unhideWhenUsed/>
    <w:rsid w:val="005C5F64"/>
    <w:pPr>
      <w:tabs>
        <w:tab w:val="left" w:pos="1021"/>
        <w:tab w:val="right" w:pos="9016"/>
      </w:tabs>
      <w:spacing w:after="100" w:line="240" w:lineRule="auto"/>
      <w:ind w:left="1021" w:hanging="1021"/>
    </w:pPr>
  </w:style>
  <w:style w:type="paragraph" w:styleId="ListBullet">
    <w:name w:val="List Bullet"/>
    <w:basedOn w:val="Normal"/>
    <w:uiPriority w:val="99"/>
    <w:unhideWhenUsed/>
    <w:rsid w:val="00B740BF"/>
    <w:pPr>
      <w:numPr>
        <w:numId w:val="4"/>
      </w:numPr>
      <w:spacing w:after="120"/>
      <w:contextualSpacing/>
    </w:pPr>
  </w:style>
  <w:style w:type="paragraph" w:styleId="ListBullet2">
    <w:name w:val="List Bullet 2"/>
    <w:basedOn w:val="Normal"/>
    <w:uiPriority w:val="99"/>
    <w:unhideWhenUsed/>
    <w:rsid w:val="00112465"/>
    <w:pPr>
      <w:numPr>
        <w:numId w:val="5"/>
      </w:numPr>
      <w:tabs>
        <w:tab w:val="clear" w:pos="680"/>
        <w:tab w:val="left" w:pos="794"/>
      </w:tabs>
      <w:spacing w:after="120"/>
      <w:ind w:left="794"/>
      <w:contextualSpacing/>
    </w:pPr>
  </w:style>
  <w:style w:type="paragraph" w:styleId="ListContinue">
    <w:name w:val="List Continue"/>
    <w:basedOn w:val="Normal"/>
    <w:uiPriority w:val="99"/>
    <w:unhideWhenUsed/>
    <w:rsid w:val="00B740BF"/>
    <w:pPr>
      <w:spacing w:before="0" w:after="120"/>
      <w:ind w:left="397"/>
      <w:contextualSpacing/>
    </w:pPr>
  </w:style>
  <w:style w:type="paragraph" w:styleId="ListContinue2">
    <w:name w:val="List Continue 2"/>
    <w:basedOn w:val="Normal"/>
    <w:uiPriority w:val="99"/>
    <w:unhideWhenUsed/>
    <w:rsid w:val="00112465"/>
    <w:pPr>
      <w:spacing w:before="0" w:after="120"/>
      <w:ind w:left="794"/>
      <w:contextualSpacing/>
    </w:pPr>
  </w:style>
  <w:style w:type="paragraph" w:styleId="ListNumber">
    <w:name w:val="List Number"/>
    <w:basedOn w:val="Normal"/>
    <w:uiPriority w:val="99"/>
    <w:unhideWhenUsed/>
    <w:rsid w:val="00B740BF"/>
    <w:pPr>
      <w:numPr>
        <w:numId w:val="6"/>
      </w:numPr>
      <w:spacing w:after="120"/>
      <w:contextualSpacing/>
    </w:pPr>
  </w:style>
  <w:style w:type="character" w:customStyle="1" w:styleId="Highlight">
    <w:name w:val="Highlight"/>
    <w:basedOn w:val="DefaultParagraphFont"/>
    <w:uiPriority w:val="1"/>
    <w:qFormat/>
    <w:rsid w:val="00F7606B"/>
    <w:rPr>
      <w:bdr w:val="none" w:sz="0" w:space="0" w:color="auto"/>
      <w:shd w:val="clear" w:color="auto" w:fill="92D050"/>
    </w:rPr>
  </w:style>
  <w:style w:type="paragraph" w:styleId="Subtitle">
    <w:name w:val="Subtitle"/>
    <w:basedOn w:val="Normal"/>
    <w:next w:val="Normal"/>
    <w:link w:val="SubtitleChar"/>
    <w:uiPriority w:val="11"/>
    <w:qFormat/>
    <w:rsid w:val="00D65A05"/>
    <w:pPr>
      <w:numPr>
        <w:ilvl w:val="1"/>
      </w:numPr>
    </w:pPr>
    <w:rPr>
      <w:rFonts w:eastAsiaTheme="majorEastAsia" w:cstheme="majorBidi"/>
      <w:b/>
      <w:iCs/>
      <w:spacing w:val="15"/>
      <w:sz w:val="28"/>
      <w:szCs w:val="24"/>
    </w:rPr>
  </w:style>
  <w:style w:type="character" w:customStyle="1" w:styleId="SubtitleChar">
    <w:name w:val="Subtitle Char"/>
    <w:basedOn w:val="DefaultParagraphFont"/>
    <w:link w:val="Subtitle"/>
    <w:uiPriority w:val="11"/>
    <w:rsid w:val="00D65A05"/>
    <w:rPr>
      <w:rFonts w:eastAsiaTheme="majorEastAsia" w:cstheme="majorBidi"/>
      <w:b/>
      <w:iCs/>
      <w:spacing w:val="15"/>
      <w:sz w:val="28"/>
      <w:szCs w:val="24"/>
    </w:rPr>
  </w:style>
  <w:style w:type="paragraph" w:styleId="BodyText2">
    <w:name w:val="Body Text 2"/>
    <w:basedOn w:val="Normal"/>
    <w:link w:val="BodyText2Char"/>
    <w:locked/>
    <w:rsid w:val="0050748C"/>
    <w:pPr>
      <w:spacing w:before="0" w:after="0" w:line="240" w:lineRule="auto"/>
    </w:pPr>
    <w:rPr>
      <w:rFonts w:ascii="Arial" w:eastAsia="SimSun" w:hAnsi="Arial" w:cs="Times New Roman"/>
      <w:sz w:val="20"/>
      <w:szCs w:val="20"/>
    </w:rPr>
  </w:style>
  <w:style w:type="character" w:customStyle="1" w:styleId="BodyText2Char">
    <w:name w:val="Body Text 2 Char"/>
    <w:basedOn w:val="DefaultParagraphFont"/>
    <w:link w:val="BodyText2"/>
    <w:rsid w:val="0050748C"/>
    <w:rPr>
      <w:rFonts w:ascii="Arial" w:eastAsia="SimSun" w:hAnsi="Arial" w:cs="Times New Roman"/>
      <w:sz w:val="20"/>
      <w:szCs w:val="20"/>
    </w:rPr>
  </w:style>
  <w:style w:type="paragraph" w:styleId="BodyTextIndent">
    <w:name w:val="Body Text Indent"/>
    <w:basedOn w:val="Normal"/>
    <w:link w:val="BodyTextIndentChar"/>
    <w:uiPriority w:val="99"/>
    <w:semiHidden/>
    <w:unhideWhenUsed/>
    <w:locked/>
    <w:rsid w:val="00732CF3"/>
    <w:pPr>
      <w:spacing w:after="120"/>
      <w:ind w:left="283"/>
    </w:pPr>
  </w:style>
  <w:style w:type="character" w:customStyle="1" w:styleId="BodyTextIndentChar">
    <w:name w:val="Body Text Indent Char"/>
    <w:basedOn w:val="DefaultParagraphFont"/>
    <w:link w:val="BodyTextIndent"/>
    <w:uiPriority w:val="99"/>
    <w:semiHidden/>
    <w:rsid w:val="00732CF3"/>
  </w:style>
  <w:style w:type="paragraph" w:customStyle="1" w:styleId="Default">
    <w:name w:val="Default"/>
    <w:rsid w:val="00732CF3"/>
    <w:pPr>
      <w:autoSpaceDE w:val="0"/>
      <w:autoSpaceDN w:val="0"/>
      <w:adjustRightInd w:val="0"/>
      <w:spacing w:before="0" w:after="0" w:line="240" w:lineRule="auto"/>
    </w:pPr>
    <w:rPr>
      <w:rFonts w:ascii="Frutiger 45 Light" w:eastAsia="SimSun" w:hAnsi="Frutiger 45 Light" w:cs="Frutiger 45 Light"/>
      <w:color w:val="000000"/>
      <w:sz w:val="24"/>
      <w:szCs w:val="24"/>
      <w:lang w:val="es-ES" w:eastAsia="es-ES"/>
    </w:rPr>
  </w:style>
  <w:style w:type="paragraph" w:customStyle="1" w:styleId="Bullets">
    <w:name w:val="Bullets"/>
    <w:basedOn w:val="Normal"/>
    <w:uiPriority w:val="5"/>
    <w:qFormat/>
    <w:rsid w:val="00732CF3"/>
    <w:pPr>
      <w:tabs>
        <w:tab w:val="num" w:pos="360"/>
      </w:tabs>
      <w:spacing w:before="200" w:after="200"/>
      <w:ind w:left="357" w:hanging="357"/>
    </w:pPr>
    <w:rPr>
      <w:rFonts w:ascii="Arial" w:eastAsia="Times New Roman" w:hAnsi="Arial" w:cs="Times New Roman"/>
      <w:szCs w:val="24"/>
      <w:lang w:eastAsia="en-GB"/>
    </w:rPr>
  </w:style>
  <w:style w:type="paragraph" w:customStyle="1" w:styleId="Paragraphnonumbers">
    <w:name w:val="Paragraph no numbers"/>
    <w:basedOn w:val="Normal"/>
    <w:uiPriority w:val="99"/>
    <w:qFormat/>
    <w:rsid w:val="00AA7805"/>
    <w:pPr>
      <w:spacing w:before="0" w:line="276" w:lineRule="auto"/>
    </w:pPr>
    <w:rPr>
      <w:rFonts w:ascii="Arial" w:eastAsia="Times New Roman" w:hAnsi="Arial" w:cs="Times New Roman"/>
      <w:sz w:val="24"/>
      <w:szCs w:val="24"/>
      <w:lang w:eastAsia="en-GB"/>
    </w:rPr>
  </w:style>
  <w:style w:type="character" w:styleId="CommentReference">
    <w:name w:val="annotation reference"/>
    <w:uiPriority w:val="99"/>
    <w:semiHidden/>
    <w:locked/>
    <w:rsid w:val="00B92E4F"/>
    <w:rPr>
      <w:sz w:val="16"/>
      <w:szCs w:val="16"/>
    </w:rPr>
  </w:style>
  <w:style w:type="paragraph" w:styleId="CommentText">
    <w:name w:val="annotation text"/>
    <w:basedOn w:val="Normal"/>
    <w:link w:val="CommentTextChar"/>
    <w:uiPriority w:val="99"/>
    <w:locked/>
    <w:rsid w:val="00B92E4F"/>
    <w:pPr>
      <w:spacing w:before="0"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rsid w:val="00B92E4F"/>
    <w:rPr>
      <w:rFonts w:eastAsia="Times New Roman" w:cs="Times New Roman"/>
      <w:sz w:val="20"/>
      <w:szCs w:val="20"/>
      <w:lang w:eastAsia="en-GB"/>
    </w:rPr>
  </w:style>
  <w:style w:type="paragraph" w:styleId="PlainText">
    <w:name w:val="Plain Text"/>
    <w:basedOn w:val="Normal"/>
    <w:link w:val="PlainTextChar"/>
    <w:uiPriority w:val="99"/>
    <w:unhideWhenUsed/>
    <w:locked/>
    <w:rsid w:val="00B92E4F"/>
    <w:pPr>
      <w:spacing w:before="0" w:after="0" w:line="240" w:lineRule="auto"/>
    </w:pPr>
    <w:rPr>
      <w:rFonts w:ascii="Calibri" w:eastAsia="Calibri" w:hAnsi="Calibri" w:cs="Times New Roman"/>
      <w:lang w:eastAsia="en-GB"/>
    </w:rPr>
  </w:style>
  <w:style w:type="character" w:customStyle="1" w:styleId="PlainTextChar">
    <w:name w:val="Plain Text Char"/>
    <w:basedOn w:val="DefaultParagraphFont"/>
    <w:link w:val="PlainText"/>
    <w:uiPriority w:val="99"/>
    <w:rsid w:val="00B92E4F"/>
    <w:rPr>
      <w:rFonts w:ascii="Calibri" w:eastAsia="Calibri" w:hAnsi="Calibri" w:cs="Times New Roman"/>
      <w:lang w:eastAsia="en-GB"/>
    </w:rPr>
  </w:style>
  <w:style w:type="paragraph" w:styleId="CommentSubject">
    <w:name w:val="annotation subject"/>
    <w:basedOn w:val="CommentText"/>
    <w:next w:val="CommentText"/>
    <w:link w:val="CommentSubjectChar"/>
    <w:uiPriority w:val="99"/>
    <w:semiHidden/>
    <w:unhideWhenUsed/>
    <w:locked/>
    <w:rsid w:val="007D0A5F"/>
    <w:pPr>
      <w:spacing w:before="120" w:after="240"/>
    </w:pPr>
    <w:rPr>
      <w:rFonts w:eastAsiaTheme="minorEastAsia" w:cstheme="minorBidi"/>
      <w:b/>
      <w:bCs/>
      <w:lang w:eastAsia="en-US"/>
    </w:rPr>
  </w:style>
  <w:style w:type="character" w:customStyle="1" w:styleId="CommentSubjectChar">
    <w:name w:val="Comment Subject Char"/>
    <w:basedOn w:val="CommentTextChar"/>
    <w:link w:val="CommentSubject"/>
    <w:uiPriority w:val="99"/>
    <w:semiHidden/>
    <w:rsid w:val="007D0A5F"/>
    <w:rPr>
      <w:rFonts w:eastAsia="Times New Roman" w:cs="Times New Roman"/>
      <w:b/>
      <w:bCs/>
      <w:sz w:val="20"/>
      <w:szCs w:val="20"/>
      <w:lang w:eastAsia="en-GB"/>
    </w:rPr>
  </w:style>
  <w:style w:type="paragraph" w:customStyle="1" w:styleId="EndNoteBibliographyTitle">
    <w:name w:val="EndNote Bibliography Title"/>
    <w:basedOn w:val="Normal"/>
    <w:link w:val="EndNoteBibliographyTitleChar"/>
    <w:rsid w:val="0016678A"/>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6678A"/>
    <w:rPr>
      <w:rFonts w:cs="Times New Roman"/>
      <w:noProof/>
      <w:lang w:val="en-US"/>
    </w:rPr>
  </w:style>
  <w:style w:type="paragraph" w:customStyle="1" w:styleId="EndNoteBibliography">
    <w:name w:val="EndNote Bibliography"/>
    <w:basedOn w:val="Normal"/>
    <w:link w:val="EndNoteBibliographyChar"/>
    <w:rsid w:val="0016678A"/>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16678A"/>
    <w:rPr>
      <w:rFonts w:cs="Times New Roman"/>
      <w:noProof/>
      <w:lang w:val="en-US"/>
    </w:rPr>
  </w:style>
  <w:style w:type="table" w:customStyle="1" w:styleId="TableGrid1">
    <w:name w:val="Table Grid1"/>
    <w:basedOn w:val="TableNormal"/>
    <w:next w:val="TableGrid"/>
    <w:uiPriority w:val="59"/>
    <w:rsid w:val="00354AED"/>
    <w:pPr>
      <w:spacing w:before="40" w:after="40" w:line="240" w:lineRule="auto"/>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table" w:customStyle="1" w:styleId="TableGrid2">
    <w:name w:val="Table Grid2"/>
    <w:basedOn w:val="TableNormal"/>
    <w:next w:val="TableGrid"/>
    <w:rsid w:val="00903F8C"/>
    <w:pPr>
      <w:spacing w:before="0"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83155"/>
    <w:rPr>
      <w:vanish w:val="0"/>
      <w:color w:val="FF0000"/>
    </w:rPr>
  </w:style>
  <w:style w:type="paragraph" w:customStyle="1" w:styleId="MTDisplayEquation">
    <w:name w:val="MTDisplayEquation"/>
    <w:basedOn w:val="Normal"/>
    <w:next w:val="Normal"/>
    <w:link w:val="MTDisplayEquationChar"/>
    <w:rsid w:val="00B83155"/>
    <w:pPr>
      <w:tabs>
        <w:tab w:val="center" w:pos="4520"/>
        <w:tab w:val="right" w:pos="9020"/>
      </w:tabs>
    </w:pPr>
  </w:style>
  <w:style w:type="character" w:customStyle="1" w:styleId="MTDisplayEquationChar">
    <w:name w:val="MTDisplayEquation Char"/>
    <w:basedOn w:val="DefaultParagraphFont"/>
    <w:link w:val="MTDisplayEquation"/>
    <w:rsid w:val="00B83155"/>
  </w:style>
  <w:style w:type="numbering" w:customStyle="1" w:styleId="NoList1">
    <w:name w:val="No List1"/>
    <w:next w:val="NoList"/>
    <w:uiPriority w:val="99"/>
    <w:semiHidden/>
    <w:unhideWhenUsed/>
    <w:rsid w:val="00057280"/>
  </w:style>
  <w:style w:type="table" w:customStyle="1" w:styleId="TableGrid3">
    <w:name w:val="Table Grid3"/>
    <w:basedOn w:val="TableNormal"/>
    <w:next w:val="TableGrid"/>
    <w:uiPriority w:val="39"/>
    <w:rsid w:val="00057280"/>
    <w:pPr>
      <w:spacing w:before="0" w:after="0" w:line="240" w:lineRule="auto"/>
    </w:pPr>
    <w:rPr>
      <w:rFonts w:ascii="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A3936"/>
    <w:pPr>
      <w:spacing w:before="40" w:after="40" w:line="240" w:lineRule="auto"/>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character" w:customStyle="1" w:styleId="UnresolvedMention1">
    <w:name w:val="Unresolved Mention1"/>
    <w:basedOn w:val="DefaultParagraphFont"/>
    <w:uiPriority w:val="99"/>
    <w:semiHidden/>
    <w:unhideWhenUsed/>
    <w:rsid w:val="00EB662A"/>
    <w:rPr>
      <w:color w:val="605E5C"/>
      <w:shd w:val="clear" w:color="auto" w:fill="E1DFDD"/>
    </w:rPr>
  </w:style>
  <w:style w:type="character" w:customStyle="1" w:styleId="ref-title">
    <w:name w:val="ref-title"/>
    <w:basedOn w:val="DefaultParagraphFont"/>
    <w:rsid w:val="00C35194"/>
  </w:style>
  <w:style w:type="character" w:styleId="FollowedHyperlink">
    <w:name w:val="FollowedHyperlink"/>
    <w:basedOn w:val="DefaultParagraphFont"/>
    <w:uiPriority w:val="99"/>
    <w:semiHidden/>
    <w:unhideWhenUsed/>
    <w:locked/>
    <w:rsid w:val="00C35194"/>
    <w:rPr>
      <w:color w:val="800080" w:themeColor="followedHyperlink"/>
      <w:u w:val="single"/>
    </w:rPr>
  </w:style>
  <w:style w:type="paragraph" w:styleId="EndnoteText">
    <w:name w:val="endnote text"/>
    <w:basedOn w:val="Normal"/>
    <w:link w:val="EndnoteTextChar"/>
    <w:uiPriority w:val="99"/>
    <w:semiHidden/>
    <w:unhideWhenUsed/>
    <w:locked/>
    <w:rsid w:val="00C35194"/>
    <w:pPr>
      <w:spacing w:before="0" w:after="0" w:line="240" w:lineRule="auto"/>
    </w:pPr>
    <w:rPr>
      <w:rFonts w:asciiTheme="minorHAnsi" w:eastAsiaTheme="minorHAnsi" w:hAnsiTheme="minorHAnsi"/>
      <w:sz w:val="20"/>
      <w:szCs w:val="20"/>
    </w:rPr>
  </w:style>
  <w:style w:type="character" w:customStyle="1" w:styleId="EndnoteTextChar">
    <w:name w:val="Endnote Text Char"/>
    <w:basedOn w:val="DefaultParagraphFont"/>
    <w:link w:val="EndnoteText"/>
    <w:uiPriority w:val="99"/>
    <w:semiHidden/>
    <w:rsid w:val="00C35194"/>
    <w:rPr>
      <w:rFonts w:asciiTheme="minorHAnsi" w:eastAsiaTheme="minorHAnsi" w:hAnsiTheme="minorHAnsi"/>
      <w:sz w:val="20"/>
      <w:szCs w:val="20"/>
    </w:rPr>
  </w:style>
  <w:style w:type="character" w:styleId="EndnoteReference">
    <w:name w:val="endnote reference"/>
    <w:basedOn w:val="DefaultParagraphFont"/>
    <w:uiPriority w:val="99"/>
    <w:semiHidden/>
    <w:unhideWhenUsed/>
    <w:locked/>
    <w:rsid w:val="00C35194"/>
    <w:rPr>
      <w:vertAlign w:val="superscript"/>
    </w:rPr>
  </w:style>
  <w:style w:type="paragraph" w:customStyle="1" w:styleId="table">
    <w:name w:val="table"/>
    <w:basedOn w:val="Normal"/>
    <w:link w:val="tableChar"/>
    <w:qFormat/>
    <w:rsid w:val="00C35194"/>
    <w:pPr>
      <w:spacing w:before="0" w:after="0" w:line="240" w:lineRule="auto"/>
    </w:pPr>
    <w:rPr>
      <w:rFonts w:eastAsiaTheme="minorHAnsi" w:cstheme="majorBidi"/>
      <w:sz w:val="16"/>
      <w:szCs w:val="12"/>
    </w:rPr>
  </w:style>
  <w:style w:type="character" w:customStyle="1" w:styleId="tableChar">
    <w:name w:val="table Char"/>
    <w:basedOn w:val="Heading2Char"/>
    <w:link w:val="table"/>
    <w:rsid w:val="00C35194"/>
    <w:rPr>
      <w:rFonts w:eastAsiaTheme="minorHAnsi" w:cstheme="majorBidi"/>
      <w:b w:val="0"/>
      <w:bCs w:val="0"/>
      <w:sz w:val="16"/>
      <w:szCs w:val="12"/>
    </w:rPr>
  </w:style>
  <w:style w:type="paragraph" w:customStyle="1" w:styleId="tablenumbered">
    <w:name w:val="table numbered"/>
    <w:basedOn w:val="table"/>
    <w:link w:val="tablenumberedChar"/>
    <w:qFormat/>
    <w:rsid w:val="00C35194"/>
    <w:pPr>
      <w:numPr>
        <w:numId w:val="86"/>
      </w:numPr>
    </w:pPr>
  </w:style>
  <w:style w:type="character" w:customStyle="1" w:styleId="tablenumberedChar">
    <w:name w:val="table numbered Char"/>
    <w:basedOn w:val="tableChar"/>
    <w:link w:val="tablenumbered"/>
    <w:rsid w:val="00C35194"/>
    <w:rPr>
      <w:rFonts w:eastAsiaTheme="minorHAnsi" w:cstheme="majorBidi"/>
      <w:b w:val="0"/>
      <w:bCs w:val="0"/>
      <w:sz w:val="16"/>
      <w:szCs w:val="12"/>
    </w:rPr>
  </w:style>
  <w:style w:type="paragraph" w:styleId="Revision">
    <w:name w:val="Revision"/>
    <w:hidden/>
    <w:uiPriority w:val="99"/>
    <w:semiHidden/>
    <w:rsid w:val="00C35194"/>
    <w:pPr>
      <w:spacing w:before="0" w:after="0" w:line="240" w:lineRule="auto"/>
    </w:pPr>
  </w:style>
  <w:style w:type="character" w:customStyle="1" w:styleId="apple-converted-space">
    <w:name w:val="apple-converted-space"/>
    <w:basedOn w:val="DefaultParagraphFont"/>
    <w:rsid w:val="00C35194"/>
  </w:style>
  <w:style w:type="table" w:customStyle="1" w:styleId="TableGrid12">
    <w:name w:val="Table Grid12"/>
    <w:basedOn w:val="TableNormal"/>
    <w:next w:val="TableGrid"/>
    <w:uiPriority w:val="39"/>
    <w:rsid w:val="00C35194"/>
    <w:pPr>
      <w:spacing w:before="0"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35194"/>
    <w:pPr>
      <w:spacing w:before="0"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35194"/>
    <w:pPr>
      <w:spacing w:before="0"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35194"/>
    <w:pPr>
      <w:spacing w:before="0"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5194"/>
    <w:pPr>
      <w:spacing w:before="0"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35194"/>
    <w:pPr>
      <w:spacing w:before="0"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0">
    <w:name w:val="highlight"/>
    <w:basedOn w:val="DefaultParagraphFont"/>
    <w:rsid w:val="00C35194"/>
  </w:style>
  <w:style w:type="paragraph" w:styleId="DocumentMap">
    <w:name w:val="Document Map"/>
    <w:basedOn w:val="Normal"/>
    <w:link w:val="DocumentMapChar"/>
    <w:uiPriority w:val="99"/>
    <w:semiHidden/>
    <w:unhideWhenUsed/>
    <w:rsid w:val="00C3519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5194"/>
    <w:rPr>
      <w:rFonts w:ascii="Tahoma" w:hAnsi="Tahoma" w:cs="Tahoma"/>
      <w:sz w:val="16"/>
      <w:szCs w:val="16"/>
    </w:rPr>
  </w:style>
  <w:style w:type="paragraph" w:customStyle="1" w:styleId="ProposalText">
    <w:name w:val="Proposal Text"/>
    <w:link w:val="ProposalTextChar"/>
    <w:uiPriority w:val="99"/>
    <w:rsid w:val="00C35194"/>
    <w:pPr>
      <w:spacing w:before="0" w:after="0" w:line="288" w:lineRule="auto"/>
      <w:jc w:val="both"/>
    </w:pPr>
    <w:rPr>
      <w:rFonts w:ascii="Arial" w:eastAsia="Times New Roman" w:hAnsi="Arial" w:cs="Times New Roman"/>
      <w:szCs w:val="20"/>
    </w:rPr>
  </w:style>
  <w:style w:type="character" w:customStyle="1" w:styleId="ProposalTextChar">
    <w:name w:val="Proposal Text Char"/>
    <w:basedOn w:val="DefaultParagraphFont"/>
    <w:link w:val="ProposalText"/>
    <w:uiPriority w:val="99"/>
    <w:rsid w:val="00C35194"/>
    <w:rPr>
      <w:rFonts w:ascii="Arial" w:eastAsia="Times New Roman" w:hAnsi="Arial" w:cs="Times New Roman"/>
      <w:szCs w:val="20"/>
    </w:rPr>
  </w:style>
  <w:style w:type="character" w:styleId="PlaceholderText">
    <w:name w:val="Placeholder Text"/>
    <w:basedOn w:val="DefaultParagraphFont"/>
    <w:uiPriority w:val="99"/>
    <w:semiHidden/>
    <w:locked/>
    <w:rsid w:val="00C35194"/>
    <w:rPr>
      <w:color w:val="808080"/>
    </w:rPr>
  </w:style>
  <w:style w:type="paragraph" w:styleId="TOC5">
    <w:name w:val="toc 5"/>
    <w:basedOn w:val="Normal"/>
    <w:next w:val="Normal"/>
    <w:autoRedefine/>
    <w:uiPriority w:val="39"/>
    <w:unhideWhenUsed/>
    <w:locked/>
    <w:rsid w:val="00C35194"/>
    <w:pPr>
      <w:spacing w:before="0"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locked/>
    <w:rsid w:val="00C35194"/>
    <w:pPr>
      <w:spacing w:before="0"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locked/>
    <w:rsid w:val="00C35194"/>
    <w:pPr>
      <w:spacing w:before="0"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locked/>
    <w:rsid w:val="00C35194"/>
    <w:pPr>
      <w:spacing w:before="0"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locked/>
    <w:rsid w:val="00C35194"/>
    <w:pPr>
      <w:spacing w:before="0" w:after="100" w:line="276" w:lineRule="auto"/>
      <w:ind w:left="1760"/>
    </w:pPr>
    <w:rPr>
      <w:rFonts w:asciiTheme="minorHAnsi" w:hAnsiTheme="minorHAnsi"/>
      <w:lang w:eastAsia="en-GB"/>
    </w:rPr>
  </w:style>
  <w:style w:type="character" w:customStyle="1" w:styleId="NoSpacingChar">
    <w:name w:val="No Spacing Char"/>
    <w:basedOn w:val="DefaultParagraphFont"/>
    <w:link w:val="NoSpacing"/>
    <w:uiPriority w:val="1"/>
    <w:rsid w:val="00C35194"/>
  </w:style>
  <w:style w:type="character" w:customStyle="1" w:styleId="CaptionChar">
    <w:name w:val="Caption Char"/>
    <w:aliases w:val="NICE Caption Char,- H17 Char,Bayer Caption Char,IB Caption Char,Medical Caption Char,Caption - H17 Char,! Q Char,B Caption Char,PHE Caption Char,Caption Char2 Char,Caption Char1 Char Char,Caption Char Char Char Char,Source Caption Char"/>
    <w:basedOn w:val="DefaultParagraphFont"/>
    <w:link w:val="Caption"/>
    <w:uiPriority w:val="35"/>
    <w:locked/>
    <w:rsid w:val="003A7BD0"/>
    <w:rPr>
      <w:b/>
      <w:bCs/>
      <w:sz w:val="20"/>
      <w:szCs w:val="18"/>
    </w:rPr>
  </w:style>
  <w:style w:type="character" w:customStyle="1" w:styleId="TablefirstcolumnChar">
    <w:name w:val="Table first column Char"/>
    <w:link w:val="Tablefirstcolumn"/>
    <w:locked/>
    <w:rsid w:val="00C35194"/>
    <w:rPr>
      <w:rFonts w:ascii="Arial" w:eastAsia="Times New Roman" w:hAnsi="Arial" w:cs="Times New Roman"/>
      <w:b/>
      <w:color w:val="1F497D"/>
      <w:sz w:val="20"/>
      <w:szCs w:val="24"/>
    </w:rPr>
  </w:style>
  <w:style w:type="paragraph" w:customStyle="1" w:styleId="Tablefirstcolumn">
    <w:name w:val="Table first column"/>
    <w:basedOn w:val="Normal"/>
    <w:link w:val="TablefirstcolumnChar"/>
    <w:qFormat/>
    <w:rsid w:val="00C35194"/>
    <w:pPr>
      <w:spacing w:before="0" w:after="120" w:line="240" w:lineRule="auto"/>
    </w:pPr>
    <w:rPr>
      <w:rFonts w:ascii="Arial" w:eastAsia="Times New Roman" w:hAnsi="Arial" w:cs="Times New Roman"/>
      <w:b/>
      <w:color w:val="1F497D"/>
      <w:sz w:val="20"/>
      <w:szCs w:val="24"/>
    </w:rPr>
  </w:style>
  <w:style w:type="table" w:customStyle="1" w:styleId="HeaderTable3">
    <w:name w:val="Header Table3"/>
    <w:basedOn w:val="TableNormal"/>
    <w:next w:val="TableGrid"/>
    <w:uiPriority w:val="39"/>
    <w:rsid w:val="00C35194"/>
    <w:pPr>
      <w:spacing w:before="40" w:after="4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character" w:customStyle="1" w:styleId="title-text">
    <w:name w:val="title-text"/>
    <w:basedOn w:val="DefaultParagraphFont"/>
    <w:rsid w:val="00C35194"/>
  </w:style>
  <w:style w:type="paragraph" w:customStyle="1" w:styleId="NICEnormal">
    <w:name w:val="NICE normal"/>
    <w:basedOn w:val="Normal"/>
    <w:link w:val="NICEnormalChar"/>
    <w:uiPriority w:val="99"/>
    <w:qFormat/>
    <w:rsid w:val="00E8612B"/>
    <w:pPr>
      <w:spacing w:before="0"/>
    </w:pPr>
    <w:rPr>
      <w:rFonts w:ascii="Arial" w:eastAsia="Times New Roman" w:hAnsi="Arial" w:cs="Times New Roman"/>
      <w:sz w:val="24"/>
      <w:szCs w:val="24"/>
      <w:lang w:val="x-none" w:eastAsia="x-none"/>
    </w:rPr>
  </w:style>
  <w:style w:type="character" w:customStyle="1" w:styleId="NICEnormalChar">
    <w:name w:val="NICE normal Char"/>
    <w:link w:val="NICEnormal"/>
    <w:uiPriority w:val="99"/>
    <w:rsid w:val="00E8612B"/>
    <w:rPr>
      <w:rFonts w:ascii="Arial" w:eastAsia="Times New Roman" w:hAnsi="Arial" w:cs="Times New Roman"/>
      <w:sz w:val="24"/>
      <w:szCs w:val="24"/>
      <w:lang w:val="x-none" w:eastAsia="x-none"/>
    </w:rPr>
  </w:style>
  <w:style w:type="table" w:customStyle="1" w:styleId="HeaderTable1">
    <w:name w:val="Header Table1"/>
    <w:basedOn w:val="TableNormal"/>
    <w:next w:val="TableGrid"/>
    <w:rsid w:val="00D765F4"/>
    <w:pPr>
      <w:spacing w:before="40" w:after="40" w:line="240" w:lineRule="auto"/>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paragraph" w:customStyle="1" w:styleId="NonnumberedH2">
    <w:name w:val="Non numbered H2"/>
    <w:basedOn w:val="Heading2"/>
    <w:next w:val="Normal"/>
    <w:qFormat/>
    <w:rsid w:val="00200966"/>
    <w:pPr>
      <w:numPr>
        <w:ilvl w:val="0"/>
        <w:numId w:val="0"/>
      </w:numPr>
    </w:pPr>
  </w:style>
  <w:style w:type="paragraph" w:customStyle="1" w:styleId="NonnumberedH3">
    <w:name w:val="Non numbered H3"/>
    <w:basedOn w:val="Heading3"/>
    <w:autoRedefine/>
    <w:qFormat/>
    <w:rsid w:val="00E64596"/>
    <w:pPr>
      <w:numPr>
        <w:ilvl w:val="0"/>
        <w:numId w:val="0"/>
      </w:numPr>
    </w:pPr>
  </w:style>
  <w:style w:type="character" w:customStyle="1" w:styleId="UnresolvedMention2">
    <w:name w:val="Unresolved Mention2"/>
    <w:basedOn w:val="DefaultParagraphFont"/>
    <w:uiPriority w:val="99"/>
    <w:semiHidden/>
    <w:unhideWhenUsed/>
    <w:rsid w:val="00A16E63"/>
    <w:rPr>
      <w:color w:val="605E5C"/>
      <w:shd w:val="clear" w:color="auto" w:fill="E1DFDD"/>
    </w:rPr>
  </w:style>
  <w:style w:type="character" w:customStyle="1" w:styleId="jrnl">
    <w:name w:val="jrnl"/>
    <w:basedOn w:val="DefaultParagraphFont"/>
    <w:rsid w:val="001B2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58939">
      <w:bodyDiv w:val="1"/>
      <w:marLeft w:val="0"/>
      <w:marRight w:val="0"/>
      <w:marTop w:val="0"/>
      <w:marBottom w:val="0"/>
      <w:divBdr>
        <w:top w:val="none" w:sz="0" w:space="0" w:color="auto"/>
        <w:left w:val="none" w:sz="0" w:space="0" w:color="auto"/>
        <w:bottom w:val="none" w:sz="0" w:space="0" w:color="auto"/>
        <w:right w:val="none" w:sz="0" w:space="0" w:color="auto"/>
      </w:divBdr>
    </w:div>
    <w:div w:id="457338400">
      <w:bodyDiv w:val="1"/>
      <w:marLeft w:val="0"/>
      <w:marRight w:val="0"/>
      <w:marTop w:val="0"/>
      <w:marBottom w:val="0"/>
      <w:divBdr>
        <w:top w:val="none" w:sz="0" w:space="0" w:color="auto"/>
        <w:left w:val="none" w:sz="0" w:space="0" w:color="auto"/>
        <w:bottom w:val="none" w:sz="0" w:space="0" w:color="auto"/>
        <w:right w:val="none" w:sz="0" w:space="0" w:color="auto"/>
      </w:divBdr>
    </w:div>
    <w:div w:id="853152830">
      <w:bodyDiv w:val="1"/>
      <w:marLeft w:val="0"/>
      <w:marRight w:val="0"/>
      <w:marTop w:val="0"/>
      <w:marBottom w:val="0"/>
      <w:divBdr>
        <w:top w:val="none" w:sz="0" w:space="0" w:color="auto"/>
        <w:left w:val="none" w:sz="0" w:space="0" w:color="auto"/>
        <w:bottom w:val="none" w:sz="0" w:space="0" w:color="auto"/>
        <w:right w:val="none" w:sz="0" w:space="0" w:color="auto"/>
      </w:divBdr>
    </w:div>
    <w:div w:id="872110219">
      <w:bodyDiv w:val="1"/>
      <w:marLeft w:val="0"/>
      <w:marRight w:val="0"/>
      <w:marTop w:val="0"/>
      <w:marBottom w:val="0"/>
      <w:divBdr>
        <w:top w:val="none" w:sz="0" w:space="0" w:color="auto"/>
        <w:left w:val="none" w:sz="0" w:space="0" w:color="auto"/>
        <w:bottom w:val="none" w:sz="0" w:space="0" w:color="auto"/>
        <w:right w:val="none" w:sz="0" w:space="0" w:color="auto"/>
      </w:divBdr>
    </w:div>
    <w:div w:id="916136633">
      <w:bodyDiv w:val="1"/>
      <w:marLeft w:val="0"/>
      <w:marRight w:val="0"/>
      <w:marTop w:val="0"/>
      <w:marBottom w:val="0"/>
      <w:divBdr>
        <w:top w:val="none" w:sz="0" w:space="0" w:color="auto"/>
        <w:left w:val="none" w:sz="0" w:space="0" w:color="auto"/>
        <w:bottom w:val="none" w:sz="0" w:space="0" w:color="auto"/>
        <w:right w:val="none" w:sz="0" w:space="0" w:color="auto"/>
      </w:divBdr>
    </w:div>
    <w:div w:id="1224951015">
      <w:bodyDiv w:val="1"/>
      <w:marLeft w:val="0"/>
      <w:marRight w:val="0"/>
      <w:marTop w:val="0"/>
      <w:marBottom w:val="0"/>
      <w:divBdr>
        <w:top w:val="none" w:sz="0" w:space="0" w:color="auto"/>
        <w:left w:val="none" w:sz="0" w:space="0" w:color="auto"/>
        <w:bottom w:val="none" w:sz="0" w:space="0" w:color="auto"/>
        <w:right w:val="none" w:sz="0" w:space="0" w:color="auto"/>
      </w:divBdr>
    </w:div>
    <w:div w:id="1235167146">
      <w:bodyDiv w:val="1"/>
      <w:marLeft w:val="0"/>
      <w:marRight w:val="0"/>
      <w:marTop w:val="0"/>
      <w:marBottom w:val="0"/>
      <w:divBdr>
        <w:top w:val="none" w:sz="0" w:space="0" w:color="auto"/>
        <w:left w:val="none" w:sz="0" w:space="0" w:color="auto"/>
        <w:bottom w:val="none" w:sz="0" w:space="0" w:color="auto"/>
        <w:right w:val="none" w:sz="0" w:space="0" w:color="auto"/>
      </w:divBdr>
    </w:div>
    <w:div w:id="1453984221">
      <w:bodyDiv w:val="1"/>
      <w:marLeft w:val="0"/>
      <w:marRight w:val="0"/>
      <w:marTop w:val="0"/>
      <w:marBottom w:val="0"/>
      <w:divBdr>
        <w:top w:val="none" w:sz="0" w:space="0" w:color="auto"/>
        <w:left w:val="none" w:sz="0" w:space="0" w:color="auto"/>
        <w:bottom w:val="none" w:sz="0" w:space="0" w:color="auto"/>
        <w:right w:val="none" w:sz="0" w:space="0" w:color="auto"/>
      </w:divBdr>
    </w:div>
    <w:div w:id="1548834108">
      <w:bodyDiv w:val="1"/>
      <w:marLeft w:val="0"/>
      <w:marRight w:val="0"/>
      <w:marTop w:val="0"/>
      <w:marBottom w:val="0"/>
      <w:divBdr>
        <w:top w:val="none" w:sz="0" w:space="0" w:color="auto"/>
        <w:left w:val="none" w:sz="0" w:space="0" w:color="auto"/>
        <w:bottom w:val="none" w:sz="0" w:space="0" w:color="auto"/>
        <w:right w:val="none" w:sz="0" w:space="0" w:color="auto"/>
      </w:divBdr>
    </w:div>
    <w:div w:id="1588150563">
      <w:bodyDiv w:val="1"/>
      <w:marLeft w:val="0"/>
      <w:marRight w:val="0"/>
      <w:marTop w:val="0"/>
      <w:marBottom w:val="0"/>
      <w:divBdr>
        <w:top w:val="none" w:sz="0" w:space="0" w:color="auto"/>
        <w:left w:val="none" w:sz="0" w:space="0" w:color="auto"/>
        <w:bottom w:val="none" w:sz="0" w:space="0" w:color="auto"/>
        <w:right w:val="none" w:sz="0" w:space="0" w:color="auto"/>
      </w:divBdr>
    </w:div>
    <w:div w:id="1657764791">
      <w:bodyDiv w:val="1"/>
      <w:marLeft w:val="0"/>
      <w:marRight w:val="0"/>
      <w:marTop w:val="0"/>
      <w:marBottom w:val="0"/>
      <w:divBdr>
        <w:top w:val="none" w:sz="0" w:space="0" w:color="auto"/>
        <w:left w:val="none" w:sz="0" w:space="0" w:color="auto"/>
        <w:bottom w:val="none" w:sz="0" w:space="0" w:color="auto"/>
        <w:right w:val="none" w:sz="0" w:space="0" w:color="auto"/>
      </w:divBdr>
    </w:div>
    <w:div w:id="1790272239">
      <w:bodyDiv w:val="1"/>
      <w:marLeft w:val="0"/>
      <w:marRight w:val="0"/>
      <w:marTop w:val="0"/>
      <w:marBottom w:val="0"/>
      <w:divBdr>
        <w:top w:val="none" w:sz="0" w:space="0" w:color="auto"/>
        <w:left w:val="none" w:sz="0" w:space="0" w:color="auto"/>
        <w:bottom w:val="none" w:sz="0" w:space="0" w:color="auto"/>
        <w:right w:val="none" w:sz="0" w:space="0" w:color="auto"/>
      </w:divBdr>
    </w:div>
    <w:div w:id="206786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tiff"/><Relationship Id="rId21" Type="http://schemas.openxmlformats.org/officeDocument/2006/relationships/footer" Target="footer3.xml"/><Relationship Id="rId42" Type="http://schemas.openxmlformats.org/officeDocument/2006/relationships/hyperlink" Target="https://www.R-project.org/" TargetMode="External"/><Relationship Id="rId47" Type="http://schemas.openxmlformats.org/officeDocument/2006/relationships/hyperlink" Target="https://www.ncbi.nlm.nih.gov/pubmed/30661654" TargetMode="External"/><Relationship Id="rId63" Type="http://schemas.openxmlformats.org/officeDocument/2006/relationships/hyperlink" Target="https://www.nice.org.uk/guidance/ta462" TargetMode="External"/><Relationship Id="rId68" Type="http://schemas.openxmlformats.org/officeDocument/2006/relationships/hyperlink" Target="http://nicedsu.org.uk/wp-content/uploads/2016/03/TSD17-DSU-Observational-data-FINAL.pdf" TargetMode="External"/><Relationship Id="rId84" Type="http://schemas.openxmlformats.org/officeDocument/2006/relationships/hyperlink" Target="https://www.cancerresearchuk.org/health-professional/cancer-statistics/statistics-by-cancer-type/head-and-neck-cancers" TargetMode="External"/><Relationship Id="rId89" Type="http://schemas.openxmlformats.org/officeDocument/2006/relationships/hyperlink" Target="https://www.cancerresearchuk.org/about-cancer/kidney-cancer/stages-types-grades/types-grades"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fda.gov/files/drugs/published/Expedited-Programs-for-Serious-Conditions-Drugs-and-Biologics.pdf" TargetMode="External"/><Relationship Id="rId37" Type="http://schemas.openxmlformats.org/officeDocument/2006/relationships/hyperlink" Target="https://www.ema.europa.eu/en/documents/scientific-guideline/guideline-evaluation-anticancer-medicinal-products-man-revision-5_en.pdf" TargetMode="External"/><Relationship Id="rId53" Type="http://schemas.openxmlformats.org/officeDocument/2006/relationships/hyperlink" Target="http://nicedsu.org.uk/wp-content/uploads/2018/05/DSU-Managed-Access-report-FINAL.pdf" TargetMode="External"/><Relationship Id="rId58" Type="http://schemas.openxmlformats.org/officeDocument/2006/relationships/hyperlink" Target="https://www.nice.org.uk/guidance/ta522" TargetMode="External"/><Relationship Id="rId74" Type="http://schemas.openxmlformats.org/officeDocument/2006/relationships/hyperlink" Target="https://www.cancerresearchuk.org/health-professional/cancer-statistics/statistics-by-cancer-type/breast-cancer/incidence" TargetMode="External"/><Relationship Id="rId79" Type="http://schemas.openxmlformats.org/officeDocument/2006/relationships/hyperlink" Target="https://www.cancerresearchuk.org/health-professional/cancer-statistics/statistics-by-cancer-type/soft-tissue-sarcoma/incidence"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cancerresearchuk.org/about-cancer/cancer-unknown-primary-cup" TargetMode="External"/><Relationship Id="rId95" Type="http://schemas.openxmlformats.org/officeDocument/2006/relationships/footer" Target="footer5.xml"/><Relationship Id="rId22" Type="http://schemas.openxmlformats.org/officeDocument/2006/relationships/image" Target="media/image10.tiff"/><Relationship Id="rId27" Type="http://schemas.openxmlformats.org/officeDocument/2006/relationships/hyperlink" Target="https://www.accessdata.fda.gov/drugsatfda_docs/nda/2019/125514Orig1s014.pdf" TargetMode="External"/><Relationship Id="rId43" Type="http://schemas.openxmlformats.org/officeDocument/2006/relationships/hyperlink" Target="http://www.jstatsoft.org/v12/i03" TargetMode="External"/><Relationship Id="rId48" Type="http://schemas.openxmlformats.org/officeDocument/2006/relationships/hyperlink" Target="https://www.accessdata.fda.gov/drugsatfda_docs/nda/2018/210861Orig1s000_211710Orig1s000MultidisciplineR.pdf" TargetMode="External"/><Relationship Id="rId64" Type="http://schemas.openxmlformats.org/officeDocument/2006/relationships/hyperlink" Target="https://www.nice.org.uk/guidance/indevelopment/gid-ta10268" TargetMode="External"/><Relationship Id="rId69" Type="http://schemas.openxmlformats.org/officeDocument/2006/relationships/hyperlink" Target="http://nicedsu.org.uk/wp-content/uploads/2018/05/RWD-DSU-REPORT-Updated-DECEMBER-2016.pdf" TargetMode="External"/><Relationship Id="rId80" Type="http://schemas.openxmlformats.org/officeDocument/2006/relationships/hyperlink" Target="https://www.cancer.org/research/cancer-facts-statistics/all-cancer-facts-figures/cancer-facts-figures-2017.html" TargetMode="External"/><Relationship Id="rId85" Type="http://schemas.openxmlformats.org/officeDocument/2006/relationships/hyperlink" Target="https://www.cancerresearchuk.org/health-professional/cancer-statistics/statistics-by-cancer-type/ovarian-cancer/incidenc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tiff"/><Relationship Id="rId33" Type="http://schemas.openxmlformats.org/officeDocument/2006/relationships/hyperlink" Target="https://www.accessdata.fda.gov/drugsatfda_docs/nda/2018/210861Orig1s000_21171Orig1s000TOC.cfm" TargetMode="External"/><Relationship Id="rId38" Type="http://schemas.openxmlformats.org/officeDocument/2006/relationships/hyperlink" Target="https://www.ema.europa.eu/en/documents/scientific-guideline/concept-paper-revision-guideline-evaluation-anticancer-medicinal-products-man_en.pdf" TargetMode="External"/><Relationship Id="rId46" Type="http://schemas.openxmlformats.org/officeDocument/2006/relationships/hyperlink" Target="https://www.england.nhs.uk/publication/national-genomic-test-directories/" TargetMode="External"/><Relationship Id="rId59" Type="http://schemas.openxmlformats.org/officeDocument/2006/relationships/hyperlink" Target="https://www.nice.org.uk/guidance/indevelopment/gid-ta10181" TargetMode="External"/><Relationship Id="rId67" Type="http://schemas.openxmlformats.org/officeDocument/2006/relationships/hyperlink" Target="https://www.nice.org.uk/guidance/ta529" TargetMode="External"/><Relationship Id="rId103"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www.cancerresearchuk.org/sites/default/files/access_to_molecular_diagnostic_tests_and_targeted_medicines_in_england_0.pdf" TargetMode="External"/><Relationship Id="rId54" Type="http://schemas.openxmlformats.org/officeDocument/2006/relationships/hyperlink" Target="https://www.england.nhs.uk/publication/cdf-sop-16/" TargetMode="External"/><Relationship Id="rId62" Type="http://schemas.openxmlformats.org/officeDocument/2006/relationships/hyperlink" Target="https://www.nice.org.uk/guidance/ta487" TargetMode="External"/><Relationship Id="rId70" Type="http://schemas.openxmlformats.org/officeDocument/2006/relationships/hyperlink" Target="https://www.nice.org.uk/guidance/ta540" TargetMode="External"/><Relationship Id="rId75" Type="http://schemas.openxmlformats.org/officeDocument/2006/relationships/hyperlink" Target="https://www.cancerresearchuk.org/health-professional/cancer-statistics/statistics-by-cancer-type/bowel-cancer" TargetMode="External"/><Relationship Id="rId83" Type="http://schemas.openxmlformats.org/officeDocument/2006/relationships/hyperlink" Target="https://www.cancerresearchuk.org/health-professional/cancer-statistics/statistics-by-cancer-type/oesophageal-cancer/incidence" TargetMode="External"/><Relationship Id="rId88" Type="http://schemas.openxmlformats.org/officeDocument/2006/relationships/hyperlink" Target="https://www.cancerresearchuk.org/health-professional/cancer-statistics/statistics-by-cancer-type/prostate-cancer/incidence" TargetMode="External"/><Relationship Id="rId91" Type="http://schemas.openxmlformats.org/officeDocument/2006/relationships/hyperlink" Target="https://www.nice.org.uk/guidance/ta571/documents/committee-papers" TargetMode="External"/><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tiff"/><Relationship Id="rId28" Type="http://schemas.openxmlformats.org/officeDocument/2006/relationships/hyperlink" Target="https://www.ema.europa.eu/en/documents/assessment-report/vitrakvi-epar-public-assessment-report_en.pdf" TargetMode="External"/><Relationship Id="rId36" Type="http://schemas.openxmlformats.org/officeDocument/2006/relationships/hyperlink" Target="https://www.ema.europa.eu/en/events/workshop-single-arm-trials-oncology" TargetMode="External"/><Relationship Id="rId49" Type="http://schemas.openxmlformats.org/officeDocument/2006/relationships/hyperlink" Target="https://www.scottishscience.org.uk/sites/default/files/article-attachments/Genomics%20Short%20Report.pdf" TargetMode="External"/><Relationship Id="rId57" Type="http://schemas.openxmlformats.org/officeDocument/2006/relationships/hyperlink" Target="https://www.nice.org.uk/guidance/ta600" TargetMode="External"/><Relationship Id="rId10" Type="http://schemas.openxmlformats.org/officeDocument/2006/relationships/footer" Target="footer1.xml"/><Relationship Id="rId31" Type="http://schemas.openxmlformats.org/officeDocument/2006/relationships/hyperlink" Target="https://www.fdanews.com/ext/resources/files/2018/2/09-28-18-Masterprotocols.pdf?1538162468" TargetMode="External"/><Relationship Id="rId44" Type="http://schemas.openxmlformats.org/officeDocument/2006/relationships/hyperlink" Target="http://www.jstatsoft.org/v12/i03" TargetMode="External"/><Relationship Id="rId52" Type="http://schemas.openxmlformats.org/officeDocument/2006/relationships/hyperlink" Target="https://www1.health.gov.au/internet/hta/publishing.nsf/Content/co-1" TargetMode="External"/><Relationship Id="rId60" Type="http://schemas.openxmlformats.org/officeDocument/2006/relationships/hyperlink" Target="https://www.nice.org.uk/guidance/ta492" TargetMode="External"/><Relationship Id="rId65" Type="http://schemas.openxmlformats.org/officeDocument/2006/relationships/hyperlink" Target="https://www.nice.org.uk/guidance/ta416" TargetMode="External"/><Relationship Id="rId73" Type="http://schemas.openxmlformats.org/officeDocument/2006/relationships/hyperlink" Target="http://worldpopulationreview.com/countries/western-european-countries/" TargetMode="External"/><Relationship Id="rId78" Type="http://schemas.openxmlformats.org/officeDocument/2006/relationships/hyperlink" Target="https://www.cancerresearchuk.org/health-professional/cancer-statistics/statistics-by-cancer-type/pancreatic-cancer/incidence" TargetMode="External"/><Relationship Id="rId81" Type="http://schemas.openxmlformats.org/officeDocument/2006/relationships/hyperlink" Target="https://www.cancerresearchuk.org/health-professional/cancer-statistics/statistics-by-cancer-type/cervical-cancer/incidence" TargetMode="External"/><Relationship Id="rId86" Type="http://schemas.openxmlformats.org/officeDocument/2006/relationships/hyperlink" Target="http://www.ncin.org.uk/search/brain+cns+registry" TargetMode="External"/><Relationship Id="rId94" Type="http://schemas.openxmlformats.org/officeDocument/2006/relationships/oleObject" Target="embeddings/oleObject1.bin"/><Relationship Id="rId99" Type="http://schemas.openxmlformats.org/officeDocument/2006/relationships/footer" Target="footer6.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ascopubs.org/doi/abs/10.1200/JCO.2008.20.5054" TargetMode="External"/><Relationship Id="rId34" Type="http://schemas.openxmlformats.org/officeDocument/2006/relationships/hyperlink" Target="https://www.accessdata.fda.gov/drugsatfda_docs/nda/2019/212725Orig1s000,%20212726Orig1s000Approv.pdf" TargetMode="External"/><Relationship Id="rId50" Type="http://schemas.openxmlformats.org/officeDocument/2006/relationships/hyperlink" Target="https://nicedsu.org.uk/wp-content/uploads/2017/06/Partitioned-Survival-Analysis-final-report.pdf" TargetMode="External"/><Relationship Id="rId55" Type="http://schemas.openxmlformats.org/officeDocument/2006/relationships/hyperlink" Target="https://www.york.ac.uk/media/che/documents/policybriefing/Drug_prices.pdf" TargetMode="External"/><Relationship Id="rId76" Type="http://schemas.openxmlformats.org/officeDocument/2006/relationships/hyperlink" Target="https://www.cancerresearchuk.org/health-professional/cancer-statistics/statistics-by-cancer-type/melanoma-skin-cancer/incidence" TargetMode="External"/><Relationship Id="rId97"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hyperlink" Target="https://www.ons.gov.uk/releases/cancerregistrationstatisticsengland2017"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nice.org.uk/process/pmg9/chapter/foreword" TargetMode="External"/><Relationship Id="rId24" Type="http://schemas.openxmlformats.org/officeDocument/2006/relationships/image" Target="media/image12.tiff"/><Relationship Id="rId40" Type="http://schemas.openxmlformats.org/officeDocument/2006/relationships/hyperlink" Target="http://nicedsu.org.uk/wp-content/uploads/2019/10/TSD-20-mvmeta-final.pdf" TargetMode="External"/><Relationship Id="rId45" Type="http://schemas.openxmlformats.org/officeDocument/2006/relationships/hyperlink" Target="https://scharr.dept.shef.ac.uk/nicedsu/wp-content/uploads/sites/7/2017/05/Population-adjustment-TSD-FINAL.pdf" TargetMode="External"/><Relationship Id="rId66" Type="http://schemas.openxmlformats.org/officeDocument/2006/relationships/hyperlink" Target="https://www.nice.org.uk/guidance/ta517" TargetMode="External"/><Relationship Id="rId87" Type="http://schemas.openxmlformats.org/officeDocument/2006/relationships/hyperlink" Target="https://www.cancerresearchuk.org/health-professional/cancer-statistics/childrens-cancers" TargetMode="External"/><Relationship Id="rId61" Type="http://schemas.openxmlformats.org/officeDocument/2006/relationships/hyperlink" Target="https://www.nice.org.uk/guidance/ta510" TargetMode="External"/><Relationship Id="rId82" Type="http://schemas.openxmlformats.org/officeDocument/2006/relationships/hyperlink" Target="https://www.nice.org.uk/guidance/gid-ta10322/documents/draft-scope-post-referral"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fda.gov/media/117173/download" TargetMode="External"/><Relationship Id="rId35" Type="http://schemas.openxmlformats.org/officeDocument/2006/relationships/hyperlink" Target="https://www.ema.europa.eu/en/events/workshop-site-histology-independent-indications-oncology" TargetMode="External"/><Relationship Id="rId56" Type="http://schemas.openxmlformats.org/officeDocument/2006/relationships/hyperlink" Target="https://www.nice.org.uk/process/pmg19/resources/guide-to-the-processes-of-technology-appraisal-pdf-72286663351237" TargetMode="External"/><Relationship Id="rId77" Type="http://schemas.openxmlformats.org/officeDocument/2006/relationships/hyperlink" Target="https://www.pancreaticcancer.org.uk/information-and-support/facts-about-pancreatic-cancer/types-of-pancreatic-cancer/" TargetMode="External"/><Relationship Id="rId100" Type="http://schemas.openxmlformats.org/officeDocument/2006/relationships/footer" Target="footer7.xml"/><Relationship Id="rId8" Type="http://schemas.openxmlformats.org/officeDocument/2006/relationships/hyperlink" Target="mailto:stephen.palmer@york.ac.uk" TargetMode="External"/><Relationship Id="rId51" Type="http://schemas.openxmlformats.org/officeDocument/2006/relationships/hyperlink" Target="http://nicedsu.org.uk/wp-content/uploads/2016/03/NICE-DSU-TSD-Survival-analysis.updated-March-2013.v2.pdf" TargetMode="External"/><Relationship Id="rId72" Type="http://schemas.openxmlformats.org/officeDocument/2006/relationships/hyperlink" Target="https://www.cancer.gov/types/soft-tissue-sarcoma/hp/gist-treatment-pdq" TargetMode="External"/><Relationship Id="rId93" Type="http://schemas.openxmlformats.org/officeDocument/2006/relationships/image" Target="media/image15.wmf"/><Relationship Id="rId98" Type="http://schemas.openxmlformats.org/officeDocument/2006/relationships/header" Target="head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storage.its.york.ac.uk\crd\Nice\HTA%20TARs\Site%20Agnostics\Case%20Study%20Model\BHM%20Response%20CE%20Model_26_11_2019%20both%20PSA.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torage.its.york.ac.uk\crd\Nice\HTA%20TARs\Site%20Agnostics\Case%20Study%20Model\BHM%20Response%20CE%20Model_26_11_2019%20both%20PSA.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'Calculations (r)'!$F$12</c:f>
              <c:strCache>
                <c:ptCount val="1"/>
                <c:pt idx="0">
                  <c:v>Responders</c:v>
                </c:pt>
              </c:strCache>
            </c:strRef>
          </c:tx>
          <c:spPr>
            <a:ln w="15875" cap="rnd">
              <a:solidFill>
                <a:schemeClr val="accent5">
                  <a:lumMod val="75000"/>
                </a:schemeClr>
              </a:solidFill>
              <a:round/>
            </a:ln>
            <a:effectLst/>
          </c:spPr>
          <c:marker>
            <c:symbol val="none"/>
          </c:marker>
          <c:xVal>
            <c:numRef>
              <c:f>'Calculations (r)'!$C$13:$C$384</c:f>
              <c:numCache>
                <c:formatCode>0</c:formatCode>
                <c:ptCount val="3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numCache>
            </c:numRef>
          </c:xVal>
          <c:yVal>
            <c:numRef>
              <c:f>'Calculations (r)'!$F$13:$F$384</c:f>
              <c:numCache>
                <c:formatCode>0.000</c:formatCode>
                <c:ptCount val="372"/>
                <c:pt idx="0">
                  <c:v>1</c:v>
                </c:pt>
                <c:pt idx="1">
                  <c:v>0.98093008766891499</c:v>
                </c:pt>
                <c:pt idx="2">
                  <c:v>0.96222383689414515</c:v>
                </c:pt>
                <c:pt idx="3">
                  <c:v>0.94387431268169353</c:v>
                </c:pt>
                <c:pt idx="4">
                  <c:v>0.92587471228729046</c:v>
                </c:pt>
                <c:pt idx="5">
                  <c:v>0.90821836269440315</c:v>
                </c:pt>
                <c:pt idx="6">
                  <c:v>0.89089871814033927</c:v>
                </c:pt>
                <c:pt idx="7">
                  <c:v>0.87390935768952693</c:v>
                </c:pt>
                <c:pt idx="8">
                  <c:v>0.85724398285307279</c:v>
                </c:pt>
                <c:pt idx="9">
                  <c:v>0.8408964152537145</c:v>
                </c:pt>
                <c:pt idx="10">
                  <c:v>0.82486059433530257</c:v>
                </c:pt>
                <c:pt idx="11">
                  <c:v>0.80913057511596154</c:v>
                </c:pt>
                <c:pt idx="12">
                  <c:v>0.79370052598409968</c:v>
                </c:pt>
                <c:pt idx="13">
                  <c:v>0.77856472653644682</c:v>
                </c:pt>
                <c:pt idx="14">
                  <c:v>0.76371756545732161</c:v>
                </c:pt>
                <c:pt idx="15">
                  <c:v>0.74915353843834076</c:v>
                </c:pt>
                <c:pt idx="16">
                  <c:v>0.73486724613779941</c:v>
                </c:pt>
                <c:pt idx="17">
                  <c:v>0.72085339217896571</c:v>
                </c:pt>
                <c:pt idx="18">
                  <c:v>0.70710678118654757</c:v>
                </c:pt>
                <c:pt idx="19">
                  <c:v>0.69362231686060427</c:v>
                </c:pt>
                <c:pt idx="20">
                  <c:v>0.68039500008718845</c:v>
                </c:pt>
                <c:pt idx="21">
                  <c:v>0.66741992708501718</c:v>
                </c:pt>
                <c:pt idx="22">
                  <c:v>0.65469228758748677</c:v>
                </c:pt>
                <c:pt idx="23">
                  <c:v>0.64220736305935588</c:v>
                </c:pt>
                <c:pt idx="24">
                  <c:v>0.6299605249474366</c:v>
                </c:pt>
                <c:pt idx="25">
                  <c:v>0.6179472329646446</c:v>
                </c:pt>
                <c:pt idx="26">
                  <c:v>0.60616303340677224</c:v>
                </c:pt>
                <c:pt idx="27">
                  <c:v>0.59460355750136051</c:v>
                </c:pt>
                <c:pt idx="28">
                  <c:v>0.58326451978805827</c:v>
                </c:pt>
                <c:pt idx="29">
                  <c:v>0.57214171652986767</c:v>
                </c:pt>
                <c:pt idx="30">
                  <c:v>0.56123102415468651</c:v>
                </c:pt>
                <c:pt idx="31">
                  <c:v>0.55052839772657158</c:v>
                </c:pt>
                <c:pt idx="32">
                  <c:v>0.54002986944615305</c:v>
                </c:pt>
                <c:pt idx="33">
                  <c:v>0.52973154717964765</c:v>
                </c:pt>
                <c:pt idx="34">
                  <c:v>0.5196296130159217</c:v>
                </c:pt>
                <c:pt idx="35">
                  <c:v>0.50972032185107241</c:v>
                </c:pt>
                <c:pt idx="36">
                  <c:v>0.5</c:v>
                </c:pt>
                <c:pt idx="37">
                  <c:v>0.49046504383445744</c:v>
                </c:pt>
                <c:pt idx="38">
                  <c:v>0.48111191844707257</c:v>
                </c:pt>
                <c:pt idx="39">
                  <c:v>0.47193715634084676</c:v>
                </c:pt>
                <c:pt idx="40">
                  <c:v>0.46293735614364523</c:v>
                </c:pt>
                <c:pt idx="41">
                  <c:v>0.45410918134720157</c:v>
                </c:pt>
                <c:pt idx="42">
                  <c:v>0.44544935907016969</c:v>
                </c:pt>
                <c:pt idx="43">
                  <c:v>0.43695467884476347</c:v>
                </c:pt>
                <c:pt idx="44">
                  <c:v>0.42862199142653645</c:v>
                </c:pt>
                <c:pt idx="45">
                  <c:v>0.42044820762685725</c:v>
                </c:pt>
                <c:pt idx="46">
                  <c:v>0.41243029716765128</c:v>
                </c:pt>
                <c:pt idx="47">
                  <c:v>0.40456528755798077</c:v>
                </c:pt>
                <c:pt idx="48">
                  <c:v>0.39685026299204984</c:v>
                </c:pt>
                <c:pt idx="49">
                  <c:v>0.38928236326822341</c:v>
                </c:pt>
                <c:pt idx="50">
                  <c:v>0.38185878272866081</c:v>
                </c:pt>
                <c:pt idx="51">
                  <c:v>0.37457676921917038</c:v>
                </c:pt>
                <c:pt idx="52">
                  <c:v>0.36743362306889971</c:v>
                </c:pt>
                <c:pt idx="53">
                  <c:v>0.3604266960894828</c:v>
                </c:pt>
                <c:pt idx="54">
                  <c:v>0.35355339059327379</c:v>
                </c:pt>
                <c:pt idx="55">
                  <c:v>0.34681115843030219</c:v>
                </c:pt>
                <c:pt idx="56">
                  <c:v>0.34019750004359423</c:v>
                </c:pt>
                <c:pt idx="57">
                  <c:v>0.33370996354250859</c:v>
                </c:pt>
                <c:pt idx="58">
                  <c:v>0.32734614379374338</c:v>
                </c:pt>
                <c:pt idx="59">
                  <c:v>0.32110368152967794</c:v>
                </c:pt>
                <c:pt idx="60">
                  <c:v>0.3149802624737183</c:v>
                </c:pt>
                <c:pt idx="61">
                  <c:v>0.3089736164823223</c:v>
                </c:pt>
                <c:pt idx="62">
                  <c:v>0.30308151670338618</c:v>
                </c:pt>
                <c:pt idx="63">
                  <c:v>0.29730177875068031</c:v>
                </c:pt>
                <c:pt idx="64">
                  <c:v>0.29163225989402913</c:v>
                </c:pt>
                <c:pt idx="65">
                  <c:v>0.28607085826493378</c:v>
                </c:pt>
                <c:pt idx="66">
                  <c:v>0.2806155120773432</c:v>
                </c:pt>
                <c:pt idx="67">
                  <c:v>0.27526419886328579</c:v>
                </c:pt>
                <c:pt idx="68">
                  <c:v>0.27001493472307653</c:v>
                </c:pt>
                <c:pt idx="69">
                  <c:v>0.26486577358982383</c:v>
                </c:pt>
                <c:pt idx="70">
                  <c:v>0.25981480650796085</c:v>
                </c:pt>
                <c:pt idx="71">
                  <c:v>0.25486016092553621</c:v>
                </c:pt>
                <c:pt idx="72">
                  <c:v>0.25</c:v>
                </c:pt>
                <c:pt idx="73">
                  <c:v>0.24523252191722872</c:v>
                </c:pt>
                <c:pt idx="74">
                  <c:v>0.24055595922353626</c:v>
                </c:pt>
                <c:pt idx="75">
                  <c:v>0.23596857817042341</c:v>
                </c:pt>
                <c:pt idx="76">
                  <c:v>0.23146867807182261</c:v>
                </c:pt>
                <c:pt idx="77">
                  <c:v>0.22705459067360079</c:v>
                </c:pt>
                <c:pt idx="78">
                  <c:v>0.22272467953508482</c:v>
                </c:pt>
                <c:pt idx="79">
                  <c:v>0.21847733942238176</c:v>
                </c:pt>
                <c:pt idx="80">
                  <c:v>0.21431099571326823</c:v>
                </c:pt>
                <c:pt idx="81">
                  <c:v>0.21022410381342865</c:v>
                </c:pt>
                <c:pt idx="82">
                  <c:v>0.20621514858382561</c:v>
                </c:pt>
                <c:pt idx="83">
                  <c:v>0.20228264377899038</c:v>
                </c:pt>
                <c:pt idx="84">
                  <c:v>0.19842513149602495</c:v>
                </c:pt>
                <c:pt idx="85">
                  <c:v>0.19464118163411173</c:v>
                </c:pt>
                <c:pt idx="86">
                  <c:v>0.1909293913643304</c:v>
                </c:pt>
                <c:pt idx="87">
                  <c:v>0.18728838460958516</c:v>
                </c:pt>
                <c:pt idx="88">
                  <c:v>0.18371681153444988</c:v>
                </c:pt>
                <c:pt idx="89">
                  <c:v>0.18021334804474143</c:v>
                </c:pt>
                <c:pt idx="90">
                  <c:v>0.17677669529663689</c:v>
                </c:pt>
                <c:pt idx="91">
                  <c:v>0.17340557921515107</c:v>
                </c:pt>
                <c:pt idx="92">
                  <c:v>0.17009875002179714</c:v>
                </c:pt>
                <c:pt idx="93">
                  <c:v>0.1668549817712543</c:v>
                </c:pt>
                <c:pt idx="94">
                  <c:v>0.16367307189687169</c:v>
                </c:pt>
                <c:pt idx="95">
                  <c:v>0.16055184076483894</c:v>
                </c:pt>
                <c:pt idx="96">
                  <c:v>0.15749013123685912</c:v>
                </c:pt>
                <c:pt idx="97">
                  <c:v>0.15448680824116118</c:v>
                </c:pt>
                <c:pt idx="98">
                  <c:v>0.15154075835169306</c:v>
                </c:pt>
                <c:pt idx="99">
                  <c:v>0.14865088937534013</c:v>
                </c:pt>
                <c:pt idx="100">
                  <c:v>0.14581612994701457</c:v>
                </c:pt>
                <c:pt idx="101">
                  <c:v>0.14303542913246692</c:v>
                </c:pt>
                <c:pt idx="102">
                  <c:v>0.14030775603867163</c:v>
                </c:pt>
                <c:pt idx="103">
                  <c:v>0.1376320994316429</c:v>
                </c:pt>
                <c:pt idx="104">
                  <c:v>0.13500746736153826</c:v>
                </c:pt>
                <c:pt idx="105">
                  <c:v>0.13243288679491189</c:v>
                </c:pt>
                <c:pt idx="106">
                  <c:v>0.1299074032539804</c:v>
                </c:pt>
                <c:pt idx="107">
                  <c:v>0.12743008046276813</c:v>
                </c:pt>
                <c:pt idx="108">
                  <c:v>0.12500000000000003</c:v>
                </c:pt>
                <c:pt idx="109">
                  <c:v>0.12261626095861439</c:v>
                </c:pt>
                <c:pt idx="110">
                  <c:v>0.12027797961176816</c:v>
                </c:pt>
                <c:pt idx="111">
                  <c:v>0.11798428908521169</c:v>
                </c:pt>
                <c:pt idx="112">
                  <c:v>0.11573433903591131</c:v>
                </c:pt>
                <c:pt idx="113">
                  <c:v>0.11352729533680039</c:v>
                </c:pt>
                <c:pt idx="114">
                  <c:v>0.1113623397675424</c:v>
                </c:pt>
                <c:pt idx="115">
                  <c:v>0.10923866971119085</c:v>
                </c:pt>
                <c:pt idx="116">
                  <c:v>0.10715549785663413</c:v>
                </c:pt>
                <c:pt idx="117">
                  <c:v>0.10511205190671434</c:v>
                </c:pt>
                <c:pt idx="118">
                  <c:v>0.10310757429191282</c:v>
                </c:pt>
                <c:pt idx="119">
                  <c:v>0.10114132188949521</c:v>
                </c:pt>
                <c:pt idx="120">
                  <c:v>9.9212565748012474E-2</c:v>
                </c:pt>
                <c:pt idx="121">
                  <c:v>9.7320590817055852E-2</c:v>
                </c:pt>
                <c:pt idx="122">
                  <c:v>9.5464695682165188E-2</c:v>
                </c:pt>
                <c:pt idx="123">
                  <c:v>9.3644192304792581E-2</c:v>
                </c:pt>
                <c:pt idx="124">
                  <c:v>9.1858405767224954E-2</c:v>
                </c:pt>
                <c:pt idx="125">
                  <c:v>9.0106674022370728E-2</c:v>
                </c:pt>
                <c:pt idx="126">
                  <c:v>8.8388347648318447E-2</c:v>
                </c:pt>
                <c:pt idx="127">
                  <c:v>8.6702789607575548E-2</c:v>
                </c:pt>
                <c:pt idx="128">
                  <c:v>8.5049375010898556E-2</c:v>
                </c:pt>
                <c:pt idx="129">
                  <c:v>8.3427490885627148E-2</c:v>
                </c:pt>
                <c:pt idx="130">
                  <c:v>8.1836535948435832E-2</c:v>
                </c:pt>
                <c:pt idx="131">
                  <c:v>8.0275920382419472E-2</c:v>
                </c:pt>
                <c:pt idx="132">
                  <c:v>7.8745065618429561E-2</c:v>
                </c:pt>
                <c:pt idx="133">
                  <c:v>7.7243404120580603E-2</c:v>
                </c:pt>
                <c:pt idx="134">
                  <c:v>7.5770379175846544E-2</c:v>
                </c:pt>
                <c:pt idx="135">
                  <c:v>7.4325444687670078E-2</c:v>
                </c:pt>
                <c:pt idx="136">
                  <c:v>7.2908064973507297E-2</c:v>
                </c:pt>
                <c:pt idx="137">
                  <c:v>7.1517714566233445E-2</c:v>
                </c:pt>
                <c:pt idx="138">
                  <c:v>7.0153878019335814E-2</c:v>
                </c:pt>
                <c:pt idx="139">
                  <c:v>6.8816049715821434E-2</c:v>
                </c:pt>
                <c:pt idx="140">
                  <c:v>6.7503733680769132E-2</c:v>
                </c:pt>
                <c:pt idx="141">
                  <c:v>6.6216443397455971E-2</c:v>
                </c:pt>
                <c:pt idx="142">
                  <c:v>6.4953701626990226E-2</c:v>
                </c:pt>
                <c:pt idx="143">
                  <c:v>6.3715040231384065E-2</c:v>
                </c:pt>
                <c:pt idx="144">
                  <c:v>6.25E-2</c:v>
                </c:pt>
                <c:pt idx="145">
                  <c:v>6.1308130479307187E-2</c:v>
                </c:pt>
                <c:pt idx="146">
                  <c:v>6.0138989805884072E-2</c:v>
                </c:pt>
                <c:pt idx="147">
                  <c:v>5.8992144542605839E-2</c:v>
                </c:pt>
                <c:pt idx="148">
                  <c:v>5.7867169517955647E-2</c:v>
                </c:pt>
                <c:pt idx="149">
                  <c:v>5.676364766840019E-2</c:v>
                </c:pt>
                <c:pt idx="150">
                  <c:v>5.5681169883771219E-2</c:v>
                </c:pt>
                <c:pt idx="151">
                  <c:v>5.4619334855595447E-2</c:v>
                </c:pt>
                <c:pt idx="152">
                  <c:v>5.3577748928317057E-2</c:v>
                </c:pt>
                <c:pt idx="153">
                  <c:v>5.2556025953357163E-2</c:v>
                </c:pt>
                <c:pt idx="154">
                  <c:v>5.155378714595641E-2</c:v>
                </c:pt>
                <c:pt idx="155">
                  <c:v>5.0570660944747596E-2</c:v>
                </c:pt>
                <c:pt idx="156">
                  <c:v>4.960628287400623E-2</c:v>
                </c:pt>
                <c:pt idx="157">
                  <c:v>4.8660295408527919E-2</c:v>
                </c:pt>
                <c:pt idx="158">
                  <c:v>4.7732347841082615E-2</c:v>
                </c:pt>
                <c:pt idx="159">
                  <c:v>4.6822096152396304E-2</c:v>
                </c:pt>
                <c:pt idx="160">
                  <c:v>4.592920288361247E-2</c:v>
                </c:pt>
                <c:pt idx="161">
                  <c:v>4.5053337011185357E-2</c:v>
                </c:pt>
                <c:pt idx="162">
                  <c:v>4.4194173824159223E-2</c:v>
                </c:pt>
                <c:pt idx="163">
                  <c:v>4.3351394803787767E-2</c:v>
                </c:pt>
                <c:pt idx="164">
                  <c:v>4.2524687505449278E-2</c:v>
                </c:pt>
                <c:pt idx="165">
                  <c:v>4.1713745442813567E-2</c:v>
                </c:pt>
                <c:pt idx="166">
                  <c:v>4.0918267974217916E-2</c:v>
                </c:pt>
                <c:pt idx="167">
                  <c:v>4.013796019120975E-2</c:v>
                </c:pt>
                <c:pt idx="168">
                  <c:v>3.9372532809214794E-2</c:v>
                </c:pt>
                <c:pt idx="169">
                  <c:v>3.8621702060290294E-2</c:v>
                </c:pt>
                <c:pt idx="170">
                  <c:v>3.7885189587923272E-2</c:v>
                </c:pt>
                <c:pt idx="171">
                  <c:v>3.7162722343835032E-2</c:v>
                </c:pt>
                <c:pt idx="172">
                  <c:v>3.6454032486753642E-2</c:v>
                </c:pt>
                <c:pt idx="173">
                  <c:v>3.5758857283116723E-2</c:v>
                </c:pt>
                <c:pt idx="174">
                  <c:v>3.50769390096679E-2</c:v>
                </c:pt>
                <c:pt idx="175">
                  <c:v>3.4408024857910731E-2</c:v>
                </c:pt>
                <c:pt idx="176">
                  <c:v>3.3751866840384573E-2</c:v>
                </c:pt>
                <c:pt idx="177">
                  <c:v>3.3108221698727985E-2</c:v>
                </c:pt>
                <c:pt idx="178">
                  <c:v>3.2476850813495113E-2</c:v>
                </c:pt>
                <c:pt idx="179">
                  <c:v>3.1857520115692026E-2</c:v>
                </c:pt>
                <c:pt idx="180">
                  <c:v>3.125E-2</c:v>
                </c:pt>
                <c:pt idx="181">
                  <c:v>3.065406523965359E-2</c:v>
                </c:pt>
                <c:pt idx="182">
                  <c:v>3.0069494902942032E-2</c:v>
                </c:pt>
                <c:pt idx="183">
                  <c:v>2.9496072271302916E-2</c:v>
                </c:pt>
                <c:pt idx="184">
                  <c:v>2.8933584758977834E-2</c:v>
                </c:pt>
                <c:pt idx="185">
                  <c:v>2.8381823834200105E-2</c:v>
                </c:pt>
                <c:pt idx="186">
                  <c:v>2.7840584941885606E-2</c:v>
                </c:pt>
                <c:pt idx="187">
                  <c:v>2.730966742779772E-2</c:v>
                </c:pt>
                <c:pt idx="188">
                  <c:v>2.6788874464158528E-2</c:v>
                </c:pt>
                <c:pt idx="189">
                  <c:v>2.6278012976678578E-2</c:v>
                </c:pt>
                <c:pt idx="190">
                  <c:v>2.5776893572978202E-2</c:v>
                </c:pt>
                <c:pt idx="191">
                  <c:v>2.5285330472373795E-2</c:v>
                </c:pt>
                <c:pt idx="192">
                  <c:v>2.4803141437003112E-2</c:v>
                </c:pt>
                <c:pt idx="193">
                  <c:v>2.433014770426397E-2</c:v>
                </c:pt>
                <c:pt idx="194">
                  <c:v>2.3866173920541304E-2</c:v>
                </c:pt>
                <c:pt idx="195">
                  <c:v>2.3411048076198152E-2</c:v>
                </c:pt>
                <c:pt idx="196">
                  <c:v>2.2964601441806235E-2</c:v>
                </c:pt>
                <c:pt idx="197">
                  <c:v>2.2526668505592679E-2</c:v>
                </c:pt>
                <c:pt idx="198">
                  <c:v>2.2097086912079608E-2</c:v>
                </c:pt>
                <c:pt idx="199">
                  <c:v>2.1675697401893883E-2</c:v>
                </c:pt>
                <c:pt idx="200">
                  <c:v>2.1262343752724636E-2</c:v>
                </c:pt>
                <c:pt idx="201">
                  <c:v>2.085687272140679E-2</c:v>
                </c:pt>
                <c:pt idx="202">
                  <c:v>2.0459133987108965E-2</c:v>
                </c:pt>
                <c:pt idx="203">
                  <c:v>2.0068980095604871E-2</c:v>
                </c:pt>
                <c:pt idx="204">
                  <c:v>1.9686266404607394E-2</c:v>
                </c:pt>
                <c:pt idx="205">
                  <c:v>1.9310851030145147E-2</c:v>
                </c:pt>
                <c:pt idx="206">
                  <c:v>1.8942594793961633E-2</c:v>
                </c:pt>
                <c:pt idx="207">
                  <c:v>1.8581361171917516E-2</c:v>
                </c:pt>
                <c:pt idx="208">
                  <c:v>1.8227016243376821E-2</c:v>
                </c:pt>
                <c:pt idx="209">
                  <c:v>1.7879428641558358E-2</c:v>
                </c:pt>
                <c:pt idx="210">
                  <c:v>1.753846950483395E-2</c:v>
                </c:pt>
                <c:pt idx="211">
                  <c:v>1.7204012428955355E-2</c:v>
                </c:pt>
                <c:pt idx="212">
                  <c:v>1.6875933420192279E-2</c:v>
                </c:pt>
                <c:pt idx="213">
                  <c:v>1.6554110849363982E-2</c:v>
                </c:pt>
                <c:pt idx="214">
                  <c:v>1.623842540674756E-2</c:v>
                </c:pt>
                <c:pt idx="215">
                  <c:v>1.592876005784602E-2</c:v>
                </c:pt>
                <c:pt idx="216">
                  <c:v>1.5625000000000007E-2</c:v>
                </c:pt>
                <c:pt idx="217">
                  <c:v>1.53270326198268E-2</c:v>
                </c:pt>
                <c:pt idx="218">
                  <c:v>1.5034747451471021E-2</c:v>
                </c:pt>
                <c:pt idx="219">
                  <c:v>1.4748036135651463E-2</c:v>
                </c:pt>
                <c:pt idx="220">
                  <c:v>1.4466792379488915E-2</c:v>
                </c:pt>
                <c:pt idx="221">
                  <c:v>1.4190911917100051E-2</c:v>
                </c:pt>
                <c:pt idx="222">
                  <c:v>1.3920292470942803E-2</c:v>
                </c:pt>
                <c:pt idx="223">
                  <c:v>1.3654833713898858E-2</c:v>
                </c:pt>
                <c:pt idx="224">
                  <c:v>1.3394437232079262E-2</c:v>
                </c:pt>
                <c:pt idx="225">
                  <c:v>1.3139006488339289E-2</c:v>
                </c:pt>
                <c:pt idx="226">
                  <c:v>1.2888446786489099E-2</c:v>
                </c:pt>
                <c:pt idx="227">
                  <c:v>1.2642665236186897E-2</c:v>
                </c:pt>
                <c:pt idx="228">
                  <c:v>1.2401570718501556E-2</c:v>
                </c:pt>
                <c:pt idx="229">
                  <c:v>1.2165073852131978E-2</c:v>
                </c:pt>
                <c:pt idx="230">
                  <c:v>1.1933086960270645E-2</c:v>
                </c:pt>
                <c:pt idx="231">
                  <c:v>1.170552403809908E-2</c:v>
                </c:pt>
                <c:pt idx="232">
                  <c:v>1.1482300720903121E-2</c:v>
                </c:pt>
                <c:pt idx="233">
                  <c:v>1.1263334252796343E-2</c:v>
                </c:pt>
                <c:pt idx="234">
                  <c:v>1.1048543456039809E-2</c:v>
                </c:pt>
                <c:pt idx="235">
                  <c:v>1.0837848700946945E-2</c:v>
                </c:pt>
                <c:pt idx="236">
                  <c:v>1.0631171876362323E-2</c:v>
                </c:pt>
                <c:pt idx="237">
                  <c:v>1.0428436360703395E-2</c:v>
                </c:pt>
                <c:pt idx="238">
                  <c:v>1.0229566993554481E-2</c:v>
                </c:pt>
                <c:pt idx="239">
                  <c:v>1.0034490047802436E-2</c:v>
                </c:pt>
                <c:pt idx="240">
                  <c:v>9.8431332023036968E-3</c:v>
                </c:pt>
                <c:pt idx="241">
                  <c:v>9.6554255150725719E-3</c:v>
                </c:pt>
                <c:pt idx="242">
                  <c:v>9.4712973969808163E-3</c:v>
                </c:pt>
                <c:pt idx="243">
                  <c:v>9.2906805859587563E-3</c:v>
                </c:pt>
                <c:pt idx="244">
                  <c:v>9.1135081216884087E-3</c:v>
                </c:pt>
                <c:pt idx="245">
                  <c:v>8.9397143207791789E-3</c:v>
                </c:pt>
                <c:pt idx="246">
                  <c:v>8.7692347524169732E-3</c:v>
                </c:pt>
                <c:pt idx="247">
                  <c:v>8.6020062144776775E-3</c:v>
                </c:pt>
                <c:pt idx="248">
                  <c:v>8.4379667100961467E-3</c:v>
                </c:pt>
                <c:pt idx="249">
                  <c:v>8.2770554246819981E-3</c:v>
                </c:pt>
                <c:pt idx="250">
                  <c:v>8.11921270337378E-3</c:v>
                </c:pt>
                <c:pt idx="251">
                  <c:v>7.9643800289230099E-3</c:v>
                </c:pt>
                <c:pt idx="252">
                  <c:v>7.8125000000000017E-3</c:v>
                </c:pt>
                <c:pt idx="253">
                  <c:v>7.6635163099134001E-3</c:v>
                </c:pt>
                <c:pt idx="254">
                  <c:v>7.5173737257355098E-3</c:v>
                </c:pt>
                <c:pt idx="255">
                  <c:v>7.3740180678257316E-3</c:v>
                </c:pt>
                <c:pt idx="256">
                  <c:v>7.2333961897444567E-3</c:v>
                </c:pt>
                <c:pt idx="257">
                  <c:v>7.0954559585500255E-3</c:v>
                </c:pt>
                <c:pt idx="258">
                  <c:v>6.9601462354714006E-3</c:v>
                </c:pt>
                <c:pt idx="259">
                  <c:v>6.8274168569494292E-3</c:v>
                </c:pt>
                <c:pt idx="260">
                  <c:v>6.6972186160396303E-3</c:v>
                </c:pt>
                <c:pt idx="261">
                  <c:v>6.5695032441696437E-3</c:v>
                </c:pt>
                <c:pt idx="262">
                  <c:v>6.4442233932445496E-3</c:v>
                </c:pt>
                <c:pt idx="263">
                  <c:v>6.3213326180934478E-3</c:v>
                </c:pt>
                <c:pt idx="264">
                  <c:v>6.200785359250777E-3</c:v>
                </c:pt>
                <c:pt idx="265">
                  <c:v>6.0825369260659942E-3</c:v>
                </c:pt>
                <c:pt idx="266">
                  <c:v>5.9665434801353277E-3</c:v>
                </c:pt>
                <c:pt idx="267">
                  <c:v>5.8527620190495389E-3</c:v>
                </c:pt>
                <c:pt idx="268">
                  <c:v>5.7411503604515596E-3</c:v>
                </c:pt>
                <c:pt idx="269">
                  <c:v>5.6316671263981714E-3</c:v>
                </c:pt>
                <c:pt idx="270">
                  <c:v>5.5242717280199038E-3</c:v>
                </c:pt>
                <c:pt idx="271">
                  <c:v>5.4189243504734717E-3</c:v>
                </c:pt>
                <c:pt idx="272">
                  <c:v>5.3155859381811606E-3</c:v>
                </c:pt>
                <c:pt idx="273">
                  <c:v>5.2142181803516967E-3</c:v>
                </c:pt>
                <c:pt idx="274">
                  <c:v>5.1147834967772404E-3</c:v>
                </c:pt>
                <c:pt idx="275">
                  <c:v>5.017245023901217E-3</c:v>
                </c:pt>
                <c:pt idx="276">
                  <c:v>4.9215666011518475E-3</c:v>
                </c:pt>
                <c:pt idx="277">
                  <c:v>4.8277127575362859E-3</c:v>
                </c:pt>
                <c:pt idx="278">
                  <c:v>4.7356486984904073E-3</c:v>
                </c:pt>
                <c:pt idx="279">
                  <c:v>4.6453402929793781E-3</c:v>
                </c:pt>
                <c:pt idx="280">
                  <c:v>4.5567540608442043E-3</c:v>
                </c:pt>
                <c:pt idx="281">
                  <c:v>4.4698571603895886E-3</c:v>
                </c:pt>
                <c:pt idx="282">
                  <c:v>4.3846173762084901E-3</c:v>
                </c:pt>
                <c:pt idx="283">
                  <c:v>4.3010031072388422E-3</c:v>
                </c:pt>
                <c:pt idx="284">
                  <c:v>4.2189833550480725E-3</c:v>
                </c:pt>
                <c:pt idx="285">
                  <c:v>4.1385277123409982E-3</c:v>
                </c:pt>
                <c:pt idx="286">
                  <c:v>4.0596063516868891E-3</c:v>
                </c:pt>
                <c:pt idx="287">
                  <c:v>3.9821900144615041E-3</c:v>
                </c:pt>
                <c:pt idx="288">
                  <c:v>3.9062500000000009E-3</c:v>
                </c:pt>
                <c:pt idx="289">
                  <c:v>3.8317581549566996E-3</c:v>
                </c:pt>
                <c:pt idx="290">
                  <c:v>3.7586868628677549E-3</c:v>
                </c:pt>
                <c:pt idx="291">
                  <c:v>3.6870090339128653E-3</c:v>
                </c:pt>
                <c:pt idx="292">
                  <c:v>3.6166980948722284E-3</c:v>
                </c:pt>
                <c:pt idx="293">
                  <c:v>3.5477279792750123E-3</c:v>
                </c:pt>
                <c:pt idx="294">
                  <c:v>3.4800731177356999E-3</c:v>
                </c:pt>
                <c:pt idx="295">
                  <c:v>3.4137084284747141E-3</c:v>
                </c:pt>
                <c:pt idx="296">
                  <c:v>3.3486093080198152E-3</c:v>
                </c:pt>
                <c:pt idx="297">
                  <c:v>3.2847516220848214E-3</c:v>
                </c:pt>
                <c:pt idx="298">
                  <c:v>3.2221116966222743E-3</c:v>
                </c:pt>
                <c:pt idx="299">
                  <c:v>3.1606663090467265E-3</c:v>
                </c:pt>
                <c:pt idx="300">
                  <c:v>3.1003926796253911E-3</c:v>
                </c:pt>
                <c:pt idx="301">
                  <c:v>3.0412684630329967E-3</c:v>
                </c:pt>
                <c:pt idx="302">
                  <c:v>2.9832717400676634E-3</c:v>
                </c:pt>
                <c:pt idx="303">
                  <c:v>2.9263810095247695E-3</c:v>
                </c:pt>
                <c:pt idx="304">
                  <c:v>2.8705751802257798E-3</c:v>
                </c:pt>
                <c:pt idx="305">
                  <c:v>2.8158335631990852E-3</c:v>
                </c:pt>
                <c:pt idx="306">
                  <c:v>2.7621358640099515E-3</c:v>
                </c:pt>
                <c:pt idx="307">
                  <c:v>2.7094621752367359E-3</c:v>
                </c:pt>
                <c:pt idx="308">
                  <c:v>2.6577929690905803E-3</c:v>
                </c:pt>
                <c:pt idx="309">
                  <c:v>2.6071090901758484E-3</c:v>
                </c:pt>
                <c:pt idx="310">
                  <c:v>2.5573917483886197E-3</c:v>
                </c:pt>
                <c:pt idx="311">
                  <c:v>2.5086225119506085E-3</c:v>
                </c:pt>
                <c:pt idx="312">
                  <c:v>2.4607833005759238E-3</c:v>
                </c:pt>
                <c:pt idx="313">
                  <c:v>2.4138563787681425E-3</c:v>
                </c:pt>
                <c:pt idx="314">
                  <c:v>2.3678243492452036E-3</c:v>
                </c:pt>
                <c:pt idx="315">
                  <c:v>2.3226701464896886E-3</c:v>
                </c:pt>
                <c:pt idx="316">
                  <c:v>2.2783770304221039E-3</c:v>
                </c:pt>
                <c:pt idx="317">
                  <c:v>2.2349285801947965E-3</c:v>
                </c:pt>
                <c:pt idx="318">
                  <c:v>2.192308688104245E-3</c:v>
                </c:pt>
                <c:pt idx="319">
                  <c:v>2.1505015536194207E-3</c:v>
                </c:pt>
                <c:pt idx="320">
                  <c:v>2.1094916775240362E-3</c:v>
                </c:pt>
                <c:pt idx="321">
                  <c:v>2.0692638561704991E-3</c:v>
                </c:pt>
                <c:pt idx="322">
                  <c:v>2.0298031758434446E-3</c:v>
                </c:pt>
                <c:pt idx="323">
                  <c:v>1.991095007230752E-3</c:v>
                </c:pt>
                <c:pt idx="324">
                  <c:v>1.953125E-3</c:v>
                </c:pt>
                <c:pt idx="325">
                  <c:v>1.9158790774783496E-3</c:v>
                </c:pt>
                <c:pt idx="326">
                  <c:v>1.8793434314338772E-3</c:v>
                </c:pt>
                <c:pt idx="327">
                  <c:v>1.8435045169564325E-3</c:v>
                </c:pt>
                <c:pt idx="328">
                  <c:v>1.808349047436114E-3</c:v>
                </c:pt>
                <c:pt idx="329">
                  <c:v>1.7738639896375059E-3</c:v>
                </c:pt>
                <c:pt idx="330">
                  <c:v>1.7400365588678499E-3</c:v>
                </c:pt>
                <c:pt idx="331">
                  <c:v>1.7068542142373569E-3</c:v>
                </c:pt>
                <c:pt idx="332">
                  <c:v>1.6743046540099074E-3</c:v>
                </c:pt>
                <c:pt idx="333">
                  <c:v>1.642375811042412E-3</c:v>
                </c:pt>
                <c:pt idx="334">
                  <c:v>1.6110558483111385E-3</c:v>
                </c:pt>
                <c:pt idx="335">
                  <c:v>1.580333154523363E-3</c:v>
                </c:pt>
                <c:pt idx="336">
                  <c:v>1.5501963398126953E-3</c:v>
                </c:pt>
                <c:pt idx="337">
                  <c:v>1.5206342315164983E-3</c:v>
                </c:pt>
                <c:pt idx="338">
                  <c:v>1.4916358700338317E-3</c:v>
                </c:pt>
                <c:pt idx="339">
                  <c:v>1.4631905047623845E-3</c:v>
                </c:pt>
                <c:pt idx="340">
                  <c:v>1.4352875901128897E-3</c:v>
                </c:pt>
                <c:pt idx="341">
                  <c:v>1.4079167815995424E-3</c:v>
                </c:pt>
                <c:pt idx="342">
                  <c:v>1.3810679320049757E-3</c:v>
                </c:pt>
                <c:pt idx="343">
                  <c:v>1.3547310876183677E-3</c:v>
                </c:pt>
                <c:pt idx="344">
                  <c:v>1.3288964845452899E-3</c:v>
                </c:pt>
                <c:pt idx="345">
                  <c:v>1.303554545087924E-3</c:v>
                </c:pt>
                <c:pt idx="346">
                  <c:v>1.2786958741943099E-3</c:v>
                </c:pt>
                <c:pt idx="347">
                  <c:v>1.254311255975304E-3</c:v>
                </c:pt>
                <c:pt idx="348">
                  <c:v>1.2303916502879617E-3</c:v>
                </c:pt>
                <c:pt idx="349">
                  <c:v>1.2069281893840713E-3</c:v>
                </c:pt>
                <c:pt idx="350">
                  <c:v>1.1839121746226027E-3</c:v>
                </c:pt>
                <c:pt idx="351">
                  <c:v>1.1613350732448454E-3</c:v>
                </c:pt>
                <c:pt idx="352">
                  <c:v>1.1391885152110517E-3</c:v>
                </c:pt>
                <c:pt idx="353">
                  <c:v>1.117464290097398E-3</c:v>
                </c:pt>
                <c:pt idx="354">
                  <c:v>1.0961543440521223E-3</c:v>
                </c:pt>
                <c:pt idx="355">
                  <c:v>1.0752507768097103E-3</c:v>
                </c:pt>
                <c:pt idx="356">
                  <c:v>1.0547458387620179E-3</c:v>
                </c:pt>
                <c:pt idx="357">
                  <c:v>1.0346319280852495E-3</c:v>
                </c:pt>
                <c:pt idx="358">
                  <c:v>1.0149015879217223E-3</c:v>
                </c:pt>
                <c:pt idx="359">
                  <c:v>9.955475036153758E-4</c:v>
                </c:pt>
                <c:pt idx="360">
                  <c:v>9.765625E-4</c:v>
                </c:pt>
                <c:pt idx="361">
                  <c:v>9.5793953873917468E-4</c:v>
                </c:pt>
                <c:pt idx="362">
                  <c:v>9.3967171571693851E-4</c:v>
                </c:pt>
                <c:pt idx="363">
                  <c:v>9.2175225847821612E-4</c:v>
                </c:pt>
                <c:pt idx="364">
                  <c:v>9.0417452371805687E-4</c:v>
                </c:pt>
                <c:pt idx="365">
                  <c:v>8.8693199481875286E-4</c:v>
                </c:pt>
                <c:pt idx="366">
                  <c:v>8.7001827943392486E-4</c:v>
                </c:pt>
                <c:pt idx="367">
                  <c:v>8.5342710711867919E-4</c:v>
                </c:pt>
                <c:pt idx="368">
                  <c:v>8.3715232700495433E-4</c:v>
                </c:pt>
                <c:pt idx="369">
                  <c:v>8.21187905521206E-4</c:v>
                </c:pt>
                <c:pt idx="370">
                  <c:v>8.0552792415556913E-4</c:v>
                </c:pt>
                <c:pt idx="371">
                  <c:v>7.9016657726168151E-4</c:v>
                </c:pt>
              </c:numCache>
            </c:numRef>
          </c:yVal>
          <c:smooth val="1"/>
          <c:extLst>
            <c:ext xmlns:c16="http://schemas.microsoft.com/office/drawing/2014/chart" uri="{C3380CC4-5D6E-409C-BE32-E72D297353CC}">
              <c16:uniqueId val="{00000000-359D-4A84-BEE3-7B1080653663}"/>
            </c:ext>
          </c:extLst>
        </c:ser>
        <c:ser>
          <c:idx val="1"/>
          <c:order val="1"/>
          <c:tx>
            <c:strRef>
              <c:f>'Calculations (r)'!$H$12</c:f>
              <c:strCache>
                <c:ptCount val="1"/>
                <c:pt idx="0">
                  <c:v>Non-reponders</c:v>
                </c:pt>
              </c:strCache>
            </c:strRef>
          </c:tx>
          <c:spPr>
            <a:ln w="15875" cap="rnd">
              <a:solidFill>
                <a:srgbClr val="92D050"/>
              </a:solidFill>
              <a:prstDash val="sysDash"/>
              <a:round/>
            </a:ln>
            <a:effectLst/>
          </c:spPr>
          <c:marker>
            <c:symbol val="none"/>
          </c:marker>
          <c:xVal>
            <c:numRef>
              <c:f>'Calculations (r)'!$C$13:$C$384</c:f>
              <c:numCache>
                <c:formatCode>0</c:formatCode>
                <c:ptCount val="3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numCache>
            </c:numRef>
          </c:xVal>
          <c:yVal>
            <c:numRef>
              <c:f>'Calculations (r)'!$H$13:$H$384</c:f>
              <c:numCache>
                <c:formatCode>0.000</c:formatCode>
                <c:ptCount val="372"/>
                <c:pt idx="0">
                  <c:v>1</c:v>
                </c:pt>
                <c:pt idx="1">
                  <c:v>0.94387431268169353</c:v>
                </c:pt>
                <c:pt idx="2">
                  <c:v>0.89089871814033927</c:v>
                </c:pt>
                <c:pt idx="3">
                  <c:v>0.8408964152537145</c:v>
                </c:pt>
                <c:pt idx="4">
                  <c:v>0.79370052598409979</c:v>
                </c:pt>
                <c:pt idx="5">
                  <c:v>0.74915353843834076</c:v>
                </c:pt>
                <c:pt idx="6">
                  <c:v>0.70710678118654757</c:v>
                </c:pt>
                <c:pt idx="7">
                  <c:v>0.66741992708501718</c:v>
                </c:pt>
                <c:pt idx="8">
                  <c:v>0.6299605249474366</c:v>
                </c:pt>
                <c:pt idx="9">
                  <c:v>0.59460355750136051</c:v>
                </c:pt>
                <c:pt idx="10">
                  <c:v>0.56123102415468651</c:v>
                </c:pt>
                <c:pt idx="11">
                  <c:v>0.52973154717964765</c:v>
                </c:pt>
                <c:pt idx="12">
                  <c:v>0.5</c:v>
                </c:pt>
                <c:pt idx="13">
                  <c:v>0.47193715634084676</c:v>
                </c:pt>
                <c:pt idx="14">
                  <c:v>0.44544935907016969</c:v>
                </c:pt>
                <c:pt idx="15">
                  <c:v>0.42044820762685731</c:v>
                </c:pt>
                <c:pt idx="16">
                  <c:v>0.3968502629920499</c:v>
                </c:pt>
                <c:pt idx="17">
                  <c:v>0.37457676921917038</c:v>
                </c:pt>
                <c:pt idx="18">
                  <c:v>0.35355339059327379</c:v>
                </c:pt>
                <c:pt idx="19">
                  <c:v>0.33370996354250865</c:v>
                </c:pt>
                <c:pt idx="20">
                  <c:v>0.3149802624737183</c:v>
                </c:pt>
                <c:pt idx="21">
                  <c:v>0.29730177875068031</c:v>
                </c:pt>
                <c:pt idx="22">
                  <c:v>0.28061551207734331</c:v>
                </c:pt>
                <c:pt idx="23">
                  <c:v>0.26486577358982388</c:v>
                </c:pt>
                <c:pt idx="24">
                  <c:v>0.25</c:v>
                </c:pt>
                <c:pt idx="25">
                  <c:v>0.23596857817042341</c:v>
                </c:pt>
                <c:pt idx="26">
                  <c:v>0.22272467953508487</c:v>
                </c:pt>
                <c:pt idx="27">
                  <c:v>0.21022410381342865</c:v>
                </c:pt>
                <c:pt idx="28">
                  <c:v>0.19842513149602495</c:v>
                </c:pt>
                <c:pt idx="29">
                  <c:v>0.18728838460958522</c:v>
                </c:pt>
                <c:pt idx="30">
                  <c:v>0.17677669529663692</c:v>
                </c:pt>
                <c:pt idx="31">
                  <c:v>0.1668549817712543</c:v>
                </c:pt>
                <c:pt idx="32">
                  <c:v>0.15749013123685918</c:v>
                </c:pt>
                <c:pt idx="33">
                  <c:v>0.14865088937534016</c:v>
                </c:pt>
                <c:pt idx="34">
                  <c:v>0.14030775603867163</c:v>
                </c:pt>
                <c:pt idx="35">
                  <c:v>0.13243288679491194</c:v>
                </c:pt>
                <c:pt idx="36">
                  <c:v>0.12500000000000003</c:v>
                </c:pt>
                <c:pt idx="37">
                  <c:v>0.11798428908521169</c:v>
                </c:pt>
                <c:pt idx="38">
                  <c:v>0.11136233976754245</c:v>
                </c:pt>
                <c:pt idx="39">
                  <c:v>0.10511205190671434</c:v>
                </c:pt>
                <c:pt idx="40">
                  <c:v>9.9212565748012474E-2</c:v>
                </c:pt>
                <c:pt idx="41">
                  <c:v>9.3644192304792623E-2</c:v>
                </c:pt>
                <c:pt idx="42">
                  <c:v>8.8388347648318447E-2</c:v>
                </c:pt>
                <c:pt idx="43">
                  <c:v>8.3427490885627148E-2</c:v>
                </c:pt>
                <c:pt idx="44">
                  <c:v>7.8745065618429588E-2</c:v>
                </c:pt>
                <c:pt idx="45">
                  <c:v>7.4325444687670078E-2</c:v>
                </c:pt>
                <c:pt idx="46">
                  <c:v>7.0153878019335841E-2</c:v>
                </c:pt>
                <c:pt idx="47">
                  <c:v>6.6216443397455971E-2</c:v>
                </c:pt>
                <c:pt idx="48">
                  <c:v>6.25E-2</c:v>
                </c:pt>
                <c:pt idx="49">
                  <c:v>5.8992144542605866E-2</c:v>
                </c:pt>
                <c:pt idx="50">
                  <c:v>5.5681169883771219E-2</c:v>
                </c:pt>
                <c:pt idx="51">
                  <c:v>5.2556025953357163E-2</c:v>
                </c:pt>
                <c:pt idx="52">
                  <c:v>4.9606282874006251E-2</c:v>
                </c:pt>
                <c:pt idx="53">
                  <c:v>4.6822096152396304E-2</c:v>
                </c:pt>
                <c:pt idx="54">
                  <c:v>4.4194173824159223E-2</c:v>
                </c:pt>
                <c:pt idx="55">
                  <c:v>4.1713745442813588E-2</c:v>
                </c:pt>
                <c:pt idx="56">
                  <c:v>3.9372532809214794E-2</c:v>
                </c:pt>
                <c:pt idx="57">
                  <c:v>3.7162722343835032E-2</c:v>
                </c:pt>
                <c:pt idx="58">
                  <c:v>3.5076939009667914E-2</c:v>
                </c:pt>
                <c:pt idx="59">
                  <c:v>3.3108221698727985E-2</c:v>
                </c:pt>
                <c:pt idx="60">
                  <c:v>3.1250000000000014E-2</c:v>
                </c:pt>
                <c:pt idx="61">
                  <c:v>2.949607227130293E-2</c:v>
                </c:pt>
                <c:pt idx="62">
                  <c:v>2.7840584941885606E-2</c:v>
                </c:pt>
                <c:pt idx="63">
                  <c:v>2.6278012976678592E-2</c:v>
                </c:pt>
                <c:pt idx="64">
                  <c:v>2.4803141437003122E-2</c:v>
                </c:pt>
                <c:pt idx="65">
                  <c:v>2.3411048076198152E-2</c:v>
                </c:pt>
                <c:pt idx="66">
                  <c:v>2.2097086912079619E-2</c:v>
                </c:pt>
                <c:pt idx="67">
                  <c:v>2.085687272140679E-2</c:v>
                </c:pt>
                <c:pt idx="68">
                  <c:v>1.9686266404607394E-2</c:v>
                </c:pt>
                <c:pt idx="69">
                  <c:v>1.8581361171917523E-2</c:v>
                </c:pt>
                <c:pt idx="70">
                  <c:v>1.7538469504833964E-2</c:v>
                </c:pt>
                <c:pt idx="71">
                  <c:v>1.6554110849363996E-2</c:v>
                </c:pt>
                <c:pt idx="72">
                  <c:v>1.5625000000000007E-2</c:v>
                </c:pt>
                <c:pt idx="73">
                  <c:v>1.4748036135651463E-2</c:v>
                </c:pt>
                <c:pt idx="74">
                  <c:v>1.3920292470942803E-2</c:v>
                </c:pt>
                <c:pt idx="75">
                  <c:v>1.3139006488339289E-2</c:v>
                </c:pt>
                <c:pt idx="76">
                  <c:v>1.2401570718501566E-2</c:v>
                </c:pt>
                <c:pt idx="77">
                  <c:v>1.170552403809908E-2</c:v>
                </c:pt>
                <c:pt idx="78">
                  <c:v>1.1048543456039809E-2</c:v>
                </c:pt>
                <c:pt idx="79">
                  <c:v>1.0428436360703395E-2</c:v>
                </c:pt>
                <c:pt idx="80">
                  <c:v>9.8431332023036968E-3</c:v>
                </c:pt>
                <c:pt idx="81">
                  <c:v>9.290680585958765E-3</c:v>
                </c:pt>
                <c:pt idx="82">
                  <c:v>8.7692347524169819E-3</c:v>
                </c:pt>
                <c:pt idx="83">
                  <c:v>8.2770554246819981E-3</c:v>
                </c:pt>
                <c:pt idx="84">
                  <c:v>7.8125000000000017E-3</c:v>
                </c:pt>
                <c:pt idx="85">
                  <c:v>7.3740180678257316E-3</c:v>
                </c:pt>
                <c:pt idx="86">
                  <c:v>6.9601462354714006E-3</c:v>
                </c:pt>
                <c:pt idx="87">
                  <c:v>6.5695032441696498E-3</c:v>
                </c:pt>
                <c:pt idx="88">
                  <c:v>6.2007853592507822E-3</c:v>
                </c:pt>
                <c:pt idx="89">
                  <c:v>5.8527620190495389E-3</c:v>
                </c:pt>
                <c:pt idx="90">
                  <c:v>5.5242717280199038E-3</c:v>
                </c:pt>
                <c:pt idx="91">
                  <c:v>5.2142181803516967E-3</c:v>
                </c:pt>
                <c:pt idx="92">
                  <c:v>4.9215666011518519E-3</c:v>
                </c:pt>
                <c:pt idx="93">
                  <c:v>4.6453402929793825E-3</c:v>
                </c:pt>
                <c:pt idx="94">
                  <c:v>4.3846173762084901E-3</c:v>
                </c:pt>
                <c:pt idx="95">
                  <c:v>4.1385277123409982E-3</c:v>
                </c:pt>
                <c:pt idx="96">
                  <c:v>3.9062500000000009E-3</c:v>
                </c:pt>
                <c:pt idx="97">
                  <c:v>3.6870090339128653E-3</c:v>
                </c:pt>
                <c:pt idx="98">
                  <c:v>3.4800731177357029E-3</c:v>
                </c:pt>
                <c:pt idx="99">
                  <c:v>3.2847516220848244E-3</c:v>
                </c:pt>
                <c:pt idx="100">
                  <c:v>3.1003926796253911E-3</c:v>
                </c:pt>
                <c:pt idx="101">
                  <c:v>2.9263810095247695E-3</c:v>
                </c:pt>
                <c:pt idx="102">
                  <c:v>2.7621358640099515E-3</c:v>
                </c:pt>
                <c:pt idx="103">
                  <c:v>2.6071090901758505E-3</c:v>
                </c:pt>
                <c:pt idx="104">
                  <c:v>2.4607833005759259E-3</c:v>
                </c:pt>
                <c:pt idx="105">
                  <c:v>2.3226701464896908E-3</c:v>
                </c:pt>
                <c:pt idx="106">
                  <c:v>2.192308688104245E-3</c:v>
                </c:pt>
                <c:pt idx="107">
                  <c:v>2.0692638561704991E-3</c:v>
                </c:pt>
                <c:pt idx="108">
                  <c:v>1.953125E-3</c:v>
                </c:pt>
                <c:pt idx="109">
                  <c:v>1.8435045169564342E-3</c:v>
                </c:pt>
                <c:pt idx="110">
                  <c:v>1.7400365588678514E-3</c:v>
                </c:pt>
                <c:pt idx="111">
                  <c:v>1.642375811042412E-3</c:v>
                </c:pt>
                <c:pt idx="112">
                  <c:v>1.5501963398126953E-3</c:v>
                </c:pt>
                <c:pt idx="113">
                  <c:v>1.4631905047623845E-3</c:v>
                </c:pt>
                <c:pt idx="114">
                  <c:v>1.3810679320049757E-3</c:v>
                </c:pt>
                <c:pt idx="115">
                  <c:v>1.3035545450879253E-3</c:v>
                </c:pt>
                <c:pt idx="116">
                  <c:v>1.2303916502879628E-3</c:v>
                </c:pt>
                <c:pt idx="117">
                  <c:v>1.1613350732448454E-3</c:v>
                </c:pt>
                <c:pt idx="118">
                  <c:v>1.0961543440521223E-3</c:v>
                </c:pt>
                <c:pt idx="119">
                  <c:v>1.0346319280852495E-3</c:v>
                </c:pt>
                <c:pt idx="120">
                  <c:v>9.7656250000000087E-4</c:v>
                </c:pt>
                <c:pt idx="121">
                  <c:v>9.2175225847821699E-4</c:v>
                </c:pt>
                <c:pt idx="122">
                  <c:v>8.7001827943392561E-4</c:v>
                </c:pt>
                <c:pt idx="123">
                  <c:v>8.21187905521206E-4</c:v>
                </c:pt>
                <c:pt idx="124">
                  <c:v>7.7509816990634756E-4</c:v>
                </c:pt>
                <c:pt idx="125">
                  <c:v>7.3159525238119226E-4</c:v>
                </c:pt>
                <c:pt idx="126">
                  <c:v>6.9053396600248841E-4</c:v>
                </c:pt>
                <c:pt idx="127">
                  <c:v>6.5177727254396253E-4</c:v>
                </c:pt>
                <c:pt idx="128">
                  <c:v>6.1519582514398138E-4</c:v>
                </c:pt>
                <c:pt idx="129">
                  <c:v>5.8066753662242259E-4</c:v>
                </c:pt>
                <c:pt idx="130">
                  <c:v>5.4807717202606115E-4</c:v>
                </c:pt>
                <c:pt idx="131">
                  <c:v>5.173159640426251E-4</c:v>
                </c:pt>
                <c:pt idx="132">
                  <c:v>4.8828125000000043E-4</c:v>
                </c:pt>
                <c:pt idx="133">
                  <c:v>4.6087612923910844E-4</c:v>
                </c:pt>
                <c:pt idx="134">
                  <c:v>4.3500913971696275E-4</c:v>
                </c:pt>
                <c:pt idx="135">
                  <c:v>4.1059395276060295E-4</c:v>
                </c:pt>
                <c:pt idx="136">
                  <c:v>3.8754908495317378E-4</c:v>
                </c:pt>
                <c:pt idx="137">
                  <c:v>3.657976261905964E-4</c:v>
                </c:pt>
                <c:pt idx="138">
                  <c:v>3.4526698300124415E-4</c:v>
                </c:pt>
                <c:pt idx="139">
                  <c:v>3.2588863627198094E-4</c:v>
                </c:pt>
                <c:pt idx="140">
                  <c:v>3.0759791257199096E-4</c:v>
                </c:pt>
                <c:pt idx="141">
                  <c:v>2.9033376831121157E-4</c:v>
                </c:pt>
                <c:pt idx="142">
                  <c:v>2.7403858601303079E-4</c:v>
                </c:pt>
                <c:pt idx="143">
                  <c:v>2.5865798202131255E-4</c:v>
                </c:pt>
                <c:pt idx="144">
                  <c:v>2.4414062500000016E-4</c:v>
                </c:pt>
                <c:pt idx="145">
                  <c:v>2.3043806461955422E-4</c:v>
                </c:pt>
                <c:pt idx="146">
                  <c:v>2.1750456985848138E-4</c:v>
                </c:pt>
                <c:pt idx="147">
                  <c:v>2.0529697638030145E-4</c:v>
                </c:pt>
                <c:pt idx="148">
                  <c:v>1.9377454247658686E-4</c:v>
                </c:pt>
                <c:pt idx="149">
                  <c:v>1.8289881309529804E-4</c:v>
                </c:pt>
                <c:pt idx="150">
                  <c:v>1.7263349150062191E-4</c:v>
                </c:pt>
                <c:pt idx="151">
                  <c:v>1.6294431813599074E-4</c:v>
                </c:pt>
                <c:pt idx="152">
                  <c:v>1.5379895628599545E-4</c:v>
                </c:pt>
                <c:pt idx="153">
                  <c:v>1.4516688415560576E-4</c:v>
                </c:pt>
                <c:pt idx="154">
                  <c:v>1.370192930065154E-4</c:v>
                </c:pt>
                <c:pt idx="155">
                  <c:v>1.2932899101065627E-4</c:v>
                </c:pt>
                <c:pt idx="156">
                  <c:v>1.2207031250000008E-4</c:v>
                </c:pt>
                <c:pt idx="157">
                  <c:v>1.152190323097771E-4</c:v>
                </c:pt>
                <c:pt idx="158">
                  <c:v>1.0875228492924067E-4</c:v>
                </c:pt>
                <c:pt idx="159">
                  <c:v>1.0264848819015072E-4</c:v>
                </c:pt>
                <c:pt idx="160">
                  <c:v>9.6887271238293432E-5</c:v>
                </c:pt>
                <c:pt idx="161">
                  <c:v>9.1449406547649005E-5</c:v>
                </c:pt>
                <c:pt idx="162">
                  <c:v>8.6316745750311105E-5</c:v>
                </c:pt>
                <c:pt idx="163">
                  <c:v>8.147215906799537E-5</c:v>
                </c:pt>
                <c:pt idx="164">
                  <c:v>7.6899478142997726E-5</c:v>
                </c:pt>
                <c:pt idx="165">
                  <c:v>7.2583442077802878E-5</c:v>
                </c:pt>
                <c:pt idx="166">
                  <c:v>6.8509646503257685E-5</c:v>
                </c:pt>
                <c:pt idx="167">
                  <c:v>6.4664495505328124E-5</c:v>
                </c:pt>
                <c:pt idx="168">
                  <c:v>6.1035156250000027E-5</c:v>
                </c:pt>
                <c:pt idx="169">
                  <c:v>5.7609516154888541E-5</c:v>
                </c:pt>
                <c:pt idx="170">
                  <c:v>5.4376142464620331E-5</c:v>
                </c:pt>
                <c:pt idx="171">
                  <c:v>5.1324244095075355E-5</c:v>
                </c:pt>
                <c:pt idx="172">
                  <c:v>4.8443635619146709E-5</c:v>
                </c:pt>
                <c:pt idx="173">
                  <c:v>4.5724703273824577E-5</c:v>
                </c:pt>
                <c:pt idx="174">
                  <c:v>4.3158372875155546E-5</c:v>
                </c:pt>
                <c:pt idx="175">
                  <c:v>4.0736079533997678E-5</c:v>
                </c:pt>
                <c:pt idx="176">
                  <c:v>3.8449739071498856E-5</c:v>
                </c:pt>
                <c:pt idx="177">
                  <c:v>3.6291721038901432E-5</c:v>
                </c:pt>
                <c:pt idx="178">
                  <c:v>3.4254823251628842E-5</c:v>
                </c:pt>
                <c:pt idx="179">
                  <c:v>3.2332247752664062E-5</c:v>
                </c:pt>
                <c:pt idx="180">
                  <c:v>3.0517578125000014E-5</c:v>
                </c:pt>
                <c:pt idx="181">
                  <c:v>2.8804758077444267E-5</c:v>
                </c:pt>
                <c:pt idx="182">
                  <c:v>2.7188071232310162E-5</c:v>
                </c:pt>
                <c:pt idx="183">
                  <c:v>2.5662122047537674E-5</c:v>
                </c:pt>
                <c:pt idx="184">
                  <c:v>2.4221817809573395E-5</c:v>
                </c:pt>
                <c:pt idx="185">
                  <c:v>2.2862351636912289E-5</c:v>
                </c:pt>
                <c:pt idx="186">
                  <c:v>2.1579186437577773E-5</c:v>
                </c:pt>
                <c:pt idx="187">
                  <c:v>2.0368039766998839E-5</c:v>
                </c:pt>
                <c:pt idx="188">
                  <c:v>1.9224869535749428E-5</c:v>
                </c:pt>
                <c:pt idx="189">
                  <c:v>1.8145860519450716E-5</c:v>
                </c:pt>
                <c:pt idx="190">
                  <c:v>1.7127411625814418E-5</c:v>
                </c:pt>
                <c:pt idx="191">
                  <c:v>1.6166123876332027E-5</c:v>
                </c:pt>
                <c:pt idx="192">
                  <c:v>1.5258789062500007E-5</c:v>
                </c:pt>
                <c:pt idx="193">
                  <c:v>1.4402379038722134E-5</c:v>
                </c:pt>
                <c:pt idx="194">
                  <c:v>1.3594035616155081E-5</c:v>
                </c:pt>
                <c:pt idx="195">
                  <c:v>1.2831061023768859E-5</c:v>
                </c:pt>
                <c:pt idx="196">
                  <c:v>1.2110908904786696E-5</c:v>
                </c:pt>
                <c:pt idx="197">
                  <c:v>1.1431175818456143E-5</c:v>
                </c:pt>
                <c:pt idx="198">
                  <c:v>1.0789593218788885E-5</c:v>
                </c:pt>
                <c:pt idx="199">
                  <c:v>1.0184019883499418E-5</c:v>
                </c:pt>
                <c:pt idx="200">
                  <c:v>9.6124347678747124E-6</c:v>
                </c:pt>
                <c:pt idx="201">
                  <c:v>9.0729302597253564E-6</c:v>
                </c:pt>
                <c:pt idx="202">
                  <c:v>8.5637058129072089E-6</c:v>
                </c:pt>
                <c:pt idx="203">
                  <c:v>8.0830619381660137E-6</c:v>
                </c:pt>
                <c:pt idx="204">
                  <c:v>7.6293945312500017E-6</c:v>
                </c:pt>
                <c:pt idx="205">
                  <c:v>7.201189519361066E-6</c:v>
                </c:pt>
                <c:pt idx="206">
                  <c:v>6.7970178080775515E-6</c:v>
                </c:pt>
                <c:pt idx="207">
                  <c:v>6.4155305118844287E-6</c:v>
                </c:pt>
                <c:pt idx="208">
                  <c:v>6.0554544523933479E-6</c:v>
                </c:pt>
                <c:pt idx="209">
                  <c:v>5.7155879092280713E-6</c:v>
                </c:pt>
                <c:pt idx="210">
                  <c:v>5.3947966093944424E-6</c:v>
                </c:pt>
                <c:pt idx="211">
                  <c:v>5.0920099417497089E-6</c:v>
                </c:pt>
                <c:pt idx="212">
                  <c:v>4.8062173839373562E-6</c:v>
                </c:pt>
                <c:pt idx="213">
                  <c:v>4.5364651298626782E-6</c:v>
                </c:pt>
                <c:pt idx="214">
                  <c:v>4.2818529064536036E-6</c:v>
                </c:pt>
                <c:pt idx="215">
                  <c:v>4.041530969083006E-6</c:v>
                </c:pt>
                <c:pt idx="216">
                  <c:v>3.8146972656250008E-6</c:v>
                </c:pt>
                <c:pt idx="217">
                  <c:v>3.6005947596805326E-6</c:v>
                </c:pt>
                <c:pt idx="218">
                  <c:v>3.3985089040387757E-6</c:v>
                </c:pt>
                <c:pt idx="219">
                  <c:v>3.2077652559422143E-6</c:v>
                </c:pt>
                <c:pt idx="220">
                  <c:v>3.0277272261966735E-6</c:v>
                </c:pt>
                <c:pt idx="221">
                  <c:v>2.8577939546140352E-6</c:v>
                </c:pt>
                <c:pt idx="222">
                  <c:v>2.6973983046972208E-6</c:v>
                </c:pt>
                <c:pt idx="223">
                  <c:v>2.546004970874854E-6</c:v>
                </c:pt>
                <c:pt idx="224">
                  <c:v>2.4031086919686777E-6</c:v>
                </c:pt>
                <c:pt idx="225">
                  <c:v>2.2682325649313387E-6</c:v>
                </c:pt>
                <c:pt idx="226">
                  <c:v>2.1409264532268018E-6</c:v>
                </c:pt>
                <c:pt idx="227">
                  <c:v>2.020765484541503E-6</c:v>
                </c:pt>
                <c:pt idx="228">
                  <c:v>1.9073486328125E-6</c:v>
                </c:pt>
                <c:pt idx="229">
                  <c:v>1.8002973798402692E-6</c:v>
                </c:pt>
                <c:pt idx="230">
                  <c:v>1.6992544520193877E-6</c:v>
                </c:pt>
                <c:pt idx="231">
                  <c:v>1.603882627971107E-6</c:v>
                </c:pt>
                <c:pt idx="232">
                  <c:v>1.5138636130983368E-6</c:v>
                </c:pt>
                <c:pt idx="233">
                  <c:v>1.4288969773070174E-6</c:v>
                </c:pt>
                <c:pt idx="234">
                  <c:v>1.3486991523486104E-6</c:v>
                </c:pt>
                <c:pt idx="235">
                  <c:v>1.273002485437427E-6</c:v>
                </c:pt>
                <c:pt idx="236">
                  <c:v>1.2015543459843388E-6</c:v>
                </c:pt>
                <c:pt idx="237">
                  <c:v>1.1341162824656693E-6</c:v>
                </c:pt>
                <c:pt idx="238">
                  <c:v>1.0704632266134009E-6</c:v>
                </c:pt>
                <c:pt idx="239">
                  <c:v>1.0103827422707515E-6</c:v>
                </c:pt>
                <c:pt idx="240">
                  <c:v>9.5367431640625169E-7</c:v>
                </c:pt>
                <c:pt idx="241">
                  <c:v>9.0014868992013462E-7</c:v>
                </c:pt>
                <c:pt idx="242">
                  <c:v>8.4962722600969372E-7</c:v>
                </c:pt>
                <c:pt idx="243">
                  <c:v>8.0194131398555337E-7</c:v>
                </c:pt>
                <c:pt idx="244">
                  <c:v>7.5693180654916828E-7</c:v>
                </c:pt>
                <c:pt idx="245">
                  <c:v>7.144484886535087E-7</c:v>
                </c:pt>
                <c:pt idx="246">
                  <c:v>6.7434957617430508E-7</c:v>
                </c:pt>
                <c:pt idx="247">
                  <c:v>6.3650124271871341E-7</c:v>
                </c:pt>
                <c:pt idx="248">
                  <c:v>6.0077717299216931E-7</c:v>
                </c:pt>
                <c:pt idx="249">
                  <c:v>5.6705814123283456E-7</c:v>
                </c:pt>
                <c:pt idx="250">
                  <c:v>5.3523161330670034E-7</c:v>
                </c:pt>
                <c:pt idx="251">
                  <c:v>5.051913711353766E-7</c:v>
                </c:pt>
                <c:pt idx="252">
                  <c:v>4.7683715820312585E-7</c:v>
                </c:pt>
                <c:pt idx="253">
                  <c:v>4.5007434496006726E-7</c:v>
                </c:pt>
                <c:pt idx="254">
                  <c:v>4.2481361300484681E-7</c:v>
                </c:pt>
                <c:pt idx="255">
                  <c:v>4.0097065699277669E-7</c:v>
                </c:pt>
                <c:pt idx="256">
                  <c:v>3.7846590327458409E-7</c:v>
                </c:pt>
                <c:pt idx="257">
                  <c:v>3.572242443267543E-7</c:v>
                </c:pt>
                <c:pt idx="258">
                  <c:v>3.3717478808715254E-7</c:v>
                </c:pt>
                <c:pt idx="259">
                  <c:v>3.182506213593567E-7</c:v>
                </c:pt>
                <c:pt idx="260">
                  <c:v>3.0038858649608466E-7</c:v>
                </c:pt>
                <c:pt idx="261">
                  <c:v>2.8352907061641728E-7</c:v>
                </c:pt>
                <c:pt idx="262">
                  <c:v>2.6761580665335065E-7</c:v>
                </c:pt>
                <c:pt idx="263">
                  <c:v>2.5259568556768825E-7</c:v>
                </c:pt>
                <c:pt idx="264">
                  <c:v>2.3841857910156287E-7</c:v>
                </c:pt>
                <c:pt idx="265">
                  <c:v>2.250371724800336E-7</c:v>
                </c:pt>
                <c:pt idx="266">
                  <c:v>2.124068065024234E-7</c:v>
                </c:pt>
                <c:pt idx="267">
                  <c:v>2.0048532849638832E-7</c:v>
                </c:pt>
                <c:pt idx="268">
                  <c:v>1.8923295163729204E-7</c:v>
                </c:pt>
                <c:pt idx="269">
                  <c:v>1.7861212216337715E-7</c:v>
                </c:pt>
                <c:pt idx="270">
                  <c:v>1.6858739404357624E-7</c:v>
                </c:pt>
                <c:pt idx="271">
                  <c:v>1.5912531067967832E-7</c:v>
                </c:pt>
                <c:pt idx="272">
                  <c:v>1.501942932480423E-7</c:v>
                </c:pt>
                <c:pt idx="273">
                  <c:v>1.4176453530820888E-7</c:v>
                </c:pt>
                <c:pt idx="274">
                  <c:v>1.338079033266753E-7</c:v>
                </c:pt>
                <c:pt idx="275">
                  <c:v>1.2629784278384412E-7</c:v>
                </c:pt>
                <c:pt idx="276">
                  <c:v>1.1920928955078144E-7</c:v>
                </c:pt>
                <c:pt idx="277">
                  <c:v>1.1251858624001659E-7</c:v>
                </c:pt>
                <c:pt idx="278">
                  <c:v>1.062034032512115E-7</c:v>
                </c:pt>
                <c:pt idx="279">
                  <c:v>1.0024266424819433E-7</c:v>
                </c:pt>
                <c:pt idx="280">
                  <c:v>9.4616475818646181E-8</c:v>
                </c:pt>
                <c:pt idx="281">
                  <c:v>8.930606108168872E-8</c:v>
                </c:pt>
                <c:pt idx="282">
                  <c:v>8.4293697021788268E-8</c:v>
                </c:pt>
                <c:pt idx="283">
                  <c:v>7.9562655339839295E-8</c:v>
                </c:pt>
                <c:pt idx="284">
                  <c:v>7.5097146624021283E-8</c:v>
                </c:pt>
                <c:pt idx="285">
                  <c:v>7.0882267654104426E-8</c:v>
                </c:pt>
                <c:pt idx="286">
                  <c:v>6.6903951663337649E-8</c:v>
                </c:pt>
                <c:pt idx="287">
                  <c:v>6.3148921391922049E-8</c:v>
                </c:pt>
                <c:pt idx="288">
                  <c:v>5.9604644775390718E-8</c:v>
                </c:pt>
                <c:pt idx="289">
                  <c:v>5.6259293120008394E-8</c:v>
                </c:pt>
                <c:pt idx="290">
                  <c:v>5.3101701625605838E-8</c:v>
                </c:pt>
                <c:pt idx="291">
                  <c:v>5.0121332124097072E-8</c:v>
                </c:pt>
                <c:pt idx="292">
                  <c:v>4.7308237909322998E-8</c:v>
                </c:pt>
                <c:pt idx="293">
                  <c:v>4.4653030540844274E-8</c:v>
                </c:pt>
                <c:pt idx="294">
                  <c:v>4.2146848510894055E-8</c:v>
                </c:pt>
                <c:pt idx="295">
                  <c:v>3.9781327669919575E-8</c:v>
                </c:pt>
                <c:pt idx="296">
                  <c:v>3.7548573312010569E-8</c:v>
                </c:pt>
                <c:pt idx="297">
                  <c:v>3.5441133827052147E-8</c:v>
                </c:pt>
                <c:pt idx="298">
                  <c:v>3.3451975831668758E-8</c:v>
                </c:pt>
                <c:pt idx="299">
                  <c:v>3.1574460695960971E-8</c:v>
                </c:pt>
                <c:pt idx="300">
                  <c:v>2.9802322387695299E-8</c:v>
                </c:pt>
                <c:pt idx="301">
                  <c:v>2.8129646560004243E-8</c:v>
                </c:pt>
                <c:pt idx="302">
                  <c:v>2.6550850812802965E-8</c:v>
                </c:pt>
                <c:pt idx="303">
                  <c:v>2.5060666062048579E-8</c:v>
                </c:pt>
                <c:pt idx="304">
                  <c:v>2.3654118954661539E-8</c:v>
                </c:pt>
                <c:pt idx="305">
                  <c:v>2.2326515270422177E-8</c:v>
                </c:pt>
                <c:pt idx="306">
                  <c:v>2.1073424255447064E-8</c:v>
                </c:pt>
                <c:pt idx="307">
                  <c:v>1.989066383495982E-8</c:v>
                </c:pt>
                <c:pt idx="308">
                  <c:v>1.8774286656005317E-8</c:v>
                </c:pt>
                <c:pt idx="309">
                  <c:v>1.7720566913526103E-8</c:v>
                </c:pt>
                <c:pt idx="310">
                  <c:v>1.6725987915834409E-8</c:v>
                </c:pt>
                <c:pt idx="311">
                  <c:v>1.5787230347980512E-8</c:v>
                </c:pt>
                <c:pt idx="312">
                  <c:v>1.4901161193847676E-8</c:v>
                </c:pt>
                <c:pt idx="313">
                  <c:v>1.4064823280002095E-8</c:v>
                </c:pt>
                <c:pt idx="314">
                  <c:v>1.3275425406401458E-8</c:v>
                </c:pt>
                <c:pt idx="315">
                  <c:v>1.2530333031024265E-8</c:v>
                </c:pt>
                <c:pt idx="316">
                  <c:v>1.1827059477330748E-8</c:v>
                </c:pt>
                <c:pt idx="317">
                  <c:v>1.1163257635211067E-8</c:v>
                </c:pt>
                <c:pt idx="318">
                  <c:v>1.0536712127723512E-8</c:v>
                </c:pt>
                <c:pt idx="319">
                  <c:v>9.945331917479892E-9</c:v>
                </c:pt>
                <c:pt idx="320">
                  <c:v>9.3871433280026405E-9</c:v>
                </c:pt>
                <c:pt idx="321">
                  <c:v>8.8602834567630351E-9</c:v>
                </c:pt>
                <c:pt idx="322">
                  <c:v>8.3629939579171879E-9</c:v>
                </c:pt>
                <c:pt idx="323">
                  <c:v>7.8936151739902693E-9</c:v>
                </c:pt>
                <c:pt idx="324">
                  <c:v>7.4505805969238496E-9</c:v>
                </c:pt>
                <c:pt idx="325">
                  <c:v>7.03241164000106E-9</c:v>
                </c:pt>
                <c:pt idx="326">
                  <c:v>6.6377127032007405E-9</c:v>
                </c:pt>
                <c:pt idx="327">
                  <c:v>6.2651665155121432E-9</c:v>
                </c:pt>
                <c:pt idx="328">
                  <c:v>5.9135297386653838E-9</c:v>
                </c:pt>
                <c:pt idx="329">
                  <c:v>5.5816288176055433E-9</c:v>
                </c:pt>
                <c:pt idx="330">
                  <c:v>5.2683560638617643E-9</c:v>
                </c:pt>
                <c:pt idx="331">
                  <c:v>4.9726659587399543E-9</c:v>
                </c:pt>
                <c:pt idx="332">
                  <c:v>4.6935716640013285E-9</c:v>
                </c:pt>
                <c:pt idx="333">
                  <c:v>4.4301417283815258E-9</c:v>
                </c:pt>
                <c:pt idx="334">
                  <c:v>4.1814969789586014E-9</c:v>
                </c:pt>
                <c:pt idx="335">
                  <c:v>3.9468075869951272E-9</c:v>
                </c:pt>
                <c:pt idx="336">
                  <c:v>3.7252902984619182E-9</c:v>
                </c:pt>
                <c:pt idx="337">
                  <c:v>3.5162058200005234E-9</c:v>
                </c:pt>
                <c:pt idx="338">
                  <c:v>3.318856351600364E-9</c:v>
                </c:pt>
                <c:pt idx="339">
                  <c:v>3.1325832577560658E-9</c:v>
                </c:pt>
                <c:pt idx="340">
                  <c:v>2.9567648693326865E-9</c:v>
                </c:pt>
                <c:pt idx="341">
                  <c:v>2.7908144088027663E-9</c:v>
                </c:pt>
                <c:pt idx="342">
                  <c:v>2.6341780319308776E-9</c:v>
                </c:pt>
                <c:pt idx="343">
                  <c:v>2.4863329793699726E-9</c:v>
                </c:pt>
                <c:pt idx="344">
                  <c:v>2.3467858320006597E-9</c:v>
                </c:pt>
                <c:pt idx="345">
                  <c:v>2.2150708641907588E-9</c:v>
                </c:pt>
                <c:pt idx="346">
                  <c:v>2.090748489479304E-9</c:v>
                </c:pt>
                <c:pt idx="347">
                  <c:v>1.9734037934975669E-9</c:v>
                </c:pt>
                <c:pt idx="348">
                  <c:v>1.8626451492309624E-9</c:v>
                </c:pt>
                <c:pt idx="349">
                  <c:v>1.7581029100002646E-9</c:v>
                </c:pt>
                <c:pt idx="350">
                  <c:v>1.6594281758001847E-9</c:v>
                </c:pt>
                <c:pt idx="351">
                  <c:v>1.5662916288780356E-9</c:v>
                </c:pt>
                <c:pt idx="352">
                  <c:v>1.4783824346663457E-9</c:v>
                </c:pt>
                <c:pt idx="353">
                  <c:v>1.3954072044013854E-9</c:v>
                </c:pt>
                <c:pt idx="354">
                  <c:v>1.3170890159654409E-9</c:v>
                </c:pt>
                <c:pt idx="355">
                  <c:v>1.2431664896849884E-9</c:v>
                </c:pt>
                <c:pt idx="356">
                  <c:v>1.1733929160003319E-9</c:v>
                </c:pt>
                <c:pt idx="357">
                  <c:v>1.1075354320953812E-9</c:v>
                </c:pt>
                <c:pt idx="358">
                  <c:v>1.0453742447396501E-9</c:v>
                </c:pt>
                <c:pt idx="359">
                  <c:v>9.867018967487816E-10</c:v>
                </c:pt>
                <c:pt idx="360">
                  <c:v>9.3132257461547934E-10</c:v>
                </c:pt>
                <c:pt idx="361">
                  <c:v>8.7905145500013064E-10</c:v>
                </c:pt>
                <c:pt idx="362">
                  <c:v>8.297140879000908E-10</c:v>
                </c:pt>
                <c:pt idx="363">
                  <c:v>7.8314581443901634E-10</c:v>
                </c:pt>
                <c:pt idx="364">
                  <c:v>7.3919121733317153E-10</c:v>
                </c:pt>
                <c:pt idx="365">
                  <c:v>6.9770360220069147E-10</c:v>
                </c:pt>
                <c:pt idx="366">
                  <c:v>6.5854450798271919E-10</c:v>
                </c:pt>
                <c:pt idx="367">
                  <c:v>6.2158324484249304E-10</c:v>
                </c:pt>
                <c:pt idx="368">
                  <c:v>5.8669645800016689E-10</c:v>
                </c:pt>
                <c:pt idx="369">
                  <c:v>5.5376771604769155E-10</c:v>
                </c:pt>
                <c:pt idx="370">
                  <c:v>5.22687122369826E-10</c:v>
                </c:pt>
                <c:pt idx="371">
                  <c:v>4.9335094837439162E-10</c:v>
                </c:pt>
              </c:numCache>
            </c:numRef>
          </c:yVal>
          <c:smooth val="1"/>
          <c:extLst>
            <c:ext xmlns:c16="http://schemas.microsoft.com/office/drawing/2014/chart" uri="{C3380CC4-5D6E-409C-BE32-E72D297353CC}">
              <c16:uniqueId val="{00000001-359D-4A84-BEE3-7B1080653663}"/>
            </c:ext>
          </c:extLst>
        </c:ser>
        <c:dLbls>
          <c:showLegendKey val="0"/>
          <c:showVal val="0"/>
          <c:showCatName val="0"/>
          <c:showSerName val="0"/>
          <c:showPercent val="0"/>
          <c:showBubbleSize val="0"/>
        </c:dLbls>
        <c:axId val="682224688"/>
        <c:axId val="682225344"/>
      </c:scatterChart>
      <c:valAx>
        <c:axId val="682224688"/>
        <c:scaling>
          <c:orientation val="minMax"/>
          <c:max val="2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Time (months</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ill Sans MT" panose="020B0502020104020203" pitchFamily="34" charset="0"/>
                <a:ea typeface="+mn-ea"/>
                <a:cs typeface="+mn-cs"/>
              </a:defRPr>
            </a:pPr>
            <a:endParaRPr lang="en-US"/>
          </a:p>
        </c:txPr>
        <c:crossAx val="682225344"/>
        <c:crosses val="autoZero"/>
        <c:crossBetween val="midCat"/>
      </c:valAx>
      <c:valAx>
        <c:axId val="68222534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baseline="0">
                    <a:solidFill>
                      <a:sysClr val="windowText" lastClr="000000"/>
                    </a:solidFill>
                    <a:effectLst/>
                    <a:latin typeface="Gill Sans MT" panose="020B0502020104020203" pitchFamily="34" charset="0"/>
                  </a:rPr>
                  <a:t>Cumulative Survival Probability</a:t>
                </a:r>
                <a:endParaRPr lang="en-GB" sz="1000">
                  <a:solidFill>
                    <a:sysClr val="windowText" lastClr="000000"/>
                  </a:solidFill>
                  <a:effectLst/>
                  <a:latin typeface="Gill Sans MT" panose="020B0502020104020203"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ill Sans MT" panose="020B0502020104020203" pitchFamily="34" charset="0"/>
                <a:ea typeface="+mn-ea"/>
                <a:cs typeface="+mn-cs"/>
              </a:defRPr>
            </a:pPr>
            <a:endParaRPr lang="en-US"/>
          </a:p>
        </c:txPr>
        <c:crossAx val="682224688"/>
        <c:crosses val="autoZero"/>
        <c:crossBetween val="midCat"/>
      </c:valAx>
      <c:spPr>
        <a:noFill/>
        <a:ln>
          <a:noFill/>
        </a:ln>
        <a:effectLst/>
      </c:spPr>
    </c:plotArea>
    <c:legend>
      <c:legendPos val="b"/>
      <c:layout>
        <c:manualLayout>
          <c:xMode val="edge"/>
          <c:yMode val="edge"/>
          <c:x val="0.66783971414164855"/>
          <c:y val="7.706305837186124E-2"/>
          <c:w val="0.26812567717756752"/>
          <c:h val="0.173831337997248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'Calculations (r)'!$G$12</c:f>
              <c:strCache>
                <c:ptCount val="1"/>
                <c:pt idx="0">
                  <c:v>Responders</c:v>
                </c:pt>
              </c:strCache>
            </c:strRef>
          </c:tx>
          <c:spPr>
            <a:ln w="15875" cap="rnd">
              <a:solidFill>
                <a:schemeClr val="accent5">
                  <a:lumMod val="75000"/>
                </a:schemeClr>
              </a:solidFill>
              <a:round/>
            </a:ln>
            <a:effectLst/>
          </c:spPr>
          <c:marker>
            <c:symbol val="none"/>
          </c:marker>
          <c:xVal>
            <c:numRef>
              <c:f>'Calculations (r)'!$C$13:$C$384</c:f>
              <c:numCache>
                <c:formatCode>0</c:formatCode>
                <c:ptCount val="3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numCache>
            </c:numRef>
          </c:xVal>
          <c:yVal>
            <c:numRef>
              <c:f>'Calculations (r)'!$G$13:$G$384</c:f>
              <c:numCache>
                <c:formatCode>0.000</c:formatCode>
                <c:ptCount val="372"/>
                <c:pt idx="0">
                  <c:v>1</c:v>
                </c:pt>
                <c:pt idx="1">
                  <c:v>0.97153194115360586</c:v>
                </c:pt>
                <c:pt idx="2">
                  <c:v>0.94387431268169353</c:v>
                </c:pt>
                <c:pt idx="3">
                  <c:v>0.91700404320467122</c:v>
                </c:pt>
                <c:pt idx="4">
                  <c:v>0.89089871814033927</c:v>
                </c:pt>
                <c:pt idx="5">
                  <c:v>0.86553656100614307</c:v>
                </c:pt>
                <c:pt idx="6">
                  <c:v>0.8408964152537145</c:v>
                </c:pt>
                <c:pt idx="7">
                  <c:v>0.81695772662054988</c:v>
                </c:pt>
                <c:pt idx="8">
                  <c:v>0.79370052598409979</c:v>
                </c:pt>
                <c:pt idx="9">
                  <c:v>0.77110541270397048</c:v>
                </c:pt>
                <c:pt idx="10">
                  <c:v>0.74915353843834076</c:v>
                </c:pt>
                <c:pt idx="11">
                  <c:v>0.72782659142109374</c:v>
                </c:pt>
                <c:pt idx="12">
                  <c:v>0.70710678118654757</c:v>
                </c:pt>
                <c:pt idx="13">
                  <c:v>0.68697682372904456</c:v>
                </c:pt>
                <c:pt idx="14">
                  <c:v>0.66741992708501718</c:v>
                </c:pt>
                <c:pt idx="15">
                  <c:v>0.64841977732550482</c:v>
                </c:pt>
                <c:pt idx="16">
                  <c:v>0.6299605249474366</c:v>
                </c:pt>
                <c:pt idx="17">
                  <c:v>0.61202677165232766</c:v>
                </c:pt>
                <c:pt idx="18">
                  <c:v>0.59460355750136051</c:v>
                </c:pt>
                <c:pt idx="19">
                  <c:v>0.57767634843613658</c:v>
                </c:pt>
                <c:pt idx="20">
                  <c:v>0.56123102415468651</c:v>
                </c:pt>
                <c:pt idx="21">
                  <c:v>0.54525386633262884</c:v>
                </c:pt>
                <c:pt idx="22">
                  <c:v>0.52973154717964765</c:v>
                </c:pt>
                <c:pt idx="23">
                  <c:v>0.51465111832174604</c:v>
                </c:pt>
                <c:pt idx="24">
                  <c:v>0.5</c:v>
                </c:pt>
                <c:pt idx="25">
                  <c:v>0.48576597057680299</c:v>
                </c:pt>
                <c:pt idx="26">
                  <c:v>0.47193715634084676</c:v>
                </c:pt>
                <c:pt idx="27">
                  <c:v>0.45850202160233561</c:v>
                </c:pt>
                <c:pt idx="28">
                  <c:v>0.44544935907016969</c:v>
                </c:pt>
                <c:pt idx="29">
                  <c:v>0.43276828050307153</c:v>
                </c:pt>
                <c:pt idx="30">
                  <c:v>0.42044820762685731</c:v>
                </c:pt>
                <c:pt idx="31">
                  <c:v>0.408478863310275</c:v>
                </c:pt>
                <c:pt idx="32">
                  <c:v>0.3968502629920499</c:v>
                </c:pt>
                <c:pt idx="33">
                  <c:v>0.38555270635198524</c:v>
                </c:pt>
                <c:pt idx="34">
                  <c:v>0.37457676921917038</c:v>
                </c:pt>
                <c:pt idx="35">
                  <c:v>0.36391329571054692</c:v>
                </c:pt>
                <c:pt idx="36">
                  <c:v>0.35355339059327379</c:v>
                </c:pt>
                <c:pt idx="37">
                  <c:v>0.34348841186452228</c:v>
                </c:pt>
                <c:pt idx="38">
                  <c:v>0.33370996354250865</c:v>
                </c:pt>
                <c:pt idx="39">
                  <c:v>0.32420988866275247</c:v>
                </c:pt>
                <c:pt idx="40">
                  <c:v>0.3149802624737183</c:v>
                </c:pt>
                <c:pt idx="41">
                  <c:v>0.30601338582616383</c:v>
                </c:pt>
                <c:pt idx="42">
                  <c:v>0.29730177875068031</c:v>
                </c:pt>
                <c:pt idx="43">
                  <c:v>0.28883817421806823</c:v>
                </c:pt>
                <c:pt idx="44">
                  <c:v>0.28061551207734331</c:v>
                </c:pt>
                <c:pt idx="45">
                  <c:v>0.27262693316631442</c:v>
                </c:pt>
                <c:pt idx="46">
                  <c:v>0.26486577358982388</c:v>
                </c:pt>
                <c:pt idx="47">
                  <c:v>0.25732555916087302</c:v>
                </c:pt>
                <c:pt idx="48">
                  <c:v>0.25</c:v>
                </c:pt>
                <c:pt idx="49">
                  <c:v>0.24288298528840152</c:v>
                </c:pt>
                <c:pt idx="50">
                  <c:v>0.23596857817042341</c:v>
                </c:pt>
                <c:pt idx="51">
                  <c:v>0.2292510108011678</c:v>
                </c:pt>
                <c:pt idx="52">
                  <c:v>0.22272467953508487</c:v>
                </c:pt>
                <c:pt idx="53">
                  <c:v>0.21638414025153577</c:v>
                </c:pt>
                <c:pt idx="54">
                  <c:v>0.21022410381342865</c:v>
                </c:pt>
                <c:pt idx="55">
                  <c:v>0.20423943165513753</c:v>
                </c:pt>
                <c:pt idx="56">
                  <c:v>0.19842513149602495</c:v>
                </c:pt>
                <c:pt idx="57">
                  <c:v>0.19277635317599259</c:v>
                </c:pt>
                <c:pt idx="58">
                  <c:v>0.18728838460958522</c:v>
                </c:pt>
                <c:pt idx="59">
                  <c:v>0.18195664785527343</c:v>
                </c:pt>
                <c:pt idx="60">
                  <c:v>0.17677669529663692</c:v>
                </c:pt>
                <c:pt idx="61">
                  <c:v>0.17174420593226117</c:v>
                </c:pt>
                <c:pt idx="62">
                  <c:v>0.1668549817712543</c:v>
                </c:pt>
                <c:pt idx="63">
                  <c:v>0.16210494433137623</c:v>
                </c:pt>
                <c:pt idx="64">
                  <c:v>0.15749013123685918</c:v>
                </c:pt>
                <c:pt idx="65">
                  <c:v>0.15300669291308192</c:v>
                </c:pt>
                <c:pt idx="66">
                  <c:v>0.14865088937534016</c:v>
                </c:pt>
                <c:pt idx="67">
                  <c:v>0.14441908710903414</c:v>
                </c:pt>
                <c:pt idx="68">
                  <c:v>0.14030775603867163</c:v>
                </c:pt>
                <c:pt idx="69">
                  <c:v>0.13631346658315724</c:v>
                </c:pt>
                <c:pt idx="70">
                  <c:v>0.13243288679491194</c:v>
                </c:pt>
                <c:pt idx="71">
                  <c:v>0.12866277958043654</c:v>
                </c:pt>
                <c:pt idx="72">
                  <c:v>0.12500000000000003</c:v>
                </c:pt>
                <c:pt idx="73">
                  <c:v>0.12144149264420075</c:v>
                </c:pt>
                <c:pt idx="74">
                  <c:v>0.11798428908521169</c:v>
                </c:pt>
                <c:pt idx="75">
                  <c:v>0.1146255054005839</c:v>
                </c:pt>
                <c:pt idx="76">
                  <c:v>0.11136233976754245</c:v>
                </c:pt>
                <c:pt idx="77">
                  <c:v>0.1081920701257679</c:v>
                </c:pt>
                <c:pt idx="78">
                  <c:v>0.10511205190671434</c:v>
                </c:pt>
                <c:pt idx="79">
                  <c:v>0.10211971582756875</c:v>
                </c:pt>
                <c:pt idx="80">
                  <c:v>9.9212565748012474E-2</c:v>
                </c:pt>
                <c:pt idx="81">
                  <c:v>9.6388176587996338E-2</c:v>
                </c:pt>
                <c:pt idx="82">
                  <c:v>9.3644192304792623E-2</c:v>
                </c:pt>
                <c:pt idx="83">
                  <c:v>9.0978323927636731E-2</c:v>
                </c:pt>
                <c:pt idx="84">
                  <c:v>8.8388347648318447E-2</c:v>
                </c:pt>
                <c:pt idx="85">
                  <c:v>8.587210296613057E-2</c:v>
                </c:pt>
                <c:pt idx="86">
                  <c:v>8.3427490885627148E-2</c:v>
                </c:pt>
                <c:pt idx="87">
                  <c:v>8.105247216568813E-2</c:v>
                </c:pt>
                <c:pt idx="88">
                  <c:v>7.8745065618429588E-2</c:v>
                </c:pt>
                <c:pt idx="89">
                  <c:v>7.6503346456540972E-2</c:v>
                </c:pt>
                <c:pt idx="90">
                  <c:v>7.4325444687670078E-2</c:v>
                </c:pt>
                <c:pt idx="91">
                  <c:v>7.2209543554517072E-2</c:v>
                </c:pt>
                <c:pt idx="92">
                  <c:v>7.0153878019335841E-2</c:v>
                </c:pt>
                <c:pt idx="93">
                  <c:v>6.8156733291578619E-2</c:v>
                </c:pt>
                <c:pt idx="94">
                  <c:v>6.6216443397455971E-2</c:v>
                </c:pt>
                <c:pt idx="95">
                  <c:v>6.4331389790218269E-2</c:v>
                </c:pt>
                <c:pt idx="96">
                  <c:v>6.25E-2</c:v>
                </c:pt>
                <c:pt idx="97">
                  <c:v>6.0720746322100366E-2</c:v>
                </c:pt>
                <c:pt idx="98">
                  <c:v>5.8992144542605866E-2</c:v>
                </c:pt>
                <c:pt idx="99">
                  <c:v>5.7312752700291972E-2</c:v>
                </c:pt>
                <c:pt idx="100">
                  <c:v>5.5681169883771219E-2</c:v>
                </c:pt>
                <c:pt idx="101">
                  <c:v>5.4096035062883949E-2</c:v>
                </c:pt>
                <c:pt idx="102">
                  <c:v>5.2556025953357163E-2</c:v>
                </c:pt>
                <c:pt idx="103">
                  <c:v>5.1059857913784396E-2</c:v>
                </c:pt>
                <c:pt idx="104">
                  <c:v>4.9606282874006251E-2</c:v>
                </c:pt>
                <c:pt idx="105">
                  <c:v>4.8194088293998162E-2</c:v>
                </c:pt>
                <c:pt idx="106">
                  <c:v>4.6822096152396304E-2</c:v>
                </c:pt>
                <c:pt idx="107">
                  <c:v>4.5489161963818359E-2</c:v>
                </c:pt>
                <c:pt idx="108">
                  <c:v>4.4194173824159223E-2</c:v>
                </c:pt>
                <c:pt idx="109">
                  <c:v>4.2936051483065299E-2</c:v>
                </c:pt>
                <c:pt idx="110">
                  <c:v>4.1713745442813588E-2</c:v>
                </c:pt>
                <c:pt idx="111">
                  <c:v>4.0526236082844065E-2</c:v>
                </c:pt>
                <c:pt idx="112">
                  <c:v>3.9372532809214794E-2</c:v>
                </c:pt>
                <c:pt idx="113">
                  <c:v>3.8251673228270479E-2</c:v>
                </c:pt>
                <c:pt idx="114">
                  <c:v>3.7162722343835032E-2</c:v>
                </c:pt>
                <c:pt idx="115">
                  <c:v>3.6104771777258543E-2</c:v>
                </c:pt>
                <c:pt idx="116">
                  <c:v>3.5076939009667914E-2</c:v>
                </c:pt>
                <c:pt idx="117">
                  <c:v>3.407836664578931E-2</c:v>
                </c:pt>
                <c:pt idx="118">
                  <c:v>3.3108221698727985E-2</c:v>
                </c:pt>
                <c:pt idx="119">
                  <c:v>3.2165694895109127E-2</c:v>
                </c:pt>
                <c:pt idx="120">
                  <c:v>3.1250000000000014E-2</c:v>
                </c:pt>
                <c:pt idx="121">
                  <c:v>3.0360373161050194E-2</c:v>
                </c:pt>
                <c:pt idx="122">
                  <c:v>2.949607227130293E-2</c:v>
                </c:pt>
                <c:pt idx="123">
                  <c:v>2.8656376350145982E-2</c:v>
                </c:pt>
                <c:pt idx="124">
                  <c:v>2.7840584941885606E-2</c:v>
                </c:pt>
                <c:pt idx="125">
                  <c:v>2.7048017531441971E-2</c:v>
                </c:pt>
                <c:pt idx="126">
                  <c:v>2.6278012976678592E-2</c:v>
                </c:pt>
                <c:pt idx="127">
                  <c:v>2.5529928956892194E-2</c:v>
                </c:pt>
                <c:pt idx="128">
                  <c:v>2.4803141437003122E-2</c:v>
                </c:pt>
                <c:pt idx="129">
                  <c:v>2.4097044146999081E-2</c:v>
                </c:pt>
                <c:pt idx="130">
                  <c:v>2.3411048076198152E-2</c:v>
                </c:pt>
                <c:pt idx="131">
                  <c:v>2.274458098190919E-2</c:v>
                </c:pt>
                <c:pt idx="132">
                  <c:v>2.2097086912079619E-2</c:v>
                </c:pt>
                <c:pt idx="133">
                  <c:v>2.1468025741532649E-2</c:v>
                </c:pt>
                <c:pt idx="134">
                  <c:v>2.085687272140679E-2</c:v>
                </c:pt>
                <c:pt idx="135">
                  <c:v>2.0263118041422029E-2</c:v>
                </c:pt>
                <c:pt idx="136">
                  <c:v>1.9686266404607394E-2</c:v>
                </c:pt>
                <c:pt idx="137">
                  <c:v>1.9125836614135246E-2</c:v>
                </c:pt>
                <c:pt idx="138">
                  <c:v>1.8581361171917523E-2</c:v>
                </c:pt>
                <c:pt idx="139">
                  <c:v>1.8052385888629265E-2</c:v>
                </c:pt>
                <c:pt idx="140">
                  <c:v>1.7538469504833964E-2</c:v>
                </c:pt>
                <c:pt idx="141">
                  <c:v>1.7039183322894662E-2</c:v>
                </c:pt>
                <c:pt idx="142">
                  <c:v>1.6554110849363996E-2</c:v>
                </c:pt>
                <c:pt idx="143">
                  <c:v>1.6082847447554571E-2</c:v>
                </c:pt>
                <c:pt idx="144">
                  <c:v>1.5625000000000007E-2</c:v>
                </c:pt>
                <c:pt idx="145">
                  <c:v>1.5180186580525097E-2</c:v>
                </c:pt>
                <c:pt idx="146">
                  <c:v>1.4748036135651463E-2</c:v>
                </c:pt>
                <c:pt idx="147">
                  <c:v>1.4328188175072989E-2</c:v>
                </c:pt>
                <c:pt idx="148">
                  <c:v>1.3920292470942803E-2</c:v>
                </c:pt>
                <c:pt idx="149">
                  <c:v>1.3524008765720984E-2</c:v>
                </c:pt>
                <c:pt idx="150">
                  <c:v>1.3139006488339289E-2</c:v>
                </c:pt>
                <c:pt idx="151">
                  <c:v>1.2764964478446102E-2</c:v>
                </c:pt>
                <c:pt idx="152">
                  <c:v>1.2401570718501566E-2</c:v>
                </c:pt>
                <c:pt idx="153">
                  <c:v>1.2048522073499544E-2</c:v>
                </c:pt>
                <c:pt idx="154">
                  <c:v>1.170552403809908E-2</c:v>
                </c:pt>
                <c:pt idx="155">
                  <c:v>1.1372290490954593E-2</c:v>
                </c:pt>
                <c:pt idx="156">
                  <c:v>1.1048543456039809E-2</c:v>
                </c:pt>
                <c:pt idx="157">
                  <c:v>1.0734012870766323E-2</c:v>
                </c:pt>
                <c:pt idx="158">
                  <c:v>1.0428436360703395E-2</c:v>
                </c:pt>
                <c:pt idx="159">
                  <c:v>1.0131559020711015E-2</c:v>
                </c:pt>
                <c:pt idx="160">
                  <c:v>9.8431332023036968E-3</c:v>
                </c:pt>
                <c:pt idx="161">
                  <c:v>9.562918307067618E-3</c:v>
                </c:pt>
                <c:pt idx="162">
                  <c:v>9.290680585958765E-3</c:v>
                </c:pt>
                <c:pt idx="163">
                  <c:v>9.0261929443146392E-3</c:v>
                </c:pt>
                <c:pt idx="164">
                  <c:v>8.7692347524169819E-3</c:v>
                </c:pt>
                <c:pt idx="165">
                  <c:v>8.5195916614473292E-3</c:v>
                </c:pt>
                <c:pt idx="166">
                  <c:v>8.2770554246819981E-3</c:v>
                </c:pt>
                <c:pt idx="167">
                  <c:v>8.0414237237772836E-3</c:v>
                </c:pt>
                <c:pt idx="168">
                  <c:v>7.8125000000000017E-3</c:v>
                </c:pt>
                <c:pt idx="169">
                  <c:v>7.5900932902625475E-3</c:v>
                </c:pt>
                <c:pt idx="170">
                  <c:v>7.3740180678257316E-3</c:v>
                </c:pt>
                <c:pt idx="171">
                  <c:v>7.1640940875364939E-3</c:v>
                </c:pt>
                <c:pt idx="172">
                  <c:v>6.9601462354714006E-3</c:v>
                </c:pt>
                <c:pt idx="173">
                  <c:v>6.7620043828604979E-3</c:v>
                </c:pt>
                <c:pt idx="174">
                  <c:v>6.5695032441696498E-3</c:v>
                </c:pt>
                <c:pt idx="175">
                  <c:v>6.3824822392230503E-3</c:v>
                </c:pt>
                <c:pt idx="176">
                  <c:v>6.2007853592507822E-3</c:v>
                </c:pt>
                <c:pt idx="177">
                  <c:v>6.024261036749772E-3</c:v>
                </c:pt>
                <c:pt idx="178">
                  <c:v>5.8527620190495389E-3</c:v>
                </c:pt>
                <c:pt idx="179">
                  <c:v>5.6861452454772957E-3</c:v>
                </c:pt>
                <c:pt idx="180">
                  <c:v>5.5242717280199038E-3</c:v>
                </c:pt>
                <c:pt idx="181">
                  <c:v>5.3670064353831615E-3</c:v>
                </c:pt>
                <c:pt idx="182">
                  <c:v>5.2142181803516967E-3</c:v>
                </c:pt>
                <c:pt idx="183">
                  <c:v>5.0657795103555064E-3</c:v>
                </c:pt>
                <c:pt idx="184">
                  <c:v>4.9215666011518519E-3</c:v>
                </c:pt>
                <c:pt idx="185">
                  <c:v>4.7814591535338133E-3</c:v>
                </c:pt>
                <c:pt idx="186">
                  <c:v>4.6453402929793825E-3</c:v>
                </c:pt>
                <c:pt idx="187">
                  <c:v>4.5130964721573187E-3</c:v>
                </c:pt>
                <c:pt idx="188">
                  <c:v>4.3846173762084901E-3</c:v>
                </c:pt>
                <c:pt idx="189">
                  <c:v>4.2597958307236646E-3</c:v>
                </c:pt>
                <c:pt idx="190">
                  <c:v>4.1385277123409982E-3</c:v>
                </c:pt>
                <c:pt idx="191">
                  <c:v>4.0207118618886418E-3</c:v>
                </c:pt>
                <c:pt idx="192">
                  <c:v>3.9062500000000009E-3</c:v>
                </c:pt>
                <c:pt idx="193">
                  <c:v>3.7950466451312733E-3</c:v>
                </c:pt>
                <c:pt idx="194">
                  <c:v>3.6870090339128653E-3</c:v>
                </c:pt>
                <c:pt idx="195">
                  <c:v>3.58204704376825E-3</c:v>
                </c:pt>
                <c:pt idx="196">
                  <c:v>3.4800731177357029E-3</c:v>
                </c:pt>
                <c:pt idx="197">
                  <c:v>3.3810021914302485E-3</c:v>
                </c:pt>
                <c:pt idx="198">
                  <c:v>3.2847516220848244E-3</c:v>
                </c:pt>
                <c:pt idx="199">
                  <c:v>3.1912411196115247E-3</c:v>
                </c:pt>
                <c:pt idx="200">
                  <c:v>3.1003926796253911E-3</c:v>
                </c:pt>
                <c:pt idx="201">
                  <c:v>3.0121305183748856E-3</c:v>
                </c:pt>
                <c:pt idx="202">
                  <c:v>2.9263810095247695E-3</c:v>
                </c:pt>
                <c:pt idx="203">
                  <c:v>2.8430726227386478E-3</c:v>
                </c:pt>
                <c:pt idx="204">
                  <c:v>2.7621358640099515E-3</c:v>
                </c:pt>
                <c:pt idx="205">
                  <c:v>2.6835032176915803E-3</c:v>
                </c:pt>
                <c:pt idx="206">
                  <c:v>2.6071090901758505E-3</c:v>
                </c:pt>
                <c:pt idx="207">
                  <c:v>2.5328897551777554E-3</c:v>
                </c:pt>
                <c:pt idx="208">
                  <c:v>2.4607833005759259E-3</c:v>
                </c:pt>
                <c:pt idx="209">
                  <c:v>2.3907295767669062E-3</c:v>
                </c:pt>
                <c:pt idx="210">
                  <c:v>2.3226701464896908E-3</c:v>
                </c:pt>
                <c:pt idx="211">
                  <c:v>2.2565482360786594E-3</c:v>
                </c:pt>
                <c:pt idx="212">
                  <c:v>2.192308688104245E-3</c:v>
                </c:pt>
                <c:pt idx="213">
                  <c:v>2.1298979153618319E-3</c:v>
                </c:pt>
                <c:pt idx="214">
                  <c:v>2.0692638561704991E-3</c:v>
                </c:pt>
                <c:pt idx="215">
                  <c:v>2.0103559309443209E-3</c:v>
                </c:pt>
                <c:pt idx="216">
                  <c:v>1.953125E-3</c:v>
                </c:pt>
                <c:pt idx="217">
                  <c:v>1.8975233225656364E-3</c:v>
                </c:pt>
                <c:pt idx="218">
                  <c:v>1.8435045169564342E-3</c:v>
                </c:pt>
                <c:pt idx="219">
                  <c:v>1.7910235218841248E-3</c:v>
                </c:pt>
                <c:pt idx="220">
                  <c:v>1.7400365588678514E-3</c:v>
                </c:pt>
                <c:pt idx="221">
                  <c:v>1.690501095715124E-3</c:v>
                </c:pt>
                <c:pt idx="222">
                  <c:v>1.642375811042412E-3</c:v>
                </c:pt>
                <c:pt idx="223">
                  <c:v>1.5956205598057624E-3</c:v>
                </c:pt>
                <c:pt idx="224">
                  <c:v>1.5501963398126953E-3</c:v>
                </c:pt>
                <c:pt idx="225">
                  <c:v>1.5060652591874426E-3</c:v>
                </c:pt>
                <c:pt idx="226">
                  <c:v>1.4631905047623845E-3</c:v>
                </c:pt>
                <c:pt idx="227">
                  <c:v>1.4215363113693237E-3</c:v>
                </c:pt>
                <c:pt idx="228">
                  <c:v>1.3810679320049757E-3</c:v>
                </c:pt>
                <c:pt idx="229">
                  <c:v>1.3417516088457912E-3</c:v>
                </c:pt>
                <c:pt idx="230">
                  <c:v>1.3035545450879253E-3</c:v>
                </c:pt>
                <c:pt idx="231">
                  <c:v>1.2664448775888775E-3</c:v>
                </c:pt>
                <c:pt idx="232">
                  <c:v>1.2303916502879628E-3</c:v>
                </c:pt>
                <c:pt idx="233">
                  <c:v>1.1953647883834531E-3</c:v>
                </c:pt>
                <c:pt idx="234">
                  <c:v>1.1613350732448454E-3</c:v>
                </c:pt>
                <c:pt idx="235">
                  <c:v>1.1282741180393295E-3</c:v>
                </c:pt>
                <c:pt idx="236">
                  <c:v>1.0961543440521223E-3</c:v>
                </c:pt>
                <c:pt idx="237">
                  <c:v>1.0649489576809159E-3</c:v>
                </c:pt>
                <c:pt idx="238">
                  <c:v>1.0346319280852495E-3</c:v>
                </c:pt>
                <c:pt idx="239">
                  <c:v>1.0051779654721602E-3</c:v>
                </c:pt>
                <c:pt idx="240">
                  <c:v>9.7656250000000087E-4</c:v>
                </c:pt>
                <c:pt idx="241">
                  <c:v>9.4876166128281898E-4</c:v>
                </c:pt>
                <c:pt idx="242">
                  <c:v>9.2175225847821699E-4</c:v>
                </c:pt>
                <c:pt idx="243">
                  <c:v>8.9551176094206238E-4</c:v>
                </c:pt>
                <c:pt idx="244">
                  <c:v>8.7001827943392561E-4</c:v>
                </c:pt>
                <c:pt idx="245">
                  <c:v>8.4525054785756202E-4</c:v>
                </c:pt>
                <c:pt idx="246">
                  <c:v>8.21187905521206E-4</c:v>
                </c:pt>
                <c:pt idx="247">
                  <c:v>7.9781027990288107E-4</c:v>
                </c:pt>
                <c:pt idx="248">
                  <c:v>7.7509816990634756E-4</c:v>
                </c:pt>
                <c:pt idx="249">
                  <c:v>7.5303262959372128E-4</c:v>
                </c:pt>
                <c:pt idx="250">
                  <c:v>7.3159525238119226E-4</c:v>
                </c:pt>
                <c:pt idx="251">
                  <c:v>7.107681556846625E-4</c:v>
                </c:pt>
                <c:pt idx="252">
                  <c:v>6.9053396600248841E-4</c:v>
                </c:pt>
                <c:pt idx="253">
                  <c:v>6.7087580442289562E-4</c:v>
                </c:pt>
                <c:pt idx="254">
                  <c:v>6.5177727254396253E-4</c:v>
                </c:pt>
                <c:pt idx="255">
                  <c:v>6.3322243879443873E-4</c:v>
                </c:pt>
                <c:pt idx="256">
                  <c:v>6.1519582514398138E-4</c:v>
                </c:pt>
                <c:pt idx="257">
                  <c:v>5.9768239419172645E-4</c:v>
                </c:pt>
                <c:pt idx="258">
                  <c:v>5.8066753662242259E-4</c:v>
                </c:pt>
                <c:pt idx="259">
                  <c:v>5.6413705901966473E-4</c:v>
                </c:pt>
                <c:pt idx="260">
                  <c:v>5.4807717202606115E-4</c:v>
                </c:pt>
                <c:pt idx="261">
                  <c:v>5.3247447884045796E-4</c:v>
                </c:pt>
                <c:pt idx="262">
                  <c:v>5.173159640426251E-4</c:v>
                </c:pt>
                <c:pt idx="263">
                  <c:v>5.0258898273608055E-4</c:v>
                </c:pt>
                <c:pt idx="264">
                  <c:v>4.8828125000000043E-4</c:v>
                </c:pt>
                <c:pt idx="265">
                  <c:v>4.7438083064140944E-4</c:v>
                </c:pt>
                <c:pt idx="266">
                  <c:v>4.6087612923910844E-4</c:v>
                </c:pt>
                <c:pt idx="267">
                  <c:v>4.4775588047103114E-4</c:v>
                </c:pt>
                <c:pt idx="268">
                  <c:v>4.3500913971696275E-4</c:v>
                </c:pt>
                <c:pt idx="269">
                  <c:v>4.2262527392878096E-4</c:v>
                </c:pt>
                <c:pt idx="270">
                  <c:v>4.1059395276060295E-4</c:v>
                </c:pt>
                <c:pt idx="271">
                  <c:v>3.9890513995144048E-4</c:v>
                </c:pt>
                <c:pt idx="272">
                  <c:v>3.8754908495317378E-4</c:v>
                </c:pt>
                <c:pt idx="273">
                  <c:v>3.7651631479686091E-4</c:v>
                </c:pt>
                <c:pt idx="274">
                  <c:v>3.657976261905964E-4</c:v>
                </c:pt>
                <c:pt idx="275">
                  <c:v>3.553840778423312E-4</c:v>
                </c:pt>
                <c:pt idx="276">
                  <c:v>3.4526698300124415E-4</c:v>
                </c:pt>
                <c:pt idx="277">
                  <c:v>3.3543790221144749E-4</c:v>
                </c:pt>
                <c:pt idx="278">
                  <c:v>3.2588863627198094E-4</c:v>
                </c:pt>
                <c:pt idx="279">
                  <c:v>3.1661121939721958E-4</c:v>
                </c:pt>
                <c:pt idx="280">
                  <c:v>3.0759791257199096E-4</c:v>
                </c:pt>
                <c:pt idx="281">
                  <c:v>2.988411970958635E-4</c:v>
                </c:pt>
                <c:pt idx="282">
                  <c:v>2.9033376831121157E-4</c:v>
                </c:pt>
                <c:pt idx="283">
                  <c:v>2.8206852950983258E-4</c:v>
                </c:pt>
                <c:pt idx="284">
                  <c:v>2.7403858601303079E-4</c:v>
                </c:pt>
                <c:pt idx="285">
                  <c:v>2.662372394202292E-4</c:v>
                </c:pt>
                <c:pt idx="286">
                  <c:v>2.5865798202131255E-4</c:v>
                </c:pt>
                <c:pt idx="287">
                  <c:v>2.5129449136804027E-4</c:v>
                </c:pt>
                <c:pt idx="288">
                  <c:v>2.4414062500000016E-4</c:v>
                </c:pt>
                <c:pt idx="289">
                  <c:v>2.3719041532070472E-4</c:v>
                </c:pt>
                <c:pt idx="290">
                  <c:v>2.3043806461955422E-4</c:v>
                </c:pt>
                <c:pt idx="291">
                  <c:v>2.2387794023551554E-4</c:v>
                </c:pt>
                <c:pt idx="292">
                  <c:v>2.1750456985848138E-4</c:v>
                </c:pt>
                <c:pt idx="293">
                  <c:v>2.1131263696439045E-4</c:v>
                </c:pt>
                <c:pt idx="294">
                  <c:v>2.0529697638030145E-4</c:v>
                </c:pt>
                <c:pt idx="295">
                  <c:v>1.9945256997572024E-4</c:v>
                </c:pt>
                <c:pt idx="296">
                  <c:v>1.9377454247658686E-4</c:v>
                </c:pt>
                <c:pt idx="297">
                  <c:v>1.8825815739843029E-4</c:v>
                </c:pt>
                <c:pt idx="298">
                  <c:v>1.8289881309529804E-4</c:v>
                </c:pt>
                <c:pt idx="299">
                  <c:v>1.7769203892116544E-4</c:v>
                </c:pt>
                <c:pt idx="300">
                  <c:v>1.7263349150062191E-4</c:v>
                </c:pt>
                <c:pt idx="301">
                  <c:v>1.6771895110572401E-4</c:v>
                </c:pt>
                <c:pt idx="302">
                  <c:v>1.6294431813599074E-4</c:v>
                </c:pt>
                <c:pt idx="303">
                  <c:v>1.5830560969860979E-4</c:v>
                </c:pt>
                <c:pt idx="304">
                  <c:v>1.5379895628599545E-4</c:v>
                </c:pt>
                <c:pt idx="305">
                  <c:v>1.4942059854793172E-4</c:v>
                </c:pt>
                <c:pt idx="306">
                  <c:v>1.4516688415560576E-4</c:v>
                </c:pt>
                <c:pt idx="307">
                  <c:v>1.4103426475491629E-4</c:v>
                </c:pt>
                <c:pt idx="308">
                  <c:v>1.370192930065154E-4</c:v>
                </c:pt>
                <c:pt idx="309">
                  <c:v>1.3311861971011457E-4</c:v>
                </c:pt>
                <c:pt idx="310">
                  <c:v>1.2932899101065627E-4</c:v>
                </c:pt>
                <c:pt idx="311">
                  <c:v>1.2564724568402011E-4</c:v>
                </c:pt>
                <c:pt idx="312">
                  <c:v>1.2207031250000008E-4</c:v>
                </c:pt>
                <c:pt idx="313">
                  <c:v>1.1859520766035235E-4</c:v>
                </c:pt>
                <c:pt idx="314">
                  <c:v>1.152190323097771E-4</c:v>
                </c:pt>
                <c:pt idx="315">
                  <c:v>1.1193897011775776E-4</c:v>
                </c:pt>
                <c:pt idx="316">
                  <c:v>1.0875228492924067E-4</c:v>
                </c:pt>
                <c:pt idx="317">
                  <c:v>1.0565631848219523E-4</c:v>
                </c:pt>
                <c:pt idx="318">
                  <c:v>1.0264848819015072E-4</c:v>
                </c:pt>
                <c:pt idx="319">
                  <c:v>9.9726284987860107E-5</c:v>
                </c:pt>
                <c:pt idx="320">
                  <c:v>9.6887271238293432E-5</c:v>
                </c:pt>
                <c:pt idx="321">
                  <c:v>9.4129078699215133E-5</c:v>
                </c:pt>
                <c:pt idx="322">
                  <c:v>9.1449406547649005E-5</c:v>
                </c:pt>
                <c:pt idx="323">
                  <c:v>8.8846019460582867E-5</c:v>
                </c:pt>
                <c:pt idx="324">
                  <c:v>8.6316745750311105E-5</c:v>
                </c:pt>
                <c:pt idx="325">
                  <c:v>8.3859475552862007E-5</c:v>
                </c:pt>
                <c:pt idx="326">
                  <c:v>8.147215906799537E-5</c:v>
                </c:pt>
                <c:pt idx="327">
                  <c:v>7.9152804849304882E-5</c:v>
                </c:pt>
                <c:pt idx="328">
                  <c:v>7.6899478142997726E-5</c:v>
                </c:pt>
                <c:pt idx="329">
                  <c:v>7.471029927396586E-5</c:v>
                </c:pt>
                <c:pt idx="330">
                  <c:v>7.2583442077802878E-5</c:v>
                </c:pt>
                <c:pt idx="331">
                  <c:v>7.0517132377458133E-5</c:v>
                </c:pt>
                <c:pt idx="332">
                  <c:v>6.8509646503257685E-5</c:v>
                </c:pt>
                <c:pt idx="333">
                  <c:v>6.6559309855057286E-5</c:v>
                </c:pt>
                <c:pt idx="334">
                  <c:v>6.4664495505328124E-5</c:v>
                </c:pt>
                <c:pt idx="335">
                  <c:v>6.2823622842010055E-5</c:v>
                </c:pt>
                <c:pt idx="336">
                  <c:v>6.1035156250000027E-5</c:v>
                </c:pt>
                <c:pt idx="337">
                  <c:v>5.9297603830176166E-5</c:v>
                </c:pt>
                <c:pt idx="338">
                  <c:v>5.7609516154888541E-5</c:v>
                </c:pt>
                <c:pt idx="339">
                  <c:v>5.5969485058878879E-5</c:v>
                </c:pt>
                <c:pt idx="340">
                  <c:v>5.4376142464620331E-5</c:v>
                </c:pt>
                <c:pt idx="341">
                  <c:v>5.2828159241097606E-5</c:v>
                </c:pt>
                <c:pt idx="342">
                  <c:v>5.1324244095075355E-5</c:v>
                </c:pt>
                <c:pt idx="343">
                  <c:v>4.9863142493930047E-5</c:v>
                </c:pt>
                <c:pt idx="344">
                  <c:v>4.8443635619146709E-5</c:v>
                </c:pt>
                <c:pt idx="345">
                  <c:v>4.706453934960756E-5</c:v>
                </c:pt>
                <c:pt idx="346">
                  <c:v>4.5724703273824577E-5</c:v>
                </c:pt>
                <c:pt idx="347">
                  <c:v>4.4423009730291427E-5</c:v>
                </c:pt>
                <c:pt idx="348">
                  <c:v>4.3158372875155546E-5</c:v>
                </c:pt>
                <c:pt idx="349">
                  <c:v>4.1929737776430997E-5</c:v>
                </c:pt>
                <c:pt idx="350">
                  <c:v>4.0736079533997678E-5</c:v>
                </c:pt>
                <c:pt idx="351">
                  <c:v>3.9576402424652441E-5</c:v>
                </c:pt>
                <c:pt idx="352">
                  <c:v>3.8449739071498856E-5</c:v>
                </c:pt>
                <c:pt idx="353">
                  <c:v>3.7355149636982923E-5</c:v>
                </c:pt>
                <c:pt idx="354">
                  <c:v>3.6291721038901432E-5</c:v>
                </c:pt>
                <c:pt idx="355">
                  <c:v>3.5258566188729066E-5</c:v>
                </c:pt>
                <c:pt idx="356">
                  <c:v>3.4254823251628842E-5</c:v>
                </c:pt>
                <c:pt idx="357">
                  <c:v>3.3279654927528636E-5</c:v>
                </c:pt>
                <c:pt idx="358">
                  <c:v>3.2332247752664062E-5</c:v>
                </c:pt>
                <c:pt idx="359">
                  <c:v>3.1411811421005021E-5</c:v>
                </c:pt>
                <c:pt idx="360">
                  <c:v>3.0517578125000014E-5</c:v>
                </c:pt>
                <c:pt idx="361">
                  <c:v>2.964880191508808E-5</c:v>
                </c:pt>
                <c:pt idx="362">
                  <c:v>2.8804758077444267E-5</c:v>
                </c:pt>
                <c:pt idx="363">
                  <c:v>2.7984742529439436E-5</c:v>
                </c:pt>
                <c:pt idx="364">
                  <c:v>2.7188071232310162E-5</c:v>
                </c:pt>
                <c:pt idx="365">
                  <c:v>2.64140796205488E-5</c:v>
                </c:pt>
                <c:pt idx="366">
                  <c:v>2.5662122047537674E-5</c:v>
                </c:pt>
                <c:pt idx="367">
                  <c:v>2.4931571246965023E-5</c:v>
                </c:pt>
                <c:pt idx="368">
                  <c:v>2.4221817809573395E-5</c:v>
                </c:pt>
                <c:pt idx="369">
                  <c:v>2.3532269674803821E-5</c:v>
                </c:pt>
                <c:pt idx="370">
                  <c:v>2.2862351636912289E-5</c:v>
                </c:pt>
                <c:pt idx="371">
                  <c:v>2.2211504865145713E-5</c:v>
                </c:pt>
              </c:numCache>
            </c:numRef>
          </c:yVal>
          <c:smooth val="1"/>
          <c:extLst>
            <c:ext xmlns:c16="http://schemas.microsoft.com/office/drawing/2014/chart" uri="{C3380CC4-5D6E-409C-BE32-E72D297353CC}">
              <c16:uniqueId val="{00000000-5E78-45BF-86B4-459FB78479DD}"/>
            </c:ext>
          </c:extLst>
        </c:ser>
        <c:ser>
          <c:idx val="1"/>
          <c:order val="1"/>
          <c:tx>
            <c:strRef>
              <c:f>'Calculations (r)'!$I$12</c:f>
              <c:strCache>
                <c:ptCount val="1"/>
                <c:pt idx="0">
                  <c:v>Non-reponders</c:v>
                </c:pt>
              </c:strCache>
            </c:strRef>
          </c:tx>
          <c:spPr>
            <a:ln w="15875" cap="rnd">
              <a:solidFill>
                <a:srgbClr val="92D050"/>
              </a:solidFill>
              <a:prstDash val="sysDash"/>
              <a:round/>
            </a:ln>
            <a:effectLst/>
          </c:spPr>
          <c:marker>
            <c:symbol val="none"/>
          </c:marker>
          <c:xVal>
            <c:numRef>
              <c:f>'Calculations (r)'!$C$13:$C$384</c:f>
              <c:numCache>
                <c:formatCode>0</c:formatCode>
                <c:ptCount val="3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numCache>
            </c:numRef>
          </c:xVal>
          <c:yVal>
            <c:numRef>
              <c:f>'Calculations (r)'!$I$13:$I$384</c:f>
              <c:numCache>
                <c:formatCode>0.000</c:formatCode>
                <c:ptCount val="372"/>
                <c:pt idx="0">
                  <c:v>1</c:v>
                </c:pt>
                <c:pt idx="1">
                  <c:v>0.89089871814033927</c:v>
                </c:pt>
                <c:pt idx="2">
                  <c:v>0.79370052598409979</c:v>
                </c:pt>
                <c:pt idx="3">
                  <c:v>0.70710678118654757</c:v>
                </c:pt>
                <c:pt idx="4">
                  <c:v>0.6299605249474366</c:v>
                </c:pt>
                <c:pt idx="5">
                  <c:v>0.56123102415468651</c:v>
                </c:pt>
                <c:pt idx="6">
                  <c:v>0.5</c:v>
                </c:pt>
                <c:pt idx="7">
                  <c:v>0.44544935907016969</c:v>
                </c:pt>
                <c:pt idx="8">
                  <c:v>0.3968502629920499</c:v>
                </c:pt>
                <c:pt idx="9">
                  <c:v>0.35355339059327379</c:v>
                </c:pt>
                <c:pt idx="10">
                  <c:v>0.3149802624737183</c:v>
                </c:pt>
                <c:pt idx="11">
                  <c:v>0.28061551207734331</c:v>
                </c:pt>
                <c:pt idx="12">
                  <c:v>0.25</c:v>
                </c:pt>
                <c:pt idx="13">
                  <c:v>0.22272467953508487</c:v>
                </c:pt>
                <c:pt idx="14">
                  <c:v>0.19842513149602495</c:v>
                </c:pt>
                <c:pt idx="15">
                  <c:v>0.17677669529663692</c:v>
                </c:pt>
                <c:pt idx="16">
                  <c:v>0.15749013123685918</c:v>
                </c:pt>
                <c:pt idx="17">
                  <c:v>0.14030775603867163</c:v>
                </c:pt>
                <c:pt idx="18">
                  <c:v>0.12500000000000003</c:v>
                </c:pt>
                <c:pt idx="19">
                  <c:v>0.11136233976754245</c:v>
                </c:pt>
                <c:pt idx="20">
                  <c:v>9.9212565748012474E-2</c:v>
                </c:pt>
                <c:pt idx="21">
                  <c:v>8.8388347648318447E-2</c:v>
                </c:pt>
                <c:pt idx="22">
                  <c:v>7.8745065618429588E-2</c:v>
                </c:pt>
                <c:pt idx="23">
                  <c:v>7.0153878019335841E-2</c:v>
                </c:pt>
                <c:pt idx="24">
                  <c:v>6.25E-2</c:v>
                </c:pt>
                <c:pt idx="25">
                  <c:v>5.5681169883771219E-2</c:v>
                </c:pt>
                <c:pt idx="26">
                  <c:v>4.9606282874006251E-2</c:v>
                </c:pt>
                <c:pt idx="27">
                  <c:v>4.4194173824159223E-2</c:v>
                </c:pt>
                <c:pt idx="28">
                  <c:v>3.9372532809214794E-2</c:v>
                </c:pt>
                <c:pt idx="29">
                  <c:v>3.5076939009667914E-2</c:v>
                </c:pt>
                <c:pt idx="30">
                  <c:v>3.1250000000000014E-2</c:v>
                </c:pt>
                <c:pt idx="31">
                  <c:v>2.7840584941885606E-2</c:v>
                </c:pt>
                <c:pt idx="32">
                  <c:v>2.4803141437003122E-2</c:v>
                </c:pt>
                <c:pt idx="33">
                  <c:v>2.2097086912079619E-2</c:v>
                </c:pt>
                <c:pt idx="34">
                  <c:v>1.9686266404607394E-2</c:v>
                </c:pt>
                <c:pt idx="35">
                  <c:v>1.7538469504833964E-2</c:v>
                </c:pt>
                <c:pt idx="36">
                  <c:v>1.5625000000000007E-2</c:v>
                </c:pt>
                <c:pt idx="37">
                  <c:v>1.3920292470942803E-2</c:v>
                </c:pt>
                <c:pt idx="38">
                  <c:v>1.2401570718501566E-2</c:v>
                </c:pt>
                <c:pt idx="39">
                  <c:v>1.1048543456039809E-2</c:v>
                </c:pt>
                <c:pt idx="40">
                  <c:v>9.8431332023036968E-3</c:v>
                </c:pt>
                <c:pt idx="41">
                  <c:v>8.7692347524169819E-3</c:v>
                </c:pt>
                <c:pt idx="42">
                  <c:v>7.8125000000000017E-3</c:v>
                </c:pt>
                <c:pt idx="43">
                  <c:v>6.9601462354714006E-3</c:v>
                </c:pt>
                <c:pt idx="44">
                  <c:v>6.2007853592507822E-3</c:v>
                </c:pt>
                <c:pt idx="45">
                  <c:v>5.5242717280199038E-3</c:v>
                </c:pt>
                <c:pt idx="46">
                  <c:v>4.9215666011518519E-3</c:v>
                </c:pt>
                <c:pt idx="47">
                  <c:v>4.3846173762084901E-3</c:v>
                </c:pt>
                <c:pt idx="48">
                  <c:v>3.9062500000000009E-3</c:v>
                </c:pt>
                <c:pt idx="49">
                  <c:v>3.4800731177357029E-3</c:v>
                </c:pt>
                <c:pt idx="50">
                  <c:v>3.1003926796253911E-3</c:v>
                </c:pt>
                <c:pt idx="51">
                  <c:v>2.7621358640099515E-3</c:v>
                </c:pt>
                <c:pt idx="52">
                  <c:v>2.4607833005759259E-3</c:v>
                </c:pt>
                <c:pt idx="53">
                  <c:v>2.192308688104245E-3</c:v>
                </c:pt>
                <c:pt idx="54">
                  <c:v>1.953125E-3</c:v>
                </c:pt>
                <c:pt idx="55">
                  <c:v>1.7400365588678514E-3</c:v>
                </c:pt>
                <c:pt idx="56">
                  <c:v>1.5501963398126953E-3</c:v>
                </c:pt>
                <c:pt idx="57">
                  <c:v>1.3810679320049757E-3</c:v>
                </c:pt>
                <c:pt idx="58">
                  <c:v>1.2303916502879628E-3</c:v>
                </c:pt>
                <c:pt idx="59">
                  <c:v>1.0961543440521223E-3</c:v>
                </c:pt>
                <c:pt idx="60">
                  <c:v>9.7656250000000087E-4</c:v>
                </c:pt>
                <c:pt idx="61">
                  <c:v>8.7001827943392561E-4</c:v>
                </c:pt>
                <c:pt idx="62">
                  <c:v>7.7509816990634756E-4</c:v>
                </c:pt>
                <c:pt idx="63">
                  <c:v>6.9053396600248841E-4</c:v>
                </c:pt>
                <c:pt idx="64">
                  <c:v>6.1519582514398138E-4</c:v>
                </c:pt>
                <c:pt idx="65">
                  <c:v>5.4807717202606115E-4</c:v>
                </c:pt>
                <c:pt idx="66">
                  <c:v>4.8828125000000043E-4</c:v>
                </c:pt>
                <c:pt idx="67">
                  <c:v>4.3500913971696275E-4</c:v>
                </c:pt>
                <c:pt idx="68">
                  <c:v>3.8754908495317378E-4</c:v>
                </c:pt>
                <c:pt idx="69">
                  <c:v>3.4526698300124415E-4</c:v>
                </c:pt>
                <c:pt idx="70">
                  <c:v>3.0759791257199096E-4</c:v>
                </c:pt>
                <c:pt idx="71">
                  <c:v>2.7403858601303079E-4</c:v>
                </c:pt>
                <c:pt idx="72">
                  <c:v>2.4414062500000016E-4</c:v>
                </c:pt>
                <c:pt idx="73">
                  <c:v>2.1750456985848138E-4</c:v>
                </c:pt>
                <c:pt idx="74">
                  <c:v>1.9377454247658686E-4</c:v>
                </c:pt>
                <c:pt idx="75">
                  <c:v>1.7263349150062191E-4</c:v>
                </c:pt>
                <c:pt idx="76">
                  <c:v>1.5379895628599545E-4</c:v>
                </c:pt>
                <c:pt idx="77">
                  <c:v>1.370192930065154E-4</c:v>
                </c:pt>
                <c:pt idx="78">
                  <c:v>1.2207031250000008E-4</c:v>
                </c:pt>
                <c:pt idx="79">
                  <c:v>1.0875228492924067E-4</c:v>
                </c:pt>
                <c:pt idx="80">
                  <c:v>9.6887271238293432E-5</c:v>
                </c:pt>
                <c:pt idx="81">
                  <c:v>8.6316745750311105E-5</c:v>
                </c:pt>
                <c:pt idx="82">
                  <c:v>7.6899478142997726E-5</c:v>
                </c:pt>
                <c:pt idx="83">
                  <c:v>6.8509646503257685E-5</c:v>
                </c:pt>
                <c:pt idx="84">
                  <c:v>6.1035156250000027E-5</c:v>
                </c:pt>
                <c:pt idx="85">
                  <c:v>5.4376142464620331E-5</c:v>
                </c:pt>
                <c:pt idx="86">
                  <c:v>4.8443635619146709E-5</c:v>
                </c:pt>
                <c:pt idx="87">
                  <c:v>4.3158372875155546E-5</c:v>
                </c:pt>
                <c:pt idx="88">
                  <c:v>3.8449739071498856E-5</c:v>
                </c:pt>
                <c:pt idx="89">
                  <c:v>3.4254823251628842E-5</c:v>
                </c:pt>
                <c:pt idx="90">
                  <c:v>3.0517578125000014E-5</c:v>
                </c:pt>
                <c:pt idx="91">
                  <c:v>2.7188071232310162E-5</c:v>
                </c:pt>
                <c:pt idx="92">
                  <c:v>2.4221817809573395E-5</c:v>
                </c:pt>
                <c:pt idx="93">
                  <c:v>2.1579186437577773E-5</c:v>
                </c:pt>
                <c:pt idx="94">
                  <c:v>1.9224869535749428E-5</c:v>
                </c:pt>
                <c:pt idx="95">
                  <c:v>1.7127411625814418E-5</c:v>
                </c:pt>
                <c:pt idx="96">
                  <c:v>1.5258789062500007E-5</c:v>
                </c:pt>
                <c:pt idx="97">
                  <c:v>1.3594035616155081E-5</c:v>
                </c:pt>
                <c:pt idx="98">
                  <c:v>1.2110908904786696E-5</c:v>
                </c:pt>
                <c:pt idx="99">
                  <c:v>1.0789593218788885E-5</c:v>
                </c:pt>
                <c:pt idx="100">
                  <c:v>9.6124347678747124E-6</c:v>
                </c:pt>
                <c:pt idx="101">
                  <c:v>8.5637058129072089E-6</c:v>
                </c:pt>
                <c:pt idx="102">
                  <c:v>7.6293945312500017E-6</c:v>
                </c:pt>
                <c:pt idx="103">
                  <c:v>6.7970178080775515E-6</c:v>
                </c:pt>
                <c:pt idx="104">
                  <c:v>6.0554544523933479E-6</c:v>
                </c:pt>
                <c:pt idx="105">
                  <c:v>5.3947966093944424E-6</c:v>
                </c:pt>
                <c:pt idx="106">
                  <c:v>4.8062173839373562E-6</c:v>
                </c:pt>
                <c:pt idx="107">
                  <c:v>4.2818529064536036E-6</c:v>
                </c:pt>
                <c:pt idx="108">
                  <c:v>3.8146972656250008E-6</c:v>
                </c:pt>
                <c:pt idx="109">
                  <c:v>3.3985089040387757E-6</c:v>
                </c:pt>
                <c:pt idx="110">
                  <c:v>3.0277272261966735E-6</c:v>
                </c:pt>
                <c:pt idx="111">
                  <c:v>2.6973983046972208E-6</c:v>
                </c:pt>
                <c:pt idx="112">
                  <c:v>2.4031086919686777E-6</c:v>
                </c:pt>
                <c:pt idx="113">
                  <c:v>2.1409264532268018E-6</c:v>
                </c:pt>
                <c:pt idx="114">
                  <c:v>1.9073486328125E-6</c:v>
                </c:pt>
                <c:pt idx="115">
                  <c:v>1.6992544520193877E-6</c:v>
                </c:pt>
                <c:pt idx="116">
                  <c:v>1.5138636130983368E-6</c:v>
                </c:pt>
                <c:pt idx="117">
                  <c:v>1.3486991523486104E-6</c:v>
                </c:pt>
                <c:pt idx="118">
                  <c:v>1.2015543459843388E-6</c:v>
                </c:pt>
                <c:pt idx="119">
                  <c:v>1.0704632266134009E-6</c:v>
                </c:pt>
                <c:pt idx="120">
                  <c:v>9.5367431640625169E-7</c:v>
                </c:pt>
                <c:pt idx="121">
                  <c:v>8.4962722600969372E-7</c:v>
                </c:pt>
                <c:pt idx="122">
                  <c:v>7.5693180654916828E-7</c:v>
                </c:pt>
                <c:pt idx="123">
                  <c:v>6.7434957617430508E-7</c:v>
                </c:pt>
                <c:pt idx="124">
                  <c:v>6.0077717299216931E-7</c:v>
                </c:pt>
                <c:pt idx="125">
                  <c:v>5.3523161330670034E-7</c:v>
                </c:pt>
                <c:pt idx="126">
                  <c:v>4.7683715820312585E-7</c:v>
                </c:pt>
                <c:pt idx="127">
                  <c:v>4.2481361300484681E-7</c:v>
                </c:pt>
                <c:pt idx="128">
                  <c:v>3.7846590327458409E-7</c:v>
                </c:pt>
                <c:pt idx="129">
                  <c:v>3.3717478808715254E-7</c:v>
                </c:pt>
                <c:pt idx="130">
                  <c:v>3.0038858649608466E-7</c:v>
                </c:pt>
                <c:pt idx="131">
                  <c:v>2.6761580665335065E-7</c:v>
                </c:pt>
                <c:pt idx="132">
                  <c:v>2.3841857910156287E-7</c:v>
                </c:pt>
                <c:pt idx="133">
                  <c:v>2.124068065024234E-7</c:v>
                </c:pt>
                <c:pt idx="134">
                  <c:v>1.8923295163729204E-7</c:v>
                </c:pt>
                <c:pt idx="135">
                  <c:v>1.6858739404357624E-7</c:v>
                </c:pt>
                <c:pt idx="136">
                  <c:v>1.501942932480423E-7</c:v>
                </c:pt>
                <c:pt idx="137">
                  <c:v>1.338079033266753E-7</c:v>
                </c:pt>
                <c:pt idx="138">
                  <c:v>1.1920928955078144E-7</c:v>
                </c:pt>
                <c:pt idx="139">
                  <c:v>1.062034032512115E-7</c:v>
                </c:pt>
                <c:pt idx="140">
                  <c:v>9.4616475818646181E-8</c:v>
                </c:pt>
                <c:pt idx="141">
                  <c:v>8.4293697021788268E-8</c:v>
                </c:pt>
                <c:pt idx="142">
                  <c:v>7.5097146624021283E-8</c:v>
                </c:pt>
                <c:pt idx="143">
                  <c:v>6.6903951663337649E-8</c:v>
                </c:pt>
                <c:pt idx="144">
                  <c:v>5.9604644775390718E-8</c:v>
                </c:pt>
                <c:pt idx="145">
                  <c:v>5.3101701625605838E-8</c:v>
                </c:pt>
                <c:pt idx="146">
                  <c:v>4.7308237909322998E-8</c:v>
                </c:pt>
                <c:pt idx="147">
                  <c:v>4.2146848510894055E-8</c:v>
                </c:pt>
                <c:pt idx="148">
                  <c:v>3.7548573312010569E-8</c:v>
                </c:pt>
                <c:pt idx="149">
                  <c:v>3.3451975831668758E-8</c:v>
                </c:pt>
                <c:pt idx="150">
                  <c:v>2.9802322387695299E-8</c:v>
                </c:pt>
                <c:pt idx="151">
                  <c:v>2.6550850812802965E-8</c:v>
                </c:pt>
                <c:pt idx="152">
                  <c:v>2.3654118954661539E-8</c:v>
                </c:pt>
                <c:pt idx="153">
                  <c:v>2.1073424255447064E-8</c:v>
                </c:pt>
                <c:pt idx="154">
                  <c:v>1.8774286656005317E-8</c:v>
                </c:pt>
                <c:pt idx="155">
                  <c:v>1.6725987915834409E-8</c:v>
                </c:pt>
                <c:pt idx="156">
                  <c:v>1.4901161193847676E-8</c:v>
                </c:pt>
                <c:pt idx="157">
                  <c:v>1.3275425406401458E-8</c:v>
                </c:pt>
                <c:pt idx="158">
                  <c:v>1.1827059477330748E-8</c:v>
                </c:pt>
                <c:pt idx="159">
                  <c:v>1.0536712127723512E-8</c:v>
                </c:pt>
                <c:pt idx="160">
                  <c:v>9.3871433280026405E-9</c:v>
                </c:pt>
                <c:pt idx="161">
                  <c:v>8.3629939579171879E-9</c:v>
                </c:pt>
                <c:pt idx="162">
                  <c:v>7.4505805969238496E-9</c:v>
                </c:pt>
                <c:pt idx="163">
                  <c:v>6.6377127032007405E-9</c:v>
                </c:pt>
                <c:pt idx="164">
                  <c:v>5.9135297386653838E-9</c:v>
                </c:pt>
                <c:pt idx="165">
                  <c:v>5.2683560638617643E-9</c:v>
                </c:pt>
                <c:pt idx="166">
                  <c:v>4.6935716640013285E-9</c:v>
                </c:pt>
                <c:pt idx="167">
                  <c:v>4.1814969789586014E-9</c:v>
                </c:pt>
                <c:pt idx="168">
                  <c:v>3.7252902984619182E-9</c:v>
                </c:pt>
                <c:pt idx="169">
                  <c:v>3.318856351600364E-9</c:v>
                </c:pt>
                <c:pt idx="170">
                  <c:v>2.9567648693326865E-9</c:v>
                </c:pt>
                <c:pt idx="171">
                  <c:v>2.6341780319308776E-9</c:v>
                </c:pt>
                <c:pt idx="172">
                  <c:v>2.3467858320006597E-9</c:v>
                </c:pt>
                <c:pt idx="173">
                  <c:v>2.090748489479304E-9</c:v>
                </c:pt>
                <c:pt idx="174">
                  <c:v>1.8626451492309624E-9</c:v>
                </c:pt>
                <c:pt idx="175">
                  <c:v>1.6594281758001847E-9</c:v>
                </c:pt>
                <c:pt idx="176">
                  <c:v>1.4783824346663457E-9</c:v>
                </c:pt>
                <c:pt idx="177">
                  <c:v>1.3170890159654409E-9</c:v>
                </c:pt>
                <c:pt idx="178">
                  <c:v>1.1733929160003319E-9</c:v>
                </c:pt>
                <c:pt idx="179">
                  <c:v>1.0453742447396501E-9</c:v>
                </c:pt>
                <c:pt idx="180">
                  <c:v>9.3132257461547934E-10</c:v>
                </c:pt>
                <c:pt idx="181">
                  <c:v>8.297140879000908E-10</c:v>
                </c:pt>
                <c:pt idx="182">
                  <c:v>7.3919121733317153E-10</c:v>
                </c:pt>
                <c:pt idx="183">
                  <c:v>6.5854450798271919E-10</c:v>
                </c:pt>
                <c:pt idx="184">
                  <c:v>5.8669645800016689E-10</c:v>
                </c:pt>
                <c:pt idx="185">
                  <c:v>5.22687122369826E-10</c:v>
                </c:pt>
                <c:pt idx="186">
                  <c:v>4.656612873077405E-10</c:v>
                </c:pt>
                <c:pt idx="187">
                  <c:v>4.1485704395004613E-10</c:v>
                </c:pt>
                <c:pt idx="188">
                  <c:v>3.6959560866658639E-10</c:v>
                </c:pt>
                <c:pt idx="189">
                  <c:v>3.2927225399136016E-10</c:v>
                </c:pt>
                <c:pt idx="190">
                  <c:v>2.9334822900008293E-10</c:v>
                </c:pt>
                <c:pt idx="191">
                  <c:v>2.6134356118491248E-10</c:v>
                </c:pt>
                <c:pt idx="192">
                  <c:v>2.3283064365386978E-10</c:v>
                </c:pt>
                <c:pt idx="193">
                  <c:v>2.0742852197502268E-10</c:v>
                </c:pt>
                <c:pt idx="194">
                  <c:v>1.8479780433329283E-10</c:v>
                </c:pt>
                <c:pt idx="195">
                  <c:v>1.6463612699568037E-10</c:v>
                </c:pt>
                <c:pt idx="196">
                  <c:v>1.466741145000417E-10</c:v>
                </c:pt>
                <c:pt idx="197">
                  <c:v>1.3067178059245647E-10</c:v>
                </c:pt>
                <c:pt idx="198">
                  <c:v>1.164153218269351E-10</c:v>
                </c:pt>
                <c:pt idx="199">
                  <c:v>1.0371426098751151E-10</c:v>
                </c:pt>
                <c:pt idx="200">
                  <c:v>9.239890216664657E-11</c:v>
                </c:pt>
                <c:pt idx="201">
                  <c:v>8.2318063497840028E-11</c:v>
                </c:pt>
                <c:pt idx="202">
                  <c:v>7.333705725002072E-11</c:v>
                </c:pt>
                <c:pt idx="203">
                  <c:v>6.5335890296228108E-11</c:v>
                </c:pt>
                <c:pt idx="204">
                  <c:v>5.8207660913467446E-11</c:v>
                </c:pt>
                <c:pt idx="205">
                  <c:v>5.1857130493755656E-11</c:v>
                </c:pt>
                <c:pt idx="206">
                  <c:v>4.6199451083323369E-11</c:v>
                </c:pt>
                <c:pt idx="207">
                  <c:v>4.1159031748920085E-11</c:v>
                </c:pt>
                <c:pt idx="208">
                  <c:v>3.6668528625010418E-11</c:v>
                </c:pt>
                <c:pt idx="209">
                  <c:v>3.2667945148114112E-11</c:v>
                </c:pt>
                <c:pt idx="210">
                  <c:v>2.9103830456733768E-11</c:v>
                </c:pt>
                <c:pt idx="211">
                  <c:v>2.5928565246877873E-11</c:v>
                </c:pt>
                <c:pt idx="212">
                  <c:v>2.3099725541661639E-11</c:v>
                </c:pt>
                <c:pt idx="213">
                  <c:v>2.0579515874460004E-11</c:v>
                </c:pt>
                <c:pt idx="214">
                  <c:v>1.8334264312505177E-11</c:v>
                </c:pt>
                <c:pt idx="215">
                  <c:v>1.6333972574057024E-11</c:v>
                </c:pt>
                <c:pt idx="216">
                  <c:v>1.4551915228366858E-11</c:v>
                </c:pt>
                <c:pt idx="217">
                  <c:v>1.2964282623438912E-11</c:v>
                </c:pt>
                <c:pt idx="218">
                  <c:v>1.1549862770830839E-11</c:v>
                </c:pt>
                <c:pt idx="219">
                  <c:v>1.028975793723002E-11</c:v>
                </c:pt>
                <c:pt idx="220">
                  <c:v>9.1671321562526029E-12</c:v>
                </c:pt>
                <c:pt idx="221">
                  <c:v>8.1669862870285264E-12</c:v>
                </c:pt>
                <c:pt idx="222">
                  <c:v>7.2759576141834404E-12</c:v>
                </c:pt>
                <c:pt idx="223">
                  <c:v>6.4821413117194667E-12</c:v>
                </c:pt>
                <c:pt idx="224">
                  <c:v>5.774931385415409E-12</c:v>
                </c:pt>
                <c:pt idx="225">
                  <c:v>5.1448789686150001E-12</c:v>
                </c:pt>
                <c:pt idx="226">
                  <c:v>4.5835660781262934E-12</c:v>
                </c:pt>
                <c:pt idx="227">
                  <c:v>4.0834931435142551E-12</c:v>
                </c:pt>
                <c:pt idx="228">
                  <c:v>3.6379788070917138E-12</c:v>
                </c:pt>
                <c:pt idx="229">
                  <c:v>3.241070655859739E-12</c:v>
                </c:pt>
                <c:pt idx="230">
                  <c:v>2.8874656927077094E-12</c:v>
                </c:pt>
                <c:pt idx="231">
                  <c:v>2.5724394843075045E-12</c:v>
                </c:pt>
                <c:pt idx="232">
                  <c:v>2.2917830390631503E-12</c:v>
                </c:pt>
                <c:pt idx="233">
                  <c:v>2.0417465717571312E-12</c:v>
                </c:pt>
                <c:pt idx="234">
                  <c:v>1.8189894035458601E-12</c:v>
                </c:pt>
                <c:pt idx="235">
                  <c:v>1.6205353279298665E-12</c:v>
                </c:pt>
                <c:pt idx="236">
                  <c:v>1.4437328463538521E-12</c:v>
                </c:pt>
                <c:pt idx="237">
                  <c:v>1.2862197421537498E-12</c:v>
                </c:pt>
                <c:pt idx="238">
                  <c:v>1.1458915195315731E-12</c:v>
                </c:pt>
                <c:pt idx="239">
                  <c:v>1.0208732858785638E-12</c:v>
                </c:pt>
                <c:pt idx="240">
                  <c:v>9.0949470177293147E-13</c:v>
                </c:pt>
                <c:pt idx="241">
                  <c:v>8.1026766396493465E-13</c:v>
                </c:pt>
                <c:pt idx="242">
                  <c:v>7.2186642317692724E-13</c:v>
                </c:pt>
                <c:pt idx="243">
                  <c:v>6.4310987107687602E-13</c:v>
                </c:pt>
                <c:pt idx="244">
                  <c:v>5.7294575976578748E-13</c:v>
                </c:pt>
                <c:pt idx="245">
                  <c:v>5.104366429392827E-13</c:v>
                </c:pt>
                <c:pt idx="246">
                  <c:v>4.5474735088646493E-13</c:v>
                </c:pt>
                <c:pt idx="247">
                  <c:v>4.0513383198246657E-13</c:v>
                </c:pt>
                <c:pt idx="248">
                  <c:v>3.6093321158846291E-13</c:v>
                </c:pt>
                <c:pt idx="249">
                  <c:v>3.2155493553843741E-13</c:v>
                </c:pt>
                <c:pt idx="250">
                  <c:v>2.8647287988289323E-13</c:v>
                </c:pt>
                <c:pt idx="251">
                  <c:v>2.552183214696418E-13</c:v>
                </c:pt>
                <c:pt idx="252">
                  <c:v>2.2737367544323282E-13</c:v>
                </c:pt>
                <c:pt idx="253">
                  <c:v>2.0256691599123361E-13</c:v>
                </c:pt>
                <c:pt idx="254">
                  <c:v>1.8046660579423176E-13</c:v>
                </c:pt>
                <c:pt idx="255">
                  <c:v>1.6077746776921896E-13</c:v>
                </c:pt>
                <c:pt idx="256">
                  <c:v>1.4323643994144684E-13</c:v>
                </c:pt>
                <c:pt idx="257">
                  <c:v>1.2760916073482065E-13</c:v>
                </c:pt>
                <c:pt idx="258">
                  <c:v>1.1368683772161621E-13</c:v>
                </c:pt>
                <c:pt idx="259">
                  <c:v>1.0128345799561662E-13</c:v>
                </c:pt>
                <c:pt idx="260">
                  <c:v>9.0233302897115716E-14</c:v>
                </c:pt>
                <c:pt idx="261">
                  <c:v>8.0388733884609339E-14</c:v>
                </c:pt>
                <c:pt idx="262">
                  <c:v>7.1618219970723548E-14</c:v>
                </c:pt>
                <c:pt idx="263">
                  <c:v>6.3804580367410438E-14</c:v>
                </c:pt>
                <c:pt idx="264">
                  <c:v>5.6843418860808204E-14</c:v>
                </c:pt>
                <c:pt idx="265">
                  <c:v>5.0641728997808396E-14</c:v>
                </c:pt>
                <c:pt idx="266">
                  <c:v>4.5116651448557934E-14</c:v>
                </c:pt>
                <c:pt idx="267">
                  <c:v>4.0194366942304733E-14</c:v>
                </c:pt>
                <c:pt idx="268">
                  <c:v>3.5809109985361705E-14</c:v>
                </c:pt>
                <c:pt idx="269">
                  <c:v>3.1902290183705156E-14</c:v>
                </c:pt>
                <c:pt idx="270">
                  <c:v>2.8421709430404045E-14</c:v>
                </c:pt>
                <c:pt idx="271">
                  <c:v>2.5320864498904151E-14</c:v>
                </c:pt>
                <c:pt idx="272">
                  <c:v>2.2558325724278926E-14</c:v>
                </c:pt>
                <c:pt idx="273">
                  <c:v>2.0097183471152401E-14</c:v>
                </c:pt>
                <c:pt idx="274">
                  <c:v>1.7904554992680884E-14</c:v>
                </c:pt>
                <c:pt idx="275">
                  <c:v>1.5951145091852606E-14</c:v>
                </c:pt>
                <c:pt idx="276">
                  <c:v>1.4210854715202048E-14</c:v>
                </c:pt>
                <c:pt idx="277">
                  <c:v>1.2660432249452052E-14</c:v>
                </c:pt>
                <c:pt idx="278">
                  <c:v>1.1279162862139442E-14</c:v>
                </c:pt>
                <c:pt idx="279">
                  <c:v>1.0048591735576218E-14</c:v>
                </c:pt>
                <c:pt idx="280">
                  <c:v>8.9522774963404562E-15</c:v>
                </c:pt>
                <c:pt idx="281">
                  <c:v>7.9755725459263159E-15</c:v>
                </c:pt>
                <c:pt idx="282">
                  <c:v>7.105427357601035E-15</c:v>
                </c:pt>
                <c:pt idx="283">
                  <c:v>6.330216124726059E-15</c:v>
                </c:pt>
                <c:pt idx="284">
                  <c:v>5.6395814310697504E-15</c:v>
                </c:pt>
                <c:pt idx="285">
                  <c:v>5.0242958677880995E-15</c:v>
                </c:pt>
                <c:pt idx="286">
                  <c:v>4.4761387481702202E-15</c:v>
                </c:pt>
                <c:pt idx="287">
                  <c:v>3.9877862729631508E-15</c:v>
                </c:pt>
                <c:pt idx="288">
                  <c:v>3.5527136788005112E-15</c:v>
                </c:pt>
                <c:pt idx="289">
                  <c:v>3.1651080623630236E-15</c:v>
                </c:pt>
                <c:pt idx="290">
                  <c:v>2.8197907155348701E-15</c:v>
                </c:pt>
                <c:pt idx="291">
                  <c:v>2.512147933894045E-15</c:v>
                </c:pt>
                <c:pt idx="292">
                  <c:v>2.2380693740851058E-15</c:v>
                </c:pt>
                <c:pt idx="293">
                  <c:v>1.9938931364815719E-15</c:v>
                </c:pt>
                <c:pt idx="294">
                  <c:v>1.7763568394002524E-15</c:v>
                </c:pt>
                <c:pt idx="295">
                  <c:v>1.5825540311815088E-15</c:v>
                </c:pt>
                <c:pt idx="296">
                  <c:v>1.4098953577674323E-15</c:v>
                </c:pt>
                <c:pt idx="297">
                  <c:v>1.2560739669470201E-15</c:v>
                </c:pt>
                <c:pt idx="298">
                  <c:v>1.1190346870425509E-15</c:v>
                </c:pt>
                <c:pt idx="299">
                  <c:v>9.9694656824078396E-16</c:v>
                </c:pt>
                <c:pt idx="300">
                  <c:v>8.8817841970012444E-16</c:v>
                </c:pt>
                <c:pt idx="301">
                  <c:v>7.9127701559075856E-16</c:v>
                </c:pt>
                <c:pt idx="302">
                  <c:v>7.0494767888371988E-16</c:v>
                </c:pt>
                <c:pt idx="303">
                  <c:v>6.2803698347351342E-16</c:v>
                </c:pt>
                <c:pt idx="304">
                  <c:v>5.5951734352127831E-16</c:v>
                </c:pt>
                <c:pt idx="305">
                  <c:v>4.9847328412039464E-16</c:v>
                </c:pt>
                <c:pt idx="306">
                  <c:v>4.4408920985006459E-16</c:v>
                </c:pt>
                <c:pt idx="307">
                  <c:v>3.9563850779537854E-16</c:v>
                </c:pt>
                <c:pt idx="308">
                  <c:v>3.524738394418593E-16</c:v>
                </c:pt>
                <c:pt idx="309">
                  <c:v>3.1401849173675612E-16</c:v>
                </c:pt>
                <c:pt idx="310">
                  <c:v>2.7975867176063866E-16</c:v>
                </c:pt>
                <c:pt idx="311">
                  <c:v>2.4923664206019683E-16</c:v>
                </c:pt>
                <c:pt idx="312">
                  <c:v>2.2204460492503185E-16</c:v>
                </c:pt>
                <c:pt idx="313">
                  <c:v>1.978192538976889E-16</c:v>
                </c:pt>
                <c:pt idx="314">
                  <c:v>1.762369197209293E-16</c:v>
                </c:pt>
                <c:pt idx="315">
                  <c:v>1.5700924586837776E-16</c:v>
                </c:pt>
                <c:pt idx="316">
                  <c:v>1.3987933588031906E-16</c:v>
                </c:pt>
                <c:pt idx="317">
                  <c:v>1.2461832103009819E-16</c:v>
                </c:pt>
                <c:pt idx="318">
                  <c:v>1.1102230246251573E-16</c:v>
                </c:pt>
                <c:pt idx="319">
                  <c:v>9.8909626948844266E-17</c:v>
                </c:pt>
                <c:pt idx="320">
                  <c:v>8.8118459860464492E-17</c:v>
                </c:pt>
                <c:pt idx="321">
                  <c:v>7.8504622934188734E-17</c:v>
                </c:pt>
                <c:pt idx="322">
                  <c:v>6.9939667940159407E-17</c:v>
                </c:pt>
                <c:pt idx="323">
                  <c:v>6.2309160515049417E-17</c:v>
                </c:pt>
                <c:pt idx="324">
                  <c:v>5.551115123125816E-17</c:v>
                </c:pt>
                <c:pt idx="325">
                  <c:v>4.9454813474422392E-17</c:v>
                </c:pt>
                <c:pt idx="326">
                  <c:v>4.4059229930232474E-17</c:v>
                </c:pt>
                <c:pt idx="327">
                  <c:v>3.925231146709457E-17</c:v>
                </c:pt>
                <c:pt idx="328">
                  <c:v>3.4969833970079882E-17</c:v>
                </c:pt>
                <c:pt idx="329">
                  <c:v>3.1154580257524653E-17</c:v>
                </c:pt>
                <c:pt idx="330">
                  <c:v>2.7755575615629024E-17</c:v>
                </c:pt>
                <c:pt idx="331">
                  <c:v>2.472740673721115E-17</c:v>
                </c:pt>
                <c:pt idx="332">
                  <c:v>2.2029614965116197E-17</c:v>
                </c:pt>
                <c:pt idx="333">
                  <c:v>1.9626155733547248E-17</c:v>
                </c:pt>
                <c:pt idx="334">
                  <c:v>1.748491698503991E-17</c:v>
                </c:pt>
                <c:pt idx="335">
                  <c:v>1.5577290128762296E-17</c:v>
                </c:pt>
                <c:pt idx="336">
                  <c:v>1.3877787807814488E-17</c:v>
                </c:pt>
                <c:pt idx="337">
                  <c:v>1.2363703368605552E-17</c:v>
                </c:pt>
                <c:pt idx="338">
                  <c:v>1.1014807482558078E-17</c:v>
                </c:pt>
                <c:pt idx="339">
                  <c:v>9.8130778667736071E-18</c:v>
                </c:pt>
                <c:pt idx="340">
                  <c:v>8.7424584925199382E-18</c:v>
                </c:pt>
                <c:pt idx="341">
                  <c:v>7.7886450643811339E-18</c:v>
                </c:pt>
                <c:pt idx="342">
                  <c:v>6.9388939039072299E-18</c:v>
                </c:pt>
                <c:pt idx="343">
                  <c:v>6.1818516843027643E-18</c:v>
                </c:pt>
                <c:pt idx="344">
                  <c:v>5.5074037412790284E-18</c:v>
                </c:pt>
                <c:pt idx="345">
                  <c:v>4.9065389333867943E-18</c:v>
                </c:pt>
                <c:pt idx="346">
                  <c:v>4.3712292462599922E-18</c:v>
                </c:pt>
                <c:pt idx="347">
                  <c:v>3.8943225321905878E-18</c:v>
                </c:pt>
                <c:pt idx="348">
                  <c:v>3.4694469519536334E-18</c:v>
                </c:pt>
                <c:pt idx="349">
                  <c:v>3.0909258421513983E-18</c:v>
                </c:pt>
                <c:pt idx="350">
                  <c:v>2.7537018706395289E-18</c:v>
                </c:pt>
                <c:pt idx="351">
                  <c:v>2.4532694666934099E-18</c:v>
                </c:pt>
                <c:pt idx="352">
                  <c:v>2.1856146231299919E-18</c:v>
                </c:pt>
                <c:pt idx="353">
                  <c:v>1.94716126609529E-18</c:v>
                </c:pt>
                <c:pt idx="354">
                  <c:v>1.7347234759768136E-18</c:v>
                </c:pt>
                <c:pt idx="355">
                  <c:v>1.5454629210756963E-18</c:v>
                </c:pt>
                <c:pt idx="356">
                  <c:v>1.3768509353197619E-18</c:v>
                </c:pt>
                <c:pt idx="357">
                  <c:v>1.2266347333467026E-18</c:v>
                </c:pt>
                <c:pt idx="358">
                  <c:v>1.092807311564994E-18</c:v>
                </c:pt>
                <c:pt idx="359">
                  <c:v>9.7358063304764328E-19</c:v>
                </c:pt>
                <c:pt idx="360">
                  <c:v>8.6736173798840509E-19</c:v>
                </c:pt>
                <c:pt idx="361">
                  <c:v>7.7273146053784679E-19</c:v>
                </c:pt>
                <c:pt idx="362">
                  <c:v>6.8842546765987962E-19</c:v>
                </c:pt>
                <c:pt idx="363">
                  <c:v>6.1331736667335016E-19</c:v>
                </c:pt>
                <c:pt idx="364">
                  <c:v>5.4640365578249595E-19</c:v>
                </c:pt>
                <c:pt idx="365">
                  <c:v>4.8679031652382068E-19</c:v>
                </c:pt>
                <c:pt idx="366">
                  <c:v>4.3368086899420177E-19</c:v>
                </c:pt>
                <c:pt idx="367">
                  <c:v>3.8636573026892267E-19</c:v>
                </c:pt>
                <c:pt idx="368">
                  <c:v>3.4421273382994164E-19</c:v>
                </c:pt>
                <c:pt idx="369">
                  <c:v>3.0665868333667672E-19</c:v>
                </c:pt>
                <c:pt idx="370">
                  <c:v>2.7320182789124942E-19</c:v>
                </c:pt>
                <c:pt idx="371">
                  <c:v>2.4339515826191164E-19</c:v>
                </c:pt>
              </c:numCache>
            </c:numRef>
          </c:yVal>
          <c:smooth val="1"/>
          <c:extLst>
            <c:ext xmlns:c16="http://schemas.microsoft.com/office/drawing/2014/chart" uri="{C3380CC4-5D6E-409C-BE32-E72D297353CC}">
              <c16:uniqueId val="{00000001-5E78-45BF-86B4-459FB78479DD}"/>
            </c:ext>
          </c:extLst>
        </c:ser>
        <c:dLbls>
          <c:showLegendKey val="0"/>
          <c:showVal val="0"/>
          <c:showCatName val="0"/>
          <c:showSerName val="0"/>
          <c:showPercent val="0"/>
          <c:showBubbleSize val="0"/>
        </c:dLbls>
        <c:axId val="682224688"/>
        <c:axId val="682225344"/>
      </c:scatterChart>
      <c:valAx>
        <c:axId val="682224688"/>
        <c:scaling>
          <c:orientation val="minMax"/>
          <c:max val="2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Time (months</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ill Sans MT" panose="020B0502020104020203" pitchFamily="34" charset="0"/>
                <a:ea typeface="+mn-ea"/>
                <a:cs typeface="+mn-cs"/>
              </a:defRPr>
            </a:pPr>
            <a:endParaRPr lang="en-US"/>
          </a:p>
        </c:txPr>
        <c:crossAx val="682225344"/>
        <c:crosses val="autoZero"/>
        <c:crossBetween val="midCat"/>
      </c:valAx>
      <c:valAx>
        <c:axId val="68222534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solidFill>
                      <a:sysClr val="windowText" lastClr="000000"/>
                    </a:solidFill>
                    <a:effectLst/>
                    <a:latin typeface="Gill Sans MT" panose="020B0502020104020203" pitchFamily="34" charset="0"/>
                  </a:rPr>
                  <a:t>Cumulative Survival Probability</a:t>
                </a:r>
                <a:endParaRPr lang="en-GB" sz="1000">
                  <a:solidFill>
                    <a:sysClr val="windowText" lastClr="000000"/>
                  </a:solidFill>
                  <a:effectLst/>
                  <a:latin typeface="Gill Sans MT" panose="020B0502020104020203"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ill Sans MT" panose="020B0502020104020203" pitchFamily="34" charset="0"/>
                <a:ea typeface="+mn-ea"/>
                <a:cs typeface="+mn-cs"/>
              </a:defRPr>
            </a:pPr>
            <a:endParaRPr lang="en-US"/>
          </a:p>
        </c:txPr>
        <c:crossAx val="682224688"/>
        <c:crosses val="autoZero"/>
        <c:crossBetween val="midCat"/>
      </c:valAx>
      <c:spPr>
        <a:noFill/>
        <a:ln>
          <a:noFill/>
        </a:ln>
        <a:effectLst/>
      </c:spPr>
    </c:plotArea>
    <c:legend>
      <c:legendPos val="b"/>
      <c:layout>
        <c:manualLayout>
          <c:xMode val="edge"/>
          <c:yMode val="edge"/>
          <c:x val="0.7077244495334849"/>
          <c:y val="0.12793358661313309"/>
          <c:w val="0.2016509913732385"/>
          <c:h val="0.146439500811997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23914-86F1-42A9-856C-22A4C2E2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254</Pages>
  <Words>184919</Words>
  <Characters>1054043</Characters>
  <Application>Microsoft Office Word</Application>
  <DocSecurity>0</DocSecurity>
  <Lines>8783</Lines>
  <Paragraphs>2472</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1236490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Dias</dc:creator>
  <cp:keywords/>
  <dc:description/>
  <cp:lastModifiedBy>Gaynor Clarkson</cp:lastModifiedBy>
  <cp:revision>2</cp:revision>
  <cp:lastPrinted>2020-02-02T13:57:00Z</cp:lastPrinted>
  <dcterms:created xsi:type="dcterms:W3CDTF">2020-04-06T12:43:00Z</dcterms:created>
  <dcterms:modified xsi:type="dcterms:W3CDTF">2020-04-06T12:43:00Z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MTDeferFieldUpdate">
    <vt:lpwstr>1</vt:lpwstr>
  </property>
</Properties>
</file>