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518F" w14:textId="27112FE1" w:rsidR="00D40E11" w:rsidRDefault="00CA7122" w:rsidP="00CA7122">
      <w:pPr>
        <w:pStyle w:val="Title"/>
      </w:pPr>
      <w:r>
        <w:t xml:space="preserve">Position </w:t>
      </w:r>
      <w:r w:rsidR="00464B98">
        <w:t>s</w:t>
      </w:r>
      <w:r>
        <w:t>tatement:</w:t>
      </w:r>
    </w:p>
    <w:p w14:paraId="34C2B0C8" w14:textId="1B1188CC" w:rsidR="00CA7122" w:rsidRDefault="00CA7122" w:rsidP="00CA7122">
      <w:pPr>
        <w:pStyle w:val="Title"/>
      </w:pPr>
      <w:r>
        <w:t xml:space="preserve">Confidentiality of clinical evidence informing </w:t>
      </w:r>
      <w:r w:rsidR="00D40E11">
        <w:t>health technology assessment</w:t>
      </w:r>
      <w:r>
        <w:t xml:space="preserve"> decision making</w:t>
      </w:r>
    </w:p>
    <w:p w14:paraId="4A39DB8C" w14:textId="6383B223" w:rsidR="00CA7122" w:rsidRDefault="79269D5C" w:rsidP="00CA7122">
      <w:pPr>
        <w:pStyle w:val="Heading1"/>
      </w:pPr>
      <w:r>
        <w:t>Who are we?</w:t>
      </w:r>
    </w:p>
    <w:p w14:paraId="5AC592D7" w14:textId="71644BA5" w:rsidR="00613BC1" w:rsidRPr="001561E8" w:rsidRDefault="00CA0799" w:rsidP="00613BC1">
      <w:pPr>
        <w:pStyle w:val="ParagraphNumbered"/>
        <w:rPr>
          <w:rFonts w:eastAsia="Arial" w:cs="Arial"/>
        </w:rPr>
      </w:pPr>
      <w:r w:rsidRPr="001D0CA5">
        <w:rPr>
          <w:rFonts w:cs="Arial"/>
        </w:rPr>
        <w:t>CADTH is Canada’s drug and health technology agency. It is a not-for-profit organization funded by Canada’s federal, provincial and territorial governments</w:t>
      </w:r>
      <w:r w:rsidR="00613BC1" w:rsidRPr="001D0CA5">
        <w:rPr>
          <w:rFonts w:cs="Arial"/>
        </w:rPr>
        <w:t xml:space="preserve"> to provide </w:t>
      </w:r>
      <w:r w:rsidRPr="001D0CA5">
        <w:rPr>
          <w:rFonts w:cs="Arial"/>
        </w:rPr>
        <w:t xml:space="preserve">independent information and advice about the drugs, devices and </w:t>
      </w:r>
      <w:r w:rsidRPr="001561E8">
        <w:rPr>
          <w:rFonts w:cs="Arial"/>
        </w:rPr>
        <w:t xml:space="preserve">services used </w:t>
      </w:r>
      <w:r w:rsidR="00842D29" w:rsidRPr="001561E8">
        <w:rPr>
          <w:rFonts w:cs="Arial"/>
        </w:rPr>
        <w:t xml:space="preserve">in </w:t>
      </w:r>
      <w:r w:rsidR="00A07248" w:rsidRPr="001561E8">
        <w:rPr>
          <w:rFonts w:cs="Arial"/>
        </w:rPr>
        <w:t>Canada’s publicly</w:t>
      </w:r>
      <w:r w:rsidR="00A07248">
        <w:rPr>
          <w:rFonts w:cs="Arial"/>
        </w:rPr>
        <w:t xml:space="preserve"> </w:t>
      </w:r>
      <w:r w:rsidR="00A07248" w:rsidRPr="001561E8">
        <w:rPr>
          <w:rFonts w:cs="Arial"/>
        </w:rPr>
        <w:t>funded healthcare systems</w:t>
      </w:r>
      <w:r w:rsidR="008719B4" w:rsidRPr="001561E8">
        <w:rPr>
          <w:rFonts w:cs="Arial"/>
        </w:rPr>
        <w:t>.</w:t>
      </w:r>
    </w:p>
    <w:p w14:paraId="36ED5ABE" w14:textId="2FB6F998" w:rsidR="21FD0D5B" w:rsidRPr="001561E8" w:rsidRDefault="00BA4DD7" w:rsidP="569B1AFF">
      <w:pPr>
        <w:pStyle w:val="ParagraphNumbered"/>
      </w:pPr>
      <w:r w:rsidRPr="001561E8">
        <w:t xml:space="preserve">Founded in 2006 and non-profit incorporated in 2013, the Institute for Clinical and Economic Review (ICER) </w:t>
      </w:r>
      <w:r w:rsidR="00464B98">
        <w:t xml:space="preserve">is a </w:t>
      </w:r>
      <w:r w:rsidRPr="001561E8">
        <w:t>non-partisan, independent, go-to-resource for objective evidence about the value of healthcare in the US.</w:t>
      </w:r>
    </w:p>
    <w:p w14:paraId="14F86D1C" w14:textId="256EDEA3" w:rsidR="7933E7D8" w:rsidRPr="00104112" w:rsidRDefault="7933E7D8" w:rsidP="569B1AFF">
      <w:pPr>
        <w:pStyle w:val="ParagraphNumbered"/>
        <w:rPr>
          <w:rFonts w:eastAsia="Arial" w:cs="Arial"/>
        </w:rPr>
      </w:pPr>
      <w:r w:rsidRPr="001561E8">
        <w:rPr>
          <w:rFonts w:eastAsia="Arial" w:cs="Arial"/>
        </w:rPr>
        <w:t>The National Institute for Health</w:t>
      </w:r>
      <w:r w:rsidRPr="00104112">
        <w:rPr>
          <w:rFonts w:eastAsia="Arial" w:cs="Arial"/>
        </w:rPr>
        <w:t xml:space="preserve"> and Care Excellence (NICE) balances the best care with value for money across the NHS and social care in England, to deliver for both individuals and society as a whole.</w:t>
      </w:r>
    </w:p>
    <w:p w14:paraId="0A74A654" w14:textId="3D429AAB" w:rsidR="00FC2C23" w:rsidRPr="00104112" w:rsidRDefault="5453ED35" w:rsidP="00CA7122">
      <w:pPr>
        <w:pStyle w:val="Heading1"/>
      </w:pPr>
      <w:r w:rsidRPr="00104112">
        <w:t>What do we do?</w:t>
      </w:r>
    </w:p>
    <w:p w14:paraId="4B8A46C3" w14:textId="4EF44C6E" w:rsidR="00353546" w:rsidRDefault="00613BC1" w:rsidP="00104112">
      <w:pPr>
        <w:pStyle w:val="ParagraphNumbered"/>
      </w:pPr>
      <w:r w:rsidRPr="00104112">
        <w:t>CADTH, ICER and NICE</w:t>
      </w:r>
      <w:r w:rsidR="00812377" w:rsidRPr="00104112">
        <w:t xml:space="preserve"> conduct independent </w:t>
      </w:r>
      <w:r w:rsidR="00842D29" w:rsidRPr="00104112">
        <w:t>assess</w:t>
      </w:r>
      <w:r w:rsidR="00812377" w:rsidRPr="00104112">
        <w:t>ments of</w:t>
      </w:r>
      <w:r w:rsidR="00842D29" w:rsidRPr="00104112">
        <w:t xml:space="preserve"> </w:t>
      </w:r>
      <w:r w:rsidR="00812377" w:rsidRPr="00104112">
        <w:t xml:space="preserve">drugs and other </w:t>
      </w:r>
      <w:r w:rsidRPr="00104112">
        <w:t xml:space="preserve">health </w:t>
      </w:r>
      <w:r w:rsidR="008719B4" w:rsidRPr="00104112">
        <w:t xml:space="preserve">technologies. </w:t>
      </w:r>
      <w:r w:rsidR="00914FC5" w:rsidRPr="00914FC5">
        <w:t>Health policy and practice decision</w:t>
      </w:r>
      <w:r w:rsidR="00CA2081">
        <w:t xml:space="preserve"> </w:t>
      </w:r>
      <w:r w:rsidR="00914FC5" w:rsidRPr="00914FC5">
        <w:t xml:space="preserve">makers use our assessments </w:t>
      </w:r>
      <w:r w:rsidR="00E11BFE" w:rsidRPr="00104112">
        <w:t xml:space="preserve">to </w:t>
      </w:r>
      <w:r w:rsidR="00812377" w:rsidRPr="00104112">
        <w:t>inform</w:t>
      </w:r>
      <w:r w:rsidR="008719B4" w:rsidRPr="00104112">
        <w:t xml:space="preserve"> </w:t>
      </w:r>
      <w:r w:rsidR="00E11BFE" w:rsidRPr="00104112">
        <w:t>decisions</w:t>
      </w:r>
      <w:r w:rsidR="008719B4" w:rsidRPr="00104112">
        <w:t xml:space="preserve"> about </w:t>
      </w:r>
      <w:r w:rsidR="00B53589" w:rsidRPr="00104112">
        <w:t>access to</w:t>
      </w:r>
      <w:r w:rsidR="00464B98">
        <w:t>,</w:t>
      </w:r>
      <w:r w:rsidR="00B53589" w:rsidRPr="00104112">
        <w:t xml:space="preserve"> funding </w:t>
      </w:r>
      <w:r w:rsidR="00464B98">
        <w:t xml:space="preserve">for </w:t>
      </w:r>
      <w:r w:rsidR="00B53589" w:rsidRPr="00104112">
        <w:t xml:space="preserve">and </w:t>
      </w:r>
      <w:r w:rsidR="008719B4" w:rsidRPr="00104112">
        <w:t>appropriate use</w:t>
      </w:r>
      <w:r w:rsidR="00D40E11" w:rsidRPr="00104112">
        <w:t xml:space="preserve"> </w:t>
      </w:r>
      <w:r w:rsidR="008719B4" w:rsidRPr="00104112">
        <w:t xml:space="preserve">of drugs, devices, medical, </w:t>
      </w:r>
      <w:proofErr w:type="gramStart"/>
      <w:r w:rsidR="008719B4" w:rsidRPr="00104112">
        <w:t>dental</w:t>
      </w:r>
      <w:proofErr w:type="gramEnd"/>
      <w:r w:rsidR="008719B4" w:rsidRPr="00104112">
        <w:t xml:space="preserve"> and surgical devices and procedures. Our assessments are publicly available.</w:t>
      </w:r>
      <w:r w:rsidR="00104112" w:rsidRPr="00104112">
        <w:t xml:space="preserve"> </w:t>
      </w:r>
    </w:p>
    <w:p w14:paraId="694CAF2C" w14:textId="0D24F553" w:rsidR="001561E8" w:rsidRPr="00422EC6" w:rsidRDefault="00353546" w:rsidP="00353546">
      <w:pPr>
        <w:pStyle w:val="ParagraphNumbered"/>
      </w:pPr>
      <w:r>
        <w:t>Our agencies</w:t>
      </w:r>
      <w:r w:rsidR="00104112" w:rsidRPr="00104112">
        <w:t xml:space="preserve"> </w:t>
      </w:r>
      <w:r w:rsidR="00751D79" w:rsidRPr="00104112">
        <w:t>operate in different health</w:t>
      </w:r>
      <w:r w:rsidR="00F16966">
        <w:t>care</w:t>
      </w:r>
      <w:r w:rsidR="00751D79" w:rsidRPr="00104112">
        <w:t xml:space="preserve"> systems</w:t>
      </w:r>
      <w:r w:rsidR="00751D79">
        <w:t xml:space="preserve"> and </w:t>
      </w:r>
      <w:r w:rsidR="00104112" w:rsidRPr="00104112">
        <w:t>have our own methods and procedures</w:t>
      </w:r>
      <w:r w:rsidR="00A11D46">
        <w:t>. However, we have broadly similar aims, and o</w:t>
      </w:r>
      <w:r w:rsidR="00751D79">
        <w:t>ur work is</w:t>
      </w:r>
      <w:r w:rsidR="00104112" w:rsidRPr="00104112">
        <w:t xml:space="preserve"> underpinned by </w:t>
      </w:r>
      <w:r w:rsidR="00427CD7">
        <w:t>common</w:t>
      </w:r>
      <w:r>
        <w:t xml:space="preserve"> </w:t>
      </w:r>
      <w:r w:rsidR="00104112" w:rsidRPr="00104112">
        <w:t xml:space="preserve">values </w:t>
      </w:r>
      <w:r>
        <w:t>of</w:t>
      </w:r>
      <w:r w:rsidR="00104112" w:rsidRPr="00104112">
        <w:t xml:space="preserve"> </w:t>
      </w:r>
      <w:r w:rsidR="00F946B0">
        <w:t>h</w:t>
      </w:r>
      <w:r w:rsidR="00104112" w:rsidRPr="00104112">
        <w:t xml:space="preserve">ealth </w:t>
      </w:r>
      <w:r w:rsidR="00F946B0">
        <w:t>t</w:t>
      </w:r>
      <w:r w:rsidR="00104112" w:rsidRPr="00104112">
        <w:t xml:space="preserve">echnology </w:t>
      </w:r>
      <w:r w:rsidR="00F946B0">
        <w:t>a</w:t>
      </w:r>
      <w:r w:rsidR="00104112" w:rsidRPr="00104112">
        <w:t>ssessment</w:t>
      </w:r>
      <w:r w:rsidR="004C657D">
        <w:t xml:space="preserve"> (see the </w:t>
      </w:r>
      <w:hyperlink r:id="rId8" w:anchor="box1" w:history="1">
        <w:r w:rsidR="00ED074C" w:rsidRPr="00ED074C">
          <w:rPr>
            <w:rStyle w:val="Hyperlink"/>
          </w:rPr>
          <w:t xml:space="preserve">new </w:t>
        </w:r>
        <w:r w:rsidR="004C657D" w:rsidRPr="00ED074C">
          <w:rPr>
            <w:rStyle w:val="Hyperlink"/>
          </w:rPr>
          <w:t>definition of health technology assessment</w:t>
        </w:r>
      </w:hyperlink>
      <w:r w:rsidR="004C657D">
        <w:t>)</w:t>
      </w:r>
      <w:r w:rsidR="00104112" w:rsidRPr="00104112">
        <w:t>.</w:t>
      </w:r>
      <w:r>
        <w:t xml:space="preserve"> </w:t>
      </w:r>
      <w:r w:rsidR="008B6615">
        <w:lastRenderedPageBreak/>
        <w:t xml:space="preserve">We </w:t>
      </w:r>
      <w:r w:rsidR="00A11D46">
        <w:t>seek</w:t>
      </w:r>
      <w:r w:rsidR="008B6615">
        <w:t xml:space="preserve"> to maximis</w:t>
      </w:r>
      <w:r w:rsidR="00A11D46">
        <w:t>e</w:t>
      </w:r>
      <w:r w:rsidR="008B6615">
        <w:t xml:space="preserve"> transparency in our effort to put evidence at the heart of decision making.</w:t>
      </w:r>
      <w:r>
        <w:t xml:space="preserve"> </w:t>
      </w:r>
      <w:r w:rsidR="008B6615">
        <w:t xml:space="preserve">We owe it to patients, their families, clinicians </w:t>
      </w:r>
      <w:r w:rsidR="008B6615" w:rsidRPr="00422EC6">
        <w:t xml:space="preserve">and </w:t>
      </w:r>
      <w:r w:rsidR="00A11D46" w:rsidRPr="00422EC6">
        <w:t xml:space="preserve">all our </w:t>
      </w:r>
      <w:r w:rsidR="00427CD7" w:rsidRPr="00422EC6">
        <w:t>stakeholders</w:t>
      </w:r>
      <w:r w:rsidR="008B6615" w:rsidRPr="00422EC6">
        <w:t xml:space="preserve"> to be clear about the evidence considered when we make, and inform, choices about the allocation of scarce healthcare resources.</w:t>
      </w:r>
    </w:p>
    <w:p w14:paraId="326D7E80" w14:textId="175B14B3" w:rsidR="0097488C" w:rsidRPr="00422EC6" w:rsidRDefault="00FC56B1" w:rsidP="0097488C">
      <w:pPr>
        <w:pStyle w:val="ParagraphNumbered"/>
      </w:pPr>
      <w:r w:rsidRPr="00422EC6">
        <w:t xml:space="preserve">Given these similarities, </w:t>
      </w:r>
      <w:r w:rsidR="00F946B0" w:rsidRPr="00F946B0">
        <w:t xml:space="preserve">we want to work together to identify solutions to </w:t>
      </w:r>
      <w:r w:rsidR="000278BF" w:rsidRPr="00422EC6">
        <w:t>shared issues affecting our agencies</w:t>
      </w:r>
      <w:r w:rsidR="0097488C" w:rsidRPr="00422EC6">
        <w:t>. This position statement on confidentiality of clinical evidence is the first</w:t>
      </w:r>
      <w:r w:rsidR="00F946B0">
        <w:t xml:space="preserve"> of these collaborations</w:t>
      </w:r>
      <w:r w:rsidR="0097488C" w:rsidRPr="00422EC6">
        <w:t>.</w:t>
      </w:r>
    </w:p>
    <w:p w14:paraId="34F7E1DE" w14:textId="2845EFF3" w:rsidR="00966E38" w:rsidRPr="00D40E11" w:rsidRDefault="047E1670" w:rsidP="00D40E11">
      <w:pPr>
        <w:pStyle w:val="ParagraphNumbered"/>
        <w:numPr>
          <w:ilvl w:val="0"/>
          <w:numId w:val="0"/>
        </w:numPr>
        <w:rPr>
          <w:b/>
          <w:bCs/>
          <w:sz w:val="28"/>
          <w:szCs w:val="28"/>
        </w:rPr>
      </w:pPr>
      <w:r w:rsidRPr="00D40E11">
        <w:rPr>
          <w:b/>
          <w:bCs/>
          <w:sz w:val="28"/>
          <w:szCs w:val="28"/>
        </w:rPr>
        <w:t xml:space="preserve">What </w:t>
      </w:r>
      <w:r w:rsidR="79EF2877" w:rsidRPr="00D40E11">
        <w:rPr>
          <w:b/>
          <w:bCs/>
          <w:sz w:val="28"/>
          <w:szCs w:val="28"/>
        </w:rPr>
        <w:t>change</w:t>
      </w:r>
      <w:r w:rsidR="008B6615">
        <w:rPr>
          <w:b/>
          <w:bCs/>
          <w:sz w:val="28"/>
          <w:szCs w:val="28"/>
        </w:rPr>
        <w:t>s</w:t>
      </w:r>
      <w:r w:rsidR="79EF2877" w:rsidRPr="00D40E11">
        <w:rPr>
          <w:b/>
          <w:bCs/>
          <w:sz w:val="28"/>
          <w:szCs w:val="28"/>
        </w:rPr>
        <w:t xml:space="preserve"> are we making</w:t>
      </w:r>
      <w:r w:rsidRPr="00D40E11">
        <w:rPr>
          <w:b/>
          <w:bCs/>
          <w:sz w:val="28"/>
          <w:szCs w:val="28"/>
        </w:rPr>
        <w:t>?</w:t>
      </w:r>
    </w:p>
    <w:p w14:paraId="2440B2C2" w14:textId="0C6B7C66" w:rsidR="002B4B95" w:rsidRPr="001561E8" w:rsidRDefault="002B4B95" w:rsidP="002B4B95">
      <w:pPr>
        <w:pStyle w:val="ParagraphNumbered"/>
      </w:pPr>
      <w:r>
        <w:t>We are being asked to inform and make decisions ever earlier in the lifecycle of health technologies, whe</w:t>
      </w:r>
      <w:r w:rsidR="00F946B0">
        <w:t>n</w:t>
      </w:r>
      <w:r>
        <w:t xml:space="preserve"> evidence is </w:t>
      </w:r>
      <w:r w:rsidR="00F946B0">
        <w:t xml:space="preserve">still </w:t>
      </w:r>
      <w:r>
        <w:t xml:space="preserve">maturing and </w:t>
      </w:r>
      <w:r w:rsidR="00914FC5">
        <w:t xml:space="preserve">is </w:t>
      </w:r>
      <w:r>
        <w:t>often unpublished. Recognising this, we have accepted data in confidence</w:t>
      </w:r>
      <w:r w:rsidR="008F6FF9">
        <w:t xml:space="preserve"> and </w:t>
      </w:r>
      <w:r>
        <w:t>redact</w:t>
      </w:r>
      <w:r w:rsidR="008F6FF9">
        <w:t xml:space="preserve">ed </w:t>
      </w:r>
      <w:r>
        <w:t xml:space="preserve">it from </w:t>
      </w:r>
      <w:r w:rsidRPr="001561E8">
        <w:t xml:space="preserve">public documents. We believe it is now time to change the way we think about confidential information. </w:t>
      </w:r>
    </w:p>
    <w:p w14:paraId="6CDDDD71" w14:textId="55FC855A" w:rsidR="000D3E1A" w:rsidRPr="001561E8" w:rsidRDefault="0061316D" w:rsidP="000D3E1A">
      <w:pPr>
        <w:pStyle w:val="ParagraphNumbered"/>
        <w:rPr>
          <w:sz w:val="22"/>
          <w:szCs w:val="22"/>
        </w:rPr>
      </w:pPr>
      <w:bookmarkStart w:id="0" w:name="_Hlk124845698"/>
      <w:r>
        <w:t xml:space="preserve">For evaluations starting after </w:t>
      </w:r>
      <w:r w:rsidR="000D3E1A" w:rsidRPr="001561E8">
        <w:t xml:space="preserve">April 2023, NICE </w:t>
      </w:r>
      <w:r w:rsidR="0078018D">
        <w:t xml:space="preserve">technology appraisals </w:t>
      </w:r>
      <w:r w:rsidR="00703CAB">
        <w:t xml:space="preserve">and </w:t>
      </w:r>
      <w:r w:rsidR="00703CAB" w:rsidRPr="001561E8">
        <w:t xml:space="preserve">CADTH </w:t>
      </w:r>
      <w:r w:rsidR="000D3E1A" w:rsidRPr="001561E8">
        <w:t xml:space="preserve">will no longer </w:t>
      </w:r>
      <w:r w:rsidR="00AD5CAC" w:rsidRPr="00AD5CAC">
        <w:t>routinely</w:t>
      </w:r>
      <w:r w:rsidR="00AD5CAC">
        <w:t xml:space="preserve"> </w:t>
      </w:r>
      <w:r w:rsidR="000D3E1A" w:rsidRPr="001561E8">
        <w:t xml:space="preserve">redact clinical data that </w:t>
      </w:r>
      <w:r w:rsidR="001E1668">
        <w:t>is</w:t>
      </w:r>
      <w:r w:rsidR="000D3E1A" w:rsidRPr="001561E8">
        <w:t xml:space="preserve"> awaiting publication </w:t>
      </w:r>
      <w:r w:rsidR="001E1668">
        <w:t xml:space="preserve">when we publish </w:t>
      </w:r>
      <w:r w:rsidR="000D3E1A" w:rsidRPr="001561E8">
        <w:t>our</w:t>
      </w:r>
      <w:r w:rsidR="001E1668">
        <w:t xml:space="preserve"> guidance</w:t>
      </w:r>
      <w:r w:rsidR="000D3E1A" w:rsidRPr="001561E8">
        <w:t xml:space="preserve">. ICER will allow redaction </w:t>
      </w:r>
      <w:r w:rsidR="001E1668">
        <w:t xml:space="preserve">of </w:t>
      </w:r>
      <w:r w:rsidR="000D3E1A" w:rsidRPr="001561E8">
        <w:t xml:space="preserve">data that </w:t>
      </w:r>
      <w:r w:rsidR="001E1668">
        <w:t>is</w:t>
      </w:r>
      <w:r w:rsidR="000D3E1A" w:rsidRPr="001561E8">
        <w:t xml:space="preserve"> formally planned for public release</w:t>
      </w:r>
      <w:r w:rsidR="001E1668">
        <w:t xml:space="preserve"> for 12 months, as academic in confidence</w:t>
      </w:r>
      <w:r w:rsidR="000D3E1A" w:rsidRPr="001561E8">
        <w:t>.</w:t>
      </w:r>
    </w:p>
    <w:p w14:paraId="1FDC3272" w14:textId="3492E686" w:rsidR="003D2980" w:rsidRPr="00FA1383" w:rsidRDefault="00422EC6" w:rsidP="00104112">
      <w:pPr>
        <w:pStyle w:val="ParagraphNumbered"/>
      </w:pPr>
      <w:r>
        <w:t>For other clinical</w:t>
      </w:r>
      <w:r w:rsidR="00BA37E1">
        <w:t xml:space="preserve"> data</w:t>
      </w:r>
      <w:r>
        <w:t xml:space="preserve">, we have defined </w:t>
      </w:r>
      <w:r w:rsidR="0D120A38" w:rsidRPr="00FA1383">
        <w:t xml:space="preserve">a list of </w:t>
      </w:r>
      <w:r w:rsidR="00A50295" w:rsidRPr="00FA1383">
        <w:t xml:space="preserve">categories </w:t>
      </w:r>
      <w:r w:rsidR="00BA37E1">
        <w:t xml:space="preserve">for which we expect the data </w:t>
      </w:r>
      <w:r w:rsidR="0D120A38" w:rsidRPr="00FA1383">
        <w:t xml:space="preserve">to be made available in the public domain </w:t>
      </w:r>
      <w:r w:rsidR="00B71850" w:rsidRPr="00FA1383">
        <w:t xml:space="preserve">where it informs </w:t>
      </w:r>
      <w:r w:rsidR="12322BBA" w:rsidRPr="00FA1383">
        <w:t xml:space="preserve">the </w:t>
      </w:r>
      <w:r w:rsidR="12322BBA" w:rsidRPr="00422EC6">
        <w:t>development of our guidance</w:t>
      </w:r>
      <w:r w:rsidR="004B3B02">
        <w:t xml:space="preserve"> (see appendix</w:t>
      </w:r>
      <w:r w:rsidR="00BA37E1">
        <w:t xml:space="preserve"> A</w:t>
      </w:r>
      <w:r w:rsidR="004B3B02">
        <w:t>)</w:t>
      </w:r>
      <w:r w:rsidR="0D120A38" w:rsidRPr="00422EC6">
        <w:t>.</w:t>
      </w:r>
      <w:r w:rsidR="00D36381" w:rsidRPr="00422EC6">
        <w:t xml:space="preserve"> We will review and update the list as new challenges arise.</w:t>
      </w:r>
    </w:p>
    <w:p w14:paraId="5C859C28" w14:textId="23B67CE4" w:rsidR="006E453D" w:rsidRDefault="00751D79" w:rsidP="006E453D">
      <w:pPr>
        <w:pStyle w:val="ParagraphNumbered"/>
      </w:pPr>
      <w:r>
        <w:t xml:space="preserve">Respecting the different contexts in which </w:t>
      </w:r>
      <w:r w:rsidR="00BA37E1">
        <w:t>our</w:t>
      </w:r>
      <w:r w:rsidR="000D6C67">
        <w:t xml:space="preserve"> agencies</w:t>
      </w:r>
      <w:r>
        <w:t xml:space="preserve"> operate we will have our own policies </w:t>
      </w:r>
      <w:r w:rsidR="006C2C48">
        <w:t xml:space="preserve">for </w:t>
      </w:r>
      <w:r w:rsidR="00914FC5">
        <w:t>managing</w:t>
      </w:r>
      <w:r w:rsidR="006C2C48">
        <w:t xml:space="preserve"> </w:t>
      </w:r>
      <w:r w:rsidR="00B71850" w:rsidRPr="00B71850">
        <w:t xml:space="preserve">clinical </w:t>
      </w:r>
      <w:r w:rsidR="00BA37E1">
        <w:t>data</w:t>
      </w:r>
      <w:r w:rsidR="00B71850" w:rsidRPr="00B71850">
        <w:t xml:space="preserve"> </w:t>
      </w:r>
      <w:r w:rsidR="00BA37E1">
        <w:t xml:space="preserve">for which </w:t>
      </w:r>
      <w:r w:rsidR="006C2C48">
        <w:t>there</w:t>
      </w:r>
      <w:r w:rsidR="00BA37E1">
        <w:t xml:space="preserve"> is no plan to publish</w:t>
      </w:r>
      <w:r>
        <w:t>.</w:t>
      </w:r>
    </w:p>
    <w:p w14:paraId="434B4FB7" w14:textId="7243ADDE" w:rsidR="00427CD7" w:rsidRDefault="008B6615" w:rsidP="00427CD7">
      <w:pPr>
        <w:pStyle w:val="ParagraphNumbered"/>
      </w:pPr>
      <w:r>
        <w:lastRenderedPageBreak/>
        <w:t>W</w:t>
      </w:r>
      <w:r w:rsidR="79269D5C">
        <w:t>e will</w:t>
      </w:r>
      <w:r w:rsidR="4055E353">
        <w:t xml:space="preserve"> </w:t>
      </w:r>
      <w:r>
        <w:t xml:space="preserve">continue to </w:t>
      </w:r>
      <w:r w:rsidR="79269D5C">
        <w:t>accept redaction of data that</w:t>
      </w:r>
      <w:r w:rsidR="00427CD7">
        <w:t xml:space="preserve"> </w:t>
      </w:r>
      <w:r w:rsidR="00BA37E1">
        <w:t>is</w:t>
      </w:r>
      <w:r w:rsidR="00751D79">
        <w:t xml:space="preserve"> commercially sensitive</w:t>
      </w:r>
      <w:r w:rsidR="00BA37E1">
        <w:t>,</w:t>
      </w:r>
      <w:r w:rsidR="00751D79">
        <w:t xml:space="preserve"> </w:t>
      </w:r>
      <w:r w:rsidR="00BA37E1">
        <w:t xml:space="preserve">such as information around </w:t>
      </w:r>
      <w:r w:rsidR="00751D79" w:rsidRPr="00751D79">
        <w:t>pric</w:t>
      </w:r>
      <w:r w:rsidR="00BA37E1">
        <w:t>ing</w:t>
      </w:r>
      <w:r w:rsidR="00751D79">
        <w:t xml:space="preserve"> and</w:t>
      </w:r>
      <w:r w:rsidR="00751D79" w:rsidRPr="00751D79">
        <w:t xml:space="preserve"> terms of reimbursement arrangements</w:t>
      </w:r>
      <w:r w:rsidR="00427CD7">
        <w:t>.</w:t>
      </w:r>
    </w:p>
    <w:bookmarkEnd w:id="0"/>
    <w:p w14:paraId="1A9AFFA7" w14:textId="12900756" w:rsidR="00353546" w:rsidRDefault="79269D5C" w:rsidP="00427CD7">
      <w:pPr>
        <w:pStyle w:val="ParagraphNumbered"/>
      </w:pPr>
      <w:r>
        <w:t>We consider it the responsibility of the</w:t>
      </w:r>
      <w:r w:rsidR="667A3753">
        <w:t xml:space="preserve"> evidence</w:t>
      </w:r>
      <w:r>
        <w:t xml:space="preserve"> holder to ensure they respect the </w:t>
      </w:r>
      <w:r w:rsidR="00BA37E1">
        <w:t xml:space="preserve">principle </w:t>
      </w:r>
      <w:r>
        <w:t>of transparency, especially wh</w:t>
      </w:r>
      <w:r w:rsidR="00BA37E1">
        <w:t>en</w:t>
      </w:r>
      <w:r>
        <w:t xml:space="preserve"> it concerns clinical data that has been sourced directly from people using healthcare services.</w:t>
      </w:r>
    </w:p>
    <w:p w14:paraId="120A1382" w14:textId="4AF0F54E" w:rsidR="79269D5C" w:rsidRDefault="227ED60B" w:rsidP="569B1AFF">
      <w:pPr>
        <w:pStyle w:val="Heading1"/>
      </w:pPr>
      <w:r>
        <w:t xml:space="preserve">Why </w:t>
      </w:r>
      <w:r w:rsidR="00353546">
        <w:t xml:space="preserve">are </w:t>
      </w:r>
      <w:r w:rsidR="00A11D46">
        <w:t>we making these changes</w:t>
      </w:r>
      <w:r>
        <w:t>?</w:t>
      </w:r>
    </w:p>
    <w:p w14:paraId="15A7C39C" w14:textId="094A8194" w:rsidR="00427CD7" w:rsidRDefault="00BA37E1" w:rsidP="00427CD7">
      <w:pPr>
        <w:pStyle w:val="ParagraphNumbered"/>
      </w:pPr>
      <w:r>
        <w:t xml:space="preserve">There are 4 main </w:t>
      </w:r>
      <w:r w:rsidR="00427CD7">
        <w:t>reasons</w:t>
      </w:r>
      <w:r w:rsidR="00A11D46">
        <w:t xml:space="preserve"> </w:t>
      </w:r>
      <w:r>
        <w:t>for</w:t>
      </w:r>
      <w:r w:rsidR="00A11D46">
        <w:t xml:space="preserve"> th</w:t>
      </w:r>
      <w:r>
        <w:t>ese</w:t>
      </w:r>
      <w:r w:rsidR="00A11D46">
        <w:t xml:space="preserve"> change</w:t>
      </w:r>
      <w:r>
        <w:t>s</w:t>
      </w:r>
      <w:r w:rsidR="00427CD7">
        <w:t xml:space="preserve">: </w:t>
      </w:r>
    </w:p>
    <w:p w14:paraId="6007FF9A" w14:textId="3A761D26" w:rsidR="00427CD7" w:rsidRPr="001561E8" w:rsidRDefault="00BA37E1" w:rsidP="001561E8">
      <w:pPr>
        <w:pStyle w:val="ParagraphNumbered"/>
        <w:numPr>
          <w:ilvl w:val="0"/>
          <w:numId w:val="28"/>
        </w:numPr>
        <w:rPr>
          <w:rFonts w:cs="Arial"/>
          <w:lang w:val="en-CA"/>
        </w:rPr>
      </w:pPr>
      <w:r>
        <w:t>Transparency is critical to public trust in evidence-based decision making in health</w:t>
      </w:r>
      <w:r w:rsidRPr="00BA37E1">
        <w:t xml:space="preserve"> </w:t>
      </w:r>
      <w:r>
        <w:t>and a cornerstone of health technology assessment. O</w:t>
      </w:r>
      <w:r w:rsidR="00427CD7">
        <w:t>the</w:t>
      </w:r>
      <w:r>
        <w:t>r agencies involved in</w:t>
      </w:r>
      <w:r w:rsidR="00427CD7">
        <w:t xml:space="preserve"> </w:t>
      </w:r>
      <w:r w:rsidR="00C64364">
        <w:t xml:space="preserve">health technology assessment and regulation </w:t>
      </w:r>
      <w:r w:rsidR="00427CD7">
        <w:t xml:space="preserve">are demanding increased levels of </w:t>
      </w:r>
      <w:r w:rsidR="00A07248">
        <w:t xml:space="preserve">transparency </w:t>
      </w:r>
      <w:r w:rsidRPr="00E87A2F">
        <w:t xml:space="preserve">(see </w:t>
      </w:r>
      <w:hyperlink r:id="rId9" w:history="1">
        <w:r w:rsidRPr="00E87A2F">
          <w:rPr>
            <w:rStyle w:val="Hyperlink"/>
          </w:rPr>
          <w:t>the European Medicines Agency’s page on clinical data publication</w:t>
        </w:r>
      </w:hyperlink>
      <w:r w:rsidRPr="00E87A2F">
        <w:t xml:space="preserve">, </w:t>
      </w:r>
      <w:hyperlink r:id="rId10" w:history="1">
        <w:r w:rsidRPr="00E87A2F">
          <w:rPr>
            <w:rStyle w:val="Hyperlink"/>
          </w:rPr>
          <w:t>EU regulation 2021/2282 on health technology assessment</w:t>
        </w:r>
      </w:hyperlink>
      <w:r w:rsidRPr="00E87A2F">
        <w:t xml:space="preserve"> and </w:t>
      </w:r>
      <w:hyperlink r:id="rId11" w:anchor="s2.2" w:history="1">
        <w:r w:rsidRPr="00E87A2F">
          <w:rPr>
            <w:rStyle w:val="Hyperlink"/>
          </w:rPr>
          <w:t>the Canadian government’s guidance on public release of clinical information</w:t>
        </w:r>
      </w:hyperlink>
      <w:r w:rsidRPr="00E87A2F">
        <w:t>).</w:t>
      </w:r>
    </w:p>
    <w:p w14:paraId="2DE59F2C" w14:textId="431D71CA" w:rsidR="00427CD7" w:rsidRDefault="00BA37E1" w:rsidP="00751D79">
      <w:pPr>
        <w:pStyle w:val="ParagraphNumbered"/>
        <w:numPr>
          <w:ilvl w:val="0"/>
          <w:numId w:val="28"/>
        </w:numPr>
      </w:pPr>
      <w:r>
        <w:t>I</w:t>
      </w:r>
      <w:r w:rsidR="001B06DE">
        <w:t>t is</w:t>
      </w:r>
      <w:r w:rsidR="00427CD7">
        <w:t xml:space="preserve"> no longer </w:t>
      </w:r>
      <w:r w:rsidR="001B06DE">
        <w:t xml:space="preserve">appropriate to </w:t>
      </w:r>
      <w:r w:rsidR="00427CD7">
        <w:t xml:space="preserve">assume that release of clinical evidence as part of </w:t>
      </w:r>
      <w:r>
        <w:t xml:space="preserve">an assessment </w:t>
      </w:r>
      <w:r w:rsidR="00427CD7">
        <w:t>inhibit</w:t>
      </w:r>
      <w:r w:rsidR="00751D79">
        <w:t>s</w:t>
      </w:r>
      <w:r w:rsidR="00427CD7">
        <w:t xml:space="preserve"> publication in a medical journal. In this context, the International Committee of Medical Journal Editors </w:t>
      </w:r>
      <w:r w:rsidR="00F16966">
        <w:t xml:space="preserve">(ICMJE) </w:t>
      </w:r>
      <w:r w:rsidR="00A11D46">
        <w:t xml:space="preserve">notes </w:t>
      </w:r>
      <w:r w:rsidR="00427CD7">
        <w:t>that it ‘does not consider results or data contained in assessment reports published by health technology assessment agencies, medical regulators, medical device regulators, or other regulatory agencies to be duplicate publication</w:t>
      </w:r>
      <w:r w:rsidR="0025648D">
        <w:t xml:space="preserve"> (see the </w:t>
      </w:r>
      <w:hyperlink r:id="rId12" w:history="1">
        <w:r w:rsidR="00F16966" w:rsidRPr="00F16966">
          <w:rPr>
            <w:rStyle w:val="Hyperlink"/>
          </w:rPr>
          <w:t>ICMJE</w:t>
        </w:r>
        <w:r w:rsidR="00ED074C">
          <w:rPr>
            <w:rStyle w:val="Hyperlink"/>
          </w:rPr>
          <w:t xml:space="preserve"> annotated</w:t>
        </w:r>
        <w:r w:rsidR="00F16966" w:rsidRPr="00F16966">
          <w:rPr>
            <w:rStyle w:val="Hyperlink"/>
          </w:rPr>
          <w:t xml:space="preserve"> recommendations for the conduct, reporting, editing, and publication of scholarly work in medical journals</w:t>
        </w:r>
      </w:hyperlink>
      <w:r w:rsidR="0025648D">
        <w:t>)</w:t>
      </w:r>
      <w:r w:rsidR="00427CD7">
        <w:t>.</w:t>
      </w:r>
    </w:p>
    <w:p w14:paraId="5D1827DC" w14:textId="2685AD8C" w:rsidR="00427CD7" w:rsidRDefault="00A07248" w:rsidP="00751D79">
      <w:pPr>
        <w:pStyle w:val="ParagraphNumbered"/>
        <w:numPr>
          <w:ilvl w:val="0"/>
          <w:numId w:val="28"/>
        </w:numPr>
      </w:pPr>
      <w:r>
        <w:t>W</w:t>
      </w:r>
      <w:r w:rsidR="00D8136A">
        <w:t xml:space="preserve">e want </w:t>
      </w:r>
      <w:r w:rsidR="009C25A0">
        <w:t xml:space="preserve">our </w:t>
      </w:r>
      <w:r>
        <w:t xml:space="preserve">health technology assessment </w:t>
      </w:r>
      <w:r w:rsidR="00D8136A">
        <w:t xml:space="preserve">processes to be </w:t>
      </w:r>
      <w:r w:rsidR="005B513A">
        <w:t xml:space="preserve">streamlined and </w:t>
      </w:r>
      <w:r w:rsidR="00D8136A">
        <w:t xml:space="preserve">efficient </w:t>
      </w:r>
      <w:r w:rsidR="009C25A0">
        <w:t>so we can use</w:t>
      </w:r>
      <w:r w:rsidR="00D8136A">
        <w:t xml:space="preserve"> our resources </w:t>
      </w:r>
      <w:r w:rsidR="009C25A0">
        <w:t>on</w:t>
      </w:r>
      <w:r w:rsidR="00D8136A">
        <w:t xml:space="preserve"> activities important for our users</w:t>
      </w:r>
      <w:r w:rsidR="00A11D46">
        <w:t>.</w:t>
      </w:r>
    </w:p>
    <w:p w14:paraId="0A1A0A83" w14:textId="31233745" w:rsidR="00A11D46" w:rsidRDefault="00A07248" w:rsidP="00A11D46">
      <w:pPr>
        <w:pStyle w:val="ParagraphNumbered"/>
        <w:numPr>
          <w:ilvl w:val="0"/>
          <w:numId w:val="28"/>
        </w:numPr>
      </w:pPr>
      <w:r>
        <w:lastRenderedPageBreak/>
        <w:t>W</w:t>
      </w:r>
      <w:r w:rsidR="00427CD7">
        <w:t xml:space="preserve">e accept that those that work with us, and the public at large, expect us to work differently, and we agree with them </w:t>
      </w:r>
      <w:r w:rsidRPr="000D6C67">
        <w:rPr>
          <w:rFonts w:cs="Arial"/>
        </w:rPr>
        <w:t>(</w:t>
      </w:r>
      <w:r>
        <w:rPr>
          <w:rFonts w:cs="Arial"/>
        </w:rPr>
        <w:t>see the BMJ Open’s</w:t>
      </w:r>
      <w:r w:rsidRPr="000D6C67">
        <w:rPr>
          <w:rFonts w:cs="Arial"/>
        </w:rPr>
        <w:t xml:space="preserve"> </w:t>
      </w:r>
      <w:hyperlink r:id="rId13">
        <w:r w:rsidRPr="000D6C67">
          <w:rPr>
            <w:rFonts w:cs="Arial"/>
            <w:color w:val="0000FF"/>
            <w:u w:val="single"/>
            <w:lang w:eastAsia="en-GB"/>
          </w:rPr>
          <w:t>Audit of data redaction practices in NICE technology appraisals from 1999 to 2019</w:t>
        </w:r>
      </w:hyperlink>
      <w:r w:rsidRPr="000D6C67">
        <w:rPr>
          <w:rFonts w:cs="Arial"/>
          <w:lang w:eastAsia="en-GB"/>
        </w:rPr>
        <w:t>)</w:t>
      </w:r>
      <w:r w:rsidR="00427CD7" w:rsidRPr="000D6C67">
        <w:rPr>
          <w:rFonts w:cs="Arial"/>
        </w:rPr>
        <w:t>.</w:t>
      </w:r>
      <w:r w:rsidR="00427CD7">
        <w:t xml:space="preserve"> </w:t>
      </w:r>
    </w:p>
    <w:p w14:paraId="07C836BA" w14:textId="77777777" w:rsidR="00914FC5" w:rsidRDefault="00914FC5">
      <w:pPr>
        <w:rPr>
          <w:rFonts w:ascii="Arial" w:hAnsi="Arial"/>
          <w:lang w:eastAsia="en-US"/>
        </w:rPr>
        <w:sectPr w:rsidR="00914FC5" w:rsidSect="008F6FB7">
          <w:footerReference w:type="default" r:id="rId14"/>
          <w:headerReference w:type="first" r:id="rId15"/>
          <w:footerReference w:type="first" r:id="rId16"/>
          <w:pgSz w:w="11906" w:h="16838"/>
          <w:pgMar w:top="1440" w:right="1800" w:bottom="1440" w:left="1800" w:header="708" w:footer="708" w:gutter="0"/>
          <w:cols w:space="708"/>
          <w:titlePg/>
          <w:docGrid w:linePitch="360"/>
        </w:sectPr>
      </w:pPr>
    </w:p>
    <w:p w14:paraId="73C5EDAC" w14:textId="21038C7C" w:rsidR="00990971" w:rsidRDefault="00914FC5" w:rsidP="00914FC5">
      <w:pPr>
        <w:pStyle w:val="Paragraph"/>
      </w:pPr>
      <w:r w:rsidRPr="00914FC5">
        <w:t xml:space="preserve">Suzanne McGurn, </w:t>
      </w:r>
      <w:proofErr w:type="gramStart"/>
      <w:r w:rsidRPr="00914FC5">
        <w:t>President</w:t>
      </w:r>
      <w:proofErr w:type="gramEnd"/>
      <w:r w:rsidRPr="00914FC5">
        <w:t xml:space="preserve"> and CEO</w:t>
      </w:r>
      <w:r w:rsidR="00ED074C">
        <w:t xml:space="preserve"> </w:t>
      </w:r>
    </w:p>
    <w:p w14:paraId="44EF5AC2" w14:textId="08A66D90" w:rsidR="00914FC5" w:rsidRDefault="00914FC5" w:rsidP="00914FC5">
      <w:pPr>
        <w:pStyle w:val="Paragraph"/>
      </w:pPr>
      <w:r w:rsidRPr="00914FC5">
        <w:t>Canadian Agency for Drugs and Technologies in Health</w:t>
      </w:r>
    </w:p>
    <w:p w14:paraId="6B17BC79" w14:textId="6CFAA302" w:rsidR="00990971" w:rsidRDefault="00914FC5" w:rsidP="00914FC5">
      <w:pPr>
        <w:pStyle w:val="Paragraph"/>
      </w:pPr>
      <w:r>
        <w:t xml:space="preserve">Dr Steven Pearson, President </w:t>
      </w:r>
    </w:p>
    <w:p w14:paraId="38E0BA14" w14:textId="69E0AB47" w:rsidR="00914FC5" w:rsidRDefault="00914FC5" w:rsidP="00914FC5">
      <w:pPr>
        <w:pStyle w:val="Paragraph"/>
        <w:rPr>
          <w:sz w:val="22"/>
          <w:szCs w:val="22"/>
        </w:rPr>
      </w:pPr>
      <w:r>
        <w:t>Institute for Clinical and Economic Review</w:t>
      </w:r>
    </w:p>
    <w:p w14:paraId="697D7829" w14:textId="77777777" w:rsidR="00914FC5" w:rsidRDefault="00914FC5" w:rsidP="00914FC5">
      <w:pPr>
        <w:pStyle w:val="Paragraph"/>
      </w:pPr>
    </w:p>
    <w:p w14:paraId="132C52D3" w14:textId="664C87D3" w:rsidR="00990971" w:rsidRDefault="00914FC5" w:rsidP="00914FC5">
      <w:pPr>
        <w:pStyle w:val="Paragraph"/>
      </w:pPr>
      <w:r>
        <w:t xml:space="preserve">Dr Sam Roberts, Chief Executive </w:t>
      </w:r>
    </w:p>
    <w:p w14:paraId="204F590D" w14:textId="0B3BE0D0" w:rsidR="00914FC5" w:rsidRDefault="00914FC5" w:rsidP="00914FC5">
      <w:pPr>
        <w:pStyle w:val="Paragraph"/>
      </w:pPr>
      <w:r>
        <w:t>National Institute for Health and Care Excellence</w:t>
      </w:r>
    </w:p>
    <w:p w14:paraId="7738748E" w14:textId="3C2A7C4D" w:rsidR="00914FC5" w:rsidRDefault="00914FC5" w:rsidP="00914FC5">
      <w:pPr>
        <w:pStyle w:val="Paragraph"/>
      </w:pPr>
      <w:r w:rsidRPr="00914FC5">
        <w:t xml:space="preserve"> </w:t>
      </w:r>
    </w:p>
    <w:p w14:paraId="26E83193" w14:textId="77777777" w:rsidR="00914FC5" w:rsidRDefault="00914FC5">
      <w:pPr>
        <w:rPr>
          <w:rFonts w:ascii="Arial" w:hAnsi="Arial"/>
          <w:lang w:eastAsia="en-US"/>
        </w:rPr>
        <w:sectPr w:rsidR="00914FC5" w:rsidSect="00914FC5">
          <w:headerReference w:type="first" r:id="rId17"/>
          <w:type w:val="continuous"/>
          <w:pgSz w:w="11906" w:h="16838"/>
          <w:pgMar w:top="1440" w:right="1800" w:bottom="1440" w:left="1800" w:header="708" w:footer="708" w:gutter="0"/>
          <w:cols w:num="3" w:space="708"/>
          <w:titlePg/>
          <w:docGrid w:linePitch="360"/>
        </w:sectPr>
      </w:pPr>
    </w:p>
    <w:p w14:paraId="318CA1DA" w14:textId="77777777" w:rsidR="00914FC5" w:rsidRDefault="00914FC5"/>
    <w:p w14:paraId="1623FEDE" w14:textId="77777777" w:rsidR="00914FC5" w:rsidRDefault="00914FC5"/>
    <w:p w14:paraId="1BCA7EA7" w14:textId="7B2A058D" w:rsidR="00422EC6" w:rsidRDefault="00422EC6">
      <w:pPr>
        <w:rPr>
          <w:rFonts w:ascii="Arial" w:hAnsi="Arial"/>
          <w:lang w:eastAsia="en-US"/>
        </w:rPr>
      </w:pPr>
      <w:r>
        <w:br w:type="page"/>
      </w:r>
    </w:p>
    <w:p w14:paraId="441D19AB" w14:textId="51856F12" w:rsidR="00422EC6" w:rsidRPr="00535FD3" w:rsidRDefault="004B3B02" w:rsidP="00422EC6">
      <w:pPr>
        <w:pStyle w:val="Heading3"/>
      </w:pPr>
      <w:r>
        <w:lastRenderedPageBreak/>
        <w:t>Appendix</w:t>
      </w:r>
      <w:r w:rsidR="00A07248">
        <w:t xml:space="preserve"> A</w:t>
      </w:r>
      <w:r>
        <w:t xml:space="preserve">: </w:t>
      </w:r>
      <w:r w:rsidR="00A07248">
        <w:t>r</w:t>
      </w:r>
      <w:r w:rsidR="00422EC6" w:rsidRPr="00535FD3">
        <w:t>edaction status of clinical data</w:t>
      </w:r>
    </w:p>
    <w:p w14:paraId="17011C4D" w14:textId="4F4A369E" w:rsidR="00422EC6" w:rsidRDefault="00422EC6" w:rsidP="00422EC6">
      <w:pPr>
        <w:pStyle w:val="Paragraph"/>
      </w:pPr>
      <w:r>
        <w:t xml:space="preserve">CADTH, ICER and NICE </w:t>
      </w:r>
      <w:r w:rsidRPr="001D217D">
        <w:t xml:space="preserve">have agreed </w:t>
      </w:r>
      <w:r w:rsidRPr="009B7A32">
        <w:t xml:space="preserve">a shared list of categories of clinical </w:t>
      </w:r>
      <w:r w:rsidR="00A07248">
        <w:t xml:space="preserve">data </w:t>
      </w:r>
      <w:r w:rsidRPr="001D217D">
        <w:t>that can be redacted</w:t>
      </w:r>
      <w:r>
        <w:t xml:space="preserve">. </w:t>
      </w:r>
    </w:p>
    <w:p w14:paraId="2B6E8F43" w14:textId="2236DF7F" w:rsidR="00422EC6" w:rsidRDefault="00422EC6" w:rsidP="00422EC6">
      <w:pPr>
        <w:pStyle w:val="Paragraph"/>
      </w:pPr>
      <w:r w:rsidRPr="009B7A32">
        <w:t>Respecting the different contexts in which the agencies operate</w:t>
      </w:r>
      <w:r>
        <w:t xml:space="preserve">, </w:t>
      </w:r>
      <w:r w:rsidR="00A07248">
        <w:t xml:space="preserve">we </w:t>
      </w:r>
      <w:r>
        <w:t xml:space="preserve">retain the freedom to </w:t>
      </w:r>
      <w:r w:rsidRPr="001D217D">
        <w:t xml:space="preserve">individualise implementation </w:t>
      </w:r>
      <w:r>
        <w:t xml:space="preserve">of this list </w:t>
      </w:r>
      <w:r w:rsidRPr="001D217D">
        <w:t>in</w:t>
      </w:r>
      <w:r w:rsidR="00A07248">
        <w:t xml:space="preserve"> our policies.</w:t>
      </w:r>
    </w:p>
    <w:p w14:paraId="5A1619A6" w14:textId="2E28E221" w:rsidR="005B513A" w:rsidRPr="007F697B" w:rsidRDefault="005B513A" w:rsidP="007F697B">
      <w:pPr>
        <w:pStyle w:val="Paragraph"/>
        <w:numPr>
          <w:ilvl w:val="0"/>
          <w:numId w:val="30"/>
        </w:numPr>
      </w:pPr>
      <w:r w:rsidRPr="006C3070">
        <w:t>For CADTH</w:t>
      </w:r>
      <w:r w:rsidRPr="007F697B">
        <w:t xml:space="preserve">, redactable means that the </w:t>
      </w:r>
      <w:r w:rsidRPr="007F697B">
        <w:rPr>
          <w:lang w:val="en-US"/>
        </w:rPr>
        <w:t xml:space="preserve">confidential information will be removed in all documents that are publicly posted by CADTH. Redactions do not expire after a set period, but </w:t>
      </w:r>
      <w:r w:rsidRPr="007F697B">
        <w:t>CADTH may elect to update a previously posted review report should the redacted information become available in the public domain</w:t>
      </w:r>
      <w:r w:rsidR="007F697B">
        <w:t>.</w:t>
      </w:r>
    </w:p>
    <w:p w14:paraId="3B578743" w14:textId="2E925EC1" w:rsidR="007F697B" w:rsidRDefault="00422EC6" w:rsidP="007F697B">
      <w:pPr>
        <w:pStyle w:val="Paragraph"/>
        <w:numPr>
          <w:ilvl w:val="0"/>
          <w:numId w:val="30"/>
        </w:numPr>
      </w:pPr>
      <w:r w:rsidRPr="007F697B">
        <w:t>For ICER</w:t>
      </w:r>
      <w:r w:rsidR="001F26BA" w:rsidRPr="007F697B">
        <w:t xml:space="preserve">, redactable means that the data are marked as </w:t>
      </w:r>
      <w:r w:rsidR="00A07248">
        <w:t xml:space="preserve">academic-in-confidence </w:t>
      </w:r>
      <w:r w:rsidR="001F26BA" w:rsidRPr="007F697B">
        <w:t>and redacted for 12 months or when the data become</w:t>
      </w:r>
      <w:r w:rsidR="00A07248">
        <w:t>s</w:t>
      </w:r>
      <w:r w:rsidR="001F26BA" w:rsidRPr="007F697B">
        <w:t xml:space="preserve"> publicly available, whichever is sooner. </w:t>
      </w:r>
    </w:p>
    <w:p w14:paraId="260AB593" w14:textId="586159CC" w:rsidR="00422EC6" w:rsidRPr="007F697B" w:rsidRDefault="00422EC6" w:rsidP="007F697B">
      <w:pPr>
        <w:pStyle w:val="Paragraph"/>
        <w:numPr>
          <w:ilvl w:val="0"/>
          <w:numId w:val="30"/>
        </w:numPr>
      </w:pPr>
      <w:r w:rsidRPr="007F697B">
        <w:t>For NICE, redactable mean</w:t>
      </w:r>
      <w:r w:rsidR="006C3070" w:rsidRPr="007F697B">
        <w:t>s that the confidential information will be removed in all documents that are publicly posted by NICE. Redactions do not expire after a set period.</w:t>
      </w:r>
    </w:p>
    <w:p w14:paraId="705C42B0" w14:textId="07CBB24D" w:rsidR="00422EC6" w:rsidRPr="001D217D" w:rsidRDefault="00422EC6" w:rsidP="00422EC6">
      <w:pPr>
        <w:pStyle w:val="Heading3"/>
      </w:pPr>
      <w:r>
        <w:t>Table</w:t>
      </w:r>
      <w:r w:rsidR="00A07248">
        <w:t xml:space="preserve"> 1</w:t>
      </w:r>
      <w:r>
        <w:t xml:space="preserve">: </w:t>
      </w:r>
      <w:r w:rsidR="00A07248" w:rsidRPr="00A07248">
        <w:t>Shared list of categories of clinical data and redaction status</w:t>
      </w:r>
    </w:p>
    <w:tbl>
      <w:tblPr>
        <w:tblStyle w:val="TableGrid"/>
        <w:tblW w:w="0" w:type="auto"/>
        <w:tblLook w:val="04A0" w:firstRow="1" w:lastRow="0" w:firstColumn="1" w:lastColumn="0" w:noHBand="0" w:noVBand="1"/>
      </w:tblPr>
      <w:tblGrid>
        <w:gridCol w:w="3118"/>
        <w:gridCol w:w="1415"/>
        <w:gridCol w:w="3763"/>
      </w:tblGrid>
      <w:tr w:rsidR="00A40B1B" w14:paraId="155F5D03" w14:textId="77777777" w:rsidTr="00BA731E">
        <w:tc>
          <w:tcPr>
            <w:tcW w:w="3256" w:type="dxa"/>
          </w:tcPr>
          <w:p w14:paraId="4B7AC485" w14:textId="77777777" w:rsidR="00422EC6" w:rsidRDefault="00422EC6" w:rsidP="00422EC6">
            <w:pPr>
              <w:pStyle w:val="Tableheading"/>
            </w:pPr>
            <w:r>
              <w:t>Item</w:t>
            </w:r>
          </w:p>
        </w:tc>
        <w:tc>
          <w:tcPr>
            <w:tcW w:w="1417" w:type="dxa"/>
          </w:tcPr>
          <w:p w14:paraId="3FD21196" w14:textId="77777777" w:rsidR="00422EC6" w:rsidRDefault="00422EC6" w:rsidP="00422EC6">
            <w:pPr>
              <w:pStyle w:val="Tableheading"/>
            </w:pPr>
            <w:r>
              <w:t>Redactable</w:t>
            </w:r>
          </w:p>
        </w:tc>
        <w:tc>
          <w:tcPr>
            <w:tcW w:w="3969" w:type="dxa"/>
          </w:tcPr>
          <w:p w14:paraId="78F97736" w14:textId="77777777" w:rsidR="00422EC6" w:rsidRDefault="00422EC6" w:rsidP="00422EC6">
            <w:pPr>
              <w:pStyle w:val="Tableheading"/>
            </w:pPr>
            <w:r>
              <w:t>Rationale</w:t>
            </w:r>
          </w:p>
        </w:tc>
      </w:tr>
      <w:tr w:rsidR="00A40B1B" w14:paraId="6978249A" w14:textId="77777777" w:rsidTr="00BA731E">
        <w:tc>
          <w:tcPr>
            <w:tcW w:w="3256" w:type="dxa"/>
          </w:tcPr>
          <w:p w14:paraId="06800274" w14:textId="77777777" w:rsidR="00422EC6" w:rsidRDefault="00422EC6" w:rsidP="00422EC6">
            <w:pPr>
              <w:pStyle w:val="Tabletext"/>
            </w:pPr>
            <w:r>
              <w:t>Methods used to conduct a study or to analyse data from a study</w:t>
            </w:r>
          </w:p>
        </w:tc>
        <w:tc>
          <w:tcPr>
            <w:tcW w:w="1417" w:type="dxa"/>
          </w:tcPr>
          <w:p w14:paraId="77EABEC1" w14:textId="42A48F53" w:rsidR="00422EC6" w:rsidRDefault="00422EC6" w:rsidP="00422EC6">
            <w:pPr>
              <w:pStyle w:val="Tabletext"/>
            </w:pPr>
            <w:r>
              <w:t>No</w:t>
            </w:r>
          </w:p>
        </w:tc>
        <w:tc>
          <w:tcPr>
            <w:tcW w:w="3969" w:type="dxa"/>
          </w:tcPr>
          <w:p w14:paraId="03A4EF2C" w14:textId="77777777" w:rsidR="00422EC6" w:rsidRDefault="00422EC6" w:rsidP="00422EC6">
            <w:pPr>
              <w:pStyle w:val="Tabletext"/>
            </w:pPr>
            <w:r>
              <w:t>Methods information is required to understand how inputs are derived and does not predicate inputs that are considered confidential.</w:t>
            </w:r>
          </w:p>
        </w:tc>
      </w:tr>
      <w:tr w:rsidR="00A40B1B" w14:paraId="48EBA34B" w14:textId="77777777" w:rsidTr="00BA731E">
        <w:tc>
          <w:tcPr>
            <w:tcW w:w="3256" w:type="dxa"/>
          </w:tcPr>
          <w:p w14:paraId="41211BEF" w14:textId="77777777" w:rsidR="00422EC6" w:rsidRDefault="00422EC6" w:rsidP="00422EC6">
            <w:pPr>
              <w:pStyle w:val="Tabletext"/>
            </w:pPr>
            <w:r>
              <w:t>Clinical data that are available in the public domain</w:t>
            </w:r>
          </w:p>
        </w:tc>
        <w:tc>
          <w:tcPr>
            <w:tcW w:w="1417" w:type="dxa"/>
          </w:tcPr>
          <w:p w14:paraId="2E39808F" w14:textId="3E1B29BC" w:rsidR="00422EC6" w:rsidRDefault="00422EC6" w:rsidP="00422EC6">
            <w:pPr>
              <w:pStyle w:val="Tabletext"/>
            </w:pPr>
            <w:r>
              <w:t>No</w:t>
            </w:r>
          </w:p>
        </w:tc>
        <w:tc>
          <w:tcPr>
            <w:tcW w:w="3969" w:type="dxa"/>
          </w:tcPr>
          <w:p w14:paraId="6F05B487" w14:textId="77777777" w:rsidR="00422EC6" w:rsidRDefault="00422EC6" w:rsidP="00422EC6">
            <w:pPr>
              <w:pStyle w:val="Tabletext"/>
            </w:pPr>
            <w:r>
              <w:t>Information that is publicly available is not considered confidential information.</w:t>
            </w:r>
          </w:p>
        </w:tc>
      </w:tr>
      <w:tr w:rsidR="00A40B1B" w14:paraId="70759AA5" w14:textId="77777777" w:rsidTr="00BA731E">
        <w:tc>
          <w:tcPr>
            <w:tcW w:w="3256" w:type="dxa"/>
          </w:tcPr>
          <w:p w14:paraId="29BE1A74" w14:textId="412AD22E" w:rsidR="001A6702" w:rsidRDefault="00422EC6" w:rsidP="00422EC6">
            <w:pPr>
              <w:pStyle w:val="Tabletext"/>
            </w:pPr>
            <w:r>
              <w:t xml:space="preserve">Clinical data </w:t>
            </w:r>
            <w:r w:rsidR="00AD32D5">
              <w:t>not yet in the public domain but</w:t>
            </w:r>
            <w:r w:rsidR="001A6702">
              <w:t xml:space="preserve"> either:</w:t>
            </w:r>
            <w:r w:rsidR="00AD32D5">
              <w:t xml:space="preserve"> </w:t>
            </w:r>
          </w:p>
          <w:p w14:paraId="32D91353" w14:textId="22CDFC44" w:rsidR="001A6702" w:rsidRDefault="00422EC6" w:rsidP="001A6702">
            <w:pPr>
              <w:pStyle w:val="Tablebullet"/>
            </w:pPr>
            <w:r>
              <w:t>awaiting publication</w:t>
            </w:r>
            <w:r w:rsidR="001F26BA">
              <w:t xml:space="preserve"> in a journal</w:t>
            </w:r>
            <w:r w:rsidR="00AD32D5">
              <w:t xml:space="preserve"> or </w:t>
            </w:r>
          </w:p>
          <w:p w14:paraId="12E43EA7" w14:textId="2B3CF509" w:rsidR="00422EC6" w:rsidRDefault="00AD32D5" w:rsidP="001A6702">
            <w:pPr>
              <w:pStyle w:val="Tabletext"/>
              <w:numPr>
                <w:ilvl w:val="0"/>
                <w:numId w:val="29"/>
              </w:numPr>
            </w:pPr>
            <w:r>
              <w:t xml:space="preserve">will </w:t>
            </w:r>
            <w:r w:rsidR="00A40B1B">
              <w:t>be released into the public domain by regulatory authorities</w:t>
            </w:r>
          </w:p>
        </w:tc>
        <w:tc>
          <w:tcPr>
            <w:tcW w:w="1417" w:type="dxa"/>
          </w:tcPr>
          <w:p w14:paraId="748D5D09" w14:textId="71BF6FBB" w:rsidR="00422EC6" w:rsidRDefault="00422EC6" w:rsidP="00422EC6">
            <w:pPr>
              <w:pStyle w:val="Tabletext"/>
            </w:pPr>
            <w:r>
              <w:t xml:space="preserve">NICE and CADTH: </w:t>
            </w:r>
            <w:r w:rsidR="001D5CD5">
              <w:t>n</w:t>
            </w:r>
            <w:r>
              <w:t>o</w:t>
            </w:r>
          </w:p>
          <w:p w14:paraId="459AA7D3" w14:textId="77777777" w:rsidR="00422EC6" w:rsidRDefault="00422EC6" w:rsidP="00422EC6">
            <w:pPr>
              <w:pStyle w:val="Tabletext"/>
            </w:pPr>
          </w:p>
          <w:p w14:paraId="59444E4E" w14:textId="0374F89B" w:rsidR="00422EC6" w:rsidRDefault="00422EC6" w:rsidP="00422EC6">
            <w:pPr>
              <w:pStyle w:val="Tabletext"/>
            </w:pPr>
            <w:r>
              <w:t xml:space="preserve">ICER: </w:t>
            </w:r>
            <w:r w:rsidR="001D5CD5">
              <w:t>yes</w:t>
            </w:r>
          </w:p>
        </w:tc>
        <w:tc>
          <w:tcPr>
            <w:tcW w:w="3969" w:type="dxa"/>
          </w:tcPr>
          <w:p w14:paraId="2C7CE4AC" w14:textId="77777777" w:rsidR="00422EC6" w:rsidRDefault="00422EC6" w:rsidP="00422EC6">
            <w:pPr>
              <w:pStyle w:val="Tabletext"/>
            </w:pPr>
            <w:r w:rsidRPr="00535FD3">
              <w:t>To avoid unnecessary redaction of information which will subsequently become publicly available.</w:t>
            </w:r>
            <w:r>
              <w:t xml:space="preserve"> </w:t>
            </w:r>
          </w:p>
          <w:p w14:paraId="0F8096B0" w14:textId="65858076" w:rsidR="00422EC6" w:rsidRDefault="00422EC6" w:rsidP="00422EC6">
            <w:pPr>
              <w:pStyle w:val="Tabletext"/>
            </w:pPr>
            <w:r>
              <w:t xml:space="preserve">Responding to the ICMJE statement </w:t>
            </w:r>
            <w:r w:rsidR="001D5CD5">
              <w:t>that</w:t>
            </w:r>
            <w:r>
              <w:t xml:space="preserve"> re</w:t>
            </w:r>
            <w:r w:rsidRPr="00B86B73">
              <w:t xml:space="preserve">sults or data contained in assessment reports published by health technology assessment </w:t>
            </w:r>
            <w:r w:rsidRPr="00B86B73">
              <w:lastRenderedPageBreak/>
              <w:t xml:space="preserve">agencies, medical regulators, medical device regulators, or other regulatory agencies </w:t>
            </w:r>
            <w:r>
              <w:t xml:space="preserve">are not considered </w:t>
            </w:r>
            <w:r w:rsidRPr="00B86B73">
              <w:t xml:space="preserve">to be duplicate publication </w:t>
            </w:r>
            <w:r w:rsidR="00C64364">
              <w:t xml:space="preserve">(see </w:t>
            </w:r>
            <w:hyperlink r:id="rId18" w:history="1">
              <w:r w:rsidRPr="00C64364">
                <w:rPr>
                  <w:rStyle w:val="Hyperlink"/>
                </w:rPr>
                <w:t>ICMJE statement</w:t>
              </w:r>
            </w:hyperlink>
            <w:r w:rsidR="00C64364">
              <w:t>)</w:t>
            </w:r>
            <w:r>
              <w:t>.</w:t>
            </w:r>
          </w:p>
          <w:p w14:paraId="0CD6BFA2" w14:textId="2568EC5A" w:rsidR="0025648D" w:rsidRDefault="004C657D" w:rsidP="00422EC6">
            <w:pPr>
              <w:pStyle w:val="Tabletext"/>
            </w:pPr>
            <w:r>
              <w:t xml:space="preserve">Some </w:t>
            </w:r>
            <w:r w:rsidR="0025648D">
              <w:t xml:space="preserve">clinical data </w:t>
            </w:r>
            <w:r>
              <w:t>is</w:t>
            </w:r>
            <w:r w:rsidR="0025648D">
              <w:t xml:space="preserve"> subject to mandatory disclosure and placed in the public domain as part of transparency policies implemented by regulatory agencies </w:t>
            </w:r>
            <w:r w:rsidR="0025648D" w:rsidRPr="00E87A2F">
              <w:t xml:space="preserve">(see </w:t>
            </w:r>
            <w:hyperlink r:id="rId19" w:history="1">
              <w:r w:rsidR="0025648D" w:rsidRPr="00E87A2F">
                <w:rPr>
                  <w:rStyle w:val="Hyperlink"/>
                </w:rPr>
                <w:t>the European Medicines Agency’s page on clinical data publication</w:t>
              </w:r>
            </w:hyperlink>
            <w:r w:rsidR="0025648D" w:rsidRPr="00E87A2F">
              <w:t xml:space="preserve">, and </w:t>
            </w:r>
            <w:hyperlink r:id="rId20" w:anchor="s2.2" w:history="1">
              <w:r w:rsidR="0025648D" w:rsidRPr="00E87A2F">
                <w:rPr>
                  <w:rStyle w:val="Hyperlink"/>
                </w:rPr>
                <w:t>the Canadian government’s guidance on public release of clinical information</w:t>
              </w:r>
            </w:hyperlink>
            <w:r w:rsidR="0025648D" w:rsidRPr="00E87A2F">
              <w:t>)</w:t>
            </w:r>
            <w:r w:rsidR="00AB1643">
              <w:t>.</w:t>
            </w:r>
          </w:p>
          <w:p w14:paraId="4E5D6842" w14:textId="530F4BAB" w:rsidR="00404C40" w:rsidRDefault="00404C40" w:rsidP="00422EC6">
            <w:pPr>
              <w:pStyle w:val="Tabletext"/>
            </w:pPr>
            <w:r>
              <w:t>Data</w:t>
            </w:r>
            <w:r w:rsidR="001F26BA">
              <w:t xml:space="preserve"> awaiting presentation </w:t>
            </w:r>
            <w:r>
              <w:t xml:space="preserve">at congress </w:t>
            </w:r>
            <w:r w:rsidR="00C0317C">
              <w:t xml:space="preserve">that </w:t>
            </w:r>
            <w:r w:rsidR="001D5CD5">
              <w:t>is</w:t>
            </w:r>
            <w:r w:rsidR="00C0317C">
              <w:t xml:space="preserve"> not in the public domain </w:t>
            </w:r>
            <w:r w:rsidR="00701F08">
              <w:t xml:space="preserve">and </w:t>
            </w:r>
            <w:r w:rsidR="00CF3453">
              <w:t xml:space="preserve">with no further public </w:t>
            </w:r>
            <w:r>
              <w:t xml:space="preserve">release will be treated as </w:t>
            </w:r>
            <w:r w:rsidR="00701F08">
              <w:t xml:space="preserve">clinical </w:t>
            </w:r>
            <w:r>
              <w:t>data without a publication plan.</w:t>
            </w:r>
          </w:p>
        </w:tc>
      </w:tr>
      <w:tr w:rsidR="00A40B1B" w14:paraId="266785E9" w14:textId="77777777" w:rsidTr="00BA731E">
        <w:tc>
          <w:tcPr>
            <w:tcW w:w="3256" w:type="dxa"/>
          </w:tcPr>
          <w:p w14:paraId="6ABA90A5" w14:textId="271B38DB" w:rsidR="00422EC6" w:rsidRDefault="00422EC6" w:rsidP="00422EC6">
            <w:pPr>
              <w:pStyle w:val="Tabletext"/>
            </w:pPr>
            <w:r>
              <w:lastRenderedPageBreak/>
              <w:t>Clinical data that h</w:t>
            </w:r>
            <w:r w:rsidR="001D5CD5">
              <w:t>as</w:t>
            </w:r>
            <w:r>
              <w:t xml:space="preserve"> not been made publicly available and for which there is no </w:t>
            </w:r>
            <w:r w:rsidR="002A11E6">
              <w:t xml:space="preserve">plan for the data to become publicly available </w:t>
            </w:r>
          </w:p>
        </w:tc>
        <w:tc>
          <w:tcPr>
            <w:tcW w:w="1417" w:type="dxa"/>
          </w:tcPr>
          <w:p w14:paraId="124BE894" w14:textId="24A71E55" w:rsidR="00422EC6" w:rsidRDefault="001D5CD5" w:rsidP="00422EC6">
            <w:pPr>
              <w:pStyle w:val="Tabletext"/>
            </w:pPr>
            <w:r>
              <w:t>Yes</w:t>
            </w:r>
          </w:p>
        </w:tc>
        <w:tc>
          <w:tcPr>
            <w:tcW w:w="3969" w:type="dxa"/>
          </w:tcPr>
          <w:p w14:paraId="0526390E" w14:textId="177FC48D" w:rsidR="00422EC6" w:rsidRPr="00705DFD" w:rsidRDefault="00422EC6" w:rsidP="00422EC6">
            <w:pPr>
              <w:pStyle w:val="Tabletext"/>
              <w:rPr>
                <w:rFonts w:cs="Arial"/>
              </w:rPr>
            </w:pPr>
            <w:r>
              <w:t xml:space="preserve">If the data </w:t>
            </w:r>
            <w:r w:rsidR="001D5CD5">
              <w:t>is</w:t>
            </w:r>
            <w:r>
              <w:t xml:space="preserve"> not in the public domain, then this information is redactable.</w:t>
            </w:r>
            <w:r w:rsidR="004C657D" w:rsidRPr="007F697B">
              <w:rPr>
                <w:rFonts w:cs="Arial"/>
              </w:rPr>
              <w:t xml:space="preserve"> </w:t>
            </w:r>
          </w:p>
        </w:tc>
      </w:tr>
      <w:tr w:rsidR="00A40B1B" w14:paraId="1A69B089" w14:textId="77777777" w:rsidTr="00BA731E">
        <w:tc>
          <w:tcPr>
            <w:tcW w:w="3256" w:type="dxa"/>
          </w:tcPr>
          <w:p w14:paraId="6C88FB7B" w14:textId="297EC651" w:rsidR="00422EC6" w:rsidRDefault="00422EC6" w:rsidP="00422EC6">
            <w:pPr>
              <w:pStyle w:val="Tabletext"/>
            </w:pPr>
            <w:r>
              <w:t>Sponsor’s indirect comparison that has not been made publicly available and for which there is no p</w:t>
            </w:r>
            <w:r w:rsidR="001D5CD5">
              <w:t>lan for the data to become publicly available</w:t>
            </w:r>
          </w:p>
        </w:tc>
        <w:tc>
          <w:tcPr>
            <w:tcW w:w="1417" w:type="dxa"/>
          </w:tcPr>
          <w:p w14:paraId="5E249498" w14:textId="51FBA111" w:rsidR="001A6702" w:rsidRDefault="001D5CD5" w:rsidP="00422EC6">
            <w:pPr>
              <w:pStyle w:val="Tabletext"/>
            </w:pPr>
            <w:r>
              <w:t>Yes (not applicable for ICER)</w:t>
            </w:r>
          </w:p>
        </w:tc>
        <w:tc>
          <w:tcPr>
            <w:tcW w:w="3969" w:type="dxa"/>
          </w:tcPr>
          <w:p w14:paraId="3C656F40" w14:textId="4C73E2C8" w:rsidR="00422EC6" w:rsidRDefault="00422EC6" w:rsidP="00422EC6">
            <w:pPr>
              <w:pStyle w:val="Tabletext"/>
            </w:pPr>
            <w:r>
              <w:t xml:space="preserve">If the </w:t>
            </w:r>
            <w:r w:rsidR="007F697B">
              <w:t>data</w:t>
            </w:r>
            <w:r>
              <w:t xml:space="preserve"> </w:t>
            </w:r>
            <w:r w:rsidR="001D5CD5">
              <w:t>is</w:t>
            </w:r>
            <w:r>
              <w:t xml:space="preserve"> not in the public domain, then this information is redactable. </w:t>
            </w:r>
          </w:p>
        </w:tc>
      </w:tr>
      <w:tr w:rsidR="00A40B1B" w14:paraId="32F7133E" w14:textId="77777777" w:rsidTr="00BA731E">
        <w:tc>
          <w:tcPr>
            <w:tcW w:w="3256" w:type="dxa"/>
          </w:tcPr>
          <w:p w14:paraId="63A639C8" w14:textId="26C6B035" w:rsidR="00422EC6" w:rsidRDefault="00422EC6" w:rsidP="00422EC6">
            <w:pPr>
              <w:pStyle w:val="Tabletext"/>
            </w:pPr>
            <w:r>
              <w:t xml:space="preserve">Data from </w:t>
            </w:r>
            <w:r w:rsidR="001D5CD5">
              <w:t xml:space="preserve">real-world evidence </w:t>
            </w:r>
            <w:r>
              <w:t>studies that ha</w:t>
            </w:r>
            <w:r w:rsidR="001D5CD5">
              <w:t>s</w:t>
            </w:r>
            <w:r>
              <w:t xml:space="preserve"> not been made publicly available and </w:t>
            </w:r>
            <w:r w:rsidR="001D5CD5" w:rsidRPr="001D5CD5">
              <w:t>for which there is no plan for the data to become publicly available</w:t>
            </w:r>
          </w:p>
        </w:tc>
        <w:tc>
          <w:tcPr>
            <w:tcW w:w="1417" w:type="dxa"/>
          </w:tcPr>
          <w:p w14:paraId="7B038877" w14:textId="762E5C25" w:rsidR="00422EC6" w:rsidRDefault="001D5CD5" w:rsidP="00422EC6">
            <w:pPr>
              <w:pStyle w:val="Tabletext"/>
            </w:pPr>
            <w:r>
              <w:t>Yes</w:t>
            </w:r>
          </w:p>
        </w:tc>
        <w:tc>
          <w:tcPr>
            <w:tcW w:w="3969" w:type="dxa"/>
          </w:tcPr>
          <w:p w14:paraId="51974320" w14:textId="6A9A8C13" w:rsidR="00422EC6" w:rsidRDefault="00422EC6" w:rsidP="00422EC6">
            <w:pPr>
              <w:pStyle w:val="Tabletext"/>
            </w:pPr>
            <w:r>
              <w:t xml:space="preserve">If the data </w:t>
            </w:r>
            <w:r w:rsidR="001D5CD5">
              <w:t>is</w:t>
            </w:r>
            <w:r>
              <w:t xml:space="preserve"> not in the public domain, then this information is redactable.</w:t>
            </w:r>
          </w:p>
        </w:tc>
      </w:tr>
      <w:tr w:rsidR="00A40B1B" w14:paraId="6CEC0D06" w14:textId="77777777" w:rsidTr="00BA731E">
        <w:tc>
          <w:tcPr>
            <w:tcW w:w="3256" w:type="dxa"/>
          </w:tcPr>
          <w:p w14:paraId="4BAA0B96" w14:textId="77777777" w:rsidR="00422EC6" w:rsidRDefault="00422EC6" w:rsidP="00422EC6">
            <w:pPr>
              <w:pStyle w:val="Tabletext"/>
            </w:pPr>
            <w:r>
              <w:t>Critical appraisal of clinical studies and indirect comparisons</w:t>
            </w:r>
          </w:p>
        </w:tc>
        <w:tc>
          <w:tcPr>
            <w:tcW w:w="1417" w:type="dxa"/>
          </w:tcPr>
          <w:p w14:paraId="558B6011" w14:textId="189D81F3" w:rsidR="00422EC6" w:rsidRDefault="001D5CD5" w:rsidP="00422EC6">
            <w:pPr>
              <w:pStyle w:val="Tabletext"/>
            </w:pPr>
            <w:r>
              <w:t>No</w:t>
            </w:r>
          </w:p>
        </w:tc>
        <w:tc>
          <w:tcPr>
            <w:tcW w:w="3969" w:type="dxa"/>
          </w:tcPr>
          <w:p w14:paraId="5EF15F90" w14:textId="1444A862" w:rsidR="00422EC6" w:rsidRDefault="001D5CD5" w:rsidP="00422EC6">
            <w:pPr>
              <w:pStyle w:val="Tabletext"/>
            </w:pPr>
            <w:r>
              <w:t xml:space="preserve">This </w:t>
            </w:r>
            <w:r w:rsidR="00422EC6">
              <w:t>is not considered to be confidential information and will not be redacted.</w:t>
            </w:r>
          </w:p>
        </w:tc>
      </w:tr>
      <w:tr w:rsidR="00A40B1B" w14:paraId="59A0A9BC" w14:textId="77777777" w:rsidTr="00BA731E">
        <w:tc>
          <w:tcPr>
            <w:tcW w:w="3256" w:type="dxa"/>
          </w:tcPr>
          <w:p w14:paraId="36BC86BB" w14:textId="77777777" w:rsidR="00422EC6" w:rsidRDefault="00422EC6" w:rsidP="00422EC6">
            <w:pPr>
              <w:pStyle w:val="Tabletext"/>
            </w:pPr>
            <w:r>
              <w:t>Data derived from opinion or assumption</w:t>
            </w:r>
          </w:p>
        </w:tc>
        <w:tc>
          <w:tcPr>
            <w:tcW w:w="1417" w:type="dxa"/>
          </w:tcPr>
          <w:p w14:paraId="79898EF8" w14:textId="4824A693" w:rsidR="00422EC6" w:rsidRDefault="001D5CD5" w:rsidP="00422EC6">
            <w:pPr>
              <w:pStyle w:val="Tabletext"/>
            </w:pPr>
            <w:r>
              <w:t>No</w:t>
            </w:r>
          </w:p>
        </w:tc>
        <w:tc>
          <w:tcPr>
            <w:tcW w:w="3969" w:type="dxa"/>
          </w:tcPr>
          <w:p w14:paraId="2D3EB489" w14:textId="2B8EEEB9" w:rsidR="00422EC6" w:rsidRDefault="001D5CD5" w:rsidP="00422EC6">
            <w:pPr>
              <w:pStyle w:val="Tabletext"/>
            </w:pPr>
            <w:r>
              <w:t xml:space="preserve">This </w:t>
            </w:r>
            <w:r w:rsidR="00705DFD">
              <w:t xml:space="preserve">is </w:t>
            </w:r>
            <w:r w:rsidR="00422EC6">
              <w:t>not considered to be confidential information and will not be redacted</w:t>
            </w:r>
            <w:r w:rsidR="00AB1643">
              <w:t>.</w:t>
            </w:r>
          </w:p>
        </w:tc>
      </w:tr>
      <w:tr w:rsidR="00A40B1B" w14:paraId="7BDE71CA" w14:textId="77777777" w:rsidTr="00BA731E">
        <w:tc>
          <w:tcPr>
            <w:tcW w:w="3256" w:type="dxa"/>
          </w:tcPr>
          <w:p w14:paraId="039C7375" w14:textId="77777777" w:rsidR="00422EC6" w:rsidRDefault="00422EC6" w:rsidP="00422EC6">
            <w:pPr>
              <w:pStyle w:val="Tabletext"/>
            </w:pPr>
            <w:r>
              <w:t>References</w:t>
            </w:r>
          </w:p>
        </w:tc>
        <w:tc>
          <w:tcPr>
            <w:tcW w:w="1417" w:type="dxa"/>
          </w:tcPr>
          <w:p w14:paraId="24060109" w14:textId="5E93200E" w:rsidR="00422EC6" w:rsidRDefault="001D5CD5" w:rsidP="00422EC6">
            <w:pPr>
              <w:pStyle w:val="Tabletext"/>
            </w:pPr>
            <w:r>
              <w:t>No</w:t>
            </w:r>
          </w:p>
        </w:tc>
        <w:tc>
          <w:tcPr>
            <w:tcW w:w="3969" w:type="dxa"/>
          </w:tcPr>
          <w:p w14:paraId="15626C39" w14:textId="0B51C7DB" w:rsidR="00422EC6" w:rsidRDefault="00422EC6" w:rsidP="00422EC6">
            <w:pPr>
              <w:pStyle w:val="Tabletext"/>
            </w:pPr>
            <w:r>
              <w:t xml:space="preserve">Referencing is required to understand </w:t>
            </w:r>
            <w:r w:rsidR="001D5CD5">
              <w:t xml:space="preserve">from </w:t>
            </w:r>
            <w:r>
              <w:t>where inputs and assumptions are derived and does not predicate inputs that are considered confidential.</w:t>
            </w:r>
          </w:p>
        </w:tc>
      </w:tr>
    </w:tbl>
    <w:p w14:paraId="1FC03D3C" w14:textId="584C23F9" w:rsidR="00422EC6" w:rsidRDefault="00422EC6" w:rsidP="00422EC6">
      <w:pPr>
        <w:pStyle w:val="Tabletext"/>
        <w:rPr>
          <w:rStyle w:val="Strong"/>
        </w:rPr>
      </w:pPr>
    </w:p>
    <w:p w14:paraId="442F60D6" w14:textId="20313AEE" w:rsidR="001D5CD5" w:rsidRPr="00906231" w:rsidRDefault="001D5CD5" w:rsidP="001D5CD5">
      <w:pPr>
        <w:pStyle w:val="Heading3"/>
        <w:rPr>
          <w:rStyle w:val="Strong"/>
        </w:rPr>
      </w:pPr>
      <w:r>
        <w:rPr>
          <w:rStyle w:val="Strong"/>
          <w:b/>
          <w:bCs/>
        </w:rPr>
        <w:t xml:space="preserve">Figure 1 Question flowchart to </w:t>
      </w:r>
      <w:r w:rsidR="00B5176F">
        <w:rPr>
          <w:rStyle w:val="Strong"/>
          <w:b/>
          <w:bCs/>
        </w:rPr>
        <w:t xml:space="preserve">inform </w:t>
      </w:r>
      <w:r>
        <w:rPr>
          <w:rStyle w:val="Strong"/>
          <w:b/>
          <w:bCs/>
        </w:rPr>
        <w:t>redaction status</w:t>
      </w:r>
    </w:p>
    <w:p w14:paraId="0E68F626" w14:textId="4EEDACBD" w:rsidR="0097488C" w:rsidRDefault="00705DFD" w:rsidP="0097488C">
      <w:pPr>
        <w:pStyle w:val="ParagraphNumbered"/>
        <w:numPr>
          <w:ilvl w:val="0"/>
          <w:numId w:val="0"/>
        </w:numPr>
      </w:pPr>
      <w:r>
        <w:rPr>
          <w:noProof/>
        </w:rPr>
        <w:drawing>
          <wp:inline distT="0" distB="0" distL="0" distR="0" wp14:anchorId="39172827" wp14:editId="31FBEB60">
            <wp:extent cx="4953000" cy="451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61932" cy="4525536"/>
                    </a:xfrm>
                    <a:prstGeom prst="rect">
                      <a:avLst/>
                    </a:prstGeom>
                    <a:noFill/>
                  </pic:spPr>
                </pic:pic>
              </a:graphicData>
            </a:graphic>
          </wp:inline>
        </w:drawing>
      </w:r>
    </w:p>
    <w:p w14:paraId="3C552B97" w14:textId="408A0FB1" w:rsidR="0097488C" w:rsidRDefault="0097488C">
      <w:pPr>
        <w:pStyle w:val="ParagraphNumbered"/>
        <w:numPr>
          <w:ilvl w:val="0"/>
          <w:numId w:val="0"/>
        </w:numPr>
      </w:pPr>
    </w:p>
    <w:p w14:paraId="1B7C92F2" w14:textId="77777777" w:rsidR="00312FC7" w:rsidRDefault="00312FC7" w:rsidP="00A11D46">
      <w:pPr>
        <w:pStyle w:val="ParagraphNumbered"/>
        <w:numPr>
          <w:ilvl w:val="0"/>
          <w:numId w:val="0"/>
        </w:numPr>
        <w:ind w:left="425" w:hanging="425"/>
      </w:pPr>
    </w:p>
    <w:sectPr w:rsidR="00312FC7" w:rsidSect="00914FC5">
      <w:type w:val="continuous"/>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1352" w14:textId="77777777" w:rsidR="00E16061" w:rsidRDefault="00E16061" w:rsidP="00446BEE">
      <w:r>
        <w:separator/>
      </w:r>
    </w:p>
  </w:endnote>
  <w:endnote w:type="continuationSeparator" w:id="0">
    <w:p w14:paraId="7B76A2A4" w14:textId="77777777" w:rsidR="00E16061" w:rsidRDefault="00E1606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F6D9" w14:textId="77777777" w:rsidR="009E3151" w:rsidRDefault="009E3151" w:rsidP="00446BEE">
    <w:pPr>
      <w:pStyle w:val="Footer"/>
      <w:rPr>
        <w:b/>
        <w:bCs/>
      </w:rPr>
    </w:pPr>
  </w:p>
  <w:p w14:paraId="773B55BD" w14:textId="342717F9" w:rsidR="00446BEE" w:rsidRDefault="001D5CD5" w:rsidP="001D5CD5">
    <w:pPr>
      <w:pStyle w:val="Footer"/>
    </w:pPr>
    <w:r w:rsidRPr="00F946B0">
      <w:t>Position statement: Confidentiality of clinical evidence informing</w:t>
    </w:r>
    <w:r w:rsidR="00B5176F">
      <w:t xml:space="preserve"> </w:t>
    </w:r>
    <w:r w:rsidRPr="00F946B0">
      <w:t>health technology assessment decision making</w:t>
    </w:r>
    <w:r w:rsidR="00446BEE">
      <w:tab/>
    </w:r>
    <w:r w:rsidR="00446BEE">
      <w:tab/>
    </w:r>
    <w:r w:rsidR="00446BEE" w:rsidRPr="008F6FF9">
      <w:rPr>
        <w:shd w:val="clear" w:color="auto" w:fill="E6E6E6"/>
      </w:rPr>
      <w:fldChar w:fldCharType="begin"/>
    </w:r>
    <w:r w:rsidR="00446BEE" w:rsidRPr="00F16966">
      <w:instrText xml:space="preserve"> PAGE </w:instrText>
    </w:r>
    <w:r w:rsidR="00446BEE" w:rsidRPr="008F6FF9">
      <w:rPr>
        <w:shd w:val="clear" w:color="auto" w:fill="E6E6E6"/>
      </w:rPr>
      <w:fldChar w:fldCharType="separate"/>
    </w:r>
    <w:r w:rsidR="00FA2C5A" w:rsidRPr="00F16966">
      <w:rPr>
        <w:noProof/>
      </w:rPr>
      <w:t>1</w:t>
    </w:r>
    <w:r w:rsidR="00446BEE" w:rsidRPr="008F6FF9">
      <w:rPr>
        <w:shd w:val="clear" w:color="auto" w:fill="E6E6E6"/>
      </w:rPr>
      <w:fldChar w:fldCharType="end"/>
    </w:r>
    <w:r w:rsidR="00446BEE" w:rsidRPr="00F16966">
      <w:t xml:space="preserve"> of </w:t>
    </w:r>
    <w:fldSimple w:instr=" NUMPAGES  ">
      <w:r w:rsidR="00FA2C5A" w:rsidRPr="00F16966">
        <w:rPr>
          <w:noProof/>
        </w:rPr>
        <w:t>1</w:t>
      </w:r>
    </w:fldSimple>
  </w:p>
  <w:p w14:paraId="3A553690" w14:textId="77777777" w:rsidR="00446BEE" w:rsidRDefault="00446BEE">
    <w:pPr>
      <w:pStyle w:val="Footer"/>
    </w:pPr>
  </w:p>
  <w:p w14:paraId="721AF260"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5862" w14:textId="221449FF" w:rsidR="008E7826" w:rsidRDefault="00F946B0" w:rsidP="008E7826">
    <w:pPr>
      <w:pStyle w:val="Footer"/>
    </w:pPr>
    <w:r w:rsidRPr="00F946B0">
      <w:t>Position statement: Confidentiality of clinical evidence informing</w:t>
    </w:r>
    <w:r w:rsidR="004E5603">
      <w:t xml:space="preserve"> </w:t>
    </w:r>
    <w:r w:rsidRPr="00F946B0">
      <w:t>health technology assessment decision making</w:t>
    </w:r>
    <w:r w:rsidR="008E7826">
      <w:tab/>
    </w:r>
    <w:r w:rsidR="008E7826">
      <w:tab/>
    </w:r>
    <w:r w:rsidR="008E7826" w:rsidRPr="008E7826">
      <w:t xml:space="preserve">Page </w:t>
    </w:r>
    <w:r w:rsidR="008E7826" w:rsidRPr="008E7826">
      <w:rPr>
        <w:color w:val="2B579A"/>
        <w:sz w:val="24"/>
        <w:shd w:val="clear" w:color="auto" w:fill="E6E6E6"/>
      </w:rPr>
      <w:fldChar w:fldCharType="begin"/>
    </w:r>
    <w:r w:rsidR="008E7826" w:rsidRPr="008E7826">
      <w:instrText xml:space="preserve"> PAGE </w:instrText>
    </w:r>
    <w:r w:rsidR="008E7826" w:rsidRPr="008E7826">
      <w:rPr>
        <w:color w:val="2B579A"/>
        <w:sz w:val="24"/>
        <w:shd w:val="clear" w:color="auto" w:fill="E6E6E6"/>
      </w:rPr>
      <w:fldChar w:fldCharType="separate"/>
    </w:r>
    <w:r w:rsidR="008E7826" w:rsidRPr="008E7826">
      <w:rPr>
        <w:noProof/>
      </w:rPr>
      <w:t>2</w:t>
    </w:r>
    <w:r w:rsidR="008E7826" w:rsidRPr="008E7826">
      <w:rPr>
        <w:color w:val="2B579A"/>
        <w:sz w:val="24"/>
        <w:shd w:val="clear" w:color="auto" w:fill="E6E6E6"/>
      </w:rPr>
      <w:fldChar w:fldCharType="end"/>
    </w:r>
    <w:r w:rsidR="008E7826" w:rsidRPr="008E7826">
      <w:t xml:space="preserve"> of </w:t>
    </w:r>
    <w:fldSimple w:instr=" NUMPAGES  ">
      <w:r w:rsidR="008E7826" w:rsidRPr="008E7826">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D877" w14:textId="77777777" w:rsidR="00E16061" w:rsidRDefault="00E16061" w:rsidP="00446BEE">
      <w:r>
        <w:separator/>
      </w:r>
    </w:p>
  </w:footnote>
  <w:footnote w:type="continuationSeparator" w:id="0">
    <w:p w14:paraId="7B00F9C1" w14:textId="77777777" w:rsidR="00E16061" w:rsidRDefault="00E1606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E21D" w14:textId="44E21627" w:rsidR="005E043A" w:rsidRDefault="0072203F" w:rsidP="0072203F">
    <w:pPr>
      <w:pStyle w:val="Header"/>
      <w:ind w:left="-993"/>
    </w:pPr>
    <w:r>
      <w:rPr>
        <w:noProof/>
        <w:color w:val="2B579A"/>
        <w:shd w:val="clear" w:color="auto" w:fill="E6E6E6"/>
      </w:rPr>
      <w:drawing>
        <wp:anchor distT="0" distB="0" distL="114300" distR="114300" simplePos="0" relativeHeight="251657216" behindDoc="0" locked="0" layoutInCell="1" allowOverlap="1" wp14:anchorId="6869F0B0" wp14:editId="094AAD59">
          <wp:simplePos x="0" y="0"/>
          <wp:positionH relativeFrom="column">
            <wp:posOffset>3404870</wp:posOffset>
          </wp:positionH>
          <wp:positionV relativeFrom="paragraph">
            <wp:posOffset>186500</wp:posOffset>
          </wp:positionV>
          <wp:extent cx="2444115" cy="251460"/>
          <wp:effectExtent l="0" t="0" r="0" b="0"/>
          <wp:wrapSquare wrapText="bothSides"/>
          <wp:docPr id="9" name="Picture 9"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115" cy="251460"/>
                  </a:xfrm>
                  <a:prstGeom prst="rect">
                    <a:avLst/>
                  </a:prstGeom>
                </pic:spPr>
              </pic:pic>
            </a:graphicData>
          </a:graphic>
          <wp14:sizeRelV relativeFrom="margin">
            <wp14:pctHeight>0</wp14:pctHeight>
          </wp14:sizeRelV>
        </wp:anchor>
      </w:drawing>
    </w:r>
    <w:r w:rsidR="005E043A">
      <w:rPr>
        <w:noProof/>
      </w:rPr>
      <w:drawing>
        <wp:inline distT="0" distB="0" distL="0" distR="0" wp14:anchorId="6B27B353" wp14:editId="2223407C">
          <wp:extent cx="2571226" cy="594360"/>
          <wp:effectExtent l="0" t="0" r="635" b="0"/>
          <wp:docPr id="10" name="Picture 10" descr="Logo: Canada's Drug and Health Technology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anada's Drug and Health Technology Agenc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1838" cy="596813"/>
                  </a:xfrm>
                  <a:prstGeom prst="rect">
                    <a:avLst/>
                  </a:prstGeom>
                  <a:noFill/>
                  <a:ln>
                    <a:noFill/>
                  </a:ln>
                </pic:spPr>
              </pic:pic>
            </a:graphicData>
          </a:graphic>
        </wp:inline>
      </w:drawing>
    </w:r>
    <w:r w:rsidR="005E043A">
      <w:t xml:space="preserve"> </w:t>
    </w:r>
    <w:r w:rsidR="005E043A">
      <w:rPr>
        <w:noProof/>
      </w:rPr>
      <w:drawing>
        <wp:inline distT="0" distB="0" distL="0" distR="0" wp14:anchorId="32D0AA64" wp14:editId="29722C69">
          <wp:extent cx="1195129" cy="545819"/>
          <wp:effectExtent l="0" t="0" r="0" b="6985"/>
          <wp:docPr id="11" name="Picture 11" descr="Logo: Institute For Clinical And Economic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Institute For Clinical And Economic Review"/>
                  <pic:cNvPicPr>
                    <a:picLocks noChangeAspect="1" noChangeArrowheads="1"/>
                  </pic:cNvPicPr>
                </pic:nvPicPr>
                <pic:blipFill rotWithShape="1">
                  <a:blip r:embed="rId3">
                    <a:extLst>
                      <a:ext uri="{28A0092B-C50C-407E-A947-70E740481C1C}">
                        <a14:useLocalDpi xmlns:a14="http://schemas.microsoft.com/office/drawing/2010/main" val="0"/>
                      </a:ext>
                    </a:extLst>
                  </a:blip>
                  <a:srcRect t="31797" b="22532"/>
                  <a:stretch/>
                </pic:blipFill>
                <pic:spPr bwMode="auto">
                  <a:xfrm>
                    <a:off x="0" y="0"/>
                    <a:ext cx="1196340" cy="546372"/>
                  </a:xfrm>
                  <a:prstGeom prst="rect">
                    <a:avLst/>
                  </a:prstGeom>
                  <a:noFill/>
                  <a:ln>
                    <a:noFill/>
                  </a:ln>
                  <a:extLst>
                    <a:ext uri="{53640926-AAD7-44D8-BBD7-CCE9431645EC}">
                      <a14:shadowObscured xmlns:a14="http://schemas.microsoft.com/office/drawing/2010/main"/>
                    </a:ext>
                  </a:extLst>
                </pic:spPr>
              </pic:pic>
            </a:graphicData>
          </a:graphic>
        </wp:inline>
      </w:drawing>
    </w:r>
  </w:p>
  <w:p w14:paraId="0A849843" w14:textId="0FAB5366" w:rsidR="008F6FB7" w:rsidRDefault="008F6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AA0C" w14:textId="4C7A2452" w:rsidR="00990971" w:rsidRDefault="00990971" w:rsidP="0072203F">
    <w:pPr>
      <w:pStyle w:val="Header"/>
      <w:ind w:left="-993"/>
    </w:pPr>
    <w:r>
      <w:t xml:space="preserve"> </w:t>
    </w:r>
  </w:p>
  <w:p w14:paraId="050E5B51" w14:textId="77777777" w:rsidR="00990971" w:rsidRDefault="00990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6A64CD"/>
    <w:multiLevelType w:val="hybridMultilevel"/>
    <w:tmpl w:val="3EC68B92"/>
    <w:lvl w:ilvl="0" w:tplc="C8CA6A1E">
      <w:start w:val="1"/>
      <w:numFmt w:val="bullet"/>
      <w:lvlText w:val=""/>
      <w:lvlJc w:val="left"/>
      <w:pPr>
        <w:ind w:left="720" w:hanging="360"/>
      </w:pPr>
      <w:rPr>
        <w:rFonts w:ascii="Symbol" w:hAnsi="Symbol" w:hint="default"/>
      </w:rPr>
    </w:lvl>
    <w:lvl w:ilvl="1" w:tplc="8558FA54">
      <w:start w:val="1"/>
      <w:numFmt w:val="bullet"/>
      <w:lvlText w:val="o"/>
      <w:lvlJc w:val="left"/>
      <w:pPr>
        <w:ind w:left="1440" w:hanging="360"/>
      </w:pPr>
      <w:rPr>
        <w:rFonts w:ascii="Courier New" w:hAnsi="Courier New" w:hint="default"/>
      </w:rPr>
    </w:lvl>
    <w:lvl w:ilvl="2" w:tplc="FA30CFD6">
      <w:start w:val="1"/>
      <w:numFmt w:val="bullet"/>
      <w:lvlText w:val=""/>
      <w:lvlJc w:val="left"/>
      <w:pPr>
        <w:ind w:left="2160" w:hanging="360"/>
      </w:pPr>
      <w:rPr>
        <w:rFonts w:ascii="Wingdings" w:hAnsi="Wingdings" w:hint="default"/>
      </w:rPr>
    </w:lvl>
    <w:lvl w:ilvl="3" w:tplc="C4F8F3E8">
      <w:start w:val="1"/>
      <w:numFmt w:val="bullet"/>
      <w:lvlText w:val=""/>
      <w:lvlJc w:val="left"/>
      <w:pPr>
        <w:ind w:left="2880" w:hanging="360"/>
      </w:pPr>
      <w:rPr>
        <w:rFonts w:ascii="Symbol" w:hAnsi="Symbol" w:hint="default"/>
      </w:rPr>
    </w:lvl>
    <w:lvl w:ilvl="4" w:tplc="C5087556">
      <w:start w:val="1"/>
      <w:numFmt w:val="bullet"/>
      <w:lvlText w:val="o"/>
      <w:lvlJc w:val="left"/>
      <w:pPr>
        <w:ind w:left="3600" w:hanging="360"/>
      </w:pPr>
      <w:rPr>
        <w:rFonts w:ascii="Courier New" w:hAnsi="Courier New" w:hint="default"/>
      </w:rPr>
    </w:lvl>
    <w:lvl w:ilvl="5" w:tplc="014635C2">
      <w:start w:val="1"/>
      <w:numFmt w:val="bullet"/>
      <w:lvlText w:val=""/>
      <w:lvlJc w:val="left"/>
      <w:pPr>
        <w:ind w:left="4320" w:hanging="360"/>
      </w:pPr>
      <w:rPr>
        <w:rFonts w:ascii="Wingdings" w:hAnsi="Wingdings" w:hint="default"/>
      </w:rPr>
    </w:lvl>
    <w:lvl w:ilvl="6" w:tplc="E2B8686A">
      <w:start w:val="1"/>
      <w:numFmt w:val="bullet"/>
      <w:lvlText w:val=""/>
      <w:lvlJc w:val="left"/>
      <w:pPr>
        <w:ind w:left="5040" w:hanging="360"/>
      </w:pPr>
      <w:rPr>
        <w:rFonts w:ascii="Symbol" w:hAnsi="Symbol" w:hint="default"/>
      </w:rPr>
    </w:lvl>
    <w:lvl w:ilvl="7" w:tplc="3AA88804">
      <w:start w:val="1"/>
      <w:numFmt w:val="bullet"/>
      <w:lvlText w:val="o"/>
      <w:lvlJc w:val="left"/>
      <w:pPr>
        <w:ind w:left="5760" w:hanging="360"/>
      </w:pPr>
      <w:rPr>
        <w:rFonts w:ascii="Courier New" w:hAnsi="Courier New" w:hint="default"/>
      </w:rPr>
    </w:lvl>
    <w:lvl w:ilvl="8" w:tplc="66D0A4E8">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B71F3"/>
    <w:multiLevelType w:val="hybridMultilevel"/>
    <w:tmpl w:val="8CA87B48"/>
    <w:lvl w:ilvl="0" w:tplc="FFFFFFFF">
      <w:start w:val="1"/>
      <w:numFmt w:val="decimal"/>
      <w:lvlText w:val="%1."/>
      <w:lvlJc w:val="left"/>
      <w:pPr>
        <w:ind w:left="851" w:hanging="851"/>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F07D61"/>
    <w:multiLevelType w:val="hybridMultilevel"/>
    <w:tmpl w:val="A2A05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4C3200"/>
    <w:multiLevelType w:val="hybridMultilevel"/>
    <w:tmpl w:val="AEB629A6"/>
    <w:lvl w:ilvl="0" w:tplc="08090017">
      <w:start w:val="1"/>
      <w:numFmt w:val="lowerLetter"/>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56EA1617"/>
    <w:multiLevelType w:val="hybridMultilevel"/>
    <w:tmpl w:val="2806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554CD630"/>
    <w:lvl w:ilvl="0" w:tplc="FFFFFFFF">
      <w:start w:val="1"/>
      <w:numFmt w:val="decimal"/>
      <w:pStyle w:val="ParagraphNumbered"/>
      <w:lvlText w:val="%1."/>
      <w:lvlJc w:val="left"/>
      <w:pPr>
        <w:ind w:left="851" w:hanging="851"/>
      </w:pPr>
    </w:lvl>
    <w:lvl w:ilvl="1" w:tplc="FFFFFFFF">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777411093">
    <w:abstractNumId w:val="10"/>
  </w:num>
  <w:num w:numId="2" w16cid:durableId="570702892">
    <w:abstractNumId w:val="16"/>
  </w:num>
  <w:num w:numId="3" w16cid:durableId="108819581">
    <w:abstractNumId w:val="18"/>
  </w:num>
  <w:num w:numId="4" w16cid:durableId="1859851983">
    <w:abstractNumId w:val="18"/>
    <w:lvlOverride w:ilvl="0">
      <w:startOverride w:val="1"/>
    </w:lvlOverride>
  </w:num>
  <w:num w:numId="5" w16cid:durableId="1489205359">
    <w:abstractNumId w:val="18"/>
    <w:lvlOverride w:ilvl="0">
      <w:startOverride w:val="1"/>
    </w:lvlOverride>
  </w:num>
  <w:num w:numId="6" w16cid:durableId="473642495">
    <w:abstractNumId w:val="18"/>
    <w:lvlOverride w:ilvl="0">
      <w:startOverride w:val="1"/>
    </w:lvlOverride>
  </w:num>
  <w:num w:numId="7" w16cid:durableId="351302963">
    <w:abstractNumId w:val="18"/>
    <w:lvlOverride w:ilvl="0">
      <w:startOverride w:val="1"/>
    </w:lvlOverride>
  </w:num>
  <w:num w:numId="8" w16cid:durableId="1142040679">
    <w:abstractNumId w:val="18"/>
    <w:lvlOverride w:ilvl="0">
      <w:startOverride w:val="1"/>
    </w:lvlOverride>
  </w:num>
  <w:num w:numId="9" w16cid:durableId="992837273">
    <w:abstractNumId w:val="9"/>
  </w:num>
  <w:num w:numId="10" w16cid:durableId="489058614">
    <w:abstractNumId w:val="7"/>
  </w:num>
  <w:num w:numId="11" w16cid:durableId="1562716839">
    <w:abstractNumId w:val="6"/>
  </w:num>
  <w:num w:numId="12" w16cid:durableId="1088189200">
    <w:abstractNumId w:val="5"/>
  </w:num>
  <w:num w:numId="13" w16cid:durableId="1218779276">
    <w:abstractNumId w:val="4"/>
  </w:num>
  <w:num w:numId="14" w16cid:durableId="1054622579">
    <w:abstractNumId w:val="8"/>
  </w:num>
  <w:num w:numId="15" w16cid:durableId="940990372">
    <w:abstractNumId w:val="3"/>
  </w:num>
  <w:num w:numId="16" w16cid:durableId="1167749052">
    <w:abstractNumId w:val="2"/>
  </w:num>
  <w:num w:numId="17" w16cid:durableId="1282495512">
    <w:abstractNumId w:val="1"/>
  </w:num>
  <w:num w:numId="18" w16cid:durableId="1522814136">
    <w:abstractNumId w:val="0"/>
  </w:num>
  <w:num w:numId="19" w16cid:durableId="926839484">
    <w:abstractNumId w:val="11"/>
  </w:num>
  <w:num w:numId="20" w16cid:durableId="404912200">
    <w:abstractNumId w:val="11"/>
    <w:lvlOverride w:ilvl="0">
      <w:startOverride w:val="1"/>
    </w:lvlOverride>
  </w:num>
  <w:num w:numId="21" w16cid:durableId="175266956">
    <w:abstractNumId w:val="16"/>
  </w:num>
  <w:num w:numId="22" w16cid:durableId="394547534">
    <w:abstractNumId w:val="18"/>
  </w:num>
  <w:num w:numId="23" w16cid:durableId="427969960">
    <w:abstractNumId w:val="11"/>
  </w:num>
  <w:num w:numId="24" w16cid:durableId="1156411247">
    <w:abstractNumId w:val="17"/>
  </w:num>
  <w:num w:numId="25" w16cid:durableId="170922771">
    <w:abstractNumId w:val="19"/>
  </w:num>
  <w:num w:numId="26" w16cid:durableId="387847063">
    <w:abstractNumId w:val="18"/>
  </w:num>
  <w:num w:numId="27" w16cid:durableId="811141185">
    <w:abstractNumId w:val="12"/>
  </w:num>
  <w:num w:numId="28" w16cid:durableId="2129082154">
    <w:abstractNumId w:val="14"/>
  </w:num>
  <w:num w:numId="29" w16cid:durableId="1511602868">
    <w:abstractNumId w:val="13"/>
  </w:num>
  <w:num w:numId="30" w16cid:durableId="10024648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22"/>
    <w:rsid w:val="000053F8"/>
    <w:rsid w:val="00005CC4"/>
    <w:rsid w:val="00024D0A"/>
    <w:rsid w:val="000278BF"/>
    <w:rsid w:val="00027C03"/>
    <w:rsid w:val="000419DD"/>
    <w:rsid w:val="00041D36"/>
    <w:rsid w:val="00062EA4"/>
    <w:rsid w:val="00070065"/>
    <w:rsid w:val="000A4FEE"/>
    <w:rsid w:val="000B5939"/>
    <w:rsid w:val="000D3E1A"/>
    <w:rsid w:val="000D6C67"/>
    <w:rsid w:val="00104112"/>
    <w:rsid w:val="001134E7"/>
    <w:rsid w:val="001336FF"/>
    <w:rsid w:val="00136206"/>
    <w:rsid w:val="001561E8"/>
    <w:rsid w:val="00157BBE"/>
    <w:rsid w:val="0017169E"/>
    <w:rsid w:val="001A6635"/>
    <w:rsid w:val="001A6702"/>
    <w:rsid w:val="001B06DE"/>
    <w:rsid w:val="001B0EE9"/>
    <w:rsid w:val="001B30EB"/>
    <w:rsid w:val="001B65B3"/>
    <w:rsid w:val="001D0CA5"/>
    <w:rsid w:val="001D5CD5"/>
    <w:rsid w:val="001E1668"/>
    <w:rsid w:val="001E60D6"/>
    <w:rsid w:val="001F26BA"/>
    <w:rsid w:val="002124D5"/>
    <w:rsid w:val="00226E0A"/>
    <w:rsid w:val="0022704B"/>
    <w:rsid w:val="00227118"/>
    <w:rsid w:val="002408EA"/>
    <w:rsid w:val="0025603E"/>
    <w:rsid w:val="0025648D"/>
    <w:rsid w:val="002819D7"/>
    <w:rsid w:val="00281D11"/>
    <w:rsid w:val="00286BB5"/>
    <w:rsid w:val="002910C6"/>
    <w:rsid w:val="002A11E6"/>
    <w:rsid w:val="002A1BBD"/>
    <w:rsid w:val="002B4B95"/>
    <w:rsid w:val="002C1A7E"/>
    <w:rsid w:val="002D3376"/>
    <w:rsid w:val="002D6C24"/>
    <w:rsid w:val="002E0604"/>
    <w:rsid w:val="002F6543"/>
    <w:rsid w:val="00303C6E"/>
    <w:rsid w:val="00311ED0"/>
    <w:rsid w:val="00312FC7"/>
    <w:rsid w:val="00325516"/>
    <w:rsid w:val="00332B2E"/>
    <w:rsid w:val="00345486"/>
    <w:rsid w:val="00353546"/>
    <w:rsid w:val="003648C5"/>
    <w:rsid w:val="003722FA"/>
    <w:rsid w:val="00394D0E"/>
    <w:rsid w:val="003C7AAF"/>
    <w:rsid w:val="003D2980"/>
    <w:rsid w:val="003F0A04"/>
    <w:rsid w:val="003F1C1C"/>
    <w:rsid w:val="00403E49"/>
    <w:rsid w:val="00404C40"/>
    <w:rsid w:val="004075B6"/>
    <w:rsid w:val="00420952"/>
    <w:rsid w:val="00422EC6"/>
    <w:rsid w:val="00427CD7"/>
    <w:rsid w:val="00446BEE"/>
    <w:rsid w:val="0046048C"/>
    <w:rsid w:val="00464B98"/>
    <w:rsid w:val="00464D5A"/>
    <w:rsid w:val="00465AC9"/>
    <w:rsid w:val="004B3B02"/>
    <w:rsid w:val="004C657D"/>
    <w:rsid w:val="004D7502"/>
    <w:rsid w:val="004E5603"/>
    <w:rsid w:val="004F7E19"/>
    <w:rsid w:val="005025A1"/>
    <w:rsid w:val="00502EA4"/>
    <w:rsid w:val="0050512F"/>
    <w:rsid w:val="0056793E"/>
    <w:rsid w:val="00594C3A"/>
    <w:rsid w:val="005A02D5"/>
    <w:rsid w:val="005A22E8"/>
    <w:rsid w:val="005B513A"/>
    <w:rsid w:val="005C1DA4"/>
    <w:rsid w:val="005D52D0"/>
    <w:rsid w:val="005E043A"/>
    <w:rsid w:val="005F289B"/>
    <w:rsid w:val="006078A5"/>
    <w:rsid w:val="0061316D"/>
    <w:rsid w:val="00613BC1"/>
    <w:rsid w:val="00617616"/>
    <w:rsid w:val="00624140"/>
    <w:rsid w:val="006649D1"/>
    <w:rsid w:val="006709A9"/>
    <w:rsid w:val="006802A7"/>
    <w:rsid w:val="0068499E"/>
    <w:rsid w:val="006921E1"/>
    <w:rsid w:val="00696C0A"/>
    <w:rsid w:val="006A2167"/>
    <w:rsid w:val="006A28FB"/>
    <w:rsid w:val="006C05B7"/>
    <w:rsid w:val="006C2C48"/>
    <w:rsid w:val="006C3070"/>
    <w:rsid w:val="006C7DB4"/>
    <w:rsid w:val="006D72B7"/>
    <w:rsid w:val="006E38D9"/>
    <w:rsid w:val="006E453D"/>
    <w:rsid w:val="00701F08"/>
    <w:rsid w:val="00703CAB"/>
    <w:rsid w:val="00705DFD"/>
    <w:rsid w:val="0072203F"/>
    <w:rsid w:val="00726680"/>
    <w:rsid w:val="00736348"/>
    <w:rsid w:val="00751D79"/>
    <w:rsid w:val="00761E63"/>
    <w:rsid w:val="00763957"/>
    <w:rsid w:val="0077376B"/>
    <w:rsid w:val="0078018D"/>
    <w:rsid w:val="00781C41"/>
    <w:rsid w:val="00785A1C"/>
    <w:rsid w:val="007A7B8A"/>
    <w:rsid w:val="007B330F"/>
    <w:rsid w:val="007C3023"/>
    <w:rsid w:val="007F05B9"/>
    <w:rsid w:val="007F0B9E"/>
    <w:rsid w:val="007F697B"/>
    <w:rsid w:val="00812377"/>
    <w:rsid w:val="0082000E"/>
    <w:rsid w:val="00833D8A"/>
    <w:rsid w:val="00842D29"/>
    <w:rsid w:val="00861B92"/>
    <w:rsid w:val="008719B4"/>
    <w:rsid w:val="00877860"/>
    <w:rsid w:val="008814FB"/>
    <w:rsid w:val="008A41BF"/>
    <w:rsid w:val="008B6615"/>
    <w:rsid w:val="008C3093"/>
    <w:rsid w:val="008E7826"/>
    <w:rsid w:val="008F5E30"/>
    <w:rsid w:val="008F6FB7"/>
    <w:rsid w:val="008F6FF9"/>
    <w:rsid w:val="00906231"/>
    <w:rsid w:val="00914D7F"/>
    <w:rsid w:val="00914FC5"/>
    <w:rsid w:val="009278D4"/>
    <w:rsid w:val="00955BEF"/>
    <w:rsid w:val="00966E38"/>
    <w:rsid w:val="0097305A"/>
    <w:rsid w:val="0097488C"/>
    <w:rsid w:val="00990805"/>
    <w:rsid w:val="00990971"/>
    <w:rsid w:val="009C25A0"/>
    <w:rsid w:val="009C3A03"/>
    <w:rsid w:val="009C7FCD"/>
    <w:rsid w:val="009D48AB"/>
    <w:rsid w:val="009E3151"/>
    <w:rsid w:val="009E680B"/>
    <w:rsid w:val="00A07248"/>
    <w:rsid w:val="00A11D46"/>
    <w:rsid w:val="00A15A1F"/>
    <w:rsid w:val="00A3325A"/>
    <w:rsid w:val="00A40B1B"/>
    <w:rsid w:val="00A43013"/>
    <w:rsid w:val="00A50295"/>
    <w:rsid w:val="00A52109"/>
    <w:rsid w:val="00A90440"/>
    <w:rsid w:val="00AB1643"/>
    <w:rsid w:val="00AD32D5"/>
    <w:rsid w:val="00AD5CAC"/>
    <w:rsid w:val="00AE1EDC"/>
    <w:rsid w:val="00AF108A"/>
    <w:rsid w:val="00B02E55"/>
    <w:rsid w:val="00B036C1"/>
    <w:rsid w:val="00B35AE4"/>
    <w:rsid w:val="00B5176F"/>
    <w:rsid w:val="00B53589"/>
    <w:rsid w:val="00B5431F"/>
    <w:rsid w:val="00B65A11"/>
    <w:rsid w:val="00B7026A"/>
    <w:rsid w:val="00B71850"/>
    <w:rsid w:val="00BA37E1"/>
    <w:rsid w:val="00BA3F97"/>
    <w:rsid w:val="00BA4DD7"/>
    <w:rsid w:val="00BB38DB"/>
    <w:rsid w:val="00BC184B"/>
    <w:rsid w:val="00BD64C6"/>
    <w:rsid w:val="00BF6968"/>
    <w:rsid w:val="00BF7FE0"/>
    <w:rsid w:val="00C0317C"/>
    <w:rsid w:val="00C36044"/>
    <w:rsid w:val="00C6427D"/>
    <w:rsid w:val="00C64364"/>
    <w:rsid w:val="00C77C66"/>
    <w:rsid w:val="00C85682"/>
    <w:rsid w:val="00C9210A"/>
    <w:rsid w:val="00C96411"/>
    <w:rsid w:val="00CA0799"/>
    <w:rsid w:val="00CA2081"/>
    <w:rsid w:val="00CA3690"/>
    <w:rsid w:val="00CA7122"/>
    <w:rsid w:val="00CB2369"/>
    <w:rsid w:val="00CE0846"/>
    <w:rsid w:val="00CF2E5C"/>
    <w:rsid w:val="00CF3453"/>
    <w:rsid w:val="00CF58B7"/>
    <w:rsid w:val="00D02A8F"/>
    <w:rsid w:val="00D1699D"/>
    <w:rsid w:val="00D351C1"/>
    <w:rsid w:val="00D35EFB"/>
    <w:rsid w:val="00D36381"/>
    <w:rsid w:val="00D40E11"/>
    <w:rsid w:val="00D47D55"/>
    <w:rsid w:val="00D504B3"/>
    <w:rsid w:val="00D53862"/>
    <w:rsid w:val="00D8136A"/>
    <w:rsid w:val="00D86BF0"/>
    <w:rsid w:val="00D90756"/>
    <w:rsid w:val="00DA6A23"/>
    <w:rsid w:val="00DB488D"/>
    <w:rsid w:val="00E11BFE"/>
    <w:rsid w:val="00E16061"/>
    <w:rsid w:val="00E43410"/>
    <w:rsid w:val="00E51079"/>
    <w:rsid w:val="00E51920"/>
    <w:rsid w:val="00E64120"/>
    <w:rsid w:val="00E660A1"/>
    <w:rsid w:val="00E72AE9"/>
    <w:rsid w:val="00E83081"/>
    <w:rsid w:val="00E851C4"/>
    <w:rsid w:val="00E9055A"/>
    <w:rsid w:val="00EB096F"/>
    <w:rsid w:val="00EC1FE1"/>
    <w:rsid w:val="00ED074C"/>
    <w:rsid w:val="00F00BDC"/>
    <w:rsid w:val="00F055F1"/>
    <w:rsid w:val="00F16966"/>
    <w:rsid w:val="00F179A5"/>
    <w:rsid w:val="00F51C59"/>
    <w:rsid w:val="00F610AF"/>
    <w:rsid w:val="00F946B0"/>
    <w:rsid w:val="00FA1383"/>
    <w:rsid w:val="00FA2C5A"/>
    <w:rsid w:val="00FB33B2"/>
    <w:rsid w:val="00FC2C23"/>
    <w:rsid w:val="00FC2D11"/>
    <w:rsid w:val="00FC3762"/>
    <w:rsid w:val="00FC56B1"/>
    <w:rsid w:val="00FC6230"/>
    <w:rsid w:val="00FF4C7D"/>
    <w:rsid w:val="00FF61E7"/>
    <w:rsid w:val="017ED12F"/>
    <w:rsid w:val="02CB22CD"/>
    <w:rsid w:val="0378FBAD"/>
    <w:rsid w:val="03D270E2"/>
    <w:rsid w:val="03DAC30F"/>
    <w:rsid w:val="047E1670"/>
    <w:rsid w:val="04DC50CC"/>
    <w:rsid w:val="0602C38F"/>
    <w:rsid w:val="077FC052"/>
    <w:rsid w:val="0AFE776F"/>
    <w:rsid w:val="0D120A38"/>
    <w:rsid w:val="102BB1C0"/>
    <w:rsid w:val="12322BBA"/>
    <w:rsid w:val="13452F6A"/>
    <w:rsid w:val="151255F8"/>
    <w:rsid w:val="1620D4DF"/>
    <w:rsid w:val="1C901663"/>
    <w:rsid w:val="1F08C2EF"/>
    <w:rsid w:val="1F82FF5E"/>
    <w:rsid w:val="1FDAD6F3"/>
    <w:rsid w:val="20671857"/>
    <w:rsid w:val="218FD8AA"/>
    <w:rsid w:val="21FD0D5B"/>
    <w:rsid w:val="227ED60B"/>
    <w:rsid w:val="29121B08"/>
    <w:rsid w:val="2A6B4FA0"/>
    <w:rsid w:val="305BAD01"/>
    <w:rsid w:val="349E7DA4"/>
    <w:rsid w:val="351D05C2"/>
    <w:rsid w:val="356B3667"/>
    <w:rsid w:val="374FF9C6"/>
    <w:rsid w:val="37BCF609"/>
    <w:rsid w:val="38A2D729"/>
    <w:rsid w:val="3AF496CB"/>
    <w:rsid w:val="3AF80077"/>
    <w:rsid w:val="3B0DBF28"/>
    <w:rsid w:val="3B13851D"/>
    <w:rsid w:val="3D30F12F"/>
    <w:rsid w:val="3D383D0C"/>
    <w:rsid w:val="3DAE3614"/>
    <w:rsid w:val="3E87FD72"/>
    <w:rsid w:val="3FF34003"/>
    <w:rsid w:val="40298992"/>
    <w:rsid w:val="4055E353"/>
    <w:rsid w:val="422A4570"/>
    <w:rsid w:val="42FBEA0A"/>
    <w:rsid w:val="432B315C"/>
    <w:rsid w:val="444EA353"/>
    <w:rsid w:val="449B7911"/>
    <w:rsid w:val="45FE6480"/>
    <w:rsid w:val="474C9854"/>
    <w:rsid w:val="47C52D3F"/>
    <w:rsid w:val="47D319D3"/>
    <w:rsid w:val="4ADE5F23"/>
    <w:rsid w:val="4B50162B"/>
    <w:rsid w:val="4BF8893B"/>
    <w:rsid w:val="4D319879"/>
    <w:rsid w:val="4F3029FD"/>
    <w:rsid w:val="5453ED35"/>
    <w:rsid w:val="558C3771"/>
    <w:rsid w:val="56978F2A"/>
    <w:rsid w:val="569B1AFF"/>
    <w:rsid w:val="572807D2"/>
    <w:rsid w:val="59CF2FEC"/>
    <w:rsid w:val="5A5FA894"/>
    <w:rsid w:val="5B2F94D6"/>
    <w:rsid w:val="61111E80"/>
    <w:rsid w:val="616BB1F7"/>
    <w:rsid w:val="626ABA79"/>
    <w:rsid w:val="6272A7FF"/>
    <w:rsid w:val="62ACEEE1"/>
    <w:rsid w:val="62EAF378"/>
    <w:rsid w:val="63CE2131"/>
    <w:rsid w:val="651509C1"/>
    <w:rsid w:val="65468C01"/>
    <w:rsid w:val="667A3753"/>
    <w:rsid w:val="67461922"/>
    <w:rsid w:val="6A2EC519"/>
    <w:rsid w:val="6C1EDDB9"/>
    <w:rsid w:val="6D4D703A"/>
    <w:rsid w:val="712F2FD0"/>
    <w:rsid w:val="7208B017"/>
    <w:rsid w:val="73889213"/>
    <w:rsid w:val="745CA691"/>
    <w:rsid w:val="74C590F3"/>
    <w:rsid w:val="75EB0C2D"/>
    <w:rsid w:val="79269D5C"/>
    <w:rsid w:val="7933E7D8"/>
    <w:rsid w:val="79D2A7E3"/>
    <w:rsid w:val="79EF2877"/>
    <w:rsid w:val="7AA5ED66"/>
    <w:rsid w:val="7ECE6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67D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1"/>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2"/>
      </w:numPr>
      <w:tabs>
        <w:tab w:val="left" w:pos="993"/>
      </w:tabs>
      <w:spacing w:line="360" w:lineRule="auto"/>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3"/>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4"/>
      </w:numPr>
    </w:pPr>
  </w:style>
  <w:style w:type="table" w:styleId="TableGrid">
    <w:name w:val="Table Grid"/>
    <w:basedOn w:val="TableNormal"/>
    <w:uiPriority w:val="3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uiPriority w:val="99"/>
    <w:semiHidden/>
    <w:rsid w:val="003F0A04"/>
    <w:rPr>
      <w:sz w:val="16"/>
      <w:szCs w:val="16"/>
    </w:rPr>
  </w:style>
  <w:style w:type="paragraph" w:styleId="CommentText">
    <w:name w:val="annotation text"/>
    <w:basedOn w:val="Normal"/>
    <w:link w:val="CommentTextChar"/>
    <w:uiPriority w:val="99"/>
    <w:rsid w:val="003F0A04"/>
    <w:rPr>
      <w:sz w:val="20"/>
      <w:szCs w:val="20"/>
    </w:rPr>
  </w:style>
  <w:style w:type="character" w:customStyle="1" w:styleId="CommentTextChar">
    <w:name w:val="Comment Text Char"/>
    <w:basedOn w:val="DefaultParagraphFont"/>
    <w:link w:val="CommentText"/>
    <w:uiPriority w:val="99"/>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179A5"/>
    <w:rPr>
      <w:sz w:val="24"/>
      <w:szCs w:val="24"/>
    </w:rPr>
  </w:style>
  <w:style w:type="paragraph" w:styleId="EndnoteText">
    <w:name w:val="endnote text"/>
    <w:basedOn w:val="Normal"/>
    <w:link w:val="EndnoteTextChar"/>
    <w:semiHidden/>
    <w:rsid w:val="00104112"/>
    <w:rPr>
      <w:sz w:val="20"/>
      <w:szCs w:val="20"/>
    </w:rPr>
  </w:style>
  <w:style w:type="character" w:customStyle="1" w:styleId="EndnoteTextChar">
    <w:name w:val="Endnote Text Char"/>
    <w:basedOn w:val="DefaultParagraphFont"/>
    <w:link w:val="EndnoteText"/>
    <w:semiHidden/>
    <w:rsid w:val="00104112"/>
  </w:style>
  <w:style w:type="character" w:styleId="EndnoteReference">
    <w:name w:val="endnote reference"/>
    <w:basedOn w:val="DefaultParagraphFont"/>
    <w:semiHidden/>
    <w:rsid w:val="00104112"/>
    <w:rPr>
      <w:vertAlign w:val="superscript"/>
    </w:rPr>
  </w:style>
  <w:style w:type="paragraph" w:styleId="FootnoteText">
    <w:name w:val="footnote text"/>
    <w:basedOn w:val="Normal"/>
    <w:link w:val="FootnoteTextChar"/>
    <w:semiHidden/>
    <w:rsid w:val="00104112"/>
    <w:rPr>
      <w:sz w:val="20"/>
      <w:szCs w:val="20"/>
    </w:rPr>
  </w:style>
  <w:style w:type="character" w:customStyle="1" w:styleId="FootnoteTextChar">
    <w:name w:val="Footnote Text Char"/>
    <w:basedOn w:val="DefaultParagraphFont"/>
    <w:link w:val="FootnoteText"/>
    <w:semiHidden/>
    <w:rsid w:val="00104112"/>
  </w:style>
  <w:style w:type="character" w:styleId="FootnoteReference">
    <w:name w:val="footnote reference"/>
    <w:basedOn w:val="DefaultParagraphFont"/>
    <w:semiHidden/>
    <w:rsid w:val="00104112"/>
    <w:rPr>
      <w:vertAlign w:val="superscript"/>
    </w:rPr>
  </w:style>
  <w:style w:type="character" w:styleId="UnresolvedMention">
    <w:name w:val="Unresolved Mention"/>
    <w:basedOn w:val="DefaultParagraphFont"/>
    <w:uiPriority w:val="99"/>
    <w:semiHidden/>
    <w:unhideWhenUsed/>
    <w:rsid w:val="001561E8"/>
    <w:rPr>
      <w:color w:val="605E5C"/>
      <w:shd w:val="clear" w:color="auto" w:fill="E1DFDD"/>
    </w:rPr>
  </w:style>
  <w:style w:type="character" w:styleId="FollowedHyperlink">
    <w:name w:val="FollowedHyperlink"/>
    <w:basedOn w:val="DefaultParagraphFont"/>
    <w:semiHidden/>
    <w:rsid w:val="001561E8"/>
    <w:rPr>
      <w:color w:val="00436C" w:themeColor="followedHyperlink"/>
      <w:u w:val="single"/>
    </w:rPr>
  </w:style>
  <w:style w:type="character" w:styleId="Strong">
    <w:name w:val="Strong"/>
    <w:basedOn w:val="DefaultParagraphFont"/>
    <w:uiPriority w:val="22"/>
    <w:qFormat/>
    <w:rsid w:val="00422E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3423">
      <w:bodyDiv w:val="1"/>
      <w:marLeft w:val="0"/>
      <w:marRight w:val="0"/>
      <w:marTop w:val="0"/>
      <w:marBottom w:val="0"/>
      <w:divBdr>
        <w:top w:val="none" w:sz="0" w:space="0" w:color="auto"/>
        <w:left w:val="none" w:sz="0" w:space="0" w:color="auto"/>
        <w:bottom w:val="none" w:sz="0" w:space="0" w:color="auto"/>
        <w:right w:val="none" w:sz="0" w:space="0" w:color="auto"/>
      </w:divBdr>
    </w:div>
    <w:div w:id="177358362">
      <w:bodyDiv w:val="1"/>
      <w:marLeft w:val="0"/>
      <w:marRight w:val="0"/>
      <w:marTop w:val="0"/>
      <w:marBottom w:val="0"/>
      <w:divBdr>
        <w:top w:val="none" w:sz="0" w:space="0" w:color="auto"/>
        <w:left w:val="none" w:sz="0" w:space="0" w:color="auto"/>
        <w:bottom w:val="none" w:sz="0" w:space="0" w:color="auto"/>
        <w:right w:val="none" w:sz="0" w:space="0" w:color="auto"/>
      </w:divBdr>
    </w:div>
    <w:div w:id="525096940">
      <w:bodyDiv w:val="1"/>
      <w:marLeft w:val="0"/>
      <w:marRight w:val="0"/>
      <w:marTop w:val="0"/>
      <w:marBottom w:val="0"/>
      <w:divBdr>
        <w:top w:val="none" w:sz="0" w:space="0" w:color="auto"/>
        <w:left w:val="none" w:sz="0" w:space="0" w:color="auto"/>
        <w:bottom w:val="none" w:sz="0" w:space="0" w:color="auto"/>
        <w:right w:val="none" w:sz="0" w:space="0" w:color="auto"/>
      </w:divBdr>
    </w:div>
    <w:div w:id="1698507920">
      <w:bodyDiv w:val="1"/>
      <w:marLeft w:val="0"/>
      <w:marRight w:val="0"/>
      <w:marTop w:val="0"/>
      <w:marBottom w:val="0"/>
      <w:divBdr>
        <w:top w:val="none" w:sz="0" w:space="0" w:color="auto"/>
        <w:left w:val="none" w:sz="0" w:space="0" w:color="auto"/>
        <w:bottom w:val="none" w:sz="0" w:space="0" w:color="auto"/>
        <w:right w:val="none" w:sz="0" w:space="0" w:color="auto"/>
      </w:divBdr>
    </w:div>
    <w:div w:id="1714037326">
      <w:bodyDiv w:val="1"/>
      <w:marLeft w:val="0"/>
      <w:marRight w:val="0"/>
      <w:marTop w:val="0"/>
      <w:marBottom w:val="0"/>
      <w:divBdr>
        <w:top w:val="none" w:sz="0" w:space="0" w:color="auto"/>
        <w:left w:val="none" w:sz="0" w:space="0" w:color="auto"/>
        <w:bottom w:val="none" w:sz="0" w:space="0" w:color="auto"/>
        <w:right w:val="none" w:sz="0" w:space="0" w:color="auto"/>
      </w:divBdr>
    </w:div>
    <w:div w:id="187822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international-journal-of-technology-assessment-in-health-care/article/new-definition-of-health-technology-assessment-a-milestone-in-international-collaboration/8A3BA65D279F3FDAA83ADB3D08CF8C17" TargetMode="External"/><Relationship Id="rId13" Type="http://schemas.openxmlformats.org/officeDocument/2006/relationships/hyperlink" Target="https://bmjopen.bmj.com/content/11/10/e051812" TargetMode="External"/><Relationship Id="rId18" Type="http://schemas.openxmlformats.org/officeDocument/2006/relationships/hyperlink" Target="https://www.icmje.org/news-and-editorials/icmje-recommendations_annotated_may22.pdf"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icmje.org/news-and-editorials/icmje-recommendations_annotated_may2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canada.ca/en/health-canada/services/drug-health-product-review-approval/profile-public-release-clinical-information-guidance/documen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health-canada/services/drug-health-product-review-approval/profile-public-release-clinical-information-guidance/document.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eur-lex.europa.eu/legal-content/EN/TXT/PDF/?uri=CELEX:32021R2282&amp;from=EN" TargetMode="External"/><Relationship Id="rId19" Type="http://schemas.openxmlformats.org/officeDocument/2006/relationships/hyperlink" Target="https://www.ema.europa.eu/en/human-medicines-regulatory-information" TargetMode="External"/><Relationship Id="rId4" Type="http://schemas.openxmlformats.org/officeDocument/2006/relationships/settings" Target="settings.xml"/><Relationship Id="rId9" Type="http://schemas.openxmlformats.org/officeDocument/2006/relationships/hyperlink" Target="https://www.ema.europa.eu/en/human-medicines-regulatory-information"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1373</Words>
  <Characters>8610</Characters>
  <Application>Microsoft Office Word</Application>
  <DocSecurity>0</DocSecurity>
  <Lines>71</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2023-04-24T13:17:00Z</dcterms:created>
  <dcterms:modified xsi:type="dcterms:W3CDTF">2023-04-24T13:17:00Z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2023-04-24T13:17:48Z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ec9a5791-7485-46ae-a9f6-14cf843d81a2</vt:lpwstr>
  </property>
  <property fmtid="{D5CDD505-2E9C-101B-9397-08002B2CF9AE}" pid="8" name="MSIP_Label_c69d85d5-6d9e-4305-a294-1f636ec0f2d6_ContentBits">
    <vt:lpwstr>0</vt:lpwstr>
  </property>
</Properties>
</file>