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6B251" w14:textId="55D1E4A1" w:rsidR="003D7692" w:rsidRDefault="004D1978" w:rsidP="004D1978">
      <w:pPr>
        <w:pStyle w:val="Title"/>
      </w:pPr>
      <w:r>
        <w:t xml:space="preserve">NICE consultation </w:t>
      </w:r>
      <w:r w:rsidR="00D16D97">
        <w:t xml:space="preserve">on the first modular update of the </w:t>
      </w:r>
      <w:r w:rsidR="17CC9699">
        <w:t xml:space="preserve">Guide to </w:t>
      </w:r>
      <w:r w:rsidR="00D16D97">
        <w:t xml:space="preserve">Health Technology Evaluation </w:t>
      </w:r>
      <w:r w:rsidR="407E0EB7">
        <w:t>(PMG36)</w:t>
      </w:r>
    </w:p>
    <w:p w14:paraId="5F83C5C2" w14:textId="77777777" w:rsidR="004D1978" w:rsidRDefault="004D1978" w:rsidP="004D762B">
      <w:pPr>
        <w:pStyle w:val="Paragraphnonumbers"/>
      </w:pPr>
    </w:p>
    <w:p w14:paraId="5D4698E3" w14:textId="14C11026" w:rsidR="004D762B" w:rsidRDefault="000E194C" w:rsidP="004D762B">
      <w:pPr>
        <w:pStyle w:val="Paragraphnonumbers"/>
      </w:pPr>
      <w:r>
        <w:t xml:space="preserve">The </w:t>
      </w:r>
      <w:r w:rsidR="004D762B">
        <w:t>NICE</w:t>
      </w:r>
      <w:r>
        <w:t xml:space="preserve"> </w:t>
      </w:r>
      <w:r w:rsidR="00AC4B02">
        <w:t>t</w:t>
      </w:r>
      <w:r>
        <w:t xml:space="preserve">echnology </w:t>
      </w:r>
      <w:r w:rsidR="00AC4B02">
        <w:t>a</w:t>
      </w:r>
      <w:r>
        <w:t>ppraisals programme</w:t>
      </w:r>
      <w:r w:rsidR="004D762B">
        <w:t xml:space="preserve"> recently consulted publicly on </w:t>
      </w:r>
      <w:r w:rsidR="00D16D97">
        <w:t xml:space="preserve">integrating the interim methods and process guide for the proportionate approach to technology appraisals into the </w:t>
      </w:r>
      <w:r w:rsidR="7D34F5F2">
        <w:t xml:space="preserve">Guide to </w:t>
      </w:r>
      <w:r w:rsidR="00D16D97">
        <w:t>Health Technology Evaluation.</w:t>
      </w:r>
    </w:p>
    <w:p w14:paraId="78642E81" w14:textId="14967FE6" w:rsidR="004D762B" w:rsidRDefault="00083BA8" w:rsidP="004D762B">
      <w:pPr>
        <w:pStyle w:val="Paragraphnonumbers"/>
      </w:pPr>
      <w:r>
        <w:t xml:space="preserve">This report presents the </w:t>
      </w:r>
      <w:r w:rsidR="00D16D97">
        <w:t xml:space="preserve">comments </w:t>
      </w:r>
      <w:r>
        <w:t>received</w:t>
      </w:r>
      <w:r w:rsidR="00D16D97">
        <w:t>, our response</w:t>
      </w:r>
      <w:r>
        <w:t xml:space="preserve"> and changes made</w:t>
      </w:r>
      <w:r w:rsidR="004D762B">
        <w:t>.</w:t>
      </w:r>
    </w:p>
    <w:p w14:paraId="3AFA0C74" w14:textId="3701EA57" w:rsidR="00047F22" w:rsidRPr="00B43E83" w:rsidRDefault="00B43E83" w:rsidP="00B43E83">
      <w:pPr>
        <w:pStyle w:val="Paragraphnonumbers"/>
      </w:pPr>
      <w:r w:rsidRPr="00B43E83">
        <w:t xml:space="preserve"> </w:t>
      </w:r>
    </w:p>
    <w:p w14:paraId="25BC9E33" w14:textId="217F59E2" w:rsidR="00047F22" w:rsidRPr="00B43E83" w:rsidRDefault="00083BA8" w:rsidP="00B43E83">
      <w:pPr>
        <w:pStyle w:val="Paragraphnonumbers"/>
      </w:pPr>
      <w:r>
        <w:t xml:space="preserve">NICE, </w:t>
      </w:r>
      <w:r w:rsidR="00D16D97">
        <w:t>October 2023</w:t>
      </w:r>
      <w:r w:rsidR="00B43E83" w:rsidRPr="00B43E83">
        <w:t xml:space="preserve"> </w:t>
      </w:r>
    </w:p>
    <w:p w14:paraId="500DDF1F" w14:textId="77777777" w:rsidR="00B57343" w:rsidRDefault="00B57343" w:rsidP="00D959FE">
      <w:pPr>
        <w:pStyle w:val="Heading1boardreport"/>
      </w:pPr>
    </w:p>
    <w:p w14:paraId="3F3584E0" w14:textId="77777777" w:rsidR="00B57343" w:rsidRDefault="00B57343">
      <w:pPr>
        <w:rPr>
          <w:rFonts w:ascii="Arial" w:hAnsi="Arial"/>
          <w:b/>
          <w:bCs/>
          <w:color w:val="4F81BD" w:themeColor="accent1"/>
          <w:kern w:val="32"/>
          <w:sz w:val="36"/>
          <w:szCs w:val="36"/>
        </w:rPr>
      </w:pPr>
      <w:r>
        <w:br w:type="page"/>
      </w:r>
    </w:p>
    <w:p w14:paraId="1A2E7F63" w14:textId="308ABC43" w:rsidR="000D760B" w:rsidRDefault="000D760B" w:rsidP="002234A8">
      <w:pPr>
        <w:pStyle w:val="Heading1boardreport"/>
      </w:pPr>
      <w:r>
        <w:lastRenderedPageBreak/>
        <w:t>Executive summary</w:t>
      </w:r>
    </w:p>
    <w:p w14:paraId="04D9BF40" w14:textId="6DC47514" w:rsidR="000D760B" w:rsidRPr="00230882" w:rsidRDefault="000D760B" w:rsidP="00D16D97">
      <w:pPr>
        <w:pStyle w:val="Paragraph"/>
      </w:pPr>
      <w:r>
        <w:t xml:space="preserve">The consultation received a generally supportive response to the </w:t>
      </w:r>
      <w:r w:rsidR="00230882">
        <w:t xml:space="preserve">manual updates, </w:t>
      </w:r>
      <w:r w:rsidR="00C026B2">
        <w:t>w</w:t>
      </w:r>
      <w:r w:rsidR="00632469">
        <w:t xml:space="preserve">ith </w:t>
      </w:r>
      <w:r w:rsidR="5527C165">
        <w:t>widespread</w:t>
      </w:r>
      <w:r w:rsidR="78BC5D84">
        <w:t xml:space="preserve"> </w:t>
      </w:r>
      <w:r w:rsidR="0022189F">
        <w:t>requests for monitoring and consistency of the new approaches and clarity on timings</w:t>
      </w:r>
      <w:r w:rsidR="70A0C569">
        <w:t xml:space="preserve">. </w:t>
      </w:r>
    </w:p>
    <w:p w14:paraId="2D6BDE22" w14:textId="0059145F" w:rsidR="00230882" w:rsidRDefault="00632469" w:rsidP="00230882">
      <w:pPr>
        <w:pStyle w:val="Paragraph"/>
      </w:pPr>
      <w:r>
        <w:t>We propose to make changes</w:t>
      </w:r>
      <w:r w:rsidR="00230882">
        <w:t xml:space="preserve"> </w:t>
      </w:r>
      <w:r>
        <w:t>to the proposals</w:t>
      </w:r>
      <w:r w:rsidR="00287F91">
        <w:t xml:space="preserve"> for</w:t>
      </w:r>
      <w:r w:rsidR="00230882">
        <w:t xml:space="preserve"> length of time for clarification during a cost comparison appraisal and we </w:t>
      </w:r>
      <w:r w:rsidR="2771453D">
        <w:t>are providing</w:t>
      </w:r>
      <w:r w:rsidR="00230882">
        <w:t xml:space="preserve"> new process diagrams and clear timelines to support stakeholders in understanding the new approaches.</w:t>
      </w:r>
    </w:p>
    <w:p w14:paraId="5FC59C29" w14:textId="0758C06E" w:rsidR="00F71147" w:rsidRPr="00230882" w:rsidRDefault="00F71147" w:rsidP="00F71147">
      <w:pPr>
        <w:pStyle w:val="Paragraph"/>
      </w:pPr>
      <w:r>
        <w:t>Many respondents were concerned regarding the possibility of inappropriate routing to a cost comparison and the need to reroute to a single technology appraisal (STA) causing delays. NICE is confident this risk is low and managed appropriately and the new approach to cost comparison topics is being monitored internally to ensure early identification of any issues and actions required.</w:t>
      </w:r>
    </w:p>
    <w:p w14:paraId="2F56A2E9" w14:textId="77777777" w:rsidR="002234A8" w:rsidRDefault="002234A8" w:rsidP="002234A8">
      <w:pPr>
        <w:pStyle w:val="Heading1boardreport"/>
      </w:pPr>
      <w:r>
        <w:t xml:space="preserve">Background </w:t>
      </w:r>
    </w:p>
    <w:p w14:paraId="29B49F16" w14:textId="53408972" w:rsidR="00815D49" w:rsidRDefault="00D16D97" w:rsidP="00D959FE">
      <w:pPr>
        <w:pStyle w:val="Heading2boardreport"/>
      </w:pPr>
      <w:r>
        <w:t>Taking a proportionate approach to Technology Appraisals</w:t>
      </w:r>
    </w:p>
    <w:p w14:paraId="4228C0D6" w14:textId="26C212F0" w:rsidR="00D16D97" w:rsidRPr="00D16D97" w:rsidRDefault="00D16D97" w:rsidP="00D16D97">
      <w:pPr>
        <w:pStyle w:val="Paragraph"/>
      </w:pPr>
      <w:r>
        <w:t xml:space="preserve">NICE’s proportionate approach to technology appraisals project aimed to increase the capacity for publishing appraisals by 20% from 2023–24 onwards. We developed new approaches using test-and-learn principles, exploring </w:t>
      </w:r>
      <w:proofErr w:type="gramStart"/>
      <w:r>
        <w:t>ideas</w:t>
      </w:r>
      <w:proofErr w:type="gramEnd"/>
      <w:r>
        <w:t xml:space="preserve"> and developing them through direct experience in active health technology evaluations. NICE engaged with stakeholders throughout the </w:t>
      </w:r>
      <w:r w:rsidR="08C3A206">
        <w:t>project and</w:t>
      </w:r>
      <w:r>
        <w:t xml:space="preserve"> incorporated real-time input and feedback throughout.</w:t>
      </w:r>
    </w:p>
    <w:p w14:paraId="6198E43A" w14:textId="5C9D5A88" w:rsidR="00D16D97" w:rsidRDefault="00F71147" w:rsidP="00D16D97">
      <w:pPr>
        <w:pStyle w:val="Paragraph"/>
      </w:pPr>
      <w:r>
        <w:t>The</w:t>
      </w:r>
      <w:r w:rsidR="00D16D97">
        <w:t xml:space="preserve"> </w:t>
      </w:r>
      <w:r w:rsidR="00D16D97" w:rsidRPr="005B2F04">
        <w:t>interim methods and process guide for the proportionate approach to technology appraisals </w:t>
      </w:r>
      <w:r w:rsidR="00D16D97">
        <w:t xml:space="preserve">was published in April 2023. This interim process and methods applied to all topics which started their evaluation from </w:t>
      </w:r>
      <w:r>
        <w:t>this date.</w:t>
      </w:r>
    </w:p>
    <w:p w14:paraId="156FD50E" w14:textId="77777777" w:rsidR="00CF779F" w:rsidRDefault="00CF779F" w:rsidP="00CF779F">
      <w:pPr>
        <w:pStyle w:val="Heading2boardreport"/>
      </w:pPr>
      <w:r>
        <w:t>The consultation</w:t>
      </w:r>
    </w:p>
    <w:p w14:paraId="7E4D4396" w14:textId="712D18B8" w:rsidR="004A7B8F" w:rsidRDefault="004A7B8F" w:rsidP="00BF7215">
      <w:pPr>
        <w:pStyle w:val="Paragraph"/>
      </w:pPr>
      <w:r>
        <w:t xml:space="preserve">In </w:t>
      </w:r>
      <w:r w:rsidR="00171876">
        <w:t>June</w:t>
      </w:r>
      <w:r>
        <w:t xml:space="preserve"> 20</w:t>
      </w:r>
      <w:r w:rsidR="00171876">
        <w:t>23</w:t>
      </w:r>
      <w:r>
        <w:t xml:space="preserve">, NICE </w:t>
      </w:r>
      <w:r w:rsidR="00171876">
        <w:t>consulted on integrating the interim methods and process guide for the proportionate approach to technology appraisals into the</w:t>
      </w:r>
      <w:r w:rsidR="6ABE6127">
        <w:t xml:space="preserve"> formal Guide to</w:t>
      </w:r>
      <w:r w:rsidR="00171876">
        <w:t xml:space="preserve"> </w:t>
      </w:r>
      <w:r w:rsidR="00F71147">
        <w:t>h</w:t>
      </w:r>
      <w:r w:rsidR="00171876">
        <w:t xml:space="preserve">ealth </w:t>
      </w:r>
      <w:r w:rsidR="00F71147">
        <w:t>t</w:t>
      </w:r>
      <w:r w:rsidR="00171876">
        <w:t xml:space="preserve">echnology </w:t>
      </w:r>
      <w:r w:rsidR="00F71147">
        <w:t>e</w:t>
      </w:r>
      <w:r w:rsidR="00171876">
        <w:t>valuation.</w:t>
      </w:r>
    </w:p>
    <w:p w14:paraId="23CFC65E" w14:textId="77777777" w:rsidR="00171876" w:rsidRDefault="00171876" w:rsidP="00171876">
      <w:pPr>
        <w:pStyle w:val="Paragraph"/>
      </w:pPr>
      <w:r>
        <w:t>The methods and processes described within the interim guide covered:</w:t>
      </w:r>
    </w:p>
    <w:p w14:paraId="74F9B90B" w14:textId="77777777" w:rsidR="00171876" w:rsidRDefault="00171876" w:rsidP="00171876">
      <w:pPr>
        <w:pStyle w:val="Paragraph"/>
        <w:numPr>
          <w:ilvl w:val="1"/>
          <w:numId w:val="7"/>
        </w:numPr>
      </w:pPr>
      <w:r>
        <w:t>Cost comparison process</w:t>
      </w:r>
    </w:p>
    <w:p w14:paraId="2B3CE457" w14:textId="77777777" w:rsidR="00171876" w:rsidRDefault="00171876" w:rsidP="00171876">
      <w:pPr>
        <w:pStyle w:val="Paragraph"/>
        <w:numPr>
          <w:ilvl w:val="1"/>
          <w:numId w:val="7"/>
        </w:numPr>
      </w:pPr>
      <w:r>
        <w:t>Streamlined decision-making, and</w:t>
      </w:r>
    </w:p>
    <w:p w14:paraId="26B6B974" w14:textId="3692425E" w:rsidR="31EDA71E" w:rsidRDefault="31EDA71E" w:rsidP="04B70B81">
      <w:pPr>
        <w:pStyle w:val="Paragraph"/>
        <w:numPr>
          <w:ilvl w:val="1"/>
          <w:numId w:val="7"/>
        </w:numPr>
        <w:rPr>
          <w:rFonts w:eastAsia="Arial" w:cs="Arial"/>
          <w:color w:val="000000" w:themeColor="text1"/>
        </w:rPr>
      </w:pPr>
      <w:r w:rsidRPr="04B70B81">
        <w:rPr>
          <w:rFonts w:eastAsia="Arial" w:cs="Arial"/>
          <w:color w:val="000000" w:themeColor="text1"/>
        </w:rPr>
        <w:t xml:space="preserve">Operating efficiently, which included: </w:t>
      </w:r>
    </w:p>
    <w:p w14:paraId="3930A942" w14:textId="398FBF2A" w:rsidR="31EDA71E" w:rsidRDefault="31EDA71E" w:rsidP="04B70B81">
      <w:pPr>
        <w:pStyle w:val="Guidancenumbered"/>
        <w:numPr>
          <w:ilvl w:val="2"/>
          <w:numId w:val="7"/>
        </w:numPr>
        <w:rPr>
          <w:rFonts w:eastAsia="Arial"/>
          <w:color w:val="000000" w:themeColor="text1"/>
          <w:szCs w:val="24"/>
        </w:rPr>
      </w:pPr>
      <w:r w:rsidRPr="04B70B81">
        <w:rPr>
          <w:rFonts w:eastAsia="Arial"/>
          <w:color w:val="000000" w:themeColor="text1"/>
          <w:szCs w:val="24"/>
        </w:rPr>
        <w:lastRenderedPageBreak/>
        <w:t>An Opt-in approach to technical engagement,</w:t>
      </w:r>
    </w:p>
    <w:p w14:paraId="5EAF85B4" w14:textId="326F7533" w:rsidR="31EDA71E" w:rsidRDefault="31EDA71E" w:rsidP="04B70B81">
      <w:pPr>
        <w:pStyle w:val="Guidancenumbered"/>
        <w:numPr>
          <w:ilvl w:val="2"/>
          <w:numId w:val="7"/>
        </w:numPr>
        <w:rPr>
          <w:rFonts w:eastAsia="Arial"/>
          <w:color w:val="000000" w:themeColor="text1"/>
          <w:szCs w:val="24"/>
        </w:rPr>
      </w:pPr>
      <w:r w:rsidRPr="04B70B81">
        <w:rPr>
          <w:rFonts w:eastAsia="Arial"/>
          <w:color w:val="000000" w:themeColor="text1"/>
          <w:szCs w:val="24"/>
        </w:rPr>
        <w:t>Aligning topics in the same disease indication</w:t>
      </w:r>
    </w:p>
    <w:p w14:paraId="3C8437A9" w14:textId="1110228C" w:rsidR="31EDA71E" w:rsidRDefault="31EDA71E" w:rsidP="04B70B81">
      <w:pPr>
        <w:pStyle w:val="Guidancenumbered"/>
        <w:numPr>
          <w:ilvl w:val="2"/>
          <w:numId w:val="7"/>
        </w:numPr>
        <w:rPr>
          <w:rFonts w:eastAsia="Arial"/>
          <w:color w:val="000000" w:themeColor="text1"/>
          <w:szCs w:val="24"/>
        </w:rPr>
      </w:pPr>
      <w:r w:rsidRPr="04B70B81">
        <w:rPr>
          <w:rFonts w:eastAsia="Arial"/>
          <w:color w:val="000000" w:themeColor="text1"/>
          <w:szCs w:val="24"/>
        </w:rPr>
        <w:t>Handling confidential information</w:t>
      </w:r>
    </w:p>
    <w:p w14:paraId="59DE3676" w14:textId="7E9DC717" w:rsidR="04B70B81" w:rsidRDefault="04B70B81" w:rsidP="04B70B81">
      <w:pPr>
        <w:pStyle w:val="Paragraph"/>
        <w:numPr>
          <w:ilvl w:val="0"/>
          <w:numId w:val="0"/>
        </w:numPr>
      </w:pPr>
    </w:p>
    <w:p w14:paraId="42512D31" w14:textId="0A6EDFBC" w:rsidR="003D7620" w:rsidRDefault="003D7620" w:rsidP="003D7620">
      <w:pPr>
        <w:pStyle w:val="Paragraph"/>
      </w:pPr>
      <w:r>
        <w:t>Comments were</w:t>
      </w:r>
      <w:r w:rsidR="6DEA8FCC">
        <w:t xml:space="preserve"> invited</w:t>
      </w:r>
      <w:r>
        <w:t xml:space="preserve"> on the updated sections of the manual</w:t>
      </w:r>
      <w:r w:rsidR="27F07C50">
        <w:t xml:space="preserve"> only</w:t>
      </w:r>
      <w:r>
        <w:t xml:space="preserve">. </w:t>
      </w:r>
      <w:r w:rsidR="00301751">
        <w:t xml:space="preserve">Table </w:t>
      </w:r>
      <w:r>
        <w:t>1 lists the new and updated sections of the manual:</w:t>
      </w:r>
    </w:p>
    <w:p w14:paraId="2F507024" w14:textId="27F2C3E4" w:rsidR="00301751" w:rsidRPr="00301751" w:rsidRDefault="00301751" w:rsidP="00301751">
      <w:pPr>
        <w:pStyle w:val="Paragraph"/>
        <w:numPr>
          <w:ilvl w:val="0"/>
          <w:numId w:val="0"/>
        </w:numPr>
        <w:ind w:left="644" w:hanging="360"/>
      </w:pPr>
      <w:r w:rsidRPr="00301751">
        <w:t>Table 1</w:t>
      </w:r>
    </w:p>
    <w:tbl>
      <w:tblPr>
        <w:tblStyle w:val="GridTable1Light"/>
        <w:tblW w:w="0" w:type="auto"/>
        <w:tblLook w:val="04A0" w:firstRow="1" w:lastRow="0" w:firstColumn="1" w:lastColumn="0" w:noHBand="0" w:noVBand="1"/>
      </w:tblPr>
      <w:tblGrid>
        <w:gridCol w:w="2405"/>
        <w:gridCol w:w="2410"/>
        <w:gridCol w:w="4201"/>
      </w:tblGrid>
      <w:tr w:rsidR="003D7620" w:rsidRPr="003D7620" w14:paraId="06A981E6" w14:textId="77777777" w:rsidTr="005717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hideMark/>
          </w:tcPr>
          <w:p w14:paraId="0DD61B9A" w14:textId="6F0E3840" w:rsidR="003D7620" w:rsidRPr="003D7620" w:rsidRDefault="003D7620" w:rsidP="00301751">
            <w:pPr>
              <w:pStyle w:val="Paragraph"/>
              <w:numPr>
                <w:ilvl w:val="0"/>
                <w:numId w:val="0"/>
              </w:numPr>
            </w:pPr>
            <w:r>
              <w:t>Manual section number</w:t>
            </w:r>
            <w:r w:rsidRPr="003D7620">
              <w:t> </w:t>
            </w:r>
          </w:p>
        </w:tc>
        <w:tc>
          <w:tcPr>
            <w:tcW w:w="2410" w:type="dxa"/>
            <w:hideMark/>
          </w:tcPr>
          <w:p w14:paraId="69ED9FDC" w14:textId="1A5395A9" w:rsidR="003D7620" w:rsidRPr="003D7620" w:rsidRDefault="003D7620" w:rsidP="00301751">
            <w:pPr>
              <w:pStyle w:val="Paragraph"/>
              <w:numPr>
                <w:ilvl w:val="0"/>
                <w:numId w:val="0"/>
              </w:numPr>
              <w:cnfStyle w:val="100000000000" w:firstRow="1" w:lastRow="0" w:firstColumn="0" w:lastColumn="0" w:oddVBand="0" w:evenVBand="0" w:oddHBand="0" w:evenHBand="0" w:firstRowFirstColumn="0" w:firstRowLastColumn="0" w:lastRowFirstColumn="0" w:lastRowLastColumn="0"/>
            </w:pPr>
            <w:r w:rsidRPr="003D7620">
              <w:t>New, updated o</w:t>
            </w:r>
            <w:r>
              <w:t xml:space="preserve">r </w:t>
            </w:r>
            <w:r w:rsidRPr="003D7620">
              <w:t>replaced content</w:t>
            </w:r>
          </w:p>
        </w:tc>
        <w:tc>
          <w:tcPr>
            <w:tcW w:w="4201" w:type="dxa"/>
            <w:hideMark/>
          </w:tcPr>
          <w:p w14:paraId="5C1AAE9C" w14:textId="77777777" w:rsidR="003D7620" w:rsidRPr="003D7620" w:rsidRDefault="003D7620" w:rsidP="00301751">
            <w:pPr>
              <w:pStyle w:val="Paragraph"/>
              <w:numPr>
                <w:ilvl w:val="0"/>
                <w:numId w:val="0"/>
              </w:numPr>
              <w:cnfStyle w:val="100000000000" w:firstRow="1" w:lastRow="0" w:firstColumn="0" w:lastColumn="0" w:oddVBand="0" w:evenVBand="0" w:oddHBand="0" w:evenHBand="0" w:firstRowFirstColumn="0" w:firstRowLastColumn="0" w:lastRowFirstColumn="0" w:lastRowLastColumn="0"/>
            </w:pPr>
            <w:r w:rsidRPr="003D7620">
              <w:t>Details </w:t>
            </w:r>
          </w:p>
        </w:tc>
      </w:tr>
      <w:tr w:rsidR="003D7620" w:rsidRPr="003D7620" w14:paraId="58910C41" w14:textId="77777777" w:rsidTr="0057176D">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FE90542" w14:textId="46E75D07" w:rsidR="003D7620" w:rsidRPr="003D7620" w:rsidRDefault="003D7620" w:rsidP="00301751">
            <w:pPr>
              <w:pStyle w:val="Paragraph"/>
              <w:numPr>
                <w:ilvl w:val="0"/>
                <w:numId w:val="0"/>
              </w:numPr>
            </w:pPr>
            <w:r w:rsidRPr="003D7620">
              <w:t>Section 1.3.25</w:t>
            </w:r>
            <w:r w:rsidR="0057176D">
              <w:t>, 2.6, 5.5.9-10, 5.6.4</w:t>
            </w:r>
          </w:p>
        </w:tc>
        <w:tc>
          <w:tcPr>
            <w:tcW w:w="2410" w:type="dxa"/>
            <w:vAlign w:val="center"/>
            <w:hideMark/>
          </w:tcPr>
          <w:p w14:paraId="197B915E" w14:textId="34F7AD24" w:rsidR="003D7620" w:rsidRPr="003D7620" w:rsidRDefault="003D7620"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rsidRPr="003D7620">
              <w:t>Updated </w:t>
            </w:r>
            <w:r w:rsidR="0057176D">
              <w:t>and new content</w:t>
            </w:r>
          </w:p>
        </w:tc>
        <w:tc>
          <w:tcPr>
            <w:tcW w:w="4201" w:type="dxa"/>
            <w:vAlign w:val="center"/>
            <w:hideMark/>
          </w:tcPr>
          <w:p w14:paraId="34847534" w14:textId="131EA411" w:rsidR="003D7620" w:rsidRPr="003D7620" w:rsidRDefault="0057176D"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t xml:space="preserve">Cost comparison – </w:t>
            </w:r>
            <w:r w:rsidR="003D7620" w:rsidRPr="003D7620">
              <w:t>Expert input</w:t>
            </w:r>
            <w:r>
              <w:t>, identifying, submitting, timings and evidence assessment</w:t>
            </w:r>
          </w:p>
        </w:tc>
      </w:tr>
      <w:tr w:rsidR="003D7620" w:rsidRPr="003D7620" w14:paraId="041D23B7" w14:textId="77777777" w:rsidTr="0057176D">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BBA5B02" w14:textId="717A25DA" w:rsidR="003D7620" w:rsidRPr="003D7620" w:rsidRDefault="003D7620" w:rsidP="00301751">
            <w:pPr>
              <w:pStyle w:val="Paragraph"/>
              <w:numPr>
                <w:ilvl w:val="0"/>
                <w:numId w:val="0"/>
              </w:numPr>
            </w:pPr>
            <w:r w:rsidRPr="003D7620">
              <w:t>Section 5.2.4</w:t>
            </w:r>
            <w:r w:rsidR="0057176D">
              <w:t>-</w:t>
            </w:r>
            <w:r w:rsidRPr="003D7620">
              <w:t>5 </w:t>
            </w:r>
          </w:p>
        </w:tc>
        <w:tc>
          <w:tcPr>
            <w:tcW w:w="2410" w:type="dxa"/>
            <w:vAlign w:val="center"/>
            <w:hideMark/>
          </w:tcPr>
          <w:p w14:paraId="674252DC" w14:textId="77777777" w:rsidR="003D7620" w:rsidRPr="003D7620" w:rsidRDefault="003D7620"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rsidRPr="003D7620">
              <w:t>New content </w:t>
            </w:r>
          </w:p>
        </w:tc>
        <w:tc>
          <w:tcPr>
            <w:tcW w:w="4201" w:type="dxa"/>
            <w:vAlign w:val="center"/>
            <w:hideMark/>
          </w:tcPr>
          <w:p w14:paraId="7671BAEE" w14:textId="77777777" w:rsidR="003D7620" w:rsidRPr="003D7620" w:rsidRDefault="003D7620"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rsidRPr="003D7620">
              <w:t>Aligning processes for topics following similar timelines </w:t>
            </w:r>
          </w:p>
        </w:tc>
      </w:tr>
      <w:tr w:rsidR="003D7620" w:rsidRPr="003D7620" w14:paraId="014175C3" w14:textId="77777777" w:rsidTr="0057176D">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6CEFE2A5" w14:textId="4FD3B4FC" w:rsidR="003D7620" w:rsidRPr="003D7620" w:rsidRDefault="003D7620" w:rsidP="00301751">
            <w:pPr>
              <w:pStyle w:val="Paragraph"/>
              <w:numPr>
                <w:ilvl w:val="0"/>
                <w:numId w:val="0"/>
              </w:numPr>
            </w:pPr>
            <w:r w:rsidRPr="003D7620">
              <w:t>Section 5.4.1</w:t>
            </w:r>
            <w:r w:rsidR="0057176D">
              <w:t>-</w:t>
            </w:r>
            <w:r w:rsidR="003C0822">
              <w:t>21</w:t>
            </w:r>
          </w:p>
        </w:tc>
        <w:tc>
          <w:tcPr>
            <w:tcW w:w="2410" w:type="dxa"/>
            <w:vAlign w:val="center"/>
            <w:hideMark/>
          </w:tcPr>
          <w:p w14:paraId="49D6B280" w14:textId="08397C1F" w:rsidR="003D7620" w:rsidRPr="003D7620" w:rsidRDefault="00915DB1"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t xml:space="preserve">New and </w:t>
            </w:r>
            <w:proofErr w:type="gramStart"/>
            <w:r w:rsidR="003D7620" w:rsidRPr="003D7620">
              <w:t>Updated</w:t>
            </w:r>
            <w:proofErr w:type="gramEnd"/>
            <w:r w:rsidR="003D7620" w:rsidRPr="003D7620">
              <w:t> </w:t>
            </w:r>
          </w:p>
        </w:tc>
        <w:tc>
          <w:tcPr>
            <w:tcW w:w="4201" w:type="dxa"/>
            <w:vAlign w:val="center"/>
            <w:hideMark/>
          </w:tcPr>
          <w:p w14:paraId="4C8ABB54" w14:textId="4FE06EA0" w:rsidR="003D7620" w:rsidRPr="003D7620" w:rsidRDefault="00301751"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t>I</w:t>
            </w:r>
            <w:r w:rsidR="003D7620" w:rsidRPr="003D7620">
              <w:t>nformation handling – confidential information </w:t>
            </w:r>
          </w:p>
        </w:tc>
      </w:tr>
      <w:tr w:rsidR="003D7620" w:rsidRPr="003D7620" w14:paraId="1417586F" w14:textId="77777777" w:rsidTr="0057176D">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0837D7C3" w14:textId="4A1B0BB5" w:rsidR="003D7620" w:rsidRPr="003D7620" w:rsidRDefault="003D7620" w:rsidP="00301751">
            <w:pPr>
              <w:pStyle w:val="Paragraph"/>
              <w:numPr>
                <w:ilvl w:val="0"/>
                <w:numId w:val="0"/>
              </w:numPr>
            </w:pPr>
            <w:r w:rsidRPr="003D7620">
              <w:t>Section 5.7.1</w:t>
            </w:r>
            <w:r w:rsidR="0057176D">
              <w:t>-</w:t>
            </w:r>
            <w:r w:rsidRPr="003D7620">
              <w:t>6 </w:t>
            </w:r>
          </w:p>
        </w:tc>
        <w:tc>
          <w:tcPr>
            <w:tcW w:w="2410" w:type="dxa"/>
            <w:vAlign w:val="center"/>
            <w:hideMark/>
          </w:tcPr>
          <w:p w14:paraId="615D13AD" w14:textId="77777777" w:rsidR="003D7620" w:rsidRPr="003D7620" w:rsidRDefault="003D7620"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rsidRPr="003D7620">
              <w:t>New content </w:t>
            </w:r>
          </w:p>
        </w:tc>
        <w:tc>
          <w:tcPr>
            <w:tcW w:w="4201" w:type="dxa"/>
            <w:vAlign w:val="center"/>
            <w:hideMark/>
          </w:tcPr>
          <w:p w14:paraId="4AC8CAC2" w14:textId="77777777" w:rsidR="003D7620" w:rsidRPr="003D7620" w:rsidRDefault="003D7620"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rsidRPr="003D7620">
              <w:t>Topic progression </w:t>
            </w:r>
          </w:p>
        </w:tc>
      </w:tr>
      <w:tr w:rsidR="003D7620" w:rsidRPr="003D7620" w14:paraId="0E711A3D" w14:textId="77777777" w:rsidTr="0057176D">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EA859A3" w14:textId="77777777" w:rsidR="003D7620" w:rsidRPr="003D7620" w:rsidRDefault="003D7620" w:rsidP="00301751">
            <w:pPr>
              <w:pStyle w:val="Paragraph"/>
              <w:numPr>
                <w:ilvl w:val="0"/>
                <w:numId w:val="0"/>
              </w:numPr>
            </w:pPr>
            <w:r w:rsidRPr="003D7620">
              <w:t>Section 5.7.7 </w:t>
            </w:r>
          </w:p>
        </w:tc>
        <w:tc>
          <w:tcPr>
            <w:tcW w:w="2410" w:type="dxa"/>
            <w:vAlign w:val="center"/>
            <w:hideMark/>
          </w:tcPr>
          <w:p w14:paraId="7B83AEB5" w14:textId="77777777" w:rsidR="003D7620" w:rsidRPr="003D7620" w:rsidRDefault="003D7620"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rsidRPr="003D7620">
              <w:t>Updated </w:t>
            </w:r>
          </w:p>
        </w:tc>
        <w:tc>
          <w:tcPr>
            <w:tcW w:w="4201" w:type="dxa"/>
            <w:vAlign w:val="center"/>
            <w:hideMark/>
          </w:tcPr>
          <w:p w14:paraId="714F68B7" w14:textId="0CFA7EB8" w:rsidR="003D7620" w:rsidRPr="003D7620" w:rsidRDefault="003D7620"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rsidRPr="003D7620">
              <w:t>Technical engagement </w:t>
            </w:r>
          </w:p>
        </w:tc>
      </w:tr>
      <w:tr w:rsidR="003D7620" w:rsidRPr="003D7620" w14:paraId="550E8BA7" w14:textId="77777777" w:rsidTr="0057176D">
        <w:trPr>
          <w:cantSplit/>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24083D0D" w14:textId="4D72E76B" w:rsidR="003D7620" w:rsidRPr="003D7620" w:rsidRDefault="003D7620" w:rsidP="00301751">
            <w:pPr>
              <w:pStyle w:val="Paragraph"/>
              <w:numPr>
                <w:ilvl w:val="0"/>
                <w:numId w:val="0"/>
              </w:numPr>
            </w:pPr>
            <w:r w:rsidRPr="003D7620">
              <w:t>Section 5.7.37</w:t>
            </w:r>
            <w:r w:rsidR="0057176D">
              <w:t>-</w:t>
            </w:r>
            <w:r w:rsidRPr="003D7620">
              <w:t>41 </w:t>
            </w:r>
          </w:p>
        </w:tc>
        <w:tc>
          <w:tcPr>
            <w:tcW w:w="2410" w:type="dxa"/>
            <w:vAlign w:val="center"/>
            <w:hideMark/>
          </w:tcPr>
          <w:p w14:paraId="6B1AD99C" w14:textId="77777777" w:rsidR="003D7620" w:rsidRPr="003D7620" w:rsidRDefault="003D7620"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rsidRPr="003D7620">
              <w:t>Updated </w:t>
            </w:r>
          </w:p>
        </w:tc>
        <w:tc>
          <w:tcPr>
            <w:tcW w:w="4201" w:type="dxa"/>
            <w:vAlign w:val="center"/>
            <w:hideMark/>
          </w:tcPr>
          <w:p w14:paraId="2F2261CC" w14:textId="3E2C2B73" w:rsidR="003D7620" w:rsidRPr="003D7620" w:rsidRDefault="003D7620" w:rsidP="00301751">
            <w:pPr>
              <w:pStyle w:val="Paragraph"/>
              <w:numPr>
                <w:ilvl w:val="0"/>
                <w:numId w:val="0"/>
              </w:numPr>
              <w:cnfStyle w:val="000000000000" w:firstRow="0" w:lastRow="0" w:firstColumn="0" w:lastColumn="0" w:oddVBand="0" w:evenVBand="0" w:oddHBand="0" w:evenHBand="0" w:firstRowFirstColumn="0" w:firstRowLastColumn="0" w:lastRowFirstColumn="0" w:lastRowLastColumn="0"/>
            </w:pPr>
            <w:r w:rsidRPr="003D7620">
              <w:t>Committee decisions outside of formal meetings </w:t>
            </w:r>
          </w:p>
        </w:tc>
      </w:tr>
    </w:tbl>
    <w:p w14:paraId="115C5525" w14:textId="77777777" w:rsidR="003D7620" w:rsidRDefault="003D7620" w:rsidP="003D7620">
      <w:pPr>
        <w:pStyle w:val="Paragraph"/>
        <w:numPr>
          <w:ilvl w:val="0"/>
          <w:numId w:val="0"/>
        </w:numPr>
        <w:ind w:left="644" w:hanging="360"/>
      </w:pPr>
    </w:p>
    <w:p w14:paraId="13DF0393" w14:textId="330B598C" w:rsidR="00071BC3" w:rsidRDefault="00071BC3" w:rsidP="00466440">
      <w:pPr>
        <w:pStyle w:val="Paragraph"/>
      </w:pPr>
      <w:r>
        <w:t xml:space="preserve">The consultation closed on </w:t>
      </w:r>
      <w:r w:rsidR="00171876">
        <w:t>25 July 2023</w:t>
      </w:r>
      <w:r w:rsidR="40F407BF">
        <w:t xml:space="preserve"> and</w:t>
      </w:r>
      <w:r>
        <w:t xml:space="preserve"> received </w:t>
      </w:r>
      <w:r w:rsidR="003C0822">
        <w:t>33</w:t>
      </w:r>
      <w:r w:rsidR="00230882">
        <w:t>8</w:t>
      </w:r>
      <w:r w:rsidR="00FE779B">
        <w:t xml:space="preserve"> </w:t>
      </w:r>
      <w:r w:rsidR="003C0822">
        <w:t xml:space="preserve">individual comments within </w:t>
      </w:r>
      <w:r w:rsidR="00915DB1">
        <w:t>29</w:t>
      </w:r>
      <w:r w:rsidR="003C0822">
        <w:t xml:space="preserve"> </w:t>
      </w:r>
      <w:r w:rsidR="00230882">
        <w:t xml:space="preserve">stakeholder </w:t>
      </w:r>
      <w:r w:rsidR="003C0822">
        <w:t>responses</w:t>
      </w:r>
      <w:r>
        <w:t xml:space="preserve">. </w:t>
      </w:r>
      <w:r w:rsidR="00466440">
        <w:t xml:space="preserve">Figure 1 shows the </w:t>
      </w:r>
      <w:r w:rsidR="00301751">
        <w:t>number of</w:t>
      </w:r>
      <w:r w:rsidR="003C0822">
        <w:t xml:space="preserve"> comments</w:t>
      </w:r>
      <w:r w:rsidR="00301751">
        <w:t xml:space="preserve"> across each updated section of the manual</w:t>
      </w:r>
      <w:r w:rsidR="14DDC597">
        <w:t>.</w:t>
      </w:r>
    </w:p>
    <w:p w14:paraId="7CD72224" w14:textId="5FDCA087" w:rsidR="00004FD2" w:rsidRDefault="00004FD2" w:rsidP="00D32604">
      <w:pPr>
        <w:pStyle w:val="Paragraph"/>
        <w:keepNext/>
        <w:numPr>
          <w:ilvl w:val="0"/>
          <w:numId w:val="0"/>
        </w:numPr>
        <w:ind w:left="284"/>
      </w:pPr>
      <w:r>
        <w:lastRenderedPageBreak/>
        <w:t>Figure 1</w:t>
      </w:r>
    </w:p>
    <w:p w14:paraId="2E5E69F0" w14:textId="113FBE17" w:rsidR="0032473A" w:rsidRDefault="006D4ECF" w:rsidP="00556D38">
      <w:pPr>
        <w:pStyle w:val="Paragraph"/>
        <w:numPr>
          <w:ilvl w:val="0"/>
          <w:numId w:val="0"/>
        </w:numPr>
        <w:ind w:left="284"/>
      </w:pPr>
      <w:r>
        <w:rPr>
          <w:noProof/>
          <w:color w:val="2B579A"/>
          <w:shd w:val="clear" w:color="auto" w:fill="E6E6E6"/>
        </w:rPr>
        <w:drawing>
          <wp:inline distT="0" distB="0" distL="0" distR="0" wp14:anchorId="556C3AE4" wp14:editId="3697C2CF">
            <wp:extent cx="4572000" cy="2743200"/>
            <wp:effectExtent l="0" t="0" r="0" b="0"/>
            <wp:docPr id="687402566" name="Chart 1" descr="A chart showing the number of comments per updated section of the manual, with 96 for cost comparison, 30 for aligning processes, 113 for confidential information, 39 for topic progression, 23 for technical engagement and 37 for decisions outside of formal meeting.">
              <a:extLst xmlns:a="http://schemas.openxmlformats.org/drawingml/2006/main">
                <a:ext uri="{FF2B5EF4-FFF2-40B4-BE49-F238E27FC236}">
                  <a16:creationId xmlns:a16="http://schemas.microsoft.com/office/drawing/2014/main" id="{D9E9BD91-96D5-D39C-7ECB-D945486DF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93B53C" w14:textId="77777777" w:rsidR="006D4ECF" w:rsidRDefault="006D4ECF" w:rsidP="006D4ECF">
      <w:pPr>
        <w:pStyle w:val="Paragraph"/>
        <w:keepNext/>
        <w:numPr>
          <w:ilvl w:val="0"/>
          <w:numId w:val="0"/>
        </w:numPr>
        <w:ind w:left="641" w:hanging="357"/>
        <w:rPr>
          <w:b/>
          <w:bCs/>
          <w:color w:val="4F81BD" w:themeColor="accent1"/>
          <w:kern w:val="32"/>
          <w:sz w:val="36"/>
          <w:szCs w:val="36"/>
        </w:rPr>
      </w:pPr>
      <w:r w:rsidRPr="006D4ECF">
        <w:rPr>
          <w:b/>
          <w:bCs/>
          <w:color w:val="4F81BD" w:themeColor="accent1"/>
          <w:kern w:val="32"/>
          <w:sz w:val="36"/>
          <w:szCs w:val="36"/>
        </w:rPr>
        <w:t>General Points</w:t>
      </w:r>
    </w:p>
    <w:p w14:paraId="681C5353" w14:textId="18A16FAB" w:rsidR="006D4ECF" w:rsidRDefault="4AEB8593" w:rsidP="006D4ECF">
      <w:pPr>
        <w:pStyle w:val="Paragraph"/>
      </w:pPr>
      <w:r>
        <w:t xml:space="preserve">Most responses to the consultation came from industry, with a small number of responses from patient organisations. </w:t>
      </w:r>
    </w:p>
    <w:p w14:paraId="01511386" w14:textId="5A69D885" w:rsidR="006D4ECF" w:rsidRDefault="003B2163" w:rsidP="006D4ECF">
      <w:pPr>
        <w:pStyle w:val="Paragraph"/>
      </w:pPr>
      <w:r>
        <w:t xml:space="preserve">Respondents were largely supportive of the changes and NICE welcomed this feedback and were especially grateful for suggested amendments to improve the clarity of the information within the manual, the majority of which have been implemented. Respondents particularly noted that they appreciated the simplified approach to marking confidential information, the revised approach to </w:t>
      </w:r>
      <w:r w:rsidR="5884C925">
        <w:t xml:space="preserve">topic </w:t>
      </w:r>
      <w:r>
        <w:t xml:space="preserve">scheduling and the introduction of the progression decision </w:t>
      </w:r>
      <w:r w:rsidR="00AB05C1">
        <w:t>step</w:t>
      </w:r>
      <w:r>
        <w:t>.</w:t>
      </w:r>
    </w:p>
    <w:p w14:paraId="186451E9" w14:textId="17E95015" w:rsidR="003B2163" w:rsidRDefault="003B2163" w:rsidP="006D4ECF">
      <w:pPr>
        <w:pStyle w:val="Paragraph"/>
      </w:pPr>
      <w:r>
        <w:t>Respondents have requested clarification on process steps and timings throughout responses, particularly calling for the reintroduction of process diagrams and clear timelines. NICE recognises the importance of clear process</w:t>
      </w:r>
      <w:r w:rsidR="0022189F">
        <w:t xml:space="preserve"> and timelines to enable stakeholders to plan and these will be introduced as separate documents held, and clearly identified, on the NICE website.</w:t>
      </w:r>
    </w:p>
    <w:p w14:paraId="03DA995C" w14:textId="0954E994" w:rsidR="0022189F" w:rsidRPr="006D4ECF" w:rsidRDefault="0022189F" w:rsidP="006D4ECF">
      <w:pPr>
        <w:pStyle w:val="Paragraph"/>
      </w:pPr>
      <w:r>
        <w:t>The highest number of responses request</w:t>
      </w:r>
      <w:r w:rsidR="00230882">
        <w:t>ing</w:t>
      </w:r>
      <w:r>
        <w:t xml:space="preserve"> action or change from NICE focussed on stakeholder involvement in progression decisions (including technical engagement), ensuring consistency across progression decisions, the importance of making the correct decision on routing to cost comparison appraisal, clarification timings during a cost comparison appraisal and the sharing of unredacted documents with experts selected for involvement in NICE evaluations.</w:t>
      </w:r>
    </w:p>
    <w:p w14:paraId="299CB02A" w14:textId="49296B84" w:rsidR="006D4ECF" w:rsidRPr="006D4ECF" w:rsidRDefault="003B2163" w:rsidP="006D4ECF">
      <w:pPr>
        <w:pStyle w:val="Paragraph"/>
        <w:keepNext/>
        <w:numPr>
          <w:ilvl w:val="0"/>
          <w:numId w:val="0"/>
        </w:numPr>
        <w:ind w:left="641" w:hanging="357"/>
        <w:rPr>
          <w:b/>
          <w:bCs/>
          <w:color w:val="4F81BD" w:themeColor="accent1"/>
          <w:kern w:val="32"/>
          <w:sz w:val="36"/>
          <w:szCs w:val="36"/>
        </w:rPr>
      </w:pPr>
      <w:r>
        <w:rPr>
          <w:b/>
          <w:bCs/>
          <w:color w:val="4F81BD" w:themeColor="accent1"/>
          <w:kern w:val="32"/>
          <w:sz w:val="36"/>
          <w:szCs w:val="36"/>
        </w:rPr>
        <w:lastRenderedPageBreak/>
        <w:t>C</w:t>
      </w:r>
      <w:r w:rsidR="006D4ECF" w:rsidRPr="006D4ECF">
        <w:rPr>
          <w:b/>
          <w:bCs/>
          <w:color w:val="4F81BD" w:themeColor="accent1"/>
          <w:kern w:val="32"/>
          <w:sz w:val="36"/>
          <w:szCs w:val="36"/>
        </w:rPr>
        <w:t xml:space="preserve">ost Comparison </w:t>
      </w:r>
    </w:p>
    <w:p w14:paraId="7B1F0E46" w14:textId="519D92E0" w:rsidR="006D4ECF" w:rsidRPr="00F62BA0" w:rsidRDefault="006D4ECF" w:rsidP="006D4ECF">
      <w:pPr>
        <w:pStyle w:val="Paragraph"/>
        <w:numPr>
          <w:ilvl w:val="0"/>
          <w:numId w:val="0"/>
        </w:numPr>
        <w:ind w:left="284"/>
      </w:pPr>
      <w:r>
        <w:t xml:space="preserve">Includes identification, timings, </w:t>
      </w:r>
      <w:r w:rsidR="37D73BBE">
        <w:t>evidence submission</w:t>
      </w:r>
      <w:r>
        <w:t xml:space="preserve">, expert input and evidence review for the cost comparison </w:t>
      </w:r>
      <w:proofErr w:type="gramStart"/>
      <w:r>
        <w:t>process</w:t>
      </w:r>
      <w:proofErr w:type="gramEnd"/>
    </w:p>
    <w:p w14:paraId="71739D85" w14:textId="77777777" w:rsidR="006D4ECF" w:rsidRDefault="006D4ECF" w:rsidP="006D4ECF">
      <w:pPr>
        <w:pStyle w:val="Paragraph"/>
        <w:numPr>
          <w:ilvl w:val="0"/>
          <w:numId w:val="0"/>
        </w:numPr>
        <w:ind w:left="644" w:hanging="360"/>
        <w:rPr>
          <w:b/>
          <w:bCs/>
        </w:rPr>
      </w:pPr>
      <w:r w:rsidRPr="00F62BA0">
        <w:rPr>
          <w:b/>
          <w:bCs/>
        </w:rPr>
        <w:t xml:space="preserve">Summary of comments </w:t>
      </w:r>
      <w:proofErr w:type="gramStart"/>
      <w:r w:rsidRPr="00F62BA0">
        <w:rPr>
          <w:b/>
          <w:bCs/>
        </w:rPr>
        <w:t>received</w:t>
      </w:r>
      <w:proofErr w:type="gramEnd"/>
    </w:p>
    <w:p w14:paraId="52D5CAB0" w14:textId="36C421AC" w:rsidR="002A385B" w:rsidRDefault="000D1BEE" w:rsidP="000D1BEE">
      <w:pPr>
        <w:pStyle w:val="Paragraph"/>
      </w:pPr>
      <w:r>
        <w:t xml:space="preserve"> A significant number of comments were received on </w:t>
      </w:r>
      <w:r w:rsidR="009E0F57">
        <w:t xml:space="preserve">cost comparison appraisals. NICE noted that respondents were particularly concerned about the importance of reaching the right decision on routing </w:t>
      </w:r>
      <w:r w:rsidR="3E3DD222">
        <w:t xml:space="preserve">a topic </w:t>
      </w:r>
      <w:r w:rsidR="009E0F57">
        <w:t xml:space="preserve">to a cost comparison process and the impact that incorrect </w:t>
      </w:r>
      <w:r w:rsidR="44A46886">
        <w:t>decision making</w:t>
      </w:r>
      <w:r w:rsidR="009E0F57">
        <w:t xml:space="preserve"> and subsequent re-routing to the single technology appraisal process could have with regards to delaying patient access.</w:t>
      </w:r>
    </w:p>
    <w:p w14:paraId="48D42CA9" w14:textId="0E4D4660" w:rsidR="009E0F57" w:rsidRDefault="009E0F57" w:rsidP="000D1BEE">
      <w:pPr>
        <w:pStyle w:val="Paragraph"/>
      </w:pPr>
      <w:r>
        <w:t xml:space="preserve">Industry respondents were keen that companies had control over the decision to make a cost comparison submission or submit for a single technology appraisal. </w:t>
      </w:r>
    </w:p>
    <w:p w14:paraId="7A61446F" w14:textId="1139ED6A" w:rsidR="009E0F57" w:rsidRDefault="009E0F57" w:rsidP="000D1BEE">
      <w:pPr>
        <w:pStyle w:val="Paragraph"/>
      </w:pPr>
      <w:r>
        <w:t xml:space="preserve">Respondents were generally happy with the approach to managing low risk topics in a proportionate way using the cost comparison approach but noted that this should extend to the work done by the external assessment group. </w:t>
      </w:r>
      <w:r w:rsidR="7CE2B753">
        <w:t>Stakeholders reflected that</w:t>
      </w:r>
      <w:r>
        <w:t xml:space="preserve"> that </w:t>
      </w:r>
      <w:r w:rsidR="007A5D69">
        <w:t xml:space="preserve">further </w:t>
      </w:r>
      <w:r>
        <w:t>work on proportionality and pragmatism is required in the external assessment reports.</w:t>
      </w:r>
    </w:p>
    <w:p w14:paraId="6EBE4760" w14:textId="71641487" w:rsidR="009E0F57" w:rsidRDefault="009E0F57" w:rsidP="000D1BEE">
      <w:pPr>
        <w:pStyle w:val="Paragraph"/>
      </w:pPr>
      <w:r>
        <w:t xml:space="preserve">Almost all industry respondents requested </w:t>
      </w:r>
      <w:r w:rsidR="32E7D248">
        <w:t xml:space="preserve">to change the timing to respond to the clarification </w:t>
      </w:r>
      <w:proofErr w:type="gramStart"/>
      <w:r w:rsidR="32E7D248">
        <w:t>request;</w:t>
      </w:r>
      <w:proofErr w:type="gramEnd"/>
      <w:r w:rsidR="32E7D248">
        <w:t xml:space="preserve"> increasing it from </w:t>
      </w:r>
      <w:r>
        <w:t xml:space="preserve">5 working days to 10 working days. </w:t>
      </w:r>
      <w:r w:rsidR="3B879C85">
        <w:t xml:space="preserve">They expressed the view that </w:t>
      </w:r>
      <w:r>
        <w:t xml:space="preserve">with the </w:t>
      </w:r>
      <w:r w:rsidR="1ADA0F1E">
        <w:t xml:space="preserve">current </w:t>
      </w:r>
      <w:r>
        <w:t>average number of clarification questions received</w:t>
      </w:r>
      <w:r w:rsidR="6B77AE44">
        <w:t>,</w:t>
      </w:r>
      <w:r>
        <w:t xml:space="preserve"> this timeline was unachievable. They also noted inconsistency between the use of working and calendar days throughout the manual.</w:t>
      </w:r>
    </w:p>
    <w:p w14:paraId="681A25D0" w14:textId="362AAEB6" w:rsidR="009E0F57" w:rsidRDefault="007A5D69" w:rsidP="000D1BEE">
      <w:pPr>
        <w:pStyle w:val="Paragraph"/>
      </w:pPr>
      <w:r>
        <w:t>Stakeholders were concerned about the input of the expert voice into cost comparison appraisals and requested clarification and reassurance on their use within this approach.</w:t>
      </w:r>
    </w:p>
    <w:p w14:paraId="469A093B" w14:textId="6C0CC19D" w:rsidR="007A5D69" w:rsidRDefault="007A5D69" w:rsidP="000D1BEE">
      <w:pPr>
        <w:pStyle w:val="Paragraph"/>
      </w:pPr>
      <w:r>
        <w:t xml:space="preserve">Respondents requested more information on the experience and input of the </w:t>
      </w:r>
      <w:r w:rsidR="384D34C6">
        <w:t xml:space="preserve">NICE </w:t>
      </w:r>
      <w:r w:rsidR="00F71147">
        <w:t>medicine’s</w:t>
      </w:r>
      <w:r>
        <w:t xml:space="preserve"> optimisation team into the cost comparison identification process</w:t>
      </w:r>
      <w:r w:rsidR="329E2EE9">
        <w:t>.</w:t>
      </w:r>
      <w:r>
        <w:t xml:space="preserve"> They also requested clarification on the type of evidence the company needed to provide for cost comparison topics and when it should be provided.</w:t>
      </w:r>
    </w:p>
    <w:p w14:paraId="7B6EEE86" w14:textId="77777777" w:rsidR="006D4ECF" w:rsidRDefault="006D4ECF" w:rsidP="006D4ECF">
      <w:pPr>
        <w:pStyle w:val="Paragraph"/>
        <w:numPr>
          <w:ilvl w:val="0"/>
          <w:numId w:val="0"/>
        </w:numPr>
        <w:ind w:left="644" w:hanging="360"/>
        <w:rPr>
          <w:b/>
          <w:bCs/>
        </w:rPr>
      </w:pPr>
      <w:r w:rsidRPr="00F62BA0">
        <w:rPr>
          <w:b/>
          <w:bCs/>
        </w:rPr>
        <w:t xml:space="preserve">Response, including amendments to the </w:t>
      </w:r>
      <w:proofErr w:type="gramStart"/>
      <w:r w:rsidRPr="00F62BA0">
        <w:rPr>
          <w:b/>
          <w:bCs/>
        </w:rPr>
        <w:t>proposals</w:t>
      </w:r>
      <w:proofErr w:type="gramEnd"/>
    </w:p>
    <w:p w14:paraId="4C88A1F7" w14:textId="35271A54" w:rsidR="000C6E6C" w:rsidRDefault="000C6E6C" w:rsidP="04B70B81">
      <w:pPr>
        <w:pStyle w:val="Paragraph"/>
      </w:pPr>
      <w:r>
        <w:t xml:space="preserve">The cost comparison approach was developed to enable light-touch, faster evaluations for low-risk topics, where NICE and the committee already have a good understanding of the disease and the technologies, and the economic </w:t>
      </w:r>
      <w:r>
        <w:lastRenderedPageBreak/>
        <w:t>analysis can be based on cost comparison methods. The identification of a cost comparison topic is made with input from the company, patient groups, clinicians and NICE’s medicines optimisation team</w:t>
      </w:r>
      <w:r w:rsidR="00A813FF">
        <w:t xml:space="preserve"> (MOT)</w:t>
      </w:r>
      <w:r>
        <w:t>. This helps ensure early and robust selection of appropriate topics. During the committee decision making, input from additional committee members and experts is available if required</w:t>
      </w:r>
      <w:r w:rsidR="3EB3CB2A">
        <w:t>,</w:t>
      </w:r>
      <w:r>
        <w:t xml:space="preserve"> and an option to take the topic to a full committee meeting is also available. With the additional </w:t>
      </w:r>
      <w:r w:rsidR="5D9A0BE5">
        <w:t>effort</w:t>
      </w:r>
      <w:r>
        <w:t xml:space="preserve"> </w:t>
      </w:r>
      <w:r w:rsidR="710FB5B5">
        <w:t>applied at the start of the process</w:t>
      </w:r>
      <w:r>
        <w:t xml:space="preserve"> to identify, </w:t>
      </w:r>
      <w:proofErr w:type="gramStart"/>
      <w:r>
        <w:t>select</w:t>
      </w:r>
      <w:proofErr w:type="gramEnd"/>
      <w:r>
        <w:t xml:space="preserve"> and input into the routing decision</w:t>
      </w:r>
      <w:r w:rsidR="03379DE6">
        <w:t>,</w:t>
      </w:r>
      <w:r>
        <w:t xml:space="preserve"> NICE is content that the </w:t>
      </w:r>
      <w:r w:rsidR="3EB41369">
        <w:t>risk</w:t>
      </w:r>
      <w:r>
        <w:t xml:space="preserve"> of routing error </w:t>
      </w:r>
      <w:r w:rsidR="38D166E8">
        <w:t>will be</w:t>
      </w:r>
      <w:r>
        <w:t xml:space="preserve"> low</w:t>
      </w:r>
      <w:r w:rsidR="3DB5114B">
        <w:t>, although we acknowledge that it cannot be eliminated completely</w:t>
      </w:r>
      <w:r>
        <w:t xml:space="preserve">. NICE is monitoring this new approach to identification of topics for cost comparison and the use of the process overall and will </w:t>
      </w:r>
      <w:r w:rsidR="775F8AC3">
        <w:t>identify and implement</w:t>
      </w:r>
      <w:r>
        <w:t xml:space="preserve"> improvements. Input</w:t>
      </w:r>
      <w:r w:rsidR="58EB3135">
        <w:t xml:space="preserve">, </w:t>
      </w:r>
      <w:proofErr w:type="gramStart"/>
      <w:r>
        <w:t>engagement</w:t>
      </w:r>
      <w:proofErr w:type="gramEnd"/>
      <w:r>
        <w:t xml:space="preserve"> </w:t>
      </w:r>
      <w:r w:rsidR="2E85188D">
        <w:t xml:space="preserve">and feedback </w:t>
      </w:r>
      <w:r>
        <w:t>from our stakeholders is welcomed on any appraisal process.</w:t>
      </w:r>
    </w:p>
    <w:p w14:paraId="5E0D0B0E" w14:textId="644DE2B7" w:rsidR="000C6E6C" w:rsidRDefault="000C6E6C" w:rsidP="57DAC792">
      <w:pPr>
        <w:pStyle w:val="Paragraph"/>
      </w:pPr>
      <w:r>
        <w:t xml:space="preserve">To enable efficient management of the technology appraisal programme and manage resources proportionately, the final decision on routing to a cost comparison process </w:t>
      </w:r>
      <w:r w:rsidR="61F87235">
        <w:t>must remain with</w:t>
      </w:r>
      <w:r>
        <w:t xml:space="preserve"> NICE. However, NICE relies on company and stakeholder input to inform this decision and </w:t>
      </w:r>
      <w:r w:rsidR="00F71147">
        <w:t xml:space="preserve">discussion on the routing to cost comparison is encouraged </w:t>
      </w:r>
      <w:r w:rsidR="0665EB65">
        <w:t xml:space="preserve">during the scoping consultation and </w:t>
      </w:r>
      <w:r w:rsidR="00F71147">
        <w:t>at the decision-problem meeting before the appraisal begins.</w:t>
      </w:r>
      <w:r w:rsidR="0F55D434">
        <w:t xml:space="preserve"> Decisions taken by NICE regarding routing and the assessment process used within the work programme are not subject to appeal.</w:t>
      </w:r>
    </w:p>
    <w:p w14:paraId="3CCD98A0" w14:textId="26C9CA1A" w:rsidR="00CC42AA" w:rsidRDefault="00CC42AA" w:rsidP="007A5D69">
      <w:pPr>
        <w:pStyle w:val="Paragraph"/>
      </w:pPr>
      <w:r>
        <w:t>NICE recognises the request for consistent proportionality across all aspects of the cost comparison approach, including the external assessment</w:t>
      </w:r>
      <w:r w:rsidR="41F9F18E">
        <w:t xml:space="preserve"> stage</w:t>
      </w:r>
      <w:r>
        <w:t>, and will look to address further requirements in this area.</w:t>
      </w:r>
    </w:p>
    <w:p w14:paraId="23FD6533" w14:textId="331DCB3E" w:rsidR="00CC42AA" w:rsidRDefault="00CC42AA" w:rsidP="007A5D69">
      <w:pPr>
        <w:pStyle w:val="Paragraph"/>
      </w:pPr>
      <w:r>
        <w:t>NICE heard clearly that industry respondents were concerned about the clarification response timings for cost comparison appraisals. We accept that this will be challenging for the companies to achieve and have amended the process to allow for 14 calendar days (10 working days) as per the single technology appraisal process</w:t>
      </w:r>
      <w:r w:rsidR="23D9110D">
        <w:t>. We have also ensured</w:t>
      </w:r>
      <w:r>
        <w:t xml:space="preserve"> consistency </w:t>
      </w:r>
      <w:r w:rsidR="09207239">
        <w:t xml:space="preserve">across the manual by only using </w:t>
      </w:r>
      <w:r>
        <w:t xml:space="preserve">calendar days </w:t>
      </w:r>
      <w:r w:rsidR="76E288FF">
        <w:t xml:space="preserve">to describe length of process stages and timelines. </w:t>
      </w:r>
    </w:p>
    <w:p w14:paraId="2AC7AB82" w14:textId="524E7C9F" w:rsidR="00203B7D" w:rsidRDefault="00203B7D" w:rsidP="007A5D69">
      <w:pPr>
        <w:pStyle w:val="Paragraph"/>
      </w:pPr>
      <w:r>
        <w:t>NICE is committed to ensuring the input of experts into its recommendations. For cost comparison topics this input i</w:t>
      </w:r>
      <w:r w:rsidR="00CC42AA">
        <w:t>s</w:t>
      </w:r>
      <w:r>
        <w:t xml:space="preserve"> managed proportionately, allowing for input from both clinical and patient experts but also managing the</w:t>
      </w:r>
      <w:r w:rsidR="00CC42AA">
        <w:t xml:space="preserve">se scarce resources in a way which is appropriate with regards to the </w:t>
      </w:r>
      <w:r w:rsidR="00F71147">
        <w:t>low-risk</w:t>
      </w:r>
      <w:r w:rsidR="00CC42AA">
        <w:t xml:space="preserve"> nature of the topic and the </w:t>
      </w:r>
      <w:proofErr w:type="gramStart"/>
      <w:r w:rsidR="00CC42AA">
        <w:t>experts</w:t>
      </w:r>
      <w:proofErr w:type="gramEnd"/>
      <w:r w:rsidR="00CC42AA">
        <w:t xml:space="preserve"> availability. </w:t>
      </w:r>
      <w:r w:rsidR="09921A0A">
        <w:t>O</w:t>
      </w:r>
      <w:r w:rsidR="00CC42AA">
        <w:t xml:space="preserve">ur stakeholders have reported </w:t>
      </w:r>
      <w:r w:rsidR="00A813FF">
        <w:t xml:space="preserve">concerns with </w:t>
      </w:r>
      <w:r w:rsidR="00CC42AA">
        <w:t>the multiple demands from NICE across guidance programmes and the difficulty in responding to all requests for input</w:t>
      </w:r>
      <w:r w:rsidR="769F3026">
        <w:t xml:space="preserve"> as the volume of our outputs increase</w:t>
      </w:r>
      <w:r w:rsidR="00CC42AA">
        <w:t>. Key stakeholders are invited to input to scoping consultatio</w:t>
      </w:r>
      <w:r w:rsidR="00A813FF">
        <w:t>n. C</w:t>
      </w:r>
      <w:r w:rsidR="00CC42AA">
        <w:t xml:space="preserve">linical and patient experts are nominated, </w:t>
      </w:r>
      <w:proofErr w:type="gramStart"/>
      <w:r w:rsidR="00CC42AA">
        <w:t>selected</w:t>
      </w:r>
      <w:proofErr w:type="gramEnd"/>
      <w:r w:rsidR="00CC42AA">
        <w:t xml:space="preserve"> and asked to complete a formal </w:t>
      </w:r>
      <w:r w:rsidR="00CC42AA">
        <w:lastRenderedPageBreak/>
        <w:t>statement for the cost comparison appraisal and these experts may be asked to answer questions from the committee if required.</w:t>
      </w:r>
    </w:p>
    <w:p w14:paraId="0C7E8B64" w14:textId="31F8A466" w:rsidR="007A5D69" w:rsidRDefault="00203B7D" w:rsidP="007A5D69">
      <w:pPr>
        <w:pStyle w:val="Paragraph"/>
      </w:pPr>
      <w:r>
        <w:t>The NICE medicines optimisation team (MOT) provides medicines expertise for NICE outputs through front-line clinical experience and supports a network of medicines and prescribing associates. The MOT engages with their associates to create a briefing report on the appropriateness of cost comparison. The MOT report is published alongside committee papers on the topic webpage and examples can be found on recently published topics using the cost comparison approach.</w:t>
      </w:r>
    </w:p>
    <w:p w14:paraId="1A8BC9BA" w14:textId="6FA5B01F" w:rsidR="003B06B7" w:rsidRDefault="003B06B7" w:rsidP="003B06B7">
      <w:pPr>
        <w:pStyle w:val="Paragraph"/>
      </w:pPr>
      <w:r>
        <w:t>An update has been made to the manual to note that NICE welcomes early engagement from companies where they have identified that a cost comparison submission may be possible. This informal engagement with the appraisals team, especially during scheduling, is useful in the effective management of the appraisal programme and its capacity. The scoping consultation document states clearly the information requested from stakeholders to support cost comparison decisions and the submission template used during the cost comparison appraisal is available on the technology appraisal webpage on the NICE website.</w:t>
      </w:r>
    </w:p>
    <w:p w14:paraId="69C18A94" w14:textId="77777777" w:rsidR="006D4ECF" w:rsidRPr="006D4ECF" w:rsidRDefault="006D4ECF" w:rsidP="006D4ECF">
      <w:pPr>
        <w:pStyle w:val="Paragraph"/>
        <w:keepNext/>
        <w:numPr>
          <w:ilvl w:val="0"/>
          <w:numId w:val="0"/>
        </w:numPr>
        <w:ind w:left="284"/>
        <w:rPr>
          <w:b/>
          <w:bCs/>
          <w:color w:val="4F81BD" w:themeColor="accent1"/>
          <w:kern w:val="32"/>
          <w:sz w:val="36"/>
          <w:szCs w:val="36"/>
        </w:rPr>
      </w:pPr>
      <w:r w:rsidRPr="006D4ECF">
        <w:rPr>
          <w:b/>
          <w:bCs/>
          <w:color w:val="4F81BD" w:themeColor="accent1"/>
          <w:kern w:val="32"/>
          <w:sz w:val="36"/>
          <w:szCs w:val="36"/>
        </w:rPr>
        <w:t xml:space="preserve">Aligning processes for topics following similar timelines </w:t>
      </w:r>
    </w:p>
    <w:p w14:paraId="40EE525E" w14:textId="77777777" w:rsidR="006D4ECF" w:rsidRDefault="006D4ECF" w:rsidP="006D4ECF">
      <w:pPr>
        <w:pStyle w:val="Paragraph"/>
        <w:numPr>
          <w:ilvl w:val="0"/>
          <w:numId w:val="0"/>
        </w:numPr>
        <w:ind w:left="644" w:hanging="360"/>
        <w:rPr>
          <w:b/>
          <w:bCs/>
        </w:rPr>
      </w:pPr>
      <w:r w:rsidRPr="00F62BA0">
        <w:rPr>
          <w:b/>
          <w:bCs/>
        </w:rPr>
        <w:t xml:space="preserve">Summary of comments </w:t>
      </w:r>
      <w:proofErr w:type="gramStart"/>
      <w:r w:rsidRPr="00F62BA0">
        <w:rPr>
          <w:b/>
          <w:bCs/>
        </w:rPr>
        <w:t>received</w:t>
      </w:r>
      <w:proofErr w:type="gramEnd"/>
    </w:p>
    <w:p w14:paraId="3A581E7D" w14:textId="707E8F22" w:rsidR="00230882" w:rsidRPr="00F62BA0" w:rsidRDefault="00230882" w:rsidP="00230882">
      <w:pPr>
        <w:pStyle w:val="Paragraph"/>
      </w:pPr>
      <w:r>
        <w:t xml:space="preserve">Respondents recognised the efficiencies which would be achieved by aligning processes for topics following similar timelines but were concerned that any changes to timelines for one topic should never impact on another, and that only those following the same timings should be aligned. Respondents stated that managing confidentiality and being clear that these topics were considered separately was </w:t>
      </w:r>
      <w:r w:rsidR="00390996">
        <w:t xml:space="preserve">of great importance to them </w:t>
      </w:r>
      <w:r w:rsidR="00F71147">
        <w:t>and</w:t>
      </w:r>
      <w:r w:rsidR="00390996">
        <w:t xml:space="preserve"> that the </w:t>
      </w:r>
      <w:r w:rsidR="4836FF3B">
        <w:t>committee meeting</w:t>
      </w:r>
      <w:r w:rsidR="00390996">
        <w:t xml:space="preserve"> needed to be carefully managed.</w:t>
      </w:r>
    </w:p>
    <w:p w14:paraId="11DAAAA1" w14:textId="77777777" w:rsidR="006D4ECF" w:rsidRDefault="006D4ECF" w:rsidP="006D4ECF">
      <w:pPr>
        <w:pStyle w:val="Paragraph"/>
        <w:numPr>
          <w:ilvl w:val="0"/>
          <w:numId w:val="0"/>
        </w:numPr>
        <w:ind w:left="644" w:hanging="360"/>
        <w:rPr>
          <w:b/>
          <w:bCs/>
        </w:rPr>
      </w:pPr>
      <w:r w:rsidRPr="00F62BA0">
        <w:rPr>
          <w:b/>
          <w:bCs/>
        </w:rPr>
        <w:t xml:space="preserve">Response, including amendments to the </w:t>
      </w:r>
      <w:proofErr w:type="gramStart"/>
      <w:r w:rsidRPr="00F62BA0">
        <w:rPr>
          <w:b/>
          <w:bCs/>
        </w:rPr>
        <w:t>proposals</w:t>
      </w:r>
      <w:proofErr w:type="gramEnd"/>
    </w:p>
    <w:p w14:paraId="3E84BBC7" w14:textId="7397BC88" w:rsidR="00C159B8" w:rsidRDefault="1B40772E" w:rsidP="00C159B8">
      <w:pPr>
        <w:pStyle w:val="Paragraph"/>
      </w:pPr>
      <w:r>
        <w:t>We have updated the manual</w:t>
      </w:r>
      <w:r w:rsidR="00C159B8">
        <w:t xml:space="preserve"> to </w:t>
      </w:r>
      <w:r w:rsidR="68923B5C">
        <w:t>clarify</w:t>
      </w:r>
      <w:r w:rsidR="00C159B8">
        <w:t xml:space="preserve"> that topics are considered independently, and that the alignment of processes would be cancelled should there be any delay to timings of one topic. NICE also agreed that this process would only apply to those </w:t>
      </w:r>
      <w:r w:rsidR="06DBE46D">
        <w:t xml:space="preserve">running </w:t>
      </w:r>
      <w:r w:rsidR="00C159B8">
        <w:t>on the same tim</w:t>
      </w:r>
      <w:r w:rsidR="00F9802B">
        <w:t>elines</w:t>
      </w:r>
      <w:r w:rsidR="00C159B8">
        <w:t xml:space="preserve"> and have amended the manual to be clear that no topic would ever be </w:t>
      </w:r>
      <w:r w:rsidR="00F71147">
        <w:t>delayed,</w:t>
      </w:r>
      <w:r w:rsidR="00C159B8">
        <w:t xml:space="preserve"> or timelines shifted to allow alignment to take place.</w:t>
      </w:r>
    </w:p>
    <w:p w14:paraId="3B867CD1" w14:textId="67AD6D56" w:rsidR="00EC008D" w:rsidRDefault="00EC008D" w:rsidP="00C159B8">
      <w:pPr>
        <w:pStyle w:val="Paragraph"/>
      </w:pPr>
      <w:r>
        <w:t xml:space="preserve">Internal assessment and improvements to the running of committee, focussing on ensuring the management of committee time and allowing enough time for </w:t>
      </w:r>
      <w:r>
        <w:lastRenderedPageBreak/>
        <w:t>each topic on the agenda are</w:t>
      </w:r>
      <w:r w:rsidR="1223AB2D">
        <w:t xml:space="preserve"> continuously</w:t>
      </w:r>
      <w:r>
        <w:t xml:space="preserve"> taking place within the technology appraisals programme. Attendees to NICE appraisal committee meetings should see the benefits of these internal improvements from the October 2023 committee meetings onwards.</w:t>
      </w:r>
    </w:p>
    <w:p w14:paraId="0CD0AB19" w14:textId="77777777" w:rsidR="006D4ECF" w:rsidRPr="006D4ECF" w:rsidRDefault="006D4ECF" w:rsidP="006D4ECF">
      <w:pPr>
        <w:pStyle w:val="Paragraph"/>
        <w:keepNext/>
        <w:numPr>
          <w:ilvl w:val="0"/>
          <w:numId w:val="0"/>
        </w:numPr>
        <w:ind w:left="284"/>
        <w:rPr>
          <w:b/>
          <w:bCs/>
          <w:color w:val="4F81BD" w:themeColor="accent1"/>
          <w:kern w:val="32"/>
          <w:sz w:val="36"/>
          <w:szCs w:val="36"/>
        </w:rPr>
      </w:pPr>
      <w:r w:rsidRPr="006D4ECF">
        <w:rPr>
          <w:b/>
          <w:bCs/>
          <w:color w:val="4F81BD" w:themeColor="accent1"/>
          <w:kern w:val="32"/>
          <w:sz w:val="36"/>
          <w:szCs w:val="36"/>
        </w:rPr>
        <w:t xml:space="preserve">Information handling – updates to managing confidential </w:t>
      </w:r>
      <w:proofErr w:type="gramStart"/>
      <w:r w:rsidRPr="006D4ECF">
        <w:rPr>
          <w:b/>
          <w:bCs/>
          <w:color w:val="4F81BD" w:themeColor="accent1"/>
          <w:kern w:val="32"/>
          <w:sz w:val="36"/>
          <w:szCs w:val="36"/>
        </w:rPr>
        <w:t>information</w:t>
      </w:r>
      <w:proofErr w:type="gramEnd"/>
    </w:p>
    <w:p w14:paraId="3C4091EF" w14:textId="77777777" w:rsidR="006D4ECF" w:rsidRDefault="006D4ECF" w:rsidP="006D4ECF">
      <w:pPr>
        <w:pStyle w:val="Paragraph"/>
        <w:numPr>
          <w:ilvl w:val="0"/>
          <w:numId w:val="0"/>
        </w:numPr>
        <w:ind w:left="644" w:hanging="360"/>
        <w:rPr>
          <w:b/>
          <w:bCs/>
        </w:rPr>
      </w:pPr>
      <w:r w:rsidRPr="00F62BA0">
        <w:rPr>
          <w:b/>
          <w:bCs/>
        </w:rPr>
        <w:t xml:space="preserve">Summary of comments </w:t>
      </w:r>
      <w:proofErr w:type="gramStart"/>
      <w:r w:rsidRPr="00F62BA0">
        <w:rPr>
          <w:b/>
          <w:bCs/>
        </w:rPr>
        <w:t>received</w:t>
      </w:r>
      <w:proofErr w:type="gramEnd"/>
    </w:p>
    <w:p w14:paraId="42DF51DB" w14:textId="1B713F7C" w:rsidR="00C2677B" w:rsidRDefault="30B38269" w:rsidP="00C2677B">
      <w:pPr>
        <w:pStyle w:val="Paragraph"/>
      </w:pPr>
      <w:r>
        <w:t>Overall stakeholders were happy with the simplification of the process and the redaction in the number of documents. They welcomed the flexibility of ICERs being reported in NICE documents as above or below a decision-making threshold (value). They were happy with the collaborative approach between NICE and the companies in the development of the methods and suggested continued monitoring of its implementation. There are comments on some of the confidentiality sections which were not within the scope of this update, including sharing of unredacted documents with patients and clinical experts and informing companies of ICER</w:t>
      </w:r>
      <w:r w:rsidR="448C694E">
        <w:t>s</w:t>
      </w:r>
      <w:r>
        <w:t xml:space="preserve"> when there </w:t>
      </w:r>
      <w:r w:rsidR="5F9E496F">
        <w:t>are confidential discounts in place for comparator products</w:t>
      </w:r>
      <w:r>
        <w:t xml:space="preserve">. Additionally, this </w:t>
      </w:r>
      <w:r w:rsidR="7081BD75">
        <w:t xml:space="preserve">update to handling confidential information was targeted to </w:t>
      </w:r>
      <w:r w:rsidR="68856FBC">
        <w:t xml:space="preserve">technology </w:t>
      </w:r>
      <w:r w:rsidR="641296AB">
        <w:t>appraisals</w:t>
      </w:r>
      <w:r>
        <w:t xml:space="preserve"> (medicine</w:t>
      </w:r>
      <w:r w:rsidR="1E2BFC8B">
        <w:t>s)</w:t>
      </w:r>
      <w:r w:rsidR="6A9F5933">
        <w:t>. Ca</w:t>
      </w:r>
      <w:r>
        <w:t>tegories of confidential information</w:t>
      </w:r>
      <w:r w:rsidR="760DBB73">
        <w:t xml:space="preserve"> and </w:t>
      </w:r>
      <w:r>
        <w:t xml:space="preserve">methods for non-medicine technology evaluations </w:t>
      </w:r>
      <w:r w:rsidR="75626082">
        <w:t xml:space="preserve">is to be addressed in future </w:t>
      </w:r>
      <w:r w:rsidR="3978DBEB">
        <w:t>modular updates</w:t>
      </w:r>
      <w:r w:rsidR="75626082">
        <w:t>.</w:t>
      </w:r>
    </w:p>
    <w:p w14:paraId="33BB93E3" w14:textId="05B848B7" w:rsidR="00C2677B" w:rsidRDefault="00C2677B" w:rsidP="00C2677B">
      <w:pPr>
        <w:pStyle w:val="Paragraph"/>
      </w:pPr>
      <w:r>
        <w:t>Inconsistencies to the wording and the reference to academic in confidence information were highlighted, with consistency in approach requested.</w:t>
      </w:r>
    </w:p>
    <w:p w14:paraId="142B4BFA" w14:textId="232D3C82" w:rsidR="006D4ECF" w:rsidRDefault="006D4ECF" w:rsidP="006D4ECF">
      <w:pPr>
        <w:pStyle w:val="Paragraph"/>
        <w:numPr>
          <w:ilvl w:val="0"/>
          <w:numId w:val="0"/>
        </w:numPr>
        <w:ind w:left="644" w:hanging="360"/>
        <w:rPr>
          <w:b/>
          <w:bCs/>
        </w:rPr>
      </w:pPr>
      <w:r w:rsidRPr="006D4ECF">
        <w:rPr>
          <w:b/>
          <w:bCs/>
        </w:rPr>
        <w:t xml:space="preserve">Response, including amendments to the </w:t>
      </w:r>
      <w:proofErr w:type="gramStart"/>
      <w:r w:rsidRPr="006D4ECF">
        <w:rPr>
          <w:b/>
          <w:bCs/>
        </w:rPr>
        <w:t>proposals</w:t>
      </w:r>
      <w:proofErr w:type="gramEnd"/>
    </w:p>
    <w:p w14:paraId="4EF06AC3" w14:textId="2508E166" w:rsidR="00C2677B" w:rsidRDefault="00C2677B" w:rsidP="00C2677B">
      <w:pPr>
        <w:pStyle w:val="Paragraph"/>
      </w:pPr>
      <w:r>
        <w:t xml:space="preserve">NICE </w:t>
      </w:r>
      <w:r w:rsidR="29443E65">
        <w:t>r</w:t>
      </w:r>
      <w:r w:rsidR="00A813FF">
        <w:t>e</w:t>
      </w:r>
      <w:r w:rsidR="29443E65">
        <w:t>cognises</w:t>
      </w:r>
      <w:r w:rsidR="00A813FF">
        <w:t xml:space="preserve"> the</w:t>
      </w:r>
      <w:r w:rsidR="3E7E9DDA">
        <w:t xml:space="preserve"> </w:t>
      </w:r>
      <w:r w:rsidR="00A813FF">
        <w:t xml:space="preserve">impact </w:t>
      </w:r>
      <w:r w:rsidR="1205D517">
        <w:t>of the</w:t>
      </w:r>
      <w:r w:rsidR="00A813FF">
        <w:t xml:space="preserve"> </w:t>
      </w:r>
      <w:r w:rsidR="14DFABA4">
        <w:t>early</w:t>
      </w:r>
      <w:r>
        <w:t xml:space="preserve"> engagement with industry stakeholders on changes to managing confidential information</w:t>
      </w:r>
      <w:r w:rsidR="00A813FF">
        <w:t xml:space="preserve"> and </w:t>
      </w:r>
      <w:r w:rsidR="56971688">
        <w:t>links this to a</w:t>
      </w:r>
      <w:r>
        <w:t xml:space="preserve"> </w:t>
      </w:r>
      <w:r w:rsidR="00A813FF">
        <w:t xml:space="preserve">largely </w:t>
      </w:r>
      <w:r>
        <w:t xml:space="preserve">positive response at consultation. </w:t>
      </w:r>
    </w:p>
    <w:p w14:paraId="56F78C16" w14:textId="64CA6CD9" w:rsidR="00C2677B" w:rsidRDefault="00C2677B" w:rsidP="00C2677B">
      <w:pPr>
        <w:pStyle w:val="Paragraph"/>
      </w:pPr>
      <w:r>
        <w:t xml:space="preserve">Updates to the manual have been made to remove the reference to academic in confidence information where </w:t>
      </w:r>
      <w:r w:rsidR="00F71147">
        <w:t>it</w:t>
      </w:r>
      <w:r>
        <w:t xml:space="preserve"> was no longer appropriate. The health technology evaluation manual covers multiple guidance programmes within the centre for health technology evaluation and notes that some reference to academic in confidence information is still warranted where it applies to other </w:t>
      </w:r>
      <w:r w:rsidR="00A813FF">
        <w:t>programmes</w:t>
      </w:r>
      <w:r>
        <w:t xml:space="preserve">. </w:t>
      </w:r>
    </w:p>
    <w:p w14:paraId="5C0E7A9A" w14:textId="77777777" w:rsidR="006D4ECF" w:rsidRPr="006D4ECF" w:rsidRDefault="006D4ECF" w:rsidP="006D4ECF">
      <w:pPr>
        <w:pStyle w:val="Paragraph"/>
        <w:keepNext/>
        <w:numPr>
          <w:ilvl w:val="0"/>
          <w:numId w:val="0"/>
        </w:numPr>
        <w:ind w:left="284"/>
        <w:rPr>
          <w:b/>
          <w:bCs/>
          <w:color w:val="4F81BD" w:themeColor="accent1"/>
          <w:kern w:val="32"/>
          <w:sz w:val="36"/>
          <w:szCs w:val="36"/>
        </w:rPr>
      </w:pPr>
      <w:r w:rsidRPr="006D4ECF">
        <w:rPr>
          <w:b/>
          <w:bCs/>
          <w:color w:val="4F81BD" w:themeColor="accent1"/>
          <w:kern w:val="32"/>
          <w:sz w:val="36"/>
          <w:szCs w:val="36"/>
        </w:rPr>
        <w:t>Topic Progression</w:t>
      </w:r>
    </w:p>
    <w:p w14:paraId="32825C68" w14:textId="77777777" w:rsidR="006D4ECF" w:rsidRDefault="006D4ECF" w:rsidP="006D4ECF">
      <w:pPr>
        <w:pStyle w:val="Paragraph"/>
        <w:numPr>
          <w:ilvl w:val="0"/>
          <w:numId w:val="0"/>
        </w:numPr>
        <w:ind w:left="644" w:hanging="360"/>
        <w:rPr>
          <w:b/>
          <w:bCs/>
        </w:rPr>
      </w:pPr>
      <w:r w:rsidRPr="00F62BA0">
        <w:rPr>
          <w:b/>
          <w:bCs/>
        </w:rPr>
        <w:t xml:space="preserve">Summary of comments </w:t>
      </w:r>
      <w:proofErr w:type="gramStart"/>
      <w:r w:rsidRPr="00F62BA0">
        <w:rPr>
          <w:b/>
          <w:bCs/>
        </w:rPr>
        <w:t>received</w:t>
      </w:r>
      <w:proofErr w:type="gramEnd"/>
    </w:p>
    <w:p w14:paraId="12C64D44" w14:textId="60081B99" w:rsidR="00AB05C1" w:rsidRDefault="00AB05C1" w:rsidP="00EC008D">
      <w:pPr>
        <w:pStyle w:val="Paragraph"/>
      </w:pPr>
      <w:r>
        <w:lastRenderedPageBreak/>
        <w:t xml:space="preserve"> The introduction of the progression decision step was largely welcomed, with stakeholders appreciating the efficiencies which would be achieved for topics suitable for streamlining. </w:t>
      </w:r>
      <w:r w:rsidR="00DF44B6">
        <w:t xml:space="preserve">Industry respondents called for company and expert input into the progression decisions </w:t>
      </w:r>
      <w:r w:rsidR="00EC008D">
        <w:t xml:space="preserve">along with clarity on the timing of publication, </w:t>
      </w:r>
      <w:r w:rsidR="00DF44B6">
        <w:t>transparency on the rationale</w:t>
      </w:r>
      <w:r w:rsidR="00EC008D">
        <w:t xml:space="preserve"> </w:t>
      </w:r>
      <w:r w:rsidR="00DF44B6">
        <w:t>and the choice to appeal the decision</w:t>
      </w:r>
      <w:r w:rsidR="00EC008D">
        <w:t>s</w:t>
      </w:r>
      <w:r w:rsidR="00DF44B6">
        <w:t xml:space="preserve">. There was also </w:t>
      </w:r>
      <w:r w:rsidR="00EC008D">
        <w:t>uncertainty</w:t>
      </w:r>
      <w:r w:rsidR="00DF44B6">
        <w:t xml:space="preserve"> on </w:t>
      </w:r>
      <w:r w:rsidR="00EC008D">
        <w:t xml:space="preserve">who is </w:t>
      </w:r>
      <w:r w:rsidR="00DF44B6">
        <w:t>the final decision maker</w:t>
      </w:r>
      <w:r w:rsidR="00EC008D">
        <w:t xml:space="preserve"> </w:t>
      </w:r>
      <w:r w:rsidR="00DF44B6">
        <w:t xml:space="preserve">and </w:t>
      </w:r>
      <w:r w:rsidR="00EC008D">
        <w:t xml:space="preserve">requests to </w:t>
      </w:r>
      <w:r w:rsidR="00DF44B6">
        <w:t>ensur</w:t>
      </w:r>
      <w:r w:rsidR="00EC008D">
        <w:t>e</w:t>
      </w:r>
      <w:r w:rsidR="00DF44B6">
        <w:t xml:space="preserve"> consistency</w:t>
      </w:r>
      <w:r w:rsidR="006202B1">
        <w:t xml:space="preserve"> between them</w:t>
      </w:r>
      <w:r w:rsidR="00DF44B6">
        <w:t xml:space="preserve">. </w:t>
      </w:r>
    </w:p>
    <w:p w14:paraId="4ED64A44" w14:textId="72921842" w:rsidR="00EC008D" w:rsidRPr="00F62BA0" w:rsidRDefault="00DF44B6" w:rsidP="002A385B">
      <w:pPr>
        <w:pStyle w:val="Paragraph"/>
      </w:pPr>
      <w:r>
        <w:t xml:space="preserve"> When considering the pausing of an appraisal</w:t>
      </w:r>
      <w:r w:rsidR="006202B1">
        <w:t xml:space="preserve">, industry respondents </w:t>
      </w:r>
      <w:r w:rsidR="00D21690">
        <w:t>requested</w:t>
      </w:r>
      <w:r w:rsidR="006202B1">
        <w:t xml:space="preserve"> this be first discussed with the company</w:t>
      </w:r>
      <w:r w:rsidR="00D21690">
        <w:t xml:space="preserve"> and the reasons for pausing should not be shared publicly on the NICE website as they are likely to be confidential. Some industry respondents also considered that pausing a topic </w:t>
      </w:r>
      <w:r w:rsidR="00DE622A">
        <w:t xml:space="preserve">may be inappropriate as the company have paid for a full appraisal. </w:t>
      </w:r>
    </w:p>
    <w:p w14:paraId="4E1FE24A" w14:textId="77777777" w:rsidR="006D4ECF" w:rsidRDefault="006D4ECF" w:rsidP="006D4ECF">
      <w:pPr>
        <w:pStyle w:val="Paragraph"/>
        <w:numPr>
          <w:ilvl w:val="0"/>
          <w:numId w:val="0"/>
        </w:numPr>
        <w:ind w:left="644" w:hanging="360"/>
        <w:rPr>
          <w:b/>
          <w:bCs/>
        </w:rPr>
      </w:pPr>
      <w:r w:rsidRPr="00F62BA0">
        <w:rPr>
          <w:b/>
          <w:bCs/>
        </w:rPr>
        <w:t xml:space="preserve">Response, including amendments to the </w:t>
      </w:r>
      <w:proofErr w:type="gramStart"/>
      <w:r w:rsidRPr="00F62BA0">
        <w:rPr>
          <w:b/>
          <w:bCs/>
        </w:rPr>
        <w:t>proposals</w:t>
      </w:r>
      <w:proofErr w:type="gramEnd"/>
    </w:p>
    <w:p w14:paraId="6D90521B" w14:textId="7BC244E2" w:rsidR="00EC008D" w:rsidRDefault="008E42C5" w:rsidP="00EC008D">
      <w:pPr>
        <w:pStyle w:val="Paragraph"/>
      </w:pPr>
      <w:r>
        <w:t xml:space="preserve"> The introduction of the progression decision step is to allow </w:t>
      </w:r>
      <w:r w:rsidR="00B453C8">
        <w:t>NICE</w:t>
      </w:r>
      <w:r>
        <w:t xml:space="preserve"> to identify the most appropriate next step for topics</w:t>
      </w:r>
      <w:r w:rsidR="0086538A">
        <w:t>, achieving earlier access for patients where possible whilst also managing NICE and stakeholder resources in a proportionate way.</w:t>
      </w:r>
      <w:r w:rsidR="00B453C8">
        <w:t xml:space="preserve"> To ensure the smooth running and effective management of resources within the appraisal programme</w:t>
      </w:r>
      <w:r w:rsidR="000967AB">
        <w:t>,</w:t>
      </w:r>
      <w:r w:rsidR="00B453C8">
        <w:t xml:space="preserve"> this decision </w:t>
      </w:r>
      <w:r w:rsidR="2730B7FD">
        <w:t>must be taken by</w:t>
      </w:r>
      <w:r w:rsidR="00B453C8">
        <w:t xml:space="preserve"> NICE, who will </w:t>
      </w:r>
      <w:r w:rsidR="1C7DA5DA">
        <w:t xml:space="preserve">have access to and can </w:t>
      </w:r>
      <w:r w:rsidR="00B453C8">
        <w:t xml:space="preserve">assess the evidence submissions and external assessment report to inform next steps. The final decision is taken by the Associate Director </w:t>
      </w:r>
      <w:r w:rsidR="1E8DB0D3">
        <w:t xml:space="preserve">responsible </w:t>
      </w:r>
      <w:r w:rsidR="00B453C8">
        <w:t>for the topic. Consistency is managed through internal programme oversight and management.</w:t>
      </w:r>
    </w:p>
    <w:p w14:paraId="43CBBC93" w14:textId="17D53CE7" w:rsidR="00B453C8" w:rsidRDefault="00B453C8" w:rsidP="00EC008D">
      <w:pPr>
        <w:pStyle w:val="Paragraph"/>
      </w:pPr>
      <w:r>
        <w:t xml:space="preserve">Any decision </w:t>
      </w:r>
      <w:r w:rsidR="214E53BB">
        <w:t>to pause</w:t>
      </w:r>
      <w:r>
        <w:t xml:space="preserve"> a topic is taken after discussion with the company on how to progress the evaluation (section 5.4.31 of the manual). Stakeholders must be kept informed of progress with appraisals but </w:t>
      </w:r>
      <w:r w:rsidR="00825353">
        <w:t>NICE will not publish any information deemed to be confidential</w:t>
      </w:r>
      <w:r w:rsidR="000967AB">
        <w:t xml:space="preserve"> and will discuss the communications in advance with the company</w:t>
      </w:r>
      <w:r w:rsidR="00825353">
        <w:t>.</w:t>
      </w:r>
      <w:r w:rsidR="71E3EB1F">
        <w:t xml:space="preserve"> NICE </w:t>
      </w:r>
      <w:r w:rsidR="30C37D06">
        <w:t>will continue to</w:t>
      </w:r>
      <w:r w:rsidR="71E3EB1F">
        <w:t xml:space="preserve"> encourage companies to provide as much information </w:t>
      </w:r>
      <w:r w:rsidR="5FF338EC">
        <w:t xml:space="preserve">as possible </w:t>
      </w:r>
      <w:r w:rsidR="71E3EB1F">
        <w:t>to</w:t>
      </w:r>
      <w:r w:rsidR="76E9AD0E">
        <w:t xml:space="preserve"> </w:t>
      </w:r>
      <w:r w:rsidR="7C1EC174">
        <w:t xml:space="preserve">ensure </w:t>
      </w:r>
      <w:r w:rsidR="76E9AD0E">
        <w:t>stakeholders</w:t>
      </w:r>
      <w:r w:rsidR="5CB6A28D">
        <w:t xml:space="preserve"> are fully informed</w:t>
      </w:r>
      <w:r w:rsidR="76E9AD0E">
        <w:t xml:space="preserve"> of the rationale for decisions made.</w:t>
      </w:r>
      <w:r w:rsidR="71E3EB1F">
        <w:t xml:space="preserve">  </w:t>
      </w:r>
    </w:p>
    <w:p w14:paraId="0E4FF3C8" w14:textId="67B4B759" w:rsidR="00825353" w:rsidRDefault="1BAB36EE" w:rsidP="00EC008D">
      <w:pPr>
        <w:pStyle w:val="Paragraph"/>
      </w:pPr>
      <w:r>
        <w:t xml:space="preserve">The </w:t>
      </w:r>
      <w:r w:rsidR="00825353">
        <w:t>Technology Appraisal programme is funded through</w:t>
      </w:r>
      <w:r w:rsidR="4C48108A">
        <w:t xml:space="preserve"> a cost recovery model; </w:t>
      </w:r>
      <w:r w:rsidR="00825353">
        <w:t xml:space="preserve">recovering the cost of </w:t>
      </w:r>
      <w:r w:rsidR="60328061">
        <w:t>developing the guidance</w:t>
      </w:r>
      <w:r w:rsidR="00825353">
        <w:t xml:space="preserve"> from the company that expects to market the technology in England. Paused topics</w:t>
      </w:r>
      <w:r w:rsidR="333BF854">
        <w:t xml:space="preserve"> are not expected to remain paused indefinitely</w:t>
      </w:r>
      <w:r w:rsidR="784773E9">
        <w:t xml:space="preserve">. The progression of the appraisal (following the pause) </w:t>
      </w:r>
      <w:r w:rsidR="00825353">
        <w:t xml:space="preserve">will </w:t>
      </w:r>
      <w:r w:rsidR="71E0DD85">
        <w:t xml:space="preserve">utilise NICE </w:t>
      </w:r>
      <w:r w:rsidR="00825353">
        <w:t xml:space="preserve">resources </w:t>
      </w:r>
      <w:r w:rsidR="1ED76593">
        <w:t xml:space="preserve">to </w:t>
      </w:r>
      <w:r w:rsidR="00825353">
        <w:t>determine the outcome of the appraisal.</w:t>
      </w:r>
      <w:r w:rsidR="2DF88719">
        <w:t xml:space="preserve"> </w:t>
      </w:r>
    </w:p>
    <w:p w14:paraId="383908ED" w14:textId="77777777" w:rsidR="006D4ECF" w:rsidRPr="006D4ECF" w:rsidRDefault="006D4ECF" w:rsidP="006D4ECF">
      <w:pPr>
        <w:pStyle w:val="Paragraph"/>
        <w:keepNext/>
        <w:numPr>
          <w:ilvl w:val="0"/>
          <w:numId w:val="0"/>
        </w:numPr>
        <w:ind w:left="284"/>
        <w:rPr>
          <w:b/>
          <w:bCs/>
          <w:color w:val="4F81BD" w:themeColor="accent1"/>
          <w:kern w:val="32"/>
          <w:sz w:val="36"/>
          <w:szCs w:val="36"/>
        </w:rPr>
      </w:pPr>
      <w:r w:rsidRPr="006D4ECF">
        <w:rPr>
          <w:b/>
          <w:bCs/>
          <w:color w:val="4F81BD" w:themeColor="accent1"/>
          <w:kern w:val="32"/>
          <w:sz w:val="36"/>
          <w:szCs w:val="36"/>
        </w:rPr>
        <w:t>Technical Engagement</w:t>
      </w:r>
    </w:p>
    <w:p w14:paraId="7F182FFB" w14:textId="77777777" w:rsidR="006D4ECF" w:rsidRDefault="006D4ECF" w:rsidP="006D4ECF">
      <w:pPr>
        <w:pStyle w:val="Paragraph"/>
        <w:numPr>
          <w:ilvl w:val="0"/>
          <w:numId w:val="0"/>
        </w:numPr>
        <w:ind w:left="644" w:hanging="360"/>
        <w:rPr>
          <w:b/>
          <w:bCs/>
        </w:rPr>
      </w:pPr>
      <w:r w:rsidRPr="00F62BA0">
        <w:rPr>
          <w:b/>
          <w:bCs/>
        </w:rPr>
        <w:t xml:space="preserve">Summary of comments </w:t>
      </w:r>
      <w:proofErr w:type="gramStart"/>
      <w:r w:rsidRPr="00F62BA0">
        <w:rPr>
          <w:b/>
          <w:bCs/>
        </w:rPr>
        <w:t>received</w:t>
      </w:r>
      <w:proofErr w:type="gramEnd"/>
    </w:p>
    <w:p w14:paraId="77A29FDE" w14:textId="1AFCD314" w:rsidR="00825353" w:rsidRDefault="3F9ED5C2" w:rsidP="00825353">
      <w:pPr>
        <w:pStyle w:val="Paragraph"/>
      </w:pPr>
      <w:r>
        <w:lastRenderedPageBreak/>
        <w:t xml:space="preserve"> </w:t>
      </w:r>
      <w:r w:rsidR="419B6B8E">
        <w:t>Industry</w:t>
      </w:r>
      <w:r>
        <w:t xml:space="preserve"> respondents </w:t>
      </w:r>
      <w:r w:rsidR="6DE18B80">
        <w:t xml:space="preserve">requested </w:t>
      </w:r>
      <w:r>
        <w:t>company input and final decision on the use of t</w:t>
      </w:r>
      <w:r w:rsidR="443F2C89">
        <w:t>he t</w:t>
      </w:r>
      <w:r>
        <w:t>echnical engagement</w:t>
      </w:r>
      <w:r w:rsidR="275C0324">
        <w:t xml:space="preserve"> stage</w:t>
      </w:r>
      <w:r>
        <w:t>. Respondents also called for detail</w:t>
      </w:r>
      <w:r w:rsidR="6DE18B80">
        <w:t>ed</w:t>
      </w:r>
      <w:r>
        <w:t xml:space="preserve"> process diagrams and timelines to clearly show how topics progress both with and without technical engagement.</w:t>
      </w:r>
    </w:p>
    <w:p w14:paraId="75E7C6EF" w14:textId="4DA75E42" w:rsidR="00825353" w:rsidRPr="00F62BA0" w:rsidRDefault="3F9ED5C2" w:rsidP="00825353">
      <w:pPr>
        <w:pStyle w:val="Paragraph"/>
      </w:pPr>
      <w:r>
        <w:t xml:space="preserve">Industry respondents </w:t>
      </w:r>
      <w:r w:rsidR="6DE18B80">
        <w:t xml:space="preserve">noted </w:t>
      </w:r>
      <w:r w:rsidR="419B6B8E">
        <w:t xml:space="preserve">technical engagement </w:t>
      </w:r>
      <w:r w:rsidR="6DE18B80">
        <w:t>i</w:t>
      </w:r>
      <w:r w:rsidR="419B6B8E">
        <w:t xml:space="preserve">s a step which allowed for the discussion of technical issues, submission of additional information, </w:t>
      </w:r>
      <w:r w:rsidR="5F0E9136">
        <w:t>opportunity</w:t>
      </w:r>
      <w:r w:rsidR="419B6B8E">
        <w:t xml:space="preserve"> to adjust the pricing of the technology being considered and to respond to the evidence assessment report (EAR) and were concerned about the loss of these opportunities.</w:t>
      </w:r>
    </w:p>
    <w:p w14:paraId="5DF59FC0" w14:textId="77777777" w:rsidR="006D4ECF" w:rsidRDefault="006D4ECF" w:rsidP="006D4ECF">
      <w:pPr>
        <w:pStyle w:val="Paragraph"/>
        <w:numPr>
          <w:ilvl w:val="0"/>
          <w:numId w:val="0"/>
        </w:numPr>
        <w:ind w:left="284"/>
        <w:rPr>
          <w:b/>
          <w:bCs/>
        </w:rPr>
      </w:pPr>
      <w:r w:rsidRPr="00F62BA0">
        <w:rPr>
          <w:b/>
          <w:bCs/>
        </w:rPr>
        <w:t xml:space="preserve">Response, including amendments to the </w:t>
      </w:r>
      <w:proofErr w:type="gramStart"/>
      <w:r w:rsidRPr="00F62BA0">
        <w:rPr>
          <w:b/>
          <w:bCs/>
        </w:rPr>
        <w:t>proposals</w:t>
      </w:r>
      <w:proofErr w:type="gramEnd"/>
    </w:p>
    <w:p w14:paraId="06B5D605" w14:textId="5779B1D4" w:rsidR="00E477E3" w:rsidRDefault="419B6B8E" w:rsidP="00E477E3">
      <w:pPr>
        <w:pStyle w:val="Paragraph"/>
      </w:pPr>
      <w:r>
        <w:t xml:space="preserve"> As with the NICE response on the progression step, the final decision remains with NICE and the Associate Director to ensure proportionate</w:t>
      </w:r>
      <w:r w:rsidR="35080C25">
        <w:t xml:space="preserve"> and predictable</w:t>
      </w:r>
      <w:r>
        <w:t xml:space="preserve"> management of the appraisals programme and its resources.</w:t>
      </w:r>
    </w:p>
    <w:p w14:paraId="40F4A709" w14:textId="3554F87F" w:rsidR="00E477E3" w:rsidRDefault="00E477E3" w:rsidP="00E477E3">
      <w:pPr>
        <w:pStyle w:val="Paragraph"/>
      </w:pPr>
      <w:r>
        <w:t>Process diagrams and timelines for topics with and without technical engagement have been developed and will be published on the NICE Technology Appraisal webpage.</w:t>
      </w:r>
    </w:p>
    <w:p w14:paraId="58032F42" w14:textId="795AB9A2" w:rsidR="00E477E3" w:rsidRPr="00F62BA0" w:rsidRDefault="419B6B8E" w:rsidP="00E477E3">
      <w:pPr>
        <w:pStyle w:val="Paragraph"/>
      </w:pPr>
      <w:r>
        <w:t>For topics w</w:t>
      </w:r>
      <w:r w:rsidR="4CE3324E">
        <w:t xml:space="preserve">here </w:t>
      </w:r>
      <w:r>
        <w:t>outstanding issues and evidence gaps</w:t>
      </w:r>
      <w:r w:rsidR="34D8B9B4">
        <w:t xml:space="preserve"> are identified and technical engagement will feasibly address these issues, the stage</w:t>
      </w:r>
      <w:r>
        <w:t xml:space="preserve"> will allow for engagement, </w:t>
      </w:r>
      <w:proofErr w:type="gramStart"/>
      <w:r>
        <w:t>discussion</w:t>
      </w:r>
      <w:proofErr w:type="gramEnd"/>
      <w:r>
        <w:t xml:space="preserve"> and the submission of additional evidence where it is required. For topics which do not require technical engagement the NICE process allows for the discussion of technical issues and submission of additional evidence </w:t>
      </w:r>
      <w:r w:rsidR="6DE18B80">
        <w:t>(</w:t>
      </w:r>
      <w:r>
        <w:t>if requested</w:t>
      </w:r>
      <w:r w:rsidR="6DE18B80">
        <w:t>)</w:t>
      </w:r>
      <w:r>
        <w:t xml:space="preserve"> at clarification.</w:t>
      </w:r>
      <w:r w:rsidR="3EE535F1">
        <w:t xml:space="preserve"> </w:t>
      </w:r>
      <w:r w:rsidR="77ED0F5E">
        <w:t>Opportunities for increasing simple PAS discounts or commercial discussions are covered in section 5.6.43 – 5.6.56 of the manual.</w:t>
      </w:r>
    </w:p>
    <w:p w14:paraId="32FE746C" w14:textId="77777777" w:rsidR="006D4ECF" w:rsidRPr="006D4ECF" w:rsidRDefault="006D4ECF" w:rsidP="006D4ECF">
      <w:pPr>
        <w:pStyle w:val="Paragraph"/>
        <w:keepNext/>
        <w:numPr>
          <w:ilvl w:val="0"/>
          <w:numId w:val="0"/>
        </w:numPr>
        <w:ind w:left="284"/>
        <w:rPr>
          <w:b/>
          <w:bCs/>
          <w:color w:val="4F81BD" w:themeColor="accent1"/>
          <w:kern w:val="32"/>
          <w:sz w:val="36"/>
          <w:szCs w:val="36"/>
        </w:rPr>
      </w:pPr>
      <w:r w:rsidRPr="006D4ECF">
        <w:rPr>
          <w:b/>
          <w:bCs/>
          <w:color w:val="4F81BD" w:themeColor="accent1"/>
          <w:kern w:val="32"/>
          <w:sz w:val="36"/>
          <w:szCs w:val="36"/>
        </w:rPr>
        <w:t>Committee decisions outside of formal meetings </w:t>
      </w:r>
    </w:p>
    <w:p w14:paraId="66C52DBF" w14:textId="77777777" w:rsidR="006D4ECF" w:rsidRDefault="006D4ECF" w:rsidP="006D4ECF">
      <w:pPr>
        <w:pStyle w:val="Paragraph"/>
        <w:numPr>
          <w:ilvl w:val="0"/>
          <w:numId w:val="0"/>
        </w:numPr>
        <w:ind w:left="644" w:hanging="360"/>
        <w:rPr>
          <w:b/>
          <w:bCs/>
        </w:rPr>
      </w:pPr>
      <w:r w:rsidRPr="00F62BA0">
        <w:rPr>
          <w:b/>
          <w:bCs/>
        </w:rPr>
        <w:t xml:space="preserve">Summary of comments </w:t>
      </w:r>
      <w:proofErr w:type="gramStart"/>
      <w:r w:rsidRPr="00F62BA0">
        <w:rPr>
          <w:b/>
          <w:bCs/>
        </w:rPr>
        <w:t>received</w:t>
      </w:r>
      <w:proofErr w:type="gramEnd"/>
    </w:p>
    <w:p w14:paraId="48CABE59" w14:textId="40FD76AF" w:rsidR="00C159B8" w:rsidRDefault="337714F0" w:rsidP="00C159B8">
      <w:pPr>
        <w:pStyle w:val="Paragraph"/>
      </w:pPr>
      <w:r>
        <w:t xml:space="preserve"> </w:t>
      </w:r>
      <w:r w:rsidR="034F5052">
        <w:t>Many</w:t>
      </w:r>
      <w:r w:rsidR="4A472E27">
        <w:t xml:space="preserve"> respondents were unclear on the process for cost comparison appraisals if the sub-set of committee</w:t>
      </w:r>
      <w:r w:rsidR="6868AA58">
        <w:t xml:space="preserve"> members</w:t>
      </w:r>
      <w:r w:rsidR="4A472E27">
        <w:t xml:space="preserve"> could not reach a decision. C</w:t>
      </w:r>
      <w:r>
        <w:t xml:space="preserve">larity was </w:t>
      </w:r>
      <w:r w:rsidR="4A472E27">
        <w:t xml:space="preserve">also </w:t>
      </w:r>
      <w:r>
        <w:t xml:space="preserve">requested on the involvement of stakeholders in </w:t>
      </w:r>
      <w:r w:rsidR="4A472E27">
        <w:t xml:space="preserve">committee </w:t>
      </w:r>
      <w:r>
        <w:t>decisions</w:t>
      </w:r>
      <w:r w:rsidR="4A472E27">
        <w:t xml:space="preserve"> outside of a formal meeting</w:t>
      </w:r>
      <w:r>
        <w:t>, this included how experts are nominated</w:t>
      </w:r>
      <w:r w:rsidR="4A472E27">
        <w:t xml:space="preserve"> and if they were invited to a meeting with the committee sub</w:t>
      </w:r>
      <w:r w:rsidR="6DE18B80">
        <w:t>-</w:t>
      </w:r>
      <w:r w:rsidR="4A472E27">
        <w:t>set.</w:t>
      </w:r>
    </w:p>
    <w:p w14:paraId="3578E269" w14:textId="77777777" w:rsidR="006D4ECF" w:rsidRDefault="006D4ECF" w:rsidP="006D4ECF">
      <w:pPr>
        <w:pStyle w:val="Paragraph"/>
        <w:numPr>
          <w:ilvl w:val="0"/>
          <w:numId w:val="0"/>
        </w:numPr>
        <w:ind w:left="284"/>
        <w:rPr>
          <w:b/>
          <w:bCs/>
        </w:rPr>
      </w:pPr>
      <w:r w:rsidRPr="00F62BA0">
        <w:rPr>
          <w:b/>
          <w:bCs/>
        </w:rPr>
        <w:t xml:space="preserve">Response, including amendments to the </w:t>
      </w:r>
      <w:proofErr w:type="gramStart"/>
      <w:r w:rsidRPr="00F62BA0">
        <w:rPr>
          <w:b/>
          <w:bCs/>
        </w:rPr>
        <w:t>proposals</w:t>
      </w:r>
      <w:proofErr w:type="gramEnd"/>
    </w:p>
    <w:p w14:paraId="043C0327" w14:textId="21D88F36" w:rsidR="00AB05C1" w:rsidRDefault="5200C8CE" w:rsidP="00AB05C1">
      <w:pPr>
        <w:pStyle w:val="Paragraph"/>
      </w:pPr>
      <w:r>
        <w:t>The manual wording has been updated to be clear that no stakeholders are invited to attend a meeting for committee decisions outside of the formal appraisal committee meeting. The committee sub</w:t>
      </w:r>
      <w:r w:rsidR="6DE18B80">
        <w:t>-</w:t>
      </w:r>
      <w:r>
        <w:t xml:space="preserve">set uses remote technology to consider evidence and come to a recommendation. References to the </w:t>
      </w:r>
      <w:r>
        <w:lastRenderedPageBreak/>
        <w:t>section of the manual covering the nomination of experts has also been included, to highlight that experts are nominated and selected for these topics in the same way as a standard appraisal. Where the manual states that experts are not normally invited to take part in the committee meeting discussion this refers to streamlined topics and does not change the approach for those going through the standard appraisal process.</w:t>
      </w:r>
    </w:p>
    <w:p w14:paraId="4FBA7743" w14:textId="6C028B79" w:rsidR="006D4ECF" w:rsidRDefault="5200C8CE" w:rsidP="002A385B">
      <w:pPr>
        <w:pStyle w:val="Paragraph"/>
      </w:pPr>
      <w:r>
        <w:t xml:space="preserve">NICE recognised the manual was unclear on the next steps for cost comparison topics should the committee sub-set be unable to </w:t>
      </w:r>
      <w:proofErr w:type="gramStart"/>
      <w:r>
        <w:t>make a decision</w:t>
      </w:r>
      <w:proofErr w:type="gramEnd"/>
      <w:r>
        <w:t xml:space="preserve"> and have added wording to note that the committee sub-set have the option of proceeding to a full committee meeting</w:t>
      </w:r>
      <w:r w:rsidR="3EAEBB73">
        <w:t>, consultation</w:t>
      </w:r>
      <w:r>
        <w:t xml:space="preserve"> or re</w:t>
      </w:r>
      <w:r w:rsidR="6DE18B80">
        <w:t>-</w:t>
      </w:r>
      <w:r>
        <w:t>routing the evaluation to follow the standard process.</w:t>
      </w:r>
    </w:p>
    <w:p w14:paraId="1337E9E8" w14:textId="42E9A46C" w:rsidR="00506E11" w:rsidRDefault="00083BA8" w:rsidP="0013386A">
      <w:pPr>
        <w:pStyle w:val="Heading1boardreport"/>
      </w:pPr>
      <w:r>
        <w:t>Next steps</w:t>
      </w:r>
    </w:p>
    <w:p w14:paraId="55940DE8" w14:textId="2BEA1E46" w:rsidR="00083BA8" w:rsidRDefault="77ED0F5E" w:rsidP="00083BA8">
      <w:pPr>
        <w:pStyle w:val="Paragraph"/>
      </w:pPr>
      <w:commentRangeStart w:id="0"/>
      <w:r>
        <w:t>The latest version of the health technology evaluation manual, with amendments detailed in this response report, has been published on the NICE website.</w:t>
      </w:r>
      <w:r w:rsidR="51521BF7">
        <w:t xml:space="preserve"> Changes made to the manual following consultation apply to topics starting from 01 November 2023.</w:t>
      </w:r>
      <w:commentRangeEnd w:id="0"/>
      <w:r w:rsidR="00A42FAD">
        <w:rPr>
          <w:rStyle w:val="CommentReference"/>
        </w:rPr>
        <w:commentReference w:id="0"/>
      </w:r>
      <w:r>
        <w:t xml:space="preserve"> </w:t>
      </w:r>
    </w:p>
    <w:p w14:paraId="48A5052A" w14:textId="77777777" w:rsidR="001B3123" w:rsidRDefault="001B3123" w:rsidP="002F050C">
      <w:pPr>
        <w:pStyle w:val="Bullets"/>
        <w:numPr>
          <w:ilvl w:val="0"/>
          <w:numId w:val="0"/>
        </w:numPr>
        <w:ind w:left="1174" w:hanging="454"/>
      </w:pPr>
    </w:p>
    <w:p w14:paraId="47524F35" w14:textId="77777777" w:rsidR="002234A8" w:rsidRDefault="002234A8" w:rsidP="002234A8">
      <w:pPr>
        <w:pStyle w:val="Paragraphnonumbers"/>
      </w:pPr>
      <w:r>
        <w:t>National Institute for Health and Care Excellence</w:t>
      </w:r>
    </w:p>
    <w:p w14:paraId="648937B8" w14:textId="0D55F739" w:rsidR="00E14C6B" w:rsidRDefault="00A42FAD" w:rsidP="00F521A4">
      <w:pPr>
        <w:pStyle w:val="Paragraphnonumbers"/>
      </w:pPr>
      <w:r>
        <w:t>October 2023</w:t>
      </w:r>
    </w:p>
    <w:p w14:paraId="685B9A9D" w14:textId="77777777" w:rsidR="004A1902" w:rsidRDefault="004A1902" w:rsidP="00F521A4">
      <w:pPr>
        <w:pStyle w:val="Paragraphnonumbers"/>
      </w:pPr>
    </w:p>
    <w:p w14:paraId="1D476DED" w14:textId="77777777" w:rsidR="004A1902" w:rsidRDefault="004A1902" w:rsidP="00F521A4">
      <w:pPr>
        <w:pStyle w:val="Paragraphnonumbers"/>
      </w:pPr>
    </w:p>
    <w:p w14:paraId="5850DE5C" w14:textId="77777777" w:rsidR="004A1902" w:rsidRDefault="004A1902" w:rsidP="00F521A4">
      <w:pPr>
        <w:pStyle w:val="Paragraphnonumbers"/>
      </w:pPr>
    </w:p>
    <w:p w14:paraId="316F5148" w14:textId="77777777" w:rsidR="004A1902" w:rsidRDefault="004A1902" w:rsidP="00F521A4">
      <w:pPr>
        <w:pStyle w:val="Paragraphnonumbers"/>
      </w:pPr>
    </w:p>
    <w:p w14:paraId="168DF32D" w14:textId="77777777" w:rsidR="004A1902" w:rsidRDefault="004A1902" w:rsidP="00F521A4">
      <w:pPr>
        <w:pStyle w:val="Paragraphnonumbers"/>
      </w:pPr>
    </w:p>
    <w:p w14:paraId="5EB6CBC7" w14:textId="77777777" w:rsidR="004A1902" w:rsidRDefault="004A1902" w:rsidP="00F521A4">
      <w:pPr>
        <w:pStyle w:val="Paragraphnonumbers"/>
      </w:pPr>
    </w:p>
    <w:p w14:paraId="25B4879B" w14:textId="77777777" w:rsidR="004A1902" w:rsidRDefault="004A1902" w:rsidP="00F521A4">
      <w:pPr>
        <w:pStyle w:val="Paragraphnonumbers"/>
      </w:pPr>
    </w:p>
    <w:p w14:paraId="19C317E2" w14:textId="77777777" w:rsidR="004A1902" w:rsidRDefault="004A1902" w:rsidP="00F521A4">
      <w:pPr>
        <w:pStyle w:val="Paragraphnonumbers"/>
      </w:pPr>
    </w:p>
    <w:p w14:paraId="6C77F305" w14:textId="77777777" w:rsidR="004A1902" w:rsidRDefault="004A1902" w:rsidP="00F521A4">
      <w:pPr>
        <w:pStyle w:val="Paragraphnonumbers"/>
      </w:pPr>
    </w:p>
    <w:p w14:paraId="50B2F051" w14:textId="77777777" w:rsidR="004A1902" w:rsidRDefault="004A1902" w:rsidP="00F521A4">
      <w:pPr>
        <w:pStyle w:val="Paragraphnonumbers"/>
      </w:pPr>
    </w:p>
    <w:p w14:paraId="7BBA23AC" w14:textId="77777777" w:rsidR="004A1902" w:rsidRDefault="004A1902" w:rsidP="00F521A4">
      <w:pPr>
        <w:pStyle w:val="Paragraphnonumbers"/>
      </w:pPr>
    </w:p>
    <w:p w14:paraId="2EF76BEE" w14:textId="77777777" w:rsidR="004A1902" w:rsidRDefault="004A1902" w:rsidP="00F521A4">
      <w:pPr>
        <w:pStyle w:val="Paragraphnonumbers"/>
      </w:pPr>
    </w:p>
    <w:p w14:paraId="64F45968" w14:textId="77777777" w:rsidR="004A1902" w:rsidRDefault="004A1902" w:rsidP="00F521A4">
      <w:pPr>
        <w:pStyle w:val="Paragraphnonumbers"/>
      </w:pPr>
    </w:p>
    <w:p w14:paraId="14B01640" w14:textId="77777777" w:rsidR="004A1902" w:rsidRDefault="004A1902" w:rsidP="00F521A4">
      <w:pPr>
        <w:pStyle w:val="Paragraphnonumbers"/>
      </w:pPr>
    </w:p>
    <w:sectPr w:rsidR="004A1902" w:rsidSect="00F521A4">
      <w:headerReference w:type="default" r:id="rId16"/>
      <w:footerReference w:type="default" r:id="rId17"/>
      <w:headerReference w:type="first" r:id="rId18"/>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na Dilkes" w:date="2023-10-04T13:20:00Z" w:initials="JD">
    <w:p w14:paraId="51CDD243" w14:textId="77777777" w:rsidR="00A42FAD" w:rsidRDefault="00A42FAD" w:rsidP="00D873CB">
      <w:pPr>
        <w:pStyle w:val="CommentText"/>
      </w:pPr>
      <w:r>
        <w:rPr>
          <w:rStyle w:val="CommentReference"/>
        </w:rPr>
        <w:annotationRef/>
      </w:r>
      <w:r>
        <w:t>Insert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CDD2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7E52C" w16cex:dateUtc="2023-10-04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CDD243" w16cid:durableId="28C7E5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BF77" w14:textId="77777777" w:rsidR="00B53DF3" w:rsidRDefault="00B53DF3" w:rsidP="00446BEE">
      <w:r>
        <w:separator/>
      </w:r>
    </w:p>
  </w:endnote>
  <w:endnote w:type="continuationSeparator" w:id="0">
    <w:p w14:paraId="0349C2B3" w14:textId="77777777" w:rsidR="00B53DF3" w:rsidRDefault="00B53DF3" w:rsidP="00446BEE">
      <w:r>
        <w:continuationSeparator/>
      </w:r>
    </w:p>
  </w:endnote>
  <w:endnote w:type="continuationNotice" w:id="1">
    <w:p w14:paraId="1B472047" w14:textId="77777777" w:rsidR="00B53DF3" w:rsidRDefault="00B53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6877" w14:textId="77777777" w:rsidR="00B53DF3" w:rsidRPr="002A231B" w:rsidRDefault="00B53DF3" w:rsidP="004C5B36">
    <w:pPr>
      <w:pStyle w:val="Footer"/>
      <w:tabs>
        <w:tab w:val="clear" w:pos="4513"/>
        <w:tab w:val="clear" w:pos="9026"/>
        <w:tab w:val="right" w:pos="8931"/>
        <w:tab w:val="right" w:pos="13892"/>
      </w:tabs>
      <w:rPr>
        <w:szCs w:val="16"/>
      </w:rPr>
    </w:pPr>
    <w:r w:rsidRPr="002A231B">
      <w:rPr>
        <w:szCs w:val="16"/>
      </w:rPr>
      <w:t>National Institute for Health and Care Excellence</w:t>
    </w:r>
    <w:r w:rsidRPr="002A231B">
      <w:rPr>
        <w:szCs w:val="16"/>
      </w:rPr>
      <w:tab/>
      <w:t xml:space="preserve">Page </w:t>
    </w:r>
    <w:r w:rsidRPr="002A231B">
      <w:rPr>
        <w:color w:val="2B579A"/>
        <w:szCs w:val="16"/>
        <w:shd w:val="clear" w:color="auto" w:fill="E6E6E6"/>
      </w:rPr>
      <w:fldChar w:fldCharType="begin"/>
    </w:r>
    <w:r w:rsidRPr="002A231B">
      <w:rPr>
        <w:szCs w:val="16"/>
      </w:rPr>
      <w:instrText xml:space="preserve"> PAGE  \* Arabic  \* MERGEFORMAT </w:instrText>
    </w:r>
    <w:r w:rsidRPr="002A231B">
      <w:rPr>
        <w:color w:val="2B579A"/>
        <w:szCs w:val="16"/>
        <w:shd w:val="clear" w:color="auto" w:fill="E6E6E6"/>
      </w:rPr>
      <w:fldChar w:fldCharType="separate"/>
    </w:r>
    <w:r w:rsidR="00411BE6">
      <w:rPr>
        <w:noProof/>
        <w:szCs w:val="16"/>
      </w:rPr>
      <w:t>14</w:t>
    </w:r>
    <w:r w:rsidRPr="002A231B">
      <w:rPr>
        <w:color w:val="2B579A"/>
        <w:szCs w:val="16"/>
        <w:shd w:val="clear" w:color="auto" w:fill="E6E6E6"/>
      </w:rPr>
      <w:fldChar w:fldCharType="end"/>
    </w:r>
    <w:r w:rsidRPr="002A231B">
      <w:rPr>
        <w:szCs w:val="16"/>
      </w:rPr>
      <w:t xml:space="preserve"> of </w:t>
    </w:r>
    <w:r w:rsidRPr="002A231B">
      <w:rPr>
        <w:color w:val="2B579A"/>
        <w:szCs w:val="16"/>
        <w:shd w:val="clear" w:color="auto" w:fill="E6E6E6"/>
      </w:rPr>
      <w:fldChar w:fldCharType="begin"/>
    </w:r>
    <w:r w:rsidRPr="002A231B">
      <w:rPr>
        <w:szCs w:val="16"/>
      </w:rPr>
      <w:instrText xml:space="preserve"> NUMPAGES  \* Arabic  \* MERGEFORMAT </w:instrText>
    </w:r>
    <w:r w:rsidRPr="002A231B">
      <w:rPr>
        <w:color w:val="2B579A"/>
        <w:szCs w:val="16"/>
        <w:shd w:val="clear" w:color="auto" w:fill="E6E6E6"/>
      </w:rPr>
      <w:fldChar w:fldCharType="separate"/>
    </w:r>
    <w:r w:rsidR="00411BE6">
      <w:rPr>
        <w:noProof/>
        <w:szCs w:val="16"/>
      </w:rPr>
      <w:t>14</w:t>
    </w:r>
    <w:r w:rsidRPr="002A231B">
      <w:rPr>
        <w:color w:val="2B579A"/>
        <w:szCs w:val="16"/>
        <w:shd w:val="clear" w:color="auto" w:fill="E6E6E6"/>
      </w:rPr>
      <w:fldChar w:fldCharType="end"/>
    </w:r>
  </w:p>
  <w:p w14:paraId="446D1098" w14:textId="485DEE39" w:rsidR="00B53DF3" w:rsidRDefault="00B53DF3" w:rsidP="004C5B36">
    <w:pPr>
      <w:pStyle w:val="Footer"/>
      <w:tabs>
        <w:tab w:val="clear" w:pos="4513"/>
      </w:tabs>
    </w:pPr>
    <w:r w:rsidRPr="004D1978">
      <w:t xml:space="preserve">NICE consultation on </w:t>
    </w:r>
    <w:r w:rsidR="00301751">
      <w:t>first modular update of the Health Technology Evaluation Manual</w:t>
    </w:r>
  </w:p>
  <w:p w14:paraId="0716DF58" w14:textId="6FF5F844" w:rsidR="00B53DF3" w:rsidRPr="002A231B" w:rsidRDefault="00B53DF3" w:rsidP="004C5B36">
    <w:pPr>
      <w:pStyle w:val="Footer"/>
      <w:tabs>
        <w:tab w:val="clear" w:pos="4513"/>
      </w:tabs>
      <w:rPr>
        <w:szCs w:val="16"/>
      </w:rPr>
    </w:pPr>
    <w:r>
      <w:rPr>
        <w:szCs w:val="16"/>
      </w:rPr>
      <w:t xml:space="preserve">Date: </w:t>
    </w:r>
    <w:r w:rsidR="00301751">
      <w:rPr>
        <w:szCs w:val="16"/>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E62D" w14:textId="77777777" w:rsidR="00B53DF3" w:rsidRDefault="00B53DF3" w:rsidP="00446BEE">
      <w:r>
        <w:separator/>
      </w:r>
    </w:p>
  </w:footnote>
  <w:footnote w:type="continuationSeparator" w:id="0">
    <w:p w14:paraId="01B490E9" w14:textId="77777777" w:rsidR="00B53DF3" w:rsidRDefault="00B53DF3" w:rsidP="00446BEE">
      <w:r>
        <w:continuationSeparator/>
      </w:r>
    </w:p>
  </w:footnote>
  <w:footnote w:type="continuationNotice" w:id="1">
    <w:p w14:paraId="23487D08" w14:textId="77777777" w:rsidR="00B53DF3" w:rsidRDefault="00B53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177F" w14:textId="03F20238" w:rsidR="00B53DF3" w:rsidRDefault="00B53DF3" w:rsidP="004C5B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5894" w14:textId="56891848" w:rsidR="00A32B4A" w:rsidRDefault="004A1902" w:rsidP="004A1902">
    <w:pPr>
      <w:pStyle w:val="Header"/>
    </w:pPr>
    <w:r>
      <w:rPr>
        <w:noProof/>
        <w:color w:val="2B579A"/>
        <w:shd w:val="clear" w:color="auto" w:fill="E6E6E6"/>
      </w:rPr>
      <w:drawing>
        <wp:inline distT="0" distB="0" distL="0" distR="0" wp14:anchorId="53BF2192" wp14:editId="4919C135">
          <wp:extent cx="2971800" cy="504825"/>
          <wp:effectExtent l="0" t="0" r="0" b="0"/>
          <wp:docPr id="1" name="Picture 1" descr="NICE-Master-72dpi-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6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5048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5797"/>
    <w:multiLevelType w:val="hybridMultilevel"/>
    <w:tmpl w:val="7AB03508"/>
    <w:lvl w:ilvl="0" w:tplc="FFFFFFFF">
      <w:start w:val="1"/>
      <w:numFmt w:val="decimal"/>
      <w:pStyle w:val="Paragraph"/>
      <w:lvlText w:val="%1."/>
      <w:lvlJc w:val="left"/>
      <w:pPr>
        <w:ind w:left="644" w:hanging="360"/>
      </w:pPr>
      <w:rPr>
        <w:color w:val="auto"/>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2444DE"/>
    <w:multiLevelType w:val="hybridMultilevel"/>
    <w:tmpl w:val="7258226E"/>
    <w:lvl w:ilvl="0" w:tplc="1C3474B8">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33298701"/>
    <w:multiLevelType w:val="hybridMultilevel"/>
    <w:tmpl w:val="FFFFFFFF"/>
    <w:lvl w:ilvl="0" w:tplc="DF729EE8">
      <w:start w:val="1"/>
      <w:numFmt w:val="bullet"/>
      <w:lvlText w:val=""/>
      <w:lvlJc w:val="left"/>
      <w:pPr>
        <w:ind w:left="720" w:hanging="360"/>
      </w:pPr>
      <w:rPr>
        <w:rFonts w:ascii="Symbol" w:hAnsi="Symbol" w:hint="default"/>
      </w:rPr>
    </w:lvl>
    <w:lvl w:ilvl="1" w:tplc="D0305F94">
      <w:start w:val="1"/>
      <w:numFmt w:val="bullet"/>
      <w:lvlText w:val="o"/>
      <w:lvlJc w:val="left"/>
      <w:pPr>
        <w:ind w:left="1440" w:hanging="360"/>
      </w:pPr>
      <w:rPr>
        <w:rFonts w:ascii="Courier New" w:hAnsi="Courier New" w:hint="default"/>
      </w:rPr>
    </w:lvl>
    <w:lvl w:ilvl="2" w:tplc="2480C6FA">
      <w:start w:val="1"/>
      <w:numFmt w:val="bullet"/>
      <w:lvlText w:val=""/>
      <w:lvlJc w:val="left"/>
      <w:pPr>
        <w:ind w:left="2160" w:hanging="360"/>
      </w:pPr>
      <w:rPr>
        <w:rFonts w:ascii="Wingdings" w:hAnsi="Wingdings" w:hint="default"/>
      </w:rPr>
    </w:lvl>
    <w:lvl w:ilvl="3" w:tplc="0BE6D3E2">
      <w:start w:val="1"/>
      <w:numFmt w:val="bullet"/>
      <w:lvlText w:val=""/>
      <w:lvlJc w:val="left"/>
      <w:pPr>
        <w:ind w:left="2160" w:hanging="360"/>
      </w:pPr>
      <w:rPr>
        <w:rFonts w:ascii="Symbol" w:hAnsi="Symbol" w:hint="default"/>
      </w:rPr>
    </w:lvl>
    <w:lvl w:ilvl="4" w:tplc="FD56645A">
      <w:start w:val="1"/>
      <w:numFmt w:val="bullet"/>
      <w:lvlText w:val="o"/>
      <w:lvlJc w:val="left"/>
      <w:pPr>
        <w:ind w:left="3600" w:hanging="360"/>
      </w:pPr>
      <w:rPr>
        <w:rFonts w:ascii="Courier New" w:hAnsi="Courier New" w:hint="default"/>
      </w:rPr>
    </w:lvl>
    <w:lvl w:ilvl="5" w:tplc="6EF4F8E4">
      <w:start w:val="1"/>
      <w:numFmt w:val="bullet"/>
      <w:lvlText w:val=""/>
      <w:lvlJc w:val="left"/>
      <w:pPr>
        <w:ind w:left="4320" w:hanging="360"/>
      </w:pPr>
      <w:rPr>
        <w:rFonts w:ascii="Wingdings" w:hAnsi="Wingdings" w:hint="default"/>
      </w:rPr>
    </w:lvl>
    <w:lvl w:ilvl="6" w:tplc="DBE6B55E">
      <w:start w:val="1"/>
      <w:numFmt w:val="bullet"/>
      <w:lvlText w:val=""/>
      <w:lvlJc w:val="left"/>
      <w:pPr>
        <w:ind w:left="5040" w:hanging="360"/>
      </w:pPr>
      <w:rPr>
        <w:rFonts w:ascii="Symbol" w:hAnsi="Symbol" w:hint="default"/>
      </w:rPr>
    </w:lvl>
    <w:lvl w:ilvl="7" w:tplc="45F09CF8">
      <w:start w:val="1"/>
      <w:numFmt w:val="bullet"/>
      <w:lvlText w:val="o"/>
      <w:lvlJc w:val="left"/>
      <w:pPr>
        <w:ind w:left="5760" w:hanging="360"/>
      </w:pPr>
      <w:rPr>
        <w:rFonts w:ascii="Courier New" w:hAnsi="Courier New" w:hint="default"/>
      </w:rPr>
    </w:lvl>
    <w:lvl w:ilvl="8" w:tplc="786EA754">
      <w:start w:val="1"/>
      <w:numFmt w:val="bullet"/>
      <w:lvlText w:val=""/>
      <w:lvlJc w:val="left"/>
      <w:pPr>
        <w:ind w:left="6480" w:hanging="360"/>
      </w:pPr>
      <w:rPr>
        <w:rFonts w:ascii="Wingdings" w:hAnsi="Wingdings" w:hint="default"/>
      </w:rPr>
    </w:lvl>
  </w:abstractNum>
  <w:abstractNum w:abstractNumId="5" w15:restartNumberingAfterBreak="0">
    <w:nsid w:val="41F4436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194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575E53"/>
    <w:multiLevelType w:val="hybridMultilevel"/>
    <w:tmpl w:val="FFFFFFFF"/>
    <w:lvl w:ilvl="0" w:tplc="48A8A890">
      <w:start w:val="1"/>
      <w:numFmt w:val="bullet"/>
      <w:lvlText w:val=""/>
      <w:lvlJc w:val="left"/>
      <w:pPr>
        <w:ind w:left="720" w:hanging="360"/>
      </w:pPr>
      <w:rPr>
        <w:rFonts w:ascii="Symbol" w:hAnsi="Symbol" w:hint="default"/>
      </w:rPr>
    </w:lvl>
    <w:lvl w:ilvl="1" w:tplc="2BD618DA">
      <w:start w:val="1"/>
      <w:numFmt w:val="bullet"/>
      <w:lvlText w:val="o"/>
      <w:lvlJc w:val="left"/>
      <w:pPr>
        <w:ind w:left="1440" w:hanging="360"/>
      </w:pPr>
      <w:rPr>
        <w:rFonts w:ascii="Courier New" w:hAnsi="Courier New" w:hint="default"/>
      </w:rPr>
    </w:lvl>
    <w:lvl w:ilvl="2" w:tplc="D27C56C4">
      <w:start w:val="1"/>
      <w:numFmt w:val="bullet"/>
      <w:lvlText w:val=""/>
      <w:lvlJc w:val="left"/>
      <w:pPr>
        <w:ind w:left="2160" w:hanging="360"/>
      </w:pPr>
      <w:rPr>
        <w:rFonts w:ascii="Wingdings" w:hAnsi="Wingdings" w:hint="default"/>
      </w:rPr>
    </w:lvl>
    <w:lvl w:ilvl="3" w:tplc="016A8DD8">
      <w:start w:val="1"/>
      <w:numFmt w:val="bullet"/>
      <w:lvlText w:val=""/>
      <w:lvlJc w:val="left"/>
      <w:pPr>
        <w:ind w:left="2160" w:hanging="360"/>
      </w:pPr>
      <w:rPr>
        <w:rFonts w:ascii="Symbol" w:hAnsi="Symbol" w:hint="default"/>
      </w:rPr>
    </w:lvl>
    <w:lvl w:ilvl="4" w:tplc="06984B5A">
      <w:start w:val="1"/>
      <w:numFmt w:val="bullet"/>
      <w:lvlText w:val="o"/>
      <w:lvlJc w:val="left"/>
      <w:pPr>
        <w:ind w:left="3600" w:hanging="360"/>
      </w:pPr>
      <w:rPr>
        <w:rFonts w:ascii="Courier New" w:hAnsi="Courier New" w:hint="default"/>
      </w:rPr>
    </w:lvl>
    <w:lvl w:ilvl="5" w:tplc="49CED77A">
      <w:start w:val="1"/>
      <w:numFmt w:val="bullet"/>
      <w:lvlText w:val=""/>
      <w:lvlJc w:val="left"/>
      <w:pPr>
        <w:ind w:left="4320" w:hanging="360"/>
      </w:pPr>
      <w:rPr>
        <w:rFonts w:ascii="Wingdings" w:hAnsi="Wingdings" w:hint="default"/>
      </w:rPr>
    </w:lvl>
    <w:lvl w:ilvl="6" w:tplc="01742D70">
      <w:start w:val="1"/>
      <w:numFmt w:val="bullet"/>
      <w:lvlText w:val=""/>
      <w:lvlJc w:val="left"/>
      <w:pPr>
        <w:ind w:left="5040" w:hanging="360"/>
      </w:pPr>
      <w:rPr>
        <w:rFonts w:ascii="Symbol" w:hAnsi="Symbol" w:hint="default"/>
      </w:rPr>
    </w:lvl>
    <w:lvl w:ilvl="7" w:tplc="6A9C5A60">
      <w:start w:val="1"/>
      <w:numFmt w:val="bullet"/>
      <w:lvlText w:val="o"/>
      <w:lvlJc w:val="left"/>
      <w:pPr>
        <w:ind w:left="5760" w:hanging="360"/>
      </w:pPr>
      <w:rPr>
        <w:rFonts w:ascii="Courier New" w:hAnsi="Courier New" w:hint="default"/>
      </w:rPr>
    </w:lvl>
    <w:lvl w:ilvl="8" w:tplc="7BA28406">
      <w:start w:val="1"/>
      <w:numFmt w:val="bullet"/>
      <w:lvlText w:val=""/>
      <w:lvlJc w:val="left"/>
      <w:pPr>
        <w:ind w:left="6480" w:hanging="360"/>
      </w:pPr>
      <w:rPr>
        <w:rFonts w:ascii="Wingdings" w:hAnsi="Wingdings" w:hint="default"/>
      </w:rPr>
    </w:lvl>
  </w:abstractNum>
  <w:abstractNum w:abstractNumId="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FA4AE8"/>
    <w:multiLevelType w:val="multilevel"/>
    <w:tmpl w:val="3878BE4C"/>
    <w:lvl w:ilvl="0">
      <w:start w:val="1"/>
      <w:numFmt w:val="decimal"/>
      <w:lvlText w:val="%1"/>
      <w:lvlJc w:val="left"/>
      <w:pPr>
        <w:ind w:left="360" w:hanging="360"/>
      </w:pPr>
      <w:rPr>
        <w:rFonts w:hint="default"/>
      </w:rPr>
    </w:lvl>
    <w:lvl w:ilvl="1">
      <w:start w:val="1"/>
      <w:numFmt w:val="decimal"/>
      <w:pStyle w:val="Guidancenumbered"/>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74" w:hanging="454"/>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0" w15:restartNumberingAfterBreak="0">
    <w:nsid w:val="6D89618F"/>
    <w:multiLevelType w:val="hybridMultilevel"/>
    <w:tmpl w:val="B05C335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7C96A2A0"/>
    <w:multiLevelType w:val="hybridMultilevel"/>
    <w:tmpl w:val="FFFFFFFF"/>
    <w:lvl w:ilvl="0" w:tplc="22C8CA6C">
      <w:start w:val="1"/>
      <w:numFmt w:val="bullet"/>
      <w:lvlText w:val=""/>
      <w:lvlJc w:val="left"/>
      <w:pPr>
        <w:ind w:left="720" w:hanging="360"/>
      </w:pPr>
      <w:rPr>
        <w:rFonts w:ascii="Symbol" w:hAnsi="Symbol" w:hint="default"/>
      </w:rPr>
    </w:lvl>
    <w:lvl w:ilvl="1" w:tplc="18328386">
      <w:start w:val="1"/>
      <w:numFmt w:val="bullet"/>
      <w:lvlText w:val="o"/>
      <w:lvlJc w:val="left"/>
      <w:pPr>
        <w:ind w:left="1440" w:hanging="360"/>
      </w:pPr>
      <w:rPr>
        <w:rFonts w:ascii="Courier New" w:hAnsi="Courier New" w:hint="default"/>
      </w:rPr>
    </w:lvl>
    <w:lvl w:ilvl="2" w:tplc="3B021D5E">
      <w:start w:val="1"/>
      <w:numFmt w:val="bullet"/>
      <w:lvlText w:val=""/>
      <w:lvlJc w:val="left"/>
      <w:pPr>
        <w:ind w:left="2160" w:hanging="360"/>
      </w:pPr>
      <w:rPr>
        <w:rFonts w:ascii="Wingdings" w:hAnsi="Wingdings" w:hint="default"/>
      </w:rPr>
    </w:lvl>
    <w:lvl w:ilvl="3" w:tplc="1B82D1AC">
      <w:start w:val="1"/>
      <w:numFmt w:val="bullet"/>
      <w:lvlText w:val=""/>
      <w:lvlJc w:val="left"/>
      <w:pPr>
        <w:ind w:left="2160" w:hanging="360"/>
      </w:pPr>
      <w:rPr>
        <w:rFonts w:ascii="Symbol" w:hAnsi="Symbol" w:hint="default"/>
      </w:rPr>
    </w:lvl>
    <w:lvl w:ilvl="4" w:tplc="5F1E6A4C">
      <w:start w:val="1"/>
      <w:numFmt w:val="bullet"/>
      <w:lvlText w:val="o"/>
      <w:lvlJc w:val="left"/>
      <w:pPr>
        <w:ind w:left="3600" w:hanging="360"/>
      </w:pPr>
      <w:rPr>
        <w:rFonts w:ascii="Courier New" w:hAnsi="Courier New" w:hint="default"/>
      </w:rPr>
    </w:lvl>
    <w:lvl w:ilvl="5" w:tplc="671CF678">
      <w:start w:val="1"/>
      <w:numFmt w:val="bullet"/>
      <w:lvlText w:val=""/>
      <w:lvlJc w:val="left"/>
      <w:pPr>
        <w:ind w:left="4320" w:hanging="360"/>
      </w:pPr>
      <w:rPr>
        <w:rFonts w:ascii="Wingdings" w:hAnsi="Wingdings" w:hint="default"/>
      </w:rPr>
    </w:lvl>
    <w:lvl w:ilvl="6" w:tplc="F86C0EF2">
      <w:start w:val="1"/>
      <w:numFmt w:val="bullet"/>
      <w:lvlText w:val=""/>
      <w:lvlJc w:val="left"/>
      <w:pPr>
        <w:ind w:left="5040" w:hanging="360"/>
      </w:pPr>
      <w:rPr>
        <w:rFonts w:ascii="Symbol" w:hAnsi="Symbol" w:hint="default"/>
      </w:rPr>
    </w:lvl>
    <w:lvl w:ilvl="7" w:tplc="A2D08F3E">
      <w:start w:val="1"/>
      <w:numFmt w:val="bullet"/>
      <w:lvlText w:val="o"/>
      <w:lvlJc w:val="left"/>
      <w:pPr>
        <w:ind w:left="5760" w:hanging="360"/>
      </w:pPr>
      <w:rPr>
        <w:rFonts w:ascii="Courier New" w:hAnsi="Courier New" w:hint="default"/>
      </w:rPr>
    </w:lvl>
    <w:lvl w:ilvl="8" w:tplc="E5C43740">
      <w:start w:val="1"/>
      <w:numFmt w:val="bullet"/>
      <w:lvlText w:val=""/>
      <w:lvlJc w:val="left"/>
      <w:pPr>
        <w:ind w:left="6480" w:hanging="360"/>
      </w:pPr>
      <w:rPr>
        <w:rFonts w:ascii="Wingdings" w:hAnsi="Wingdings" w:hint="default"/>
      </w:rPr>
    </w:lvl>
  </w:abstractNum>
  <w:num w:numId="1" w16cid:durableId="587230898">
    <w:abstractNumId w:val="6"/>
  </w:num>
  <w:num w:numId="2" w16cid:durableId="1873032320">
    <w:abstractNumId w:val="4"/>
  </w:num>
  <w:num w:numId="3" w16cid:durableId="905263541">
    <w:abstractNumId w:val="11"/>
  </w:num>
  <w:num w:numId="4" w16cid:durableId="1478956956">
    <w:abstractNumId w:val="5"/>
  </w:num>
  <w:num w:numId="5" w16cid:durableId="1339966230">
    <w:abstractNumId w:val="9"/>
  </w:num>
  <w:num w:numId="6" w16cid:durableId="1408841218">
    <w:abstractNumId w:val="2"/>
  </w:num>
  <w:num w:numId="7" w16cid:durableId="1258054594">
    <w:abstractNumId w:val="0"/>
  </w:num>
  <w:num w:numId="8" w16cid:durableId="1733384415">
    <w:abstractNumId w:val="1"/>
  </w:num>
  <w:num w:numId="9" w16cid:durableId="65887431">
    <w:abstractNumId w:val="3"/>
  </w:num>
  <w:num w:numId="10" w16cid:durableId="1232041837">
    <w:abstractNumId w:val="7"/>
  </w:num>
  <w:num w:numId="11" w16cid:durableId="67046094">
    <w:abstractNumId w:val="9"/>
    <w:lvlOverride w:ilvl="0">
      <w:startOverride w:val="1"/>
    </w:lvlOverride>
  </w:num>
  <w:num w:numId="12" w16cid:durableId="577056344">
    <w:abstractNumId w:val="10"/>
  </w:num>
  <w:num w:numId="13" w16cid:durableId="983509414">
    <w:abstractNumId w:val="0"/>
  </w:num>
  <w:num w:numId="14" w16cid:durableId="1782992329">
    <w:abstractNumId w:val="8"/>
  </w:num>
  <w:num w:numId="15" w16cid:durableId="590894679">
    <w:abstractNumId w:val="0"/>
  </w:num>
  <w:num w:numId="16" w16cid:durableId="406000530">
    <w:abstractNumId w:val="0"/>
  </w:num>
  <w:num w:numId="17" w16cid:durableId="1077095500">
    <w:abstractNumId w:val="0"/>
  </w:num>
  <w:num w:numId="18" w16cid:durableId="1912695841">
    <w:abstractNumId w:val="0"/>
  </w:num>
  <w:num w:numId="19" w16cid:durableId="1866211508">
    <w:abstractNumId w:val="0"/>
  </w:num>
  <w:num w:numId="20" w16cid:durableId="726801609">
    <w:abstractNumId w:val="0"/>
  </w:num>
  <w:num w:numId="21" w16cid:durableId="719862664">
    <w:abstractNumId w:val="0"/>
  </w:num>
  <w:num w:numId="22" w16cid:durableId="1308171255">
    <w:abstractNumId w:val="0"/>
  </w:num>
  <w:num w:numId="23" w16cid:durableId="681081908">
    <w:abstractNumId w:val="0"/>
  </w:num>
  <w:num w:numId="24" w16cid:durableId="1190488735">
    <w:abstractNumId w:val="0"/>
  </w:num>
  <w:num w:numId="25" w16cid:durableId="614288856">
    <w:abstractNumId w:val="0"/>
  </w:num>
  <w:num w:numId="26" w16cid:durableId="300621387">
    <w:abstractNumId w:val="0"/>
  </w:num>
  <w:num w:numId="27" w16cid:durableId="448011031">
    <w:abstractNumId w:val="0"/>
  </w:num>
  <w:num w:numId="28" w16cid:durableId="833885175">
    <w:abstractNumId w:val="0"/>
  </w:num>
  <w:num w:numId="29" w16cid:durableId="656690448">
    <w:abstractNumId w:val="0"/>
  </w:num>
  <w:num w:numId="30" w16cid:durableId="1883905750">
    <w:abstractNumId w:val="0"/>
  </w:num>
  <w:num w:numId="31" w16cid:durableId="506022552">
    <w:abstractNumId w:val="0"/>
  </w:num>
  <w:num w:numId="32" w16cid:durableId="1098477129">
    <w:abstractNumId w:val="0"/>
  </w:num>
  <w:num w:numId="33" w16cid:durableId="562836064">
    <w:abstractNumId w:val="0"/>
  </w:num>
  <w:num w:numId="34" w16cid:durableId="215625560">
    <w:abstractNumId w:val="0"/>
  </w:num>
  <w:num w:numId="35" w16cid:durableId="1065881085">
    <w:abstractNumId w:val="0"/>
  </w:num>
  <w:num w:numId="36" w16cid:durableId="972636243">
    <w:abstractNumId w:val="0"/>
  </w:num>
  <w:num w:numId="37" w16cid:durableId="167257657">
    <w:abstractNumId w:val="0"/>
  </w:num>
  <w:num w:numId="38" w16cid:durableId="608123878">
    <w:abstractNumId w:val="0"/>
  </w:num>
  <w:num w:numId="39" w16cid:durableId="1438407298">
    <w:abstractNumId w:val="0"/>
  </w:num>
  <w:num w:numId="40" w16cid:durableId="345064221">
    <w:abstractNumId w:val="0"/>
  </w:num>
  <w:num w:numId="41" w16cid:durableId="2125075555">
    <w:abstractNumId w:val="0"/>
  </w:num>
  <w:num w:numId="42" w16cid:durableId="1229346096">
    <w:abstractNumId w:val="0"/>
  </w:num>
  <w:num w:numId="43" w16cid:durableId="981273512">
    <w:abstractNumId w:val="0"/>
  </w:num>
  <w:num w:numId="44" w16cid:durableId="2103256056">
    <w:abstractNumId w:val="0"/>
  </w:num>
  <w:num w:numId="45" w16cid:durableId="1805459851">
    <w:abstractNumId w:val="0"/>
  </w:num>
  <w:num w:numId="46" w16cid:durableId="249312631">
    <w:abstractNumId w:val="0"/>
  </w:num>
  <w:num w:numId="47" w16cid:durableId="262499473">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a Dilkes">
    <w15:presenceInfo w15:providerId="AD" w15:userId="S::jenna.dilkes@nice.org.uk::7a612644-0eba-4014-9479-4bd2f3d311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BD"/>
    <w:rsid w:val="00000DC9"/>
    <w:rsid w:val="000037EA"/>
    <w:rsid w:val="00004FD2"/>
    <w:rsid w:val="000053F8"/>
    <w:rsid w:val="000068DE"/>
    <w:rsid w:val="00011B19"/>
    <w:rsid w:val="00014621"/>
    <w:rsid w:val="00017BD2"/>
    <w:rsid w:val="00020919"/>
    <w:rsid w:val="00024D0A"/>
    <w:rsid w:val="00026931"/>
    <w:rsid w:val="00027030"/>
    <w:rsid w:val="0002785C"/>
    <w:rsid w:val="00036942"/>
    <w:rsid w:val="00036DDB"/>
    <w:rsid w:val="000436F2"/>
    <w:rsid w:val="0004407A"/>
    <w:rsid w:val="000440B3"/>
    <w:rsid w:val="00044EA3"/>
    <w:rsid w:val="00046C33"/>
    <w:rsid w:val="00046D21"/>
    <w:rsid w:val="00047199"/>
    <w:rsid w:val="000472DC"/>
    <w:rsid w:val="0004789E"/>
    <w:rsid w:val="00047F22"/>
    <w:rsid w:val="00054699"/>
    <w:rsid w:val="00054A88"/>
    <w:rsid w:val="00056D94"/>
    <w:rsid w:val="0006645F"/>
    <w:rsid w:val="000673EC"/>
    <w:rsid w:val="00067D1F"/>
    <w:rsid w:val="00070065"/>
    <w:rsid w:val="00071BC3"/>
    <w:rsid w:val="00073A09"/>
    <w:rsid w:val="00074096"/>
    <w:rsid w:val="00083BA8"/>
    <w:rsid w:val="000869BF"/>
    <w:rsid w:val="00087C29"/>
    <w:rsid w:val="00091073"/>
    <w:rsid w:val="000915E8"/>
    <w:rsid w:val="0009196C"/>
    <w:rsid w:val="000967AB"/>
    <w:rsid w:val="000A4FEE"/>
    <w:rsid w:val="000A53BD"/>
    <w:rsid w:val="000B239D"/>
    <w:rsid w:val="000B24FF"/>
    <w:rsid w:val="000B4E70"/>
    <w:rsid w:val="000B5939"/>
    <w:rsid w:val="000B6377"/>
    <w:rsid w:val="000C0B4E"/>
    <w:rsid w:val="000C2D26"/>
    <w:rsid w:val="000C6E6C"/>
    <w:rsid w:val="000C779E"/>
    <w:rsid w:val="000D0E36"/>
    <w:rsid w:val="000D1779"/>
    <w:rsid w:val="000D1BEE"/>
    <w:rsid w:val="000D25FF"/>
    <w:rsid w:val="000D3796"/>
    <w:rsid w:val="000D70FA"/>
    <w:rsid w:val="000D760B"/>
    <w:rsid w:val="000E194C"/>
    <w:rsid w:val="000E2A43"/>
    <w:rsid w:val="000F66BD"/>
    <w:rsid w:val="000F6808"/>
    <w:rsid w:val="000F7814"/>
    <w:rsid w:val="00100979"/>
    <w:rsid w:val="001027E0"/>
    <w:rsid w:val="00104B0D"/>
    <w:rsid w:val="00104F84"/>
    <w:rsid w:val="0010516C"/>
    <w:rsid w:val="00107B89"/>
    <w:rsid w:val="00111CCE"/>
    <w:rsid w:val="001134E7"/>
    <w:rsid w:val="001205FF"/>
    <w:rsid w:val="00122C3B"/>
    <w:rsid w:val="00126653"/>
    <w:rsid w:val="00130986"/>
    <w:rsid w:val="001325CE"/>
    <w:rsid w:val="0013386A"/>
    <w:rsid w:val="00134719"/>
    <w:rsid w:val="00142693"/>
    <w:rsid w:val="00142997"/>
    <w:rsid w:val="00143110"/>
    <w:rsid w:val="00144B3A"/>
    <w:rsid w:val="001510B6"/>
    <w:rsid w:val="00151763"/>
    <w:rsid w:val="0015190C"/>
    <w:rsid w:val="00153635"/>
    <w:rsid w:val="001556B8"/>
    <w:rsid w:val="001567AB"/>
    <w:rsid w:val="00161EC6"/>
    <w:rsid w:val="00164917"/>
    <w:rsid w:val="00164E73"/>
    <w:rsid w:val="00165584"/>
    <w:rsid w:val="001661B6"/>
    <w:rsid w:val="001667C4"/>
    <w:rsid w:val="00166C88"/>
    <w:rsid w:val="0017149E"/>
    <w:rsid w:val="0017169E"/>
    <w:rsid w:val="00171876"/>
    <w:rsid w:val="00172726"/>
    <w:rsid w:val="001729CF"/>
    <w:rsid w:val="001743AB"/>
    <w:rsid w:val="00181A4A"/>
    <w:rsid w:val="001834DD"/>
    <w:rsid w:val="00185DEE"/>
    <w:rsid w:val="00187569"/>
    <w:rsid w:val="00192F9D"/>
    <w:rsid w:val="00197AA7"/>
    <w:rsid w:val="001A0F05"/>
    <w:rsid w:val="001B0EE9"/>
    <w:rsid w:val="001B1F24"/>
    <w:rsid w:val="001B3123"/>
    <w:rsid w:val="001B62DD"/>
    <w:rsid w:val="001B65B3"/>
    <w:rsid w:val="001B76B3"/>
    <w:rsid w:val="001B7A80"/>
    <w:rsid w:val="001C0013"/>
    <w:rsid w:val="001C0E2D"/>
    <w:rsid w:val="001C2198"/>
    <w:rsid w:val="001C607D"/>
    <w:rsid w:val="001D04C1"/>
    <w:rsid w:val="001D0E10"/>
    <w:rsid w:val="001D24AA"/>
    <w:rsid w:val="001D362F"/>
    <w:rsid w:val="001E0C5A"/>
    <w:rsid w:val="001E111D"/>
    <w:rsid w:val="001E29F0"/>
    <w:rsid w:val="001E36C0"/>
    <w:rsid w:val="001E50A6"/>
    <w:rsid w:val="001E77E9"/>
    <w:rsid w:val="001F1BF9"/>
    <w:rsid w:val="0020122B"/>
    <w:rsid w:val="0020255D"/>
    <w:rsid w:val="002029A6"/>
    <w:rsid w:val="00202F2F"/>
    <w:rsid w:val="00203B7D"/>
    <w:rsid w:val="00204C03"/>
    <w:rsid w:val="00206992"/>
    <w:rsid w:val="00210A0D"/>
    <w:rsid w:val="00210D63"/>
    <w:rsid w:val="00213B74"/>
    <w:rsid w:val="002171DF"/>
    <w:rsid w:val="00217FF7"/>
    <w:rsid w:val="0022189F"/>
    <w:rsid w:val="00222CE9"/>
    <w:rsid w:val="002234A8"/>
    <w:rsid w:val="00226A73"/>
    <w:rsid w:val="00227F4D"/>
    <w:rsid w:val="00230882"/>
    <w:rsid w:val="00230A6B"/>
    <w:rsid w:val="00232A51"/>
    <w:rsid w:val="00237893"/>
    <w:rsid w:val="002408EA"/>
    <w:rsid w:val="00241CA1"/>
    <w:rsid w:val="00245256"/>
    <w:rsid w:val="0024683F"/>
    <w:rsid w:val="00247CFD"/>
    <w:rsid w:val="00250274"/>
    <w:rsid w:val="00250F27"/>
    <w:rsid w:val="002536CB"/>
    <w:rsid w:val="002543D1"/>
    <w:rsid w:val="00254E22"/>
    <w:rsid w:val="0025587C"/>
    <w:rsid w:val="00256C1B"/>
    <w:rsid w:val="00263166"/>
    <w:rsid w:val="002631AB"/>
    <w:rsid w:val="0027015E"/>
    <w:rsid w:val="00272EE1"/>
    <w:rsid w:val="00273A38"/>
    <w:rsid w:val="0027431D"/>
    <w:rsid w:val="00277CEF"/>
    <w:rsid w:val="002800B5"/>
    <w:rsid w:val="00280B75"/>
    <w:rsid w:val="00281312"/>
    <w:rsid w:val="002819D7"/>
    <w:rsid w:val="00281A33"/>
    <w:rsid w:val="00283AFB"/>
    <w:rsid w:val="00283C00"/>
    <w:rsid w:val="00287F91"/>
    <w:rsid w:val="0029182F"/>
    <w:rsid w:val="00293D5F"/>
    <w:rsid w:val="00294F58"/>
    <w:rsid w:val="0029569F"/>
    <w:rsid w:val="00296C89"/>
    <w:rsid w:val="00296CF7"/>
    <w:rsid w:val="002978C2"/>
    <w:rsid w:val="0029794F"/>
    <w:rsid w:val="002A00BD"/>
    <w:rsid w:val="002A104C"/>
    <w:rsid w:val="002A231B"/>
    <w:rsid w:val="002A385B"/>
    <w:rsid w:val="002A3FC0"/>
    <w:rsid w:val="002A581F"/>
    <w:rsid w:val="002A76AC"/>
    <w:rsid w:val="002A7914"/>
    <w:rsid w:val="002B2426"/>
    <w:rsid w:val="002C1A7E"/>
    <w:rsid w:val="002C1A8E"/>
    <w:rsid w:val="002C29DB"/>
    <w:rsid w:val="002C3647"/>
    <w:rsid w:val="002D2FDA"/>
    <w:rsid w:val="002D3376"/>
    <w:rsid w:val="002E1B31"/>
    <w:rsid w:val="002E3F2B"/>
    <w:rsid w:val="002E625F"/>
    <w:rsid w:val="002F050C"/>
    <w:rsid w:val="002F230A"/>
    <w:rsid w:val="002F682C"/>
    <w:rsid w:val="002F6D19"/>
    <w:rsid w:val="00301751"/>
    <w:rsid w:val="00305B4F"/>
    <w:rsid w:val="00306C1A"/>
    <w:rsid w:val="00310D98"/>
    <w:rsid w:val="00311120"/>
    <w:rsid w:val="00311ED0"/>
    <w:rsid w:val="00322047"/>
    <w:rsid w:val="0032473A"/>
    <w:rsid w:val="00326E48"/>
    <w:rsid w:val="00326EE0"/>
    <w:rsid w:val="00330076"/>
    <w:rsid w:val="003314E0"/>
    <w:rsid w:val="00333764"/>
    <w:rsid w:val="003367C6"/>
    <w:rsid w:val="00353A66"/>
    <w:rsid w:val="00353DC8"/>
    <w:rsid w:val="003540C7"/>
    <w:rsid w:val="00357689"/>
    <w:rsid w:val="003648C5"/>
    <w:rsid w:val="00364FE9"/>
    <w:rsid w:val="003650F7"/>
    <w:rsid w:val="003722FA"/>
    <w:rsid w:val="00375283"/>
    <w:rsid w:val="00383093"/>
    <w:rsid w:val="00384B3E"/>
    <w:rsid w:val="00390769"/>
    <w:rsid w:val="00390996"/>
    <w:rsid w:val="00393C44"/>
    <w:rsid w:val="00395800"/>
    <w:rsid w:val="003959F7"/>
    <w:rsid w:val="00396C5D"/>
    <w:rsid w:val="00397686"/>
    <w:rsid w:val="003A0F24"/>
    <w:rsid w:val="003A12F4"/>
    <w:rsid w:val="003A2114"/>
    <w:rsid w:val="003A3B07"/>
    <w:rsid w:val="003A4FB8"/>
    <w:rsid w:val="003A5422"/>
    <w:rsid w:val="003A6BD3"/>
    <w:rsid w:val="003B06B7"/>
    <w:rsid w:val="003B2163"/>
    <w:rsid w:val="003B3C76"/>
    <w:rsid w:val="003B5F50"/>
    <w:rsid w:val="003B61DD"/>
    <w:rsid w:val="003B7354"/>
    <w:rsid w:val="003B78BB"/>
    <w:rsid w:val="003C0822"/>
    <w:rsid w:val="003C297E"/>
    <w:rsid w:val="003C3A37"/>
    <w:rsid w:val="003C3FCF"/>
    <w:rsid w:val="003C5587"/>
    <w:rsid w:val="003C7541"/>
    <w:rsid w:val="003C7AAF"/>
    <w:rsid w:val="003D0243"/>
    <w:rsid w:val="003D40C0"/>
    <w:rsid w:val="003D45E0"/>
    <w:rsid w:val="003D4FCD"/>
    <w:rsid w:val="003D7620"/>
    <w:rsid w:val="003D7692"/>
    <w:rsid w:val="003E6FBF"/>
    <w:rsid w:val="003F10CD"/>
    <w:rsid w:val="003F16F3"/>
    <w:rsid w:val="003F21ED"/>
    <w:rsid w:val="003F544A"/>
    <w:rsid w:val="003F6557"/>
    <w:rsid w:val="003F6A0F"/>
    <w:rsid w:val="003F6F8B"/>
    <w:rsid w:val="00402F0A"/>
    <w:rsid w:val="0040357C"/>
    <w:rsid w:val="004075B6"/>
    <w:rsid w:val="00411BE6"/>
    <w:rsid w:val="004161B7"/>
    <w:rsid w:val="00417513"/>
    <w:rsid w:val="00420952"/>
    <w:rsid w:val="00421567"/>
    <w:rsid w:val="00424DD7"/>
    <w:rsid w:val="004250D8"/>
    <w:rsid w:val="0042538C"/>
    <w:rsid w:val="00425836"/>
    <w:rsid w:val="00430170"/>
    <w:rsid w:val="004322F1"/>
    <w:rsid w:val="00432553"/>
    <w:rsid w:val="004326E6"/>
    <w:rsid w:val="00433EFF"/>
    <w:rsid w:val="004346E1"/>
    <w:rsid w:val="00437271"/>
    <w:rsid w:val="0044046C"/>
    <w:rsid w:val="004413A6"/>
    <w:rsid w:val="00443081"/>
    <w:rsid w:val="00445D9D"/>
    <w:rsid w:val="00446BEE"/>
    <w:rsid w:val="0045231C"/>
    <w:rsid w:val="00457741"/>
    <w:rsid w:val="00461FB1"/>
    <w:rsid w:val="004624F2"/>
    <w:rsid w:val="0046372E"/>
    <w:rsid w:val="00463952"/>
    <w:rsid w:val="00464759"/>
    <w:rsid w:val="00465670"/>
    <w:rsid w:val="00466440"/>
    <w:rsid w:val="0047161C"/>
    <w:rsid w:val="00472323"/>
    <w:rsid w:val="004723FD"/>
    <w:rsid w:val="00472BC5"/>
    <w:rsid w:val="00473C9A"/>
    <w:rsid w:val="00477D82"/>
    <w:rsid w:val="00481397"/>
    <w:rsid w:val="004843D2"/>
    <w:rsid w:val="00484ABE"/>
    <w:rsid w:val="004859E9"/>
    <w:rsid w:val="00490755"/>
    <w:rsid w:val="004911D1"/>
    <w:rsid w:val="00495A6F"/>
    <w:rsid w:val="00497BF0"/>
    <w:rsid w:val="004A1902"/>
    <w:rsid w:val="004A1FA3"/>
    <w:rsid w:val="004A3708"/>
    <w:rsid w:val="004A42B6"/>
    <w:rsid w:val="004A6659"/>
    <w:rsid w:val="004A7B8F"/>
    <w:rsid w:val="004B000E"/>
    <w:rsid w:val="004B18A0"/>
    <w:rsid w:val="004B4236"/>
    <w:rsid w:val="004B4A16"/>
    <w:rsid w:val="004B5169"/>
    <w:rsid w:val="004B7984"/>
    <w:rsid w:val="004C5B36"/>
    <w:rsid w:val="004D1978"/>
    <w:rsid w:val="004D1FA8"/>
    <w:rsid w:val="004D4DDC"/>
    <w:rsid w:val="004D762B"/>
    <w:rsid w:val="004E560B"/>
    <w:rsid w:val="004F253C"/>
    <w:rsid w:val="004F4F50"/>
    <w:rsid w:val="00500455"/>
    <w:rsid w:val="005025A1"/>
    <w:rsid w:val="00503E1F"/>
    <w:rsid w:val="005042FE"/>
    <w:rsid w:val="00506E11"/>
    <w:rsid w:val="00510D1E"/>
    <w:rsid w:val="00510DC2"/>
    <w:rsid w:val="00511C13"/>
    <w:rsid w:val="00515259"/>
    <w:rsid w:val="00516E51"/>
    <w:rsid w:val="00522C8D"/>
    <w:rsid w:val="005247C8"/>
    <w:rsid w:val="00525D5C"/>
    <w:rsid w:val="00530946"/>
    <w:rsid w:val="00541AC4"/>
    <w:rsid w:val="005429AA"/>
    <w:rsid w:val="00551459"/>
    <w:rsid w:val="00551993"/>
    <w:rsid w:val="00554A6D"/>
    <w:rsid w:val="005550D6"/>
    <w:rsid w:val="00556D38"/>
    <w:rsid w:val="00556DDA"/>
    <w:rsid w:val="00557C0C"/>
    <w:rsid w:val="00562A19"/>
    <w:rsid w:val="00566178"/>
    <w:rsid w:val="00566D3F"/>
    <w:rsid w:val="00566E1F"/>
    <w:rsid w:val="00566E28"/>
    <w:rsid w:val="005676CE"/>
    <w:rsid w:val="00567A3E"/>
    <w:rsid w:val="0057176D"/>
    <w:rsid w:val="005727A1"/>
    <w:rsid w:val="00576F27"/>
    <w:rsid w:val="00580DC0"/>
    <w:rsid w:val="005819EA"/>
    <w:rsid w:val="00584C9E"/>
    <w:rsid w:val="0058585D"/>
    <w:rsid w:val="005860E0"/>
    <w:rsid w:val="005975A6"/>
    <w:rsid w:val="005A440D"/>
    <w:rsid w:val="005B298D"/>
    <w:rsid w:val="005B559B"/>
    <w:rsid w:val="005C2F8C"/>
    <w:rsid w:val="005C4840"/>
    <w:rsid w:val="005C57C1"/>
    <w:rsid w:val="005C6504"/>
    <w:rsid w:val="005C78A7"/>
    <w:rsid w:val="005D1A2E"/>
    <w:rsid w:val="005D5AAE"/>
    <w:rsid w:val="005D6139"/>
    <w:rsid w:val="005E1008"/>
    <w:rsid w:val="005E4DF0"/>
    <w:rsid w:val="005E5CC9"/>
    <w:rsid w:val="005F2DA9"/>
    <w:rsid w:val="005F5F5C"/>
    <w:rsid w:val="005F613C"/>
    <w:rsid w:val="0060207F"/>
    <w:rsid w:val="00605D2D"/>
    <w:rsid w:val="00613B69"/>
    <w:rsid w:val="00614C4B"/>
    <w:rsid w:val="00615977"/>
    <w:rsid w:val="00617B00"/>
    <w:rsid w:val="006202B1"/>
    <w:rsid w:val="00622E79"/>
    <w:rsid w:val="00623709"/>
    <w:rsid w:val="00632469"/>
    <w:rsid w:val="006350D2"/>
    <w:rsid w:val="006364F7"/>
    <w:rsid w:val="0063795A"/>
    <w:rsid w:val="00643022"/>
    <w:rsid w:val="006504AB"/>
    <w:rsid w:val="00650753"/>
    <w:rsid w:val="00652C1D"/>
    <w:rsid w:val="006611FA"/>
    <w:rsid w:val="006623E1"/>
    <w:rsid w:val="00664B8A"/>
    <w:rsid w:val="00684C64"/>
    <w:rsid w:val="006859A2"/>
    <w:rsid w:val="00691414"/>
    <w:rsid w:val="00691743"/>
    <w:rsid w:val="006921E1"/>
    <w:rsid w:val="00696E90"/>
    <w:rsid w:val="006A0B18"/>
    <w:rsid w:val="006A3CE6"/>
    <w:rsid w:val="006A7EDE"/>
    <w:rsid w:val="006B0524"/>
    <w:rsid w:val="006B1122"/>
    <w:rsid w:val="006B3059"/>
    <w:rsid w:val="006B5B12"/>
    <w:rsid w:val="006B6BF8"/>
    <w:rsid w:val="006C1E88"/>
    <w:rsid w:val="006C2373"/>
    <w:rsid w:val="006C44D1"/>
    <w:rsid w:val="006C616F"/>
    <w:rsid w:val="006D1F1C"/>
    <w:rsid w:val="006D380F"/>
    <w:rsid w:val="006D4D12"/>
    <w:rsid w:val="006D4ECF"/>
    <w:rsid w:val="006E05F5"/>
    <w:rsid w:val="006E2206"/>
    <w:rsid w:val="006E511E"/>
    <w:rsid w:val="006E60A8"/>
    <w:rsid w:val="006F15D0"/>
    <w:rsid w:val="006F24CD"/>
    <w:rsid w:val="006F4B25"/>
    <w:rsid w:val="006F6496"/>
    <w:rsid w:val="00702E57"/>
    <w:rsid w:val="0070384F"/>
    <w:rsid w:val="007053CB"/>
    <w:rsid w:val="00707820"/>
    <w:rsid w:val="00707DFA"/>
    <w:rsid w:val="00712D98"/>
    <w:rsid w:val="00717536"/>
    <w:rsid w:val="00720576"/>
    <w:rsid w:val="00720D90"/>
    <w:rsid w:val="00721592"/>
    <w:rsid w:val="00723033"/>
    <w:rsid w:val="00726C47"/>
    <w:rsid w:val="00733891"/>
    <w:rsid w:val="00735647"/>
    <w:rsid w:val="00736348"/>
    <w:rsid w:val="00736536"/>
    <w:rsid w:val="00736821"/>
    <w:rsid w:val="00736BF6"/>
    <w:rsid w:val="00736C5A"/>
    <w:rsid w:val="0074300C"/>
    <w:rsid w:val="00744621"/>
    <w:rsid w:val="007507DB"/>
    <w:rsid w:val="00753F00"/>
    <w:rsid w:val="00754187"/>
    <w:rsid w:val="00760908"/>
    <w:rsid w:val="00763477"/>
    <w:rsid w:val="00767C53"/>
    <w:rsid w:val="007736C8"/>
    <w:rsid w:val="00774F4B"/>
    <w:rsid w:val="00776F37"/>
    <w:rsid w:val="0077722B"/>
    <w:rsid w:val="00777255"/>
    <w:rsid w:val="00783255"/>
    <w:rsid w:val="00784470"/>
    <w:rsid w:val="0078658E"/>
    <w:rsid w:val="00787A07"/>
    <w:rsid w:val="007909E9"/>
    <w:rsid w:val="00794324"/>
    <w:rsid w:val="00794B94"/>
    <w:rsid w:val="0079588E"/>
    <w:rsid w:val="007A3620"/>
    <w:rsid w:val="007A4C43"/>
    <w:rsid w:val="007A5D69"/>
    <w:rsid w:val="007B36BA"/>
    <w:rsid w:val="007B4B4F"/>
    <w:rsid w:val="007B7764"/>
    <w:rsid w:val="007C232E"/>
    <w:rsid w:val="007C3F2A"/>
    <w:rsid w:val="007C4FC7"/>
    <w:rsid w:val="007C72C7"/>
    <w:rsid w:val="007D30F2"/>
    <w:rsid w:val="007D3787"/>
    <w:rsid w:val="007D52CC"/>
    <w:rsid w:val="007D6840"/>
    <w:rsid w:val="007D6DE6"/>
    <w:rsid w:val="007E0DC8"/>
    <w:rsid w:val="007E661C"/>
    <w:rsid w:val="007E7F42"/>
    <w:rsid w:val="007F238D"/>
    <w:rsid w:val="007F2E93"/>
    <w:rsid w:val="007F320D"/>
    <w:rsid w:val="007F57A8"/>
    <w:rsid w:val="008036DF"/>
    <w:rsid w:val="00804D9B"/>
    <w:rsid w:val="00810393"/>
    <w:rsid w:val="00811CEA"/>
    <w:rsid w:val="00812C01"/>
    <w:rsid w:val="00815D49"/>
    <w:rsid w:val="008173DE"/>
    <w:rsid w:val="0082277A"/>
    <w:rsid w:val="00825353"/>
    <w:rsid w:val="00826939"/>
    <w:rsid w:val="00827A30"/>
    <w:rsid w:val="0083274C"/>
    <w:rsid w:val="00840841"/>
    <w:rsid w:val="00840BB3"/>
    <w:rsid w:val="008432C9"/>
    <w:rsid w:val="0084453E"/>
    <w:rsid w:val="0084781E"/>
    <w:rsid w:val="00854105"/>
    <w:rsid w:val="00861B92"/>
    <w:rsid w:val="00861CD2"/>
    <w:rsid w:val="008630C0"/>
    <w:rsid w:val="0086413B"/>
    <w:rsid w:val="0086538A"/>
    <w:rsid w:val="00865468"/>
    <w:rsid w:val="00866580"/>
    <w:rsid w:val="008665A6"/>
    <w:rsid w:val="00867E60"/>
    <w:rsid w:val="0087205C"/>
    <w:rsid w:val="00872793"/>
    <w:rsid w:val="008814FB"/>
    <w:rsid w:val="008931D8"/>
    <w:rsid w:val="00894707"/>
    <w:rsid w:val="0089617E"/>
    <w:rsid w:val="008A3AB3"/>
    <w:rsid w:val="008B5499"/>
    <w:rsid w:val="008C4C4C"/>
    <w:rsid w:val="008C4C99"/>
    <w:rsid w:val="008D0DD2"/>
    <w:rsid w:val="008D3291"/>
    <w:rsid w:val="008D4AEF"/>
    <w:rsid w:val="008E08F7"/>
    <w:rsid w:val="008E42C5"/>
    <w:rsid w:val="008E4396"/>
    <w:rsid w:val="008E5AA5"/>
    <w:rsid w:val="008F39D6"/>
    <w:rsid w:val="008F49C9"/>
    <w:rsid w:val="008F5E30"/>
    <w:rsid w:val="00901A3D"/>
    <w:rsid w:val="00903758"/>
    <w:rsid w:val="00903E55"/>
    <w:rsid w:val="00911E43"/>
    <w:rsid w:val="00912520"/>
    <w:rsid w:val="00912894"/>
    <w:rsid w:val="00914D7F"/>
    <w:rsid w:val="00915757"/>
    <w:rsid w:val="00915C42"/>
    <w:rsid w:val="00915DB1"/>
    <w:rsid w:val="009178A0"/>
    <w:rsid w:val="00923631"/>
    <w:rsid w:val="00926D47"/>
    <w:rsid w:val="00934096"/>
    <w:rsid w:val="0094017B"/>
    <w:rsid w:val="00940B93"/>
    <w:rsid w:val="00941DC7"/>
    <w:rsid w:val="00951082"/>
    <w:rsid w:val="00952D61"/>
    <w:rsid w:val="00965796"/>
    <w:rsid w:val="009808DD"/>
    <w:rsid w:val="00984FED"/>
    <w:rsid w:val="00985F80"/>
    <w:rsid w:val="0099048E"/>
    <w:rsid w:val="009934BF"/>
    <w:rsid w:val="0099373F"/>
    <w:rsid w:val="009947F8"/>
    <w:rsid w:val="00994A68"/>
    <w:rsid w:val="009A25C6"/>
    <w:rsid w:val="009A275A"/>
    <w:rsid w:val="009A2A7D"/>
    <w:rsid w:val="009A2EE5"/>
    <w:rsid w:val="009A65D4"/>
    <w:rsid w:val="009A67D7"/>
    <w:rsid w:val="009A6C1A"/>
    <w:rsid w:val="009B40C5"/>
    <w:rsid w:val="009C04BE"/>
    <w:rsid w:val="009C0673"/>
    <w:rsid w:val="009C6DAE"/>
    <w:rsid w:val="009C7080"/>
    <w:rsid w:val="009E0F57"/>
    <w:rsid w:val="009E680B"/>
    <w:rsid w:val="009F195B"/>
    <w:rsid w:val="009F1BBC"/>
    <w:rsid w:val="009F3E44"/>
    <w:rsid w:val="009F42CD"/>
    <w:rsid w:val="009F593D"/>
    <w:rsid w:val="009F68CA"/>
    <w:rsid w:val="009F74A5"/>
    <w:rsid w:val="00A0023C"/>
    <w:rsid w:val="00A02204"/>
    <w:rsid w:val="00A05653"/>
    <w:rsid w:val="00A06F01"/>
    <w:rsid w:val="00A10245"/>
    <w:rsid w:val="00A14676"/>
    <w:rsid w:val="00A15A1F"/>
    <w:rsid w:val="00A1726E"/>
    <w:rsid w:val="00A21E0E"/>
    <w:rsid w:val="00A25322"/>
    <w:rsid w:val="00A271A1"/>
    <w:rsid w:val="00A308C0"/>
    <w:rsid w:val="00A32B4A"/>
    <w:rsid w:val="00A3325A"/>
    <w:rsid w:val="00A3493C"/>
    <w:rsid w:val="00A37BFC"/>
    <w:rsid w:val="00A41536"/>
    <w:rsid w:val="00A42FAD"/>
    <w:rsid w:val="00A43013"/>
    <w:rsid w:val="00A45712"/>
    <w:rsid w:val="00A45A6E"/>
    <w:rsid w:val="00A55901"/>
    <w:rsid w:val="00A559AC"/>
    <w:rsid w:val="00A6699A"/>
    <w:rsid w:val="00A66DBD"/>
    <w:rsid w:val="00A704EF"/>
    <w:rsid w:val="00A76B95"/>
    <w:rsid w:val="00A80F48"/>
    <w:rsid w:val="00A813FF"/>
    <w:rsid w:val="00A87BBD"/>
    <w:rsid w:val="00A906F6"/>
    <w:rsid w:val="00A90C69"/>
    <w:rsid w:val="00A91C9A"/>
    <w:rsid w:val="00AA288B"/>
    <w:rsid w:val="00AA3A45"/>
    <w:rsid w:val="00AA430E"/>
    <w:rsid w:val="00AA46F4"/>
    <w:rsid w:val="00AA489E"/>
    <w:rsid w:val="00AA7567"/>
    <w:rsid w:val="00AA7954"/>
    <w:rsid w:val="00AB00C4"/>
    <w:rsid w:val="00AB05C1"/>
    <w:rsid w:val="00AB2535"/>
    <w:rsid w:val="00AB4F79"/>
    <w:rsid w:val="00AC30F0"/>
    <w:rsid w:val="00AC4B02"/>
    <w:rsid w:val="00AD04BE"/>
    <w:rsid w:val="00AD0C7B"/>
    <w:rsid w:val="00AD40D8"/>
    <w:rsid w:val="00AD6DE1"/>
    <w:rsid w:val="00AE293B"/>
    <w:rsid w:val="00AE2DAF"/>
    <w:rsid w:val="00AE62E3"/>
    <w:rsid w:val="00AF108A"/>
    <w:rsid w:val="00AF129E"/>
    <w:rsid w:val="00AF5999"/>
    <w:rsid w:val="00AF5FE1"/>
    <w:rsid w:val="00B02E55"/>
    <w:rsid w:val="00B036C1"/>
    <w:rsid w:val="00B05475"/>
    <w:rsid w:val="00B06039"/>
    <w:rsid w:val="00B1034D"/>
    <w:rsid w:val="00B12078"/>
    <w:rsid w:val="00B124B7"/>
    <w:rsid w:val="00B13FAA"/>
    <w:rsid w:val="00B163A7"/>
    <w:rsid w:val="00B239B5"/>
    <w:rsid w:val="00B23FB0"/>
    <w:rsid w:val="00B3124C"/>
    <w:rsid w:val="00B31FB9"/>
    <w:rsid w:val="00B41B5D"/>
    <w:rsid w:val="00B43DED"/>
    <w:rsid w:val="00B43E83"/>
    <w:rsid w:val="00B44DCE"/>
    <w:rsid w:val="00B453C8"/>
    <w:rsid w:val="00B45A7D"/>
    <w:rsid w:val="00B53DF3"/>
    <w:rsid w:val="00B5431F"/>
    <w:rsid w:val="00B57343"/>
    <w:rsid w:val="00B5736F"/>
    <w:rsid w:val="00B617D9"/>
    <w:rsid w:val="00B65906"/>
    <w:rsid w:val="00B663EC"/>
    <w:rsid w:val="00B708F6"/>
    <w:rsid w:val="00B715D1"/>
    <w:rsid w:val="00B71C81"/>
    <w:rsid w:val="00B760AA"/>
    <w:rsid w:val="00B760D2"/>
    <w:rsid w:val="00B7647F"/>
    <w:rsid w:val="00B76950"/>
    <w:rsid w:val="00B76CD5"/>
    <w:rsid w:val="00B80264"/>
    <w:rsid w:val="00B82C79"/>
    <w:rsid w:val="00B8665B"/>
    <w:rsid w:val="00B87424"/>
    <w:rsid w:val="00B875A0"/>
    <w:rsid w:val="00B90508"/>
    <w:rsid w:val="00B91B1E"/>
    <w:rsid w:val="00B94B46"/>
    <w:rsid w:val="00B97AD4"/>
    <w:rsid w:val="00BA23AC"/>
    <w:rsid w:val="00BA45DC"/>
    <w:rsid w:val="00BA64B8"/>
    <w:rsid w:val="00BA7DBE"/>
    <w:rsid w:val="00BB0DE2"/>
    <w:rsid w:val="00BB2C2F"/>
    <w:rsid w:val="00BB4781"/>
    <w:rsid w:val="00BB68A6"/>
    <w:rsid w:val="00BC0F5C"/>
    <w:rsid w:val="00BC0FAC"/>
    <w:rsid w:val="00BC2095"/>
    <w:rsid w:val="00BC266E"/>
    <w:rsid w:val="00BC2DD1"/>
    <w:rsid w:val="00BD2E59"/>
    <w:rsid w:val="00BD3A74"/>
    <w:rsid w:val="00BD58D2"/>
    <w:rsid w:val="00BD6A8C"/>
    <w:rsid w:val="00BE274B"/>
    <w:rsid w:val="00BE3032"/>
    <w:rsid w:val="00BE3B37"/>
    <w:rsid w:val="00BE3C3F"/>
    <w:rsid w:val="00BE42CD"/>
    <w:rsid w:val="00BE4E34"/>
    <w:rsid w:val="00BE53DC"/>
    <w:rsid w:val="00BE55BB"/>
    <w:rsid w:val="00BE6987"/>
    <w:rsid w:val="00BE7508"/>
    <w:rsid w:val="00BF1096"/>
    <w:rsid w:val="00BF3BA5"/>
    <w:rsid w:val="00BF42F9"/>
    <w:rsid w:val="00BF7215"/>
    <w:rsid w:val="00BF7FE0"/>
    <w:rsid w:val="00C026B2"/>
    <w:rsid w:val="00C159B8"/>
    <w:rsid w:val="00C160A0"/>
    <w:rsid w:val="00C16E8A"/>
    <w:rsid w:val="00C16F0C"/>
    <w:rsid w:val="00C2071D"/>
    <w:rsid w:val="00C20AC4"/>
    <w:rsid w:val="00C22051"/>
    <w:rsid w:val="00C2677B"/>
    <w:rsid w:val="00C30FD9"/>
    <w:rsid w:val="00C35BE7"/>
    <w:rsid w:val="00C36DA8"/>
    <w:rsid w:val="00C44271"/>
    <w:rsid w:val="00C467C5"/>
    <w:rsid w:val="00C57B32"/>
    <w:rsid w:val="00C639CF"/>
    <w:rsid w:val="00C66119"/>
    <w:rsid w:val="00C66515"/>
    <w:rsid w:val="00C67EC2"/>
    <w:rsid w:val="00C715F7"/>
    <w:rsid w:val="00C72DEB"/>
    <w:rsid w:val="00C759A5"/>
    <w:rsid w:val="00C80114"/>
    <w:rsid w:val="00C81104"/>
    <w:rsid w:val="00C870FD"/>
    <w:rsid w:val="00C9060D"/>
    <w:rsid w:val="00C94651"/>
    <w:rsid w:val="00C95EDF"/>
    <w:rsid w:val="00C96411"/>
    <w:rsid w:val="00C978E8"/>
    <w:rsid w:val="00C97C7C"/>
    <w:rsid w:val="00CA018F"/>
    <w:rsid w:val="00CA5303"/>
    <w:rsid w:val="00CB5671"/>
    <w:rsid w:val="00CB62B4"/>
    <w:rsid w:val="00CB669A"/>
    <w:rsid w:val="00CC03B2"/>
    <w:rsid w:val="00CC0991"/>
    <w:rsid w:val="00CC42AA"/>
    <w:rsid w:val="00CC59CD"/>
    <w:rsid w:val="00CC5F48"/>
    <w:rsid w:val="00CD1673"/>
    <w:rsid w:val="00CD4C15"/>
    <w:rsid w:val="00CD7F4B"/>
    <w:rsid w:val="00CE3D6C"/>
    <w:rsid w:val="00CF0DB0"/>
    <w:rsid w:val="00CF114B"/>
    <w:rsid w:val="00CF1924"/>
    <w:rsid w:val="00CF58B7"/>
    <w:rsid w:val="00CF779F"/>
    <w:rsid w:val="00CF7AE3"/>
    <w:rsid w:val="00CF7DAF"/>
    <w:rsid w:val="00D04F81"/>
    <w:rsid w:val="00D074EA"/>
    <w:rsid w:val="00D10539"/>
    <w:rsid w:val="00D14A22"/>
    <w:rsid w:val="00D16D97"/>
    <w:rsid w:val="00D21690"/>
    <w:rsid w:val="00D23263"/>
    <w:rsid w:val="00D25092"/>
    <w:rsid w:val="00D26493"/>
    <w:rsid w:val="00D27A23"/>
    <w:rsid w:val="00D30720"/>
    <w:rsid w:val="00D3106A"/>
    <w:rsid w:val="00D32604"/>
    <w:rsid w:val="00D351C1"/>
    <w:rsid w:val="00D357CE"/>
    <w:rsid w:val="00D35EFB"/>
    <w:rsid w:val="00D37BC1"/>
    <w:rsid w:val="00D452DB"/>
    <w:rsid w:val="00D45792"/>
    <w:rsid w:val="00D504B3"/>
    <w:rsid w:val="00D51804"/>
    <w:rsid w:val="00D64026"/>
    <w:rsid w:val="00D64456"/>
    <w:rsid w:val="00D764D1"/>
    <w:rsid w:val="00D80515"/>
    <w:rsid w:val="00D85066"/>
    <w:rsid w:val="00D85B6B"/>
    <w:rsid w:val="00D86490"/>
    <w:rsid w:val="00D86BF0"/>
    <w:rsid w:val="00D86D5F"/>
    <w:rsid w:val="00D873CB"/>
    <w:rsid w:val="00D90482"/>
    <w:rsid w:val="00D95420"/>
    <w:rsid w:val="00D959FE"/>
    <w:rsid w:val="00D97DA6"/>
    <w:rsid w:val="00DA17CE"/>
    <w:rsid w:val="00DA19C4"/>
    <w:rsid w:val="00DA4BAA"/>
    <w:rsid w:val="00DA5856"/>
    <w:rsid w:val="00DA627D"/>
    <w:rsid w:val="00DB16D0"/>
    <w:rsid w:val="00DB1D3A"/>
    <w:rsid w:val="00DB2723"/>
    <w:rsid w:val="00DB4FE1"/>
    <w:rsid w:val="00DB7CA9"/>
    <w:rsid w:val="00DC165C"/>
    <w:rsid w:val="00DC246F"/>
    <w:rsid w:val="00DC29D4"/>
    <w:rsid w:val="00DC3428"/>
    <w:rsid w:val="00DC7BBD"/>
    <w:rsid w:val="00DD2522"/>
    <w:rsid w:val="00DE4525"/>
    <w:rsid w:val="00DE4A83"/>
    <w:rsid w:val="00DE622A"/>
    <w:rsid w:val="00DF3894"/>
    <w:rsid w:val="00DF44B6"/>
    <w:rsid w:val="00DF4B7B"/>
    <w:rsid w:val="00DF68E1"/>
    <w:rsid w:val="00DF6A37"/>
    <w:rsid w:val="00DF6A49"/>
    <w:rsid w:val="00DF78D9"/>
    <w:rsid w:val="00E0470E"/>
    <w:rsid w:val="00E065A4"/>
    <w:rsid w:val="00E07F4F"/>
    <w:rsid w:val="00E11D17"/>
    <w:rsid w:val="00E14C6B"/>
    <w:rsid w:val="00E16906"/>
    <w:rsid w:val="00E277B3"/>
    <w:rsid w:val="00E33D52"/>
    <w:rsid w:val="00E33E51"/>
    <w:rsid w:val="00E3725D"/>
    <w:rsid w:val="00E378C0"/>
    <w:rsid w:val="00E407A1"/>
    <w:rsid w:val="00E438E1"/>
    <w:rsid w:val="00E452C1"/>
    <w:rsid w:val="00E477E3"/>
    <w:rsid w:val="00E51920"/>
    <w:rsid w:val="00E53776"/>
    <w:rsid w:val="00E64120"/>
    <w:rsid w:val="00E660A1"/>
    <w:rsid w:val="00E66DE1"/>
    <w:rsid w:val="00E74ADD"/>
    <w:rsid w:val="00E7675D"/>
    <w:rsid w:val="00E821ED"/>
    <w:rsid w:val="00E87460"/>
    <w:rsid w:val="00E91289"/>
    <w:rsid w:val="00E94D94"/>
    <w:rsid w:val="00E95A27"/>
    <w:rsid w:val="00E969DC"/>
    <w:rsid w:val="00E97343"/>
    <w:rsid w:val="00EA0C49"/>
    <w:rsid w:val="00EA3CCF"/>
    <w:rsid w:val="00EA3CF7"/>
    <w:rsid w:val="00EA4245"/>
    <w:rsid w:val="00EA7B19"/>
    <w:rsid w:val="00EB5121"/>
    <w:rsid w:val="00EC008D"/>
    <w:rsid w:val="00ED131E"/>
    <w:rsid w:val="00ED1912"/>
    <w:rsid w:val="00ED2E9E"/>
    <w:rsid w:val="00ED374C"/>
    <w:rsid w:val="00ED478B"/>
    <w:rsid w:val="00ED6088"/>
    <w:rsid w:val="00EE49F8"/>
    <w:rsid w:val="00EE570E"/>
    <w:rsid w:val="00EE5C45"/>
    <w:rsid w:val="00EE7023"/>
    <w:rsid w:val="00EF1A4D"/>
    <w:rsid w:val="00EF306E"/>
    <w:rsid w:val="00F00366"/>
    <w:rsid w:val="00F030E5"/>
    <w:rsid w:val="00F03944"/>
    <w:rsid w:val="00F055F1"/>
    <w:rsid w:val="00F115C9"/>
    <w:rsid w:val="00F11F33"/>
    <w:rsid w:val="00F124B7"/>
    <w:rsid w:val="00F159E5"/>
    <w:rsid w:val="00F15CD6"/>
    <w:rsid w:val="00F20F06"/>
    <w:rsid w:val="00F2209B"/>
    <w:rsid w:val="00F224FA"/>
    <w:rsid w:val="00F23C4C"/>
    <w:rsid w:val="00F24741"/>
    <w:rsid w:val="00F272CD"/>
    <w:rsid w:val="00F27DF1"/>
    <w:rsid w:val="00F320F9"/>
    <w:rsid w:val="00F357B9"/>
    <w:rsid w:val="00F36D41"/>
    <w:rsid w:val="00F37EDB"/>
    <w:rsid w:val="00F45B79"/>
    <w:rsid w:val="00F46F21"/>
    <w:rsid w:val="00F479D9"/>
    <w:rsid w:val="00F5168A"/>
    <w:rsid w:val="00F51AAF"/>
    <w:rsid w:val="00F521A4"/>
    <w:rsid w:val="00F52A05"/>
    <w:rsid w:val="00F56EA2"/>
    <w:rsid w:val="00F610AF"/>
    <w:rsid w:val="00F613DD"/>
    <w:rsid w:val="00F6328A"/>
    <w:rsid w:val="00F6553F"/>
    <w:rsid w:val="00F702B3"/>
    <w:rsid w:val="00F71147"/>
    <w:rsid w:val="00F72243"/>
    <w:rsid w:val="00F73D15"/>
    <w:rsid w:val="00F744F8"/>
    <w:rsid w:val="00F85CB9"/>
    <w:rsid w:val="00F87831"/>
    <w:rsid w:val="00F905AE"/>
    <w:rsid w:val="00F90BD1"/>
    <w:rsid w:val="00F91BCF"/>
    <w:rsid w:val="00F9493B"/>
    <w:rsid w:val="00F96B1C"/>
    <w:rsid w:val="00F96C35"/>
    <w:rsid w:val="00F9802B"/>
    <w:rsid w:val="00FA059F"/>
    <w:rsid w:val="00FA196A"/>
    <w:rsid w:val="00FA2AED"/>
    <w:rsid w:val="00FA2C5A"/>
    <w:rsid w:val="00FA58B7"/>
    <w:rsid w:val="00FA7EC4"/>
    <w:rsid w:val="00FB01FA"/>
    <w:rsid w:val="00FB1A35"/>
    <w:rsid w:val="00FB2F51"/>
    <w:rsid w:val="00FB427A"/>
    <w:rsid w:val="00FB471D"/>
    <w:rsid w:val="00FB64D1"/>
    <w:rsid w:val="00FC2D11"/>
    <w:rsid w:val="00FC5790"/>
    <w:rsid w:val="00FC6230"/>
    <w:rsid w:val="00FD0FD9"/>
    <w:rsid w:val="00FD15F5"/>
    <w:rsid w:val="00FD5BD6"/>
    <w:rsid w:val="00FE16AB"/>
    <w:rsid w:val="00FE26AC"/>
    <w:rsid w:val="00FE3595"/>
    <w:rsid w:val="00FE779B"/>
    <w:rsid w:val="00FF0198"/>
    <w:rsid w:val="00FF093C"/>
    <w:rsid w:val="00FF537E"/>
    <w:rsid w:val="00FF6161"/>
    <w:rsid w:val="00FF61E7"/>
    <w:rsid w:val="01586C22"/>
    <w:rsid w:val="017926FB"/>
    <w:rsid w:val="019726C3"/>
    <w:rsid w:val="03379DE6"/>
    <w:rsid w:val="034F5052"/>
    <w:rsid w:val="04B70B81"/>
    <w:rsid w:val="06252A42"/>
    <w:rsid w:val="0665EB65"/>
    <w:rsid w:val="06DBE46D"/>
    <w:rsid w:val="08C3A206"/>
    <w:rsid w:val="09207239"/>
    <w:rsid w:val="096BF772"/>
    <w:rsid w:val="09921A0A"/>
    <w:rsid w:val="0AC70A5C"/>
    <w:rsid w:val="0D0A3624"/>
    <w:rsid w:val="0DFEAB1E"/>
    <w:rsid w:val="0EAB0E95"/>
    <w:rsid w:val="0F55D434"/>
    <w:rsid w:val="1205D517"/>
    <w:rsid w:val="1223AB2D"/>
    <w:rsid w:val="123F45B9"/>
    <w:rsid w:val="1292FED6"/>
    <w:rsid w:val="14DDC597"/>
    <w:rsid w:val="14DFABA4"/>
    <w:rsid w:val="15186288"/>
    <w:rsid w:val="17CC9699"/>
    <w:rsid w:val="180679CF"/>
    <w:rsid w:val="1850034A"/>
    <w:rsid w:val="1ADA0F1E"/>
    <w:rsid w:val="1ADF969E"/>
    <w:rsid w:val="1B1D5FB8"/>
    <w:rsid w:val="1B40772E"/>
    <w:rsid w:val="1B87A40C"/>
    <w:rsid w:val="1BAB36EE"/>
    <w:rsid w:val="1C093525"/>
    <w:rsid w:val="1C7DA5DA"/>
    <w:rsid w:val="1CB93019"/>
    <w:rsid w:val="1E2BFC8B"/>
    <w:rsid w:val="1E8DB0D3"/>
    <w:rsid w:val="1ED76593"/>
    <w:rsid w:val="214E53BB"/>
    <w:rsid w:val="239AA377"/>
    <w:rsid w:val="23D9110D"/>
    <w:rsid w:val="255EAB02"/>
    <w:rsid w:val="2730B7FD"/>
    <w:rsid w:val="275C0324"/>
    <w:rsid w:val="2771453D"/>
    <w:rsid w:val="27F07C50"/>
    <w:rsid w:val="286E149A"/>
    <w:rsid w:val="28DBDA2B"/>
    <w:rsid w:val="29443E65"/>
    <w:rsid w:val="2A8FF275"/>
    <w:rsid w:val="2BA5B55C"/>
    <w:rsid w:val="2CCF53E3"/>
    <w:rsid w:val="2DF88719"/>
    <w:rsid w:val="2E85188D"/>
    <w:rsid w:val="30B38269"/>
    <w:rsid w:val="30C37D06"/>
    <w:rsid w:val="30E6EC10"/>
    <w:rsid w:val="31EDA71E"/>
    <w:rsid w:val="329E2EE9"/>
    <w:rsid w:val="32E7D248"/>
    <w:rsid w:val="333BF854"/>
    <w:rsid w:val="337714F0"/>
    <w:rsid w:val="33B0C741"/>
    <w:rsid w:val="34D8B9B4"/>
    <w:rsid w:val="35080C25"/>
    <w:rsid w:val="359BD801"/>
    <w:rsid w:val="36111BD9"/>
    <w:rsid w:val="372BB530"/>
    <w:rsid w:val="37D73BBE"/>
    <w:rsid w:val="384D34C6"/>
    <w:rsid w:val="38D166E8"/>
    <w:rsid w:val="3948BC9B"/>
    <w:rsid w:val="3978DBEB"/>
    <w:rsid w:val="3B7C3474"/>
    <w:rsid w:val="3B879C85"/>
    <w:rsid w:val="3DB5114B"/>
    <w:rsid w:val="3E148A72"/>
    <w:rsid w:val="3E3DD222"/>
    <w:rsid w:val="3E7E9DDA"/>
    <w:rsid w:val="3EAEBB73"/>
    <w:rsid w:val="3EB3CB2A"/>
    <w:rsid w:val="3EB41369"/>
    <w:rsid w:val="3EE535F1"/>
    <w:rsid w:val="3F9ED5C2"/>
    <w:rsid w:val="3FCE147E"/>
    <w:rsid w:val="407E0EB7"/>
    <w:rsid w:val="40AFFF57"/>
    <w:rsid w:val="40F407BF"/>
    <w:rsid w:val="419B6B8E"/>
    <w:rsid w:val="41F9F18E"/>
    <w:rsid w:val="42938366"/>
    <w:rsid w:val="44162B6A"/>
    <w:rsid w:val="443F2C89"/>
    <w:rsid w:val="448C694E"/>
    <w:rsid w:val="44A46886"/>
    <w:rsid w:val="460E1746"/>
    <w:rsid w:val="4755B9B2"/>
    <w:rsid w:val="4836FF3B"/>
    <w:rsid w:val="495BCE67"/>
    <w:rsid w:val="49F1CBCC"/>
    <w:rsid w:val="4A472E27"/>
    <w:rsid w:val="4AEB8593"/>
    <w:rsid w:val="4C48108A"/>
    <w:rsid w:val="4CE3324E"/>
    <w:rsid w:val="4CF6D5A5"/>
    <w:rsid w:val="50145CF8"/>
    <w:rsid w:val="51521BF7"/>
    <w:rsid w:val="5200C8CE"/>
    <w:rsid w:val="52B92732"/>
    <w:rsid w:val="544DAB74"/>
    <w:rsid w:val="5454F793"/>
    <w:rsid w:val="54E2A178"/>
    <w:rsid w:val="5527C165"/>
    <w:rsid w:val="5545A46B"/>
    <w:rsid w:val="55F0C7F4"/>
    <w:rsid w:val="562D0320"/>
    <w:rsid w:val="563A516F"/>
    <w:rsid w:val="56971688"/>
    <w:rsid w:val="56E174CC"/>
    <w:rsid w:val="57C7F8F7"/>
    <w:rsid w:val="57DAC792"/>
    <w:rsid w:val="5884C925"/>
    <w:rsid w:val="58EB3135"/>
    <w:rsid w:val="5A00CDA5"/>
    <w:rsid w:val="5CB6A28D"/>
    <w:rsid w:val="5D386E67"/>
    <w:rsid w:val="5D9A0BE5"/>
    <w:rsid w:val="5F0E9136"/>
    <w:rsid w:val="5F9E496F"/>
    <w:rsid w:val="5FF338EC"/>
    <w:rsid w:val="60328061"/>
    <w:rsid w:val="61F87235"/>
    <w:rsid w:val="641296AB"/>
    <w:rsid w:val="6868AA58"/>
    <w:rsid w:val="68856FBC"/>
    <w:rsid w:val="68923B5C"/>
    <w:rsid w:val="69998BDF"/>
    <w:rsid w:val="69F86C3D"/>
    <w:rsid w:val="6A9F5933"/>
    <w:rsid w:val="6ABE6127"/>
    <w:rsid w:val="6B761201"/>
    <w:rsid w:val="6B77AE44"/>
    <w:rsid w:val="6DE18B80"/>
    <w:rsid w:val="6DEA8FCC"/>
    <w:rsid w:val="6EE505BD"/>
    <w:rsid w:val="6F7F6EC1"/>
    <w:rsid w:val="7067ADC1"/>
    <w:rsid w:val="7081BD75"/>
    <w:rsid w:val="7088689A"/>
    <w:rsid w:val="70A0C569"/>
    <w:rsid w:val="710FB5B5"/>
    <w:rsid w:val="7160CD89"/>
    <w:rsid w:val="71E0DD85"/>
    <w:rsid w:val="71E3EB1F"/>
    <w:rsid w:val="739F4E83"/>
    <w:rsid w:val="74986E4B"/>
    <w:rsid w:val="751E47ED"/>
    <w:rsid w:val="75626082"/>
    <w:rsid w:val="760DBB73"/>
    <w:rsid w:val="769F3026"/>
    <w:rsid w:val="76D6EF45"/>
    <w:rsid w:val="76E288FF"/>
    <w:rsid w:val="76E9AD0E"/>
    <w:rsid w:val="77327AF7"/>
    <w:rsid w:val="775F8AC3"/>
    <w:rsid w:val="77ED0F5E"/>
    <w:rsid w:val="783A7B9A"/>
    <w:rsid w:val="784773E9"/>
    <w:rsid w:val="7872BFA6"/>
    <w:rsid w:val="78BC5D84"/>
    <w:rsid w:val="79668299"/>
    <w:rsid w:val="7AE92A9D"/>
    <w:rsid w:val="7C1EC174"/>
    <w:rsid w:val="7CE2B753"/>
    <w:rsid w:val="7D34F5F2"/>
    <w:rsid w:val="7D4630C9"/>
    <w:rsid w:val="7E20CB5F"/>
    <w:rsid w:val="7F710A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7DD5D2F5"/>
  <w15:docId w15:val="{0793461C-121F-45E1-83EE-B87CD214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lsdException w:name="heading 2" w:locked="0" w:semiHidden="1" w:uiPriority="2"/>
    <w:lsdException w:name="heading 3" w:locked="0" w:semiHidden="1" w:uiPriority="3"/>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semiHidden/>
    <w:qFormat/>
    <w:rsid w:val="00A0023C"/>
    <w:rPr>
      <w:sz w:val="24"/>
      <w:szCs w:val="24"/>
    </w:rPr>
  </w:style>
  <w:style w:type="paragraph" w:styleId="Heading1">
    <w:name w:val="heading 1"/>
    <w:basedOn w:val="Normal"/>
    <w:next w:val="Paragraph"/>
    <w:link w:val="Heading1Char"/>
    <w:uiPriority w:val="1"/>
    <w:locked/>
    <w:rsid w:val="00CB5671"/>
    <w:pPr>
      <w:keepNext/>
      <w:spacing w:after="120"/>
      <w:outlineLvl w:val="0"/>
    </w:pPr>
    <w:rPr>
      <w:rFonts w:ascii="Arial" w:hAnsi="Arial"/>
      <w:b/>
      <w:bCs/>
      <w:kern w:val="32"/>
      <w:sz w:val="28"/>
      <w:szCs w:val="32"/>
    </w:rPr>
  </w:style>
  <w:style w:type="paragraph" w:styleId="Heading2">
    <w:name w:val="heading 2"/>
    <w:basedOn w:val="Heading1"/>
    <w:next w:val="Paragraph"/>
    <w:link w:val="Heading2Char"/>
    <w:uiPriority w:val="2"/>
    <w:locked/>
    <w:rsid w:val="00D959FE"/>
    <w:pPr>
      <w:spacing w:after="240"/>
      <w:outlineLvl w:val="1"/>
    </w:pPr>
    <w:rPr>
      <w:b w:val="0"/>
    </w:rPr>
  </w:style>
  <w:style w:type="paragraph" w:styleId="Heading3">
    <w:name w:val="heading 3"/>
    <w:basedOn w:val="Normal"/>
    <w:next w:val="Paragraph"/>
    <w:link w:val="Heading3Char"/>
    <w:uiPriority w:val="3"/>
    <w:locked/>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1E111D"/>
    <w:pPr>
      <w:numPr>
        <w:numId w:val="7"/>
      </w:numPr>
      <w:tabs>
        <w:tab w:val="left" w:pos="426"/>
      </w:tabs>
    </w:pPr>
  </w:style>
  <w:style w:type="paragraph" w:styleId="Title">
    <w:name w:val="Title"/>
    <w:basedOn w:val="Normal"/>
    <w:next w:val="Heading1"/>
    <w:link w:val="TitleChar"/>
    <w:qFormat/>
    <w:rsid w:val="008036DF"/>
    <w:pPr>
      <w:spacing w:before="120" w:after="240"/>
      <w:jc w:val="center"/>
      <w:outlineLvl w:val="0"/>
    </w:pPr>
    <w:rPr>
      <w:rFonts w:ascii="Arial" w:hAnsi="Arial"/>
      <w:b/>
      <w:bCs/>
      <w:kern w:val="28"/>
      <w:sz w:val="40"/>
      <w:szCs w:val="32"/>
    </w:rPr>
  </w:style>
  <w:style w:type="character" w:customStyle="1" w:styleId="TitleChar">
    <w:name w:val="Title Char"/>
    <w:link w:val="Title"/>
    <w:rsid w:val="008036DF"/>
    <w:rPr>
      <w:rFonts w:ascii="Arial" w:hAnsi="Arial"/>
      <w:b/>
      <w:bCs/>
      <w:kern w:val="28"/>
      <w:sz w:val="40"/>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5"/>
      </w:numPr>
      <w:spacing w:after="120" w:line="276" w:lineRule="auto"/>
    </w:pPr>
    <w:rPr>
      <w:rFonts w:ascii="Arial" w:hAnsi="Arial"/>
    </w:rPr>
  </w:style>
  <w:style w:type="paragraph" w:styleId="Header">
    <w:name w:val="header"/>
    <w:basedOn w:val="Normal"/>
    <w:link w:val="HeaderChar"/>
    <w:uiPriority w:val="99"/>
    <w:rsid w:val="00383093"/>
    <w:pPr>
      <w:tabs>
        <w:tab w:val="center" w:pos="4513"/>
        <w:tab w:val="right" w:pos="9026"/>
      </w:tabs>
    </w:pPr>
    <w:rPr>
      <w:rFonts w:ascii="Arial" w:hAnsi="Arial"/>
      <w:b/>
    </w:rPr>
  </w:style>
  <w:style w:type="character" w:customStyle="1" w:styleId="HeaderChar">
    <w:name w:val="Header Char"/>
    <w:link w:val="Header"/>
    <w:uiPriority w:val="99"/>
    <w:rsid w:val="00383093"/>
    <w:rPr>
      <w:rFonts w:ascii="Arial" w:hAnsi="Arial"/>
      <w:b/>
      <w:sz w:val="24"/>
      <w:szCs w:val="24"/>
    </w:rPr>
  </w:style>
  <w:style w:type="paragraph" w:styleId="Footer">
    <w:name w:val="footer"/>
    <w:basedOn w:val="Normal"/>
    <w:link w:val="FooterChar"/>
    <w:rsid w:val="00383093"/>
    <w:pPr>
      <w:tabs>
        <w:tab w:val="center" w:pos="4513"/>
        <w:tab w:val="right" w:pos="9026"/>
      </w:tabs>
    </w:pPr>
    <w:rPr>
      <w:rFonts w:ascii="Arial" w:hAnsi="Arial"/>
      <w:sz w:val="16"/>
    </w:rPr>
  </w:style>
  <w:style w:type="character" w:customStyle="1" w:styleId="FooterChar">
    <w:name w:val="Footer Char"/>
    <w:link w:val="Footer"/>
    <w:rsid w:val="00383093"/>
    <w:rPr>
      <w:rFonts w:ascii="Arial" w:hAnsi="Arial"/>
      <w:sz w:val="16"/>
      <w:szCs w:val="24"/>
    </w:rPr>
  </w:style>
  <w:style w:type="paragraph" w:styleId="BalloonText">
    <w:name w:val="Balloon Text"/>
    <w:basedOn w:val="Normal"/>
    <w:link w:val="BalloonTextChar"/>
    <w:semiHidden/>
    <w:locked/>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D959FE"/>
    <w:rPr>
      <w:rFonts w:ascii="Arial" w:hAnsi="Arial"/>
      <w:bCs/>
      <w:kern w:val="32"/>
      <w:sz w:val="28"/>
      <w:szCs w:val="32"/>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6"/>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locked/>
    <w:rsid w:val="00F610AF"/>
    <w:rPr>
      <w:rFonts w:ascii="Arial" w:hAnsi="Arial"/>
    </w:rPr>
  </w:style>
  <w:style w:type="paragraph" w:styleId="TOC2">
    <w:name w:val="toc 2"/>
    <w:basedOn w:val="Normal"/>
    <w:next w:val="Normal"/>
    <w:autoRedefine/>
    <w:semiHidden/>
    <w:locked/>
    <w:rsid w:val="00F610AF"/>
    <w:pPr>
      <w:ind w:left="240"/>
    </w:pPr>
    <w:rPr>
      <w:rFonts w:ascii="Arial" w:hAnsi="Arial"/>
    </w:rPr>
  </w:style>
  <w:style w:type="paragraph" w:styleId="TOC3">
    <w:name w:val="toc 3"/>
    <w:basedOn w:val="Normal"/>
    <w:next w:val="Normal"/>
    <w:autoRedefine/>
    <w:semiHidden/>
    <w:locked/>
    <w:rsid w:val="00F610AF"/>
    <w:pPr>
      <w:ind w:left="480"/>
    </w:pPr>
    <w:rPr>
      <w:rFonts w:ascii="Arial" w:hAnsi="Arial"/>
    </w:rPr>
  </w:style>
  <w:style w:type="paragraph" w:styleId="TOC4">
    <w:name w:val="toc 4"/>
    <w:basedOn w:val="Normal"/>
    <w:next w:val="Normal"/>
    <w:autoRedefine/>
    <w:semiHidden/>
    <w:locked/>
    <w:rsid w:val="00F610AF"/>
    <w:pPr>
      <w:ind w:left="720"/>
    </w:pPr>
    <w:rPr>
      <w:rFonts w:ascii="Arial" w:hAnsi="Arial"/>
    </w:rPr>
  </w:style>
  <w:style w:type="paragraph" w:styleId="TOAHeading">
    <w:name w:val="toa heading"/>
    <w:basedOn w:val="Normal"/>
    <w:next w:val="Normal"/>
    <w:semiHidden/>
    <w:locked/>
    <w:rsid w:val="00F610AF"/>
    <w:pPr>
      <w:spacing w:before="120"/>
    </w:pPr>
    <w:rPr>
      <w:rFonts w:ascii="Arial" w:hAnsi="Arial"/>
      <w:b/>
      <w:bCs/>
    </w:rPr>
  </w:style>
  <w:style w:type="paragraph" w:customStyle="1" w:styleId="Title16pt">
    <w:name w:val="Title 16 pt"/>
    <w:basedOn w:val="Title"/>
    <w:locked/>
    <w:rsid w:val="008036DF"/>
    <w:pPr>
      <w:keepNext/>
      <w:spacing w:before="240"/>
    </w:pPr>
    <w:rPr>
      <w:rFonts w:cs="Arial"/>
      <w:sz w:val="32"/>
      <w:lang w:eastAsia="en-US"/>
    </w:rPr>
  </w:style>
  <w:style w:type="paragraph" w:customStyle="1" w:styleId="Heading1boardreport">
    <w:name w:val="Heading 1 board report"/>
    <w:basedOn w:val="Heading1"/>
    <w:next w:val="Paragraph"/>
    <w:link w:val="Heading1boardreportChar"/>
    <w:qFormat/>
    <w:rsid w:val="00D959FE"/>
    <w:pPr>
      <w:spacing w:after="240"/>
    </w:pPr>
    <w:rPr>
      <w:color w:val="4F81BD" w:themeColor="accent1"/>
      <w:sz w:val="36"/>
      <w:szCs w:val="36"/>
    </w:rPr>
  </w:style>
  <w:style w:type="character" w:customStyle="1" w:styleId="Heading1boardreportChar">
    <w:name w:val="Heading 1 board report Char"/>
    <w:basedOn w:val="Heading1Char"/>
    <w:link w:val="Heading1boardreport"/>
    <w:rsid w:val="00D959FE"/>
    <w:rPr>
      <w:rFonts w:ascii="Arial" w:hAnsi="Arial"/>
      <w:b/>
      <w:bCs/>
      <w:color w:val="4F81BD" w:themeColor="accent1"/>
      <w:kern w:val="32"/>
      <w:sz w:val="36"/>
      <w:szCs w:val="36"/>
    </w:rPr>
  </w:style>
  <w:style w:type="table" w:styleId="TableGrid">
    <w:name w:val="Table Grid"/>
    <w:basedOn w:val="TableNormal"/>
    <w:uiPriority w:val="99"/>
    <w:locked/>
    <w:rsid w:val="009A2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onumbersChar">
    <w:name w:val="Paragraph no numbers Char"/>
    <w:basedOn w:val="DefaultParagraphFont"/>
    <w:link w:val="Paragraphnonumbers"/>
    <w:uiPriority w:val="99"/>
    <w:rsid w:val="000C0B4E"/>
    <w:rPr>
      <w:rFonts w:ascii="Arial" w:hAnsi="Arial"/>
      <w:sz w:val="24"/>
      <w:szCs w:val="24"/>
    </w:rPr>
  </w:style>
  <w:style w:type="paragraph" w:customStyle="1" w:styleId="Tabletext">
    <w:name w:val="Table text"/>
    <w:basedOn w:val="Normal"/>
    <w:link w:val="TabletextChar"/>
    <w:qFormat/>
    <w:rsid w:val="00A0023C"/>
    <w:pPr>
      <w:spacing w:before="60" w:after="60" w:line="276" w:lineRule="auto"/>
    </w:pPr>
    <w:rPr>
      <w:rFonts w:ascii="Arial" w:hAnsi="Arial"/>
      <w:sz w:val="22"/>
      <w:szCs w:val="20"/>
    </w:rPr>
  </w:style>
  <w:style w:type="paragraph" w:customStyle="1" w:styleId="Tablecolumnheading">
    <w:name w:val="Table column heading"/>
    <w:basedOn w:val="Tabletext"/>
    <w:link w:val="TablecolumnheadingChar"/>
    <w:qFormat/>
    <w:rsid w:val="00245256"/>
    <w:rPr>
      <w:b/>
    </w:rPr>
  </w:style>
  <w:style w:type="paragraph" w:customStyle="1" w:styleId="Tableandgraphheading">
    <w:name w:val="Table and graph heading"/>
    <w:basedOn w:val="Heading3"/>
    <w:link w:val="TableandgraphheadingChar"/>
    <w:qFormat/>
    <w:rsid w:val="00567A3E"/>
    <w:rPr>
      <w:color w:val="4F81BD" w:themeColor="accent1"/>
    </w:rPr>
  </w:style>
  <w:style w:type="character" w:customStyle="1" w:styleId="TabletextChar">
    <w:name w:val="Table text Char"/>
    <w:basedOn w:val="DefaultParagraphFont"/>
    <w:link w:val="Tabletext"/>
    <w:rsid w:val="00A0023C"/>
    <w:rPr>
      <w:rFonts w:ascii="Arial" w:hAnsi="Arial"/>
      <w:sz w:val="22"/>
      <w:szCs w:val="24"/>
    </w:rPr>
  </w:style>
  <w:style w:type="character" w:customStyle="1" w:styleId="TablecolumnheadingChar">
    <w:name w:val="Table column heading Char"/>
    <w:basedOn w:val="TabletextChar"/>
    <w:link w:val="Tablecolumnheading"/>
    <w:rsid w:val="00245256"/>
    <w:rPr>
      <w:rFonts w:ascii="Arial" w:hAnsi="Arial"/>
      <w:b/>
      <w:sz w:val="22"/>
      <w:szCs w:val="24"/>
    </w:rPr>
  </w:style>
  <w:style w:type="character" w:customStyle="1" w:styleId="TableandgraphheadingChar">
    <w:name w:val="Table and graph heading Char"/>
    <w:basedOn w:val="Heading3Char"/>
    <w:link w:val="Tableandgraphheading"/>
    <w:rsid w:val="00567A3E"/>
    <w:rPr>
      <w:rFonts w:ascii="Arial" w:hAnsi="Arial"/>
      <w:b/>
      <w:bCs/>
      <w:color w:val="4F81BD" w:themeColor="accent1"/>
      <w:sz w:val="24"/>
      <w:szCs w:val="26"/>
    </w:rPr>
  </w:style>
  <w:style w:type="paragraph" w:customStyle="1" w:styleId="Bulletslast">
    <w:name w:val="Bullets last"/>
    <w:basedOn w:val="Bullets"/>
    <w:qFormat/>
    <w:rsid w:val="003E6FBF"/>
    <w:pPr>
      <w:spacing w:after="240"/>
    </w:pPr>
    <w:rPr>
      <w:szCs w:val="20"/>
    </w:rPr>
  </w:style>
  <w:style w:type="paragraph" w:customStyle="1" w:styleId="Subbulletslast">
    <w:name w:val="Sub bullets last"/>
    <w:basedOn w:val="Subbullets"/>
    <w:qFormat/>
    <w:rsid w:val="00A0023C"/>
    <w:pPr>
      <w:spacing w:after="240"/>
    </w:pPr>
    <w:rPr>
      <w:szCs w:val="20"/>
    </w:rPr>
  </w:style>
  <w:style w:type="paragraph" w:customStyle="1" w:styleId="Heading2boardreport">
    <w:name w:val="Heading 2 board report"/>
    <w:basedOn w:val="Heading2"/>
    <w:qFormat/>
    <w:rsid w:val="00D959FE"/>
  </w:style>
  <w:style w:type="paragraph" w:customStyle="1" w:styleId="Heading3boardreport">
    <w:name w:val="Heading 3 board report"/>
    <w:basedOn w:val="Heading3"/>
    <w:qFormat/>
    <w:rsid w:val="00D959FE"/>
    <w:pPr>
      <w:ind w:left="426"/>
    </w:pPr>
    <w:rPr>
      <w:b w:val="0"/>
      <w:bCs w:val="0"/>
    </w:rPr>
  </w:style>
  <w:style w:type="character" w:styleId="Hyperlink">
    <w:name w:val="Hyperlink"/>
    <w:basedOn w:val="DefaultParagraphFont"/>
    <w:semiHidden/>
    <w:rsid w:val="004A1FA3"/>
    <w:rPr>
      <w:color w:val="0000FF" w:themeColor="hyperlink"/>
      <w:u w:val="single"/>
    </w:rPr>
  </w:style>
  <w:style w:type="paragraph" w:customStyle="1" w:styleId="Tablebullet">
    <w:name w:val="Table bullet"/>
    <w:basedOn w:val="Tabletext"/>
    <w:qFormat/>
    <w:rsid w:val="00810393"/>
    <w:pPr>
      <w:numPr>
        <w:numId w:val="8"/>
      </w:numPr>
    </w:pPr>
  </w:style>
  <w:style w:type="paragraph" w:customStyle="1" w:styleId="Commenttextred">
    <w:name w:val="Comment text red"/>
    <w:basedOn w:val="CommentText"/>
    <w:qFormat/>
    <w:rsid w:val="002A3FC0"/>
    <w:rPr>
      <w:color w:val="FF0000"/>
      <w:lang w:eastAsia="en-US"/>
    </w:rPr>
  </w:style>
  <w:style w:type="paragraph" w:customStyle="1" w:styleId="Commenttextbold">
    <w:name w:val="Comment text bold"/>
    <w:basedOn w:val="CommentText"/>
    <w:qFormat/>
    <w:rsid w:val="002A3FC0"/>
    <w:rPr>
      <w:b/>
      <w:lang w:val="x-none" w:eastAsia="en-US"/>
    </w:rPr>
  </w:style>
  <w:style w:type="paragraph" w:customStyle="1" w:styleId="Commenttextblue">
    <w:name w:val="Comment text blue"/>
    <w:basedOn w:val="CommentText"/>
    <w:qFormat/>
    <w:rsid w:val="002A3FC0"/>
    <w:rPr>
      <w:color w:val="0070C0"/>
      <w:lang w:val="x-none" w:eastAsia="en-US"/>
    </w:rPr>
  </w:style>
  <w:style w:type="paragraph" w:customStyle="1" w:styleId="Commenttextgreen">
    <w:name w:val="Comment text green"/>
    <w:basedOn w:val="CommentText"/>
    <w:qFormat/>
    <w:rsid w:val="002A3FC0"/>
    <w:rPr>
      <w:color w:val="00B050"/>
      <w:lang w:val="x-none" w:eastAsia="en-US"/>
    </w:rPr>
  </w:style>
  <w:style w:type="paragraph" w:customStyle="1" w:styleId="Commenttextitalic">
    <w:name w:val="Comment text italic"/>
    <w:basedOn w:val="CommentText"/>
    <w:qFormat/>
    <w:rsid w:val="002A3FC0"/>
    <w:rPr>
      <w:i/>
      <w:lang w:val="x-none" w:eastAsia="en-US"/>
    </w:rPr>
  </w:style>
  <w:style w:type="paragraph" w:styleId="CommentText">
    <w:name w:val="annotation text"/>
    <w:basedOn w:val="Normal"/>
    <w:link w:val="CommentTextChar"/>
    <w:unhideWhenUsed/>
    <w:rsid w:val="002A3FC0"/>
    <w:rPr>
      <w:sz w:val="20"/>
      <w:szCs w:val="20"/>
    </w:rPr>
  </w:style>
  <w:style w:type="character" w:customStyle="1" w:styleId="CommentTextChar">
    <w:name w:val="Comment Text Char"/>
    <w:basedOn w:val="DefaultParagraphFont"/>
    <w:link w:val="CommentText"/>
    <w:rsid w:val="002A3FC0"/>
  </w:style>
  <w:style w:type="character" w:styleId="CommentReference">
    <w:name w:val="annotation reference"/>
    <w:basedOn w:val="DefaultParagraphFont"/>
    <w:semiHidden/>
    <w:unhideWhenUsed/>
    <w:rsid w:val="00047F22"/>
    <w:rPr>
      <w:sz w:val="16"/>
      <w:szCs w:val="16"/>
    </w:rPr>
  </w:style>
  <w:style w:type="paragraph" w:customStyle="1" w:styleId="Numberedheading1">
    <w:name w:val="Numbered heading 1"/>
    <w:basedOn w:val="Heading1"/>
    <w:next w:val="Normal"/>
    <w:rsid w:val="00047F22"/>
    <w:pPr>
      <w:numPr>
        <w:numId w:val="9"/>
      </w:numPr>
      <w:tabs>
        <w:tab w:val="clear" w:pos="1134"/>
        <w:tab w:val="num" w:pos="851"/>
      </w:tabs>
      <w:spacing w:before="240"/>
      <w:ind w:left="851" w:hanging="851"/>
    </w:pPr>
    <w:rPr>
      <w:rFonts w:cs="Arial"/>
      <w:sz w:val="32"/>
      <w:szCs w:val="24"/>
      <w:lang w:eastAsia="en-US"/>
    </w:rPr>
  </w:style>
  <w:style w:type="paragraph" w:customStyle="1" w:styleId="Numberedheading2">
    <w:name w:val="Numbered heading 2"/>
    <w:basedOn w:val="Heading2"/>
    <w:next w:val="Normal"/>
    <w:rsid w:val="00047F22"/>
    <w:pPr>
      <w:numPr>
        <w:ilvl w:val="1"/>
        <w:numId w:val="9"/>
      </w:numPr>
      <w:spacing w:before="240" w:after="60"/>
    </w:pPr>
    <w:rPr>
      <w:rFonts w:cs="Arial"/>
      <w:b/>
      <w:i/>
      <w:iCs/>
      <w:kern w:val="0"/>
      <w:szCs w:val="28"/>
      <w:lang w:eastAsia="en-US"/>
    </w:rPr>
  </w:style>
  <w:style w:type="paragraph" w:customStyle="1" w:styleId="Numberedheading3">
    <w:name w:val="Numbered heading 3"/>
    <w:basedOn w:val="Heading3"/>
    <w:next w:val="Normal"/>
    <w:rsid w:val="00047F22"/>
    <w:pPr>
      <w:numPr>
        <w:ilvl w:val="2"/>
        <w:numId w:val="9"/>
      </w:numPr>
      <w:spacing w:before="240"/>
    </w:pPr>
    <w:rPr>
      <w:rFonts w:cs="Arial"/>
      <w:sz w:val="26"/>
      <w:szCs w:val="24"/>
      <w:lang w:eastAsia="en-US"/>
    </w:rPr>
  </w:style>
  <w:style w:type="paragraph" w:customStyle="1" w:styleId="Numberedlevel4text">
    <w:name w:val="Numbered level 4 text"/>
    <w:basedOn w:val="Normal"/>
    <w:next w:val="Normal"/>
    <w:rsid w:val="00047F22"/>
    <w:pPr>
      <w:numPr>
        <w:ilvl w:val="3"/>
        <w:numId w:val="9"/>
      </w:numPr>
      <w:spacing w:after="240"/>
    </w:pPr>
    <w:rPr>
      <w:rFonts w:ascii="Arial" w:hAnsi="Arial"/>
      <w:lang w:val="en-US" w:eastAsia="en-US"/>
    </w:rPr>
  </w:style>
  <w:style w:type="paragraph" w:styleId="CommentSubject">
    <w:name w:val="annotation subject"/>
    <w:basedOn w:val="CommentText"/>
    <w:next w:val="CommentText"/>
    <w:link w:val="CommentSubjectChar"/>
    <w:semiHidden/>
    <w:unhideWhenUsed/>
    <w:rsid w:val="00437271"/>
    <w:rPr>
      <w:b/>
      <w:bCs/>
    </w:rPr>
  </w:style>
  <w:style w:type="character" w:customStyle="1" w:styleId="CommentSubjectChar">
    <w:name w:val="Comment Subject Char"/>
    <w:basedOn w:val="CommentTextChar"/>
    <w:link w:val="CommentSubject"/>
    <w:semiHidden/>
    <w:rsid w:val="00437271"/>
    <w:rPr>
      <w:b/>
      <w:bCs/>
    </w:rPr>
  </w:style>
  <w:style w:type="character" w:styleId="FollowedHyperlink">
    <w:name w:val="FollowedHyperlink"/>
    <w:basedOn w:val="DefaultParagraphFont"/>
    <w:semiHidden/>
    <w:unhideWhenUsed/>
    <w:locked/>
    <w:rsid w:val="005E4DF0"/>
    <w:rPr>
      <w:color w:val="800080" w:themeColor="followedHyperlink"/>
      <w:u w:val="single"/>
    </w:rPr>
  </w:style>
  <w:style w:type="paragraph" w:styleId="Revision">
    <w:name w:val="Revision"/>
    <w:hidden/>
    <w:uiPriority w:val="99"/>
    <w:semiHidden/>
    <w:rsid w:val="001E111D"/>
    <w:rPr>
      <w:sz w:val="24"/>
      <w:szCs w:val="24"/>
    </w:rPr>
  </w:style>
  <w:style w:type="paragraph" w:customStyle="1" w:styleId="NICEnormal">
    <w:name w:val="NICE normal"/>
    <w:rsid w:val="001B62DD"/>
    <w:pPr>
      <w:spacing w:after="240" w:line="360" w:lineRule="auto"/>
    </w:pPr>
    <w:rPr>
      <w:rFonts w:ascii="Arial" w:hAnsi="Arial"/>
      <w:sz w:val="24"/>
      <w:szCs w:val="24"/>
      <w:lang w:val="en-US" w:eastAsia="en-US"/>
    </w:rPr>
  </w:style>
  <w:style w:type="paragraph" w:styleId="FootnoteText">
    <w:name w:val="footnote text"/>
    <w:basedOn w:val="Normal"/>
    <w:link w:val="FootnoteTextChar"/>
    <w:semiHidden/>
    <w:unhideWhenUsed/>
    <w:rsid w:val="00130986"/>
    <w:rPr>
      <w:sz w:val="20"/>
      <w:szCs w:val="20"/>
    </w:rPr>
  </w:style>
  <w:style w:type="character" w:customStyle="1" w:styleId="FootnoteTextChar">
    <w:name w:val="Footnote Text Char"/>
    <w:basedOn w:val="DefaultParagraphFont"/>
    <w:link w:val="FootnoteText"/>
    <w:semiHidden/>
    <w:rsid w:val="00130986"/>
  </w:style>
  <w:style w:type="character" w:styleId="FootnoteReference">
    <w:name w:val="footnote reference"/>
    <w:basedOn w:val="DefaultParagraphFont"/>
    <w:semiHidden/>
    <w:unhideWhenUsed/>
    <w:rsid w:val="00130986"/>
    <w:rPr>
      <w:vertAlign w:val="superscript"/>
    </w:rPr>
  </w:style>
  <w:style w:type="paragraph" w:customStyle="1" w:styleId="Guidancenumbered">
    <w:name w:val="Guidance numbered"/>
    <w:basedOn w:val="Normal"/>
    <w:qFormat/>
    <w:rsid w:val="00D16D97"/>
    <w:pPr>
      <w:numPr>
        <w:ilvl w:val="1"/>
        <w:numId w:val="14"/>
      </w:numPr>
      <w:spacing w:before="240" w:after="240" w:line="360" w:lineRule="auto"/>
    </w:pPr>
    <w:rPr>
      <w:rFonts w:ascii="Arial" w:hAnsi="Arial" w:cs="Arial"/>
      <w:szCs w:val="22"/>
    </w:rPr>
  </w:style>
  <w:style w:type="table" w:styleId="GridTable1Light">
    <w:name w:val="Grid Table 1 Light"/>
    <w:basedOn w:val="TableNormal"/>
    <w:locked/>
    <w:rsid w:val="003D762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07507">
      <w:bodyDiv w:val="1"/>
      <w:marLeft w:val="0"/>
      <w:marRight w:val="0"/>
      <w:marTop w:val="0"/>
      <w:marBottom w:val="0"/>
      <w:divBdr>
        <w:top w:val="none" w:sz="0" w:space="0" w:color="auto"/>
        <w:left w:val="none" w:sz="0" w:space="0" w:color="auto"/>
        <w:bottom w:val="none" w:sz="0" w:space="0" w:color="auto"/>
        <w:right w:val="none" w:sz="0" w:space="0" w:color="auto"/>
      </w:divBdr>
    </w:div>
    <w:div w:id="1928340364">
      <w:bodyDiv w:val="1"/>
      <w:marLeft w:val="0"/>
      <w:marRight w:val="0"/>
      <w:marTop w:val="0"/>
      <w:marBottom w:val="0"/>
      <w:divBdr>
        <w:top w:val="none" w:sz="0" w:space="0" w:color="auto"/>
        <w:left w:val="none" w:sz="0" w:space="0" w:color="auto"/>
        <w:bottom w:val="none" w:sz="0" w:space="0" w:color="auto"/>
        <w:right w:val="none" w:sz="0" w:space="0" w:color="auto"/>
      </w:divBdr>
      <w:divsChild>
        <w:div w:id="5325588">
          <w:marLeft w:val="0"/>
          <w:marRight w:val="0"/>
          <w:marTop w:val="0"/>
          <w:marBottom w:val="0"/>
          <w:divBdr>
            <w:top w:val="none" w:sz="0" w:space="0" w:color="auto"/>
            <w:left w:val="none" w:sz="0" w:space="0" w:color="auto"/>
            <w:bottom w:val="none" w:sz="0" w:space="0" w:color="auto"/>
            <w:right w:val="none" w:sz="0" w:space="0" w:color="auto"/>
          </w:divBdr>
          <w:divsChild>
            <w:div w:id="1578587672">
              <w:marLeft w:val="0"/>
              <w:marRight w:val="0"/>
              <w:marTop w:val="0"/>
              <w:marBottom w:val="0"/>
              <w:divBdr>
                <w:top w:val="none" w:sz="0" w:space="0" w:color="auto"/>
                <w:left w:val="none" w:sz="0" w:space="0" w:color="auto"/>
                <w:bottom w:val="none" w:sz="0" w:space="0" w:color="auto"/>
                <w:right w:val="none" w:sz="0" w:space="0" w:color="auto"/>
              </w:divBdr>
            </w:div>
            <w:div w:id="1624267254">
              <w:marLeft w:val="0"/>
              <w:marRight w:val="0"/>
              <w:marTop w:val="0"/>
              <w:marBottom w:val="0"/>
              <w:divBdr>
                <w:top w:val="none" w:sz="0" w:space="0" w:color="auto"/>
                <w:left w:val="none" w:sz="0" w:space="0" w:color="auto"/>
                <w:bottom w:val="none" w:sz="0" w:space="0" w:color="auto"/>
                <w:right w:val="none" w:sz="0" w:space="0" w:color="auto"/>
              </w:divBdr>
            </w:div>
          </w:divsChild>
        </w:div>
        <w:div w:id="21053273">
          <w:marLeft w:val="0"/>
          <w:marRight w:val="0"/>
          <w:marTop w:val="0"/>
          <w:marBottom w:val="0"/>
          <w:divBdr>
            <w:top w:val="none" w:sz="0" w:space="0" w:color="auto"/>
            <w:left w:val="none" w:sz="0" w:space="0" w:color="auto"/>
            <w:bottom w:val="none" w:sz="0" w:space="0" w:color="auto"/>
            <w:right w:val="none" w:sz="0" w:space="0" w:color="auto"/>
          </w:divBdr>
          <w:divsChild>
            <w:div w:id="301425237">
              <w:marLeft w:val="0"/>
              <w:marRight w:val="0"/>
              <w:marTop w:val="0"/>
              <w:marBottom w:val="0"/>
              <w:divBdr>
                <w:top w:val="none" w:sz="0" w:space="0" w:color="auto"/>
                <w:left w:val="none" w:sz="0" w:space="0" w:color="auto"/>
                <w:bottom w:val="none" w:sz="0" w:space="0" w:color="auto"/>
                <w:right w:val="none" w:sz="0" w:space="0" w:color="auto"/>
              </w:divBdr>
            </w:div>
            <w:div w:id="1623029622">
              <w:marLeft w:val="0"/>
              <w:marRight w:val="0"/>
              <w:marTop w:val="0"/>
              <w:marBottom w:val="0"/>
              <w:divBdr>
                <w:top w:val="none" w:sz="0" w:space="0" w:color="auto"/>
                <w:left w:val="none" w:sz="0" w:space="0" w:color="auto"/>
                <w:bottom w:val="none" w:sz="0" w:space="0" w:color="auto"/>
                <w:right w:val="none" w:sz="0" w:space="0" w:color="auto"/>
              </w:divBdr>
            </w:div>
          </w:divsChild>
        </w:div>
        <w:div w:id="32461068">
          <w:marLeft w:val="0"/>
          <w:marRight w:val="0"/>
          <w:marTop w:val="0"/>
          <w:marBottom w:val="0"/>
          <w:divBdr>
            <w:top w:val="none" w:sz="0" w:space="0" w:color="auto"/>
            <w:left w:val="none" w:sz="0" w:space="0" w:color="auto"/>
            <w:bottom w:val="none" w:sz="0" w:space="0" w:color="auto"/>
            <w:right w:val="none" w:sz="0" w:space="0" w:color="auto"/>
          </w:divBdr>
          <w:divsChild>
            <w:div w:id="1621448250">
              <w:marLeft w:val="0"/>
              <w:marRight w:val="0"/>
              <w:marTop w:val="0"/>
              <w:marBottom w:val="0"/>
              <w:divBdr>
                <w:top w:val="none" w:sz="0" w:space="0" w:color="auto"/>
                <w:left w:val="none" w:sz="0" w:space="0" w:color="auto"/>
                <w:bottom w:val="none" w:sz="0" w:space="0" w:color="auto"/>
                <w:right w:val="none" w:sz="0" w:space="0" w:color="auto"/>
              </w:divBdr>
            </w:div>
          </w:divsChild>
        </w:div>
        <w:div w:id="65037790">
          <w:marLeft w:val="0"/>
          <w:marRight w:val="0"/>
          <w:marTop w:val="0"/>
          <w:marBottom w:val="0"/>
          <w:divBdr>
            <w:top w:val="none" w:sz="0" w:space="0" w:color="auto"/>
            <w:left w:val="none" w:sz="0" w:space="0" w:color="auto"/>
            <w:bottom w:val="none" w:sz="0" w:space="0" w:color="auto"/>
            <w:right w:val="none" w:sz="0" w:space="0" w:color="auto"/>
          </w:divBdr>
          <w:divsChild>
            <w:div w:id="1829780791">
              <w:marLeft w:val="0"/>
              <w:marRight w:val="0"/>
              <w:marTop w:val="0"/>
              <w:marBottom w:val="0"/>
              <w:divBdr>
                <w:top w:val="none" w:sz="0" w:space="0" w:color="auto"/>
                <w:left w:val="none" w:sz="0" w:space="0" w:color="auto"/>
                <w:bottom w:val="none" w:sz="0" w:space="0" w:color="auto"/>
                <w:right w:val="none" w:sz="0" w:space="0" w:color="auto"/>
              </w:divBdr>
            </w:div>
          </w:divsChild>
        </w:div>
        <w:div w:id="151602408">
          <w:marLeft w:val="0"/>
          <w:marRight w:val="0"/>
          <w:marTop w:val="0"/>
          <w:marBottom w:val="0"/>
          <w:divBdr>
            <w:top w:val="none" w:sz="0" w:space="0" w:color="auto"/>
            <w:left w:val="none" w:sz="0" w:space="0" w:color="auto"/>
            <w:bottom w:val="none" w:sz="0" w:space="0" w:color="auto"/>
            <w:right w:val="none" w:sz="0" w:space="0" w:color="auto"/>
          </w:divBdr>
          <w:divsChild>
            <w:div w:id="1484540199">
              <w:marLeft w:val="0"/>
              <w:marRight w:val="0"/>
              <w:marTop w:val="0"/>
              <w:marBottom w:val="0"/>
              <w:divBdr>
                <w:top w:val="none" w:sz="0" w:space="0" w:color="auto"/>
                <w:left w:val="none" w:sz="0" w:space="0" w:color="auto"/>
                <w:bottom w:val="none" w:sz="0" w:space="0" w:color="auto"/>
                <w:right w:val="none" w:sz="0" w:space="0" w:color="auto"/>
              </w:divBdr>
            </w:div>
            <w:div w:id="1814445794">
              <w:marLeft w:val="0"/>
              <w:marRight w:val="0"/>
              <w:marTop w:val="0"/>
              <w:marBottom w:val="0"/>
              <w:divBdr>
                <w:top w:val="none" w:sz="0" w:space="0" w:color="auto"/>
                <w:left w:val="none" w:sz="0" w:space="0" w:color="auto"/>
                <w:bottom w:val="none" w:sz="0" w:space="0" w:color="auto"/>
                <w:right w:val="none" w:sz="0" w:space="0" w:color="auto"/>
              </w:divBdr>
            </w:div>
          </w:divsChild>
        </w:div>
        <w:div w:id="187137688">
          <w:marLeft w:val="0"/>
          <w:marRight w:val="0"/>
          <w:marTop w:val="0"/>
          <w:marBottom w:val="0"/>
          <w:divBdr>
            <w:top w:val="none" w:sz="0" w:space="0" w:color="auto"/>
            <w:left w:val="none" w:sz="0" w:space="0" w:color="auto"/>
            <w:bottom w:val="none" w:sz="0" w:space="0" w:color="auto"/>
            <w:right w:val="none" w:sz="0" w:space="0" w:color="auto"/>
          </w:divBdr>
          <w:divsChild>
            <w:div w:id="235163363">
              <w:marLeft w:val="0"/>
              <w:marRight w:val="0"/>
              <w:marTop w:val="0"/>
              <w:marBottom w:val="0"/>
              <w:divBdr>
                <w:top w:val="none" w:sz="0" w:space="0" w:color="auto"/>
                <w:left w:val="none" w:sz="0" w:space="0" w:color="auto"/>
                <w:bottom w:val="none" w:sz="0" w:space="0" w:color="auto"/>
                <w:right w:val="none" w:sz="0" w:space="0" w:color="auto"/>
              </w:divBdr>
            </w:div>
            <w:div w:id="296765856">
              <w:marLeft w:val="0"/>
              <w:marRight w:val="0"/>
              <w:marTop w:val="0"/>
              <w:marBottom w:val="0"/>
              <w:divBdr>
                <w:top w:val="none" w:sz="0" w:space="0" w:color="auto"/>
                <w:left w:val="none" w:sz="0" w:space="0" w:color="auto"/>
                <w:bottom w:val="none" w:sz="0" w:space="0" w:color="auto"/>
                <w:right w:val="none" w:sz="0" w:space="0" w:color="auto"/>
              </w:divBdr>
            </w:div>
          </w:divsChild>
        </w:div>
        <w:div w:id="231812030">
          <w:marLeft w:val="0"/>
          <w:marRight w:val="0"/>
          <w:marTop w:val="0"/>
          <w:marBottom w:val="0"/>
          <w:divBdr>
            <w:top w:val="none" w:sz="0" w:space="0" w:color="auto"/>
            <w:left w:val="none" w:sz="0" w:space="0" w:color="auto"/>
            <w:bottom w:val="none" w:sz="0" w:space="0" w:color="auto"/>
            <w:right w:val="none" w:sz="0" w:space="0" w:color="auto"/>
          </w:divBdr>
          <w:divsChild>
            <w:div w:id="928779669">
              <w:marLeft w:val="0"/>
              <w:marRight w:val="0"/>
              <w:marTop w:val="0"/>
              <w:marBottom w:val="0"/>
              <w:divBdr>
                <w:top w:val="none" w:sz="0" w:space="0" w:color="auto"/>
                <w:left w:val="none" w:sz="0" w:space="0" w:color="auto"/>
                <w:bottom w:val="none" w:sz="0" w:space="0" w:color="auto"/>
                <w:right w:val="none" w:sz="0" w:space="0" w:color="auto"/>
              </w:divBdr>
            </w:div>
          </w:divsChild>
        </w:div>
        <w:div w:id="242615259">
          <w:marLeft w:val="0"/>
          <w:marRight w:val="0"/>
          <w:marTop w:val="0"/>
          <w:marBottom w:val="0"/>
          <w:divBdr>
            <w:top w:val="none" w:sz="0" w:space="0" w:color="auto"/>
            <w:left w:val="none" w:sz="0" w:space="0" w:color="auto"/>
            <w:bottom w:val="none" w:sz="0" w:space="0" w:color="auto"/>
            <w:right w:val="none" w:sz="0" w:space="0" w:color="auto"/>
          </w:divBdr>
          <w:divsChild>
            <w:div w:id="944532791">
              <w:marLeft w:val="0"/>
              <w:marRight w:val="0"/>
              <w:marTop w:val="0"/>
              <w:marBottom w:val="0"/>
              <w:divBdr>
                <w:top w:val="none" w:sz="0" w:space="0" w:color="auto"/>
                <w:left w:val="none" w:sz="0" w:space="0" w:color="auto"/>
                <w:bottom w:val="none" w:sz="0" w:space="0" w:color="auto"/>
                <w:right w:val="none" w:sz="0" w:space="0" w:color="auto"/>
              </w:divBdr>
            </w:div>
          </w:divsChild>
        </w:div>
        <w:div w:id="327877222">
          <w:marLeft w:val="0"/>
          <w:marRight w:val="0"/>
          <w:marTop w:val="0"/>
          <w:marBottom w:val="0"/>
          <w:divBdr>
            <w:top w:val="none" w:sz="0" w:space="0" w:color="auto"/>
            <w:left w:val="none" w:sz="0" w:space="0" w:color="auto"/>
            <w:bottom w:val="none" w:sz="0" w:space="0" w:color="auto"/>
            <w:right w:val="none" w:sz="0" w:space="0" w:color="auto"/>
          </w:divBdr>
          <w:divsChild>
            <w:div w:id="873689697">
              <w:marLeft w:val="0"/>
              <w:marRight w:val="0"/>
              <w:marTop w:val="0"/>
              <w:marBottom w:val="0"/>
              <w:divBdr>
                <w:top w:val="none" w:sz="0" w:space="0" w:color="auto"/>
                <w:left w:val="none" w:sz="0" w:space="0" w:color="auto"/>
                <w:bottom w:val="none" w:sz="0" w:space="0" w:color="auto"/>
                <w:right w:val="none" w:sz="0" w:space="0" w:color="auto"/>
              </w:divBdr>
            </w:div>
          </w:divsChild>
        </w:div>
        <w:div w:id="420182753">
          <w:marLeft w:val="0"/>
          <w:marRight w:val="0"/>
          <w:marTop w:val="0"/>
          <w:marBottom w:val="0"/>
          <w:divBdr>
            <w:top w:val="none" w:sz="0" w:space="0" w:color="auto"/>
            <w:left w:val="none" w:sz="0" w:space="0" w:color="auto"/>
            <w:bottom w:val="none" w:sz="0" w:space="0" w:color="auto"/>
            <w:right w:val="none" w:sz="0" w:space="0" w:color="auto"/>
          </w:divBdr>
          <w:divsChild>
            <w:div w:id="1306667342">
              <w:marLeft w:val="0"/>
              <w:marRight w:val="0"/>
              <w:marTop w:val="0"/>
              <w:marBottom w:val="0"/>
              <w:divBdr>
                <w:top w:val="none" w:sz="0" w:space="0" w:color="auto"/>
                <w:left w:val="none" w:sz="0" w:space="0" w:color="auto"/>
                <w:bottom w:val="none" w:sz="0" w:space="0" w:color="auto"/>
                <w:right w:val="none" w:sz="0" w:space="0" w:color="auto"/>
              </w:divBdr>
            </w:div>
            <w:div w:id="1669598071">
              <w:marLeft w:val="0"/>
              <w:marRight w:val="0"/>
              <w:marTop w:val="0"/>
              <w:marBottom w:val="0"/>
              <w:divBdr>
                <w:top w:val="none" w:sz="0" w:space="0" w:color="auto"/>
                <w:left w:val="none" w:sz="0" w:space="0" w:color="auto"/>
                <w:bottom w:val="none" w:sz="0" w:space="0" w:color="auto"/>
                <w:right w:val="none" w:sz="0" w:space="0" w:color="auto"/>
              </w:divBdr>
            </w:div>
          </w:divsChild>
        </w:div>
        <w:div w:id="437799580">
          <w:marLeft w:val="0"/>
          <w:marRight w:val="0"/>
          <w:marTop w:val="0"/>
          <w:marBottom w:val="0"/>
          <w:divBdr>
            <w:top w:val="none" w:sz="0" w:space="0" w:color="auto"/>
            <w:left w:val="none" w:sz="0" w:space="0" w:color="auto"/>
            <w:bottom w:val="none" w:sz="0" w:space="0" w:color="auto"/>
            <w:right w:val="none" w:sz="0" w:space="0" w:color="auto"/>
          </w:divBdr>
          <w:divsChild>
            <w:div w:id="1138449618">
              <w:marLeft w:val="0"/>
              <w:marRight w:val="0"/>
              <w:marTop w:val="0"/>
              <w:marBottom w:val="0"/>
              <w:divBdr>
                <w:top w:val="none" w:sz="0" w:space="0" w:color="auto"/>
                <w:left w:val="none" w:sz="0" w:space="0" w:color="auto"/>
                <w:bottom w:val="none" w:sz="0" w:space="0" w:color="auto"/>
                <w:right w:val="none" w:sz="0" w:space="0" w:color="auto"/>
              </w:divBdr>
            </w:div>
          </w:divsChild>
        </w:div>
        <w:div w:id="564952677">
          <w:marLeft w:val="0"/>
          <w:marRight w:val="0"/>
          <w:marTop w:val="0"/>
          <w:marBottom w:val="0"/>
          <w:divBdr>
            <w:top w:val="none" w:sz="0" w:space="0" w:color="auto"/>
            <w:left w:val="none" w:sz="0" w:space="0" w:color="auto"/>
            <w:bottom w:val="none" w:sz="0" w:space="0" w:color="auto"/>
            <w:right w:val="none" w:sz="0" w:space="0" w:color="auto"/>
          </w:divBdr>
          <w:divsChild>
            <w:div w:id="821654901">
              <w:marLeft w:val="0"/>
              <w:marRight w:val="0"/>
              <w:marTop w:val="0"/>
              <w:marBottom w:val="0"/>
              <w:divBdr>
                <w:top w:val="none" w:sz="0" w:space="0" w:color="auto"/>
                <w:left w:val="none" w:sz="0" w:space="0" w:color="auto"/>
                <w:bottom w:val="none" w:sz="0" w:space="0" w:color="auto"/>
                <w:right w:val="none" w:sz="0" w:space="0" w:color="auto"/>
              </w:divBdr>
            </w:div>
          </w:divsChild>
        </w:div>
        <w:div w:id="585193138">
          <w:marLeft w:val="0"/>
          <w:marRight w:val="0"/>
          <w:marTop w:val="0"/>
          <w:marBottom w:val="0"/>
          <w:divBdr>
            <w:top w:val="none" w:sz="0" w:space="0" w:color="auto"/>
            <w:left w:val="none" w:sz="0" w:space="0" w:color="auto"/>
            <w:bottom w:val="none" w:sz="0" w:space="0" w:color="auto"/>
            <w:right w:val="none" w:sz="0" w:space="0" w:color="auto"/>
          </w:divBdr>
          <w:divsChild>
            <w:div w:id="1279482800">
              <w:marLeft w:val="0"/>
              <w:marRight w:val="0"/>
              <w:marTop w:val="0"/>
              <w:marBottom w:val="0"/>
              <w:divBdr>
                <w:top w:val="none" w:sz="0" w:space="0" w:color="auto"/>
                <w:left w:val="none" w:sz="0" w:space="0" w:color="auto"/>
                <w:bottom w:val="none" w:sz="0" w:space="0" w:color="auto"/>
                <w:right w:val="none" w:sz="0" w:space="0" w:color="auto"/>
              </w:divBdr>
            </w:div>
          </w:divsChild>
        </w:div>
        <w:div w:id="598870817">
          <w:marLeft w:val="0"/>
          <w:marRight w:val="0"/>
          <w:marTop w:val="0"/>
          <w:marBottom w:val="0"/>
          <w:divBdr>
            <w:top w:val="none" w:sz="0" w:space="0" w:color="auto"/>
            <w:left w:val="none" w:sz="0" w:space="0" w:color="auto"/>
            <w:bottom w:val="none" w:sz="0" w:space="0" w:color="auto"/>
            <w:right w:val="none" w:sz="0" w:space="0" w:color="auto"/>
          </w:divBdr>
          <w:divsChild>
            <w:div w:id="621377448">
              <w:marLeft w:val="0"/>
              <w:marRight w:val="0"/>
              <w:marTop w:val="0"/>
              <w:marBottom w:val="0"/>
              <w:divBdr>
                <w:top w:val="none" w:sz="0" w:space="0" w:color="auto"/>
                <w:left w:val="none" w:sz="0" w:space="0" w:color="auto"/>
                <w:bottom w:val="none" w:sz="0" w:space="0" w:color="auto"/>
                <w:right w:val="none" w:sz="0" w:space="0" w:color="auto"/>
              </w:divBdr>
            </w:div>
          </w:divsChild>
        </w:div>
        <w:div w:id="652682080">
          <w:marLeft w:val="0"/>
          <w:marRight w:val="0"/>
          <w:marTop w:val="0"/>
          <w:marBottom w:val="0"/>
          <w:divBdr>
            <w:top w:val="none" w:sz="0" w:space="0" w:color="auto"/>
            <w:left w:val="none" w:sz="0" w:space="0" w:color="auto"/>
            <w:bottom w:val="none" w:sz="0" w:space="0" w:color="auto"/>
            <w:right w:val="none" w:sz="0" w:space="0" w:color="auto"/>
          </w:divBdr>
          <w:divsChild>
            <w:div w:id="1270241924">
              <w:marLeft w:val="0"/>
              <w:marRight w:val="0"/>
              <w:marTop w:val="0"/>
              <w:marBottom w:val="0"/>
              <w:divBdr>
                <w:top w:val="none" w:sz="0" w:space="0" w:color="auto"/>
                <w:left w:val="none" w:sz="0" w:space="0" w:color="auto"/>
                <w:bottom w:val="none" w:sz="0" w:space="0" w:color="auto"/>
                <w:right w:val="none" w:sz="0" w:space="0" w:color="auto"/>
              </w:divBdr>
            </w:div>
          </w:divsChild>
        </w:div>
        <w:div w:id="699355787">
          <w:marLeft w:val="0"/>
          <w:marRight w:val="0"/>
          <w:marTop w:val="0"/>
          <w:marBottom w:val="0"/>
          <w:divBdr>
            <w:top w:val="none" w:sz="0" w:space="0" w:color="auto"/>
            <w:left w:val="none" w:sz="0" w:space="0" w:color="auto"/>
            <w:bottom w:val="none" w:sz="0" w:space="0" w:color="auto"/>
            <w:right w:val="none" w:sz="0" w:space="0" w:color="auto"/>
          </w:divBdr>
          <w:divsChild>
            <w:div w:id="136069592">
              <w:marLeft w:val="0"/>
              <w:marRight w:val="0"/>
              <w:marTop w:val="0"/>
              <w:marBottom w:val="0"/>
              <w:divBdr>
                <w:top w:val="none" w:sz="0" w:space="0" w:color="auto"/>
                <w:left w:val="none" w:sz="0" w:space="0" w:color="auto"/>
                <w:bottom w:val="none" w:sz="0" w:space="0" w:color="auto"/>
                <w:right w:val="none" w:sz="0" w:space="0" w:color="auto"/>
              </w:divBdr>
            </w:div>
          </w:divsChild>
        </w:div>
        <w:div w:id="723797255">
          <w:marLeft w:val="0"/>
          <w:marRight w:val="0"/>
          <w:marTop w:val="0"/>
          <w:marBottom w:val="0"/>
          <w:divBdr>
            <w:top w:val="none" w:sz="0" w:space="0" w:color="auto"/>
            <w:left w:val="none" w:sz="0" w:space="0" w:color="auto"/>
            <w:bottom w:val="none" w:sz="0" w:space="0" w:color="auto"/>
            <w:right w:val="none" w:sz="0" w:space="0" w:color="auto"/>
          </w:divBdr>
          <w:divsChild>
            <w:div w:id="186139931">
              <w:marLeft w:val="0"/>
              <w:marRight w:val="0"/>
              <w:marTop w:val="0"/>
              <w:marBottom w:val="0"/>
              <w:divBdr>
                <w:top w:val="none" w:sz="0" w:space="0" w:color="auto"/>
                <w:left w:val="none" w:sz="0" w:space="0" w:color="auto"/>
                <w:bottom w:val="none" w:sz="0" w:space="0" w:color="auto"/>
                <w:right w:val="none" w:sz="0" w:space="0" w:color="auto"/>
              </w:divBdr>
            </w:div>
          </w:divsChild>
        </w:div>
        <w:div w:id="764108447">
          <w:marLeft w:val="0"/>
          <w:marRight w:val="0"/>
          <w:marTop w:val="0"/>
          <w:marBottom w:val="0"/>
          <w:divBdr>
            <w:top w:val="none" w:sz="0" w:space="0" w:color="auto"/>
            <w:left w:val="none" w:sz="0" w:space="0" w:color="auto"/>
            <w:bottom w:val="none" w:sz="0" w:space="0" w:color="auto"/>
            <w:right w:val="none" w:sz="0" w:space="0" w:color="auto"/>
          </w:divBdr>
          <w:divsChild>
            <w:div w:id="165365135">
              <w:marLeft w:val="0"/>
              <w:marRight w:val="0"/>
              <w:marTop w:val="0"/>
              <w:marBottom w:val="0"/>
              <w:divBdr>
                <w:top w:val="none" w:sz="0" w:space="0" w:color="auto"/>
                <w:left w:val="none" w:sz="0" w:space="0" w:color="auto"/>
                <w:bottom w:val="none" w:sz="0" w:space="0" w:color="auto"/>
                <w:right w:val="none" w:sz="0" w:space="0" w:color="auto"/>
              </w:divBdr>
            </w:div>
          </w:divsChild>
        </w:div>
        <w:div w:id="765462449">
          <w:marLeft w:val="0"/>
          <w:marRight w:val="0"/>
          <w:marTop w:val="0"/>
          <w:marBottom w:val="0"/>
          <w:divBdr>
            <w:top w:val="none" w:sz="0" w:space="0" w:color="auto"/>
            <w:left w:val="none" w:sz="0" w:space="0" w:color="auto"/>
            <w:bottom w:val="none" w:sz="0" w:space="0" w:color="auto"/>
            <w:right w:val="none" w:sz="0" w:space="0" w:color="auto"/>
          </w:divBdr>
          <w:divsChild>
            <w:div w:id="728923960">
              <w:marLeft w:val="0"/>
              <w:marRight w:val="0"/>
              <w:marTop w:val="0"/>
              <w:marBottom w:val="0"/>
              <w:divBdr>
                <w:top w:val="none" w:sz="0" w:space="0" w:color="auto"/>
                <w:left w:val="none" w:sz="0" w:space="0" w:color="auto"/>
                <w:bottom w:val="none" w:sz="0" w:space="0" w:color="auto"/>
                <w:right w:val="none" w:sz="0" w:space="0" w:color="auto"/>
              </w:divBdr>
            </w:div>
            <w:div w:id="1170676295">
              <w:marLeft w:val="0"/>
              <w:marRight w:val="0"/>
              <w:marTop w:val="0"/>
              <w:marBottom w:val="0"/>
              <w:divBdr>
                <w:top w:val="none" w:sz="0" w:space="0" w:color="auto"/>
                <w:left w:val="none" w:sz="0" w:space="0" w:color="auto"/>
                <w:bottom w:val="none" w:sz="0" w:space="0" w:color="auto"/>
                <w:right w:val="none" w:sz="0" w:space="0" w:color="auto"/>
              </w:divBdr>
            </w:div>
          </w:divsChild>
        </w:div>
        <w:div w:id="803548068">
          <w:marLeft w:val="0"/>
          <w:marRight w:val="0"/>
          <w:marTop w:val="0"/>
          <w:marBottom w:val="0"/>
          <w:divBdr>
            <w:top w:val="none" w:sz="0" w:space="0" w:color="auto"/>
            <w:left w:val="none" w:sz="0" w:space="0" w:color="auto"/>
            <w:bottom w:val="none" w:sz="0" w:space="0" w:color="auto"/>
            <w:right w:val="none" w:sz="0" w:space="0" w:color="auto"/>
          </w:divBdr>
          <w:divsChild>
            <w:div w:id="1526863568">
              <w:marLeft w:val="0"/>
              <w:marRight w:val="0"/>
              <w:marTop w:val="0"/>
              <w:marBottom w:val="0"/>
              <w:divBdr>
                <w:top w:val="none" w:sz="0" w:space="0" w:color="auto"/>
                <w:left w:val="none" w:sz="0" w:space="0" w:color="auto"/>
                <w:bottom w:val="none" w:sz="0" w:space="0" w:color="auto"/>
                <w:right w:val="none" w:sz="0" w:space="0" w:color="auto"/>
              </w:divBdr>
            </w:div>
          </w:divsChild>
        </w:div>
        <w:div w:id="877814967">
          <w:marLeft w:val="0"/>
          <w:marRight w:val="0"/>
          <w:marTop w:val="0"/>
          <w:marBottom w:val="0"/>
          <w:divBdr>
            <w:top w:val="none" w:sz="0" w:space="0" w:color="auto"/>
            <w:left w:val="none" w:sz="0" w:space="0" w:color="auto"/>
            <w:bottom w:val="none" w:sz="0" w:space="0" w:color="auto"/>
            <w:right w:val="none" w:sz="0" w:space="0" w:color="auto"/>
          </w:divBdr>
          <w:divsChild>
            <w:div w:id="621811665">
              <w:marLeft w:val="0"/>
              <w:marRight w:val="0"/>
              <w:marTop w:val="0"/>
              <w:marBottom w:val="0"/>
              <w:divBdr>
                <w:top w:val="none" w:sz="0" w:space="0" w:color="auto"/>
                <w:left w:val="none" w:sz="0" w:space="0" w:color="auto"/>
                <w:bottom w:val="none" w:sz="0" w:space="0" w:color="auto"/>
                <w:right w:val="none" w:sz="0" w:space="0" w:color="auto"/>
              </w:divBdr>
            </w:div>
          </w:divsChild>
        </w:div>
        <w:div w:id="894974647">
          <w:marLeft w:val="0"/>
          <w:marRight w:val="0"/>
          <w:marTop w:val="0"/>
          <w:marBottom w:val="0"/>
          <w:divBdr>
            <w:top w:val="none" w:sz="0" w:space="0" w:color="auto"/>
            <w:left w:val="none" w:sz="0" w:space="0" w:color="auto"/>
            <w:bottom w:val="none" w:sz="0" w:space="0" w:color="auto"/>
            <w:right w:val="none" w:sz="0" w:space="0" w:color="auto"/>
          </w:divBdr>
          <w:divsChild>
            <w:div w:id="770704986">
              <w:marLeft w:val="0"/>
              <w:marRight w:val="0"/>
              <w:marTop w:val="0"/>
              <w:marBottom w:val="0"/>
              <w:divBdr>
                <w:top w:val="none" w:sz="0" w:space="0" w:color="auto"/>
                <w:left w:val="none" w:sz="0" w:space="0" w:color="auto"/>
                <w:bottom w:val="none" w:sz="0" w:space="0" w:color="auto"/>
                <w:right w:val="none" w:sz="0" w:space="0" w:color="auto"/>
              </w:divBdr>
            </w:div>
          </w:divsChild>
        </w:div>
        <w:div w:id="929267693">
          <w:marLeft w:val="0"/>
          <w:marRight w:val="0"/>
          <w:marTop w:val="0"/>
          <w:marBottom w:val="0"/>
          <w:divBdr>
            <w:top w:val="none" w:sz="0" w:space="0" w:color="auto"/>
            <w:left w:val="none" w:sz="0" w:space="0" w:color="auto"/>
            <w:bottom w:val="none" w:sz="0" w:space="0" w:color="auto"/>
            <w:right w:val="none" w:sz="0" w:space="0" w:color="auto"/>
          </w:divBdr>
          <w:divsChild>
            <w:div w:id="1659264915">
              <w:marLeft w:val="0"/>
              <w:marRight w:val="0"/>
              <w:marTop w:val="0"/>
              <w:marBottom w:val="0"/>
              <w:divBdr>
                <w:top w:val="none" w:sz="0" w:space="0" w:color="auto"/>
                <w:left w:val="none" w:sz="0" w:space="0" w:color="auto"/>
                <w:bottom w:val="none" w:sz="0" w:space="0" w:color="auto"/>
                <w:right w:val="none" w:sz="0" w:space="0" w:color="auto"/>
              </w:divBdr>
            </w:div>
          </w:divsChild>
        </w:div>
        <w:div w:id="930968017">
          <w:marLeft w:val="0"/>
          <w:marRight w:val="0"/>
          <w:marTop w:val="0"/>
          <w:marBottom w:val="0"/>
          <w:divBdr>
            <w:top w:val="none" w:sz="0" w:space="0" w:color="auto"/>
            <w:left w:val="none" w:sz="0" w:space="0" w:color="auto"/>
            <w:bottom w:val="none" w:sz="0" w:space="0" w:color="auto"/>
            <w:right w:val="none" w:sz="0" w:space="0" w:color="auto"/>
          </w:divBdr>
          <w:divsChild>
            <w:div w:id="712316741">
              <w:marLeft w:val="0"/>
              <w:marRight w:val="0"/>
              <w:marTop w:val="0"/>
              <w:marBottom w:val="0"/>
              <w:divBdr>
                <w:top w:val="none" w:sz="0" w:space="0" w:color="auto"/>
                <w:left w:val="none" w:sz="0" w:space="0" w:color="auto"/>
                <w:bottom w:val="none" w:sz="0" w:space="0" w:color="auto"/>
                <w:right w:val="none" w:sz="0" w:space="0" w:color="auto"/>
              </w:divBdr>
            </w:div>
          </w:divsChild>
        </w:div>
        <w:div w:id="958225993">
          <w:marLeft w:val="0"/>
          <w:marRight w:val="0"/>
          <w:marTop w:val="0"/>
          <w:marBottom w:val="0"/>
          <w:divBdr>
            <w:top w:val="none" w:sz="0" w:space="0" w:color="auto"/>
            <w:left w:val="none" w:sz="0" w:space="0" w:color="auto"/>
            <w:bottom w:val="none" w:sz="0" w:space="0" w:color="auto"/>
            <w:right w:val="none" w:sz="0" w:space="0" w:color="auto"/>
          </w:divBdr>
          <w:divsChild>
            <w:div w:id="1089421561">
              <w:marLeft w:val="0"/>
              <w:marRight w:val="0"/>
              <w:marTop w:val="0"/>
              <w:marBottom w:val="0"/>
              <w:divBdr>
                <w:top w:val="none" w:sz="0" w:space="0" w:color="auto"/>
                <w:left w:val="none" w:sz="0" w:space="0" w:color="auto"/>
                <w:bottom w:val="none" w:sz="0" w:space="0" w:color="auto"/>
                <w:right w:val="none" w:sz="0" w:space="0" w:color="auto"/>
              </w:divBdr>
            </w:div>
          </w:divsChild>
        </w:div>
        <w:div w:id="976378740">
          <w:marLeft w:val="0"/>
          <w:marRight w:val="0"/>
          <w:marTop w:val="0"/>
          <w:marBottom w:val="0"/>
          <w:divBdr>
            <w:top w:val="none" w:sz="0" w:space="0" w:color="auto"/>
            <w:left w:val="none" w:sz="0" w:space="0" w:color="auto"/>
            <w:bottom w:val="none" w:sz="0" w:space="0" w:color="auto"/>
            <w:right w:val="none" w:sz="0" w:space="0" w:color="auto"/>
          </w:divBdr>
          <w:divsChild>
            <w:div w:id="323703755">
              <w:marLeft w:val="0"/>
              <w:marRight w:val="0"/>
              <w:marTop w:val="0"/>
              <w:marBottom w:val="0"/>
              <w:divBdr>
                <w:top w:val="none" w:sz="0" w:space="0" w:color="auto"/>
                <w:left w:val="none" w:sz="0" w:space="0" w:color="auto"/>
                <w:bottom w:val="none" w:sz="0" w:space="0" w:color="auto"/>
                <w:right w:val="none" w:sz="0" w:space="0" w:color="auto"/>
              </w:divBdr>
            </w:div>
          </w:divsChild>
        </w:div>
        <w:div w:id="983899812">
          <w:marLeft w:val="0"/>
          <w:marRight w:val="0"/>
          <w:marTop w:val="0"/>
          <w:marBottom w:val="0"/>
          <w:divBdr>
            <w:top w:val="none" w:sz="0" w:space="0" w:color="auto"/>
            <w:left w:val="none" w:sz="0" w:space="0" w:color="auto"/>
            <w:bottom w:val="none" w:sz="0" w:space="0" w:color="auto"/>
            <w:right w:val="none" w:sz="0" w:space="0" w:color="auto"/>
          </w:divBdr>
          <w:divsChild>
            <w:div w:id="1927953811">
              <w:marLeft w:val="0"/>
              <w:marRight w:val="0"/>
              <w:marTop w:val="0"/>
              <w:marBottom w:val="0"/>
              <w:divBdr>
                <w:top w:val="none" w:sz="0" w:space="0" w:color="auto"/>
                <w:left w:val="none" w:sz="0" w:space="0" w:color="auto"/>
                <w:bottom w:val="none" w:sz="0" w:space="0" w:color="auto"/>
                <w:right w:val="none" w:sz="0" w:space="0" w:color="auto"/>
              </w:divBdr>
            </w:div>
          </w:divsChild>
        </w:div>
        <w:div w:id="1017806511">
          <w:marLeft w:val="0"/>
          <w:marRight w:val="0"/>
          <w:marTop w:val="0"/>
          <w:marBottom w:val="0"/>
          <w:divBdr>
            <w:top w:val="none" w:sz="0" w:space="0" w:color="auto"/>
            <w:left w:val="none" w:sz="0" w:space="0" w:color="auto"/>
            <w:bottom w:val="none" w:sz="0" w:space="0" w:color="auto"/>
            <w:right w:val="none" w:sz="0" w:space="0" w:color="auto"/>
          </w:divBdr>
          <w:divsChild>
            <w:div w:id="588393360">
              <w:marLeft w:val="0"/>
              <w:marRight w:val="0"/>
              <w:marTop w:val="0"/>
              <w:marBottom w:val="0"/>
              <w:divBdr>
                <w:top w:val="none" w:sz="0" w:space="0" w:color="auto"/>
                <w:left w:val="none" w:sz="0" w:space="0" w:color="auto"/>
                <w:bottom w:val="none" w:sz="0" w:space="0" w:color="auto"/>
                <w:right w:val="none" w:sz="0" w:space="0" w:color="auto"/>
              </w:divBdr>
            </w:div>
          </w:divsChild>
        </w:div>
        <w:div w:id="1112438053">
          <w:marLeft w:val="0"/>
          <w:marRight w:val="0"/>
          <w:marTop w:val="0"/>
          <w:marBottom w:val="0"/>
          <w:divBdr>
            <w:top w:val="none" w:sz="0" w:space="0" w:color="auto"/>
            <w:left w:val="none" w:sz="0" w:space="0" w:color="auto"/>
            <w:bottom w:val="none" w:sz="0" w:space="0" w:color="auto"/>
            <w:right w:val="none" w:sz="0" w:space="0" w:color="auto"/>
          </w:divBdr>
          <w:divsChild>
            <w:div w:id="683291096">
              <w:marLeft w:val="0"/>
              <w:marRight w:val="0"/>
              <w:marTop w:val="0"/>
              <w:marBottom w:val="0"/>
              <w:divBdr>
                <w:top w:val="none" w:sz="0" w:space="0" w:color="auto"/>
                <w:left w:val="none" w:sz="0" w:space="0" w:color="auto"/>
                <w:bottom w:val="none" w:sz="0" w:space="0" w:color="auto"/>
                <w:right w:val="none" w:sz="0" w:space="0" w:color="auto"/>
              </w:divBdr>
            </w:div>
          </w:divsChild>
        </w:div>
        <w:div w:id="1113279902">
          <w:marLeft w:val="0"/>
          <w:marRight w:val="0"/>
          <w:marTop w:val="0"/>
          <w:marBottom w:val="0"/>
          <w:divBdr>
            <w:top w:val="none" w:sz="0" w:space="0" w:color="auto"/>
            <w:left w:val="none" w:sz="0" w:space="0" w:color="auto"/>
            <w:bottom w:val="none" w:sz="0" w:space="0" w:color="auto"/>
            <w:right w:val="none" w:sz="0" w:space="0" w:color="auto"/>
          </w:divBdr>
          <w:divsChild>
            <w:div w:id="1647974473">
              <w:marLeft w:val="0"/>
              <w:marRight w:val="0"/>
              <w:marTop w:val="0"/>
              <w:marBottom w:val="0"/>
              <w:divBdr>
                <w:top w:val="none" w:sz="0" w:space="0" w:color="auto"/>
                <w:left w:val="none" w:sz="0" w:space="0" w:color="auto"/>
                <w:bottom w:val="none" w:sz="0" w:space="0" w:color="auto"/>
                <w:right w:val="none" w:sz="0" w:space="0" w:color="auto"/>
              </w:divBdr>
            </w:div>
          </w:divsChild>
        </w:div>
        <w:div w:id="1185286549">
          <w:marLeft w:val="0"/>
          <w:marRight w:val="0"/>
          <w:marTop w:val="0"/>
          <w:marBottom w:val="0"/>
          <w:divBdr>
            <w:top w:val="none" w:sz="0" w:space="0" w:color="auto"/>
            <w:left w:val="none" w:sz="0" w:space="0" w:color="auto"/>
            <w:bottom w:val="none" w:sz="0" w:space="0" w:color="auto"/>
            <w:right w:val="none" w:sz="0" w:space="0" w:color="auto"/>
          </w:divBdr>
          <w:divsChild>
            <w:div w:id="850222368">
              <w:marLeft w:val="0"/>
              <w:marRight w:val="0"/>
              <w:marTop w:val="0"/>
              <w:marBottom w:val="0"/>
              <w:divBdr>
                <w:top w:val="none" w:sz="0" w:space="0" w:color="auto"/>
                <w:left w:val="none" w:sz="0" w:space="0" w:color="auto"/>
                <w:bottom w:val="none" w:sz="0" w:space="0" w:color="auto"/>
                <w:right w:val="none" w:sz="0" w:space="0" w:color="auto"/>
              </w:divBdr>
            </w:div>
          </w:divsChild>
        </w:div>
        <w:div w:id="1199854131">
          <w:marLeft w:val="0"/>
          <w:marRight w:val="0"/>
          <w:marTop w:val="0"/>
          <w:marBottom w:val="0"/>
          <w:divBdr>
            <w:top w:val="none" w:sz="0" w:space="0" w:color="auto"/>
            <w:left w:val="none" w:sz="0" w:space="0" w:color="auto"/>
            <w:bottom w:val="none" w:sz="0" w:space="0" w:color="auto"/>
            <w:right w:val="none" w:sz="0" w:space="0" w:color="auto"/>
          </w:divBdr>
          <w:divsChild>
            <w:div w:id="178158332">
              <w:marLeft w:val="0"/>
              <w:marRight w:val="0"/>
              <w:marTop w:val="0"/>
              <w:marBottom w:val="0"/>
              <w:divBdr>
                <w:top w:val="none" w:sz="0" w:space="0" w:color="auto"/>
                <w:left w:val="none" w:sz="0" w:space="0" w:color="auto"/>
                <w:bottom w:val="none" w:sz="0" w:space="0" w:color="auto"/>
                <w:right w:val="none" w:sz="0" w:space="0" w:color="auto"/>
              </w:divBdr>
            </w:div>
          </w:divsChild>
        </w:div>
        <w:div w:id="1225674546">
          <w:marLeft w:val="0"/>
          <w:marRight w:val="0"/>
          <w:marTop w:val="0"/>
          <w:marBottom w:val="0"/>
          <w:divBdr>
            <w:top w:val="none" w:sz="0" w:space="0" w:color="auto"/>
            <w:left w:val="none" w:sz="0" w:space="0" w:color="auto"/>
            <w:bottom w:val="none" w:sz="0" w:space="0" w:color="auto"/>
            <w:right w:val="none" w:sz="0" w:space="0" w:color="auto"/>
          </w:divBdr>
          <w:divsChild>
            <w:div w:id="1994095436">
              <w:marLeft w:val="0"/>
              <w:marRight w:val="0"/>
              <w:marTop w:val="0"/>
              <w:marBottom w:val="0"/>
              <w:divBdr>
                <w:top w:val="none" w:sz="0" w:space="0" w:color="auto"/>
                <w:left w:val="none" w:sz="0" w:space="0" w:color="auto"/>
                <w:bottom w:val="none" w:sz="0" w:space="0" w:color="auto"/>
                <w:right w:val="none" w:sz="0" w:space="0" w:color="auto"/>
              </w:divBdr>
            </w:div>
          </w:divsChild>
        </w:div>
        <w:div w:id="1234966426">
          <w:marLeft w:val="0"/>
          <w:marRight w:val="0"/>
          <w:marTop w:val="0"/>
          <w:marBottom w:val="0"/>
          <w:divBdr>
            <w:top w:val="none" w:sz="0" w:space="0" w:color="auto"/>
            <w:left w:val="none" w:sz="0" w:space="0" w:color="auto"/>
            <w:bottom w:val="none" w:sz="0" w:space="0" w:color="auto"/>
            <w:right w:val="none" w:sz="0" w:space="0" w:color="auto"/>
          </w:divBdr>
          <w:divsChild>
            <w:div w:id="228348525">
              <w:marLeft w:val="0"/>
              <w:marRight w:val="0"/>
              <w:marTop w:val="0"/>
              <w:marBottom w:val="0"/>
              <w:divBdr>
                <w:top w:val="none" w:sz="0" w:space="0" w:color="auto"/>
                <w:left w:val="none" w:sz="0" w:space="0" w:color="auto"/>
                <w:bottom w:val="none" w:sz="0" w:space="0" w:color="auto"/>
                <w:right w:val="none" w:sz="0" w:space="0" w:color="auto"/>
              </w:divBdr>
            </w:div>
          </w:divsChild>
        </w:div>
        <w:div w:id="1281258657">
          <w:marLeft w:val="0"/>
          <w:marRight w:val="0"/>
          <w:marTop w:val="0"/>
          <w:marBottom w:val="0"/>
          <w:divBdr>
            <w:top w:val="none" w:sz="0" w:space="0" w:color="auto"/>
            <w:left w:val="none" w:sz="0" w:space="0" w:color="auto"/>
            <w:bottom w:val="none" w:sz="0" w:space="0" w:color="auto"/>
            <w:right w:val="none" w:sz="0" w:space="0" w:color="auto"/>
          </w:divBdr>
          <w:divsChild>
            <w:div w:id="1775325178">
              <w:marLeft w:val="0"/>
              <w:marRight w:val="0"/>
              <w:marTop w:val="0"/>
              <w:marBottom w:val="0"/>
              <w:divBdr>
                <w:top w:val="none" w:sz="0" w:space="0" w:color="auto"/>
                <w:left w:val="none" w:sz="0" w:space="0" w:color="auto"/>
                <w:bottom w:val="none" w:sz="0" w:space="0" w:color="auto"/>
                <w:right w:val="none" w:sz="0" w:space="0" w:color="auto"/>
              </w:divBdr>
            </w:div>
          </w:divsChild>
        </w:div>
        <w:div w:id="1289969385">
          <w:marLeft w:val="0"/>
          <w:marRight w:val="0"/>
          <w:marTop w:val="0"/>
          <w:marBottom w:val="0"/>
          <w:divBdr>
            <w:top w:val="none" w:sz="0" w:space="0" w:color="auto"/>
            <w:left w:val="none" w:sz="0" w:space="0" w:color="auto"/>
            <w:bottom w:val="none" w:sz="0" w:space="0" w:color="auto"/>
            <w:right w:val="none" w:sz="0" w:space="0" w:color="auto"/>
          </w:divBdr>
          <w:divsChild>
            <w:div w:id="935748950">
              <w:marLeft w:val="0"/>
              <w:marRight w:val="0"/>
              <w:marTop w:val="0"/>
              <w:marBottom w:val="0"/>
              <w:divBdr>
                <w:top w:val="none" w:sz="0" w:space="0" w:color="auto"/>
                <w:left w:val="none" w:sz="0" w:space="0" w:color="auto"/>
                <w:bottom w:val="none" w:sz="0" w:space="0" w:color="auto"/>
                <w:right w:val="none" w:sz="0" w:space="0" w:color="auto"/>
              </w:divBdr>
            </w:div>
          </w:divsChild>
        </w:div>
        <w:div w:id="1296830405">
          <w:marLeft w:val="0"/>
          <w:marRight w:val="0"/>
          <w:marTop w:val="0"/>
          <w:marBottom w:val="0"/>
          <w:divBdr>
            <w:top w:val="none" w:sz="0" w:space="0" w:color="auto"/>
            <w:left w:val="none" w:sz="0" w:space="0" w:color="auto"/>
            <w:bottom w:val="none" w:sz="0" w:space="0" w:color="auto"/>
            <w:right w:val="none" w:sz="0" w:space="0" w:color="auto"/>
          </w:divBdr>
          <w:divsChild>
            <w:div w:id="2112192032">
              <w:marLeft w:val="0"/>
              <w:marRight w:val="0"/>
              <w:marTop w:val="0"/>
              <w:marBottom w:val="0"/>
              <w:divBdr>
                <w:top w:val="none" w:sz="0" w:space="0" w:color="auto"/>
                <w:left w:val="none" w:sz="0" w:space="0" w:color="auto"/>
                <w:bottom w:val="none" w:sz="0" w:space="0" w:color="auto"/>
                <w:right w:val="none" w:sz="0" w:space="0" w:color="auto"/>
              </w:divBdr>
            </w:div>
          </w:divsChild>
        </w:div>
        <w:div w:id="1324893417">
          <w:marLeft w:val="0"/>
          <w:marRight w:val="0"/>
          <w:marTop w:val="0"/>
          <w:marBottom w:val="0"/>
          <w:divBdr>
            <w:top w:val="none" w:sz="0" w:space="0" w:color="auto"/>
            <w:left w:val="none" w:sz="0" w:space="0" w:color="auto"/>
            <w:bottom w:val="none" w:sz="0" w:space="0" w:color="auto"/>
            <w:right w:val="none" w:sz="0" w:space="0" w:color="auto"/>
          </w:divBdr>
          <w:divsChild>
            <w:div w:id="117384944">
              <w:marLeft w:val="0"/>
              <w:marRight w:val="0"/>
              <w:marTop w:val="0"/>
              <w:marBottom w:val="0"/>
              <w:divBdr>
                <w:top w:val="none" w:sz="0" w:space="0" w:color="auto"/>
                <w:left w:val="none" w:sz="0" w:space="0" w:color="auto"/>
                <w:bottom w:val="none" w:sz="0" w:space="0" w:color="auto"/>
                <w:right w:val="none" w:sz="0" w:space="0" w:color="auto"/>
              </w:divBdr>
            </w:div>
          </w:divsChild>
        </w:div>
        <w:div w:id="1379162225">
          <w:marLeft w:val="0"/>
          <w:marRight w:val="0"/>
          <w:marTop w:val="0"/>
          <w:marBottom w:val="0"/>
          <w:divBdr>
            <w:top w:val="none" w:sz="0" w:space="0" w:color="auto"/>
            <w:left w:val="none" w:sz="0" w:space="0" w:color="auto"/>
            <w:bottom w:val="none" w:sz="0" w:space="0" w:color="auto"/>
            <w:right w:val="none" w:sz="0" w:space="0" w:color="auto"/>
          </w:divBdr>
          <w:divsChild>
            <w:div w:id="370813113">
              <w:marLeft w:val="0"/>
              <w:marRight w:val="0"/>
              <w:marTop w:val="0"/>
              <w:marBottom w:val="0"/>
              <w:divBdr>
                <w:top w:val="none" w:sz="0" w:space="0" w:color="auto"/>
                <w:left w:val="none" w:sz="0" w:space="0" w:color="auto"/>
                <w:bottom w:val="none" w:sz="0" w:space="0" w:color="auto"/>
                <w:right w:val="none" w:sz="0" w:space="0" w:color="auto"/>
              </w:divBdr>
            </w:div>
          </w:divsChild>
        </w:div>
        <w:div w:id="1469473320">
          <w:marLeft w:val="0"/>
          <w:marRight w:val="0"/>
          <w:marTop w:val="0"/>
          <w:marBottom w:val="0"/>
          <w:divBdr>
            <w:top w:val="none" w:sz="0" w:space="0" w:color="auto"/>
            <w:left w:val="none" w:sz="0" w:space="0" w:color="auto"/>
            <w:bottom w:val="none" w:sz="0" w:space="0" w:color="auto"/>
            <w:right w:val="none" w:sz="0" w:space="0" w:color="auto"/>
          </w:divBdr>
          <w:divsChild>
            <w:div w:id="295568093">
              <w:marLeft w:val="0"/>
              <w:marRight w:val="0"/>
              <w:marTop w:val="0"/>
              <w:marBottom w:val="0"/>
              <w:divBdr>
                <w:top w:val="none" w:sz="0" w:space="0" w:color="auto"/>
                <w:left w:val="none" w:sz="0" w:space="0" w:color="auto"/>
                <w:bottom w:val="none" w:sz="0" w:space="0" w:color="auto"/>
                <w:right w:val="none" w:sz="0" w:space="0" w:color="auto"/>
              </w:divBdr>
            </w:div>
          </w:divsChild>
        </w:div>
        <w:div w:id="1471434947">
          <w:marLeft w:val="0"/>
          <w:marRight w:val="0"/>
          <w:marTop w:val="0"/>
          <w:marBottom w:val="0"/>
          <w:divBdr>
            <w:top w:val="none" w:sz="0" w:space="0" w:color="auto"/>
            <w:left w:val="none" w:sz="0" w:space="0" w:color="auto"/>
            <w:bottom w:val="none" w:sz="0" w:space="0" w:color="auto"/>
            <w:right w:val="none" w:sz="0" w:space="0" w:color="auto"/>
          </w:divBdr>
          <w:divsChild>
            <w:div w:id="26683537">
              <w:marLeft w:val="0"/>
              <w:marRight w:val="0"/>
              <w:marTop w:val="0"/>
              <w:marBottom w:val="0"/>
              <w:divBdr>
                <w:top w:val="none" w:sz="0" w:space="0" w:color="auto"/>
                <w:left w:val="none" w:sz="0" w:space="0" w:color="auto"/>
                <w:bottom w:val="none" w:sz="0" w:space="0" w:color="auto"/>
                <w:right w:val="none" w:sz="0" w:space="0" w:color="auto"/>
              </w:divBdr>
            </w:div>
          </w:divsChild>
        </w:div>
        <w:div w:id="1504082882">
          <w:marLeft w:val="0"/>
          <w:marRight w:val="0"/>
          <w:marTop w:val="0"/>
          <w:marBottom w:val="0"/>
          <w:divBdr>
            <w:top w:val="none" w:sz="0" w:space="0" w:color="auto"/>
            <w:left w:val="none" w:sz="0" w:space="0" w:color="auto"/>
            <w:bottom w:val="none" w:sz="0" w:space="0" w:color="auto"/>
            <w:right w:val="none" w:sz="0" w:space="0" w:color="auto"/>
          </w:divBdr>
          <w:divsChild>
            <w:div w:id="211623316">
              <w:marLeft w:val="0"/>
              <w:marRight w:val="0"/>
              <w:marTop w:val="0"/>
              <w:marBottom w:val="0"/>
              <w:divBdr>
                <w:top w:val="none" w:sz="0" w:space="0" w:color="auto"/>
                <w:left w:val="none" w:sz="0" w:space="0" w:color="auto"/>
                <w:bottom w:val="none" w:sz="0" w:space="0" w:color="auto"/>
                <w:right w:val="none" w:sz="0" w:space="0" w:color="auto"/>
              </w:divBdr>
            </w:div>
            <w:div w:id="1267807031">
              <w:marLeft w:val="0"/>
              <w:marRight w:val="0"/>
              <w:marTop w:val="0"/>
              <w:marBottom w:val="0"/>
              <w:divBdr>
                <w:top w:val="none" w:sz="0" w:space="0" w:color="auto"/>
                <w:left w:val="none" w:sz="0" w:space="0" w:color="auto"/>
                <w:bottom w:val="none" w:sz="0" w:space="0" w:color="auto"/>
                <w:right w:val="none" w:sz="0" w:space="0" w:color="auto"/>
              </w:divBdr>
            </w:div>
          </w:divsChild>
        </w:div>
        <w:div w:id="1515001965">
          <w:marLeft w:val="0"/>
          <w:marRight w:val="0"/>
          <w:marTop w:val="0"/>
          <w:marBottom w:val="0"/>
          <w:divBdr>
            <w:top w:val="none" w:sz="0" w:space="0" w:color="auto"/>
            <w:left w:val="none" w:sz="0" w:space="0" w:color="auto"/>
            <w:bottom w:val="none" w:sz="0" w:space="0" w:color="auto"/>
            <w:right w:val="none" w:sz="0" w:space="0" w:color="auto"/>
          </w:divBdr>
          <w:divsChild>
            <w:div w:id="1774132635">
              <w:marLeft w:val="0"/>
              <w:marRight w:val="0"/>
              <w:marTop w:val="0"/>
              <w:marBottom w:val="0"/>
              <w:divBdr>
                <w:top w:val="none" w:sz="0" w:space="0" w:color="auto"/>
                <w:left w:val="none" w:sz="0" w:space="0" w:color="auto"/>
                <w:bottom w:val="none" w:sz="0" w:space="0" w:color="auto"/>
                <w:right w:val="none" w:sz="0" w:space="0" w:color="auto"/>
              </w:divBdr>
            </w:div>
          </w:divsChild>
        </w:div>
        <w:div w:id="1581601035">
          <w:marLeft w:val="0"/>
          <w:marRight w:val="0"/>
          <w:marTop w:val="0"/>
          <w:marBottom w:val="0"/>
          <w:divBdr>
            <w:top w:val="none" w:sz="0" w:space="0" w:color="auto"/>
            <w:left w:val="none" w:sz="0" w:space="0" w:color="auto"/>
            <w:bottom w:val="none" w:sz="0" w:space="0" w:color="auto"/>
            <w:right w:val="none" w:sz="0" w:space="0" w:color="auto"/>
          </w:divBdr>
          <w:divsChild>
            <w:div w:id="1923951418">
              <w:marLeft w:val="0"/>
              <w:marRight w:val="0"/>
              <w:marTop w:val="0"/>
              <w:marBottom w:val="0"/>
              <w:divBdr>
                <w:top w:val="none" w:sz="0" w:space="0" w:color="auto"/>
                <w:left w:val="none" w:sz="0" w:space="0" w:color="auto"/>
                <w:bottom w:val="none" w:sz="0" w:space="0" w:color="auto"/>
                <w:right w:val="none" w:sz="0" w:space="0" w:color="auto"/>
              </w:divBdr>
            </w:div>
          </w:divsChild>
        </w:div>
        <w:div w:id="1647317780">
          <w:marLeft w:val="0"/>
          <w:marRight w:val="0"/>
          <w:marTop w:val="0"/>
          <w:marBottom w:val="0"/>
          <w:divBdr>
            <w:top w:val="none" w:sz="0" w:space="0" w:color="auto"/>
            <w:left w:val="none" w:sz="0" w:space="0" w:color="auto"/>
            <w:bottom w:val="none" w:sz="0" w:space="0" w:color="auto"/>
            <w:right w:val="none" w:sz="0" w:space="0" w:color="auto"/>
          </w:divBdr>
          <w:divsChild>
            <w:div w:id="1095596043">
              <w:marLeft w:val="0"/>
              <w:marRight w:val="0"/>
              <w:marTop w:val="0"/>
              <w:marBottom w:val="0"/>
              <w:divBdr>
                <w:top w:val="none" w:sz="0" w:space="0" w:color="auto"/>
                <w:left w:val="none" w:sz="0" w:space="0" w:color="auto"/>
                <w:bottom w:val="none" w:sz="0" w:space="0" w:color="auto"/>
                <w:right w:val="none" w:sz="0" w:space="0" w:color="auto"/>
              </w:divBdr>
            </w:div>
          </w:divsChild>
        </w:div>
        <w:div w:id="1651402215">
          <w:marLeft w:val="0"/>
          <w:marRight w:val="0"/>
          <w:marTop w:val="0"/>
          <w:marBottom w:val="0"/>
          <w:divBdr>
            <w:top w:val="none" w:sz="0" w:space="0" w:color="auto"/>
            <w:left w:val="none" w:sz="0" w:space="0" w:color="auto"/>
            <w:bottom w:val="none" w:sz="0" w:space="0" w:color="auto"/>
            <w:right w:val="none" w:sz="0" w:space="0" w:color="auto"/>
          </w:divBdr>
          <w:divsChild>
            <w:div w:id="768895846">
              <w:marLeft w:val="0"/>
              <w:marRight w:val="0"/>
              <w:marTop w:val="0"/>
              <w:marBottom w:val="0"/>
              <w:divBdr>
                <w:top w:val="none" w:sz="0" w:space="0" w:color="auto"/>
                <w:left w:val="none" w:sz="0" w:space="0" w:color="auto"/>
                <w:bottom w:val="none" w:sz="0" w:space="0" w:color="auto"/>
                <w:right w:val="none" w:sz="0" w:space="0" w:color="auto"/>
              </w:divBdr>
            </w:div>
          </w:divsChild>
        </w:div>
        <w:div w:id="1662811509">
          <w:marLeft w:val="0"/>
          <w:marRight w:val="0"/>
          <w:marTop w:val="0"/>
          <w:marBottom w:val="0"/>
          <w:divBdr>
            <w:top w:val="none" w:sz="0" w:space="0" w:color="auto"/>
            <w:left w:val="none" w:sz="0" w:space="0" w:color="auto"/>
            <w:bottom w:val="none" w:sz="0" w:space="0" w:color="auto"/>
            <w:right w:val="none" w:sz="0" w:space="0" w:color="auto"/>
          </w:divBdr>
          <w:divsChild>
            <w:div w:id="677200836">
              <w:marLeft w:val="0"/>
              <w:marRight w:val="0"/>
              <w:marTop w:val="0"/>
              <w:marBottom w:val="0"/>
              <w:divBdr>
                <w:top w:val="none" w:sz="0" w:space="0" w:color="auto"/>
                <w:left w:val="none" w:sz="0" w:space="0" w:color="auto"/>
                <w:bottom w:val="none" w:sz="0" w:space="0" w:color="auto"/>
                <w:right w:val="none" w:sz="0" w:space="0" w:color="auto"/>
              </w:divBdr>
            </w:div>
          </w:divsChild>
        </w:div>
        <w:div w:id="1675959916">
          <w:marLeft w:val="0"/>
          <w:marRight w:val="0"/>
          <w:marTop w:val="0"/>
          <w:marBottom w:val="0"/>
          <w:divBdr>
            <w:top w:val="none" w:sz="0" w:space="0" w:color="auto"/>
            <w:left w:val="none" w:sz="0" w:space="0" w:color="auto"/>
            <w:bottom w:val="none" w:sz="0" w:space="0" w:color="auto"/>
            <w:right w:val="none" w:sz="0" w:space="0" w:color="auto"/>
          </w:divBdr>
          <w:divsChild>
            <w:div w:id="1061519245">
              <w:marLeft w:val="0"/>
              <w:marRight w:val="0"/>
              <w:marTop w:val="0"/>
              <w:marBottom w:val="0"/>
              <w:divBdr>
                <w:top w:val="none" w:sz="0" w:space="0" w:color="auto"/>
                <w:left w:val="none" w:sz="0" w:space="0" w:color="auto"/>
                <w:bottom w:val="none" w:sz="0" w:space="0" w:color="auto"/>
                <w:right w:val="none" w:sz="0" w:space="0" w:color="auto"/>
              </w:divBdr>
            </w:div>
          </w:divsChild>
        </w:div>
        <w:div w:id="1699044667">
          <w:marLeft w:val="0"/>
          <w:marRight w:val="0"/>
          <w:marTop w:val="0"/>
          <w:marBottom w:val="0"/>
          <w:divBdr>
            <w:top w:val="none" w:sz="0" w:space="0" w:color="auto"/>
            <w:left w:val="none" w:sz="0" w:space="0" w:color="auto"/>
            <w:bottom w:val="none" w:sz="0" w:space="0" w:color="auto"/>
            <w:right w:val="none" w:sz="0" w:space="0" w:color="auto"/>
          </w:divBdr>
          <w:divsChild>
            <w:div w:id="283776404">
              <w:marLeft w:val="0"/>
              <w:marRight w:val="0"/>
              <w:marTop w:val="0"/>
              <w:marBottom w:val="0"/>
              <w:divBdr>
                <w:top w:val="none" w:sz="0" w:space="0" w:color="auto"/>
                <w:left w:val="none" w:sz="0" w:space="0" w:color="auto"/>
                <w:bottom w:val="none" w:sz="0" w:space="0" w:color="auto"/>
                <w:right w:val="none" w:sz="0" w:space="0" w:color="auto"/>
              </w:divBdr>
            </w:div>
          </w:divsChild>
        </w:div>
        <w:div w:id="1830510819">
          <w:marLeft w:val="0"/>
          <w:marRight w:val="0"/>
          <w:marTop w:val="0"/>
          <w:marBottom w:val="0"/>
          <w:divBdr>
            <w:top w:val="none" w:sz="0" w:space="0" w:color="auto"/>
            <w:left w:val="none" w:sz="0" w:space="0" w:color="auto"/>
            <w:bottom w:val="none" w:sz="0" w:space="0" w:color="auto"/>
            <w:right w:val="none" w:sz="0" w:space="0" w:color="auto"/>
          </w:divBdr>
          <w:divsChild>
            <w:div w:id="891961999">
              <w:marLeft w:val="0"/>
              <w:marRight w:val="0"/>
              <w:marTop w:val="0"/>
              <w:marBottom w:val="0"/>
              <w:divBdr>
                <w:top w:val="none" w:sz="0" w:space="0" w:color="auto"/>
                <w:left w:val="none" w:sz="0" w:space="0" w:color="auto"/>
                <w:bottom w:val="none" w:sz="0" w:space="0" w:color="auto"/>
                <w:right w:val="none" w:sz="0" w:space="0" w:color="auto"/>
              </w:divBdr>
            </w:div>
            <w:div w:id="1967465844">
              <w:marLeft w:val="0"/>
              <w:marRight w:val="0"/>
              <w:marTop w:val="0"/>
              <w:marBottom w:val="0"/>
              <w:divBdr>
                <w:top w:val="none" w:sz="0" w:space="0" w:color="auto"/>
                <w:left w:val="none" w:sz="0" w:space="0" w:color="auto"/>
                <w:bottom w:val="none" w:sz="0" w:space="0" w:color="auto"/>
                <w:right w:val="none" w:sz="0" w:space="0" w:color="auto"/>
              </w:divBdr>
            </w:div>
          </w:divsChild>
        </w:div>
        <w:div w:id="1889340941">
          <w:marLeft w:val="0"/>
          <w:marRight w:val="0"/>
          <w:marTop w:val="0"/>
          <w:marBottom w:val="0"/>
          <w:divBdr>
            <w:top w:val="none" w:sz="0" w:space="0" w:color="auto"/>
            <w:left w:val="none" w:sz="0" w:space="0" w:color="auto"/>
            <w:bottom w:val="none" w:sz="0" w:space="0" w:color="auto"/>
            <w:right w:val="none" w:sz="0" w:space="0" w:color="auto"/>
          </w:divBdr>
          <w:divsChild>
            <w:div w:id="1846286958">
              <w:marLeft w:val="0"/>
              <w:marRight w:val="0"/>
              <w:marTop w:val="0"/>
              <w:marBottom w:val="0"/>
              <w:divBdr>
                <w:top w:val="none" w:sz="0" w:space="0" w:color="auto"/>
                <w:left w:val="none" w:sz="0" w:space="0" w:color="auto"/>
                <w:bottom w:val="none" w:sz="0" w:space="0" w:color="auto"/>
                <w:right w:val="none" w:sz="0" w:space="0" w:color="auto"/>
              </w:divBdr>
            </w:div>
          </w:divsChild>
        </w:div>
        <w:div w:id="1942764621">
          <w:marLeft w:val="0"/>
          <w:marRight w:val="0"/>
          <w:marTop w:val="0"/>
          <w:marBottom w:val="0"/>
          <w:divBdr>
            <w:top w:val="none" w:sz="0" w:space="0" w:color="auto"/>
            <w:left w:val="none" w:sz="0" w:space="0" w:color="auto"/>
            <w:bottom w:val="none" w:sz="0" w:space="0" w:color="auto"/>
            <w:right w:val="none" w:sz="0" w:space="0" w:color="auto"/>
          </w:divBdr>
          <w:divsChild>
            <w:div w:id="1269317119">
              <w:marLeft w:val="0"/>
              <w:marRight w:val="0"/>
              <w:marTop w:val="0"/>
              <w:marBottom w:val="0"/>
              <w:divBdr>
                <w:top w:val="none" w:sz="0" w:space="0" w:color="auto"/>
                <w:left w:val="none" w:sz="0" w:space="0" w:color="auto"/>
                <w:bottom w:val="none" w:sz="0" w:space="0" w:color="auto"/>
                <w:right w:val="none" w:sz="0" w:space="0" w:color="auto"/>
              </w:divBdr>
            </w:div>
          </w:divsChild>
        </w:div>
        <w:div w:id="2032484636">
          <w:marLeft w:val="0"/>
          <w:marRight w:val="0"/>
          <w:marTop w:val="0"/>
          <w:marBottom w:val="0"/>
          <w:divBdr>
            <w:top w:val="none" w:sz="0" w:space="0" w:color="auto"/>
            <w:left w:val="none" w:sz="0" w:space="0" w:color="auto"/>
            <w:bottom w:val="none" w:sz="0" w:space="0" w:color="auto"/>
            <w:right w:val="none" w:sz="0" w:space="0" w:color="auto"/>
          </w:divBdr>
          <w:divsChild>
            <w:div w:id="210698600">
              <w:marLeft w:val="0"/>
              <w:marRight w:val="0"/>
              <w:marTop w:val="0"/>
              <w:marBottom w:val="0"/>
              <w:divBdr>
                <w:top w:val="none" w:sz="0" w:space="0" w:color="auto"/>
                <w:left w:val="none" w:sz="0" w:space="0" w:color="auto"/>
                <w:bottom w:val="none" w:sz="0" w:space="0" w:color="auto"/>
                <w:right w:val="none" w:sz="0" w:space="0" w:color="auto"/>
              </w:divBdr>
            </w:div>
          </w:divsChild>
        </w:div>
        <w:div w:id="2046902413">
          <w:marLeft w:val="0"/>
          <w:marRight w:val="0"/>
          <w:marTop w:val="0"/>
          <w:marBottom w:val="0"/>
          <w:divBdr>
            <w:top w:val="none" w:sz="0" w:space="0" w:color="auto"/>
            <w:left w:val="none" w:sz="0" w:space="0" w:color="auto"/>
            <w:bottom w:val="none" w:sz="0" w:space="0" w:color="auto"/>
            <w:right w:val="none" w:sz="0" w:space="0" w:color="auto"/>
          </w:divBdr>
          <w:divsChild>
            <w:div w:id="7804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'Key '!$F$3</c:f>
              <c:strCache>
                <c:ptCount val="1"/>
                <c:pt idx="0">
                  <c:v>Number of responses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'Key '!$E$4:$E$9</c:f>
              <c:strCache>
                <c:ptCount val="6"/>
                <c:pt idx="0">
                  <c:v>Cost comparison</c:v>
                </c:pt>
                <c:pt idx="1">
                  <c:v>Aligning processes</c:v>
                </c:pt>
                <c:pt idx="2">
                  <c:v>Confidential Information</c:v>
                </c:pt>
                <c:pt idx="3">
                  <c:v>Topic Progression</c:v>
                </c:pt>
                <c:pt idx="4">
                  <c:v>Technical Engagement</c:v>
                </c:pt>
                <c:pt idx="5">
                  <c:v>Decisions outside of formal meeting</c:v>
                </c:pt>
              </c:strCache>
            </c:strRef>
          </c:cat>
          <c:val>
            <c:numRef>
              <c:f>'Key '!$F$4:$F$9</c:f>
              <c:numCache>
                <c:formatCode>General</c:formatCode>
                <c:ptCount val="6"/>
                <c:pt idx="0">
                  <c:v>96</c:v>
                </c:pt>
                <c:pt idx="1">
                  <c:v>30</c:v>
                </c:pt>
                <c:pt idx="2">
                  <c:v>113</c:v>
                </c:pt>
                <c:pt idx="3">
                  <c:v>39</c:v>
                </c:pt>
                <c:pt idx="4">
                  <c:v>23</c:v>
                </c:pt>
                <c:pt idx="5">
                  <c:v>37</c:v>
                </c:pt>
              </c:numCache>
            </c:numRef>
          </c:val>
          <c:extLst>
            <c:ext xmlns:c16="http://schemas.microsoft.com/office/drawing/2014/chart" uri="{C3380CC4-5D6E-409C-BE32-E72D297353CC}">
              <c16:uniqueId val="{00000000-D657-45EF-8400-D9A4A4A38D4F}"/>
            </c:ext>
          </c:extLst>
        </c:ser>
        <c:dLbls>
          <c:dLblPos val="inEnd"/>
          <c:showLegendKey val="0"/>
          <c:showVal val="1"/>
          <c:showCatName val="0"/>
          <c:showSerName val="0"/>
          <c:showPercent val="0"/>
          <c:showBubbleSize val="0"/>
        </c:dLbls>
        <c:gapWidth val="41"/>
        <c:axId val="1427250575"/>
        <c:axId val="1305399231"/>
      </c:barChart>
      <c:catAx>
        <c:axId val="14272505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305399231"/>
        <c:crosses val="autoZero"/>
        <c:auto val="1"/>
        <c:lblAlgn val="ctr"/>
        <c:lblOffset val="100"/>
        <c:noMultiLvlLbl val="0"/>
      </c:catAx>
      <c:valAx>
        <c:axId val="1305399231"/>
        <c:scaling>
          <c:orientation val="minMax"/>
        </c:scaling>
        <c:delete val="1"/>
        <c:axPos val="l"/>
        <c:numFmt formatCode="General" sourceLinked="1"/>
        <c:majorTickMark val="none"/>
        <c:minorTickMark val="none"/>
        <c:tickLblPos val="nextTo"/>
        <c:crossAx val="1427250575"/>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5CF0996E03194FB23E6FEFE26B1648" ma:contentTypeVersion="16" ma:contentTypeDescription="Create a new document." ma:contentTypeScope="" ma:versionID="3139e5c995fca16f40f7d192a352ff9e">
  <xsd:schema xmlns:xsd="http://www.w3.org/2001/XMLSchema" xmlns:xs="http://www.w3.org/2001/XMLSchema" xmlns:p="http://schemas.microsoft.com/office/2006/metadata/properties" xmlns:ns2="64a26c78-dda2-4c1f-8532-7e6a4895ef05" xmlns:ns3="7b886931-1db8-4cca-bb44-3d6d3d10cd2f" targetNamespace="http://schemas.microsoft.com/office/2006/metadata/properties" ma:root="true" ma:fieldsID="347d146cf800cd36726a63a0054baed0" ns2:_="" ns3:_="">
    <xsd:import namespace="64a26c78-dda2-4c1f-8532-7e6a4895ef05"/>
    <xsd:import namespace="7b886931-1db8-4cca-bb44-3d6d3d10c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26c78-dda2-4c1f-8532-7e6a4895e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86931-1db8-4cca-bb44-3d6d3d10cd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c44dc65-fed5-4fe5-8bef-e4f6390b52d1}" ma:internalName="TaxCatchAll" ma:showField="CatchAllData" ma:web="7b886931-1db8-4cca-bb44-3d6d3d10c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886931-1db8-4cca-bb44-3d6d3d10cd2f" xsi:nil="true"/>
    <lcf76f155ced4ddcb4097134ff3c332f xmlns="64a26c78-dda2-4c1f-8532-7e6a4895ef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69388-666C-466A-A3C5-06DCC7DC4E99}">
  <ds:schemaRefs>
    <ds:schemaRef ds:uri="http://schemas.openxmlformats.org/officeDocument/2006/bibliography"/>
  </ds:schemaRefs>
</ds:datastoreItem>
</file>

<file path=customXml/itemProps2.xml><?xml version="1.0" encoding="utf-8"?>
<ds:datastoreItem xmlns:ds="http://schemas.openxmlformats.org/officeDocument/2006/customXml" ds:itemID="{E249A713-2EB9-4648-BAB6-A6B78F513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26c78-dda2-4c1f-8532-7e6a4895ef05"/>
    <ds:schemaRef ds:uri="7b886931-1db8-4cca-bb44-3d6d3d10c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24179-DD2B-4782-870C-A934A2D1C31C}">
  <ds:schemaRefs>
    <ds:schemaRef ds:uri="http://purl.org/dc/terms/"/>
    <ds:schemaRef ds:uri="http://purl.org/dc/dcmitype/"/>
    <ds:schemaRef ds:uri="7b886931-1db8-4cca-bb44-3d6d3d10cd2f"/>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64a26c78-dda2-4c1f-8532-7e6a4895ef05"/>
    <ds:schemaRef ds:uri="http://schemas.microsoft.com/office/2006/metadata/properties"/>
  </ds:schemaRefs>
</ds:datastoreItem>
</file>

<file path=customXml/itemProps4.xml><?xml version="1.0" encoding="utf-8"?>
<ds:datastoreItem xmlns:ds="http://schemas.openxmlformats.org/officeDocument/2006/customXml" ds:itemID="{2EAAD8F1-4316-4041-964C-0C0031599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Meindert Boysen</dc:creator>
  <cp:keywords/>
  <dc:description/>
  <cp:lastModifiedBy>Trish Brennan</cp:lastModifiedBy>
  <cp:revision>2</cp:revision>
  <cp:lastPrinted>2018-01-18T14:15:00Z</cp:lastPrinted>
  <dcterms:created xsi:type="dcterms:W3CDTF">2023-10-27T16:46:00Z</dcterms:created>
  <dcterms:modified xsi:type="dcterms:W3CDTF">2023-10-27T16:46:00Z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2023-10-02T22:08:01Z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af00dc44-cefb-4dd7-a72f-62b15d007ba8</vt:lpwstr>
  </property>
  <property fmtid="{D5CDD505-2E9C-101B-9397-08002B2CF9AE}" pid="8" name="MSIP_Label_c69d85d5-6d9e-4305-a294-1f636ec0f2d6_ContentBits">
    <vt:lpwstr>0</vt:lpwstr>
  </property>
  <property fmtid="{D5CDD505-2E9C-101B-9397-08002B2CF9AE}" pid="9" name="ContentTypeId">
    <vt:lpwstr>0x010100005CF0996E03194FB23E6FEFE26B1648</vt:lpwstr>
  </property>
  <property fmtid="{D5CDD505-2E9C-101B-9397-08002B2CF9AE}" pid="10" name="MediaServiceImageTags">
    <vt:lpwstr/>
  </property>
</Properties>
</file>