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56B56" w14:textId="159D5031" w:rsidR="0065159D" w:rsidRPr="008231A0" w:rsidRDefault="00821FF4" w:rsidP="00ED32F7">
      <w:pPr>
        <w:pStyle w:val="Title16pt"/>
        <w:spacing w:after="960"/>
        <w:rPr>
          <w:sz w:val="36"/>
        </w:rPr>
      </w:pPr>
      <w:r>
        <w:rPr>
          <w:sz w:val="36"/>
        </w:rPr>
        <w:t xml:space="preserve"> </w:t>
      </w:r>
      <w:r w:rsidR="0065159D" w:rsidRPr="008231A0">
        <w:rPr>
          <w:sz w:val="36"/>
        </w:rPr>
        <w:t>National Institute for Health and Care Excellence (NICE)</w:t>
      </w:r>
    </w:p>
    <w:p w14:paraId="1F515809" w14:textId="77777777" w:rsidR="0065159D" w:rsidRDefault="0065159D" w:rsidP="00ED32F7">
      <w:pPr>
        <w:pStyle w:val="Title"/>
        <w:spacing w:before="720" w:after="960"/>
      </w:pPr>
      <w:r w:rsidRPr="00F55EEB">
        <w:t>C</w:t>
      </w:r>
      <w:r>
        <w:t>entre for Health Technology Evaluation</w:t>
      </w:r>
    </w:p>
    <w:p w14:paraId="63E44733" w14:textId="74843AFC" w:rsidR="0065159D" w:rsidRPr="008036DF" w:rsidRDefault="0065159D" w:rsidP="00ED32F7">
      <w:pPr>
        <w:pStyle w:val="Title"/>
        <w:spacing w:before="960" w:after="960"/>
      </w:pPr>
      <w:r>
        <w:t>T</w:t>
      </w:r>
      <w:r w:rsidRPr="00F55EEB">
        <w:t>opic selection processes – Proposals for change</w:t>
      </w:r>
    </w:p>
    <w:p w14:paraId="469EC6A5" w14:textId="77777777" w:rsidR="0065159D" w:rsidRDefault="0065159D" w:rsidP="0065159D">
      <w:pPr>
        <w:pStyle w:val="Paragraphnonumbers"/>
      </w:pPr>
    </w:p>
    <w:p w14:paraId="6F0E36C9" w14:textId="77777777" w:rsidR="0065159D" w:rsidRDefault="0065159D" w:rsidP="0065159D">
      <w:pPr>
        <w:pStyle w:val="Paragraphnonumbers"/>
      </w:pPr>
    </w:p>
    <w:p w14:paraId="0F58A9E5" w14:textId="77777777" w:rsidR="0065159D" w:rsidRDefault="0065159D" w:rsidP="0065159D">
      <w:pPr>
        <w:pStyle w:val="Paragraphnonumbers"/>
      </w:pPr>
    </w:p>
    <w:p w14:paraId="577A66D2" w14:textId="77777777" w:rsidR="0065159D" w:rsidRDefault="0065159D" w:rsidP="0065159D">
      <w:pPr>
        <w:pStyle w:val="Paragraphnonumbers"/>
      </w:pPr>
    </w:p>
    <w:p w14:paraId="0DC75BB6" w14:textId="77777777" w:rsidR="0065159D" w:rsidRDefault="0065159D" w:rsidP="0065159D">
      <w:pPr>
        <w:pStyle w:val="Paragraphnonumbers"/>
      </w:pPr>
    </w:p>
    <w:p w14:paraId="34160B4B" w14:textId="77777777" w:rsidR="0065159D" w:rsidRDefault="0065159D" w:rsidP="0065159D">
      <w:pPr>
        <w:pStyle w:val="Paragraphnonumbers"/>
      </w:pPr>
    </w:p>
    <w:p w14:paraId="4CBBFC3C" w14:textId="77777777" w:rsidR="0065159D" w:rsidRDefault="0065159D" w:rsidP="0065159D">
      <w:pPr>
        <w:pStyle w:val="Paragraphnonumbers"/>
      </w:pPr>
    </w:p>
    <w:p w14:paraId="62C86848" w14:textId="77777777" w:rsidR="0065159D" w:rsidRDefault="0065159D" w:rsidP="0065159D">
      <w:pPr>
        <w:pStyle w:val="Paragraphnonumbers"/>
      </w:pPr>
    </w:p>
    <w:p w14:paraId="3D556DDE" w14:textId="77777777" w:rsidR="0065159D" w:rsidRDefault="0065159D" w:rsidP="0065159D">
      <w:pPr>
        <w:pStyle w:val="Paragraphnonumbers"/>
      </w:pPr>
    </w:p>
    <w:p w14:paraId="1164C414" w14:textId="77777777" w:rsidR="0065159D" w:rsidRDefault="0065159D" w:rsidP="0065159D">
      <w:pPr>
        <w:pStyle w:val="Paragraphnonumbers"/>
      </w:pPr>
    </w:p>
    <w:p w14:paraId="61C2F25A" w14:textId="77777777" w:rsidR="0065159D" w:rsidRDefault="0065159D" w:rsidP="0065159D">
      <w:pPr>
        <w:pStyle w:val="Paragraphnonumbers"/>
      </w:pPr>
    </w:p>
    <w:p w14:paraId="0ED864A7" w14:textId="77777777" w:rsidR="0065159D" w:rsidRDefault="0065159D" w:rsidP="0065159D">
      <w:pPr>
        <w:pStyle w:val="Paragraphnonumbers"/>
      </w:pPr>
      <w:r>
        <w:t>Version number: 1</w:t>
      </w:r>
    </w:p>
    <w:p w14:paraId="1E9A1B1C" w14:textId="1EDAF061" w:rsidR="0065159D" w:rsidRDefault="0065159D" w:rsidP="0065159D">
      <w:pPr>
        <w:pStyle w:val="Paragraphnonumbers"/>
      </w:pPr>
      <w:r>
        <w:t xml:space="preserve">First published: </w:t>
      </w:r>
      <w:r w:rsidR="007065A3">
        <w:t>08 October</w:t>
      </w:r>
      <w:r>
        <w:t xml:space="preserve"> 2020</w:t>
      </w:r>
    </w:p>
    <w:p w14:paraId="190EBCBE" w14:textId="77777777" w:rsidR="0065159D" w:rsidRPr="0004307E" w:rsidRDefault="0065159D" w:rsidP="0065159D">
      <w:pPr>
        <w:pStyle w:val="Paragraphnonumbers"/>
      </w:pPr>
      <w:r>
        <w:t>Prepared by: NICE</w:t>
      </w:r>
      <w:r>
        <w:br w:type="page"/>
      </w:r>
    </w:p>
    <w:p w14:paraId="1485F157" w14:textId="77777777" w:rsidR="007076C8" w:rsidRPr="00C30FD9" w:rsidRDefault="007076C8" w:rsidP="007076C8">
      <w:pPr>
        <w:pStyle w:val="Heading1boardreport"/>
      </w:pPr>
      <w:r>
        <w:lastRenderedPageBreak/>
        <w:t xml:space="preserve">Introduction </w:t>
      </w:r>
    </w:p>
    <w:p w14:paraId="71885C5C" w14:textId="0CBB60C2" w:rsidR="007076C8" w:rsidRPr="00F55EEB" w:rsidRDefault="007076C8" w:rsidP="007076C8">
      <w:pPr>
        <w:pStyle w:val="Paragraph"/>
        <w:tabs>
          <w:tab w:val="clear" w:pos="567"/>
          <w:tab w:val="left" w:pos="426"/>
        </w:tabs>
        <w:ind w:left="426" w:hanging="426"/>
      </w:pPr>
      <w:r w:rsidRPr="00F55EEB">
        <w:t xml:space="preserve">The NICE Centre for Health Technology Evaluation </w:t>
      </w:r>
      <w:r w:rsidR="009D5530">
        <w:t xml:space="preserve">(CHTE) </w:t>
      </w:r>
      <w:r w:rsidRPr="00F55EEB">
        <w:t>is responsible for developing the following guidance outputs:</w:t>
      </w:r>
    </w:p>
    <w:p w14:paraId="174C39C0" w14:textId="3D01C61C" w:rsidR="007076C8" w:rsidRDefault="007076C8" w:rsidP="007076C8">
      <w:pPr>
        <w:pStyle w:val="Bulletslast"/>
        <w:numPr>
          <w:ilvl w:val="0"/>
          <w:numId w:val="1"/>
        </w:numPr>
      </w:pPr>
      <w:r w:rsidRPr="00F55EEB">
        <w:t>Diagnostics guidance (DG)</w:t>
      </w:r>
    </w:p>
    <w:p w14:paraId="66AD615D" w14:textId="77777777" w:rsidR="00705532" w:rsidRPr="00F55EEB" w:rsidRDefault="00705532" w:rsidP="00705532">
      <w:pPr>
        <w:pStyle w:val="Bulletslast"/>
        <w:numPr>
          <w:ilvl w:val="0"/>
          <w:numId w:val="1"/>
        </w:numPr>
      </w:pPr>
      <w:r w:rsidRPr="00F55EEB">
        <w:t>Highly specialised technologies guidance (HST)</w:t>
      </w:r>
    </w:p>
    <w:p w14:paraId="625025D5" w14:textId="77777777" w:rsidR="007076C8" w:rsidRPr="00F55EEB" w:rsidRDefault="007076C8" w:rsidP="007076C8">
      <w:pPr>
        <w:pStyle w:val="Bulletslast"/>
        <w:numPr>
          <w:ilvl w:val="0"/>
          <w:numId w:val="1"/>
        </w:numPr>
      </w:pPr>
      <w:r w:rsidRPr="00F55EEB">
        <w:t>Interventional procedures guidance (IPG)</w:t>
      </w:r>
    </w:p>
    <w:p w14:paraId="196156A9" w14:textId="77777777" w:rsidR="007076C8" w:rsidRPr="00F55EEB" w:rsidRDefault="007076C8" w:rsidP="007076C8">
      <w:pPr>
        <w:pStyle w:val="Bulletslast"/>
        <w:numPr>
          <w:ilvl w:val="0"/>
          <w:numId w:val="1"/>
        </w:numPr>
      </w:pPr>
      <w:r w:rsidRPr="00F55EEB">
        <w:t>Medical technologies guidance (MTG)</w:t>
      </w:r>
    </w:p>
    <w:p w14:paraId="46465C06" w14:textId="77777777" w:rsidR="007076C8" w:rsidRPr="00F55EEB" w:rsidRDefault="007076C8" w:rsidP="007076C8">
      <w:pPr>
        <w:pStyle w:val="Bulletslast"/>
        <w:numPr>
          <w:ilvl w:val="0"/>
          <w:numId w:val="1"/>
        </w:numPr>
      </w:pPr>
      <w:r w:rsidRPr="00F55EEB">
        <w:t>Technology appraisals guidance (TA)</w:t>
      </w:r>
    </w:p>
    <w:p w14:paraId="144528BA" w14:textId="1EED1BA3" w:rsidR="007076C8" w:rsidRDefault="007076C8" w:rsidP="007076C8">
      <w:pPr>
        <w:pStyle w:val="Paragraph"/>
        <w:tabs>
          <w:tab w:val="clear" w:pos="567"/>
          <w:tab w:val="left" w:pos="426"/>
        </w:tabs>
        <w:ind w:left="426" w:hanging="426"/>
      </w:pPr>
      <w:bookmarkStart w:id="0" w:name="_Hlk48890969"/>
      <w:r>
        <w:t xml:space="preserve">Topic </w:t>
      </w:r>
      <w:r w:rsidR="003F0BD5">
        <w:t>s</w:t>
      </w:r>
      <w:r>
        <w:t xml:space="preserve">election </w:t>
      </w:r>
      <w:r w:rsidRPr="00F55EEB">
        <w:t xml:space="preserve">plays </w:t>
      </w:r>
      <w:r>
        <w:t>an important role</w:t>
      </w:r>
      <w:r w:rsidRPr="00F55EEB">
        <w:t xml:space="preserve"> in the development of NICE guidance, recognised in the recently published </w:t>
      </w:r>
      <w:hyperlink r:id="rId8" w:history="1">
        <w:r w:rsidRPr="00416970">
          <w:rPr>
            <w:rStyle w:val="Hyperlink"/>
          </w:rPr>
          <w:t>NICE principles</w:t>
        </w:r>
      </w:hyperlink>
      <w:r w:rsidR="00416970">
        <w:t xml:space="preserve"> (principle 1)</w:t>
      </w:r>
      <w:r w:rsidRPr="00F55EEB">
        <w:t xml:space="preserve">. Across NICE a variety of bespoke processes are used to identify, </w:t>
      </w:r>
      <w:proofErr w:type="gramStart"/>
      <w:r w:rsidRPr="00F55EEB">
        <w:t>select</w:t>
      </w:r>
      <w:proofErr w:type="gramEnd"/>
      <w:r w:rsidRPr="00F55EEB">
        <w:t xml:space="preserve"> and route topics to the various guidance producing programmes</w:t>
      </w:r>
      <w:r>
        <w:t>.</w:t>
      </w:r>
    </w:p>
    <w:p w14:paraId="3C38132E" w14:textId="5A29655D" w:rsidR="007076C8" w:rsidRDefault="007076C8" w:rsidP="007076C8">
      <w:pPr>
        <w:pStyle w:val="Paragraph"/>
        <w:tabs>
          <w:tab w:val="clear" w:pos="567"/>
          <w:tab w:val="left" w:pos="426"/>
        </w:tabs>
        <w:ind w:left="426" w:hanging="426"/>
      </w:pPr>
      <w:r w:rsidRPr="00F55EEB">
        <w:t>Topic selection is the process for deciding which topics NICE will produce guidance on and has been designed to support the guidance development process so that topics chosen will protect patient safety and support healthcare professionals and others to provide care of the best possible quality</w:t>
      </w:r>
      <w:bookmarkEnd w:id="0"/>
      <w:r w:rsidRPr="00F55EEB">
        <w:t>.</w:t>
      </w:r>
      <w:r>
        <w:t xml:space="preserve"> </w:t>
      </w:r>
    </w:p>
    <w:p w14:paraId="249E8897" w14:textId="7AFF6E99" w:rsidR="002503D5" w:rsidRDefault="002503D5" w:rsidP="002503D5">
      <w:pPr>
        <w:pStyle w:val="Paragraph"/>
        <w:tabs>
          <w:tab w:val="clear" w:pos="567"/>
          <w:tab w:val="left" w:pos="426"/>
        </w:tabs>
        <w:ind w:left="426" w:hanging="426"/>
      </w:pPr>
      <w:r>
        <w:t xml:space="preserve">The update of these processes gives us the opportunity to ensure appropriate governance and oversight of this important function at NICE. Topic selection for the various NICE guidance types operates in a system governed and affected by a wide and complex range of factors, including </w:t>
      </w:r>
      <w:r w:rsidR="00942A5D">
        <w:t>M</w:t>
      </w:r>
      <w:r>
        <w:t>inisterial referral and company notifications; and has a major impact on expenditure in the NHS. The governance of our topic selection system must therefore be fit for purpose.</w:t>
      </w:r>
    </w:p>
    <w:p w14:paraId="38EC36C7" w14:textId="77777777" w:rsidR="007076C8" w:rsidRDefault="007076C8" w:rsidP="007076C8">
      <w:pPr>
        <w:pStyle w:val="Heading1boardreport"/>
      </w:pPr>
      <w:r>
        <w:t>Background</w:t>
      </w:r>
    </w:p>
    <w:p w14:paraId="58FE3D8B" w14:textId="7262D57E" w:rsidR="007076C8" w:rsidRDefault="007076C8" w:rsidP="007076C8">
      <w:pPr>
        <w:pStyle w:val="Heading2boardreport"/>
      </w:pPr>
      <w:r>
        <w:t>Existing processes</w:t>
      </w:r>
    </w:p>
    <w:p w14:paraId="2C8BE1C0" w14:textId="6715DFAB" w:rsidR="007076C8" w:rsidRPr="00F55EEB" w:rsidRDefault="007076C8" w:rsidP="007076C8">
      <w:pPr>
        <w:pStyle w:val="Paragraph"/>
        <w:tabs>
          <w:tab w:val="clear" w:pos="567"/>
          <w:tab w:val="left" w:pos="426"/>
        </w:tabs>
        <w:ind w:left="426" w:hanging="426"/>
      </w:pPr>
      <w:r w:rsidRPr="00F55EEB">
        <w:t xml:space="preserve">Within the Centre for Health Technology Evaluation, </w:t>
      </w:r>
      <w:r w:rsidR="00D44796">
        <w:t>3</w:t>
      </w:r>
      <w:r w:rsidRPr="00F55EEB">
        <w:t xml:space="preserve"> distinct processes are used, </w:t>
      </w:r>
      <w:proofErr w:type="gramStart"/>
      <w:r w:rsidRPr="00F55EEB">
        <w:t>more or less aligned</w:t>
      </w:r>
      <w:proofErr w:type="gramEnd"/>
      <w:r w:rsidRPr="00F55EEB">
        <w:t xml:space="preserve"> with the type of technology or procedure of interest:</w:t>
      </w:r>
    </w:p>
    <w:p w14:paraId="14371185" w14:textId="3442DBD8" w:rsidR="00705532" w:rsidRPr="00F55EEB" w:rsidRDefault="00705532" w:rsidP="00705532">
      <w:pPr>
        <w:pStyle w:val="Bulletslast"/>
        <w:numPr>
          <w:ilvl w:val="0"/>
          <w:numId w:val="1"/>
        </w:numPr>
      </w:pPr>
      <w:r w:rsidRPr="00F55EEB">
        <w:t xml:space="preserve">Device and diagnostic topics are managed by the Medical Technologies Evaluation </w:t>
      </w:r>
      <w:r w:rsidR="0065159D">
        <w:t>P</w:t>
      </w:r>
      <w:r w:rsidRPr="00F55EEB">
        <w:t xml:space="preserve">rogramme. Information about the processes used is published in the Medical technologies evaluation programme process guide </w:t>
      </w:r>
      <w:hyperlink r:id="rId9" w:history="1">
        <w:r w:rsidRPr="00BF6115">
          <w:rPr>
            <w:rStyle w:val="Hyperlink"/>
          </w:rPr>
          <w:t>(https://www.nice.org.uk/process/pmg34/chapter/identifying-selecting-and-routing-technologies-for-evaluation)</w:t>
        </w:r>
      </w:hyperlink>
      <w:r w:rsidRPr="00F55EEB">
        <w:t xml:space="preserve"> </w:t>
      </w:r>
    </w:p>
    <w:p w14:paraId="0D605DF1" w14:textId="34297154" w:rsidR="007076C8" w:rsidRPr="00F55EEB" w:rsidRDefault="007076C8" w:rsidP="007076C8">
      <w:pPr>
        <w:pStyle w:val="Bulletslast"/>
        <w:numPr>
          <w:ilvl w:val="0"/>
          <w:numId w:val="1"/>
        </w:numPr>
      </w:pPr>
      <w:r w:rsidRPr="00F55EEB">
        <w:lastRenderedPageBreak/>
        <w:t xml:space="preserve">Medicine topics are managed under a standalone Topic Selection process for </w:t>
      </w:r>
      <w:r>
        <w:t>Technology Appraisals</w:t>
      </w:r>
      <w:r w:rsidRPr="00F55EEB">
        <w:t xml:space="preserve"> and H</w:t>
      </w:r>
      <w:r>
        <w:t xml:space="preserve">ighly </w:t>
      </w:r>
      <w:r w:rsidRPr="00F55EEB">
        <w:t>S</w:t>
      </w:r>
      <w:r>
        <w:t>pecialised Technologies</w:t>
      </w:r>
      <w:r w:rsidRPr="00F55EEB">
        <w:t xml:space="preserve">. Information about the processes used is published on the NICE website </w:t>
      </w:r>
      <w:hyperlink r:id="rId10" w:history="1">
        <w:r w:rsidRPr="00BF6115">
          <w:rPr>
            <w:rStyle w:val="Hyperlink"/>
          </w:rPr>
          <w:t>(https://www.nice.org.uk/about/what-we-do/our-programmes/topic-selection#ta-selection)</w:t>
        </w:r>
      </w:hyperlink>
      <w:r w:rsidRPr="00F55EEB">
        <w:t xml:space="preserve">  </w:t>
      </w:r>
    </w:p>
    <w:p w14:paraId="43752C77" w14:textId="3507D85C" w:rsidR="007076C8" w:rsidRDefault="007076C8" w:rsidP="007076C8">
      <w:pPr>
        <w:pStyle w:val="Bulletslast"/>
        <w:numPr>
          <w:ilvl w:val="0"/>
          <w:numId w:val="1"/>
        </w:numPr>
      </w:pPr>
      <w:r w:rsidRPr="00F55EEB">
        <w:t xml:space="preserve">Procedure topics are managed by the </w:t>
      </w:r>
      <w:r w:rsidR="003F0BD5">
        <w:t>I</w:t>
      </w:r>
      <w:r w:rsidRPr="00F55EEB">
        <w:t xml:space="preserve">nterventional </w:t>
      </w:r>
      <w:r w:rsidR="003F0BD5">
        <w:t>P</w:t>
      </w:r>
      <w:r w:rsidRPr="00F55EEB">
        <w:t xml:space="preserve">rocedures team. Information about the processes used is published in the Interventional Procedures programme manual </w:t>
      </w:r>
      <w:hyperlink r:id="rId11" w:history="1">
        <w:r w:rsidRPr="00BF6115">
          <w:rPr>
            <w:rStyle w:val="Hyperlink"/>
          </w:rPr>
          <w:t>(https://www.nice.org.uk/process/pmg28/chapter/introduction)</w:t>
        </w:r>
      </w:hyperlink>
      <w:r w:rsidRPr="00F55EEB">
        <w:t xml:space="preserve"> </w:t>
      </w:r>
    </w:p>
    <w:p w14:paraId="2F5B7CA8" w14:textId="77777777" w:rsidR="002070F1" w:rsidRPr="00440E4F" w:rsidRDefault="002070F1" w:rsidP="007065A3">
      <w:pPr>
        <w:pStyle w:val="Heading2boardreport"/>
      </w:pPr>
      <w:bookmarkStart w:id="1" w:name="_Hlk42848283"/>
      <w:r w:rsidRPr="00440E4F">
        <w:t>Status of NICE guidance</w:t>
      </w:r>
    </w:p>
    <w:bookmarkEnd w:id="1"/>
    <w:p w14:paraId="63CA1677" w14:textId="77777777" w:rsidR="002070F1" w:rsidRPr="00440E4F" w:rsidRDefault="002070F1" w:rsidP="007065A3">
      <w:pPr>
        <w:pStyle w:val="Heading3boardreport"/>
      </w:pPr>
      <w:r w:rsidRPr="00440E4F">
        <w:t xml:space="preserve">Technology Appraisal guidance: </w:t>
      </w:r>
    </w:p>
    <w:p w14:paraId="5ACCC079" w14:textId="77777777" w:rsidR="002070F1" w:rsidRPr="002070F1" w:rsidRDefault="002070F1" w:rsidP="007065A3">
      <w:pPr>
        <w:pStyle w:val="Bullets"/>
        <w:rPr>
          <w:rStyle w:val="Hyperlink"/>
          <w:rFonts w:cs="Arial"/>
          <w:sz w:val="22"/>
          <w:szCs w:val="22"/>
        </w:rPr>
      </w:pPr>
      <w:r w:rsidRPr="007065A3">
        <w:t xml:space="preserve">There is a legal requirement for relevant health bodies to comply with the published recommendations as per </w:t>
      </w:r>
      <w:hyperlink r:id="rId12" w:history="1">
        <w:r w:rsidRPr="002070F1">
          <w:rPr>
            <w:rStyle w:val="Hyperlink"/>
            <w:rFonts w:cs="Arial"/>
            <w:sz w:val="22"/>
            <w:szCs w:val="22"/>
          </w:rPr>
          <w:t xml:space="preserve">Section 7 (6) of the NICE (Constitution and Functions) and the HSCIC (Functions) Regulations 2013. </w:t>
        </w:r>
      </w:hyperlink>
    </w:p>
    <w:p w14:paraId="7C00DBB6" w14:textId="77777777" w:rsidR="002070F1" w:rsidRPr="002070F1" w:rsidRDefault="002070F1" w:rsidP="007065A3">
      <w:pPr>
        <w:pStyle w:val="Bullets"/>
        <w:rPr>
          <w:rStyle w:val="Hyperlink"/>
          <w:rFonts w:cs="Arial"/>
          <w:sz w:val="22"/>
          <w:szCs w:val="22"/>
        </w:rPr>
      </w:pPr>
      <w:r w:rsidRPr="007065A3">
        <w:t>NICE must recover the cost of developing Technology appraisal guidance from the company that expects to market the technology in England, in accordance with</w:t>
      </w:r>
      <w:r w:rsidRPr="00821FF4">
        <w:rPr>
          <w:color w:val="0E0E0E"/>
          <w:shd w:val="clear" w:color="auto" w:fill="FFFFFF"/>
        </w:rPr>
        <w:t> </w:t>
      </w:r>
      <w:hyperlink r:id="rId13" w:history="1">
        <w:r w:rsidRPr="002070F1">
          <w:rPr>
            <w:rStyle w:val="Hyperlink"/>
            <w:rFonts w:cs="Arial"/>
            <w:sz w:val="22"/>
            <w:szCs w:val="22"/>
            <w:shd w:val="clear" w:color="auto" w:fill="FFFFFF"/>
          </w:rPr>
          <w:t>UK Statutory Instrument 2018 No.1322</w:t>
        </w:r>
      </w:hyperlink>
    </w:p>
    <w:p w14:paraId="47F9DBB0" w14:textId="77777777" w:rsidR="002070F1" w:rsidRPr="00440E4F" w:rsidRDefault="002070F1" w:rsidP="002070F1">
      <w:pPr>
        <w:pStyle w:val="ListParagraph"/>
        <w:rPr>
          <w:rStyle w:val="Hyperlink"/>
          <w:rFonts w:ascii="Arial" w:hAnsi="Arial" w:cs="Arial"/>
          <w:sz w:val="22"/>
          <w:szCs w:val="22"/>
        </w:rPr>
      </w:pPr>
    </w:p>
    <w:p w14:paraId="576DD178" w14:textId="499FC910" w:rsidR="002070F1" w:rsidRPr="00440E4F" w:rsidRDefault="002070F1" w:rsidP="007065A3">
      <w:pPr>
        <w:pStyle w:val="Heading3boardreport"/>
      </w:pPr>
      <w:r w:rsidRPr="00440E4F">
        <w:t>Highly specialised technologies guidance</w:t>
      </w:r>
      <w:r w:rsidR="00AC675E">
        <w:t>:</w:t>
      </w:r>
      <w:r w:rsidRPr="00440E4F">
        <w:t xml:space="preserve"> </w:t>
      </w:r>
    </w:p>
    <w:p w14:paraId="2B09BCF7" w14:textId="77777777" w:rsidR="002070F1" w:rsidRPr="00440E4F" w:rsidRDefault="002070F1" w:rsidP="007065A3">
      <w:pPr>
        <w:pStyle w:val="Bullets"/>
        <w:rPr>
          <w:rStyle w:val="Hyperlink"/>
          <w:rFonts w:cs="Arial"/>
          <w:sz w:val="22"/>
          <w:szCs w:val="22"/>
        </w:rPr>
      </w:pPr>
      <w:r w:rsidRPr="00440E4F">
        <w:t xml:space="preserve">There is a legal requirement for relevant health bodies to comply with the published recommendations as per </w:t>
      </w:r>
      <w:hyperlink r:id="rId14" w:history="1">
        <w:r w:rsidRPr="00440E4F">
          <w:rPr>
            <w:rStyle w:val="Hyperlink"/>
            <w:rFonts w:cs="Arial"/>
            <w:sz w:val="22"/>
            <w:szCs w:val="22"/>
          </w:rPr>
          <w:t>Section 8 (6) of the NICE (Constitution and Functions) and the HSCIC (Functions) Regulations 2013.</w:t>
        </w:r>
      </w:hyperlink>
    </w:p>
    <w:p w14:paraId="2FA31770" w14:textId="77777777" w:rsidR="002070F1" w:rsidRPr="00440E4F" w:rsidRDefault="002070F1" w:rsidP="007065A3">
      <w:pPr>
        <w:pStyle w:val="Bullets"/>
        <w:rPr>
          <w:rStyle w:val="Hyperlink"/>
          <w:rFonts w:cs="Arial"/>
          <w:sz w:val="22"/>
          <w:szCs w:val="22"/>
        </w:rPr>
      </w:pPr>
      <w:r w:rsidRPr="00440E4F">
        <w:t>NICE must recover the cost of developing Highly specialised technology guidance from the company that expects to market the technology in England, in accordance with</w:t>
      </w:r>
      <w:r w:rsidRPr="00440E4F">
        <w:rPr>
          <w:color w:val="0E0E0E"/>
          <w:shd w:val="clear" w:color="auto" w:fill="FFFFFF"/>
        </w:rPr>
        <w:t> </w:t>
      </w:r>
      <w:hyperlink r:id="rId15" w:history="1">
        <w:r w:rsidRPr="00440E4F">
          <w:rPr>
            <w:rStyle w:val="Hyperlink"/>
            <w:rFonts w:cs="Arial"/>
            <w:sz w:val="22"/>
            <w:szCs w:val="22"/>
            <w:shd w:val="clear" w:color="auto" w:fill="FFFFFF"/>
          </w:rPr>
          <w:t>UK Statutory Instrument 2018 No.1322</w:t>
        </w:r>
      </w:hyperlink>
    </w:p>
    <w:p w14:paraId="1EC6F703" w14:textId="77777777" w:rsidR="002070F1" w:rsidRPr="00440E4F" w:rsidRDefault="002070F1" w:rsidP="002070F1">
      <w:pPr>
        <w:pStyle w:val="ListParagraph"/>
        <w:rPr>
          <w:rFonts w:ascii="Arial" w:hAnsi="Arial" w:cs="Arial"/>
          <w:sz w:val="22"/>
          <w:szCs w:val="22"/>
        </w:rPr>
      </w:pPr>
    </w:p>
    <w:p w14:paraId="51FEE0F7" w14:textId="64A1A48C" w:rsidR="002070F1" w:rsidRPr="00440E4F" w:rsidRDefault="002070F1" w:rsidP="007065A3">
      <w:pPr>
        <w:pStyle w:val="Heading3boardreport"/>
      </w:pPr>
      <w:r w:rsidRPr="00440E4F">
        <w:t>Medical technologies guidance</w:t>
      </w:r>
      <w:r w:rsidR="00AC675E">
        <w:t>:</w:t>
      </w:r>
    </w:p>
    <w:p w14:paraId="3A094A62" w14:textId="77777777" w:rsidR="002070F1" w:rsidRPr="00440E4F" w:rsidRDefault="002070F1" w:rsidP="007065A3">
      <w:pPr>
        <w:pStyle w:val="Bullets"/>
      </w:pPr>
      <w:r w:rsidRPr="00440E4F">
        <w:t>The legal requirement, Section 7 (6) of the NICE (Constitution and Functions) and the HSCIC (Functions) Regulations 2013, for relevant health bodies to comply with the published recommendations does not apply</w:t>
      </w:r>
    </w:p>
    <w:p w14:paraId="11776599" w14:textId="77777777" w:rsidR="002070F1" w:rsidRPr="00440E4F" w:rsidRDefault="002070F1" w:rsidP="007065A3">
      <w:pPr>
        <w:pStyle w:val="Bullets"/>
        <w:rPr>
          <w:rStyle w:val="Hyperlink"/>
          <w:rFonts w:cs="Arial"/>
          <w:sz w:val="22"/>
          <w:szCs w:val="22"/>
        </w:rPr>
      </w:pPr>
      <w:r w:rsidRPr="00440E4F">
        <w:t xml:space="preserve">Criteria are being developed for recommended and cost saving technologies to receive a MedTech funding mandate as per 3.118 of the </w:t>
      </w:r>
      <w:hyperlink r:id="rId16" w:history="1">
        <w:r w:rsidRPr="00440E4F">
          <w:rPr>
            <w:rStyle w:val="Hyperlink"/>
            <w:rFonts w:cs="Arial"/>
            <w:sz w:val="22"/>
            <w:szCs w:val="22"/>
          </w:rPr>
          <w:t>NHS Long Term Plan</w:t>
        </w:r>
      </w:hyperlink>
    </w:p>
    <w:p w14:paraId="2C8169D0" w14:textId="77777777" w:rsidR="002070F1" w:rsidRPr="00440E4F" w:rsidRDefault="002070F1" w:rsidP="007065A3">
      <w:pPr>
        <w:pStyle w:val="Bullets"/>
      </w:pPr>
      <w:r w:rsidRPr="00440E4F">
        <w:t>NICE do not recover the cost of the developing Medical technologies guidance from the company</w:t>
      </w:r>
    </w:p>
    <w:p w14:paraId="7BC5121F" w14:textId="77777777" w:rsidR="002070F1" w:rsidRPr="00440E4F" w:rsidRDefault="002070F1" w:rsidP="002070F1">
      <w:pPr>
        <w:pStyle w:val="ListParagraph"/>
        <w:rPr>
          <w:rFonts w:ascii="Arial" w:hAnsi="Arial" w:cs="Arial"/>
          <w:sz w:val="22"/>
          <w:szCs w:val="22"/>
        </w:rPr>
      </w:pPr>
    </w:p>
    <w:p w14:paraId="52552CFE" w14:textId="28327E48" w:rsidR="002070F1" w:rsidRPr="00440E4F" w:rsidRDefault="002070F1" w:rsidP="007065A3">
      <w:pPr>
        <w:pStyle w:val="Heading3boardreport"/>
      </w:pPr>
      <w:r w:rsidRPr="00440E4F">
        <w:lastRenderedPageBreak/>
        <w:t>Diagnostics guidance</w:t>
      </w:r>
      <w:r w:rsidR="00AC675E">
        <w:t>:</w:t>
      </w:r>
      <w:r w:rsidRPr="00440E4F">
        <w:t xml:space="preserve"> </w:t>
      </w:r>
    </w:p>
    <w:p w14:paraId="28ABDE52" w14:textId="77777777" w:rsidR="002070F1" w:rsidRPr="00440E4F" w:rsidRDefault="002070F1" w:rsidP="007065A3">
      <w:pPr>
        <w:pStyle w:val="Bullets"/>
      </w:pPr>
      <w:r w:rsidRPr="00440E4F">
        <w:t>The legal requirement, Section 7 (6) of the NICE (Constitution and Functions) and the HSCIC (Functions) Regulations 2013, for relevant health bodies to comply with the published recommendations does not apply</w:t>
      </w:r>
    </w:p>
    <w:p w14:paraId="647CC5A8" w14:textId="77777777" w:rsidR="002070F1" w:rsidRPr="00440E4F" w:rsidRDefault="002070F1" w:rsidP="007065A3">
      <w:pPr>
        <w:pStyle w:val="Bullets"/>
        <w:rPr>
          <w:rStyle w:val="Hyperlink"/>
          <w:rFonts w:cs="Arial"/>
          <w:sz w:val="22"/>
          <w:szCs w:val="22"/>
        </w:rPr>
      </w:pPr>
      <w:r w:rsidRPr="00440E4F">
        <w:t xml:space="preserve">Criteria are being developed for recommended and cost saving technologies to receive a MedTech funding mandate as per 3.118 of the </w:t>
      </w:r>
      <w:hyperlink r:id="rId17" w:history="1">
        <w:r w:rsidRPr="00440E4F">
          <w:rPr>
            <w:rStyle w:val="Hyperlink"/>
            <w:rFonts w:cs="Arial"/>
            <w:sz w:val="22"/>
            <w:szCs w:val="22"/>
          </w:rPr>
          <w:t>NHS Long Term Plan</w:t>
        </w:r>
      </w:hyperlink>
    </w:p>
    <w:p w14:paraId="21B79E04" w14:textId="77777777" w:rsidR="002070F1" w:rsidRPr="00440E4F" w:rsidRDefault="002070F1" w:rsidP="007065A3">
      <w:pPr>
        <w:pStyle w:val="Bullets"/>
      </w:pPr>
      <w:r w:rsidRPr="00440E4F">
        <w:t>NICE do not recover the cost of the developing Diagnostics guidance from the company</w:t>
      </w:r>
    </w:p>
    <w:p w14:paraId="1C35CD15" w14:textId="77777777" w:rsidR="002070F1" w:rsidRPr="00440E4F" w:rsidRDefault="002070F1" w:rsidP="002070F1">
      <w:pPr>
        <w:pStyle w:val="ListParagraph"/>
        <w:rPr>
          <w:rFonts w:ascii="Arial" w:hAnsi="Arial" w:cs="Arial"/>
          <w:sz w:val="22"/>
          <w:szCs w:val="22"/>
        </w:rPr>
      </w:pPr>
    </w:p>
    <w:p w14:paraId="570958FF" w14:textId="487908ED" w:rsidR="002070F1" w:rsidRPr="00440E4F" w:rsidRDefault="002070F1" w:rsidP="007065A3">
      <w:pPr>
        <w:pStyle w:val="Heading3boardreport"/>
      </w:pPr>
      <w:r w:rsidRPr="00440E4F">
        <w:t>Interventional procedures guidance</w:t>
      </w:r>
      <w:r w:rsidR="00AC675E">
        <w:t>:</w:t>
      </w:r>
    </w:p>
    <w:p w14:paraId="1CA81B96" w14:textId="77777777" w:rsidR="002070F1" w:rsidRPr="00440E4F" w:rsidRDefault="002070F1" w:rsidP="007065A3">
      <w:pPr>
        <w:pStyle w:val="Bullets"/>
      </w:pPr>
      <w:r w:rsidRPr="00440E4F">
        <w:t xml:space="preserve">Interventional procedures guidance assesses the procedure’s safety and efficacy evidence only. </w:t>
      </w:r>
    </w:p>
    <w:p w14:paraId="78370103" w14:textId="77777777" w:rsidR="002070F1" w:rsidRPr="00440E4F" w:rsidRDefault="002070F1" w:rsidP="007065A3">
      <w:pPr>
        <w:pStyle w:val="Bullets"/>
      </w:pPr>
      <w:r w:rsidRPr="00440E4F">
        <w:t>The legal requirement, Section 7 (6) of the NICE (Constitution and Functions) and the HSCIC (Functions) Regulations 2013, for relevant health bodies to comply with the published recommendations does not apply</w:t>
      </w:r>
    </w:p>
    <w:p w14:paraId="712EC0C8" w14:textId="052952E5" w:rsidR="002070F1" w:rsidRDefault="002070F1" w:rsidP="002070F1">
      <w:pPr>
        <w:pStyle w:val="Bullets"/>
      </w:pPr>
      <w:r w:rsidRPr="00440E4F">
        <w:t>NICE do not recover the cost of the developing Interventional procedures guidance</w:t>
      </w:r>
    </w:p>
    <w:p w14:paraId="1D5DD2B7" w14:textId="77777777" w:rsidR="00AC675E" w:rsidRPr="00440E4F" w:rsidRDefault="00AC675E" w:rsidP="007065A3">
      <w:pPr>
        <w:pStyle w:val="Bullets"/>
        <w:numPr>
          <w:ilvl w:val="0"/>
          <w:numId w:val="0"/>
        </w:numPr>
        <w:ind w:left="1134"/>
      </w:pPr>
    </w:p>
    <w:p w14:paraId="78E61FB6" w14:textId="7DB789AB" w:rsidR="002070F1" w:rsidRDefault="00AC675E" w:rsidP="007065A3">
      <w:pPr>
        <w:pStyle w:val="Heading2boardreport"/>
      </w:pPr>
      <w:r>
        <w:t>Existing Topic Selection processes</w:t>
      </w:r>
    </w:p>
    <w:p w14:paraId="0137A634" w14:textId="6CFB6F85" w:rsidR="007076C8" w:rsidRPr="0047358A" w:rsidRDefault="007076C8" w:rsidP="007076C8">
      <w:pPr>
        <w:pStyle w:val="Paragraph"/>
        <w:tabs>
          <w:tab w:val="clear" w:pos="567"/>
          <w:tab w:val="left" w:pos="426"/>
        </w:tabs>
        <w:ind w:left="426" w:hanging="426"/>
      </w:pPr>
      <w:r>
        <w:t>There are 3 major stages of Topic Selection</w:t>
      </w:r>
    </w:p>
    <w:p w14:paraId="4EEFCB9E" w14:textId="2EE947F6" w:rsidR="007076C8" w:rsidRDefault="007076C8" w:rsidP="007076C8">
      <w:pPr>
        <w:pStyle w:val="Bullets"/>
      </w:pPr>
      <w:r>
        <w:t>Stage 1 – Topic identification</w:t>
      </w:r>
    </w:p>
    <w:p w14:paraId="6063451D" w14:textId="580706C3" w:rsidR="007076C8" w:rsidRDefault="007076C8" w:rsidP="007076C8">
      <w:pPr>
        <w:pStyle w:val="Bullets"/>
      </w:pPr>
      <w:r>
        <w:t>Stage 2 – Topic Selection</w:t>
      </w:r>
    </w:p>
    <w:p w14:paraId="343CFDD2" w14:textId="471B5A67" w:rsidR="00416970" w:rsidRDefault="007076C8" w:rsidP="00FC2741">
      <w:pPr>
        <w:pStyle w:val="Bullets"/>
        <w:spacing w:after="240"/>
      </w:pPr>
      <w:r>
        <w:t>Stage 3 – Topic Routing</w:t>
      </w:r>
    </w:p>
    <w:p w14:paraId="72BC539E" w14:textId="278E7CE8" w:rsidR="007076C8" w:rsidRPr="0047358A" w:rsidRDefault="007076C8" w:rsidP="00BF6115">
      <w:pPr>
        <w:pStyle w:val="Paragraph"/>
        <w:tabs>
          <w:tab w:val="clear" w:pos="567"/>
          <w:tab w:val="left" w:pos="426"/>
        </w:tabs>
        <w:ind w:left="426" w:hanging="426"/>
      </w:pPr>
      <w:r>
        <w:t xml:space="preserve">Potential topics can be identified using robust and effective horizon scanning systems. The </w:t>
      </w:r>
      <w:r w:rsidRPr="0047358A">
        <w:t>NIHR Innovation Observatory</w:t>
      </w:r>
      <w:r w:rsidR="006049A5">
        <w:t xml:space="preserve"> </w:t>
      </w:r>
      <w:r w:rsidR="008A2AFC">
        <w:t>is used</w:t>
      </w:r>
      <w:r w:rsidRPr="0047358A">
        <w:t xml:space="preserve"> to formally identify and filter </w:t>
      </w:r>
      <w:r w:rsidR="003F0BD5">
        <w:t xml:space="preserve">medicine </w:t>
      </w:r>
      <w:r w:rsidRPr="0047358A">
        <w:t xml:space="preserve">topics through to the </w:t>
      </w:r>
      <w:r w:rsidR="00E46C03">
        <w:t xml:space="preserve">standalone topic </w:t>
      </w:r>
      <w:r w:rsidRPr="0047358A">
        <w:t>selection process</w:t>
      </w:r>
      <w:r w:rsidR="003F0BD5">
        <w:t xml:space="preserve"> for</w:t>
      </w:r>
      <w:r w:rsidR="00E46C03">
        <w:t xml:space="preserve"> </w:t>
      </w:r>
      <w:r w:rsidR="00673352">
        <w:t xml:space="preserve">the </w:t>
      </w:r>
      <w:r w:rsidR="00E46C03">
        <w:t>T</w:t>
      </w:r>
      <w:r w:rsidR="00673352">
        <w:t xml:space="preserve">echnology </w:t>
      </w:r>
      <w:r w:rsidR="00E46C03">
        <w:t>A</w:t>
      </w:r>
      <w:r w:rsidR="00673352">
        <w:t>ppraisals</w:t>
      </w:r>
      <w:r w:rsidR="00E46C03">
        <w:t xml:space="preserve"> and H</w:t>
      </w:r>
      <w:r w:rsidR="00673352">
        <w:t xml:space="preserve">ighly </w:t>
      </w:r>
      <w:r w:rsidR="00E46C03">
        <w:t>S</w:t>
      </w:r>
      <w:r w:rsidR="00673352">
        <w:t xml:space="preserve">pecialised </w:t>
      </w:r>
      <w:r w:rsidR="00E46C03">
        <w:t>T</w:t>
      </w:r>
      <w:r w:rsidR="00673352">
        <w:t>echnologies programmes</w:t>
      </w:r>
      <w:r w:rsidRPr="0047358A">
        <w:t xml:space="preserve">. The NIHR Innovation Observatory also utilise information provided directly by companies within UK </w:t>
      </w:r>
      <w:proofErr w:type="spellStart"/>
      <w:r w:rsidRPr="0047358A">
        <w:t>PharmaScan</w:t>
      </w:r>
      <w:proofErr w:type="spellEnd"/>
      <w:r w:rsidRPr="0047358A">
        <w:t xml:space="preserve"> (a secure online system hosted by NICE) to aid their horizon scanning techniques. </w:t>
      </w:r>
      <w:proofErr w:type="spellStart"/>
      <w:r w:rsidRPr="0047358A">
        <w:t>HealthTechConnect</w:t>
      </w:r>
      <w:proofErr w:type="spellEnd"/>
      <w:r w:rsidRPr="0047358A">
        <w:t xml:space="preserve"> </w:t>
      </w:r>
      <w:r w:rsidR="00E46C03">
        <w:t xml:space="preserve">(a secure online system also hosted by NICE) was launched in 2019 and is used to identify device, </w:t>
      </w:r>
      <w:proofErr w:type="gramStart"/>
      <w:r w:rsidR="00E46C03">
        <w:t>diagnostics</w:t>
      </w:r>
      <w:proofErr w:type="gramEnd"/>
      <w:r w:rsidR="00E46C03">
        <w:t xml:space="preserve"> and digital topics for the </w:t>
      </w:r>
      <w:r w:rsidR="00673352">
        <w:t xml:space="preserve">medical technologies evaluation </w:t>
      </w:r>
      <w:proofErr w:type="spellStart"/>
      <w:r w:rsidR="00673352">
        <w:t>progamme</w:t>
      </w:r>
      <w:proofErr w:type="spellEnd"/>
      <w:r w:rsidR="00E46C03">
        <w:t xml:space="preserve"> topic selection process. The NIHR Innovation Observatory do not </w:t>
      </w:r>
      <w:r w:rsidR="008A2AFC">
        <w:t>identify or filter topics into this process.</w:t>
      </w:r>
      <w:r w:rsidR="00E46C03">
        <w:t xml:space="preserve"> </w:t>
      </w:r>
    </w:p>
    <w:p w14:paraId="3DE0D906" w14:textId="28F75283" w:rsidR="007076C8" w:rsidRPr="0047358A" w:rsidRDefault="007076C8" w:rsidP="007076C8">
      <w:pPr>
        <w:pStyle w:val="Paragraph"/>
        <w:tabs>
          <w:tab w:val="clear" w:pos="567"/>
          <w:tab w:val="left" w:pos="426"/>
        </w:tabs>
        <w:ind w:left="426" w:hanging="426"/>
      </w:pPr>
      <w:r>
        <w:lastRenderedPageBreak/>
        <w:t xml:space="preserve">In addition to </w:t>
      </w:r>
      <w:r w:rsidRPr="0047358A">
        <w:t xml:space="preserve">the 3 major horizon scanning systems clinicians, </w:t>
      </w:r>
      <w:proofErr w:type="gramStart"/>
      <w:r w:rsidRPr="0047358A">
        <w:t>patients</w:t>
      </w:r>
      <w:proofErr w:type="gramEnd"/>
      <w:r w:rsidRPr="0047358A">
        <w:t xml:space="preserve"> and the public</w:t>
      </w:r>
      <w:r>
        <w:t>, and other organisations such as NHS England</w:t>
      </w:r>
      <w:r w:rsidR="00E860CD">
        <w:t xml:space="preserve"> and I</w:t>
      </w:r>
      <w:r w:rsidR="00520269">
        <w:t>mprovement</w:t>
      </w:r>
      <w:r w:rsidRPr="0047358A">
        <w:t xml:space="preserve"> </w:t>
      </w:r>
      <w:r>
        <w:t xml:space="preserve">can also </w:t>
      </w:r>
      <w:r w:rsidRPr="0047358A">
        <w:t xml:space="preserve">identify potential topics </w:t>
      </w:r>
      <w:r>
        <w:t>for consideration in</w:t>
      </w:r>
      <w:r w:rsidRPr="0047358A">
        <w:t xml:space="preserve"> the </w:t>
      </w:r>
      <w:r w:rsidRPr="00F55EEB">
        <w:t>Centre for Health Technology Evaluation</w:t>
      </w:r>
      <w:r w:rsidRPr="0047358A">
        <w:t xml:space="preserve"> programmes. This route is used more often for identifying topics for I</w:t>
      </w:r>
      <w:r>
        <w:t xml:space="preserve">nterventional </w:t>
      </w:r>
      <w:r w:rsidRPr="0047358A">
        <w:t>P</w:t>
      </w:r>
      <w:r>
        <w:t>rocedures</w:t>
      </w:r>
      <w:r w:rsidRPr="0047358A">
        <w:t>, M</w:t>
      </w:r>
      <w:r>
        <w:t xml:space="preserve">edical </w:t>
      </w:r>
      <w:proofErr w:type="gramStart"/>
      <w:r>
        <w:t>Technologies</w:t>
      </w:r>
      <w:proofErr w:type="gramEnd"/>
      <w:r w:rsidRPr="0047358A">
        <w:t xml:space="preserve"> and D</w:t>
      </w:r>
      <w:r>
        <w:t>iagnostics guidance</w:t>
      </w:r>
      <w:r w:rsidRPr="0047358A">
        <w:t xml:space="preserve"> rather than for T</w:t>
      </w:r>
      <w:r>
        <w:t xml:space="preserve">echnology </w:t>
      </w:r>
      <w:r w:rsidRPr="0047358A">
        <w:t>A</w:t>
      </w:r>
      <w:r>
        <w:t>ppraisals</w:t>
      </w:r>
      <w:r w:rsidRPr="0047358A">
        <w:t xml:space="preserve"> and H</w:t>
      </w:r>
      <w:r>
        <w:t xml:space="preserve">ighly Specialised </w:t>
      </w:r>
      <w:r w:rsidRPr="0047358A">
        <w:t>T</w:t>
      </w:r>
      <w:r>
        <w:t>echnologies</w:t>
      </w:r>
      <w:r w:rsidRPr="0047358A">
        <w:t xml:space="preserve"> guidance. </w:t>
      </w:r>
    </w:p>
    <w:p w14:paraId="75F28222" w14:textId="02C99307" w:rsidR="007076C8" w:rsidRDefault="007076C8" w:rsidP="007076C8">
      <w:pPr>
        <w:pStyle w:val="Paragraph"/>
        <w:tabs>
          <w:tab w:val="clear" w:pos="567"/>
          <w:tab w:val="left" w:pos="426"/>
        </w:tabs>
        <w:ind w:left="426" w:hanging="426"/>
      </w:pPr>
      <w:proofErr w:type="gramStart"/>
      <w:r w:rsidRPr="00F55EEB">
        <w:t xml:space="preserve">All </w:t>
      </w:r>
      <w:r>
        <w:t>of</w:t>
      </w:r>
      <w:proofErr w:type="gramEnd"/>
      <w:r>
        <w:t xml:space="preserve"> the </w:t>
      </w:r>
      <w:r w:rsidRPr="00F55EEB">
        <w:t>Centre for Health Technology Evaluation</w:t>
      </w:r>
      <w:r>
        <w:t xml:space="preserve"> </w:t>
      </w:r>
      <w:r w:rsidR="008A2AFC">
        <w:t>t</w:t>
      </w:r>
      <w:r>
        <w:t xml:space="preserve">opic </w:t>
      </w:r>
      <w:r w:rsidR="008A2AFC">
        <w:t>s</w:t>
      </w:r>
      <w:r>
        <w:t xml:space="preserve">election </w:t>
      </w:r>
      <w:r w:rsidRPr="00F55EEB">
        <w:t xml:space="preserve">processes have gone through significant change over the years, from using external topic selection panels and committees, to decision making groups involving predominantly health system partners and NICE staff. Rather than continue to update the various approaches used for topic selection, there is now the opportunity to consolidate </w:t>
      </w:r>
      <w:r w:rsidR="00942A5D">
        <w:t xml:space="preserve">and </w:t>
      </w:r>
      <w:r w:rsidR="0096180A">
        <w:t>provide information about them in</w:t>
      </w:r>
      <w:r>
        <w:t xml:space="preserve"> a single topic selection manual to make information simpler and easier to find and understand</w:t>
      </w:r>
      <w:r w:rsidRPr="00F55EEB">
        <w:t xml:space="preserve">. </w:t>
      </w:r>
    </w:p>
    <w:p w14:paraId="73775313" w14:textId="10482F3A" w:rsidR="007076C8" w:rsidRDefault="007076C8" w:rsidP="007076C8">
      <w:pPr>
        <w:pStyle w:val="Paragraph"/>
        <w:tabs>
          <w:tab w:val="clear" w:pos="567"/>
          <w:tab w:val="left" w:pos="426"/>
        </w:tabs>
        <w:ind w:left="426" w:hanging="426"/>
      </w:pPr>
      <w:r>
        <w:t>A consolidation exercise</w:t>
      </w:r>
      <w:r w:rsidRPr="00F55EEB">
        <w:t xml:space="preserve"> will </w:t>
      </w:r>
      <w:r w:rsidR="0096180A" w:rsidRPr="0096180A">
        <w:t xml:space="preserve">identify ways in which to make topic selection processes more agile, </w:t>
      </w:r>
      <w:proofErr w:type="gramStart"/>
      <w:r w:rsidR="0096180A" w:rsidRPr="0096180A">
        <w:t>efficient</w:t>
      </w:r>
      <w:proofErr w:type="gramEnd"/>
      <w:r w:rsidR="0096180A" w:rsidRPr="0096180A">
        <w:t xml:space="preserve"> and responsive </w:t>
      </w:r>
      <w:r w:rsidR="0096180A">
        <w:t xml:space="preserve">and </w:t>
      </w:r>
      <w:r w:rsidRPr="00F55EEB">
        <w:t xml:space="preserve">allow for confirmation of the governance arrangements for topic selection across </w:t>
      </w:r>
      <w:r w:rsidR="0096180A">
        <w:t xml:space="preserve">the </w:t>
      </w:r>
      <w:r w:rsidRPr="00F55EEB">
        <w:t>Centre for Health Technology Evaluation</w:t>
      </w:r>
      <w:r w:rsidR="00673352">
        <w:t xml:space="preserve">. Decisions to select a topic for </w:t>
      </w:r>
      <w:r w:rsidR="00673352" w:rsidRPr="00F55EEB">
        <w:t xml:space="preserve">either the Technology </w:t>
      </w:r>
      <w:r w:rsidR="00673352">
        <w:t>a</w:t>
      </w:r>
      <w:r w:rsidR="00673352" w:rsidRPr="00F55EEB">
        <w:t xml:space="preserve">ppraisals or the Highly </w:t>
      </w:r>
      <w:r w:rsidR="00673352">
        <w:t>s</w:t>
      </w:r>
      <w:r w:rsidR="00673352" w:rsidRPr="00F55EEB">
        <w:t xml:space="preserve">pecialised </w:t>
      </w:r>
      <w:r w:rsidR="00673352">
        <w:t>t</w:t>
      </w:r>
      <w:r w:rsidR="00673352" w:rsidRPr="00F55EEB">
        <w:t xml:space="preserve">echnologies </w:t>
      </w:r>
      <w:r w:rsidR="00673352">
        <w:t>programmes</w:t>
      </w:r>
      <w:r w:rsidR="00673352" w:rsidRPr="00F55EEB" w:rsidDel="0096180A">
        <w:t xml:space="preserve"> </w:t>
      </w:r>
      <w:r w:rsidR="009D5530">
        <w:t xml:space="preserve">require a formal ministerial referral (under the 2013 Regulations), but the referral does not define the type of guidance that will be developed. This </w:t>
      </w:r>
      <w:r w:rsidR="00673352">
        <w:t xml:space="preserve">routing decision </w:t>
      </w:r>
      <w:r w:rsidR="009D5530">
        <w:t xml:space="preserve">is </w:t>
      </w:r>
      <w:r w:rsidRPr="00F55EEB">
        <w:t>considered a specific responsibility of NICE</w:t>
      </w:r>
      <w:r w:rsidR="009D5530">
        <w:t>.</w:t>
      </w:r>
      <w:r w:rsidR="00673352">
        <w:t xml:space="preserve"> </w:t>
      </w:r>
      <w:r w:rsidR="00416970">
        <w:t xml:space="preserve">Selection </w:t>
      </w:r>
      <w:r w:rsidRPr="00F55EEB">
        <w:t xml:space="preserve">of topics </w:t>
      </w:r>
      <w:r w:rsidR="00416970">
        <w:t>for</w:t>
      </w:r>
      <w:r w:rsidRPr="00F55EEB">
        <w:t xml:space="preserve"> Medical technologies guidance, Diagnostics guidance and Interventional </w:t>
      </w:r>
      <w:r w:rsidR="00673352">
        <w:t>P</w:t>
      </w:r>
      <w:r w:rsidRPr="00F55EEB">
        <w:t>rocedures guidance does not fall under ministerial responsibility.</w:t>
      </w:r>
      <w:r>
        <w:t xml:space="preserve"> </w:t>
      </w:r>
    </w:p>
    <w:p w14:paraId="43BB0281" w14:textId="77777777" w:rsidR="007076C8" w:rsidRPr="00F55EEB" w:rsidRDefault="007076C8" w:rsidP="007076C8">
      <w:pPr>
        <w:pStyle w:val="Heading2boardreport"/>
      </w:pPr>
      <w:r>
        <w:t xml:space="preserve">The link with NICE Connect and other policy initiatives </w:t>
      </w:r>
    </w:p>
    <w:p w14:paraId="785BD96A" w14:textId="1815EED7" w:rsidR="007076C8" w:rsidRPr="00F55EEB" w:rsidRDefault="007076C8" w:rsidP="007076C8">
      <w:pPr>
        <w:pStyle w:val="Paragraph"/>
        <w:tabs>
          <w:tab w:val="clear" w:pos="567"/>
          <w:tab w:val="left" w:pos="426"/>
        </w:tabs>
        <w:ind w:left="426" w:hanging="426"/>
      </w:pPr>
      <w:bookmarkStart w:id="2" w:name="_Hlk48892621"/>
      <w:r w:rsidRPr="00F55EEB">
        <w:t xml:space="preserve">The NICE Connect programme will </w:t>
      </w:r>
      <w:r>
        <w:t>consider options for</w:t>
      </w:r>
      <w:r w:rsidRPr="00F55EEB">
        <w:t xml:space="preserve"> topic selection across NICE. All guidance producing programmes use some form of topic selection.</w:t>
      </w:r>
      <w:r w:rsidR="00673352">
        <w:t xml:space="preserve"> </w:t>
      </w:r>
      <w:r w:rsidR="0096180A">
        <w:t>However, i</w:t>
      </w:r>
      <w:r w:rsidRPr="00F55EEB">
        <w:t>n order to facilitate delivery of the commitments and requirements within the</w:t>
      </w:r>
      <w:r w:rsidR="00942A5D">
        <w:t xml:space="preserve"> 2019</w:t>
      </w:r>
      <w:r w:rsidRPr="00F55EEB">
        <w:t xml:space="preserve"> </w:t>
      </w:r>
      <w:hyperlink r:id="rId18" w:history="1">
        <w:r w:rsidR="00942A5D">
          <w:rPr>
            <w:rStyle w:val="Hyperlink"/>
          </w:rPr>
          <w:t>Voluntary scheme for Branded Medicines Pricing and Access</w:t>
        </w:r>
      </w:hyperlink>
      <w:r w:rsidRPr="00F55EEB">
        <w:t xml:space="preserve"> the Centre for Health Technology Evaluation needs </w:t>
      </w:r>
      <w:r w:rsidR="0096180A">
        <w:t xml:space="preserve">to run ahead of NICE connect and </w:t>
      </w:r>
      <w:r w:rsidRPr="00F55EEB">
        <w:t>implement change</w:t>
      </w:r>
      <w:r w:rsidR="0096180A">
        <w:t>s</w:t>
      </w:r>
      <w:r w:rsidRPr="00F55EEB">
        <w:t xml:space="preserve"> to </w:t>
      </w:r>
      <w:r w:rsidR="00BA05A5">
        <w:t>its own</w:t>
      </w:r>
      <w:r w:rsidRPr="00F55EEB">
        <w:t xml:space="preserve"> topic selection processes in 2020. The changes proposed within this document are not considered to conflict with the wider ambition of NICE Connect for alignment and consolidation</w:t>
      </w:r>
      <w:bookmarkEnd w:id="2"/>
      <w:r w:rsidRPr="00F55EEB">
        <w:t>.</w:t>
      </w:r>
    </w:p>
    <w:p w14:paraId="76B0AD71" w14:textId="276B6D32" w:rsidR="007076C8" w:rsidRPr="00F55EEB" w:rsidRDefault="00334145" w:rsidP="007076C8">
      <w:pPr>
        <w:pStyle w:val="Paragraph"/>
        <w:tabs>
          <w:tab w:val="clear" w:pos="567"/>
          <w:tab w:val="left" w:pos="426"/>
        </w:tabs>
        <w:ind w:left="426" w:hanging="426"/>
      </w:pPr>
      <w:bookmarkStart w:id="3" w:name="_Hlk48892657"/>
      <w:r>
        <w:t xml:space="preserve">New responsibilities have recently been added to NICEs work. </w:t>
      </w:r>
      <w:r w:rsidRPr="005D6CAC">
        <w:t xml:space="preserve">For example, </w:t>
      </w:r>
      <w:r>
        <w:t>t</w:t>
      </w:r>
      <w:r w:rsidRPr="005D6CAC">
        <w:t xml:space="preserve">he </w:t>
      </w:r>
      <w:hyperlink r:id="rId19" w:history="1">
        <w:r w:rsidRPr="005D6CAC">
          <w:rPr>
            <w:rStyle w:val="Hyperlink"/>
          </w:rPr>
          <w:t>Accelerated Access Review</w:t>
        </w:r>
      </w:hyperlink>
      <w:r>
        <w:t xml:space="preserve">, </w:t>
      </w:r>
      <w:r w:rsidRPr="005D6CAC">
        <w:t xml:space="preserve">the </w:t>
      </w:r>
      <w:hyperlink r:id="rId20" w:history="1">
        <w:r w:rsidRPr="005D6CAC">
          <w:rPr>
            <w:rStyle w:val="Hyperlink"/>
          </w:rPr>
          <w:t>government’s response</w:t>
        </w:r>
      </w:hyperlink>
      <w:r w:rsidRPr="005D6CAC">
        <w:t xml:space="preserve"> to it, the </w:t>
      </w:r>
      <w:hyperlink r:id="rId21" w:history="1">
        <w:r w:rsidRPr="005D6CAC">
          <w:rPr>
            <w:rStyle w:val="Hyperlink"/>
          </w:rPr>
          <w:t>Life Sciences Sector Deal 2</w:t>
        </w:r>
      </w:hyperlink>
      <w:r w:rsidRPr="005D6CAC">
        <w:t>, the</w:t>
      </w:r>
      <w:r>
        <w:t xml:space="preserve"> 2019</w:t>
      </w:r>
      <w:r w:rsidRPr="005D6CAC">
        <w:t xml:space="preserve"> </w:t>
      </w:r>
      <w:hyperlink r:id="rId22" w:history="1">
        <w:r w:rsidRPr="005D6CAC">
          <w:rPr>
            <w:rStyle w:val="Hyperlink"/>
          </w:rPr>
          <w:t>Voluntary Scheme for Branded Medicines Pricing and Access</w:t>
        </w:r>
      </w:hyperlink>
      <w:r w:rsidRPr="005D6CAC">
        <w:t xml:space="preserve">, and the </w:t>
      </w:r>
      <w:hyperlink r:id="rId23" w:history="1">
        <w:r w:rsidRPr="005D6CAC">
          <w:rPr>
            <w:rStyle w:val="Hyperlink"/>
          </w:rPr>
          <w:t>NHS Long Term Plan</w:t>
        </w:r>
      </w:hyperlink>
      <w:r w:rsidR="007076C8" w:rsidRPr="00F55EEB">
        <w:t xml:space="preserve">. All these policy initiatives place greater demands on NICE to issue guidance and advice on more topics, more quickly and with a greater degree of implementation support. New technologies have also emerged that are not explicitly included in existing processes, such as </w:t>
      </w:r>
      <w:r w:rsidR="007076C8" w:rsidRPr="00F55EEB">
        <w:lastRenderedPageBreak/>
        <w:t>integrated technologies which could include a combination of digital, diagnostic or treatment components, and we need to consider where these topics should be routed.</w:t>
      </w:r>
    </w:p>
    <w:bookmarkEnd w:id="3"/>
    <w:p w14:paraId="72FAC4A7" w14:textId="0064DEFB" w:rsidR="007076C8" w:rsidRDefault="007076C8" w:rsidP="007076C8">
      <w:pPr>
        <w:pStyle w:val="Paragraph"/>
        <w:tabs>
          <w:tab w:val="clear" w:pos="567"/>
          <w:tab w:val="left" w:pos="426"/>
        </w:tabs>
        <w:ind w:left="426" w:hanging="426"/>
      </w:pPr>
      <w:r w:rsidRPr="00F55EEB">
        <w:t xml:space="preserve">A key component of the Accelerated Access Collaborative (AAC) and the NHS Long Term plan is to develop existing horizon scanning tools and techniques in order to improve forecasting and demand signalling for those products that require accelerated access and increased implementation support. The </w:t>
      </w:r>
      <w:r w:rsidR="00BA05A5">
        <w:t>NIHR</w:t>
      </w:r>
      <w:r w:rsidRPr="00F55EEB">
        <w:t xml:space="preserve"> Innovation Observatory has been commissioned by the AAC to extend their current contractual arrangements to act as a key supplier of this information, utilising and analysing its digital capabilities and rich dataset. This will build upon the function that the </w:t>
      </w:r>
      <w:r>
        <w:t xml:space="preserve">Innovation Observatory </w:t>
      </w:r>
      <w:r w:rsidRPr="00F55EEB">
        <w:t xml:space="preserve">already provides for </w:t>
      </w:r>
      <w:r w:rsidR="00914463">
        <w:t xml:space="preserve">identifying and filtering medicine topics and expand it to include </w:t>
      </w:r>
      <w:r w:rsidRPr="00F55EEB">
        <w:t>devices</w:t>
      </w:r>
      <w:r w:rsidR="00914463">
        <w:t>,</w:t>
      </w:r>
      <w:r w:rsidR="00673352">
        <w:t xml:space="preserve"> </w:t>
      </w:r>
      <w:proofErr w:type="gramStart"/>
      <w:r w:rsidRPr="00F55EEB">
        <w:t>diagnostics</w:t>
      </w:r>
      <w:proofErr w:type="gramEnd"/>
      <w:r w:rsidR="00914463">
        <w:t xml:space="preserve"> and digital technologies</w:t>
      </w:r>
      <w:r w:rsidRPr="00F55EEB">
        <w:t xml:space="preserve">. This may have the consequence of increased activity and requirements </w:t>
      </w:r>
      <w:r w:rsidR="00BA05A5">
        <w:t>for topic selection</w:t>
      </w:r>
      <w:r w:rsidRPr="00F55EEB">
        <w:t>.</w:t>
      </w:r>
    </w:p>
    <w:p w14:paraId="19573D92" w14:textId="77777777" w:rsidR="007076C8" w:rsidRDefault="007076C8" w:rsidP="007076C8">
      <w:pPr>
        <w:pStyle w:val="Heading1boardreport"/>
      </w:pPr>
      <w:r>
        <w:t>Proposals for change</w:t>
      </w:r>
    </w:p>
    <w:p w14:paraId="42E1CA1A" w14:textId="77777777" w:rsidR="007076C8" w:rsidRDefault="007076C8" w:rsidP="007076C8">
      <w:pPr>
        <w:pStyle w:val="Heading2boardreport"/>
      </w:pPr>
      <w:r>
        <w:t>Summary of changes</w:t>
      </w:r>
    </w:p>
    <w:p w14:paraId="6B132CE5" w14:textId="77777777" w:rsidR="007076C8" w:rsidRPr="00F55EEB" w:rsidRDefault="007076C8" w:rsidP="007076C8">
      <w:pPr>
        <w:pStyle w:val="Paragraph"/>
        <w:tabs>
          <w:tab w:val="clear" w:pos="567"/>
          <w:tab w:val="left" w:pos="426"/>
        </w:tabs>
        <w:ind w:left="426" w:hanging="426"/>
      </w:pPr>
      <w:r w:rsidRPr="00FF6B29">
        <w:t>This paper outlines proposals</w:t>
      </w:r>
      <w:r w:rsidRPr="00F55EEB">
        <w:t xml:space="preserve"> to:</w:t>
      </w:r>
    </w:p>
    <w:p w14:paraId="59AE4B25" w14:textId="77777777" w:rsidR="007076C8" w:rsidRDefault="007076C8" w:rsidP="007076C8">
      <w:pPr>
        <w:pStyle w:val="Bullets"/>
      </w:pPr>
      <w:r>
        <w:t>Consolidate existing eligibility, selection, and routing criteria to improve clarity</w:t>
      </w:r>
    </w:p>
    <w:p w14:paraId="0E85B152" w14:textId="77777777" w:rsidR="007076C8" w:rsidRDefault="007076C8" w:rsidP="007076C8">
      <w:pPr>
        <w:pStyle w:val="Bullets"/>
      </w:pPr>
      <w:r>
        <w:t>Align decision making and stakeholder engagement processes to improve efficiency and better describe governance arrangements to improve accountability</w:t>
      </w:r>
    </w:p>
    <w:p w14:paraId="39F05953" w14:textId="77777777" w:rsidR="007076C8" w:rsidRDefault="007076C8" w:rsidP="007076C8">
      <w:pPr>
        <w:pStyle w:val="Bullets"/>
      </w:pPr>
      <w:r>
        <w:t>Better describe the topic selection processes and decisions to improve transparency</w:t>
      </w:r>
    </w:p>
    <w:p w14:paraId="549FAA61" w14:textId="34FA0042" w:rsidR="007076C8" w:rsidRDefault="007076C8" w:rsidP="007076C8">
      <w:pPr>
        <w:pStyle w:val="Heading2boardreport"/>
      </w:pPr>
      <w:r>
        <w:t xml:space="preserve">Consolidated </w:t>
      </w:r>
      <w:r w:rsidR="006049A5">
        <w:t>identification</w:t>
      </w:r>
      <w:r>
        <w:t>, selection and routing criteria</w:t>
      </w:r>
    </w:p>
    <w:p w14:paraId="0C58344B" w14:textId="1C4432E6" w:rsidR="007076C8" w:rsidRDefault="00CD0823" w:rsidP="00953A88">
      <w:pPr>
        <w:pStyle w:val="Heading3boardreport"/>
        <w:spacing w:after="240"/>
        <w:ind w:left="425"/>
      </w:pPr>
      <w:r>
        <w:t xml:space="preserve">Topic </w:t>
      </w:r>
      <w:r w:rsidR="00914463">
        <w:t>i</w:t>
      </w:r>
      <w:r>
        <w:t xml:space="preserve">dentification </w:t>
      </w:r>
      <w:r w:rsidR="007076C8" w:rsidRPr="00F96A2C">
        <w:t>criteria</w:t>
      </w:r>
    </w:p>
    <w:p w14:paraId="2EDAC7B0" w14:textId="2AA02ED7" w:rsidR="007076C8" w:rsidRPr="00F55EEB" w:rsidRDefault="22110C34" w:rsidP="007076C8">
      <w:pPr>
        <w:pStyle w:val="Paragraph"/>
        <w:tabs>
          <w:tab w:val="clear" w:pos="567"/>
          <w:tab w:val="left" w:pos="426"/>
        </w:tabs>
        <w:ind w:left="426" w:hanging="426"/>
        <w:rPr>
          <w:rFonts w:eastAsia="Arial" w:cs="Arial"/>
        </w:rPr>
      </w:pPr>
      <w:r>
        <w:t xml:space="preserve">In response to the 2019 Voluntary Scheme for Branded Medicines Pricing and Access, </w:t>
      </w:r>
      <w:r w:rsidR="6DD18018">
        <w:t>i</w:t>
      </w:r>
      <w:r w:rsidR="006049A5">
        <w:t xml:space="preserve">dentification </w:t>
      </w:r>
      <w:r w:rsidR="007076C8">
        <w:t xml:space="preserve">criteria in use across the </w:t>
      </w:r>
      <w:r w:rsidR="00D44796">
        <w:t xml:space="preserve">3 </w:t>
      </w:r>
      <w:r w:rsidR="007076C8">
        <w:t xml:space="preserve">existing processes will be updated to reflect the new responsibilities that NICE has for issuing guidance on topics that were previously </w:t>
      </w:r>
      <w:r w:rsidR="41EA0600">
        <w:t>considered</w:t>
      </w:r>
      <w:r w:rsidR="113174E0">
        <w:t xml:space="preserve"> to be </w:t>
      </w:r>
      <w:r w:rsidR="009F17DA">
        <w:t xml:space="preserve">out of </w:t>
      </w:r>
      <w:r w:rsidR="4879E836">
        <w:t>remit</w:t>
      </w:r>
      <w:r w:rsidR="007076C8">
        <w:t>, such as technologies for treating haemophilia and HIV</w:t>
      </w:r>
      <w:r w:rsidR="753F0BF5">
        <w:t>.</w:t>
      </w:r>
      <w:r w:rsidR="007076C8">
        <w:t xml:space="preserve"> </w:t>
      </w:r>
    </w:p>
    <w:p w14:paraId="1A2B6562" w14:textId="7029B725" w:rsidR="007076C8" w:rsidRPr="00F55EEB" w:rsidRDefault="007076C8" w:rsidP="007076C8">
      <w:pPr>
        <w:pStyle w:val="Paragraph"/>
        <w:tabs>
          <w:tab w:val="clear" w:pos="567"/>
          <w:tab w:val="left" w:pos="426"/>
        </w:tabs>
        <w:ind w:left="426" w:hanging="426"/>
      </w:pPr>
      <w:r>
        <w:t xml:space="preserve">The consolidated </w:t>
      </w:r>
      <w:r w:rsidR="006049A5">
        <w:t xml:space="preserve">identification </w:t>
      </w:r>
      <w:r>
        <w:t xml:space="preserve">criteria (table 1) will increase the number and type of topics considered for NICE guidance, and this is being met by an expansion of NICEs capacity to develop Technology Appraisals guidance, Medical technologies guidance and Diagnostics guidance.  </w:t>
      </w:r>
    </w:p>
    <w:p w14:paraId="0DDD2E28" w14:textId="18375011" w:rsidR="007076C8" w:rsidRPr="00F55EEB" w:rsidRDefault="007076C8" w:rsidP="007076C8">
      <w:pPr>
        <w:pStyle w:val="Paragraph"/>
        <w:tabs>
          <w:tab w:val="clear" w:pos="567"/>
          <w:tab w:val="left" w:pos="426"/>
        </w:tabs>
        <w:ind w:left="426" w:hanging="426"/>
      </w:pPr>
      <w:r>
        <w:lastRenderedPageBreak/>
        <w:t xml:space="preserve">There is insufficient information available to estimate whether the expansions will balance with the increase in topics that are </w:t>
      </w:r>
      <w:r w:rsidR="00862B30">
        <w:t>identified for potential guidance production</w:t>
      </w:r>
      <w:r>
        <w:t xml:space="preserve">, or whether there will be more topics than NICE can develop guidance on. Close monitoring and regular review will be part of the implementation plans. </w:t>
      </w:r>
    </w:p>
    <w:p w14:paraId="794067EE" w14:textId="326BA618" w:rsidR="007076C8" w:rsidRDefault="007076C8" w:rsidP="007076C8">
      <w:pPr>
        <w:pStyle w:val="Heading3boardreport"/>
      </w:pPr>
      <w:r>
        <w:t>Table 1</w:t>
      </w:r>
      <w:r w:rsidR="00DA779B">
        <w:t xml:space="preserve"> – Identification Criteria</w:t>
      </w:r>
    </w:p>
    <w:tbl>
      <w:tblPr>
        <w:tblStyle w:val="TableGrid"/>
        <w:tblW w:w="5000" w:type="pct"/>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4568"/>
        <w:gridCol w:w="4448"/>
      </w:tblGrid>
      <w:tr w:rsidR="007076C8" w14:paraId="540D634E" w14:textId="77777777" w:rsidTr="2589EC1A">
        <w:trPr>
          <w:tblHeader/>
        </w:trPr>
        <w:tc>
          <w:tcPr>
            <w:tcW w:w="2533" w:type="pct"/>
            <w:shd w:val="clear" w:color="auto" w:fill="A2BDC1"/>
          </w:tcPr>
          <w:p w14:paraId="36E00687" w14:textId="1D075AF8" w:rsidR="007076C8" w:rsidRPr="00F55EEB" w:rsidRDefault="00862B30" w:rsidP="00BF6115">
            <w:pPr>
              <w:pStyle w:val="Tablecolumnheading"/>
              <w:jc w:val="center"/>
            </w:pPr>
            <w:r>
              <w:t xml:space="preserve">Identification of suitable technologies </w:t>
            </w:r>
          </w:p>
        </w:tc>
        <w:tc>
          <w:tcPr>
            <w:tcW w:w="2467" w:type="pct"/>
            <w:shd w:val="clear" w:color="auto" w:fill="A2BDC1"/>
          </w:tcPr>
          <w:p w14:paraId="4B6746A1" w14:textId="3E3997D0" w:rsidR="007076C8" w:rsidRPr="00F55EEB" w:rsidRDefault="00862B30" w:rsidP="00BF6115">
            <w:pPr>
              <w:pStyle w:val="Tablecolumnheading"/>
              <w:jc w:val="center"/>
            </w:pPr>
            <w:r>
              <w:t>Identification of un-suitable technologies</w:t>
            </w:r>
          </w:p>
        </w:tc>
      </w:tr>
      <w:tr w:rsidR="007076C8" w:rsidRPr="00245256" w14:paraId="0270662F" w14:textId="77777777" w:rsidTr="2589EC1A">
        <w:tc>
          <w:tcPr>
            <w:tcW w:w="2533" w:type="pct"/>
          </w:tcPr>
          <w:p w14:paraId="7CA7E98D" w14:textId="6B693C73" w:rsidR="007076C8" w:rsidRPr="00C42DF1" w:rsidRDefault="007076C8" w:rsidP="00BF6115">
            <w:pPr>
              <w:pStyle w:val="Bullets"/>
              <w:ind w:left="447" w:hanging="425"/>
            </w:pPr>
            <w:r w:rsidRPr="00103968">
              <w:rPr>
                <w:b/>
                <w:bCs/>
              </w:rPr>
              <w:t>Devices</w:t>
            </w:r>
            <w:r w:rsidRPr="00C42DF1">
              <w:t xml:space="preserve">: including medical devices, other non-diagnostic health technologies, and digital health technologies in tier 3b of the </w:t>
            </w:r>
            <w:hyperlink r:id="rId24" w:history="1">
              <w:r w:rsidR="00DA442C" w:rsidRPr="00C42DF1">
                <w:rPr>
                  <w:rStyle w:val="Hyperlink"/>
                </w:rPr>
                <w:t>evidence standards framework</w:t>
              </w:r>
            </w:hyperlink>
            <w:r w:rsidRPr="00C42DF1">
              <w:t xml:space="preserve"> (including those using artificial intelligence incorporating fixed or adaptive algorithms)</w:t>
            </w:r>
            <w:r w:rsidR="00831E2A">
              <w:t xml:space="preserve"> </w:t>
            </w:r>
            <w:r w:rsidR="00831E2A" w:rsidRPr="00FC2741">
              <w:t>that treat or prevent a health condition, or inform clinical management decisions about treatment including those using artificial intelligence incorporating fixed or adaptive algorithms</w:t>
            </w:r>
          </w:p>
          <w:p w14:paraId="50B7B80A" w14:textId="79FE906E" w:rsidR="007076C8" w:rsidRPr="00C42DF1" w:rsidRDefault="007076C8">
            <w:pPr>
              <w:pStyle w:val="Bullets"/>
              <w:numPr>
                <w:ilvl w:val="0"/>
                <w:numId w:val="0"/>
              </w:numPr>
              <w:ind w:left="447"/>
            </w:pPr>
            <w:r w:rsidRPr="002A5B47">
              <w:rPr>
                <w:b/>
                <w:bCs/>
              </w:rPr>
              <w:t>Diagnostics</w:t>
            </w:r>
            <w:r w:rsidRPr="00C42DF1">
              <w:t xml:space="preserve">: </w:t>
            </w:r>
            <w:r w:rsidR="00831E2A" w:rsidRPr="002A5B47">
              <w:rPr>
                <w:rFonts w:cs="Arial"/>
              </w:rPr>
              <w:t>Technologies,</w:t>
            </w:r>
            <w:r w:rsidR="00831E2A" w:rsidRPr="00831E2A">
              <w:t xml:space="preserve"> </w:t>
            </w:r>
            <w:r w:rsidR="00831E2A" w:rsidRPr="002A5B47">
              <w:rPr>
                <w:rFonts w:cs="Arial"/>
              </w:rPr>
              <w:t>techniques and strategies</w:t>
            </w:r>
            <w:r w:rsidR="00831E2A" w:rsidRPr="00831E2A">
              <w:t xml:space="preserve"> </w:t>
            </w:r>
            <w:r w:rsidR="00831E2A" w:rsidRPr="002A5B47">
              <w:rPr>
                <w:rFonts w:cs="Arial"/>
              </w:rPr>
              <w:t xml:space="preserve">(including digital health technologies in tier 3b of the </w:t>
            </w:r>
            <w:hyperlink r:id="rId25" w:history="1">
              <w:r w:rsidR="00831E2A" w:rsidRPr="00FA7C5A">
                <w:rPr>
                  <w:rStyle w:val="Hyperlink"/>
                </w:rPr>
                <w:t>evidence standards framework</w:t>
              </w:r>
            </w:hyperlink>
            <w:r w:rsidR="00831E2A" w:rsidRPr="002A5B47">
              <w:rPr>
                <w:rFonts w:cs="Arial"/>
              </w:rPr>
              <w:t>) that diagnose, prognose, predict, or screen health conditions, including in-house diagnostics, companion diagnostics, and those using artificial intelligence incorporating fixed or adaptive algorithms</w:t>
            </w:r>
            <w:r w:rsidR="00831E2A" w:rsidRPr="00C42DF1">
              <w:t xml:space="preserve"> </w:t>
            </w:r>
          </w:p>
          <w:p w14:paraId="0B728B39" w14:textId="7C802E86" w:rsidR="00FA7C5A" w:rsidRPr="00C42DF1" w:rsidRDefault="00A127A1" w:rsidP="00FA7C5A">
            <w:pPr>
              <w:pStyle w:val="Bullets"/>
              <w:ind w:left="447" w:hanging="425"/>
            </w:pPr>
            <w:r w:rsidRPr="00A127A1">
              <w:rPr>
                <w:b/>
                <w:bCs/>
              </w:rPr>
              <w:t>Medicines</w:t>
            </w:r>
            <w:r w:rsidRPr="00FA7C5A">
              <w:rPr>
                <w:b/>
                <w:bCs/>
              </w:rPr>
              <w:t xml:space="preserve">: </w:t>
            </w:r>
            <w:r w:rsidR="00831E2A" w:rsidRPr="00FC2741">
              <w:rPr>
                <w:rFonts w:cs="Arial"/>
              </w:rPr>
              <w:t xml:space="preserve">active substances that are new to the UK market or have </w:t>
            </w:r>
            <w:r w:rsidR="0065159D">
              <w:rPr>
                <w:rFonts w:cs="Arial"/>
              </w:rPr>
              <w:t xml:space="preserve">a </w:t>
            </w:r>
            <w:r w:rsidR="00831E2A" w:rsidRPr="00FC2741">
              <w:rPr>
                <w:rFonts w:cs="Arial"/>
              </w:rPr>
              <w:t xml:space="preserve">significant </w:t>
            </w:r>
            <w:r w:rsidR="00FA7C5A" w:rsidRPr="00FC2741">
              <w:rPr>
                <w:rFonts w:cs="Arial"/>
              </w:rPr>
              <w:t>therapeutic licence</w:t>
            </w:r>
            <w:r w:rsidR="00831E2A" w:rsidRPr="00FC2741">
              <w:rPr>
                <w:rFonts w:cs="Arial"/>
              </w:rPr>
              <w:t xml:space="preserve"> extension</w:t>
            </w:r>
            <w:r w:rsidR="00FA7C5A">
              <w:rPr>
                <w:rFonts w:cs="Arial"/>
                <w:sz w:val="20"/>
                <w:szCs w:val="20"/>
              </w:rPr>
              <w:t xml:space="preserve"> (</w:t>
            </w:r>
            <w:r w:rsidR="00FA7C5A">
              <w:t>including</w:t>
            </w:r>
            <w:r w:rsidR="00FA7C5A" w:rsidRPr="003453A6">
              <w:t xml:space="preserve"> therapeutic vaccines</w:t>
            </w:r>
            <w:r w:rsidR="0065159D">
              <w:t xml:space="preserve"> and</w:t>
            </w:r>
            <w:r w:rsidR="00FA7C5A" w:rsidRPr="003453A6">
              <w:t xml:space="preserve"> advanced therapy medicinal products such as gene therapies and stem cells)</w:t>
            </w:r>
            <w:r w:rsidR="00FA7C5A">
              <w:t>.</w:t>
            </w:r>
          </w:p>
          <w:p w14:paraId="534489B2" w14:textId="34DF57B9" w:rsidR="00FA7C5A" w:rsidRPr="00FC2741" w:rsidRDefault="007076C8">
            <w:pPr>
              <w:pStyle w:val="Bullets"/>
              <w:ind w:left="447" w:hanging="425"/>
              <w:rPr>
                <w:sz w:val="32"/>
                <w:szCs w:val="32"/>
              </w:rPr>
            </w:pPr>
            <w:r w:rsidRPr="00103968">
              <w:rPr>
                <w:b/>
                <w:bCs/>
              </w:rPr>
              <w:lastRenderedPageBreak/>
              <w:t>Procedures</w:t>
            </w:r>
            <w:r w:rsidRPr="00C42DF1">
              <w:t xml:space="preserve">: </w:t>
            </w:r>
            <w:r w:rsidR="00FA7C5A" w:rsidRPr="00FC2741">
              <w:rPr>
                <w:rFonts w:cs="Arial"/>
              </w:rPr>
              <w:t>new or significantly modified procedures that use ionising, electromagnetic or acoustic energy, or that involve an incision, a puncture, or entry into a body cavity</w:t>
            </w:r>
            <w:r w:rsidR="0065159D">
              <w:rPr>
                <w:rFonts w:cs="Arial"/>
              </w:rPr>
              <w:t>.</w:t>
            </w:r>
          </w:p>
          <w:p w14:paraId="19AA86B1" w14:textId="4281D77C" w:rsidR="007076C8" w:rsidRPr="00F55EEB" w:rsidRDefault="007076C8" w:rsidP="007065A3">
            <w:pPr>
              <w:pStyle w:val="Bullets"/>
              <w:numPr>
                <w:ilvl w:val="0"/>
                <w:numId w:val="38"/>
              </w:numPr>
              <w:ind w:left="459" w:hanging="425"/>
            </w:pPr>
            <w:r w:rsidRPr="00C42DF1">
              <w:t xml:space="preserve">Combinations of </w:t>
            </w:r>
            <w:r w:rsidR="00A86647">
              <w:t>1</w:t>
            </w:r>
            <w:r w:rsidR="00A86647" w:rsidRPr="00C42DF1">
              <w:t xml:space="preserve"> </w:t>
            </w:r>
            <w:r w:rsidRPr="00C42DF1">
              <w:t>or more of the above</w:t>
            </w:r>
          </w:p>
        </w:tc>
        <w:tc>
          <w:tcPr>
            <w:tcW w:w="2467" w:type="pct"/>
          </w:tcPr>
          <w:p w14:paraId="3DFDF20B" w14:textId="22EAE32E" w:rsidR="007076C8" w:rsidRPr="00C42DF1" w:rsidRDefault="007076C8" w:rsidP="00BF6115">
            <w:pPr>
              <w:pStyle w:val="Bullets"/>
              <w:numPr>
                <w:ilvl w:val="0"/>
                <w:numId w:val="0"/>
              </w:numPr>
              <w:ind w:left="447" w:hanging="425"/>
            </w:pPr>
            <w:r w:rsidRPr="00C42DF1">
              <w:lastRenderedPageBreak/>
              <w:t>T</w:t>
            </w:r>
            <w:r w:rsidR="00103968">
              <w:t>echnologies</w:t>
            </w:r>
            <w:r w:rsidRPr="00C42DF1">
              <w:t xml:space="preserve"> that:</w:t>
            </w:r>
          </w:p>
          <w:p w14:paraId="523B5D3F" w14:textId="77777777" w:rsidR="007076C8" w:rsidRPr="00C42DF1" w:rsidRDefault="007076C8" w:rsidP="00BF6115">
            <w:pPr>
              <w:pStyle w:val="Bullets"/>
              <w:ind w:left="447" w:hanging="425"/>
            </w:pPr>
            <w:r w:rsidRPr="00C42DF1">
              <w:t xml:space="preserve">are not going to be available in the UK within 24 months </w:t>
            </w:r>
          </w:p>
          <w:p w14:paraId="4A751E24" w14:textId="472BA652" w:rsidR="007076C8" w:rsidRPr="00C42DF1" w:rsidRDefault="007076C8" w:rsidP="00BF6115">
            <w:pPr>
              <w:pStyle w:val="Bullets"/>
              <w:ind w:left="447" w:hanging="425"/>
            </w:pPr>
            <w:r w:rsidRPr="00C42DF1">
              <w:t xml:space="preserve">involve </w:t>
            </w:r>
            <w:r w:rsidR="00103968">
              <w:t>use</w:t>
            </w:r>
            <w:r w:rsidRPr="00C42DF1">
              <w:t xml:space="preserve"> that will not have regulatory approval when it is used outside of research (unlicensed </w:t>
            </w:r>
            <w:r w:rsidR="00103968">
              <w:t>technologies</w:t>
            </w:r>
            <w:r w:rsidRPr="00C42DF1">
              <w:t>)</w:t>
            </w:r>
          </w:p>
          <w:p w14:paraId="0A122645" w14:textId="06FA0608" w:rsidR="007076C8" w:rsidRPr="00C42DF1" w:rsidRDefault="007076C8" w:rsidP="00BF6115">
            <w:pPr>
              <w:pStyle w:val="Bullets"/>
              <w:ind w:left="447" w:hanging="425"/>
            </w:pPr>
            <w:r w:rsidRPr="00C42DF1">
              <w:t>have regulatory approval but will not be used in line with their approval (off-label t</w:t>
            </w:r>
            <w:r w:rsidR="00103968">
              <w:t>echnologies</w:t>
            </w:r>
            <w:r w:rsidRPr="00C42DF1">
              <w:t>)</w:t>
            </w:r>
          </w:p>
          <w:p w14:paraId="7552DAB6" w14:textId="77777777" w:rsidR="007076C8" w:rsidRPr="00C42DF1" w:rsidRDefault="007076C8" w:rsidP="00BF6115">
            <w:pPr>
              <w:pStyle w:val="Bullets"/>
              <w:ind w:left="447" w:hanging="425"/>
            </w:pPr>
            <w:r w:rsidRPr="00C42DF1">
              <w:t xml:space="preserve">have been used widely by the target population in the UK and have a well-known safety, </w:t>
            </w:r>
            <w:proofErr w:type="gramStart"/>
            <w:r w:rsidRPr="00C42DF1">
              <w:t>efficacy</w:t>
            </w:r>
            <w:proofErr w:type="gramEnd"/>
            <w:r w:rsidRPr="00C42DF1">
              <w:t xml:space="preserve"> and cost profile, unless:</w:t>
            </w:r>
          </w:p>
          <w:p w14:paraId="069D7A6C" w14:textId="77777777" w:rsidR="007076C8" w:rsidRPr="00C42DF1" w:rsidRDefault="007076C8" w:rsidP="00103968">
            <w:pPr>
              <w:pStyle w:val="Subbullets"/>
              <w:ind w:left="849" w:hanging="284"/>
            </w:pPr>
            <w:r w:rsidRPr="00C42DF1">
              <w:t>there is new information that brings their safety, efficacy, or cost into question or</w:t>
            </w:r>
          </w:p>
          <w:p w14:paraId="626E2FEA" w14:textId="77777777" w:rsidR="007076C8" w:rsidRPr="00C42DF1" w:rsidRDefault="007076C8" w:rsidP="00103968">
            <w:pPr>
              <w:pStyle w:val="Subbullets"/>
              <w:ind w:left="849" w:hanging="284"/>
            </w:pPr>
            <w:r w:rsidRPr="00C42DF1">
              <w:t>there is a new variation that might have a different safety, efficacy, or cost profile to the established topic.</w:t>
            </w:r>
          </w:p>
          <w:p w14:paraId="38310411" w14:textId="77777777" w:rsidR="007076C8" w:rsidRPr="00C42DF1" w:rsidRDefault="007076C8" w:rsidP="00BF6115">
            <w:pPr>
              <w:pStyle w:val="Bullets"/>
              <w:ind w:left="447" w:hanging="425"/>
            </w:pPr>
            <w:r w:rsidRPr="00C42DF1">
              <w:t>are population screening technologies in the remit of the UK National Screening Committee</w:t>
            </w:r>
          </w:p>
          <w:p w14:paraId="0A3400A6" w14:textId="77777777" w:rsidR="007076C8" w:rsidRDefault="007076C8" w:rsidP="00BF6115">
            <w:pPr>
              <w:pStyle w:val="Bullets"/>
              <w:ind w:left="447" w:hanging="425"/>
            </w:pPr>
            <w:r w:rsidRPr="00C42DF1">
              <w:t>are prophylactic vaccinations in the remit of the Joint Committee on Vaccination and Immunisation</w:t>
            </w:r>
          </w:p>
          <w:p w14:paraId="0FDD53DA" w14:textId="77777777" w:rsidR="002A5B47" w:rsidRDefault="002A5B47" w:rsidP="007065A3">
            <w:pPr>
              <w:pStyle w:val="Bullets"/>
              <w:ind w:left="423" w:hanging="423"/>
            </w:pPr>
            <w:r>
              <w:t>digital health technologies in tiers 1, 2, or 3a of the Evidence Standards Framework</w:t>
            </w:r>
          </w:p>
          <w:p w14:paraId="4B75D4C5" w14:textId="4770941A" w:rsidR="002A5B47" w:rsidRPr="00F55EEB" w:rsidRDefault="002A5B47" w:rsidP="007065A3">
            <w:pPr>
              <w:pStyle w:val="Bullets"/>
              <w:ind w:left="423" w:hanging="423"/>
            </w:pPr>
            <w:r>
              <w:lastRenderedPageBreak/>
              <w:t xml:space="preserve">do not involve a technology or interventional procedure that are best considered by NICE guidelines. For example, exercise on prescription, rehabilitation programmes, care pathways. </w:t>
            </w:r>
          </w:p>
        </w:tc>
      </w:tr>
    </w:tbl>
    <w:p w14:paraId="5C3BAF7C" w14:textId="54A8B335" w:rsidR="007076C8" w:rsidRDefault="007076C8" w:rsidP="00ED32F7">
      <w:pPr>
        <w:pStyle w:val="Heading3boardreport"/>
        <w:spacing w:before="240" w:after="240"/>
        <w:ind w:left="425"/>
      </w:pPr>
      <w:r>
        <w:lastRenderedPageBreak/>
        <w:t>Selection Criteria</w:t>
      </w:r>
    </w:p>
    <w:p w14:paraId="78C81B22" w14:textId="0546BE56" w:rsidR="007076C8" w:rsidRPr="00F55EEB" w:rsidRDefault="007076C8" w:rsidP="007076C8">
      <w:pPr>
        <w:pStyle w:val="Paragraph"/>
        <w:tabs>
          <w:tab w:val="clear" w:pos="567"/>
          <w:tab w:val="left" w:pos="426"/>
        </w:tabs>
        <w:ind w:left="426" w:hanging="426"/>
      </w:pPr>
      <w:proofErr w:type="gramStart"/>
      <w:r>
        <w:t>In order to</w:t>
      </w:r>
      <w:proofErr w:type="gramEnd"/>
      <w:r>
        <w:t xml:space="preserve"> consolidate, simplify, improve clarity and further build upon the requirements for NICE guidance from the different policy initiatives described above, new selection criteria will replace the existing selection of published selection criteria. </w:t>
      </w:r>
      <w:r w:rsidR="00154551">
        <w:t>Availability of e</w:t>
      </w:r>
      <w:r>
        <w:t xml:space="preserve">vidence is not used as a criterion in the new selection criteria; this is because in a small number of cases, NICE guidance may be needed in the absence of evidence (for example to stop an ineffective activity from happening, </w:t>
      </w:r>
      <w:r w:rsidR="00154551">
        <w:t xml:space="preserve">to address a particular issue of safety </w:t>
      </w:r>
      <w:r>
        <w:t xml:space="preserve">or to stimulate appropriate research). </w:t>
      </w:r>
    </w:p>
    <w:p w14:paraId="2FC5E78E" w14:textId="4B8D1215" w:rsidR="007076C8" w:rsidRDefault="007076C8" w:rsidP="007076C8">
      <w:pPr>
        <w:pStyle w:val="Paragraph"/>
        <w:tabs>
          <w:tab w:val="clear" w:pos="567"/>
          <w:tab w:val="left" w:pos="426"/>
        </w:tabs>
        <w:ind w:left="426" w:hanging="426"/>
      </w:pPr>
      <w:r>
        <w:t xml:space="preserve">The </w:t>
      </w:r>
      <w:r w:rsidR="00CD0823">
        <w:t xml:space="preserve">proposed </w:t>
      </w:r>
      <w:r w:rsidR="00914463">
        <w:t xml:space="preserve">selection </w:t>
      </w:r>
      <w:r>
        <w:t xml:space="preserve">criteria below will replace over 15 different criteria used by Centre for Health Technology Evaluation teams to identify if a topic requires NICE to assess the cost and effectiveness evidence. However, decisions about how guidance will be developed (for example single or multiple technology assessments, or variations on traditional NICE guidance) will be made during guidance development, according to relevant processes and methods that may become available in future (as part of other NICE transformation work).  </w:t>
      </w:r>
    </w:p>
    <w:p w14:paraId="43E04259" w14:textId="77777777" w:rsidR="00D04BAC" w:rsidRDefault="00D04BAC" w:rsidP="007065A3">
      <w:pPr>
        <w:pStyle w:val="Paragraph"/>
        <w:tabs>
          <w:tab w:val="clear" w:pos="567"/>
          <w:tab w:val="left" w:pos="426"/>
        </w:tabs>
        <w:ind w:hanging="4471"/>
      </w:pPr>
      <w:r>
        <w:t>A device or diagnostic is likely to be selected if:</w:t>
      </w:r>
    </w:p>
    <w:p w14:paraId="0D5E30FE" w14:textId="77777777" w:rsidR="00D04BAC" w:rsidRDefault="00D04BAC" w:rsidP="00D04BAC">
      <w:pPr>
        <w:pStyle w:val="Bullets"/>
      </w:pPr>
      <w:r>
        <w:t>it has benefits that are likely to be highly disruptive or lead to a stepwise change to an established care pathway in the UK; and</w:t>
      </w:r>
    </w:p>
    <w:p w14:paraId="718A3FE3" w14:textId="77777777" w:rsidR="00D04BAC" w:rsidRDefault="00D04BAC" w:rsidP="00D04BAC">
      <w:pPr>
        <w:pStyle w:val="Bullets"/>
      </w:pPr>
      <w:r>
        <w:t>a systematic assessment of the cost and system impacts is needed. For example, because there is uncertainty about the likely cost or system impact, or because the costs and impacts are expected to be significantly cost incurring or cost saving; and</w:t>
      </w:r>
    </w:p>
    <w:p w14:paraId="5FC1C978" w14:textId="77777777" w:rsidR="00D04BAC" w:rsidRDefault="00D04BAC" w:rsidP="00D04BAC">
      <w:pPr>
        <w:pStyle w:val="Bullets"/>
      </w:pPr>
      <w:r>
        <w:t xml:space="preserve">the benefits are supported by: </w:t>
      </w:r>
    </w:p>
    <w:p w14:paraId="285AF0EA" w14:textId="77777777" w:rsidR="00D04BAC" w:rsidRDefault="00D04BAC" w:rsidP="007065A3">
      <w:pPr>
        <w:pStyle w:val="Bullets"/>
        <w:numPr>
          <w:ilvl w:val="1"/>
          <w:numId w:val="1"/>
        </w:numPr>
      </w:pPr>
      <w:r>
        <w:t>evidence of effectiveness (such as RCT, before/after studies, cohort studies, diagnostic test accuracy studies) that compares the technology to current practice in the UK health and care system or to an appropriate reference standard and</w:t>
      </w:r>
    </w:p>
    <w:p w14:paraId="43D8FF33" w14:textId="77777777" w:rsidR="00D04BAC" w:rsidRDefault="00D04BAC" w:rsidP="007065A3">
      <w:pPr>
        <w:pStyle w:val="Bullets"/>
        <w:numPr>
          <w:ilvl w:val="1"/>
          <w:numId w:val="1"/>
        </w:numPr>
      </w:pPr>
      <w:r>
        <w:lastRenderedPageBreak/>
        <w:t xml:space="preserve">information about the expected resource impact of adopting the technology that is directly applicable to the UK health and care system such as reports or studies describing the cost and system impact of implementing the technology, or an economic model and </w:t>
      </w:r>
    </w:p>
    <w:p w14:paraId="76C31839" w14:textId="02665C6E" w:rsidR="00D04BAC" w:rsidRDefault="00D04BAC" w:rsidP="007065A3">
      <w:pPr>
        <w:pStyle w:val="Bullets"/>
        <w:numPr>
          <w:ilvl w:val="1"/>
          <w:numId w:val="1"/>
        </w:numPr>
      </w:pPr>
      <w:r>
        <w:t xml:space="preserve">advice from experts (such as patients, carers, </w:t>
      </w:r>
      <w:proofErr w:type="gramStart"/>
      <w:r>
        <w:t>clinicians</w:t>
      </w:r>
      <w:proofErr w:type="gramEnd"/>
      <w:r>
        <w:t xml:space="preserve"> and commissioners) that confirms the benefits are desirable and are likely to be realised when adopted in the UK health and care system.</w:t>
      </w:r>
    </w:p>
    <w:p w14:paraId="70816E47" w14:textId="4D487430" w:rsidR="00D04BAC" w:rsidRDefault="00D04BAC" w:rsidP="00D04BAC">
      <w:pPr>
        <w:pStyle w:val="Paragraph"/>
        <w:tabs>
          <w:tab w:val="clear" w:pos="567"/>
          <w:tab w:val="left" w:pos="426"/>
        </w:tabs>
        <w:ind w:left="426" w:hanging="426"/>
      </w:pPr>
      <w:r>
        <w:t>All new active substances and significant license extensions</w:t>
      </w:r>
      <w:r w:rsidR="00E834EE">
        <w:t xml:space="preserve"> to add a new therapeutic indication</w:t>
      </w:r>
      <w:r>
        <w:t xml:space="preserve"> will be selected, except where there is a clear rationale not to do so. For example, if the topic is a duplicate or has a significant overlap with an existing topic.</w:t>
      </w:r>
    </w:p>
    <w:p w14:paraId="2BF4AAB9" w14:textId="30708970" w:rsidR="00D04BAC" w:rsidRDefault="00D04BAC" w:rsidP="007065A3">
      <w:pPr>
        <w:pStyle w:val="Paragraph"/>
        <w:tabs>
          <w:tab w:val="clear" w:pos="567"/>
          <w:tab w:val="left" w:pos="426"/>
        </w:tabs>
        <w:ind w:left="426" w:hanging="426"/>
      </w:pPr>
      <w:r>
        <w:t>All new or significantly modified interventional procedures will be selected, if they are available to the NHS or independent sector, or about to be used outside of formal research.</w:t>
      </w:r>
    </w:p>
    <w:p w14:paraId="69047DC9" w14:textId="3B463F37" w:rsidR="007076C8" w:rsidRPr="00F55EEB" w:rsidRDefault="007076C8" w:rsidP="007076C8">
      <w:pPr>
        <w:pStyle w:val="Paragraph"/>
        <w:tabs>
          <w:tab w:val="clear" w:pos="567"/>
          <w:tab w:val="left" w:pos="426"/>
        </w:tabs>
        <w:ind w:left="426" w:hanging="426"/>
      </w:pPr>
      <w:r>
        <w:t xml:space="preserve">Topics that </w:t>
      </w:r>
      <w:r w:rsidR="00D04BAC">
        <w:t xml:space="preserve">do not meet the criteria </w:t>
      </w:r>
      <w:r>
        <w:t>are not progressed further. The topic may be passed on to other organisations that may have an interest in the topic</w:t>
      </w:r>
      <w:r w:rsidR="00AF4F14">
        <w:t xml:space="preserve">, </w:t>
      </w:r>
      <w:r>
        <w:t xml:space="preserve">such as NHS England </w:t>
      </w:r>
      <w:r w:rsidR="00E860CD">
        <w:t>and</w:t>
      </w:r>
      <w:r>
        <w:t xml:space="preserve"> Improvement. </w:t>
      </w:r>
      <w:r w:rsidR="00AF4F14">
        <w:t xml:space="preserve">NICE will not set a review date for re-consideration of this decision (unless the decision is formally challenged). </w:t>
      </w:r>
    </w:p>
    <w:p w14:paraId="6C5A76C3" w14:textId="10F3EF6F" w:rsidR="007076C8" w:rsidRPr="00F55EEB" w:rsidRDefault="007076C8" w:rsidP="007076C8">
      <w:pPr>
        <w:pStyle w:val="Paragraph"/>
        <w:tabs>
          <w:tab w:val="clear" w:pos="567"/>
          <w:tab w:val="left" w:pos="426"/>
        </w:tabs>
        <w:ind w:left="426" w:hanging="426"/>
      </w:pPr>
      <w:r>
        <w:t xml:space="preserve">If it is not possible to make a definitive 'yes' or 'no' decision against </w:t>
      </w:r>
      <w:r w:rsidR="00D04BAC">
        <w:t xml:space="preserve">the </w:t>
      </w:r>
      <w:proofErr w:type="gramStart"/>
      <w:r>
        <w:t>criteria ,</w:t>
      </w:r>
      <w:proofErr w:type="gramEnd"/>
      <w:r>
        <w:t xml:space="preserve"> the selection decision is deferred until additional information becomes available.</w:t>
      </w:r>
    </w:p>
    <w:p w14:paraId="658B0283" w14:textId="6E3D3F62" w:rsidR="007076C8" w:rsidRDefault="007076C8" w:rsidP="00ED32F7">
      <w:pPr>
        <w:pStyle w:val="Heading3boardreport"/>
        <w:spacing w:before="240" w:after="240"/>
        <w:ind w:left="425"/>
      </w:pPr>
      <w:r>
        <w:t xml:space="preserve">Routing </w:t>
      </w:r>
      <w:r w:rsidRPr="00D04BAC">
        <w:t>criteria</w:t>
      </w:r>
    </w:p>
    <w:p w14:paraId="20EC362E" w14:textId="116783DB" w:rsidR="007076C8" w:rsidRDefault="007076C8" w:rsidP="007076C8">
      <w:pPr>
        <w:pStyle w:val="Paragraph"/>
        <w:tabs>
          <w:tab w:val="clear" w:pos="567"/>
          <w:tab w:val="left" w:pos="426"/>
        </w:tabs>
        <w:ind w:left="426" w:hanging="426"/>
      </w:pPr>
      <w:r>
        <w:t xml:space="preserve">More clarity needs to be provided to indicate how NICE determines which type of guidance producing programme a particular topic should be routed to. Options for routing are based on the type of technology and its value proposition. The </w:t>
      </w:r>
      <w:r w:rsidR="00D04BAC">
        <w:t xml:space="preserve">selection and </w:t>
      </w:r>
      <w:r>
        <w:t xml:space="preserve">routing criteria are described in table </w:t>
      </w:r>
      <w:r w:rsidR="00103968">
        <w:t>2</w:t>
      </w:r>
      <w:r>
        <w:t xml:space="preserve"> below.</w:t>
      </w:r>
    </w:p>
    <w:p w14:paraId="502F830D" w14:textId="79352F9E" w:rsidR="00DA779B" w:rsidRPr="00821FF4" w:rsidRDefault="00E336F1" w:rsidP="007065A3">
      <w:pPr>
        <w:pStyle w:val="Heading3boardreport"/>
      </w:pPr>
      <w:r>
        <w:br w:type="page"/>
      </w:r>
      <w:r w:rsidR="007076C8" w:rsidRPr="00821FF4">
        <w:lastRenderedPageBreak/>
        <w:t xml:space="preserve">Table </w:t>
      </w:r>
      <w:r w:rsidR="00103968" w:rsidRPr="00821FF4">
        <w:t>2</w:t>
      </w:r>
      <w:r w:rsidR="00DA779B" w:rsidRPr="00821FF4">
        <w:t xml:space="preserve"> - Selection and routing criteria </w:t>
      </w:r>
    </w:p>
    <w:p w14:paraId="49C36F2D" w14:textId="77777777" w:rsidR="00DA779B" w:rsidRPr="0098350D" w:rsidRDefault="00DA779B" w:rsidP="00DA779B">
      <w:pPr>
        <w:rPr>
          <w:rFonts w:ascii="Arial" w:hAnsi="Arial" w:cs="Arial"/>
          <w:sz w:val="20"/>
          <w:szCs w:val="20"/>
        </w:rPr>
      </w:pPr>
    </w:p>
    <w:tbl>
      <w:tblPr>
        <w:tblStyle w:val="TableGrid"/>
        <w:tblW w:w="0" w:type="auto"/>
        <w:tblLook w:val="04A0" w:firstRow="1" w:lastRow="0" w:firstColumn="1" w:lastColumn="0" w:noHBand="0" w:noVBand="1"/>
      </w:tblPr>
      <w:tblGrid>
        <w:gridCol w:w="1162"/>
        <w:gridCol w:w="1982"/>
        <w:gridCol w:w="2517"/>
        <w:gridCol w:w="1632"/>
        <w:gridCol w:w="1723"/>
      </w:tblGrid>
      <w:tr w:rsidR="00DA779B" w:rsidRPr="00645D29" w14:paraId="5EE574AA" w14:textId="77777777" w:rsidTr="00821FF4">
        <w:trPr>
          <w:trHeight w:val="827"/>
        </w:trPr>
        <w:tc>
          <w:tcPr>
            <w:tcW w:w="1240" w:type="dxa"/>
            <w:shd w:val="clear" w:color="auto" w:fill="EEECE1" w:themeFill="background2"/>
          </w:tcPr>
          <w:p w14:paraId="698CE8F0" w14:textId="77777777" w:rsidR="00DA779B" w:rsidRPr="00A81FBD" w:rsidRDefault="00DA779B" w:rsidP="00821FF4">
            <w:pPr>
              <w:rPr>
                <w:rFonts w:ascii="Arial" w:hAnsi="Arial" w:cs="Arial"/>
                <w:b/>
                <w:bCs/>
                <w:sz w:val="20"/>
                <w:szCs w:val="20"/>
              </w:rPr>
            </w:pPr>
            <w:r w:rsidRPr="00A81FBD">
              <w:rPr>
                <w:rFonts w:ascii="Arial" w:hAnsi="Arial" w:cs="Arial"/>
                <w:b/>
                <w:bCs/>
                <w:sz w:val="20"/>
                <w:szCs w:val="20"/>
              </w:rPr>
              <w:t>Topic type</w:t>
            </w:r>
          </w:p>
        </w:tc>
        <w:tc>
          <w:tcPr>
            <w:tcW w:w="2299" w:type="dxa"/>
            <w:shd w:val="clear" w:color="auto" w:fill="EAF1DD" w:themeFill="accent3" w:themeFillTint="33"/>
          </w:tcPr>
          <w:p w14:paraId="5DD125FD" w14:textId="77777777" w:rsidR="00DA779B" w:rsidRPr="00645D29" w:rsidRDefault="00DA779B" w:rsidP="00821FF4">
            <w:pPr>
              <w:rPr>
                <w:rFonts w:ascii="Arial" w:hAnsi="Arial" w:cs="Arial"/>
                <w:b/>
                <w:bCs/>
                <w:sz w:val="22"/>
                <w:szCs w:val="22"/>
              </w:rPr>
            </w:pPr>
            <w:r w:rsidRPr="00645D29">
              <w:rPr>
                <w:rFonts w:ascii="Arial" w:hAnsi="Arial" w:cs="Arial"/>
                <w:b/>
                <w:bCs/>
                <w:sz w:val="22"/>
                <w:szCs w:val="22"/>
              </w:rPr>
              <w:t>Devices</w:t>
            </w:r>
          </w:p>
          <w:p w14:paraId="3BAB3CD8" w14:textId="77777777" w:rsidR="00DA779B" w:rsidRPr="00645D29" w:rsidRDefault="00DA779B" w:rsidP="00821FF4">
            <w:pPr>
              <w:rPr>
                <w:rFonts w:ascii="Arial" w:hAnsi="Arial" w:cs="Arial"/>
                <w:sz w:val="20"/>
                <w:szCs w:val="20"/>
              </w:rPr>
            </w:pPr>
            <w:r>
              <w:rPr>
                <w:rFonts w:ascii="Arial" w:hAnsi="Arial" w:cs="Arial"/>
                <w:sz w:val="20"/>
                <w:szCs w:val="20"/>
              </w:rPr>
              <w:t xml:space="preserve">Technologies </w:t>
            </w:r>
            <w:r w:rsidRPr="00645D29">
              <w:rPr>
                <w:rFonts w:ascii="Arial" w:hAnsi="Arial" w:cs="Arial"/>
                <w:sz w:val="20"/>
                <w:szCs w:val="20"/>
              </w:rPr>
              <w:t>(including digital health technologies in tier 3b of the evidence standards framework</w:t>
            </w:r>
            <w:r>
              <w:rPr>
                <w:rFonts w:ascii="Arial" w:hAnsi="Arial" w:cs="Arial"/>
                <w:sz w:val="20"/>
                <w:szCs w:val="20"/>
              </w:rPr>
              <w:t>)</w:t>
            </w:r>
            <w:r w:rsidRPr="00645D29">
              <w:rPr>
                <w:rFonts w:ascii="Arial" w:hAnsi="Arial" w:cs="Arial"/>
                <w:sz w:val="20"/>
                <w:szCs w:val="20"/>
              </w:rPr>
              <w:t xml:space="preserve"> that treat or prevent a health condition</w:t>
            </w:r>
            <w:r>
              <w:rPr>
                <w:rFonts w:ascii="Arial" w:hAnsi="Arial" w:cs="Arial"/>
                <w:sz w:val="20"/>
                <w:szCs w:val="20"/>
              </w:rPr>
              <w:t>, or inform clinical management decisions about treatment</w:t>
            </w:r>
            <w:r w:rsidRPr="00645D29">
              <w:rPr>
                <w:rFonts w:ascii="Arial" w:hAnsi="Arial" w:cs="Arial"/>
                <w:sz w:val="20"/>
                <w:szCs w:val="20"/>
              </w:rPr>
              <w:t xml:space="preserve"> including those using artificial intelligence incorporating fixed or adaptive algorithms</w:t>
            </w:r>
          </w:p>
        </w:tc>
        <w:tc>
          <w:tcPr>
            <w:tcW w:w="2693" w:type="dxa"/>
            <w:shd w:val="clear" w:color="auto" w:fill="EAF1DD" w:themeFill="accent3" w:themeFillTint="33"/>
          </w:tcPr>
          <w:p w14:paraId="3349ED75" w14:textId="77777777" w:rsidR="00DA779B" w:rsidRPr="00645D29" w:rsidRDefault="00DA779B" w:rsidP="00821FF4">
            <w:pPr>
              <w:rPr>
                <w:rFonts w:ascii="Arial" w:hAnsi="Arial" w:cs="Arial"/>
                <w:b/>
                <w:bCs/>
                <w:sz w:val="22"/>
                <w:szCs w:val="22"/>
              </w:rPr>
            </w:pPr>
            <w:r w:rsidRPr="00645D29">
              <w:rPr>
                <w:rFonts w:ascii="Arial" w:hAnsi="Arial" w:cs="Arial"/>
                <w:b/>
                <w:bCs/>
                <w:sz w:val="22"/>
                <w:szCs w:val="22"/>
              </w:rPr>
              <w:t>Diagnostics</w:t>
            </w:r>
          </w:p>
          <w:p w14:paraId="362763D1" w14:textId="77777777" w:rsidR="00DA779B" w:rsidRPr="00645D29" w:rsidRDefault="00DA779B" w:rsidP="00821FF4">
            <w:pPr>
              <w:rPr>
                <w:rFonts w:ascii="Arial" w:hAnsi="Arial" w:cs="Arial"/>
                <w:sz w:val="20"/>
                <w:szCs w:val="20"/>
              </w:rPr>
            </w:pPr>
            <w:r>
              <w:rPr>
                <w:rFonts w:ascii="Arial" w:hAnsi="Arial" w:cs="Arial"/>
                <w:sz w:val="20"/>
                <w:szCs w:val="20"/>
              </w:rPr>
              <w:t>T</w:t>
            </w:r>
            <w:r w:rsidRPr="00645D29">
              <w:rPr>
                <w:rFonts w:ascii="Arial" w:hAnsi="Arial" w:cs="Arial"/>
                <w:sz w:val="20"/>
                <w:szCs w:val="20"/>
              </w:rPr>
              <w:t>echnologies</w:t>
            </w:r>
            <w:r>
              <w:rPr>
                <w:rFonts w:ascii="Arial" w:hAnsi="Arial" w:cs="Arial"/>
                <w:sz w:val="20"/>
                <w:szCs w:val="20"/>
              </w:rPr>
              <w:t>,</w:t>
            </w:r>
            <w:r>
              <w:t xml:space="preserve"> </w:t>
            </w:r>
            <w:r w:rsidRPr="00A81FBD">
              <w:rPr>
                <w:rFonts w:ascii="Arial" w:hAnsi="Arial" w:cs="Arial"/>
                <w:sz w:val="20"/>
                <w:szCs w:val="20"/>
              </w:rPr>
              <w:t>techniques and strategies</w:t>
            </w:r>
            <w:r w:rsidRPr="00645D29">
              <w:rPr>
                <w:rFonts w:ascii="Arial" w:hAnsi="Arial" w:cs="Arial"/>
                <w:sz w:val="20"/>
                <w:szCs w:val="20"/>
              </w:rPr>
              <w:t xml:space="preserve"> (including digital health technologies in tier 3b of the evidence standards framework</w:t>
            </w:r>
            <w:r>
              <w:rPr>
                <w:rFonts w:ascii="Arial" w:hAnsi="Arial" w:cs="Arial"/>
                <w:sz w:val="20"/>
                <w:szCs w:val="20"/>
              </w:rPr>
              <w:t>)</w:t>
            </w:r>
            <w:r w:rsidRPr="00645D29">
              <w:rPr>
                <w:rFonts w:ascii="Arial" w:hAnsi="Arial" w:cs="Arial"/>
                <w:sz w:val="20"/>
                <w:szCs w:val="20"/>
              </w:rPr>
              <w:t xml:space="preserve"> that diagnose, prognose, predict, or screen health conditions, including in-house diagnostics, companion diagnostics, and those using artificial intelligence incorporating fixed or adaptive algorithms</w:t>
            </w:r>
          </w:p>
        </w:tc>
        <w:tc>
          <w:tcPr>
            <w:tcW w:w="2410" w:type="dxa"/>
            <w:shd w:val="clear" w:color="auto" w:fill="EAF1DD" w:themeFill="accent3" w:themeFillTint="33"/>
          </w:tcPr>
          <w:p w14:paraId="202D1940" w14:textId="77777777" w:rsidR="00DA779B" w:rsidRPr="00645D29" w:rsidRDefault="00DA779B" w:rsidP="00821FF4">
            <w:pPr>
              <w:rPr>
                <w:rFonts w:ascii="Arial" w:hAnsi="Arial" w:cs="Arial"/>
                <w:b/>
                <w:bCs/>
                <w:sz w:val="22"/>
                <w:szCs w:val="22"/>
              </w:rPr>
            </w:pPr>
            <w:r w:rsidRPr="00645D29">
              <w:rPr>
                <w:rFonts w:ascii="Arial" w:hAnsi="Arial" w:cs="Arial"/>
                <w:b/>
                <w:bCs/>
                <w:sz w:val="22"/>
                <w:szCs w:val="22"/>
              </w:rPr>
              <w:t>Medicines</w:t>
            </w:r>
          </w:p>
          <w:p w14:paraId="7D2E7B4C" w14:textId="77777777" w:rsidR="00DA779B" w:rsidRPr="00645D29" w:rsidRDefault="00DA779B" w:rsidP="00821FF4">
            <w:pPr>
              <w:rPr>
                <w:rFonts w:ascii="Arial" w:hAnsi="Arial" w:cs="Arial"/>
                <w:sz w:val="20"/>
                <w:szCs w:val="20"/>
              </w:rPr>
            </w:pPr>
            <w:r w:rsidRPr="00645D29">
              <w:rPr>
                <w:rFonts w:ascii="Arial" w:hAnsi="Arial" w:cs="Arial"/>
                <w:sz w:val="20"/>
                <w:szCs w:val="20"/>
              </w:rPr>
              <w:t>active substances that are new to the UK market or have significant licence extensions</w:t>
            </w:r>
          </w:p>
        </w:tc>
        <w:tc>
          <w:tcPr>
            <w:tcW w:w="2120" w:type="dxa"/>
            <w:shd w:val="clear" w:color="auto" w:fill="EAF1DD" w:themeFill="accent3" w:themeFillTint="33"/>
          </w:tcPr>
          <w:p w14:paraId="7B3D04A6" w14:textId="77777777" w:rsidR="00DA779B" w:rsidRPr="00645D29" w:rsidRDefault="00DA779B" w:rsidP="00821FF4">
            <w:pPr>
              <w:rPr>
                <w:rFonts w:ascii="Arial" w:hAnsi="Arial" w:cs="Arial"/>
                <w:b/>
                <w:bCs/>
                <w:sz w:val="22"/>
                <w:szCs w:val="22"/>
              </w:rPr>
            </w:pPr>
            <w:r w:rsidRPr="00645D29">
              <w:rPr>
                <w:rFonts w:ascii="Arial" w:hAnsi="Arial" w:cs="Arial"/>
                <w:b/>
                <w:bCs/>
                <w:sz w:val="22"/>
                <w:szCs w:val="22"/>
              </w:rPr>
              <w:t>Interventional procedures</w:t>
            </w:r>
          </w:p>
          <w:p w14:paraId="6EE83FD3" w14:textId="77777777" w:rsidR="00DA779B" w:rsidRPr="00645D29" w:rsidRDefault="00DA779B" w:rsidP="00821FF4">
            <w:pPr>
              <w:rPr>
                <w:rFonts w:ascii="Arial" w:hAnsi="Arial" w:cs="Arial"/>
                <w:sz w:val="20"/>
                <w:szCs w:val="20"/>
              </w:rPr>
            </w:pPr>
            <w:r w:rsidRPr="00645D29">
              <w:rPr>
                <w:rFonts w:ascii="Arial" w:hAnsi="Arial" w:cs="Arial"/>
                <w:sz w:val="20"/>
                <w:szCs w:val="20"/>
              </w:rPr>
              <w:t>new or significantly modified procedures that use ionising, electromagnetic or acoustic energy, or that involve an incision, a puncture, or entry into a body cavity</w:t>
            </w:r>
          </w:p>
        </w:tc>
      </w:tr>
      <w:tr w:rsidR="00DA779B" w:rsidRPr="00645D29" w14:paraId="4B2D738B" w14:textId="77777777" w:rsidTr="00821FF4">
        <w:trPr>
          <w:trHeight w:val="827"/>
        </w:trPr>
        <w:tc>
          <w:tcPr>
            <w:tcW w:w="1240" w:type="dxa"/>
            <w:shd w:val="clear" w:color="auto" w:fill="EEECE1" w:themeFill="background2"/>
          </w:tcPr>
          <w:p w14:paraId="23B99712" w14:textId="77777777" w:rsidR="00DA779B" w:rsidRPr="00A81FBD" w:rsidRDefault="00DA779B" w:rsidP="00821FF4">
            <w:pPr>
              <w:rPr>
                <w:rFonts w:ascii="Arial" w:hAnsi="Arial" w:cs="Arial"/>
                <w:b/>
                <w:bCs/>
                <w:sz w:val="20"/>
                <w:szCs w:val="20"/>
              </w:rPr>
            </w:pPr>
            <w:r w:rsidRPr="00A81FBD">
              <w:rPr>
                <w:rFonts w:ascii="Arial" w:hAnsi="Arial" w:cs="Arial"/>
                <w:b/>
                <w:bCs/>
                <w:sz w:val="20"/>
                <w:szCs w:val="20"/>
              </w:rPr>
              <w:t>Examples</w:t>
            </w:r>
          </w:p>
        </w:tc>
        <w:tc>
          <w:tcPr>
            <w:tcW w:w="2299" w:type="dxa"/>
            <w:shd w:val="clear" w:color="auto" w:fill="EAF1DD" w:themeFill="accent3" w:themeFillTint="33"/>
          </w:tcPr>
          <w:p w14:paraId="21E543F0" w14:textId="77777777" w:rsidR="00DA779B" w:rsidRPr="00645D29" w:rsidRDefault="00DA779B" w:rsidP="00DA779B">
            <w:pPr>
              <w:numPr>
                <w:ilvl w:val="0"/>
                <w:numId w:val="28"/>
              </w:numPr>
              <w:tabs>
                <w:tab w:val="clear" w:pos="360"/>
                <w:tab w:val="num" w:pos="214"/>
                <w:tab w:val="num" w:pos="720"/>
              </w:tabs>
              <w:ind w:left="214" w:hanging="219"/>
              <w:rPr>
                <w:rFonts w:ascii="Arial" w:hAnsi="Arial" w:cs="Arial"/>
                <w:sz w:val="20"/>
                <w:szCs w:val="20"/>
              </w:rPr>
            </w:pPr>
            <w:r w:rsidRPr="00645D29">
              <w:rPr>
                <w:rFonts w:ascii="Arial" w:hAnsi="Arial" w:cs="Arial"/>
                <w:sz w:val="20"/>
                <w:szCs w:val="20"/>
              </w:rPr>
              <w:t xml:space="preserve">wound dressings, </w:t>
            </w:r>
          </w:p>
          <w:p w14:paraId="736C2314" w14:textId="77777777" w:rsidR="00DA779B" w:rsidRPr="00645D29" w:rsidRDefault="00DA779B" w:rsidP="00DA779B">
            <w:pPr>
              <w:numPr>
                <w:ilvl w:val="0"/>
                <w:numId w:val="28"/>
              </w:numPr>
              <w:tabs>
                <w:tab w:val="clear" w:pos="360"/>
                <w:tab w:val="num" w:pos="214"/>
                <w:tab w:val="num" w:pos="720"/>
              </w:tabs>
              <w:ind w:left="214" w:hanging="219"/>
              <w:rPr>
                <w:rFonts w:ascii="Arial" w:hAnsi="Arial" w:cs="Arial"/>
                <w:sz w:val="20"/>
                <w:szCs w:val="20"/>
              </w:rPr>
            </w:pPr>
            <w:r w:rsidRPr="00645D29">
              <w:rPr>
                <w:rFonts w:ascii="Arial" w:hAnsi="Arial" w:cs="Arial"/>
                <w:sz w:val="20"/>
                <w:szCs w:val="20"/>
              </w:rPr>
              <w:t>catheters,</w:t>
            </w:r>
          </w:p>
          <w:p w14:paraId="168AAEC1" w14:textId="77777777" w:rsidR="00DA779B" w:rsidRPr="00645D29" w:rsidRDefault="00DA779B" w:rsidP="00DA779B">
            <w:pPr>
              <w:numPr>
                <w:ilvl w:val="0"/>
                <w:numId w:val="28"/>
              </w:numPr>
              <w:tabs>
                <w:tab w:val="clear" w:pos="360"/>
                <w:tab w:val="num" w:pos="214"/>
                <w:tab w:val="num" w:pos="720"/>
              </w:tabs>
              <w:ind w:left="214" w:hanging="219"/>
              <w:rPr>
                <w:rFonts w:ascii="Arial" w:hAnsi="Arial" w:cs="Arial"/>
                <w:sz w:val="20"/>
                <w:szCs w:val="20"/>
              </w:rPr>
            </w:pPr>
            <w:r>
              <w:rPr>
                <w:rFonts w:ascii="Arial" w:hAnsi="Arial" w:cs="Arial"/>
                <w:sz w:val="20"/>
                <w:szCs w:val="20"/>
              </w:rPr>
              <w:t>neuromodulators</w:t>
            </w:r>
          </w:p>
          <w:p w14:paraId="615ED896" w14:textId="77777777" w:rsidR="00DA779B" w:rsidRDefault="00DA779B" w:rsidP="00DA779B">
            <w:pPr>
              <w:numPr>
                <w:ilvl w:val="0"/>
                <w:numId w:val="28"/>
              </w:numPr>
              <w:tabs>
                <w:tab w:val="clear" w:pos="360"/>
                <w:tab w:val="num" w:pos="214"/>
                <w:tab w:val="num" w:pos="720"/>
              </w:tabs>
              <w:ind w:left="214" w:hanging="219"/>
              <w:rPr>
                <w:rFonts w:ascii="Arial" w:hAnsi="Arial" w:cs="Arial"/>
                <w:sz w:val="20"/>
                <w:szCs w:val="20"/>
              </w:rPr>
            </w:pPr>
            <w:bookmarkStart w:id="4" w:name="_Hlk36823407"/>
            <w:r w:rsidRPr="00645D29">
              <w:rPr>
                <w:rFonts w:ascii="Arial" w:hAnsi="Arial" w:cs="Arial"/>
                <w:sz w:val="20"/>
                <w:szCs w:val="20"/>
              </w:rPr>
              <w:t xml:space="preserve">apps/software </w:t>
            </w:r>
            <w:r>
              <w:rPr>
                <w:rFonts w:ascii="Arial" w:hAnsi="Arial" w:cs="Arial"/>
                <w:sz w:val="20"/>
                <w:szCs w:val="20"/>
              </w:rPr>
              <w:t xml:space="preserve">used to deliver cognitive behaviour therapy via a smartphone.  </w:t>
            </w:r>
          </w:p>
          <w:bookmarkEnd w:id="4"/>
          <w:p w14:paraId="0EA7CE5C" w14:textId="77777777" w:rsidR="00DA779B" w:rsidRPr="00645D29" w:rsidRDefault="00DA779B" w:rsidP="00821FF4">
            <w:pPr>
              <w:ind w:left="360"/>
              <w:rPr>
                <w:rFonts w:ascii="Arial" w:hAnsi="Arial" w:cs="Arial"/>
                <w:sz w:val="20"/>
                <w:szCs w:val="20"/>
              </w:rPr>
            </w:pPr>
          </w:p>
        </w:tc>
        <w:tc>
          <w:tcPr>
            <w:tcW w:w="2693" w:type="dxa"/>
            <w:shd w:val="clear" w:color="auto" w:fill="EAF1DD" w:themeFill="accent3" w:themeFillTint="33"/>
          </w:tcPr>
          <w:p w14:paraId="56A4470F" w14:textId="77777777" w:rsidR="00DA779B" w:rsidRPr="00645D29" w:rsidRDefault="00DA779B" w:rsidP="00DA779B">
            <w:pPr>
              <w:numPr>
                <w:ilvl w:val="0"/>
                <w:numId w:val="29"/>
              </w:numPr>
              <w:tabs>
                <w:tab w:val="clear" w:pos="360"/>
                <w:tab w:val="num" w:pos="181"/>
                <w:tab w:val="num" w:pos="720"/>
              </w:tabs>
              <w:ind w:left="181" w:hanging="181"/>
              <w:rPr>
                <w:rFonts w:ascii="Arial" w:hAnsi="Arial" w:cs="Arial"/>
                <w:sz w:val="20"/>
                <w:szCs w:val="20"/>
              </w:rPr>
            </w:pPr>
            <w:r>
              <w:rPr>
                <w:rFonts w:ascii="Arial" w:hAnsi="Arial" w:cs="Arial"/>
                <w:sz w:val="20"/>
                <w:szCs w:val="20"/>
              </w:rPr>
              <w:t>b</w:t>
            </w:r>
            <w:r w:rsidRPr="00645D29">
              <w:rPr>
                <w:rFonts w:ascii="Arial" w:hAnsi="Arial" w:cs="Arial"/>
                <w:sz w:val="20"/>
                <w:szCs w:val="20"/>
              </w:rPr>
              <w:t>lood/urine</w:t>
            </w:r>
            <w:r>
              <w:rPr>
                <w:rFonts w:ascii="Arial" w:hAnsi="Arial" w:cs="Arial"/>
                <w:sz w:val="20"/>
                <w:szCs w:val="20"/>
              </w:rPr>
              <w:t>/swab/tissue</w:t>
            </w:r>
            <w:r w:rsidRPr="00645D29">
              <w:rPr>
                <w:rFonts w:ascii="Arial" w:hAnsi="Arial" w:cs="Arial"/>
                <w:sz w:val="20"/>
                <w:szCs w:val="20"/>
              </w:rPr>
              <w:t xml:space="preserve"> tests</w:t>
            </w:r>
          </w:p>
          <w:p w14:paraId="7746E7A8" w14:textId="77777777" w:rsidR="00DA779B" w:rsidRPr="00645D29" w:rsidRDefault="00DA779B" w:rsidP="00DA779B">
            <w:pPr>
              <w:numPr>
                <w:ilvl w:val="0"/>
                <w:numId w:val="29"/>
              </w:numPr>
              <w:tabs>
                <w:tab w:val="clear" w:pos="360"/>
                <w:tab w:val="num" w:pos="181"/>
                <w:tab w:val="num" w:pos="720"/>
              </w:tabs>
              <w:ind w:left="181" w:hanging="181"/>
              <w:rPr>
                <w:rFonts w:ascii="Arial" w:hAnsi="Arial" w:cs="Arial"/>
                <w:sz w:val="20"/>
                <w:szCs w:val="20"/>
              </w:rPr>
            </w:pPr>
            <w:r>
              <w:rPr>
                <w:rFonts w:ascii="Arial" w:hAnsi="Arial" w:cs="Arial"/>
                <w:sz w:val="20"/>
                <w:szCs w:val="20"/>
              </w:rPr>
              <w:t xml:space="preserve">imaging technologies (such as </w:t>
            </w:r>
            <w:r w:rsidRPr="00645D29">
              <w:rPr>
                <w:rFonts w:ascii="Arial" w:hAnsi="Arial" w:cs="Arial"/>
                <w:sz w:val="20"/>
                <w:szCs w:val="20"/>
              </w:rPr>
              <w:t>CT scanner</w:t>
            </w:r>
            <w:r>
              <w:rPr>
                <w:rFonts w:ascii="Arial" w:hAnsi="Arial" w:cs="Arial"/>
                <w:sz w:val="20"/>
                <w:szCs w:val="20"/>
              </w:rPr>
              <w:t xml:space="preserve">s, </w:t>
            </w:r>
            <w:proofErr w:type="spellStart"/>
            <w:r>
              <w:rPr>
                <w:rFonts w:ascii="Arial" w:hAnsi="Arial" w:cs="Arial"/>
                <w:sz w:val="20"/>
                <w:szCs w:val="20"/>
              </w:rPr>
              <w:t>dermatoscopes</w:t>
            </w:r>
            <w:proofErr w:type="spellEnd"/>
            <w:r>
              <w:rPr>
                <w:rFonts w:ascii="Arial" w:hAnsi="Arial" w:cs="Arial"/>
                <w:sz w:val="20"/>
                <w:szCs w:val="20"/>
              </w:rPr>
              <w:t>)</w:t>
            </w:r>
            <w:r w:rsidRPr="00645D29">
              <w:rPr>
                <w:rFonts w:ascii="Arial" w:hAnsi="Arial" w:cs="Arial"/>
                <w:sz w:val="20"/>
                <w:szCs w:val="20"/>
              </w:rPr>
              <w:t xml:space="preserve"> </w:t>
            </w:r>
          </w:p>
          <w:p w14:paraId="763216BB" w14:textId="77777777" w:rsidR="00DA779B" w:rsidRPr="00645D29" w:rsidRDefault="00DA779B" w:rsidP="00DA779B">
            <w:pPr>
              <w:numPr>
                <w:ilvl w:val="0"/>
                <w:numId w:val="29"/>
              </w:numPr>
              <w:tabs>
                <w:tab w:val="clear" w:pos="360"/>
                <w:tab w:val="num" w:pos="181"/>
                <w:tab w:val="num" w:pos="720"/>
              </w:tabs>
              <w:ind w:left="181" w:hanging="181"/>
              <w:rPr>
                <w:rFonts w:ascii="Arial" w:hAnsi="Arial" w:cs="Arial"/>
                <w:sz w:val="20"/>
                <w:szCs w:val="20"/>
              </w:rPr>
            </w:pPr>
            <w:r>
              <w:rPr>
                <w:rFonts w:ascii="Arial" w:hAnsi="Arial" w:cs="Arial"/>
                <w:sz w:val="20"/>
                <w:szCs w:val="20"/>
              </w:rPr>
              <w:t xml:space="preserve">measuring technologies (such as ECG, bioimpedance) </w:t>
            </w:r>
          </w:p>
          <w:p w14:paraId="7A9F0A20" w14:textId="77777777" w:rsidR="00DA779B" w:rsidRPr="00645D29" w:rsidRDefault="00DA779B" w:rsidP="00DA779B">
            <w:pPr>
              <w:numPr>
                <w:ilvl w:val="0"/>
                <w:numId w:val="29"/>
              </w:numPr>
              <w:tabs>
                <w:tab w:val="clear" w:pos="360"/>
                <w:tab w:val="num" w:pos="181"/>
                <w:tab w:val="num" w:pos="720"/>
              </w:tabs>
              <w:ind w:left="181" w:hanging="181"/>
              <w:rPr>
                <w:rFonts w:ascii="Arial" w:hAnsi="Arial" w:cs="Arial"/>
                <w:sz w:val="20"/>
                <w:szCs w:val="20"/>
              </w:rPr>
            </w:pPr>
            <w:bookmarkStart w:id="5" w:name="_Hlk36823782"/>
            <w:r w:rsidRPr="00367938">
              <w:rPr>
                <w:rFonts w:ascii="Arial" w:hAnsi="Arial" w:cs="Arial"/>
                <w:sz w:val="20"/>
                <w:szCs w:val="20"/>
              </w:rPr>
              <w:t xml:space="preserve">apps/software </w:t>
            </w:r>
            <w:r>
              <w:rPr>
                <w:rFonts w:ascii="Arial" w:hAnsi="Arial" w:cs="Arial"/>
                <w:sz w:val="20"/>
                <w:szCs w:val="20"/>
              </w:rPr>
              <w:t xml:space="preserve">to enable remote diagnosis of a condition </w:t>
            </w:r>
            <w:bookmarkEnd w:id="5"/>
          </w:p>
        </w:tc>
        <w:tc>
          <w:tcPr>
            <w:tcW w:w="2410" w:type="dxa"/>
            <w:shd w:val="clear" w:color="auto" w:fill="EAF1DD" w:themeFill="accent3" w:themeFillTint="33"/>
          </w:tcPr>
          <w:p w14:paraId="42547A1E" w14:textId="77777777" w:rsidR="00DA779B" w:rsidRPr="00544674" w:rsidRDefault="00DA779B" w:rsidP="00DA779B">
            <w:pPr>
              <w:pStyle w:val="ListParagraph"/>
              <w:numPr>
                <w:ilvl w:val="0"/>
                <w:numId w:val="29"/>
              </w:numPr>
              <w:tabs>
                <w:tab w:val="clear" w:pos="360"/>
                <w:tab w:val="num" w:pos="177"/>
              </w:tabs>
              <w:rPr>
                <w:rFonts w:ascii="Arial" w:hAnsi="Arial" w:cs="Arial"/>
                <w:sz w:val="20"/>
                <w:szCs w:val="20"/>
              </w:rPr>
            </w:pPr>
            <w:r w:rsidRPr="00544674">
              <w:rPr>
                <w:rFonts w:ascii="Arial" w:hAnsi="Arial" w:cs="Arial"/>
                <w:sz w:val="20"/>
                <w:szCs w:val="20"/>
              </w:rPr>
              <w:t xml:space="preserve">medicines </w:t>
            </w:r>
          </w:p>
          <w:p w14:paraId="3DDD9A8E" w14:textId="77777777" w:rsidR="00DA779B" w:rsidRPr="00544674" w:rsidRDefault="00DA779B" w:rsidP="00DA779B">
            <w:pPr>
              <w:pStyle w:val="ListParagraph"/>
              <w:numPr>
                <w:ilvl w:val="0"/>
                <w:numId w:val="29"/>
              </w:numPr>
              <w:tabs>
                <w:tab w:val="clear" w:pos="360"/>
                <w:tab w:val="num" w:pos="177"/>
              </w:tabs>
              <w:rPr>
                <w:rFonts w:ascii="Arial" w:hAnsi="Arial" w:cs="Arial"/>
                <w:sz w:val="20"/>
                <w:szCs w:val="20"/>
              </w:rPr>
            </w:pPr>
            <w:r w:rsidRPr="00544674">
              <w:rPr>
                <w:rFonts w:ascii="Arial" w:hAnsi="Arial" w:cs="Arial"/>
                <w:sz w:val="20"/>
                <w:szCs w:val="20"/>
              </w:rPr>
              <w:t>therapeutic vaccines</w:t>
            </w:r>
          </w:p>
          <w:p w14:paraId="797F0243" w14:textId="77777777" w:rsidR="00DA779B" w:rsidRDefault="00DA779B" w:rsidP="00DA779B">
            <w:pPr>
              <w:numPr>
                <w:ilvl w:val="0"/>
                <w:numId w:val="29"/>
              </w:numPr>
              <w:tabs>
                <w:tab w:val="clear" w:pos="360"/>
                <w:tab w:val="num" w:pos="181"/>
              </w:tabs>
              <w:ind w:left="181" w:hanging="181"/>
              <w:rPr>
                <w:rFonts w:ascii="Arial" w:hAnsi="Arial" w:cs="Arial"/>
                <w:sz w:val="20"/>
                <w:szCs w:val="20"/>
              </w:rPr>
            </w:pPr>
            <w:r w:rsidRPr="00645D29">
              <w:rPr>
                <w:rFonts w:ascii="Arial" w:hAnsi="Arial" w:cs="Arial"/>
                <w:sz w:val="20"/>
                <w:szCs w:val="20"/>
              </w:rPr>
              <w:t>advanced therapy medicinal products (</w:t>
            </w:r>
            <w:r>
              <w:rPr>
                <w:rFonts w:ascii="Arial" w:hAnsi="Arial" w:cs="Arial"/>
                <w:sz w:val="20"/>
                <w:szCs w:val="20"/>
              </w:rPr>
              <w:t xml:space="preserve">such as </w:t>
            </w:r>
            <w:r w:rsidRPr="00645D29">
              <w:rPr>
                <w:rFonts w:ascii="Arial" w:hAnsi="Arial" w:cs="Arial"/>
                <w:sz w:val="20"/>
                <w:szCs w:val="20"/>
              </w:rPr>
              <w:t>gene therapies, stem cells)</w:t>
            </w:r>
          </w:p>
          <w:p w14:paraId="1886CBE3" w14:textId="77777777" w:rsidR="00DA779B" w:rsidRPr="00645D29" w:rsidRDefault="00DA779B" w:rsidP="00821FF4">
            <w:pPr>
              <w:ind w:left="360"/>
              <w:rPr>
                <w:rFonts w:ascii="Arial" w:hAnsi="Arial" w:cs="Arial"/>
                <w:sz w:val="20"/>
                <w:szCs w:val="20"/>
              </w:rPr>
            </w:pPr>
          </w:p>
        </w:tc>
        <w:tc>
          <w:tcPr>
            <w:tcW w:w="2120" w:type="dxa"/>
            <w:shd w:val="clear" w:color="auto" w:fill="EAF1DD" w:themeFill="accent3" w:themeFillTint="33"/>
          </w:tcPr>
          <w:p w14:paraId="06488D93" w14:textId="77777777" w:rsidR="00DA779B" w:rsidRPr="00645D29" w:rsidRDefault="00DA779B" w:rsidP="00DA779B">
            <w:pPr>
              <w:numPr>
                <w:ilvl w:val="0"/>
                <w:numId w:val="29"/>
              </w:numPr>
              <w:tabs>
                <w:tab w:val="clear" w:pos="360"/>
                <w:tab w:val="num" w:pos="180"/>
              </w:tabs>
              <w:ind w:left="180" w:hanging="180"/>
              <w:rPr>
                <w:rFonts w:ascii="Arial" w:hAnsi="Arial" w:cs="Arial"/>
                <w:sz w:val="20"/>
                <w:szCs w:val="20"/>
              </w:rPr>
            </w:pPr>
            <w:r w:rsidRPr="00645D29">
              <w:rPr>
                <w:rFonts w:ascii="Arial" w:hAnsi="Arial" w:cs="Arial"/>
                <w:sz w:val="20"/>
                <w:szCs w:val="20"/>
              </w:rPr>
              <w:t>inserting a tube into a blood vessel.</w:t>
            </w:r>
          </w:p>
          <w:p w14:paraId="286BE62B" w14:textId="77777777" w:rsidR="00DA779B" w:rsidRPr="00645D29" w:rsidRDefault="00DA779B" w:rsidP="00DA779B">
            <w:pPr>
              <w:numPr>
                <w:ilvl w:val="0"/>
                <w:numId w:val="29"/>
              </w:numPr>
              <w:tabs>
                <w:tab w:val="clear" w:pos="360"/>
                <w:tab w:val="num" w:pos="180"/>
              </w:tabs>
              <w:ind w:left="180" w:hanging="180"/>
              <w:rPr>
                <w:rFonts w:ascii="Arial" w:hAnsi="Arial" w:cs="Arial"/>
                <w:sz w:val="20"/>
                <w:szCs w:val="20"/>
              </w:rPr>
            </w:pPr>
            <w:r w:rsidRPr="00645D29">
              <w:rPr>
                <w:rFonts w:ascii="Arial" w:hAnsi="Arial" w:cs="Arial"/>
                <w:sz w:val="20"/>
                <w:szCs w:val="20"/>
              </w:rPr>
              <w:t>carrying out treatment inside the body using an instrument inserted via the mouth.</w:t>
            </w:r>
          </w:p>
          <w:p w14:paraId="4E69C814" w14:textId="77777777" w:rsidR="00DA779B" w:rsidRPr="00645D29" w:rsidRDefault="00DA779B" w:rsidP="00DA779B">
            <w:pPr>
              <w:numPr>
                <w:ilvl w:val="0"/>
                <w:numId w:val="29"/>
              </w:numPr>
              <w:tabs>
                <w:tab w:val="clear" w:pos="360"/>
                <w:tab w:val="num" w:pos="180"/>
              </w:tabs>
              <w:ind w:left="180" w:hanging="180"/>
              <w:rPr>
                <w:rFonts w:ascii="Arial" w:hAnsi="Arial" w:cs="Arial"/>
                <w:sz w:val="20"/>
                <w:szCs w:val="20"/>
              </w:rPr>
            </w:pPr>
            <w:r w:rsidRPr="00645D29">
              <w:rPr>
                <w:rFonts w:ascii="Arial" w:hAnsi="Arial" w:cs="Arial"/>
                <w:sz w:val="20"/>
                <w:szCs w:val="20"/>
              </w:rPr>
              <w:t>using a laser to treat eye problems.</w:t>
            </w:r>
          </w:p>
        </w:tc>
      </w:tr>
      <w:tr w:rsidR="00DA779B" w:rsidRPr="00645D29" w14:paraId="43B00ED4" w14:textId="77777777" w:rsidTr="00821FF4">
        <w:trPr>
          <w:trHeight w:val="806"/>
        </w:trPr>
        <w:tc>
          <w:tcPr>
            <w:tcW w:w="1240" w:type="dxa"/>
            <w:shd w:val="clear" w:color="auto" w:fill="EEECE1" w:themeFill="background2"/>
          </w:tcPr>
          <w:p w14:paraId="29B671E4" w14:textId="77777777" w:rsidR="00DA779B" w:rsidRPr="00A81FBD" w:rsidRDefault="00DA779B" w:rsidP="00821FF4">
            <w:pPr>
              <w:rPr>
                <w:rFonts w:ascii="Arial" w:hAnsi="Arial" w:cs="Arial"/>
                <w:b/>
                <w:bCs/>
                <w:sz w:val="20"/>
                <w:szCs w:val="20"/>
              </w:rPr>
            </w:pPr>
            <w:bookmarkStart w:id="6" w:name="_Hlk36643737"/>
            <w:r w:rsidRPr="00A81FBD">
              <w:rPr>
                <w:rFonts w:ascii="Arial" w:hAnsi="Arial" w:cs="Arial"/>
                <w:b/>
                <w:bCs/>
                <w:sz w:val="20"/>
                <w:szCs w:val="20"/>
              </w:rPr>
              <w:t>Selection criteria</w:t>
            </w:r>
          </w:p>
        </w:tc>
        <w:tc>
          <w:tcPr>
            <w:tcW w:w="4992" w:type="dxa"/>
            <w:gridSpan w:val="2"/>
            <w:shd w:val="clear" w:color="auto" w:fill="EAF1DD" w:themeFill="accent3" w:themeFillTint="33"/>
          </w:tcPr>
          <w:p w14:paraId="573BFBDD" w14:textId="77777777" w:rsidR="00DA779B" w:rsidRPr="00367938" w:rsidRDefault="00DA779B" w:rsidP="00821FF4">
            <w:pPr>
              <w:rPr>
                <w:rFonts w:ascii="Arial" w:eastAsia="Calibri" w:hAnsi="Arial" w:cs="Arial"/>
                <w:sz w:val="20"/>
                <w:szCs w:val="20"/>
              </w:rPr>
            </w:pPr>
            <w:r w:rsidRPr="00367938">
              <w:rPr>
                <w:rFonts w:ascii="Arial" w:eastAsia="Calibri" w:hAnsi="Arial" w:cs="Arial"/>
                <w:sz w:val="20"/>
                <w:szCs w:val="20"/>
              </w:rPr>
              <w:t xml:space="preserve">A </w:t>
            </w:r>
            <w:r>
              <w:rPr>
                <w:rFonts w:ascii="Arial" w:eastAsia="Calibri" w:hAnsi="Arial" w:cs="Arial"/>
                <w:sz w:val="20"/>
                <w:szCs w:val="20"/>
              </w:rPr>
              <w:t>device or diagnostic</w:t>
            </w:r>
            <w:r w:rsidRPr="00367938">
              <w:rPr>
                <w:rFonts w:ascii="Arial" w:eastAsia="Calibri" w:hAnsi="Arial" w:cs="Arial"/>
                <w:sz w:val="20"/>
                <w:szCs w:val="20"/>
              </w:rPr>
              <w:t xml:space="preserve"> is likely to be selected if:</w:t>
            </w:r>
          </w:p>
          <w:p w14:paraId="333A246E" w14:textId="77777777" w:rsidR="00DA779B" w:rsidRPr="00814C1D" w:rsidRDefault="00DA779B" w:rsidP="00821FF4">
            <w:pPr>
              <w:numPr>
                <w:ilvl w:val="0"/>
                <w:numId w:val="30"/>
              </w:numPr>
              <w:tabs>
                <w:tab w:val="clear" w:pos="720"/>
                <w:tab w:val="num" w:pos="214"/>
              </w:tabs>
              <w:ind w:left="214" w:hanging="142"/>
              <w:rPr>
                <w:rFonts w:ascii="Arial" w:hAnsi="Arial" w:cs="Arial"/>
                <w:sz w:val="20"/>
                <w:szCs w:val="20"/>
              </w:rPr>
            </w:pPr>
            <w:r w:rsidRPr="00814C1D">
              <w:rPr>
                <w:rFonts w:ascii="Arial" w:hAnsi="Arial" w:cs="Arial"/>
                <w:sz w:val="20"/>
                <w:szCs w:val="20"/>
              </w:rPr>
              <w:t>it has benefits that are likely to</w:t>
            </w:r>
            <w:r>
              <w:rPr>
                <w:rFonts w:ascii="Arial" w:hAnsi="Arial" w:cs="Arial"/>
                <w:sz w:val="20"/>
                <w:szCs w:val="20"/>
              </w:rPr>
              <w:t xml:space="preserve"> </w:t>
            </w:r>
            <w:r w:rsidRPr="00814C1D">
              <w:rPr>
                <w:rFonts w:ascii="Arial" w:hAnsi="Arial" w:cs="Arial"/>
                <w:sz w:val="20"/>
                <w:szCs w:val="20"/>
              </w:rPr>
              <w:t xml:space="preserve">be highly disruptive or lead to a stepwise change to an established care pathway in the UK; </w:t>
            </w:r>
            <w:r w:rsidRPr="00807C73">
              <w:rPr>
                <w:rFonts w:ascii="Arial" w:hAnsi="Arial" w:cs="Arial"/>
                <w:b/>
                <w:bCs/>
                <w:sz w:val="20"/>
                <w:szCs w:val="20"/>
              </w:rPr>
              <w:t>and</w:t>
            </w:r>
          </w:p>
          <w:p w14:paraId="58944CF4" w14:textId="77777777" w:rsidR="00DA779B" w:rsidRDefault="00DA779B" w:rsidP="00821FF4">
            <w:pPr>
              <w:numPr>
                <w:ilvl w:val="0"/>
                <w:numId w:val="30"/>
              </w:numPr>
              <w:tabs>
                <w:tab w:val="clear" w:pos="720"/>
                <w:tab w:val="num" w:pos="214"/>
              </w:tabs>
              <w:ind w:left="214" w:hanging="142"/>
              <w:rPr>
                <w:rFonts w:ascii="Arial" w:hAnsi="Arial" w:cs="Arial"/>
                <w:sz w:val="20"/>
                <w:szCs w:val="20"/>
              </w:rPr>
            </w:pPr>
            <w:r>
              <w:rPr>
                <w:rFonts w:ascii="Arial" w:hAnsi="Arial" w:cs="Arial"/>
                <w:sz w:val="20"/>
                <w:szCs w:val="20"/>
              </w:rPr>
              <w:t>a</w:t>
            </w:r>
            <w:r w:rsidRPr="00814C1D">
              <w:rPr>
                <w:rFonts w:ascii="Arial" w:hAnsi="Arial" w:cs="Arial"/>
                <w:sz w:val="20"/>
                <w:szCs w:val="20"/>
              </w:rPr>
              <w:t xml:space="preserve"> systematic assessment of the cost and system impacts is needed. </w:t>
            </w:r>
            <w:r>
              <w:rPr>
                <w:rFonts w:ascii="Arial" w:hAnsi="Arial" w:cs="Arial"/>
                <w:sz w:val="20"/>
                <w:szCs w:val="20"/>
              </w:rPr>
              <w:t xml:space="preserve">For example, because </w:t>
            </w:r>
            <w:r w:rsidRPr="00814C1D">
              <w:rPr>
                <w:rFonts w:ascii="Arial" w:hAnsi="Arial" w:cs="Arial"/>
                <w:sz w:val="20"/>
                <w:szCs w:val="20"/>
              </w:rPr>
              <w:t xml:space="preserve">there is uncertainty about the likely cost or system impact, or </w:t>
            </w:r>
            <w:r>
              <w:rPr>
                <w:rFonts w:ascii="Arial" w:hAnsi="Arial" w:cs="Arial"/>
                <w:sz w:val="20"/>
                <w:szCs w:val="20"/>
              </w:rPr>
              <w:t xml:space="preserve">because </w:t>
            </w:r>
            <w:r w:rsidRPr="00814C1D">
              <w:rPr>
                <w:rFonts w:ascii="Arial" w:hAnsi="Arial" w:cs="Arial"/>
                <w:sz w:val="20"/>
                <w:szCs w:val="20"/>
              </w:rPr>
              <w:t>the</w:t>
            </w:r>
            <w:r>
              <w:rPr>
                <w:rFonts w:ascii="Arial" w:hAnsi="Arial" w:cs="Arial"/>
                <w:sz w:val="20"/>
                <w:szCs w:val="20"/>
              </w:rPr>
              <w:t xml:space="preserve"> costs and impacts </w:t>
            </w:r>
            <w:r w:rsidRPr="00814C1D">
              <w:rPr>
                <w:rFonts w:ascii="Arial" w:hAnsi="Arial" w:cs="Arial"/>
                <w:sz w:val="20"/>
                <w:szCs w:val="20"/>
              </w:rPr>
              <w:t>are expected to be significant</w:t>
            </w:r>
            <w:r>
              <w:rPr>
                <w:rFonts w:ascii="Arial" w:hAnsi="Arial" w:cs="Arial"/>
                <w:sz w:val="20"/>
                <w:szCs w:val="20"/>
              </w:rPr>
              <w:t>ly cost incurring or cost saving;</w:t>
            </w:r>
            <w:r w:rsidRPr="00814C1D">
              <w:rPr>
                <w:rFonts w:ascii="Arial" w:hAnsi="Arial" w:cs="Arial"/>
                <w:sz w:val="20"/>
                <w:szCs w:val="20"/>
              </w:rPr>
              <w:t xml:space="preserve"> </w:t>
            </w:r>
            <w:r w:rsidRPr="00807C73">
              <w:rPr>
                <w:rFonts w:ascii="Arial" w:hAnsi="Arial" w:cs="Arial"/>
                <w:b/>
                <w:bCs/>
                <w:sz w:val="20"/>
                <w:szCs w:val="20"/>
              </w:rPr>
              <w:t>and</w:t>
            </w:r>
          </w:p>
          <w:p w14:paraId="4C5900EF" w14:textId="77777777" w:rsidR="00DA779B" w:rsidRPr="00367938" w:rsidRDefault="00DA779B" w:rsidP="00821FF4">
            <w:pPr>
              <w:numPr>
                <w:ilvl w:val="0"/>
                <w:numId w:val="30"/>
              </w:numPr>
              <w:tabs>
                <w:tab w:val="clear" w:pos="720"/>
                <w:tab w:val="num" w:pos="214"/>
              </w:tabs>
              <w:ind w:hanging="648"/>
              <w:rPr>
                <w:rFonts w:ascii="Arial" w:hAnsi="Arial" w:cs="Arial"/>
                <w:sz w:val="20"/>
                <w:szCs w:val="20"/>
              </w:rPr>
            </w:pPr>
            <w:r w:rsidRPr="00367938">
              <w:rPr>
                <w:rFonts w:ascii="Arial" w:hAnsi="Arial" w:cs="Arial"/>
                <w:sz w:val="20"/>
                <w:szCs w:val="20"/>
              </w:rPr>
              <w:t xml:space="preserve">the benefits are supported by: </w:t>
            </w:r>
          </w:p>
          <w:p w14:paraId="0D85B7EE" w14:textId="77777777" w:rsidR="00DA779B" w:rsidRPr="00393830" w:rsidRDefault="00DA779B" w:rsidP="00DA779B">
            <w:pPr>
              <w:numPr>
                <w:ilvl w:val="0"/>
                <w:numId w:val="32"/>
              </w:numPr>
              <w:ind w:left="636" w:hanging="281"/>
              <w:rPr>
                <w:rFonts w:ascii="Arial" w:hAnsi="Arial" w:cs="Arial"/>
                <w:sz w:val="20"/>
                <w:szCs w:val="20"/>
              </w:rPr>
            </w:pPr>
            <w:r w:rsidRPr="00393830">
              <w:rPr>
                <w:rFonts w:ascii="Arial" w:hAnsi="Arial" w:cs="Arial"/>
                <w:sz w:val="20"/>
                <w:szCs w:val="20"/>
              </w:rPr>
              <w:t xml:space="preserve">evidence of effectiveness (such as RCT, before/after studies, cohort studies, diagnostic test accuracy studies) that compares the technology to </w:t>
            </w:r>
            <w:r w:rsidRPr="007E3974">
              <w:rPr>
                <w:rFonts w:ascii="Arial" w:hAnsi="Arial" w:cs="Arial"/>
                <w:sz w:val="20"/>
                <w:szCs w:val="20"/>
              </w:rPr>
              <w:t xml:space="preserve">current practice in the UK health and care system </w:t>
            </w:r>
            <w:r w:rsidRPr="00443270">
              <w:rPr>
                <w:rFonts w:ascii="Arial" w:hAnsi="Arial" w:cs="Arial"/>
                <w:sz w:val="20"/>
                <w:szCs w:val="20"/>
              </w:rPr>
              <w:t>or</w:t>
            </w:r>
            <w:r w:rsidRPr="007E3974">
              <w:rPr>
                <w:rFonts w:ascii="Arial" w:hAnsi="Arial" w:cs="Arial"/>
                <w:sz w:val="20"/>
                <w:szCs w:val="20"/>
              </w:rPr>
              <w:t xml:space="preserve"> </w:t>
            </w:r>
            <w:r w:rsidRPr="00393830">
              <w:rPr>
                <w:rFonts w:ascii="Arial" w:hAnsi="Arial" w:cs="Arial"/>
                <w:sz w:val="20"/>
                <w:szCs w:val="20"/>
              </w:rPr>
              <w:t>to</w:t>
            </w:r>
            <w:r>
              <w:rPr>
                <w:rFonts w:ascii="Arial" w:hAnsi="Arial" w:cs="Arial"/>
                <w:sz w:val="20"/>
                <w:szCs w:val="20"/>
              </w:rPr>
              <w:t xml:space="preserve"> </w:t>
            </w:r>
            <w:r w:rsidRPr="007E3974">
              <w:rPr>
                <w:rFonts w:ascii="Arial" w:hAnsi="Arial" w:cs="Arial"/>
                <w:sz w:val="20"/>
                <w:szCs w:val="20"/>
              </w:rPr>
              <w:t xml:space="preserve">an appropriate reference standard </w:t>
            </w:r>
            <w:r w:rsidRPr="00393830">
              <w:rPr>
                <w:rFonts w:ascii="Arial" w:hAnsi="Arial" w:cs="Arial"/>
                <w:b/>
                <w:bCs/>
                <w:sz w:val="20"/>
                <w:szCs w:val="20"/>
              </w:rPr>
              <w:t>and</w:t>
            </w:r>
          </w:p>
          <w:p w14:paraId="5DEDD68A" w14:textId="77777777" w:rsidR="00DA779B" w:rsidRPr="00367938" w:rsidRDefault="00DA779B" w:rsidP="00821FF4">
            <w:pPr>
              <w:numPr>
                <w:ilvl w:val="1"/>
                <w:numId w:val="31"/>
              </w:numPr>
              <w:ind w:left="639" w:hanging="284"/>
              <w:rPr>
                <w:rFonts w:ascii="Arial" w:hAnsi="Arial" w:cs="Arial"/>
                <w:sz w:val="20"/>
                <w:szCs w:val="20"/>
              </w:rPr>
            </w:pPr>
            <w:r w:rsidRPr="00367938">
              <w:rPr>
                <w:rFonts w:ascii="Arial" w:hAnsi="Arial" w:cs="Arial"/>
                <w:sz w:val="20"/>
                <w:szCs w:val="20"/>
              </w:rPr>
              <w:t xml:space="preserve">information about the </w:t>
            </w:r>
            <w:r>
              <w:rPr>
                <w:rFonts w:ascii="Arial" w:hAnsi="Arial" w:cs="Arial"/>
                <w:sz w:val="20"/>
                <w:szCs w:val="20"/>
              </w:rPr>
              <w:t xml:space="preserve">expected </w:t>
            </w:r>
            <w:r w:rsidRPr="00367938">
              <w:rPr>
                <w:rFonts w:ascii="Arial" w:hAnsi="Arial" w:cs="Arial"/>
                <w:sz w:val="20"/>
                <w:szCs w:val="20"/>
              </w:rPr>
              <w:t xml:space="preserve">resource impact of adopting the technology that is directly applicable to the UK health and care system such as reports or studies describing the cost and system impact of implementing the technology, or an economic model </w:t>
            </w:r>
            <w:r w:rsidRPr="00367938">
              <w:rPr>
                <w:rFonts w:ascii="Arial" w:hAnsi="Arial" w:cs="Arial"/>
                <w:b/>
                <w:bCs/>
                <w:sz w:val="20"/>
                <w:szCs w:val="20"/>
              </w:rPr>
              <w:t xml:space="preserve">and </w:t>
            </w:r>
          </w:p>
          <w:p w14:paraId="084C4500" w14:textId="77777777" w:rsidR="00DA779B" w:rsidRPr="00367938" w:rsidRDefault="00DA779B" w:rsidP="00821FF4">
            <w:pPr>
              <w:numPr>
                <w:ilvl w:val="1"/>
                <w:numId w:val="31"/>
              </w:numPr>
              <w:ind w:left="639" w:hanging="284"/>
              <w:rPr>
                <w:rFonts w:ascii="Calibri" w:hAnsi="Calibri" w:cs="Calibri"/>
                <w:sz w:val="22"/>
                <w:szCs w:val="22"/>
              </w:rPr>
            </w:pPr>
            <w:r w:rsidRPr="00367938">
              <w:rPr>
                <w:rFonts w:ascii="Arial" w:hAnsi="Arial" w:cs="Arial"/>
                <w:sz w:val="20"/>
                <w:szCs w:val="20"/>
              </w:rPr>
              <w:lastRenderedPageBreak/>
              <w:t xml:space="preserve">advice from experts (such as patients, carers, </w:t>
            </w:r>
            <w:proofErr w:type="gramStart"/>
            <w:r w:rsidRPr="00367938">
              <w:rPr>
                <w:rFonts w:ascii="Arial" w:hAnsi="Arial" w:cs="Arial"/>
                <w:sz w:val="20"/>
                <w:szCs w:val="20"/>
              </w:rPr>
              <w:t>clinicians</w:t>
            </w:r>
            <w:proofErr w:type="gramEnd"/>
            <w:r w:rsidRPr="00367938">
              <w:rPr>
                <w:rFonts w:ascii="Arial" w:hAnsi="Arial" w:cs="Arial"/>
                <w:sz w:val="20"/>
                <w:szCs w:val="20"/>
              </w:rPr>
              <w:t xml:space="preserve"> and commissioners) </w:t>
            </w:r>
            <w:r>
              <w:rPr>
                <w:rFonts w:ascii="Arial" w:hAnsi="Arial" w:cs="Arial"/>
                <w:sz w:val="20"/>
                <w:szCs w:val="20"/>
              </w:rPr>
              <w:t xml:space="preserve">that </w:t>
            </w:r>
            <w:r w:rsidRPr="00367938">
              <w:rPr>
                <w:rFonts w:ascii="Arial" w:hAnsi="Arial" w:cs="Arial"/>
                <w:sz w:val="20"/>
                <w:szCs w:val="20"/>
              </w:rPr>
              <w:t>confirms the benefits are desirable and are likely to be realised when adopted in the UK health and care system.</w:t>
            </w:r>
          </w:p>
        </w:tc>
        <w:tc>
          <w:tcPr>
            <w:tcW w:w="2410" w:type="dxa"/>
            <w:shd w:val="clear" w:color="auto" w:fill="EAF1DD" w:themeFill="accent3" w:themeFillTint="33"/>
          </w:tcPr>
          <w:p w14:paraId="70FFD4CF" w14:textId="0D2DF580" w:rsidR="00DA779B" w:rsidRPr="00645D29" w:rsidRDefault="00DA779B" w:rsidP="00821FF4">
            <w:pPr>
              <w:rPr>
                <w:rFonts w:ascii="Arial" w:hAnsi="Arial" w:cs="Arial"/>
                <w:sz w:val="20"/>
                <w:szCs w:val="20"/>
              </w:rPr>
            </w:pPr>
            <w:r w:rsidRPr="00645D29">
              <w:rPr>
                <w:rFonts w:ascii="Arial" w:hAnsi="Arial" w:cs="Arial"/>
                <w:sz w:val="20"/>
                <w:szCs w:val="20"/>
              </w:rPr>
              <w:lastRenderedPageBreak/>
              <w:t>All new active substances</w:t>
            </w:r>
            <w:r>
              <w:rPr>
                <w:rFonts w:ascii="Arial" w:hAnsi="Arial" w:cs="Arial"/>
                <w:sz w:val="20"/>
                <w:szCs w:val="20"/>
              </w:rPr>
              <w:t xml:space="preserve"> and significant license extensions</w:t>
            </w:r>
            <w:r w:rsidRPr="00645D29">
              <w:rPr>
                <w:rFonts w:ascii="Arial" w:hAnsi="Arial" w:cs="Arial"/>
                <w:sz w:val="20"/>
                <w:szCs w:val="20"/>
              </w:rPr>
              <w:t xml:space="preserve"> will be selected, except where there is a clear rationale not</w:t>
            </w:r>
            <w:r>
              <w:rPr>
                <w:rFonts w:ascii="Arial" w:hAnsi="Arial" w:cs="Arial"/>
                <w:sz w:val="20"/>
                <w:szCs w:val="20"/>
              </w:rPr>
              <w:t xml:space="preserve"> </w:t>
            </w:r>
            <w:r w:rsidRPr="00645D29">
              <w:rPr>
                <w:rFonts w:ascii="Arial" w:hAnsi="Arial" w:cs="Arial"/>
                <w:sz w:val="20"/>
                <w:szCs w:val="20"/>
              </w:rPr>
              <w:t>to do so.</w:t>
            </w:r>
            <w:r>
              <w:rPr>
                <w:rFonts w:ascii="Arial" w:hAnsi="Arial" w:cs="Arial"/>
                <w:sz w:val="20"/>
                <w:szCs w:val="20"/>
              </w:rPr>
              <w:t xml:space="preserve"> For example, if the topic is a duplicate or has a significant overlap with an existing topic.</w:t>
            </w:r>
          </w:p>
        </w:tc>
        <w:tc>
          <w:tcPr>
            <w:tcW w:w="2120" w:type="dxa"/>
            <w:shd w:val="clear" w:color="auto" w:fill="EAF1DD" w:themeFill="accent3" w:themeFillTint="33"/>
          </w:tcPr>
          <w:p w14:paraId="2193F1CD" w14:textId="77777777" w:rsidR="00DA779B" w:rsidRPr="00645D29" w:rsidRDefault="00DA779B" w:rsidP="00821FF4">
            <w:pPr>
              <w:rPr>
                <w:rFonts w:ascii="Arial" w:hAnsi="Arial" w:cs="Arial"/>
                <w:sz w:val="20"/>
                <w:szCs w:val="20"/>
              </w:rPr>
            </w:pPr>
            <w:r w:rsidRPr="00645D29">
              <w:rPr>
                <w:rFonts w:ascii="Arial" w:hAnsi="Arial" w:cs="Arial"/>
                <w:sz w:val="20"/>
                <w:szCs w:val="20"/>
              </w:rPr>
              <w:t xml:space="preserve">All new or significantly modified interventional procedures will be selected, </w:t>
            </w:r>
            <w:r>
              <w:rPr>
                <w:rFonts w:ascii="Arial" w:hAnsi="Arial" w:cs="Arial"/>
                <w:sz w:val="20"/>
                <w:szCs w:val="20"/>
              </w:rPr>
              <w:t xml:space="preserve">if they are available to the NHS or independent sector, or about to be used outside of formal </w:t>
            </w:r>
            <w:proofErr w:type="gramStart"/>
            <w:r>
              <w:rPr>
                <w:rFonts w:ascii="Arial" w:hAnsi="Arial" w:cs="Arial"/>
                <w:sz w:val="20"/>
                <w:szCs w:val="20"/>
              </w:rPr>
              <w:t>research.</w:t>
            </w:r>
            <w:r w:rsidRPr="00645D29">
              <w:rPr>
                <w:rFonts w:ascii="Arial" w:hAnsi="Arial" w:cs="Arial"/>
                <w:sz w:val="20"/>
                <w:szCs w:val="20"/>
              </w:rPr>
              <w:t>.</w:t>
            </w:r>
            <w:proofErr w:type="gramEnd"/>
          </w:p>
        </w:tc>
      </w:tr>
      <w:bookmarkEnd w:id="6"/>
      <w:tr w:rsidR="00DA779B" w:rsidRPr="00645D29" w14:paraId="37A6227B" w14:textId="77777777" w:rsidTr="00821FF4">
        <w:trPr>
          <w:trHeight w:val="806"/>
        </w:trPr>
        <w:tc>
          <w:tcPr>
            <w:tcW w:w="1240" w:type="dxa"/>
            <w:shd w:val="clear" w:color="auto" w:fill="EEECE1" w:themeFill="background2"/>
          </w:tcPr>
          <w:p w14:paraId="5435AE2F" w14:textId="1EB678A0" w:rsidR="00DA779B" w:rsidRDefault="00DA779B" w:rsidP="00821FF4">
            <w:pPr>
              <w:rPr>
                <w:rFonts w:ascii="Arial" w:hAnsi="Arial" w:cs="Arial"/>
                <w:b/>
                <w:bCs/>
                <w:sz w:val="20"/>
                <w:szCs w:val="20"/>
              </w:rPr>
            </w:pPr>
            <w:r>
              <w:rPr>
                <w:rFonts w:ascii="Arial" w:hAnsi="Arial" w:cs="Arial"/>
                <w:b/>
                <w:bCs/>
                <w:sz w:val="20"/>
                <w:szCs w:val="20"/>
              </w:rPr>
              <w:t>Type of guidance</w:t>
            </w:r>
            <w:r w:rsidR="00D04BAC">
              <w:rPr>
                <w:rFonts w:ascii="Arial" w:hAnsi="Arial" w:cs="Arial"/>
                <w:b/>
                <w:bCs/>
                <w:sz w:val="20"/>
                <w:szCs w:val="20"/>
              </w:rPr>
              <w:t xml:space="preserve"> (routing)</w:t>
            </w:r>
          </w:p>
          <w:p w14:paraId="2A6832BE" w14:textId="77777777" w:rsidR="00DA779B" w:rsidRPr="008073B5" w:rsidRDefault="00DA779B" w:rsidP="00821FF4">
            <w:pPr>
              <w:rPr>
                <w:rFonts w:ascii="Arial" w:hAnsi="Arial" w:cs="Arial"/>
                <w:sz w:val="20"/>
                <w:szCs w:val="20"/>
              </w:rPr>
            </w:pPr>
          </w:p>
          <w:p w14:paraId="7A6F6B8D" w14:textId="77777777" w:rsidR="00DA779B" w:rsidRPr="008073B5" w:rsidRDefault="00DA779B" w:rsidP="00821FF4">
            <w:pPr>
              <w:rPr>
                <w:rFonts w:ascii="Arial" w:hAnsi="Arial" w:cs="Arial"/>
                <w:sz w:val="20"/>
                <w:szCs w:val="20"/>
              </w:rPr>
            </w:pPr>
          </w:p>
          <w:p w14:paraId="1F7DF9D5" w14:textId="77777777" w:rsidR="00DA779B" w:rsidRPr="008073B5" w:rsidRDefault="00DA779B" w:rsidP="00821FF4">
            <w:pPr>
              <w:rPr>
                <w:rFonts w:ascii="Arial" w:hAnsi="Arial" w:cs="Arial"/>
                <w:sz w:val="20"/>
                <w:szCs w:val="20"/>
              </w:rPr>
            </w:pPr>
          </w:p>
          <w:p w14:paraId="3EE632BA" w14:textId="77777777" w:rsidR="00DA779B" w:rsidRPr="008073B5" w:rsidRDefault="00DA779B" w:rsidP="00821FF4">
            <w:pPr>
              <w:rPr>
                <w:rFonts w:ascii="Arial" w:hAnsi="Arial" w:cs="Arial"/>
                <w:sz w:val="20"/>
                <w:szCs w:val="20"/>
              </w:rPr>
            </w:pPr>
          </w:p>
          <w:p w14:paraId="2034D4F3" w14:textId="77777777" w:rsidR="00DA779B" w:rsidRPr="008073B5" w:rsidRDefault="00DA779B" w:rsidP="00821FF4">
            <w:pPr>
              <w:rPr>
                <w:rFonts w:ascii="Arial" w:hAnsi="Arial" w:cs="Arial"/>
                <w:sz w:val="20"/>
                <w:szCs w:val="20"/>
              </w:rPr>
            </w:pPr>
          </w:p>
          <w:p w14:paraId="25DA3DC7" w14:textId="77777777" w:rsidR="00DA779B" w:rsidRPr="008073B5" w:rsidRDefault="00DA779B" w:rsidP="00821FF4">
            <w:pPr>
              <w:rPr>
                <w:rFonts w:ascii="Arial" w:hAnsi="Arial" w:cs="Arial"/>
                <w:sz w:val="20"/>
                <w:szCs w:val="20"/>
              </w:rPr>
            </w:pPr>
          </w:p>
        </w:tc>
        <w:tc>
          <w:tcPr>
            <w:tcW w:w="2299" w:type="dxa"/>
            <w:shd w:val="clear" w:color="auto" w:fill="EAF1DD" w:themeFill="accent3" w:themeFillTint="33"/>
          </w:tcPr>
          <w:p w14:paraId="4080CA6B" w14:textId="77777777" w:rsidR="00DA779B" w:rsidRDefault="00DA779B" w:rsidP="00821FF4">
            <w:pPr>
              <w:rPr>
                <w:rFonts w:ascii="Arial" w:hAnsi="Arial" w:cs="Arial"/>
                <w:sz w:val="20"/>
                <w:szCs w:val="20"/>
              </w:rPr>
            </w:pPr>
            <w:r w:rsidRPr="00E85BB3">
              <w:rPr>
                <w:rFonts w:ascii="Arial" w:hAnsi="Arial" w:cs="Arial"/>
                <w:b/>
                <w:bCs/>
                <w:sz w:val="20"/>
                <w:szCs w:val="20"/>
              </w:rPr>
              <w:t xml:space="preserve">Medical </w:t>
            </w:r>
            <w:r>
              <w:rPr>
                <w:rFonts w:ascii="Arial" w:hAnsi="Arial" w:cs="Arial"/>
                <w:b/>
                <w:bCs/>
                <w:sz w:val="20"/>
                <w:szCs w:val="20"/>
              </w:rPr>
              <w:t>t</w:t>
            </w:r>
            <w:r w:rsidRPr="00E85BB3">
              <w:rPr>
                <w:rFonts w:ascii="Arial" w:hAnsi="Arial" w:cs="Arial"/>
                <w:b/>
                <w:bCs/>
                <w:sz w:val="20"/>
                <w:szCs w:val="20"/>
              </w:rPr>
              <w:t>echnologies Guidance</w:t>
            </w:r>
            <w:r>
              <w:rPr>
                <w:rFonts w:ascii="Arial" w:hAnsi="Arial" w:cs="Arial"/>
                <w:sz w:val="20"/>
                <w:szCs w:val="20"/>
              </w:rPr>
              <w:t xml:space="preserve"> (for cost consequence health economic analysis) </w:t>
            </w:r>
          </w:p>
          <w:p w14:paraId="27E23D85" w14:textId="77777777" w:rsidR="00DA779B" w:rsidRDefault="00DA779B" w:rsidP="00821FF4">
            <w:pPr>
              <w:rPr>
                <w:rFonts w:ascii="Arial" w:hAnsi="Arial" w:cs="Arial"/>
                <w:sz w:val="20"/>
                <w:szCs w:val="20"/>
              </w:rPr>
            </w:pPr>
            <w:r w:rsidRPr="00E85BB3">
              <w:rPr>
                <w:rFonts w:ascii="Arial" w:hAnsi="Arial" w:cs="Arial"/>
                <w:b/>
                <w:bCs/>
                <w:sz w:val="20"/>
                <w:szCs w:val="20"/>
              </w:rPr>
              <w:t>Technology Appraisals Guidance</w:t>
            </w:r>
            <w:r>
              <w:rPr>
                <w:rFonts w:ascii="Arial" w:hAnsi="Arial" w:cs="Arial"/>
                <w:sz w:val="20"/>
                <w:szCs w:val="20"/>
              </w:rPr>
              <w:t xml:space="preserve"> (for cost utility health economic analysis)</w:t>
            </w:r>
          </w:p>
        </w:tc>
        <w:tc>
          <w:tcPr>
            <w:tcW w:w="2693" w:type="dxa"/>
            <w:shd w:val="clear" w:color="auto" w:fill="EAF1DD" w:themeFill="accent3" w:themeFillTint="33"/>
          </w:tcPr>
          <w:p w14:paraId="2D5ED835" w14:textId="411EB213" w:rsidR="00DA779B" w:rsidRPr="00645D29" w:rsidRDefault="00DA779B" w:rsidP="00821FF4">
            <w:pPr>
              <w:rPr>
                <w:rFonts w:ascii="Arial" w:hAnsi="Arial" w:cs="Arial"/>
                <w:sz w:val="20"/>
                <w:szCs w:val="20"/>
              </w:rPr>
            </w:pPr>
            <w:r w:rsidRPr="00E85BB3">
              <w:rPr>
                <w:rFonts w:ascii="Arial" w:hAnsi="Arial" w:cs="Arial"/>
                <w:b/>
                <w:bCs/>
                <w:sz w:val="20"/>
                <w:szCs w:val="20"/>
              </w:rPr>
              <w:t>Diagnostics guidance</w:t>
            </w:r>
            <w:r>
              <w:rPr>
                <w:rFonts w:ascii="Arial" w:hAnsi="Arial" w:cs="Arial"/>
                <w:sz w:val="20"/>
                <w:szCs w:val="20"/>
              </w:rPr>
              <w:t xml:space="preserve"> (for cost utility health economic analysis, or for consequence health economic analysis)</w:t>
            </w:r>
          </w:p>
        </w:tc>
        <w:tc>
          <w:tcPr>
            <w:tcW w:w="2410" w:type="dxa"/>
            <w:shd w:val="clear" w:color="auto" w:fill="EAF1DD" w:themeFill="accent3" w:themeFillTint="33"/>
          </w:tcPr>
          <w:p w14:paraId="2A992845" w14:textId="5ADBAC6D" w:rsidR="00DA779B" w:rsidRDefault="00DA779B" w:rsidP="00821FF4">
            <w:pPr>
              <w:rPr>
                <w:rFonts w:ascii="Arial" w:hAnsi="Arial" w:cs="Arial"/>
                <w:sz w:val="20"/>
                <w:szCs w:val="20"/>
              </w:rPr>
            </w:pPr>
            <w:r w:rsidRPr="00E85BB3">
              <w:rPr>
                <w:rFonts w:ascii="Arial" w:hAnsi="Arial" w:cs="Arial"/>
                <w:b/>
                <w:bCs/>
                <w:sz w:val="20"/>
                <w:szCs w:val="20"/>
              </w:rPr>
              <w:t>Technology Appraisals guidance</w:t>
            </w:r>
            <w:r>
              <w:rPr>
                <w:rFonts w:ascii="Arial" w:hAnsi="Arial" w:cs="Arial"/>
                <w:b/>
                <w:bCs/>
                <w:sz w:val="20"/>
                <w:szCs w:val="20"/>
              </w:rPr>
              <w:t xml:space="preserve"> </w:t>
            </w:r>
            <w:r>
              <w:rPr>
                <w:rFonts w:ascii="Arial" w:hAnsi="Arial" w:cs="Arial"/>
                <w:sz w:val="20"/>
                <w:szCs w:val="20"/>
              </w:rPr>
              <w:t>(for cost utility health economic analysis, or for cost comparison health economic analysis)</w:t>
            </w:r>
          </w:p>
          <w:p w14:paraId="3872C1B1" w14:textId="77777777" w:rsidR="00AA25B2" w:rsidRDefault="00AA25B2" w:rsidP="00821FF4">
            <w:pPr>
              <w:rPr>
                <w:rFonts w:ascii="Arial" w:hAnsi="Arial" w:cs="Arial"/>
                <w:b/>
                <w:bCs/>
                <w:sz w:val="20"/>
                <w:szCs w:val="20"/>
              </w:rPr>
            </w:pPr>
          </w:p>
          <w:p w14:paraId="50AAAFB0" w14:textId="77777777" w:rsidR="00DA779B" w:rsidRPr="00645D29" w:rsidRDefault="00DA779B" w:rsidP="00821FF4">
            <w:pPr>
              <w:rPr>
                <w:rFonts w:ascii="Arial" w:hAnsi="Arial" w:cs="Arial"/>
                <w:sz w:val="20"/>
                <w:szCs w:val="20"/>
              </w:rPr>
            </w:pPr>
            <w:r w:rsidRPr="00E85BB3">
              <w:rPr>
                <w:rFonts w:ascii="Arial" w:hAnsi="Arial" w:cs="Arial"/>
                <w:b/>
                <w:bCs/>
                <w:sz w:val="20"/>
                <w:szCs w:val="20"/>
              </w:rPr>
              <w:t>Highly Specialised Technologies guidance</w:t>
            </w:r>
            <w:r>
              <w:rPr>
                <w:rFonts w:ascii="Arial" w:hAnsi="Arial" w:cs="Arial"/>
                <w:sz w:val="20"/>
                <w:szCs w:val="20"/>
              </w:rPr>
              <w:t xml:space="preserve"> (for those meeting </w:t>
            </w:r>
            <w:proofErr w:type="gramStart"/>
            <w:r>
              <w:rPr>
                <w:rFonts w:ascii="Arial" w:hAnsi="Arial" w:cs="Arial"/>
                <w:sz w:val="20"/>
                <w:szCs w:val="20"/>
              </w:rPr>
              <w:t>all of</w:t>
            </w:r>
            <w:proofErr w:type="gramEnd"/>
            <w:r>
              <w:rPr>
                <w:rFonts w:ascii="Arial" w:hAnsi="Arial" w:cs="Arial"/>
                <w:sz w:val="20"/>
                <w:szCs w:val="20"/>
              </w:rPr>
              <w:t xml:space="preserve"> the HST criteria)</w:t>
            </w:r>
          </w:p>
        </w:tc>
        <w:tc>
          <w:tcPr>
            <w:tcW w:w="2120" w:type="dxa"/>
            <w:shd w:val="clear" w:color="auto" w:fill="EAF1DD" w:themeFill="accent3" w:themeFillTint="33"/>
          </w:tcPr>
          <w:p w14:paraId="3F22DDDC" w14:textId="77777777" w:rsidR="00DA779B" w:rsidRPr="00E85BB3" w:rsidRDefault="00DA779B" w:rsidP="00821FF4">
            <w:pPr>
              <w:rPr>
                <w:rFonts w:ascii="Arial" w:hAnsi="Arial" w:cs="Arial"/>
                <w:b/>
                <w:bCs/>
                <w:sz w:val="20"/>
                <w:szCs w:val="20"/>
              </w:rPr>
            </w:pPr>
            <w:r w:rsidRPr="00E85BB3">
              <w:rPr>
                <w:rFonts w:ascii="Arial" w:hAnsi="Arial" w:cs="Arial"/>
                <w:b/>
                <w:bCs/>
                <w:sz w:val="20"/>
                <w:szCs w:val="20"/>
              </w:rPr>
              <w:t>Interventional procedures guidance</w:t>
            </w:r>
            <w:r>
              <w:rPr>
                <w:rFonts w:ascii="Arial" w:hAnsi="Arial" w:cs="Arial"/>
                <w:b/>
                <w:bCs/>
                <w:sz w:val="20"/>
                <w:szCs w:val="20"/>
              </w:rPr>
              <w:t xml:space="preserve"> </w:t>
            </w:r>
            <w:r w:rsidRPr="006B15FF">
              <w:rPr>
                <w:rFonts w:ascii="Arial" w:hAnsi="Arial" w:cs="Arial"/>
                <w:sz w:val="20"/>
                <w:szCs w:val="20"/>
              </w:rPr>
              <w:t>(for assessment of safety and efficacy. No health economic analysis is undertaken)</w:t>
            </w:r>
          </w:p>
        </w:tc>
      </w:tr>
    </w:tbl>
    <w:p w14:paraId="18D76797" w14:textId="7BC2AEFC" w:rsidR="00E071C0" w:rsidRDefault="00E071C0" w:rsidP="00ED32F7">
      <w:pPr>
        <w:pStyle w:val="Paragraph"/>
        <w:spacing w:before="240"/>
        <w:ind w:left="426" w:hanging="426"/>
      </w:pPr>
      <w:r>
        <w:t xml:space="preserve">Historically, diagnostics that offered a value proposition that requires an assessment using cost </w:t>
      </w:r>
      <w:r w:rsidR="007E4E44">
        <w:t xml:space="preserve">consequences </w:t>
      </w:r>
      <w:r>
        <w:t xml:space="preserve">analysis were typically routed to the Medical Technologies Evaluation Programme. Diagnostics that required a cost utility health economic analysis were routed to the Diagnostics Assessment programme. It is proposed that all diagnostic, irrespective of the value proposition will </w:t>
      </w:r>
      <w:r w:rsidR="00103968">
        <w:t xml:space="preserve">now </w:t>
      </w:r>
      <w:r>
        <w:t xml:space="preserve">be routed to the Diagnostics Assessment programme. </w:t>
      </w:r>
    </w:p>
    <w:p w14:paraId="363D22EE" w14:textId="3CC334A5" w:rsidR="004B5075" w:rsidRPr="00953A88" w:rsidRDefault="004B5075" w:rsidP="00953A88">
      <w:pPr>
        <w:pStyle w:val="Paragraph"/>
        <w:ind w:left="426" w:hanging="426"/>
        <w:rPr>
          <w:rFonts w:eastAsia="Arial" w:cs="Arial"/>
        </w:rPr>
      </w:pPr>
      <w:r>
        <w:t>Generally, devices that offered a value proposition that required an assessment using cost effectiveness analysis were evaluated by</w:t>
      </w:r>
      <w:r w:rsidR="7D1C7FF1">
        <w:t xml:space="preserve"> the technology appraisal programme using the established</w:t>
      </w:r>
      <w:r>
        <w:t xml:space="preserve"> Technology Appraisal committee</w:t>
      </w:r>
      <w:r w:rsidR="35C69726">
        <w:t>s</w:t>
      </w:r>
      <w:r>
        <w:t xml:space="preserve">. It is proposed that devices requiring a cost-effective analysis will </w:t>
      </w:r>
      <w:r w:rsidR="5BCECB03">
        <w:t>continue to be appraised within the technology appraisal</w:t>
      </w:r>
      <w:r w:rsidR="6F7CAE25">
        <w:t xml:space="preserve"> </w:t>
      </w:r>
      <w:proofErr w:type="gramStart"/>
      <w:r w:rsidR="6F7CAE25">
        <w:t>progr</w:t>
      </w:r>
      <w:r w:rsidR="00953A88">
        <w:t>a</w:t>
      </w:r>
      <w:r w:rsidR="6F7CAE25">
        <w:t>mme</w:t>
      </w:r>
      <w:proofErr w:type="gramEnd"/>
      <w:r w:rsidR="5BCECB03">
        <w:t xml:space="preserve"> but</w:t>
      </w:r>
      <w:r>
        <w:t xml:space="preserve"> the Medical Technologies Advisory Committee</w:t>
      </w:r>
      <w:r w:rsidR="442E94F2">
        <w:t xml:space="preserve"> will be </w:t>
      </w:r>
      <w:r w:rsidR="5DB24FBB">
        <w:t>utilised</w:t>
      </w:r>
      <w:r w:rsidR="442E94F2">
        <w:t xml:space="preserve"> as the independent decision maker</w:t>
      </w:r>
      <w:r>
        <w:t xml:space="preserve">. This will enable NICE to </w:t>
      </w:r>
      <w:r w:rsidR="5AF24E50">
        <w:t xml:space="preserve">maximise opportunity to </w:t>
      </w:r>
      <w:r>
        <w:t xml:space="preserve">use the specialism and experience of each </w:t>
      </w:r>
      <w:r w:rsidR="57309A21">
        <w:t xml:space="preserve">independent </w:t>
      </w:r>
      <w:r>
        <w:t>committee</w:t>
      </w:r>
      <w:r w:rsidR="1192523A">
        <w:t>,</w:t>
      </w:r>
      <w:r>
        <w:t xml:space="preserve"> </w:t>
      </w:r>
      <w:r w:rsidR="53DF5683">
        <w:t>via technology type</w:t>
      </w:r>
      <w:r>
        <w:t>.</w:t>
      </w:r>
    </w:p>
    <w:p w14:paraId="67F551D4" w14:textId="7D614D17" w:rsidR="007076C8" w:rsidRPr="0038540B" w:rsidRDefault="007076C8" w:rsidP="00E071C0">
      <w:pPr>
        <w:pStyle w:val="Paragraph"/>
        <w:ind w:left="426" w:hanging="426"/>
      </w:pPr>
      <w:r>
        <w:t>At the routing stage, consideration will also be given as to whether a NICE guideline would be a more appropriate product in which to consider the topic. In this consideration the following question will be asked:</w:t>
      </w:r>
    </w:p>
    <w:p w14:paraId="49512003" w14:textId="77777777" w:rsidR="007076C8" w:rsidRDefault="007076C8" w:rsidP="007076C8">
      <w:pPr>
        <w:pStyle w:val="Bullets"/>
      </w:pPr>
      <w:r>
        <w:t xml:space="preserve">Is the medicine, device, diagnostic or </w:t>
      </w:r>
      <w:proofErr w:type="gramStart"/>
      <w:r>
        <w:t>procedure:</w:t>
      </w:r>
      <w:proofErr w:type="gramEnd"/>
      <w:r>
        <w:t xml:space="preserve"> </w:t>
      </w:r>
    </w:p>
    <w:p w14:paraId="4845DF71" w14:textId="77777777" w:rsidR="007076C8" w:rsidRPr="0038540B" w:rsidRDefault="007076C8" w:rsidP="007076C8">
      <w:pPr>
        <w:pStyle w:val="Subbullets"/>
        <w:ind w:left="1418" w:hanging="284"/>
      </w:pPr>
      <w:r>
        <w:t xml:space="preserve">in the scope of a new or existing NICE guideline that is in development or being updated? Or </w:t>
      </w:r>
    </w:p>
    <w:p w14:paraId="3B99CF69" w14:textId="76A9D086" w:rsidR="007076C8" w:rsidRPr="0038540B" w:rsidRDefault="00BA05A5" w:rsidP="007076C8">
      <w:pPr>
        <w:pStyle w:val="Subbullets"/>
        <w:ind w:left="1418" w:hanging="284"/>
      </w:pPr>
      <w:r>
        <w:lastRenderedPageBreak/>
        <w:t>c</w:t>
      </w:r>
      <w:r w:rsidR="007076C8">
        <w:t>onsidered to be part of standard care in the UK, but is not included in an existing NICE guideline?</w:t>
      </w:r>
    </w:p>
    <w:p w14:paraId="16B6D56D" w14:textId="0267C77A" w:rsidR="007076C8" w:rsidRPr="0038540B" w:rsidRDefault="007076C8" w:rsidP="007076C8">
      <w:pPr>
        <w:pStyle w:val="Paragraph"/>
        <w:tabs>
          <w:tab w:val="clear" w:pos="567"/>
          <w:tab w:val="left" w:pos="426"/>
        </w:tabs>
        <w:ind w:left="426" w:hanging="426"/>
      </w:pPr>
      <w:r>
        <w:t xml:space="preserve">For topics that answer 'Yes' to the questions above the </w:t>
      </w:r>
      <w:r w:rsidR="006049A5">
        <w:t>Centre for Health Technology Evaluation</w:t>
      </w:r>
      <w:r>
        <w:t xml:space="preserve"> team will </w:t>
      </w:r>
      <w:r w:rsidR="00103968">
        <w:t>liaise with the</w:t>
      </w:r>
      <w:r>
        <w:t xml:space="preserve"> NICE Centre for Guidelines for consideration for inclusion in a NICE guideline. In some exceptional cases, a topic may still be selected for </w:t>
      </w:r>
      <w:r w:rsidR="00021955">
        <w:t>T</w:t>
      </w:r>
      <w:r w:rsidR="0080727B">
        <w:t xml:space="preserve">echnology </w:t>
      </w:r>
      <w:r w:rsidR="00021955">
        <w:t>A</w:t>
      </w:r>
      <w:r w:rsidR="0080727B">
        <w:t>ppraisals</w:t>
      </w:r>
      <w:r>
        <w:t xml:space="preserve">, </w:t>
      </w:r>
      <w:r w:rsidR="00021955">
        <w:t>H</w:t>
      </w:r>
      <w:r w:rsidR="0080727B">
        <w:t xml:space="preserve">ighly </w:t>
      </w:r>
      <w:r w:rsidR="00021955">
        <w:t>S</w:t>
      </w:r>
      <w:r w:rsidR="0080727B">
        <w:t xml:space="preserve">pecialised </w:t>
      </w:r>
      <w:r w:rsidR="00021955">
        <w:t>T</w:t>
      </w:r>
      <w:r w:rsidR="0080727B">
        <w:t>echnologies</w:t>
      </w:r>
      <w:r>
        <w:t xml:space="preserve">, </w:t>
      </w:r>
      <w:r w:rsidR="00021955">
        <w:t>M</w:t>
      </w:r>
      <w:r w:rsidR="0080727B">
        <w:t xml:space="preserve">edical </w:t>
      </w:r>
      <w:r w:rsidR="00021955">
        <w:t>T</w:t>
      </w:r>
      <w:r w:rsidR="0080727B">
        <w:t xml:space="preserve">echnologies </w:t>
      </w:r>
      <w:r w:rsidR="00021955">
        <w:t>G</w:t>
      </w:r>
      <w:r w:rsidR="0080727B">
        <w:t>uidance</w:t>
      </w:r>
      <w:r>
        <w:t xml:space="preserve"> or </w:t>
      </w:r>
      <w:r w:rsidR="00021955">
        <w:t>D</w:t>
      </w:r>
      <w:r w:rsidR="0080727B">
        <w:t xml:space="preserve">iagnostics </w:t>
      </w:r>
      <w:r w:rsidR="00021955">
        <w:t>G</w:t>
      </w:r>
      <w:r w:rsidR="0080727B">
        <w:t>uidance</w:t>
      </w:r>
      <w:r>
        <w:t xml:space="preserve"> even if the topic is suitable for inclusion in a guideline if there is an urgent need to assess the topic before a new guideline is published or an existing guideline updated.  </w:t>
      </w:r>
    </w:p>
    <w:p w14:paraId="7F2667BF" w14:textId="1B5D392B" w:rsidR="007076C8" w:rsidRDefault="007076C8" w:rsidP="00ED32F7">
      <w:pPr>
        <w:pStyle w:val="Heading3boardreport"/>
        <w:spacing w:before="240" w:after="240"/>
        <w:ind w:left="425"/>
      </w:pPr>
      <w:r>
        <w:t>Multiple routing decisions</w:t>
      </w:r>
    </w:p>
    <w:p w14:paraId="7F671094" w14:textId="08ACB9D8" w:rsidR="007076C8" w:rsidRDefault="007076C8" w:rsidP="007076C8">
      <w:pPr>
        <w:pStyle w:val="Paragraph"/>
        <w:tabs>
          <w:tab w:val="clear" w:pos="567"/>
          <w:tab w:val="left" w:pos="426"/>
        </w:tabs>
        <w:ind w:left="426" w:hanging="426"/>
      </w:pPr>
      <w:r>
        <w:t xml:space="preserve">Some topics will require assessment </w:t>
      </w:r>
      <w:r w:rsidR="00EA7DEB">
        <w:t xml:space="preserve">in </w:t>
      </w:r>
      <w:r>
        <w:t xml:space="preserve">more than </w:t>
      </w:r>
      <w:r w:rsidR="00A86647">
        <w:t xml:space="preserve">1 </w:t>
      </w:r>
      <w:r w:rsidR="00EA7DEB">
        <w:t>type of</w:t>
      </w:r>
      <w:r>
        <w:t xml:space="preserve"> NICE </w:t>
      </w:r>
      <w:proofErr w:type="gramStart"/>
      <w:r>
        <w:t>guidance</w:t>
      </w:r>
      <w:proofErr w:type="gramEnd"/>
      <w:r w:rsidR="003453A6">
        <w:t xml:space="preserve"> and </w:t>
      </w:r>
      <w:r w:rsidR="00FC2741">
        <w:t xml:space="preserve">this </w:t>
      </w:r>
      <w:r w:rsidR="003453A6">
        <w:t>may be inevitable in specific circumstances</w:t>
      </w:r>
      <w:r>
        <w:t>. For example, a topic many require both interventional procedures guidance to assess safety and efficacy of a procedure and other guidance (such as medical technologie</w:t>
      </w:r>
      <w:r w:rsidR="00E071C0">
        <w:t>s</w:t>
      </w:r>
      <w:r>
        <w:t xml:space="preserve"> or technology app</w:t>
      </w:r>
      <w:r w:rsidR="00103968">
        <w:t>r</w:t>
      </w:r>
      <w:r>
        <w:t>aisals</w:t>
      </w:r>
      <w:r w:rsidR="00987725">
        <w:t>)</w:t>
      </w:r>
      <w:r>
        <w:t xml:space="preserve"> to assess the clinical effectiveness and costs/resource use of the procedure or a technology used within the procedure. The guidance could be developed simultaneously or sequentially. </w:t>
      </w:r>
      <w:r w:rsidR="003453A6">
        <w:t>NICE will aim to minimise these scenarios and progressively seek to find alternative methods and processes of assessment to reduce duplication across our individual programmes of work.</w:t>
      </w:r>
    </w:p>
    <w:p w14:paraId="40A00BC4" w14:textId="370F57DB" w:rsidR="00103968" w:rsidRDefault="00103968" w:rsidP="00ED32F7">
      <w:pPr>
        <w:pStyle w:val="Heading3boardreport"/>
        <w:spacing w:before="240" w:after="240"/>
        <w:ind w:left="425"/>
      </w:pPr>
      <w:r>
        <w:t>Topic Prioritisation</w:t>
      </w:r>
    </w:p>
    <w:p w14:paraId="2FF40A42" w14:textId="1D40D310" w:rsidR="007076C8" w:rsidRDefault="007076C8" w:rsidP="007076C8">
      <w:pPr>
        <w:pStyle w:val="Paragraph"/>
        <w:tabs>
          <w:tab w:val="clear" w:pos="567"/>
          <w:tab w:val="left" w:pos="426"/>
        </w:tabs>
        <w:ind w:left="426" w:hanging="426"/>
      </w:pPr>
      <w:r>
        <w:t xml:space="preserve">Once there is experience of using the </w:t>
      </w:r>
      <w:r w:rsidR="009F17DA">
        <w:t>identification</w:t>
      </w:r>
      <w:r>
        <w:t>, selection and routing criteria, information will be available to determine whether further work is needed to prioritise topics selected for guidance development if it is found that there are more topics than there is capacity to develop guidance. Topic prioritisation will mostly be needed for topics routed to Medical Technologies or Diagnostics guidance, because there are so many technologies that could be considered and both programmes have a capacity limit. Should the volume of medicines that require appraisal increase, the charging regime for Technology Appraisals and Highly Specialised Technologies allows for these programmes to expand capacity accordingly</w:t>
      </w:r>
      <w:r w:rsidR="00103968">
        <w:t>.</w:t>
      </w:r>
    </w:p>
    <w:p w14:paraId="403A4FA2" w14:textId="77777777" w:rsidR="007076C8" w:rsidRPr="0038540B" w:rsidRDefault="007076C8" w:rsidP="007076C8">
      <w:pPr>
        <w:pStyle w:val="Heading2boardreport"/>
      </w:pPr>
      <w:r w:rsidRPr="0038540B">
        <w:t>Aligning processes</w:t>
      </w:r>
    </w:p>
    <w:p w14:paraId="180DC289" w14:textId="5AEDDAA9" w:rsidR="007076C8" w:rsidRDefault="007076C8" w:rsidP="007076C8">
      <w:pPr>
        <w:pStyle w:val="Paragraph"/>
        <w:tabs>
          <w:tab w:val="clear" w:pos="567"/>
          <w:tab w:val="left" w:pos="426"/>
        </w:tabs>
        <w:ind w:left="426" w:hanging="426"/>
      </w:pPr>
      <w:r>
        <w:t xml:space="preserve">The </w:t>
      </w:r>
      <w:r w:rsidR="00D44796">
        <w:t xml:space="preserve">3 </w:t>
      </w:r>
      <w:r>
        <w:t>existing Centre for Health Technology Evaluation topic selection processes vary in term</w:t>
      </w:r>
      <w:r w:rsidR="00103968">
        <w:t>s</w:t>
      </w:r>
      <w:r>
        <w:t xml:space="preserve"> of steps and time taken and resources used. There is potential to align topic selection process steps where unnecessary variation exists, </w:t>
      </w:r>
      <w:proofErr w:type="gramStart"/>
      <w:r>
        <w:t>and also</w:t>
      </w:r>
      <w:proofErr w:type="gramEnd"/>
      <w:r>
        <w:t xml:space="preserve"> take steps to increase consistency, transparency and inclusivity within the topic selection process wherever possible</w:t>
      </w:r>
      <w:r w:rsidR="00103968">
        <w:t xml:space="preserve">. This is </w:t>
      </w:r>
      <w:r>
        <w:t xml:space="preserve">an area that NICE has </w:t>
      </w:r>
      <w:r w:rsidR="00103968">
        <w:t xml:space="preserve">previously </w:t>
      </w:r>
      <w:r>
        <w:t>received negative feedback on.</w:t>
      </w:r>
      <w:r w:rsidR="00334145">
        <w:t xml:space="preserve"> </w:t>
      </w:r>
    </w:p>
    <w:p w14:paraId="672DE6BD" w14:textId="36004CA1" w:rsidR="00CD0823" w:rsidRDefault="00CD0823" w:rsidP="007076C8">
      <w:pPr>
        <w:pStyle w:val="Paragraph"/>
        <w:tabs>
          <w:tab w:val="clear" w:pos="567"/>
          <w:tab w:val="left" w:pos="426"/>
        </w:tabs>
        <w:ind w:left="426" w:hanging="426"/>
      </w:pPr>
      <w:r>
        <w:lastRenderedPageBreak/>
        <w:t>A diagram of the topic selection process (including the proposed criteria) is outlined in appendix 1</w:t>
      </w:r>
      <w:r w:rsidR="00E860CD">
        <w:t>.</w:t>
      </w:r>
    </w:p>
    <w:p w14:paraId="551D32DC" w14:textId="0079109B" w:rsidR="00987725" w:rsidRPr="0038540B" w:rsidRDefault="007076C8" w:rsidP="00ED32F7">
      <w:pPr>
        <w:pStyle w:val="Heading3boardreport"/>
        <w:spacing w:before="240" w:after="240"/>
        <w:ind w:left="425"/>
      </w:pPr>
      <w:r w:rsidRPr="0038540B">
        <w:t>Scoping</w:t>
      </w:r>
    </w:p>
    <w:p w14:paraId="2F0BB6E3" w14:textId="391DDD92" w:rsidR="007076C8" w:rsidRPr="0038540B" w:rsidRDefault="007076C8" w:rsidP="007076C8">
      <w:pPr>
        <w:pStyle w:val="Paragraph"/>
        <w:tabs>
          <w:tab w:val="clear" w:pos="567"/>
          <w:tab w:val="left" w:pos="426"/>
        </w:tabs>
        <w:ind w:left="426" w:hanging="426"/>
      </w:pPr>
      <w:r>
        <w:t xml:space="preserve">Non-cancer topics being considered for </w:t>
      </w:r>
      <w:r w:rsidR="00103968">
        <w:t>T</w:t>
      </w:r>
      <w:r>
        <w:t xml:space="preserve">echnology Appraisal and Highly Specialised Technologies guidance currently go through a scoping process in order to inform selection and routing decisions, whereas the scoping process is completed after selection and during the guidance development process for </w:t>
      </w:r>
      <w:r w:rsidR="00EA7DEB">
        <w:t xml:space="preserve">cancer medicine </w:t>
      </w:r>
      <w:r>
        <w:t xml:space="preserve">topics being considered for </w:t>
      </w:r>
      <w:r w:rsidR="006049A5">
        <w:t xml:space="preserve">Technology Appraisal and Highly Specialised Technologies </w:t>
      </w:r>
      <w:r>
        <w:t>and other types of NICE guidance.</w:t>
      </w:r>
    </w:p>
    <w:p w14:paraId="13049287" w14:textId="257D72F4" w:rsidR="00987725" w:rsidRDefault="007076C8" w:rsidP="00536A40">
      <w:pPr>
        <w:pStyle w:val="Paragraph"/>
        <w:tabs>
          <w:tab w:val="clear" w:pos="567"/>
          <w:tab w:val="left" w:pos="426"/>
        </w:tabs>
        <w:ind w:left="426" w:hanging="426"/>
      </w:pPr>
      <w:r>
        <w:t>The requirement for a scope to be developed and consulted upon before a topic is selected for T</w:t>
      </w:r>
      <w:r w:rsidR="00880A3E">
        <w:t xml:space="preserve">echnology </w:t>
      </w:r>
      <w:r>
        <w:t>A</w:t>
      </w:r>
      <w:r w:rsidR="00880A3E">
        <w:t>ppraisal</w:t>
      </w:r>
      <w:r>
        <w:t xml:space="preserve"> or </w:t>
      </w:r>
      <w:r w:rsidR="00880A3E">
        <w:t xml:space="preserve">Highly </w:t>
      </w:r>
      <w:r>
        <w:t>S</w:t>
      </w:r>
      <w:r w:rsidR="00880A3E">
        <w:t xml:space="preserve">pecialised </w:t>
      </w:r>
      <w:r>
        <w:t>T</w:t>
      </w:r>
      <w:r w:rsidR="00880A3E">
        <w:t>echnologies</w:t>
      </w:r>
      <w:r>
        <w:t xml:space="preserve"> will be removed. </w:t>
      </w:r>
      <w:r w:rsidR="00E860CD">
        <w:t>Instead</w:t>
      </w:r>
      <w:r w:rsidR="00AA25B2">
        <w:t>,</w:t>
      </w:r>
      <w:r w:rsidR="00E860CD">
        <w:t xml:space="preserve"> scope development and consultation will occur closer to the guidance development stage with the purpose of confirmation of a routing decision into either Technology Appraisal or Highly Specialised Technologies programmes</w:t>
      </w:r>
      <w:r>
        <w:t xml:space="preserve">. This will create consistency with other NICE guidance and guideline development processes. </w:t>
      </w:r>
    </w:p>
    <w:p w14:paraId="160DF504" w14:textId="3DE91F74" w:rsidR="00987725" w:rsidRDefault="00652697" w:rsidP="00ED32F7">
      <w:pPr>
        <w:pStyle w:val="Heading3boardreport"/>
        <w:spacing w:before="240" w:after="240"/>
        <w:ind w:left="425"/>
      </w:pPr>
      <w:r>
        <w:t>Format of the referral</w:t>
      </w:r>
    </w:p>
    <w:p w14:paraId="4C89B1B4" w14:textId="7AEE78A0" w:rsidR="007076C8" w:rsidRDefault="007076C8" w:rsidP="007076C8">
      <w:pPr>
        <w:pStyle w:val="Paragraph"/>
        <w:tabs>
          <w:tab w:val="clear" w:pos="567"/>
          <w:tab w:val="left" w:pos="426"/>
        </w:tabs>
        <w:ind w:left="426" w:hanging="426"/>
      </w:pPr>
      <w:r>
        <w:t xml:space="preserve">The wording of the formal ministerial referral (known as the 'remit') to the Technology Appraisals programme and the Highly Specialised Technologies programme are currently different in formats: </w:t>
      </w:r>
    </w:p>
    <w:p w14:paraId="59731271" w14:textId="77777777" w:rsidR="007076C8" w:rsidRDefault="007076C8" w:rsidP="007076C8">
      <w:pPr>
        <w:pStyle w:val="Bulletslast"/>
        <w:numPr>
          <w:ilvl w:val="0"/>
          <w:numId w:val="1"/>
        </w:numPr>
      </w:pPr>
      <w:r>
        <w:t>Technology Appraisals: To appraise the clinical and cost effectiveness of [insert technology name] within its marketing authorisation for treating [insert indication]</w:t>
      </w:r>
    </w:p>
    <w:p w14:paraId="2E9760E7" w14:textId="77777777" w:rsidR="007076C8" w:rsidRDefault="007076C8" w:rsidP="007076C8">
      <w:pPr>
        <w:pStyle w:val="Bulletslast"/>
        <w:numPr>
          <w:ilvl w:val="0"/>
          <w:numId w:val="1"/>
        </w:numPr>
      </w:pPr>
      <w:r>
        <w:t xml:space="preserve">Highly Specialised Technologies: To </w:t>
      </w:r>
      <w:r w:rsidRPr="007A5F55">
        <w:t xml:space="preserve">evaluate the benefits and costs of </w:t>
      </w:r>
      <w:r>
        <w:t>[insert technology name</w:t>
      </w:r>
      <w:r w:rsidRPr="007A5F55">
        <w:t>]</w:t>
      </w:r>
      <w:r>
        <w:t xml:space="preserve"> </w:t>
      </w:r>
      <w:r w:rsidRPr="007A5F55">
        <w:t xml:space="preserve">within its marketing authorisation for treating </w:t>
      </w:r>
      <w:r>
        <w:t>[</w:t>
      </w:r>
      <w:r w:rsidRPr="007A5F55">
        <w:t>insert indication] for national commissioning by NHS England</w:t>
      </w:r>
      <w:r>
        <w:t xml:space="preserve"> </w:t>
      </w:r>
    </w:p>
    <w:p w14:paraId="006D4E52" w14:textId="77777777" w:rsidR="007076C8" w:rsidRDefault="007076C8" w:rsidP="007076C8">
      <w:pPr>
        <w:pStyle w:val="Paragraph"/>
        <w:tabs>
          <w:tab w:val="clear" w:pos="567"/>
          <w:tab w:val="left" w:pos="426"/>
        </w:tabs>
        <w:ind w:left="426" w:hanging="426"/>
      </w:pPr>
      <w:proofErr w:type="gramStart"/>
      <w:r>
        <w:t>In order to</w:t>
      </w:r>
      <w:proofErr w:type="gramEnd"/>
      <w:r>
        <w:t xml:space="preserve"> implement the change described above, the wording of the remits require alignment. New wording is proposed below:</w:t>
      </w:r>
    </w:p>
    <w:p w14:paraId="628E8FF8" w14:textId="0FE0601E" w:rsidR="007076C8" w:rsidRPr="0038540B" w:rsidRDefault="007076C8" w:rsidP="00AE6D36">
      <w:pPr>
        <w:pStyle w:val="Bulletslast"/>
        <w:numPr>
          <w:ilvl w:val="0"/>
          <w:numId w:val="1"/>
        </w:numPr>
      </w:pPr>
      <w:r>
        <w:t>To appr</w:t>
      </w:r>
      <w:r w:rsidRPr="00983E67">
        <w:t>aise</w:t>
      </w:r>
      <w:r>
        <w:t xml:space="preserve"> </w:t>
      </w:r>
      <w:r w:rsidRPr="00983E67">
        <w:t xml:space="preserve">the clinical and cost effectiveness of [insert technology name] </w:t>
      </w:r>
      <w:r>
        <w:t xml:space="preserve">within </w:t>
      </w:r>
      <w:r w:rsidRPr="007A5F55">
        <w:t>its marketing authorisation for treating [insert indication]</w:t>
      </w:r>
    </w:p>
    <w:p w14:paraId="7AAAB6FA" w14:textId="1063A899" w:rsidR="00987725" w:rsidRPr="0038540B" w:rsidRDefault="007076C8" w:rsidP="00ED32F7">
      <w:pPr>
        <w:pStyle w:val="Heading3boardreport"/>
        <w:spacing w:before="240" w:after="240"/>
        <w:ind w:left="425"/>
      </w:pPr>
      <w:r w:rsidRPr="0038540B">
        <w:t xml:space="preserve">Formalising </w:t>
      </w:r>
      <w:r w:rsidR="00AE6D36">
        <w:t xml:space="preserve">the </w:t>
      </w:r>
      <w:r w:rsidRPr="0038540B">
        <w:t>opportunity for challenge</w:t>
      </w:r>
    </w:p>
    <w:p w14:paraId="3FBB8D8B" w14:textId="655FC7C8" w:rsidR="007076C8" w:rsidRPr="0038540B" w:rsidRDefault="007076C8" w:rsidP="007076C8">
      <w:pPr>
        <w:pStyle w:val="Paragraph"/>
        <w:tabs>
          <w:tab w:val="clear" w:pos="567"/>
          <w:tab w:val="left" w:pos="426"/>
        </w:tabs>
        <w:ind w:left="426" w:hanging="426"/>
      </w:pPr>
      <w:r>
        <w:t xml:space="preserve">Over the past months, the NICE Senior Management Team has considered routing decisions coming from the Technology Appraisal and Highly Specialised Technologies decision-making panel where they have been challenged by stakeholders. </w:t>
      </w:r>
      <w:r w:rsidR="00AE6D36">
        <w:t>A</w:t>
      </w:r>
      <w:r>
        <w:t xml:space="preserve"> formal process for stakeholders to challenge topic selection </w:t>
      </w:r>
      <w:r>
        <w:lastRenderedPageBreak/>
        <w:t>routing decisions (including application of criteria) for</w:t>
      </w:r>
      <w:r w:rsidR="00AE6D36">
        <w:t xml:space="preserve"> all</w:t>
      </w:r>
      <w:r>
        <w:t xml:space="preserve"> </w:t>
      </w:r>
      <w:r w:rsidR="00AE6D36">
        <w:t>guidance development programmes</w:t>
      </w:r>
      <w:r>
        <w:t xml:space="preserve"> will be introduced.</w:t>
      </w:r>
    </w:p>
    <w:p w14:paraId="1E37248D" w14:textId="6B19BEFD" w:rsidR="00987725" w:rsidRPr="0038540B" w:rsidRDefault="007076C8" w:rsidP="00ED32F7">
      <w:pPr>
        <w:pStyle w:val="Heading3boardreport"/>
        <w:spacing w:before="240" w:after="240"/>
        <w:ind w:left="425"/>
      </w:pPr>
      <w:r w:rsidRPr="0038540B">
        <w:t>Topic selection panel</w:t>
      </w:r>
    </w:p>
    <w:p w14:paraId="28963629" w14:textId="19477647" w:rsidR="007076C8" w:rsidRPr="0038540B" w:rsidRDefault="007076C8" w:rsidP="007076C8">
      <w:pPr>
        <w:pStyle w:val="Paragraph"/>
        <w:tabs>
          <w:tab w:val="clear" w:pos="567"/>
          <w:tab w:val="left" w:pos="426"/>
        </w:tabs>
        <w:ind w:left="426" w:hanging="426"/>
      </w:pPr>
      <w:r>
        <w:t xml:space="preserve">Currently </w:t>
      </w:r>
      <w:r w:rsidR="00D44796">
        <w:t xml:space="preserve">3 </w:t>
      </w:r>
      <w:r>
        <w:t xml:space="preserve">different topic selection decision making groups support the </w:t>
      </w:r>
      <w:r w:rsidR="00D44796">
        <w:t xml:space="preserve">3 </w:t>
      </w:r>
      <w:r>
        <w:t xml:space="preserve">different selection processes. The groups meet at different frequencies and there is some cross over in the membership / attendees at the meetings. There may be inefficiency in this approach because some technologies (particularly </w:t>
      </w:r>
      <w:r w:rsidR="00021955">
        <w:t>devices</w:t>
      </w:r>
      <w:r>
        <w:t xml:space="preserve"> with a cost incurring value proposition) can be discussed by different groups leading to duplicative effort, loss of corporate knowledge and potential inconsistency in decision making.</w:t>
      </w:r>
    </w:p>
    <w:p w14:paraId="25A88835" w14:textId="656243DF" w:rsidR="007076C8" w:rsidRPr="0038540B" w:rsidRDefault="007076C8" w:rsidP="007076C8">
      <w:pPr>
        <w:pStyle w:val="Paragraph"/>
        <w:tabs>
          <w:tab w:val="clear" w:pos="567"/>
          <w:tab w:val="left" w:pos="426"/>
        </w:tabs>
        <w:ind w:left="426" w:hanging="426"/>
      </w:pPr>
      <w:proofErr w:type="gramStart"/>
      <w:r>
        <w:t>In order to</w:t>
      </w:r>
      <w:proofErr w:type="gramEnd"/>
      <w:r>
        <w:t xml:space="preserve"> promote efficiency and consistency in the decision-making process, </w:t>
      </w:r>
      <w:r w:rsidR="00AE6D36">
        <w:t>we proposed to</w:t>
      </w:r>
      <w:r>
        <w:t xml:space="preserve"> consolidat</w:t>
      </w:r>
      <w:r w:rsidR="00AE6D36">
        <w:t>e</w:t>
      </w:r>
      <w:r>
        <w:t xml:space="preserve"> the </w:t>
      </w:r>
      <w:r w:rsidR="00021955">
        <w:t xml:space="preserve">3 </w:t>
      </w:r>
      <w:r>
        <w:t>existing topic selection panel</w:t>
      </w:r>
      <w:r w:rsidR="00E071C0">
        <w:t>s</w:t>
      </w:r>
      <w:r>
        <w:t xml:space="preserve"> </w:t>
      </w:r>
      <w:r w:rsidR="00021955">
        <w:t xml:space="preserve">into a single panel </w:t>
      </w:r>
      <w:r>
        <w:t xml:space="preserve">to oversee the application of the </w:t>
      </w:r>
      <w:r w:rsidR="009F17DA">
        <w:t xml:space="preserve">identification, </w:t>
      </w:r>
      <w:r>
        <w:t>selection</w:t>
      </w:r>
      <w:r w:rsidR="009F17DA">
        <w:t xml:space="preserve"> and routing</w:t>
      </w:r>
      <w:r>
        <w:t xml:space="preserve"> criteria. This panel will be called the Topic Selection Oversight </w:t>
      </w:r>
      <w:r w:rsidR="00E071C0">
        <w:t>Panel</w:t>
      </w:r>
      <w:r>
        <w:t xml:space="preserve"> (TSO</w:t>
      </w:r>
      <w:r w:rsidR="00E071C0">
        <w:t>P</w:t>
      </w:r>
      <w:r>
        <w:t>).</w:t>
      </w:r>
    </w:p>
    <w:p w14:paraId="4D7E0D67" w14:textId="46E2ABC6" w:rsidR="007076C8" w:rsidRDefault="00E071C0" w:rsidP="007076C8">
      <w:pPr>
        <w:pStyle w:val="Paragraph"/>
        <w:tabs>
          <w:tab w:val="clear" w:pos="567"/>
          <w:tab w:val="left" w:pos="426"/>
        </w:tabs>
        <w:ind w:left="426" w:hanging="426"/>
      </w:pPr>
      <w:r>
        <w:t xml:space="preserve">The Topic Selection Oversight </w:t>
      </w:r>
      <w:r w:rsidR="007076C8">
        <w:t xml:space="preserve">Panel membership </w:t>
      </w:r>
      <w:r w:rsidR="00AE6D36">
        <w:t>will</w:t>
      </w:r>
      <w:r w:rsidR="007076C8">
        <w:t xml:space="preserve"> include senior NICE staff and will retain the capacity for external expertise to be provided from the Department of Health and Social Care and NHS England and Improvement. Membership will also be extended to include lay members. There will be a small core set of formal decision makers with a wider range of advisory members that would be invited to provide input relevant to technology type and value proposition.</w:t>
      </w:r>
    </w:p>
    <w:p w14:paraId="452413DC" w14:textId="51891117" w:rsidR="00D84F62" w:rsidRDefault="00D84F62" w:rsidP="00FC2741">
      <w:pPr>
        <w:pStyle w:val="Paragraph"/>
        <w:ind w:left="426" w:hanging="710"/>
      </w:pPr>
      <w:r>
        <w:t>The core membership of the Topic Selection Oversight Panel decision makers will be as outlined below:</w:t>
      </w:r>
    </w:p>
    <w:p w14:paraId="141AB71E" w14:textId="77777777" w:rsidR="00D84F62" w:rsidRDefault="00D84F62" w:rsidP="00D84F62">
      <w:pPr>
        <w:pStyle w:val="Bullets"/>
      </w:pPr>
      <w:r>
        <w:t>Director – Centre for Health Technology Evaluation, NICE</w:t>
      </w:r>
    </w:p>
    <w:p w14:paraId="5FEFA55B" w14:textId="77777777" w:rsidR="00D84F62" w:rsidRDefault="00D84F62" w:rsidP="00D84F62">
      <w:pPr>
        <w:pStyle w:val="Bullets"/>
      </w:pPr>
      <w:r>
        <w:t>Director – Centre for Clinical Guidelines, NICE</w:t>
      </w:r>
    </w:p>
    <w:p w14:paraId="07A77B63" w14:textId="77777777" w:rsidR="00D84F62" w:rsidRDefault="00D84F62" w:rsidP="00D84F62">
      <w:pPr>
        <w:pStyle w:val="Bullets"/>
      </w:pPr>
      <w:r>
        <w:t>Programme Director(s) – representative of the Centre for Health Technology Evaluation, NICE</w:t>
      </w:r>
    </w:p>
    <w:p w14:paraId="3F354AF3" w14:textId="6F947A76" w:rsidR="00D84F62" w:rsidRDefault="00D84F62" w:rsidP="00D84F62">
      <w:pPr>
        <w:pStyle w:val="Bullets"/>
      </w:pPr>
      <w:r>
        <w:t xml:space="preserve">Committee Chair(s) – representative of various </w:t>
      </w:r>
      <w:r w:rsidR="00987725">
        <w:t xml:space="preserve">CHTE </w:t>
      </w:r>
      <w:r>
        <w:t>committees</w:t>
      </w:r>
    </w:p>
    <w:p w14:paraId="1E38D8BF" w14:textId="77777777" w:rsidR="00D84F62" w:rsidRDefault="00D84F62" w:rsidP="00D84F62">
      <w:pPr>
        <w:pStyle w:val="Bullets"/>
      </w:pPr>
      <w:r>
        <w:t>Lay member(s)</w:t>
      </w:r>
    </w:p>
    <w:p w14:paraId="32579B8A" w14:textId="7F13F9C5" w:rsidR="00D84F62" w:rsidRDefault="00D84F62" w:rsidP="00D84F62">
      <w:pPr>
        <w:pStyle w:val="Bullets"/>
      </w:pPr>
      <w:r>
        <w:t>Consultant Clinical Adviser(s)</w:t>
      </w:r>
    </w:p>
    <w:p w14:paraId="28653854" w14:textId="77777777" w:rsidR="003E1738" w:rsidRDefault="003E1738" w:rsidP="003E1738">
      <w:pPr>
        <w:pStyle w:val="Bullets"/>
      </w:pPr>
      <w:r>
        <w:t>Department of Health and Social Care representative</w:t>
      </w:r>
    </w:p>
    <w:p w14:paraId="3C6200B0" w14:textId="09D3B599" w:rsidR="003E1738" w:rsidRDefault="003E1738" w:rsidP="003E1738">
      <w:pPr>
        <w:pStyle w:val="Bullets"/>
      </w:pPr>
      <w:r>
        <w:t>NHS England and Improvement representative</w:t>
      </w:r>
    </w:p>
    <w:p w14:paraId="19EA5446" w14:textId="77777777" w:rsidR="005315CD" w:rsidRPr="007065A3" w:rsidRDefault="005315CD" w:rsidP="005315CD">
      <w:pPr>
        <w:pStyle w:val="Bullets"/>
        <w:numPr>
          <w:ilvl w:val="0"/>
          <w:numId w:val="0"/>
        </w:numPr>
        <w:ind w:left="1134"/>
        <w:rPr>
          <w:sz w:val="12"/>
          <w:szCs w:val="12"/>
        </w:rPr>
      </w:pPr>
    </w:p>
    <w:p w14:paraId="68E54F07" w14:textId="77777777" w:rsidR="00AE6D36" w:rsidRDefault="00AE6D36" w:rsidP="007076C8">
      <w:pPr>
        <w:pStyle w:val="Paragraph"/>
        <w:tabs>
          <w:tab w:val="clear" w:pos="567"/>
          <w:tab w:val="left" w:pos="426"/>
        </w:tabs>
        <w:ind w:left="426" w:hanging="426"/>
      </w:pPr>
      <w:r>
        <w:t xml:space="preserve">Further exploration of the benefits of the creation of the Topic Selection Oversight Panel will be conducted with formal Terms of Reference see appendix </w:t>
      </w:r>
      <w:r>
        <w:lastRenderedPageBreak/>
        <w:t>2. The terms of reference describe the governance arrangements, and escalation process for routing decisions that are subject to challenge.</w:t>
      </w:r>
    </w:p>
    <w:p w14:paraId="77D51270" w14:textId="702F0670" w:rsidR="007076C8" w:rsidRDefault="00E071C0" w:rsidP="00AE6D36">
      <w:pPr>
        <w:pStyle w:val="Paragraph"/>
        <w:tabs>
          <w:tab w:val="clear" w:pos="567"/>
          <w:tab w:val="left" w:pos="426"/>
        </w:tabs>
        <w:ind w:left="426" w:hanging="426"/>
      </w:pPr>
      <w:r>
        <w:t xml:space="preserve">The Interventional Procedures programme will continue to hold a separate </w:t>
      </w:r>
      <w:r w:rsidR="00AE6D36">
        <w:t>topic selection discussion</w:t>
      </w:r>
      <w:r>
        <w:t xml:space="preserve"> (known as the Newly Notified Procedures </w:t>
      </w:r>
      <w:r w:rsidR="00652697">
        <w:t>meeting</w:t>
      </w:r>
      <w:r>
        <w:t xml:space="preserve">) </w:t>
      </w:r>
      <w:proofErr w:type="gramStart"/>
      <w:r>
        <w:t>in order to</w:t>
      </w:r>
      <w:proofErr w:type="gramEnd"/>
      <w:r>
        <w:t xml:space="preserve"> select procedures for guidance development. It is appropriate for this group to continue to meet </w:t>
      </w:r>
      <w:r w:rsidR="00AE6D36">
        <w:t>regularly due to the importance of safety and the speed of decision making required. If</w:t>
      </w:r>
      <w:r>
        <w:t xml:space="preserve"> this group takes a decision not to progress a procedure for </w:t>
      </w:r>
      <w:r w:rsidR="00AE6D36">
        <w:t>guidance development or would like to transfer a topic to another guidance development programme, that decision will be ratified by the Topic Selection Oversight Panel. This provides an appropriate level of governance to this decision and a formal escalation process where the decision to not progress with guidance development is challenged.</w:t>
      </w:r>
    </w:p>
    <w:p w14:paraId="5716F0AB" w14:textId="25999626" w:rsidR="00987725" w:rsidRPr="0038540B" w:rsidRDefault="00987725" w:rsidP="007065A3">
      <w:pPr>
        <w:pStyle w:val="Paragraph"/>
        <w:numPr>
          <w:ilvl w:val="0"/>
          <w:numId w:val="0"/>
        </w:numPr>
        <w:tabs>
          <w:tab w:val="clear" w:pos="567"/>
          <w:tab w:val="left" w:pos="426"/>
        </w:tabs>
      </w:pPr>
      <w:r w:rsidRPr="000A366B">
        <w:rPr>
          <w:b/>
          <w:bCs/>
        </w:rPr>
        <w:t>N.B – the principles of change listed in paragraphs 31 – 4</w:t>
      </w:r>
      <w:r w:rsidR="008A7F8A">
        <w:rPr>
          <w:b/>
          <w:bCs/>
        </w:rPr>
        <w:t>1</w:t>
      </w:r>
      <w:r w:rsidRPr="000A366B">
        <w:rPr>
          <w:b/>
          <w:bCs/>
        </w:rPr>
        <w:t xml:space="preserve"> have been implemented as requested by the NICE </w:t>
      </w:r>
      <w:r>
        <w:rPr>
          <w:b/>
          <w:bCs/>
        </w:rPr>
        <w:t>B</w:t>
      </w:r>
      <w:r w:rsidRPr="000A366B">
        <w:rPr>
          <w:b/>
          <w:bCs/>
        </w:rPr>
        <w:t xml:space="preserve">oard </w:t>
      </w:r>
      <w:r>
        <w:rPr>
          <w:b/>
          <w:bCs/>
        </w:rPr>
        <w:t>in March 2020 (</w:t>
      </w:r>
      <w:r w:rsidRPr="000A366B">
        <w:rPr>
          <w:b/>
          <w:bCs/>
        </w:rPr>
        <w:t>pre-consultation</w:t>
      </w:r>
      <w:r>
        <w:rPr>
          <w:b/>
          <w:bCs/>
        </w:rPr>
        <w:t>)</w:t>
      </w:r>
      <w:r w:rsidRPr="000A366B">
        <w:rPr>
          <w:b/>
          <w:bCs/>
        </w:rPr>
        <w:t xml:space="preserve">. NICE took the opportunity during the COVID-19 pandemic to </w:t>
      </w:r>
      <w:r>
        <w:rPr>
          <w:b/>
          <w:bCs/>
        </w:rPr>
        <w:t>implement the</w:t>
      </w:r>
      <w:r w:rsidRPr="000A366B">
        <w:rPr>
          <w:b/>
          <w:bCs/>
        </w:rPr>
        <w:t xml:space="preserve"> efficiency savings to allow topics</w:t>
      </w:r>
      <w:r>
        <w:rPr>
          <w:b/>
          <w:bCs/>
        </w:rPr>
        <w:t xml:space="preserve"> that were</w:t>
      </w:r>
      <w:r w:rsidRPr="000A366B">
        <w:rPr>
          <w:b/>
          <w:bCs/>
        </w:rPr>
        <w:t xml:space="preserve"> paused </w:t>
      </w:r>
      <w:r>
        <w:rPr>
          <w:b/>
          <w:bCs/>
        </w:rPr>
        <w:t>during</w:t>
      </w:r>
      <w:r w:rsidRPr="000A366B">
        <w:rPr>
          <w:b/>
          <w:bCs/>
        </w:rPr>
        <w:t xml:space="preserve"> the pandemic to </w:t>
      </w:r>
      <w:r>
        <w:rPr>
          <w:b/>
          <w:bCs/>
        </w:rPr>
        <w:t>re-</w:t>
      </w:r>
      <w:r w:rsidRPr="000A366B">
        <w:rPr>
          <w:b/>
          <w:bCs/>
        </w:rPr>
        <w:t xml:space="preserve">start their assessment quicker </w:t>
      </w:r>
      <w:r>
        <w:rPr>
          <w:b/>
          <w:bCs/>
        </w:rPr>
        <w:t>as</w:t>
      </w:r>
      <w:r w:rsidRPr="000A366B">
        <w:rPr>
          <w:b/>
          <w:bCs/>
        </w:rPr>
        <w:t xml:space="preserve"> NICE returned to business as </w:t>
      </w:r>
      <w:r>
        <w:rPr>
          <w:b/>
          <w:bCs/>
        </w:rPr>
        <w:t>usual</w:t>
      </w:r>
      <w:r w:rsidRPr="000A366B">
        <w:rPr>
          <w:b/>
          <w:bCs/>
        </w:rPr>
        <w:t xml:space="preserve"> from 1 Ju</w:t>
      </w:r>
      <w:r>
        <w:rPr>
          <w:b/>
          <w:bCs/>
        </w:rPr>
        <w:t>ne</w:t>
      </w:r>
      <w:r w:rsidRPr="000A366B">
        <w:rPr>
          <w:b/>
          <w:bCs/>
        </w:rPr>
        <w:t>. We would still welcome your comments on the Topic Selection Oversight Panel (TSOP</w:t>
      </w:r>
      <w:proofErr w:type="gramStart"/>
      <w:r w:rsidRPr="000A366B">
        <w:rPr>
          <w:b/>
          <w:bCs/>
        </w:rPr>
        <w:t>)</w:t>
      </w:r>
      <w:proofErr w:type="gramEnd"/>
      <w:r>
        <w:rPr>
          <w:b/>
          <w:bCs/>
        </w:rPr>
        <w:t xml:space="preserve"> and its</w:t>
      </w:r>
      <w:r w:rsidRPr="000A366B">
        <w:rPr>
          <w:b/>
          <w:bCs/>
        </w:rPr>
        <w:t xml:space="preserve"> membership as described in paragraph</w:t>
      </w:r>
      <w:r>
        <w:rPr>
          <w:b/>
          <w:bCs/>
        </w:rPr>
        <w:t>s 36 - 41</w:t>
      </w:r>
      <w:r w:rsidRPr="000A366B">
        <w:rPr>
          <w:b/>
          <w:bCs/>
        </w:rPr>
        <w:t>.</w:t>
      </w:r>
    </w:p>
    <w:p w14:paraId="443153B7" w14:textId="77777777" w:rsidR="007076C8" w:rsidRPr="0038540B" w:rsidRDefault="007076C8" w:rsidP="007076C8">
      <w:pPr>
        <w:pStyle w:val="Heading2boardreport"/>
      </w:pPr>
      <w:r w:rsidRPr="0038540B">
        <w:t>Single topic selection manual</w:t>
      </w:r>
    </w:p>
    <w:p w14:paraId="3365653A" w14:textId="40BABB79" w:rsidR="007076C8" w:rsidRPr="0038540B" w:rsidRDefault="007076C8" w:rsidP="007076C8">
      <w:pPr>
        <w:pStyle w:val="Paragraph"/>
        <w:tabs>
          <w:tab w:val="clear" w:pos="567"/>
          <w:tab w:val="left" w:pos="426"/>
        </w:tabs>
        <w:ind w:left="426" w:hanging="426"/>
      </w:pPr>
      <w:r>
        <w:t>A single topic selection manual will be developed and will replace</w:t>
      </w:r>
      <w:r w:rsidR="00987725">
        <w:t xml:space="preserve"> multiple</w:t>
      </w:r>
      <w:r>
        <w:t xml:space="preserve"> existing published topic selection processes. It aims to contextualise information, set out processes clearly and simply, and make it easier for those involved and interested in Centre for Health Technology Evaluation topic selection to find and understand with the ultimate aim of increasing transparency of NICE processes. It also supports the ambitions of NICE Connect to help stakeholders and the public access the information they need quickly and easily.</w:t>
      </w:r>
    </w:p>
    <w:p w14:paraId="53E9426D" w14:textId="77777777" w:rsidR="007076C8" w:rsidRPr="0038540B" w:rsidRDefault="007076C8" w:rsidP="007076C8">
      <w:pPr>
        <w:pStyle w:val="Heading2boardreport"/>
      </w:pPr>
      <w:r w:rsidRPr="0038540B">
        <w:t>Updated and standardised documentation and terminology</w:t>
      </w:r>
    </w:p>
    <w:p w14:paraId="36A64011" w14:textId="77777777" w:rsidR="007076C8" w:rsidRPr="0038540B" w:rsidRDefault="007076C8" w:rsidP="007076C8">
      <w:pPr>
        <w:pStyle w:val="Paragraph"/>
        <w:tabs>
          <w:tab w:val="clear" w:pos="567"/>
          <w:tab w:val="left" w:pos="426"/>
        </w:tabs>
        <w:ind w:left="426" w:hanging="426"/>
      </w:pPr>
      <w:r>
        <w:t xml:space="preserve">Documentation used throughout the process will be standardised in so far as differences within technology type will allow. </w:t>
      </w:r>
    </w:p>
    <w:p w14:paraId="22F4984E" w14:textId="1812E682" w:rsidR="007076C8" w:rsidRDefault="007076C8" w:rsidP="007076C8">
      <w:pPr>
        <w:pStyle w:val="Paragraph"/>
        <w:ind w:left="426" w:hanging="426"/>
      </w:pPr>
      <w:r>
        <w:t xml:space="preserve">Terminology will be </w:t>
      </w:r>
      <w:proofErr w:type="gramStart"/>
      <w:r>
        <w:t>consolidated</w:t>
      </w:r>
      <w:proofErr w:type="gramEnd"/>
      <w:r>
        <w:t xml:space="preserve"> and standard definitions of common terms will be provided (table 3).</w:t>
      </w:r>
    </w:p>
    <w:p w14:paraId="1C83B0CB" w14:textId="4DAFC2EB" w:rsidR="007076C8" w:rsidRDefault="007076C8" w:rsidP="00ED32F7">
      <w:pPr>
        <w:pStyle w:val="Heading3boardreport"/>
        <w:spacing w:after="240"/>
        <w:ind w:left="425"/>
      </w:pPr>
      <w:r>
        <w:lastRenderedPageBreak/>
        <w:t>Table 3</w:t>
      </w:r>
    </w:p>
    <w:tbl>
      <w:tblPr>
        <w:tblStyle w:val="TableGrid"/>
        <w:tblW w:w="5000" w:type="pct"/>
        <w:tblBorders>
          <w:top w:val="single" w:sz="4" w:space="0" w:color="451551"/>
          <w:left w:val="single" w:sz="4" w:space="0" w:color="451551"/>
          <w:bottom w:val="single" w:sz="4" w:space="0" w:color="451551"/>
          <w:right w:val="single" w:sz="4" w:space="0" w:color="451551"/>
          <w:insideH w:val="single" w:sz="4" w:space="0" w:color="451551"/>
          <w:insideV w:val="single" w:sz="4" w:space="0" w:color="451551"/>
        </w:tblBorders>
        <w:tblLook w:val="04A0" w:firstRow="1" w:lastRow="0" w:firstColumn="1" w:lastColumn="0" w:noHBand="0" w:noVBand="1"/>
      </w:tblPr>
      <w:tblGrid>
        <w:gridCol w:w="3067"/>
        <w:gridCol w:w="2988"/>
        <w:gridCol w:w="2961"/>
      </w:tblGrid>
      <w:tr w:rsidR="007076C8" w14:paraId="7D62D9D4" w14:textId="77777777" w:rsidTr="007076C8">
        <w:trPr>
          <w:tblHeader/>
        </w:trPr>
        <w:tc>
          <w:tcPr>
            <w:tcW w:w="1701" w:type="pct"/>
            <w:shd w:val="clear" w:color="auto" w:fill="A2BDC1"/>
          </w:tcPr>
          <w:p w14:paraId="03222807" w14:textId="77777777" w:rsidR="007076C8" w:rsidRPr="0038540B" w:rsidRDefault="007076C8" w:rsidP="007076C8">
            <w:pPr>
              <w:pStyle w:val="Tablecolumnheading"/>
            </w:pPr>
            <w:r w:rsidRPr="0038540B">
              <w:t>Issue</w:t>
            </w:r>
          </w:p>
        </w:tc>
        <w:tc>
          <w:tcPr>
            <w:tcW w:w="1657" w:type="pct"/>
            <w:shd w:val="clear" w:color="auto" w:fill="A2BDC1"/>
          </w:tcPr>
          <w:p w14:paraId="50664492" w14:textId="77777777" w:rsidR="007076C8" w:rsidRPr="0038540B" w:rsidRDefault="007076C8" w:rsidP="007076C8">
            <w:pPr>
              <w:pStyle w:val="Tablecolumnheading"/>
            </w:pPr>
            <w:r w:rsidRPr="0038540B">
              <w:t>Current terms used</w:t>
            </w:r>
          </w:p>
        </w:tc>
        <w:tc>
          <w:tcPr>
            <w:tcW w:w="1642" w:type="pct"/>
            <w:shd w:val="clear" w:color="auto" w:fill="A2BDC1"/>
          </w:tcPr>
          <w:p w14:paraId="7E617F70" w14:textId="77777777" w:rsidR="007076C8" w:rsidRPr="0038540B" w:rsidRDefault="007076C8" w:rsidP="007076C8">
            <w:pPr>
              <w:pStyle w:val="Tablecolumnheading"/>
            </w:pPr>
            <w:r w:rsidRPr="0038540B">
              <w:t>Proposed new term</w:t>
            </w:r>
          </w:p>
        </w:tc>
      </w:tr>
      <w:tr w:rsidR="007076C8" w:rsidRPr="00245256" w14:paraId="72CCEED5" w14:textId="77777777" w:rsidTr="007076C8">
        <w:tc>
          <w:tcPr>
            <w:tcW w:w="1701" w:type="pct"/>
          </w:tcPr>
          <w:p w14:paraId="38728963" w14:textId="77777777" w:rsidR="007076C8" w:rsidRPr="00CF485E" w:rsidRDefault="007076C8" w:rsidP="007076C8">
            <w:pPr>
              <w:pStyle w:val="Tabletext"/>
            </w:pPr>
            <w:r w:rsidRPr="00CF485E">
              <w:t>Inconsistency in how we refer to technologies that require Marketing Authorisations</w:t>
            </w:r>
          </w:p>
        </w:tc>
        <w:tc>
          <w:tcPr>
            <w:tcW w:w="1657" w:type="pct"/>
          </w:tcPr>
          <w:p w14:paraId="1D0D7D20" w14:textId="77777777" w:rsidR="007076C8" w:rsidRPr="00CF485E" w:rsidRDefault="007076C8" w:rsidP="007076C8">
            <w:pPr>
              <w:pStyle w:val="Tabletext"/>
            </w:pPr>
            <w:r w:rsidRPr="00CF485E">
              <w:t>Drug</w:t>
            </w:r>
          </w:p>
          <w:p w14:paraId="2985E628" w14:textId="77777777" w:rsidR="007076C8" w:rsidRPr="00CF485E" w:rsidRDefault="007076C8" w:rsidP="007076C8">
            <w:pPr>
              <w:pStyle w:val="Tabletext"/>
            </w:pPr>
            <w:r w:rsidRPr="00CF485E">
              <w:t>Pharmaceutical</w:t>
            </w:r>
          </w:p>
          <w:p w14:paraId="10DB427C" w14:textId="77777777" w:rsidR="007076C8" w:rsidRPr="00CF485E" w:rsidRDefault="007076C8" w:rsidP="007076C8">
            <w:pPr>
              <w:pStyle w:val="Tabletext"/>
            </w:pPr>
            <w:r w:rsidRPr="00CF485E">
              <w:t>Medicine</w:t>
            </w:r>
          </w:p>
        </w:tc>
        <w:tc>
          <w:tcPr>
            <w:tcW w:w="1642" w:type="pct"/>
          </w:tcPr>
          <w:p w14:paraId="46923A21" w14:textId="77777777" w:rsidR="007076C8" w:rsidRPr="00CF485E" w:rsidRDefault="007076C8" w:rsidP="007076C8">
            <w:pPr>
              <w:pStyle w:val="Tabletext"/>
            </w:pPr>
            <w:r w:rsidRPr="00CF485E">
              <w:t>Medicine (this will be defined as including other active substances) and is consistent with term used by the NICE medicines evidence summaries team</w:t>
            </w:r>
          </w:p>
        </w:tc>
      </w:tr>
      <w:tr w:rsidR="007076C8" w:rsidRPr="00245256" w14:paraId="327F6440" w14:textId="77777777" w:rsidTr="007076C8">
        <w:tc>
          <w:tcPr>
            <w:tcW w:w="1701" w:type="pct"/>
          </w:tcPr>
          <w:p w14:paraId="3AF36255" w14:textId="77777777" w:rsidR="007076C8" w:rsidRPr="00CF485E" w:rsidRDefault="007076C8" w:rsidP="007076C8">
            <w:pPr>
              <w:pStyle w:val="Tabletext"/>
            </w:pPr>
            <w:r w:rsidRPr="00CF485E">
              <w:t>Inconsistency in how we refer to the entity that is responsible for the technology</w:t>
            </w:r>
          </w:p>
        </w:tc>
        <w:tc>
          <w:tcPr>
            <w:tcW w:w="1657" w:type="pct"/>
          </w:tcPr>
          <w:p w14:paraId="26102196" w14:textId="77777777" w:rsidR="007076C8" w:rsidRPr="00CF485E" w:rsidRDefault="007076C8" w:rsidP="007076C8">
            <w:pPr>
              <w:pStyle w:val="Tabletext"/>
            </w:pPr>
            <w:r w:rsidRPr="00CF485E">
              <w:t xml:space="preserve">Manufacturer </w:t>
            </w:r>
          </w:p>
          <w:p w14:paraId="53E52EA3" w14:textId="77777777" w:rsidR="007076C8" w:rsidRPr="00CF485E" w:rsidRDefault="007076C8" w:rsidP="007076C8">
            <w:pPr>
              <w:pStyle w:val="Tabletext"/>
            </w:pPr>
            <w:r w:rsidRPr="00CF485E">
              <w:t>Company</w:t>
            </w:r>
          </w:p>
          <w:p w14:paraId="1A3B176E" w14:textId="77777777" w:rsidR="007076C8" w:rsidRPr="00CF485E" w:rsidRDefault="007076C8" w:rsidP="007076C8">
            <w:pPr>
              <w:pStyle w:val="Tabletext"/>
            </w:pPr>
            <w:r w:rsidRPr="00CF485E">
              <w:t>Technology developer Sponsor</w:t>
            </w:r>
          </w:p>
          <w:p w14:paraId="67FEA63C" w14:textId="77777777" w:rsidR="007076C8" w:rsidRPr="00CF485E" w:rsidRDefault="007076C8" w:rsidP="007076C8">
            <w:pPr>
              <w:pStyle w:val="Tabletext"/>
            </w:pPr>
            <w:r w:rsidRPr="00CF485E">
              <w:t>Marketing authorisation holder</w:t>
            </w:r>
          </w:p>
        </w:tc>
        <w:tc>
          <w:tcPr>
            <w:tcW w:w="1642" w:type="pct"/>
          </w:tcPr>
          <w:p w14:paraId="2F3C2C61" w14:textId="77777777" w:rsidR="007076C8" w:rsidRPr="00CF485E" w:rsidRDefault="007076C8" w:rsidP="007076C8">
            <w:pPr>
              <w:pStyle w:val="Tabletext"/>
            </w:pPr>
            <w:r w:rsidRPr="00CF485E">
              <w:t xml:space="preserve">Company </w:t>
            </w:r>
          </w:p>
        </w:tc>
      </w:tr>
      <w:tr w:rsidR="007076C8" w:rsidRPr="00245256" w14:paraId="45F3C1BE" w14:textId="77777777" w:rsidTr="007076C8">
        <w:tc>
          <w:tcPr>
            <w:tcW w:w="1701" w:type="pct"/>
          </w:tcPr>
          <w:p w14:paraId="5C35AB03" w14:textId="77777777" w:rsidR="007076C8" w:rsidRPr="00CF485E" w:rsidRDefault="007076C8" w:rsidP="007076C8">
            <w:pPr>
              <w:pStyle w:val="Tabletext"/>
            </w:pPr>
            <w:r w:rsidRPr="00CF485E">
              <w:t>Inconsistency in how we refer to those providing input into topic selection</w:t>
            </w:r>
          </w:p>
        </w:tc>
        <w:tc>
          <w:tcPr>
            <w:tcW w:w="1657" w:type="pct"/>
          </w:tcPr>
          <w:p w14:paraId="11EE8209" w14:textId="77777777" w:rsidR="007076C8" w:rsidRPr="00CF485E" w:rsidRDefault="007076C8" w:rsidP="007076C8">
            <w:pPr>
              <w:pStyle w:val="Tabletext"/>
            </w:pPr>
            <w:r w:rsidRPr="00577F31">
              <w:t>Expert</w:t>
            </w:r>
          </w:p>
          <w:p w14:paraId="05FF54FC" w14:textId="77777777" w:rsidR="007076C8" w:rsidRPr="00CF485E" w:rsidRDefault="007076C8" w:rsidP="007076C8">
            <w:pPr>
              <w:pStyle w:val="Tabletext"/>
            </w:pPr>
            <w:r w:rsidRPr="00577F31">
              <w:t xml:space="preserve">Specialist </w:t>
            </w:r>
          </w:p>
          <w:p w14:paraId="2F6C067D" w14:textId="77777777" w:rsidR="007076C8" w:rsidRPr="00CF485E" w:rsidRDefault="007076C8" w:rsidP="007076C8">
            <w:pPr>
              <w:pStyle w:val="Tabletext"/>
            </w:pPr>
            <w:r w:rsidRPr="00577F31">
              <w:t xml:space="preserve">Adviser </w:t>
            </w:r>
          </w:p>
          <w:p w14:paraId="5E41B310" w14:textId="77777777" w:rsidR="007076C8" w:rsidRPr="00CF485E" w:rsidRDefault="007076C8" w:rsidP="007076C8">
            <w:pPr>
              <w:pStyle w:val="Tabletext"/>
            </w:pPr>
            <w:r w:rsidRPr="00577F31">
              <w:t>Witness</w:t>
            </w:r>
          </w:p>
        </w:tc>
        <w:tc>
          <w:tcPr>
            <w:tcW w:w="1642" w:type="pct"/>
          </w:tcPr>
          <w:p w14:paraId="197F5BDC" w14:textId="77777777" w:rsidR="007076C8" w:rsidRPr="00CF485E" w:rsidRDefault="007076C8" w:rsidP="007076C8">
            <w:pPr>
              <w:pStyle w:val="Tabletext"/>
            </w:pPr>
            <w:r>
              <w:t>Expert</w:t>
            </w:r>
          </w:p>
        </w:tc>
      </w:tr>
      <w:tr w:rsidR="007076C8" w:rsidRPr="00245256" w14:paraId="190CC4B8" w14:textId="77777777" w:rsidTr="007076C8">
        <w:tc>
          <w:tcPr>
            <w:tcW w:w="1701" w:type="pct"/>
          </w:tcPr>
          <w:p w14:paraId="335C600E" w14:textId="77777777" w:rsidR="007076C8" w:rsidRPr="00CF485E" w:rsidRDefault="007076C8" w:rsidP="007076C8">
            <w:pPr>
              <w:pStyle w:val="Tabletext"/>
            </w:pPr>
            <w:r w:rsidRPr="00CF485E">
              <w:t xml:space="preserve">Lack of clarity about what ‘referral’ means and who can refer a topic to NICE  </w:t>
            </w:r>
          </w:p>
        </w:tc>
        <w:tc>
          <w:tcPr>
            <w:tcW w:w="1657" w:type="pct"/>
          </w:tcPr>
          <w:p w14:paraId="79DDBE3E" w14:textId="77777777" w:rsidR="007076C8" w:rsidRPr="00CF485E" w:rsidRDefault="007076C8" w:rsidP="007076C8">
            <w:pPr>
              <w:pStyle w:val="Tabletext"/>
            </w:pPr>
            <w:r w:rsidRPr="00577F31">
              <w:t>Referral</w:t>
            </w:r>
          </w:p>
          <w:p w14:paraId="4AD84377" w14:textId="77777777" w:rsidR="007076C8" w:rsidRPr="00CF485E" w:rsidRDefault="007076C8" w:rsidP="007076C8">
            <w:pPr>
              <w:pStyle w:val="Tabletext"/>
            </w:pPr>
            <w:r w:rsidRPr="00577F31">
              <w:t>Notification</w:t>
            </w:r>
          </w:p>
          <w:p w14:paraId="65A0F848" w14:textId="77777777" w:rsidR="007076C8" w:rsidRPr="00CF485E" w:rsidRDefault="007076C8" w:rsidP="007076C8">
            <w:pPr>
              <w:pStyle w:val="Tabletext"/>
            </w:pPr>
            <w:r w:rsidRPr="00577F31">
              <w:t>Request</w:t>
            </w:r>
          </w:p>
          <w:p w14:paraId="6B61CA01" w14:textId="77777777" w:rsidR="007076C8" w:rsidRPr="00CF485E" w:rsidRDefault="007076C8" w:rsidP="007076C8">
            <w:pPr>
              <w:pStyle w:val="Tabletext"/>
            </w:pPr>
            <w:r w:rsidRPr="00577F31">
              <w:t>Suggestion</w:t>
            </w:r>
          </w:p>
        </w:tc>
        <w:tc>
          <w:tcPr>
            <w:tcW w:w="1642" w:type="pct"/>
          </w:tcPr>
          <w:p w14:paraId="48103EDF" w14:textId="77777777" w:rsidR="007076C8" w:rsidRDefault="00652697" w:rsidP="007076C8">
            <w:pPr>
              <w:pStyle w:val="Tabletext"/>
            </w:pPr>
            <w:r>
              <w:t>A referral is the Ministerial instruction to proceed with either a Technology Appraisal or Highly Specialised Technology for a technology</w:t>
            </w:r>
          </w:p>
          <w:p w14:paraId="2B7E772F" w14:textId="77777777" w:rsidR="00652697" w:rsidRDefault="00652697" w:rsidP="007076C8">
            <w:pPr>
              <w:pStyle w:val="Tabletext"/>
            </w:pPr>
          </w:p>
          <w:p w14:paraId="218F7F20" w14:textId="1EF5EF93" w:rsidR="00652697" w:rsidRPr="00CF485E" w:rsidRDefault="00652697" w:rsidP="007076C8">
            <w:pPr>
              <w:pStyle w:val="Tabletext"/>
            </w:pPr>
            <w:r>
              <w:t xml:space="preserve">All other means by which topics could be identified for the NICE work programmes </w:t>
            </w:r>
            <w:proofErr w:type="gramStart"/>
            <w:r>
              <w:t>are considered to be</w:t>
            </w:r>
            <w:proofErr w:type="gramEnd"/>
            <w:r>
              <w:t xml:space="preserve"> topic notifications.</w:t>
            </w:r>
          </w:p>
        </w:tc>
      </w:tr>
      <w:tr w:rsidR="007076C8" w:rsidRPr="00245256" w14:paraId="5F61C866" w14:textId="77777777" w:rsidTr="007076C8">
        <w:tc>
          <w:tcPr>
            <w:tcW w:w="1701" w:type="pct"/>
            <w:vMerge w:val="restart"/>
          </w:tcPr>
          <w:p w14:paraId="19E3955F" w14:textId="77777777" w:rsidR="007076C8" w:rsidRPr="00CF485E" w:rsidRDefault="007076C8" w:rsidP="007076C8">
            <w:pPr>
              <w:pStyle w:val="Tabletext"/>
            </w:pPr>
            <w:r w:rsidRPr="00CF485E">
              <w:t>Remit can be used to refer to the information provided to NICE by DHSC when a topic is referred, and to refer to the activities undertaken by NICE programmes</w:t>
            </w:r>
          </w:p>
        </w:tc>
        <w:tc>
          <w:tcPr>
            <w:tcW w:w="1657" w:type="pct"/>
          </w:tcPr>
          <w:p w14:paraId="4AE61EC6" w14:textId="77777777" w:rsidR="007076C8" w:rsidRPr="00CF485E" w:rsidRDefault="007076C8" w:rsidP="007076C8">
            <w:pPr>
              <w:pStyle w:val="Tabletext"/>
            </w:pPr>
            <w:r w:rsidRPr="00CF485E">
              <w:t>The remit provided by the DHSC to NICE</w:t>
            </w:r>
          </w:p>
        </w:tc>
        <w:tc>
          <w:tcPr>
            <w:tcW w:w="1642" w:type="pct"/>
            <w:vMerge w:val="restart"/>
          </w:tcPr>
          <w:p w14:paraId="658244A7" w14:textId="77777777" w:rsidR="007076C8" w:rsidRDefault="007076C8" w:rsidP="007076C8">
            <w:pPr>
              <w:pStyle w:val="Tabletext"/>
            </w:pPr>
            <w:r w:rsidRPr="00CF485E">
              <w:t>Remit should only be used to refer to the remit provided by</w:t>
            </w:r>
            <w:r>
              <w:t xml:space="preserve"> Minister (via</w:t>
            </w:r>
            <w:r w:rsidRPr="00CF485E">
              <w:t xml:space="preserve"> the D</w:t>
            </w:r>
            <w:r>
              <w:t xml:space="preserve">epartment of </w:t>
            </w:r>
            <w:r w:rsidRPr="00CF485E">
              <w:t>H</w:t>
            </w:r>
            <w:r>
              <w:t>ealth and Social Care)</w:t>
            </w:r>
            <w:r w:rsidRPr="00CF485E">
              <w:t xml:space="preserve"> to NICE</w:t>
            </w:r>
          </w:p>
          <w:p w14:paraId="33E5C228" w14:textId="77777777" w:rsidR="00652697" w:rsidRDefault="00652697" w:rsidP="007076C8">
            <w:pPr>
              <w:pStyle w:val="Tabletext"/>
            </w:pPr>
          </w:p>
          <w:p w14:paraId="793773C8" w14:textId="7C5494DA" w:rsidR="00652697" w:rsidRPr="00CF485E" w:rsidRDefault="00652697" w:rsidP="007076C8">
            <w:pPr>
              <w:pStyle w:val="Tabletext"/>
            </w:pPr>
            <w:r>
              <w:t>A topic is ineligible for a NICE programme</w:t>
            </w:r>
          </w:p>
        </w:tc>
      </w:tr>
      <w:tr w:rsidR="007076C8" w:rsidRPr="00245256" w14:paraId="53BFADA6" w14:textId="77777777" w:rsidTr="007076C8">
        <w:tc>
          <w:tcPr>
            <w:tcW w:w="1701" w:type="pct"/>
            <w:vMerge/>
          </w:tcPr>
          <w:p w14:paraId="4551DDED" w14:textId="77777777" w:rsidR="007076C8" w:rsidRPr="00CF485E" w:rsidRDefault="007076C8" w:rsidP="007076C8">
            <w:pPr>
              <w:pStyle w:val="Tabletext"/>
            </w:pPr>
          </w:p>
        </w:tc>
        <w:tc>
          <w:tcPr>
            <w:tcW w:w="1657" w:type="pct"/>
          </w:tcPr>
          <w:p w14:paraId="70BBA403" w14:textId="77777777" w:rsidR="007076C8" w:rsidRPr="00CF485E" w:rsidRDefault="007076C8" w:rsidP="007076C8">
            <w:pPr>
              <w:pStyle w:val="Tabletext"/>
            </w:pPr>
            <w:r w:rsidRPr="00CF485E">
              <w:t>Topic is out of remit for a NICE programme</w:t>
            </w:r>
          </w:p>
        </w:tc>
        <w:tc>
          <w:tcPr>
            <w:tcW w:w="1642" w:type="pct"/>
            <w:vMerge/>
          </w:tcPr>
          <w:p w14:paraId="698FFBE7" w14:textId="77777777" w:rsidR="007076C8" w:rsidRPr="00CF485E" w:rsidRDefault="007076C8" w:rsidP="007076C8">
            <w:pPr>
              <w:pStyle w:val="Tabletext"/>
            </w:pPr>
          </w:p>
        </w:tc>
      </w:tr>
      <w:tr w:rsidR="007076C8" w:rsidRPr="00245256" w14:paraId="78DC995D" w14:textId="77777777" w:rsidTr="00ED32F7">
        <w:trPr>
          <w:cantSplit/>
        </w:trPr>
        <w:tc>
          <w:tcPr>
            <w:tcW w:w="1701" w:type="pct"/>
          </w:tcPr>
          <w:p w14:paraId="7B75A63F" w14:textId="77777777" w:rsidR="007076C8" w:rsidRPr="00CF485E" w:rsidRDefault="007076C8" w:rsidP="007076C8">
            <w:pPr>
              <w:pStyle w:val="Tabletext"/>
            </w:pPr>
            <w:r w:rsidRPr="00CF485E">
              <w:lastRenderedPageBreak/>
              <w:t>Each programme has a different term for the document used to initiate consideration of a topic</w:t>
            </w:r>
          </w:p>
        </w:tc>
        <w:tc>
          <w:tcPr>
            <w:tcW w:w="1657" w:type="pct"/>
          </w:tcPr>
          <w:p w14:paraId="6B77C322" w14:textId="77777777" w:rsidR="007076C8" w:rsidRDefault="007076C8" w:rsidP="007076C8">
            <w:pPr>
              <w:pStyle w:val="Tabletext"/>
            </w:pPr>
            <w:r w:rsidRPr="00CF485E">
              <w:t>Filtration form (medicines)</w:t>
            </w:r>
          </w:p>
          <w:p w14:paraId="6C85E01E" w14:textId="77777777" w:rsidR="007076C8" w:rsidRPr="00CF485E" w:rsidRDefault="007076C8" w:rsidP="007076C8">
            <w:pPr>
              <w:pStyle w:val="Tabletext"/>
            </w:pPr>
            <w:r w:rsidRPr="00CF485E">
              <w:t>Newly notified procedure form (procedures)</w:t>
            </w:r>
          </w:p>
          <w:p w14:paraId="66F3C6F9" w14:textId="77777777" w:rsidR="007076C8" w:rsidRPr="00CF485E" w:rsidRDefault="007076C8" w:rsidP="007076C8">
            <w:pPr>
              <w:pStyle w:val="Tabletext"/>
            </w:pPr>
            <w:r w:rsidRPr="00CF485E">
              <w:t>Notification form/MIB topic selection form (devices and diagnostics)</w:t>
            </w:r>
          </w:p>
        </w:tc>
        <w:tc>
          <w:tcPr>
            <w:tcW w:w="1642" w:type="pct"/>
          </w:tcPr>
          <w:p w14:paraId="312523D6" w14:textId="77777777" w:rsidR="007076C8" w:rsidRPr="00CF485E" w:rsidRDefault="007076C8" w:rsidP="007076C8">
            <w:pPr>
              <w:pStyle w:val="Tabletext"/>
            </w:pPr>
            <w:r w:rsidRPr="00577F31">
              <w:t>Topic identification form</w:t>
            </w:r>
          </w:p>
        </w:tc>
      </w:tr>
      <w:tr w:rsidR="007076C8" w:rsidRPr="00245256" w14:paraId="59740FBB" w14:textId="77777777" w:rsidTr="007076C8">
        <w:tc>
          <w:tcPr>
            <w:tcW w:w="1701" w:type="pct"/>
          </w:tcPr>
          <w:p w14:paraId="41F46FB5" w14:textId="77777777" w:rsidR="007076C8" w:rsidRPr="00CF485E" w:rsidRDefault="007076C8" w:rsidP="007076C8">
            <w:pPr>
              <w:pStyle w:val="Tabletext"/>
            </w:pPr>
            <w:r w:rsidRPr="00CF485E">
              <w:t xml:space="preserve">Each programme has a different term for the document used to </w:t>
            </w:r>
            <w:proofErr w:type="gramStart"/>
            <w:r w:rsidRPr="00CF485E">
              <w:t>make a selection</w:t>
            </w:r>
            <w:proofErr w:type="gramEnd"/>
            <w:r w:rsidRPr="00CF485E">
              <w:t xml:space="preserve"> decision</w:t>
            </w:r>
          </w:p>
        </w:tc>
        <w:tc>
          <w:tcPr>
            <w:tcW w:w="1657" w:type="pct"/>
          </w:tcPr>
          <w:p w14:paraId="596E5462" w14:textId="77777777" w:rsidR="007076C8" w:rsidRPr="00CF485E" w:rsidRDefault="007076C8" w:rsidP="007076C8">
            <w:pPr>
              <w:pStyle w:val="Tabletext"/>
            </w:pPr>
            <w:r w:rsidRPr="00CF485E">
              <w:t>Briefing note (medicines)</w:t>
            </w:r>
          </w:p>
          <w:p w14:paraId="78A82770" w14:textId="77777777" w:rsidR="007076C8" w:rsidRPr="00CF485E" w:rsidRDefault="007076C8" w:rsidP="007076C8">
            <w:pPr>
              <w:pStyle w:val="Tabletext"/>
            </w:pPr>
            <w:proofErr w:type="spellStart"/>
            <w:r w:rsidRPr="00CF485E">
              <w:t>Medtech</w:t>
            </w:r>
            <w:proofErr w:type="spellEnd"/>
            <w:r w:rsidRPr="00CF485E">
              <w:t xml:space="preserve"> innovation briefing (devices and diagnostics)</w:t>
            </w:r>
          </w:p>
        </w:tc>
        <w:tc>
          <w:tcPr>
            <w:tcW w:w="1642" w:type="pct"/>
          </w:tcPr>
          <w:p w14:paraId="65FDECD8" w14:textId="77777777" w:rsidR="007076C8" w:rsidRPr="00CF485E" w:rsidRDefault="007076C8" w:rsidP="007076C8">
            <w:pPr>
              <w:pStyle w:val="Tabletext"/>
            </w:pPr>
            <w:r w:rsidRPr="00CF485E">
              <w:t>Briefing</w:t>
            </w:r>
          </w:p>
        </w:tc>
      </w:tr>
      <w:tr w:rsidR="007076C8" w:rsidRPr="00245256" w14:paraId="775EAC5C" w14:textId="77777777" w:rsidTr="007076C8">
        <w:tc>
          <w:tcPr>
            <w:tcW w:w="1701" w:type="pct"/>
          </w:tcPr>
          <w:p w14:paraId="548C5D09" w14:textId="77777777" w:rsidR="007076C8" w:rsidRDefault="007076C8" w:rsidP="007076C8">
            <w:pPr>
              <w:pStyle w:val="Tabletext"/>
            </w:pPr>
            <w:r w:rsidRPr="00CF485E">
              <w:t>Each programme has a different name for the group that makes the selection decision</w:t>
            </w:r>
          </w:p>
        </w:tc>
        <w:tc>
          <w:tcPr>
            <w:tcW w:w="1657" w:type="pct"/>
          </w:tcPr>
          <w:p w14:paraId="27DA15E3" w14:textId="77777777" w:rsidR="007076C8" w:rsidRPr="00CF485E" w:rsidRDefault="007076C8" w:rsidP="007076C8">
            <w:pPr>
              <w:pStyle w:val="Tabletext"/>
            </w:pPr>
            <w:r w:rsidRPr="00CF485E">
              <w:t>Decision point meetings (medicines)</w:t>
            </w:r>
          </w:p>
          <w:p w14:paraId="7486635A" w14:textId="77777777" w:rsidR="007076C8" w:rsidRPr="00CF485E" w:rsidRDefault="007076C8" w:rsidP="007076C8">
            <w:pPr>
              <w:pStyle w:val="Tabletext"/>
            </w:pPr>
            <w:r w:rsidRPr="00CF485E">
              <w:t>Newly notified procedures meetings (procedures)</w:t>
            </w:r>
          </w:p>
          <w:p w14:paraId="629E753F" w14:textId="77777777" w:rsidR="007076C8" w:rsidRDefault="007076C8" w:rsidP="007076C8">
            <w:pPr>
              <w:pStyle w:val="Tabletext"/>
            </w:pPr>
            <w:r w:rsidRPr="00CF485E">
              <w:t>Medical technologies topic oversight group (devices and diagnostics)</w:t>
            </w:r>
          </w:p>
        </w:tc>
        <w:tc>
          <w:tcPr>
            <w:tcW w:w="1642" w:type="pct"/>
          </w:tcPr>
          <w:p w14:paraId="7404CDF9" w14:textId="3372764D" w:rsidR="007076C8" w:rsidRDefault="007076C8" w:rsidP="007076C8">
            <w:pPr>
              <w:pStyle w:val="Tabletext"/>
            </w:pPr>
            <w:r w:rsidRPr="00CF485E">
              <w:t xml:space="preserve">Topic </w:t>
            </w:r>
            <w:r>
              <w:t>S</w:t>
            </w:r>
            <w:r w:rsidRPr="00CF485E">
              <w:t xml:space="preserve">election </w:t>
            </w:r>
            <w:r>
              <w:t xml:space="preserve">Oversight </w:t>
            </w:r>
            <w:r w:rsidR="0078028E">
              <w:t>Panel</w:t>
            </w:r>
          </w:p>
        </w:tc>
      </w:tr>
      <w:tr w:rsidR="007076C8" w:rsidRPr="00245256" w14:paraId="68176948" w14:textId="77777777" w:rsidTr="007076C8">
        <w:tc>
          <w:tcPr>
            <w:tcW w:w="1701" w:type="pct"/>
            <w:vMerge w:val="restart"/>
          </w:tcPr>
          <w:p w14:paraId="06073CA3" w14:textId="77777777" w:rsidR="007076C8" w:rsidRPr="00CF485E" w:rsidRDefault="007076C8" w:rsidP="007076C8">
            <w:pPr>
              <w:pStyle w:val="Tabletext"/>
            </w:pPr>
            <w:r w:rsidRPr="00CF485E">
              <w:t>Stakeholders find multiple uses for the word ‘advice confusing’. This has been identified through NICEs reputational research and through feedback from PIP.</w:t>
            </w:r>
          </w:p>
        </w:tc>
        <w:tc>
          <w:tcPr>
            <w:tcW w:w="1657" w:type="pct"/>
          </w:tcPr>
          <w:p w14:paraId="5EADEC64" w14:textId="77777777" w:rsidR="007076C8" w:rsidRPr="00CF485E" w:rsidRDefault="007076C8" w:rsidP="007076C8">
            <w:pPr>
              <w:pStyle w:val="Tabletext"/>
            </w:pPr>
            <w:r w:rsidRPr="00CF485E">
              <w:t>Advice to refer to published non-guidance outputs such as MIBs, evidence summaries, KTTs</w:t>
            </w:r>
          </w:p>
        </w:tc>
        <w:tc>
          <w:tcPr>
            <w:tcW w:w="1642" w:type="pct"/>
          </w:tcPr>
          <w:p w14:paraId="5152947D" w14:textId="77777777" w:rsidR="007076C8" w:rsidRPr="00CF485E" w:rsidRDefault="007076C8" w:rsidP="007076C8">
            <w:pPr>
              <w:pStyle w:val="Tabletext"/>
            </w:pPr>
            <w:r w:rsidRPr="00CF485E">
              <w:t>NICE briefings</w:t>
            </w:r>
          </w:p>
        </w:tc>
      </w:tr>
      <w:tr w:rsidR="007076C8" w:rsidRPr="00245256" w14:paraId="52C0F4E9" w14:textId="77777777" w:rsidTr="007076C8">
        <w:tc>
          <w:tcPr>
            <w:tcW w:w="1701" w:type="pct"/>
            <w:vMerge/>
          </w:tcPr>
          <w:p w14:paraId="652EE23F" w14:textId="77777777" w:rsidR="007076C8" w:rsidRPr="00CF485E" w:rsidRDefault="007076C8" w:rsidP="007076C8">
            <w:pPr>
              <w:pStyle w:val="Tabletext"/>
            </w:pPr>
          </w:p>
        </w:tc>
        <w:tc>
          <w:tcPr>
            <w:tcW w:w="1657" w:type="pct"/>
          </w:tcPr>
          <w:p w14:paraId="52AA64BA" w14:textId="77777777" w:rsidR="007076C8" w:rsidRPr="00CF485E" w:rsidRDefault="007076C8" w:rsidP="007076C8">
            <w:pPr>
              <w:pStyle w:val="Tabletext"/>
            </w:pPr>
            <w:r w:rsidRPr="00CF485E">
              <w:t>Advice provided to NICE by experts during the topic selection process</w:t>
            </w:r>
          </w:p>
        </w:tc>
        <w:tc>
          <w:tcPr>
            <w:tcW w:w="1642" w:type="pct"/>
          </w:tcPr>
          <w:p w14:paraId="6DE7053D" w14:textId="77777777" w:rsidR="007076C8" w:rsidRPr="00CF485E" w:rsidRDefault="007076C8" w:rsidP="007076C8">
            <w:pPr>
              <w:pStyle w:val="Tabletext"/>
            </w:pPr>
            <w:r w:rsidRPr="00577F31">
              <w:t>Expert input</w:t>
            </w:r>
          </w:p>
        </w:tc>
      </w:tr>
      <w:tr w:rsidR="007076C8" w:rsidRPr="00245256" w14:paraId="64A0AE08" w14:textId="77777777" w:rsidTr="007076C8">
        <w:tc>
          <w:tcPr>
            <w:tcW w:w="1701" w:type="pct"/>
            <w:vMerge/>
          </w:tcPr>
          <w:p w14:paraId="4F80834F" w14:textId="77777777" w:rsidR="007076C8" w:rsidRPr="00CF485E" w:rsidRDefault="007076C8" w:rsidP="007076C8">
            <w:pPr>
              <w:pStyle w:val="Tabletext"/>
            </w:pPr>
          </w:p>
        </w:tc>
        <w:tc>
          <w:tcPr>
            <w:tcW w:w="1657" w:type="pct"/>
          </w:tcPr>
          <w:p w14:paraId="103A406C" w14:textId="77777777" w:rsidR="007076C8" w:rsidRPr="00CF485E" w:rsidRDefault="007076C8" w:rsidP="007076C8">
            <w:pPr>
              <w:pStyle w:val="Tabletext"/>
            </w:pPr>
            <w:r w:rsidRPr="00577F31">
              <w:t xml:space="preserve">Advice provided by the Scientific Advice team on a </w:t>
            </w:r>
            <w:proofErr w:type="gramStart"/>
            <w:r w:rsidRPr="00577F31">
              <w:t>fee based</w:t>
            </w:r>
            <w:proofErr w:type="gramEnd"/>
            <w:r w:rsidRPr="00577F31">
              <w:t xml:space="preserve"> service</w:t>
            </w:r>
          </w:p>
        </w:tc>
        <w:tc>
          <w:tcPr>
            <w:tcW w:w="1642" w:type="pct"/>
          </w:tcPr>
          <w:p w14:paraId="25C63718" w14:textId="77777777" w:rsidR="007076C8" w:rsidRPr="00CF485E" w:rsidRDefault="007076C8" w:rsidP="007076C8">
            <w:pPr>
              <w:pStyle w:val="Tabletext"/>
            </w:pPr>
            <w:r w:rsidRPr="00577F31">
              <w:t>Advice</w:t>
            </w:r>
          </w:p>
          <w:p w14:paraId="403C4E9D" w14:textId="77777777" w:rsidR="007076C8" w:rsidRPr="00CF485E" w:rsidRDefault="007076C8" w:rsidP="007076C8">
            <w:pPr>
              <w:pStyle w:val="Tabletext"/>
            </w:pPr>
          </w:p>
        </w:tc>
      </w:tr>
    </w:tbl>
    <w:p w14:paraId="7BB2B3A6" w14:textId="3D33D1B6" w:rsidR="007076C8" w:rsidRPr="00425B57" w:rsidRDefault="008C0C1C" w:rsidP="00ED32F7">
      <w:pPr>
        <w:pStyle w:val="Heading2boardreport"/>
        <w:spacing w:before="240"/>
      </w:pPr>
      <w:r>
        <w:t xml:space="preserve">Transparency </w:t>
      </w:r>
      <w:r w:rsidR="007076C8" w:rsidRPr="00425B57">
        <w:t>of topic selection decision</w:t>
      </w:r>
      <w:r>
        <w:t xml:space="preserve"> making</w:t>
      </w:r>
    </w:p>
    <w:p w14:paraId="11A2D60E" w14:textId="77777777" w:rsidR="007076C8" w:rsidRPr="00CF485E" w:rsidRDefault="007076C8" w:rsidP="007076C8">
      <w:pPr>
        <w:pStyle w:val="Paragraph"/>
        <w:tabs>
          <w:tab w:val="clear" w:pos="567"/>
          <w:tab w:val="left" w:pos="426"/>
        </w:tabs>
        <w:ind w:left="426" w:hanging="426"/>
      </w:pPr>
      <w:r>
        <w:t>Publication of topic selection decisions via the NICE website is variable across Centre for Health Technology Evaluation programmes:</w:t>
      </w:r>
    </w:p>
    <w:p w14:paraId="2EFA8D1C" w14:textId="49312437" w:rsidR="007076C8" w:rsidRDefault="00D44796" w:rsidP="007076C8">
      <w:pPr>
        <w:pStyle w:val="Bullets"/>
      </w:pPr>
      <w:r>
        <w:t>M</w:t>
      </w:r>
      <w:r w:rsidR="007076C8">
        <w:t xml:space="preserve">edicine topics considered for </w:t>
      </w:r>
      <w:r w:rsidR="00652697">
        <w:t>Technology appraisal and Highly specialised technologies</w:t>
      </w:r>
      <w:r w:rsidR="007076C8">
        <w:t xml:space="preserve"> guidance have the selection decision published in a detailed M</w:t>
      </w:r>
      <w:r w:rsidR="00652697">
        <w:t>icrosoft</w:t>
      </w:r>
      <w:r w:rsidR="007076C8">
        <w:t xml:space="preserve"> Excel spreadsheet (which includes those that have been selected)</w:t>
      </w:r>
    </w:p>
    <w:p w14:paraId="5D044396" w14:textId="7D472D51" w:rsidR="007076C8" w:rsidRDefault="00D44796" w:rsidP="007076C8">
      <w:pPr>
        <w:pStyle w:val="Bullets"/>
      </w:pPr>
      <w:r>
        <w:t>P</w:t>
      </w:r>
      <w:r w:rsidR="007076C8">
        <w:t>rocedure topics considered for I</w:t>
      </w:r>
      <w:r w:rsidR="004A104E">
        <w:t>nterventional Procedures guidance</w:t>
      </w:r>
      <w:r w:rsidR="007076C8">
        <w:t xml:space="preserve"> are listed in an interactive table that details why the topic has not been selected (selected topics are not included)</w:t>
      </w:r>
    </w:p>
    <w:p w14:paraId="07A1B839" w14:textId="5F13E7E1" w:rsidR="007076C8" w:rsidRDefault="007076C8" w:rsidP="007076C8">
      <w:pPr>
        <w:pStyle w:val="Bullets"/>
      </w:pPr>
      <w:r>
        <w:lastRenderedPageBreak/>
        <w:t xml:space="preserve">Devices and diagnostics </w:t>
      </w:r>
      <w:r w:rsidR="009D5530">
        <w:t xml:space="preserve">and digital technologies </w:t>
      </w:r>
      <w:r>
        <w:t xml:space="preserve">considered for any type of NICE guidance are listed in a </w:t>
      </w:r>
      <w:r w:rsidR="004A104E">
        <w:t>Microsoft</w:t>
      </w:r>
      <w:r>
        <w:t xml:space="preserve"> Word document. The document lists the topics that have been considered, but </w:t>
      </w:r>
      <w:proofErr w:type="gramStart"/>
      <w:r>
        <w:t>doesn’t</w:t>
      </w:r>
      <w:proofErr w:type="gramEnd"/>
      <w:r>
        <w:t xml:space="preserve"> state the selection decision</w:t>
      </w:r>
    </w:p>
    <w:p w14:paraId="2D746C7E" w14:textId="4B1A6DE2" w:rsidR="008C0C1C" w:rsidRDefault="007076C8" w:rsidP="003F0BD5">
      <w:pPr>
        <w:pStyle w:val="Paragraph"/>
        <w:tabs>
          <w:tab w:val="clear" w:pos="567"/>
          <w:tab w:val="left" w:pos="426"/>
        </w:tabs>
        <w:ind w:left="426" w:hanging="426"/>
      </w:pPr>
      <w:r>
        <w:t>Having topic selection information published separately, and in different places makes it difficult</w:t>
      </w:r>
      <w:r w:rsidR="00AE6D36">
        <w:t xml:space="preserve"> for stakeholders and the public</w:t>
      </w:r>
      <w:r>
        <w:t xml:space="preserve"> to find out information about the processes</w:t>
      </w:r>
      <w:r w:rsidR="00987725">
        <w:t xml:space="preserve"> and subsequent decisions</w:t>
      </w:r>
      <w:r>
        <w:t>. It is recognised that we need to improve clarity and transparency for stakeholders on the reasons for selection and routing decisions.</w:t>
      </w:r>
      <w:r w:rsidR="00AE6D36">
        <w:t xml:space="preserve"> </w:t>
      </w:r>
    </w:p>
    <w:p w14:paraId="43FBF8CE" w14:textId="4597204B" w:rsidR="007076C8" w:rsidRDefault="007076C8" w:rsidP="003F0BD5">
      <w:pPr>
        <w:pStyle w:val="Paragraph"/>
        <w:tabs>
          <w:tab w:val="clear" w:pos="567"/>
          <w:tab w:val="left" w:pos="426"/>
        </w:tabs>
        <w:ind w:left="426" w:hanging="426"/>
      </w:pPr>
      <w:r>
        <w:t xml:space="preserve">Steps will be taken to standardise presentation of information and provide it more clearly on the NICE website. </w:t>
      </w:r>
      <w:r w:rsidR="008C0C1C">
        <w:t>Standard</w:t>
      </w:r>
      <w:r w:rsidR="00CE7191">
        <w:t>ised</w:t>
      </w:r>
      <w:r w:rsidR="008C0C1C">
        <w:t xml:space="preserve"> information </w:t>
      </w:r>
      <w:r w:rsidR="00CE7191">
        <w:t xml:space="preserve">to be </w:t>
      </w:r>
      <w:r w:rsidR="008C0C1C">
        <w:t>provided will include:</w:t>
      </w:r>
    </w:p>
    <w:p w14:paraId="429D0E74" w14:textId="2EF7F13A" w:rsidR="008C0C1C" w:rsidRDefault="008C0C1C" w:rsidP="008C0C1C">
      <w:pPr>
        <w:pStyle w:val="Bullets"/>
      </w:pPr>
      <w:r>
        <w:t>Topic Identification number</w:t>
      </w:r>
    </w:p>
    <w:p w14:paraId="78EE1728" w14:textId="2EA1340E" w:rsidR="008C0C1C" w:rsidRDefault="008C0C1C" w:rsidP="008C0C1C">
      <w:pPr>
        <w:pStyle w:val="Bullets"/>
      </w:pPr>
      <w:r>
        <w:t>Technology name</w:t>
      </w:r>
    </w:p>
    <w:p w14:paraId="7956D234" w14:textId="7FC78E85" w:rsidR="008C0C1C" w:rsidRDefault="008C0C1C" w:rsidP="008C0C1C">
      <w:pPr>
        <w:pStyle w:val="Bullets"/>
      </w:pPr>
      <w:r>
        <w:t>Indication</w:t>
      </w:r>
    </w:p>
    <w:p w14:paraId="25B37636" w14:textId="5C0FBC5C" w:rsidR="008C0C1C" w:rsidRDefault="008C0C1C" w:rsidP="008C0C1C">
      <w:pPr>
        <w:pStyle w:val="Bullets"/>
      </w:pPr>
      <w:r>
        <w:t>Type of Technology</w:t>
      </w:r>
    </w:p>
    <w:p w14:paraId="62B9F866" w14:textId="78D29380" w:rsidR="008C0C1C" w:rsidRDefault="008C0C1C" w:rsidP="008C0C1C">
      <w:pPr>
        <w:pStyle w:val="Bullets"/>
      </w:pPr>
      <w:r>
        <w:t>Decision</w:t>
      </w:r>
    </w:p>
    <w:p w14:paraId="4171946E" w14:textId="4CEA875D" w:rsidR="008C0C1C" w:rsidRDefault="008C0C1C" w:rsidP="008C0C1C">
      <w:pPr>
        <w:pStyle w:val="Bullets"/>
      </w:pPr>
      <w:r>
        <w:t>Reason for the decision</w:t>
      </w:r>
    </w:p>
    <w:p w14:paraId="5C57E3AF" w14:textId="7B6A65F5" w:rsidR="008C0C1C" w:rsidRDefault="008C0C1C" w:rsidP="008C0C1C">
      <w:pPr>
        <w:pStyle w:val="Bullets"/>
      </w:pPr>
      <w:r>
        <w:t>Date of the decision</w:t>
      </w:r>
    </w:p>
    <w:p w14:paraId="3BD67312" w14:textId="7FFC289C" w:rsidR="00AE1359" w:rsidRPr="00CF485E" w:rsidRDefault="00AE1359" w:rsidP="00AE1359">
      <w:pPr>
        <w:pStyle w:val="Paragraph"/>
        <w:ind w:left="426" w:hanging="426"/>
      </w:pPr>
      <w:r>
        <w:t xml:space="preserve">Information received as part of the Topic Selection process that is regarded as commercial or academic in confidence (e.g. anticipated </w:t>
      </w:r>
      <w:r w:rsidR="00987725">
        <w:t xml:space="preserve">regulatory approval </w:t>
      </w:r>
      <w:r>
        <w:t xml:space="preserve">dates) will not be published. </w:t>
      </w:r>
    </w:p>
    <w:p w14:paraId="3484DF23" w14:textId="77777777" w:rsidR="007076C8" w:rsidRDefault="007076C8" w:rsidP="007076C8">
      <w:pPr>
        <w:pStyle w:val="Heading1boardreport"/>
      </w:pPr>
      <w:r>
        <w:t>Out of scope</w:t>
      </w:r>
    </w:p>
    <w:p w14:paraId="6871158F" w14:textId="4A22E445" w:rsidR="007076C8" w:rsidRPr="0047358A" w:rsidRDefault="007076C8" w:rsidP="007076C8">
      <w:pPr>
        <w:pStyle w:val="Paragraph"/>
        <w:tabs>
          <w:tab w:val="clear" w:pos="567"/>
          <w:tab w:val="left" w:pos="426"/>
        </w:tabs>
        <w:ind w:left="426" w:hanging="426"/>
      </w:pPr>
      <w:r>
        <w:t>NICE is also reviewing the criteria used to decide whether a new technology should be routed to H</w:t>
      </w:r>
      <w:r w:rsidR="006049A5">
        <w:t xml:space="preserve">ighly </w:t>
      </w:r>
      <w:r>
        <w:t>S</w:t>
      </w:r>
      <w:r w:rsidR="006049A5">
        <w:t xml:space="preserve">pecialised </w:t>
      </w:r>
      <w:r>
        <w:t>T</w:t>
      </w:r>
      <w:r w:rsidR="006049A5">
        <w:t>echnologies</w:t>
      </w:r>
      <w:r>
        <w:t xml:space="preserve"> </w:t>
      </w:r>
      <w:r w:rsidR="007C49F2">
        <w:t>programme</w:t>
      </w:r>
      <w:r>
        <w:t xml:space="preserve">. The purpose of reviewing the criteria is to make them clearer and more specific, and the outcome easier to understand and more predictable for our stakeholders. This paper does not include proposals on the updated </w:t>
      </w:r>
      <w:r w:rsidR="006049A5">
        <w:t>Highly Specialised Technologies</w:t>
      </w:r>
      <w:r>
        <w:t xml:space="preserve"> criteria and therefore the criteria </w:t>
      </w:r>
      <w:r w:rsidR="0078028E">
        <w:t xml:space="preserve">are </w:t>
      </w:r>
      <w:r>
        <w:t xml:space="preserve">not subject to consultation at this point. The </w:t>
      </w:r>
      <w:r w:rsidR="006049A5">
        <w:t>Highly Specialised Technologies</w:t>
      </w:r>
      <w:r>
        <w:t xml:space="preserve"> routing criteria are still under review and will be consulted upon in due course. </w:t>
      </w:r>
    </w:p>
    <w:p w14:paraId="5554F29A" w14:textId="622CDEBE" w:rsidR="007076C8" w:rsidRPr="0047358A" w:rsidRDefault="007076C8" w:rsidP="007076C8">
      <w:pPr>
        <w:pStyle w:val="Paragraph"/>
        <w:tabs>
          <w:tab w:val="clear" w:pos="567"/>
          <w:tab w:val="left" w:pos="426"/>
        </w:tabs>
        <w:ind w:left="426" w:hanging="426"/>
      </w:pPr>
      <w:bookmarkStart w:id="7" w:name="_Hlk33813285"/>
      <w:r>
        <w:t>In the case of T</w:t>
      </w:r>
      <w:r w:rsidR="006049A5">
        <w:t xml:space="preserve">echnology </w:t>
      </w:r>
      <w:r>
        <w:t>A</w:t>
      </w:r>
      <w:r w:rsidR="006049A5">
        <w:t>ppraisals</w:t>
      </w:r>
      <w:r>
        <w:t xml:space="preserve"> and </w:t>
      </w:r>
      <w:r w:rsidR="006049A5">
        <w:t>Highly Specialised Technologies</w:t>
      </w:r>
      <w:r>
        <w:t xml:space="preserve"> a formal Ministerial referral will still be required (as specified in The National Institute for Health and Care Excellence (Constitution and Functions) and the Health and Social Care Information Centre (Functions) Regulations 2013). The Ministerial referral does not define the </w:t>
      </w:r>
      <w:r w:rsidR="006049A5">
        <w:t xml:space="preserve">type of </w:t>
      </w:r>
      <w:r w:rsidR="009D5530">
        <w:t>guidance that will be developed</w:t>
      </w:r>
      <w:r>
        <w:t>.</w:t>
      </w:r>
    </w:p>
    <w:bookmarkEnd w:id="7"/>
    <w:p w14:paraId="36EBEE1D" w14:textId="77777777" w:rsidR="007076C8" w:rsidRPr="0047358A" w:rsidRDefault="007076C8" w:rsidP="007076C8">
      <w:pPr>
        <w:pStyle w:val="Paragraph"/>
        <w:tabs>
          <w:tab w:val="clear" w:pos="567"/>
          <w:tab w:val="left" w:pos="426"/>
        </w:tabs>
        <w:ind w:left="426" w:hanging="426"/>
      </w:pPr>
      <w:r>
        <w:lastRenderedPageBreak/>
        <w:t>The changes to topic selection for health technology evaluation will not impact on the overall process followed and time taken to develop and publish guidance on a topic.</w:t>
      </w:r>
    </w:p>
    <w:p w14:paraId="22A50F7F" w14:textId="77777777" w:rsidR="007076C8" w:rsidRPr="00DB6F82" w:rsidRDefault="007076C8" w:rsidP="007076C8">
      <w:pPr>
        <w:pStyle w:val="Paragraphnonumbers"/>
      </w:pPr>
      <w:r w:rsidRPr="00DB6F82">
        <w:t xml:space="preserve">© NICE </w:t>
      </w:r>
      <w:r>
        <w:t>2020</w:t>
      </w:r>
      <w:r w:rsidRPr="00DB6F82">
        <w:t xml:space="preserve">. All rights reserved. </w:t>
      </w:r>
      <w:hyperlink r:id="rId26" w:anchor="notice-of-rights" w:history="1">
        <w:r w:rsidRPr="00DB6F82">
          <w:rPr>
            <w:rStyle w:val="Hyperlink"/>
          </w:rPr>
          <w:t>Subject to Notice of rights</w:t>
        </w:r>
      </w:hyperlink>
      <w:r w:rsidRPr="00DB6F82">
        <w:t>.</w:t>
      </w:r>
    </w:p>
    <w:p w14:paraId="3150331C" w14:textId="379C067B" w:rsidR="007076C8" w:rsidRDefault="007C49F2" w:rsidP="007076C8">
      <w:pPr>
        <w:pStyle w:val="Paragraphnonumbers"/>
      </w:pPr>
      <w:r>
        <w:t xml:space="preserve">September </w:t>
      </w:r>
      <w:r w:rsidR="007076C8">
        <w:t>2020</w:t>
      </w:r>
    </w:p>
    <w:p w14:paraId="12AC335B" w14:textId="733AE972" w:rsidR="00103968" w:rsidRDefault="00103968">
      <w:pPr>
        <w:rPr>
          <w:rFonts w:ascii="Arial" w:hAnsi="Arial"/>
        </w:rPr>
      </w:pPr>
      <w:r>
        <w:br w:type="page"/>
      </w:r>
    </w:p>
    <w:p w14:paraId="645482D5" w14:textId="77777777" w:rsidR="00E160F7" w:rsidRDefault="00E160F7" w:rsidP="007076C8">
      <w:pPr>
        <w:pStyle w:val="Paragraphnonumbers"/>
        <w:sectPr w:rsidR="00E160F7" w:rsidSect="007065A3">
          <w:footerReference w:type="default" r:id="rId27"/>
          <w:pgSz w:w="11906" w:h="16838"/>
          <w:pgMar w:top="1440" w:right="1440" w:bottom="1440" w:left="1440" w:header="709" w:footer="709" w:gutter="0"/>
          <w:cols w:space="708"/>
          <w:docGrid w:linePitch="360"/>
        </w:sectPr>
      </w:pPr>
    </w:p>
    <w:p w14:paraId="0A58F64D" w14:textId="50E3EB72" w:rsidR="00652697" w:rsidRDefault="00103968" w:rsidP="007076C8">
      <w:pPr>
        <w:pStyle w:val="Paragraphnonumbers"/>
        <w:sectPr w:rsidR="00652697" w:rsidSect="00E160F7">
          <w:pgSz w:w="16838" w:h="11906" w:orient="landscape"/>
          <w:pgMar w:top="1440" w:right="1440" w:bottom="1440" w:left="1440" w:header="709" w:footer="709" w:gutter="0"/>
          <w:cols w:space="708"/>
          <w:docGrid w:linePitch="360"/>
        </w:sectPr>
      </w:pPr>
      <w:r>
        <w:lastRenderedPageBreak/>
        <w:t>Appendix 1</w:t>
      </w:r>
    </w:p>
    <w:p w14:paraId="6A641764" w14:textId="77777777" w:rsidR="007C49F2" w:rsidRDefault="00652697" w:rsidP="007076C8">
      <w:pPr>
        <w:pStyle w:val="Paragraphnonumbers"/>
      </w:pPr>
      <w:r>
        <w:lastRenderedPageBreak/>
        <w:t>A</w:t>
      </w:r>
      <w:r w:rsidR="00103968">
        <w:t>ppendix 2</w:t>
      </w:r>
    </w:p>
    <w:p w14:paraId="0D4C768C" w14:textId="77B1673C" w:rsidR="00103968" w:rsidRPr="007065A3" w:rsidRDefault="00652697" w:rsidP="007076C8">
      <w:pPr>
        <w:pStyle w:val="Paragraphnonumbers"/>
        <w:rPr>
          <w:rFonts w:cs="Arial"/>
          <w:b/>
          <w:bCs/>
          <w:kern w:val="28"/>
          <w:lang w:val="en-US"/>
        </w:rPr>
      </w:pPr>
      <w:r w:rsidRPr="007065A3">
        <w:rPr>
          <w:rFonts w:cs="Arial"/>
          <w:b/>
          <w:bCs/>
          <w:kern w:val="28"/>
          <w:lang w:val="en-US"/>
        </w:rPr>
        <w:t>Topic Selection Oversight Panel Terms of Reference</w:t>
      </w:r>
    </w:p>
    <w:p w14:paraId="1C6AC4AF" w14:textId="77777777" w:rsidR="00FD5A1C" w:rsidRPr="007065A3" w:rsidRDefault="00FD5A1C" w:rsidP="00FD5A1C">
      <w:pPr>
        <w:pStyle w:val="Paragraphnonumbers"/>
        <w:rPr>
          <w:rFonts w:cs="Arial"/>
          <w:kern w:val="28"/>
          <w:lang w:val="en-US"/>
        </w:rPr>
      </w:pPr>
      <w:bookmarkStart w:id="8" w:name="_Hlk34159463"/>
      <w:r w:rsidRPr="007065A3">
        <w:rPr>
          <w:rFonts w:cs="Arial"/>
          <w:kern w:val="28"/>
          <w:lang w:val="en-US"/>
        </w:rPr>
        <w:t>Remit of the panel</w:t>
      </w:r>
    </w:p>
    <w:p w14:paraId="1089CBDD" w14:textId="2EC4D71E" w:rsidR="003E4CAD" w:rsidRDefault="00FD5A1C" w:rsidP="00FD5A1C">
      <w:pPr>
        <w:pStyle w:val="Paragraph"/>
        <w:numPr>
          <w:ilvl w:val="0"/>
          <w:numId w:val="19"/>
        </w:numPr>
        <w:tabs>
          <w:tab w:val="clear" w:pos="567"/>
          <w:tab w:val="left" w:pos="709"/>
        </w:tabs>
        <w:ind w:left="709" w:hanging="425"/>
        <w:rPr>
          <w:lang w:val="en-US"/>
        </w:rPr>
      </w:pPr>
      <w:r w:rsidRPr="00FD5A1C">
        <w:rPr>
          <w:lang w:val="en-US"/>
        </w:rPr>
        <w:t xml:space="preserve">The </w:t>
      </w:r>
      <w:r w:rsidR="0016343B">
        <w:rPr>
          <w:lang w:val="en-US"/>
        </w:rPr>
        <w:t>Topic Selection Oversight P</w:t>
      </w:r>
      <w:r w:rsidRPr="00FD5A1C">
        <w:rPr>
          <w:lang w:val="en-US"/>
        </w:rPr>
        <w:t>anel</w:t>
      </w:r>
      <w:r w:rsidR="0016343B">
        <w:rPr>
          <w:lang w:val="en-US"/>
        </w:rPr>
        <w:t xml:space="preserve"> </w:t>
      </w:r>
      <w:r w:rsidR="003E4CAD">
        <w:rPr>
          <w:lang w:val="en-US"/>
        </w:rPr>
        <w:t xml:space="preserve">is responsible for selection of topics for guidance development in the Centre for Health Technology Evaluation (CHTE), including the routing to specific </w:t>
      </w:r>
      <w:proofErr w:type="spellStart"/>
      <w:r w:rsidR="003E4CAD">
        <w:rPr>
          <w:lang w:val="en-US"/>
        </w:rPr>
        <w:t>programmes</w:t>
      </w:r>
      <w:proofErr w:type="spellEnd"/>
      <w:r w:rsidR="003E4CAD">
        <w:rPr>
          <w:lang w:val="en-US"/>
        </w:rPr>
        <w:t xml:space="preserve"> of work.</w:t>
      </w:r>
    </w:p>
    <w:p w14:paraId="4560198A" w14:textId="6FFD666D" w:rsidR="00F46773" w:rsidRDefault="00F46773" w:rsidP="00FD5A1C">
      <w:pPr>
        <w:pStyle w:val="Paragraph"/>
        <w:numPr>
          <w:ilvl w:val="0"/>
          <w:numId w:val="19"/>
        </w:numPr>
        <w:tabs>
          <w:tab w:val="clear" w:pos="567"/>
          <w:tab w:val="left" w:pos="709"/>
        </w:tabs>
        <w:ind w:left="709" w:hanging="425"/>
        <w:rPr>
          <w:lang w:val="en-US"/>
        </w:rPr>
      </w:pPr>
      <w:r>
        <w:rPr>
          <w:lang w:val="en-US"/>
        </w:rPr>
        <w:t xml:space="preserve">Topics selected for the technology appraisal and highly specialized technologies </w:t>
      </w:r>
      <w:proofErr w:type="spellStart"/>
      <w:r>
        <w:rPr>
          <w:lang w:val="en-US"/>
        </w:rPr>
        <w:t>programmes</w:t>
      </w:r>
      <w:proofErr w:type="spellEnd"/>
      <w:r>
        <w:rPr>
          <w:lang w:val="en-US"/>
        </w:rPr>
        <w:t xml:space="preserve"> will be subject to further ministerial referral before inclusion in NICE’s work </w:t>
      </w:r>
      <w:proofErr w:type="spellStart"/>
      <w:r>
        <w:rPr>
          <w:lang w:val="en-US"/>
        </w:rPr>
        <w:t>programme</w:t>
      </w:r>
      <w:proofErr w:type="spellEnd"/>
      <w:r>
        <w:rPr>
          <w:lang w:val="en-US"/>
        </w:rPr>
        <w:t>.</w:t>
      </w:r>
    </w:p>
    <w:p w14:paraId="470827B8" w14:textId="1B0BCEC6" w:rsidR="00FD5A1C" w:rsidRPr="00FD5A1C" w:rsidRDefault="00FD5A1C" w:rsidP="00FD5A1C">
      <w:pPr>
        <w:pStyle w:val="Paragraph"/>
        <w:numPr>
          <w:ilvl w:val="0"/>
          <w:numId w:val="19"/>
        </w:numPr>
        <w:tabs>
          <w:tab w:val="clear" w:pos="567"/>
          <w:tab w:val="left" w:pos="709"/>
        </w:tabs>
        <w:ind w:left="709" w:hanging="425"/>
        <w:rPr>
          <w:lang w:val="en-US"/>
        </w:rPr>
      </w:pPr>
      <w:r w:rsidRPr="00FD5A1C">
        <w:rPr>
          <w:lang w:val="en-US"/>
        </w:rPr>
        <w:t xml:space="preserve">The </w:t>
      </w:r>
      <w:r w:rsidR="003E4CAD">
        <w:rPr>
          <w:lang w:val="en-US"/>
        </w:rPr>
        <w:t>P</w:t>
      </w:r>
      <w:r w:rsidRPr="00FD5A1C">
        <w:rPr>
          <w:lang w:val="en-US"/>
        </w:rPr>
        <w:t>anel:</w:t>
      </w:r>
    </w:p>
    <w:p w14:paraId="1EE895E3" w14:textId="1BFA8BD5" w:rsidR="00FD5A1C" w:rsidRDefault="00FD5A1C" w:rsidP="00FD5A1C">
      <w:pPr>
        <w:pStyle w:val="Paragraph"/>
        <w:numPr>
          <w:ilvl w:val="1"/>
          <w:numId w:val="6"/>
        </w:numPr>
        <w:rPr>
          <w:lang w:val="en-US"/>
        </w:rPr>
      </w:pPr>
      <w:r w:rsidRPr="00635E3B">
        <w:t>Review</w:t>
      </w:r>
      <w:r w:rsidR="003E4CAD">
        <w:t>s</w:t>
      </w:r>
      <w:r w:rsidRPr="00635E3B">
        <w:t xml:space="preserve"> topic briefings and decide</w:t>
      </w:r>
      <w:r w:rsidR="003E4CAD">
        <w:t>s</w:t>
      </w:r>
      <w:r w:rsidRPr="00635E3B">
        <w:t xml:space="preserve"> whether to select topics for guidance development, and route</w:t>
      </w:r>
      <w:r w:rsidR="003E4CAD">
        <w:t>s</w:t>
      </w:r>
      <w:r w:rsidRPr="00635E3B">
        <w:t xml:space="preserve"> to the appropriate guidance </w:t>
      </w:r>
      <w:r w:rsidR="003E4CAD">
        <w:t xml:space="preserve">producing </w:t>
      </w:r>
      <w:r w:rsidRPr="00635E3B">
        <w:t>programme</w:t>
      </w:r>
      <w:r>
        <w:t>s</w:t>
      </w:r>
      <w:r>
        <w:rPr>
          <w:lang w:val="en-US"/>
        </w:rPr>
        <w:t>:</w:t>
      </w:r>
    </w:p>
    <w:p w14:paraId="5BCAE959" w14:textId="77777777" w:rsidR="00FD5A1C" w:rsidRDefault="00FD5A1C" w:rsidP="00FD5A1C">
      <w:pPr>
        <w:pStyle w:val="Paragraph"/>
        <w:numPr>
          <w:ilvl w:val="2"/>
          <w:numId w:val="6"/>
        </w:numPr>
        <w:rPr>
          <w:lang w:val="en-US"/>
        </w:rPr>
      </w:pPr>
      <w:r>
        <w:rPr>
          <w:lang w:val="en-US"/>
        </w:rPr>
        <w:t xml:space="preserve">Diagnostics Assessment </w:t>
      </w:r>
      <w:proofErr w:type="spellStart"/>
      <w:r>
        <w:rPr>
          <w:lang w:val="en-US"/>
        </w:rPr>
        <w:t>Programme</w:t>
      </w:r>
      <w:proofErr w:type="spellEnd"/>
    </w:p>
    <w:p w14:paraId="1266EAE7" w14:textId="77777777" w:rsidR="00FD5A1C" w:rsidRDefault="00FD5A1C" w:rsidP="00FD5A1C">
      <w:pPr>
        <w:pStyle w:val="Paragraph"/>
        <w:numPr>
          <w:ilvl w:val="2"/>
          <w:numId w:val="6"/>
        </w:numPr>
        <w:rPr>
          <w:lang w:val="en-US"/>
        </w:rPr>
      </w:pPr>
      <w:r>
        <w:rPr>
          <w:lang w:val="en-US"/>
        </w:rPr>
        <w:t xml:space="preserve">Highly </w:t>
      </w:r>
      <w:proofErr w:type="spellStart"/>
      <w:r>
        <w:rPr>
          <w:lang w:val="en-US"/>
        </w:rPr>
        <w:t>Specialised</w:t>
      </w:r>
      <w:proofErr w:type="spellEnd"/>
      <w:r>
        <w:rPr>
          <w:lang w:val="en-US"/>
        </w:rPr>
        <w:t xml:space="preserve"> Technologies </w:t>
      </w:r>
      <w:proofErr w:type="spellStart"/>
      <w:r>
        <w:rPr>
          <w:lang w:val="en-US"/>
        </w:rPr>
        <w:t>Programme</w:t>
      </w:r>
      <w:proofErr w:type="spellEnd"/>
    </w:p>
    <w:p w14:paraId="114E6528" w14:textId="77777777" w:rsidR="00FD5A1C" w:rsidRDefault="00FD5A1C" w:rsidP="00FD5A1C">
      <w:pPr>
        <w:pStyle w:val="Paragraph"/>
        <w:numPr>
          <w:ilvl w:val="2"/>
          <w:numId w:val="6"/>
        </w:numPr>
        <w:rPr>
          <w:lang w:val="en-US"/>
        </w:rPr>
      </w:pPr>
      <w:r>
        <w:rPr>
          <w:lang w:val="en-US"/>
        </w:rPr>
        <w:t xml:space="preserve">Medical Technologies Evaluation </w:t>
      </w:r>
      <w:proofErr w:type="spellStart"/>
      <w:r>
        <w:rPr>
          <w:lang w:val="en-US"/>
        </w:rPr>
        <w:t>Programme</w:t>
      </w:r>
      <w:proofErr w:type="spellEnd"/>
    </w:p>
    <w:p w14:paraId="078B5CB7" w14:textId="77777777" w:rsidR="00FD5A1C" w:rsidRPr="00635E3B" w:rsidRDefault="00FD5A1C" w:rsidP="00FD5A1C">
      <w:pPr>
        <w:pStyle w:val="Paragraph"/>
        <w:numPr>
          <w:ilvl w:val="2"/>
          <w:numId w:val="6"/>
        </w:numPr>
        <w:rPr>
          <w:lang w:val="en-US"/>
        </w:rPr>
      </w:pPr>
      <w:r>
        <w:rPr>
          <w:lang w:val="en-US"/>
        </w:rPr>
        <w:t xml:space="preserve">Technology Appraisals </w:t>
      </w:r>
      <w:proofErr w:type="spellStart"/>
      <w:r>
        <w:rPr>
          <w:lang w:val="en-US"/>
        </w:rPr>
        <w:t>Programme</w:t>
      </w:r>
      <w:proofErr w:type="spellEnd"/>
    </w:p>
    <w:p w14:paraId="0870A044" w14:textId="096875F3" w:rsidR="00FD5A1C" w:rsidRPr="000B6842" w:rsidRDefault="00FD5A1C" w:rsidP="00FD5A1C">
      <w:pPr>
        <w:pStyle w:val="Paragraph"/>
        <w:numPr>
          <w:ilvl w:val="1"/>
          <w:numId w:val="6"/>
        </w:numPr>
        <w:rPr>
          <w:lang w:val="en-US"/>
        </w:rPr>
      </w:pPr>
      <w:r w:rsidRPr="00635E3B">
        <w:t>Review</w:t>
      </w:r>
      <w:r w:rsidR="003E4CAD">
        <w:t>s</w:t>
      </w:r>
      <w:r w:rsidRPr="00635E3B">
        <w:t xml:space="preserve"> topic briefings and decide</w:t>
      </w:r>
      <w:r w:rsidR="003E4CAD">
        <w:t>s</w:t>
      </w:r>
      <w:r w:rsidRPr="00635E3B">
        <w:t xml:space="preserve"> whether to select topics for development as a </w:t>
      </w:r>
      <w:proofErr w:type="spellStart"/>
      <w:r w:rsidRPr="00635E3B">
        <w:t>Medtech</w:t>
      </w:r>
      <w:proofErr w:type="spellEnd"/>
      <w:r w:rsidRPr="00635E3B">
        <w:t xml:space="preserve"> Innovation Briefings</w:t>
      </w:r>
    </w:p>
    <w:p w14:paraId="63C104A0" w14:textId="2A9F07A6" w:rsidR="00FD5A1C" w:rsidRDefault="00FD5A1C" w:rsidP="00FD5A1C">
      <w:pPr>
        <w:pStyle w:val="Paragraph"/>
        <w:numPr>
          <w:ilvl w:val="1"/>
          <w:numId w:val="6"/>
        </w:numPr>
        <w:rPr>
          <w:lang w:val="en-US"/>
        </w:rPr>
      </w:pPr>
      <w:r w:rsidRPr="00635E3B">
        <w:t>Ratif</w:t>
      </w:r>
      <w:r w:rsidR="003E4CAD">
        <w:t>ies</w:t>
      </w:r>
      <w:r w:rsidRPr="00635E3B">
        <w:t xml:space="preserve"> non-selection decisions made by the Newly Notified Procedures group</w:t>
      </w:r>
      <w:r w:rsidR="00F46773">
        <w:t xml:space="preserve"> of the Interventional Procedures programme</w:t>
      </w:r>
    </w:p>
    <w:p w14:paraId="426F4656" w14:textId="18ACF5FF" w:rsidR="00FD5A1C" w:rsidRPr="00D44796" w:rsidRDefault="00FD5A1C" w:rsidP="00D44796">
      <w:pPr>
        <w:pStyle w:val="Paragraph"/>
        <w:numPr>
          <w:ilvl w:val="1"/>
          <w:numId w:val="6"/>
        </w:numPr>
        <w:rPr>
          <w:b/>
        </w:rPr>
      </w:pPr>
      <w:r w:rsidRPr="00CE4475">
        <w:t xml:space="preserve">Escalate the stakeholder challenge to the NICE Senior Management Team which will act under delegated powers of the Board in </w:t>
      </w:r>
      <w:r w:rsidR="00F46773">
        <w:t xml:space="preserve">ratifying </w:t>
      </w:r>
      <w:r w:rsidRPr="00CE4475">
        <w:t>the decision.</w:t>
      </w:r>
    </w:p>
    <w:p w14:paraId="41EA21CA" w14:textId="77777777" w:rsidR="00FD5A1C" w:rsidRPr="00635E3B" w:rsidRDefault="00FD5A1C" w:rsidP="00FD5A1C">
      <w:pPr>
        <w:pStyle w:val="Paragraphnonumbers"/>
        <w:rPr>
          <w:rFonts w:cs="Arial"/>
          <w:b/>
          <w:bCs/>
        </w:rPr>
      </w:pPr>
      <w:r w:rsidRPr="00635E3B">
        <w:rPr>
          <w:rFonts w:cs="Arial"/>
          <w:b/>
          <w:bCs/>
        </w:rPr>
        <w:t>Membership</w:t>
      </w:r>
    </w:p>
    <w:p w14:paraId="4E1F2656" w14:textId="77777777" w:rsidR="00FD5A1C" w:rsidRPr="007065A3" w:rsidRDefault="00FD5A1C" w:rsidP="00FD5A1C">
      <w:pPr>
        <w:pStyle w:val="Paragraphnonumbers"/>
        <w:rPr>
          <w:rFonts w:cs="Arial"/>
        </w:rPr>
      </w:pPr>
      <w:r w:rsidRPr="007065A3">
        <w:rPr>
          <w:rFonts w:cs="Arial"/>
        </w:rPr>
        <w:t>Decision-making members:</w:t>
      </w:r>
    </w:p>
    <w:p w14:paraId="1E1B7382" w14:textId="62ACF11A" w:rsidR="003E4CAD" w:rsidRPr="00470F91" w:rsidRDefault="003E4CAD" w:rsidP="00FD5A1C">
      <w:pPr>
        <w:pStyle w:val="Paragraph"/>
        <w:tabs>
          <w:tab w:val="clear" w:pos="567"/>
          <w:tab w:val="left" w:pos="709"/>
        </w:tabs>
        <w:ind w:left="720"/>
      </w:pPr>
      <w:r>
        <w:t>The following are designated as decision-making members</w:t>
      </w:r>
    </w:p>
    <w:p w14:paraId="76C0A1DD" w14:textId="6B2F78B5" w:rsidR="00FD5A1C" w:rsidRPr="00793402" w:rsidRDefault="00FD5A1C" w:rsidP="00B72987">
      <w:pPr>
        <w:pStyle w:val="Bullets"/>
      </w:pPr>
      <w:r w:rsidRPr="00635E3B">
        <w:t xml:space="preserve">Director of </w:t>
      </w:r>
      <w:r w:rsidR="003E4CAD">
        <w:t>CHTE</w:t>
      </w:r>
      <w:r w:rsidRPr="00635E3B">
        <w:t xml:space="preserve"> </w:t>
      </w:r>
      <w:r w:rsidRPr="00B72987">
        <w:rPr>
          <w:b/>
          <w:bCs/>
        </w:rPr>
        <w:t>(Chair)</w:t>
      </w:r>
    </w:p>
    <w:p w14:paraId="570E9C16" w14:textId="72DD67BF" w:rsidR="00FD5A1C" w:rsidRDefault="00FD5A1C" w:rsidP="00FD5A1C">
      <w:pPr>
        <w:pStyle w:val="Bullets"/>
      </w:pPr>
      <w:r w:rsidRPr="00635E3B">
        <w:t xml:space="preserve">Director of the Centre for </w:t>
      </w:r>
      <w:r>
        <w:t>Clinical Guidelines</w:t>
      </w:r>
    </w:p>
    <w:p w14:paraId="5E911A03" w14:textId="18BF3052" w:rsidR="00FD5A1C" w:rsidRPr="00635E3B" w:rsidRDefault="00FD5A1C" w:rsidP="00FD5A1C">
      <w:pPr>
        <w:pStyle w:val="Bullets"/>
      </w:pPr>
      <w:r w:rsidRPr="00635E3B">
        <w:t xml:space="preserve">Programme </w:t>
      </w:r>
      <w:r w:rsidR="00734337">
        <w:t>d</w:t>
      </w:r>
      <w:r w:rsidRPr="00635E3B">
        <w:t>irector</w:t>
      </w:r>
      <w:r w:rsidR="003E4CAD">
        <w:t xml:space="preserve"> CHTE</w:t>
      </w:r>
      <w:r w:rsidR="00734337">
        <w:t xml:space="preserve"> (x2)</w:t>
      </w:r>
    </w:p>
    <w:p w14:paraId="7F9FD88D" w14:textId="34357236" w:rsidR="00FD5A1C" w:rsidRPr="00635E3B" w:rsidRDefault="00734337" w:rsidP="00FD5A1C">
      <w:pPr>
        <w:pStyle w:val="Bullets"/>
      </w:pPr>
      <w:r>
        <w:lastRenderedPageBreak/>
        <w:t xml:space="preserve">Chair of </w:t>
      </w:r>
      <w:r w:rsidR="00BA4891">
        <w:t xml:space="preserve">the relevant NICE </w:t>
      </w:r>
      <w:r>
        <w:t>advisory c</w:t>
      </w:r>
      <w:r w:rsidR="00FD5A1C" w:rsidRPr="00635E3B">
        <w:t>ommittee</w:t>
      </w:r>
    </w:p>
    <w:p w14:paraId="324395E8" w14:textId="5813C5C5" w:rsidR="00FD5A1C" w:rsidRPr="00635E3B" w:rsidRDefault="00FD5A1C" w:rsidP="00FD5A1C">
      <w:pPr>
        <w:pStyle w:val="Bullets"/>
      </w:pPr>
      <w:r w:rsidRPr="00635E3B">
        <w:t xml:space="preserve">Consultant </w:t>
      </w:r>
      <w:r w:rsidR="00734337">
        <w:t>c</w:t>
      </w:r>
      <w:r w:rsidRPr="00635E3B">
        <w:t xml:space="preserve">linical </w:t>
      </w:r>
      <w:r w:rsidR="00734337">
        <w:t>a</w:t>
      </w:r>
      <w:r w:rsidRPr="00635E3B">
        <w:t>dviser</w:t>
      </w:r>
    </w:p>
    <w:p w14:paraId="0F930B99" w14:textId="46BFD4D0" w:rsidR="00FD5A1C" w:rsidRPr="00635E3B" w:rsidRDefault="00FD5A1C" w:rsidP="00F46773">
      <w:pPr>
        <w:pStyle w:val="Bullets"/>
      </w:pPr>
      <w:r w:rsidRPr="00635E3B">
        <w:t xml:space="preserve">Associate </w:t>
      </w:r>
      <w:r w:rsidR="00734337">
        <w:t>d</w:t>
      </w:r>
      <w:r w:rsidRPr="00635E3B">
        <w:t>irector</w:t>
      </w:r>
      <w:r w:rsidR="00734337">
        <w:t xml:space="preserve"> </w:t>
      </w:r>
    </w:p>
    <w:p w14:paraId="52B52F74" w14:textId="7E7D71DB" w:rsidR="00666484" w:rsidRPr="00635E3B" w:rsidRDefault="00666484" w:rsidP="00666484">
      <w:pPr>
        <w:pStyle w:val="Bullets"/>
      </w:pPr>
      <w:r>
        <w:t>Lay Member (x2)</w:t>
      </w:r>
    </w:p>
    <w:p w14:paraId="1730A934" w14:textId="77777777" w:rsidR="00FD5A1C" w:rsidRPr="00635E3B" w:rsidRDefault="00FD5A1C" w:rsidP="00FD5A1C">
      <w:pPr>
        <w:pStyle w:val="Bullets"/>
      </w:pPr>
      <w:r w:rsidRPr="00635E3B">
        <w:t>Department of Health and Social Care representative</w:t>
      </w:r>
    </w:p>
    <w:p w14:paraId="5F967C1F" w14:textId="7E3DFFC7" w:rsidR="00734337" w:rsidRDefault="00FD5A1C" w:rsidP="007C49F2">
      <w:pPr>
        <w:pStyle w:val="Bullets"/>
      </w:pPr>
      <w:r w:rsidRPr="00635E3B">
        <w:t>NHS England</w:t>
      </w:r>
      <w:r>
        <w:t xml:space="preserve"> and </w:t>
      </w:r>
      <w:r w:rsidR="00734337">
        <w:t xml:space="preserve">NHS </w:t>
      </w:r>
      <w:r>
        <w:t>Improvement</w:t>
      </w:r>
      <w:r w:rsidRPr="00635E3B">
        <w:t xml:space="preserve"> representative</w:t>
      </w:r>
    </w:p>
    <w:p w14:paraId="36212538" w14:textId="02F507F9" w:rsidR="002503D5" w:rsidRDefault="00D15E03" w:rsidP="002503D5">
      <w:pPr>
        <w:pStyle w:val="Paragraph"/>
        <w:tabs>
          <w:tab w:val="clear" w:pos="567"/>
          <w:tab w:val="left" w:pos="709"/>
        </w:tabs>
        <w:ind w:left="720"/>
      </w:pPr>
      <w:r>
        <w:t>All members of the Topic Selection Oversight Panel are asked to advise on suitability of topics for selection for guidance producing programmes in CHTE, and where appropriate routing to specific programmes of work. Specific contributions expected from the members are listed here</w:t>
      </w:r>
      <w:r w:rsidR="00734337">
        <w:t>:</w:t>
      </w:r>
    </w:p>
    <w:tbl>
      <w:tblPr>
        <w:tblStyle w:val="TableGrid"/>
        <w:tblW w:w="9016" w:type="dxa"/>
        <w:tblInd w:w="460" w:type="dxa"/>
        <w:tblLook w:val="04A0" w:firstRow="1" w:lastRow="0" w:firstColumn="1" w:lastColumn="0" w:noHBand="0" w:noVBand="1"/>
      </w:tblPr>
      <w:tblGrid>
        <w:gridCol w:w="4673"/>
        <w:gridCol w:w="4343"/>
      </w:tblGrid>
      <w:tr w:rsidR="002503D5" w:rsidRPr="00BD319F" w14:paraId="2CD44E25" w14:textId="77777777" w:rsidTr="007065A3">
        <w:tc>
          <w:tcPr>
            <w:tcW w:w="0" w:type="auto"/>
          </w:tcPr>
          <w:p w14:paraId="309DA299" w14:textId="77777777" w:rsidR="002503D5" w:rsidRPr="00262FF7" w:rsidRDefault="002503D5" w:rsidP="00A86647">
            <w:pPr>
              <w:pStyle w:val="Bullets"/>
              <w:numPr>
                <w:ilvl w:val="0"/>
                <w:numId w:val="0"/>
              </w:numPr>
              <w:rPr>
                <w:b/>
                <w:bCs/>
                <w:sz w:val="22"/>
                <w:szCs w:val="22"/>
              </w:rPr>
            </w:pPr>
            <w:r w:rsidRPr="00262FF7">
              <w:rPr>
                <w:b/>
                <w:bCs/>
                <w:sz w:val="22"/>
                <w:szCs w:val="22"/>
              </w:rPr>
              <w:t>Participants</w:t>
            </w:r>
          </w:p>
        </w:tc>
        <w:tc>
          <w:tcPr>
            <w:tcW w:w="0" w:type="auto"/>
          </w:tcPr>
          <w:p w14:paraId="2A738579" w14:textId="59F69D06" w:rsidR="002503D5" w:rsidRPr="00262FF7" w:rsidRDefault="00D15E03" w:rsidP="00A86647">
            <w:pPr>
              <w:pStyle w:val="Bullets"/>
              <w:numPr>
                <w:ilvl w:val="0"/>
                <w:numId w:val="0"/>
              </w:numPr>
              <w:rPr>
                <w:b/>
                <w:bCs/>
                <w:sz w:val="22"/>
                <w:szCs w:val="22"/>
              </w:rPr>
            </w:pPr>
            <w:r>
              <w:rPr>
                <w:b/>
                <w:bCs/>
                <w:sz w:val="22"/>
                <w:szCs w:val="22"/>
              </w:rPr>
              <w:t>Specific r</w:t>
            </w:r>
            <w:r w:rsidR="0016343B">
              <w:rPr>
                <w:b/>
                <w:bCs/>
                <w:sz w:val="22"/>
                <w:szCs w:val="22"/>
              </w:rPr>
              <w:t>oles and responsibili</w:t>
            </w:r>
            <w:r>
              <w:rPr>
                <w:b/>
                <w:bCs/>
                <w:sz w:val="22"/>
                <w:szCs w:val="22"/>
              </w:rPr>
              <w:t>ty</w:t>
            </w:r>
          </w:p>
        </w:tc>
      </w:tr>
      <w:tr w:rsidR="002503D5" w:rsidRPr="00B21DEA" w14:paraId="29D3BF3C" w14:textId="77777777" w:rsidTr="007065A3">
        <w:tc>
          <w:tcPr>
            <w:tcW w:w="4673" w:type="dxa"/>
          </w:tcPr>
          <w:p w14:paraId="67C6BD74" w14:textId="09C3D227" w:rsidR="002503D5" w:rsidRPr="00262FF7" w:rsidRDefault="002503D5" w:rsidP="00A86647">
            <w:pPr>
              <w:pStyle w:val="Bullets"/>
              <w:numPr>
                <w:ilvl w:val="0"/>
                <w:numId w:val="0"/>
              </w:numPr>
              <w:rPr>
                <w:sz w:val="22"/>
                <w:szCs w:val="22"/>
              </w:rPr>
            </w:pPr>
            <w:r w:rsidRPr="00262FF7">
              <w:rPr>
                <w:sz w:val="22"/>
                <w:szCs w:val="22"/>
              </w:rPr>
              <w:t>Director</w:t>
            </w:r>
            <w:r w:rsidR="00734337">
              <w:rPr>
                <w:sz w:val="22"/>
                <w:szCs w:val="22"/>
              </w:rPr>
              <w:t xml:space="preserve"> CHTE</w:t>
            </w:r>
          </w:p>
        </w:tc>
        <w:tc>
          <w:tcPr>
            <w:tcW w:w="4343" w:type="dxa"/>
          </w:tcPr>
          <w:p w14:paraId="4E5EE714" w14:textId="005A641F" w:rsidR="002503D5" w:rsidRPr="00262FF7" w:rsidRDefault="00D15E03" w:rsidP="00862B30">
            <w:pPr>
              <w:pStyle w:val="Bullets"/>
              <w:numPr>
                <w:ilvl w:val="0"/>
                <w:numId w:val="0"/>
              </w:numPr>
              <w:rPr>
                <w:sz w:val="22"/>
                <w:szCs w:val="22"/>
              </w:rPr>
            </w:pPr>
            <w:r>
              <w:rPr>
                <w:sz w:val="22"/>
                <w:szCs w:val="22"/>
              </w:rPr>
              <w:t xml:space="preserve">Chair the meeting and </w:t>
            </w:r>
            <w:r w:rsidR="00734337">
              <w:rPr>
                <w:sz w:val="22"/>
                <w:szCs w:val="22"/>
              </w:rPr>
              <w:t>s</w:t>
            </w:r>
            <w:r w:rsidR="002503D5">
              <w:rPr>
                <w:sz w:val="22"/>
                <w:szCs w:val="22"/>
              </w:rPr>
              <w:t xml:space="preserve">ign-off </w:t>
            </w:r>
            <w:r w:rsidR="00734337">
              <w:rPr>
                <w:sz w:val="22"/>
                <w:szCs w:val="22"/>
              </w:rPr>
              <w:t xml:space="preserve">panel </w:t>
            </w:r>
            <w:r w:rsidR="0016343B">
              <w:rPr>
                <w:sz w:val="22"/>
                <w:szCs w:val="22"/>
              </w:rPr>
              <w:t>decisions</w:t>
            </w:r>
          </w:p>
        </w:tc>
      </w:tr>
      <w:tr w:rsidR="002503D5" w:rsidRPr="00B21DEA" w14:paraId="2865CAF3" w14:textId="77777777" w:rsidTr="007065A3">
        <w:tc>
          <w:tcPr>
            <w:tcW w:w="4673" w:type="dxa"/>
          </w:tcPr>
          <w:p w14:paraId="3B5C39E3" w14:textId="26BFB475" w:rsidR="002503D5" w:rsidRPr="00262FF7" w:rsidRDefault="002503D5" w:rsidP="00A86647">
            <w:pPr>
              <w:pStyle w:val="Bullets"/>
              <w:numPr>
                <w:ilvl w:val="0"/>
                <w:numId w:val="0"/>
              </w:numPr>
              <w:rPr>
                <w:sz w:val="22"/>
                <w:szCs w:val="22"/>
              </w:rPr>
            </w:pPr>
            <w:r w:rsidRPr="00262FF7">
              <w:rPr>
                <w:sz w:val="22"/>
                <w:szCs w:val="22"/>
              </w:rPr>
              <w:t>Director</w:t>
            </w:r>
            <w:r>
              <w:rPr>
                <w:sz w:val="22"/>
                <w:szCs w:val="22"/>
              </w:rPr>
              <w:t xml:space="preserve">, </w:t>
            </w:r>
            <w:r w:rsidRPr="00262FF7">
              <w:rPr>
                <w:sz w:val="22"/>
                <w:szCs w:val="22"/>
              </w:rPr>
              <w:t>Centre for Guidelines</w:t>
            </w:r>
          </w:p>
        </w:tc>
        <w:tc>
          <w:tcPr>
            <w:tcW w:w="4343" w:type="dxa"/>
          </w:tcPr>
          <w:p w14:paraId="5C25922E" w14:textId="35325F65" w:rsidR="002503D5" w:rsidRPr="00262FF7" w:rsidRDefault="00734337" w:rsidP="00862B30">
            <w:pPr>
              <w:pStyle w:val="Bullets"/>
              <w:numPr>
                <w:ilvl w:val="0"/>
                <w:numId w:val="0"/>
              </w:numPr>
              <w:rPr>
                <w:sz w:val="22"/>
                <w:szCs w:val="22"/>
              </w:rPr>
            </w:pPr>
            <w:r>
              <w:rPr>
                <w:sz w:val="22"/>
                <w:szCs w:val="22"/>
              </w:rPr>
              <w:t>Advise on routing opportunities to guidance producing programmes outside of CHTE, including guidelines</w:t>
            </w:r>
            <w:r w:rsidR="002503D5" w:rsidRPr="00BD319F" w:rsidDel="00E86228">
              <w:rPr>
                <w:sz w:val="22"/>
                <w:szCs w:val="22"/>
              </w:rPr>
              <w:t xml:space="preserve"> </w:t>
            </w:r>
          </w:p>
        </w:tc>
      </w:tr>
      <w:tr w:rsidR="002503D5" w:rsidRPr="00B21DEA" w14:paraId="769954D7" w14:textId="77777777" w:rsidTr="007065A3">
        <w:tc>
          <w:tcPr>
            <w:tcW w:w="4673" w:type="dxa"/>
          </w:tcPr>
          <w:p w14:paraId="642796C1" w14:textId="0244BBE3" w:rsidR="002503D5" w:rsidRPr="00262FF7" w:rsidRDefault="002503D5" w:rsidP="00A86647">
            <w:pPr>
              <w:pStyle w:val="Bullets"/>
              <w:numPr>
                <w:ilvl w:val="0"/>
                <w:numId w:val="0"/>
              </w:numPr>
              <w:rPr>
                <w:sz w:val="22"/>
                <w:szCs w:val="22"/>
              </w:rPr>
            </w:pPr>
            <w:r w:rsidRPr="00262FF7">
              <w:rPr>
                <w:sz w:val="22"/>
                <w:szCs w:val="22"/>
              </w:rPr>
              <w:t xml:space="preserve">Programme </w:t>
            </w:r>
            <w:r w:rsidR="00734337">
              <w:rPr>
                <w:sz w:val="22"/>
                <w:szCs w:val="22"/>
              </w:rPr>
              <w:t>d</w:t>
            </w:r>
            <w:r w:rsidRPr="00262FF7">
              <w:rPr>
                <w:sz w:val="22"/>
                <w:szCs w:val="22"/>
              </w:rPr>
              <w:t>irector</w:t>
            </w:r>
            <w:r w:rsidR="00734337">
              <w:rPr>
                <w:sz w:val="22"/>
                <w:szCs w:val="22"/>
              </w:rPr>
              <w:t>s</w:t>
            </w:r>
          </w:p>
        </w:tc>
        <w:tc>
          <w:tcPr>
            <w:tcW w:w="4343" w:type="dxa"/>
          </w:tcPr>
          <w:p w14:paraId="5DCF5915" w14:textId="7B3A01CD" w:rsidR="002503D5" w:rsidRPr="00262FF7" w:rsidRDefault="00D15E03" w:rsidP="00862B30">
            <w:pPr>
              <w:pStyle w:val="Bullets"/>
              <w:numPr>
                <w:ilvl w:val="0"/>
                <w:numId w:val="0"/>
              </w:numPr>
              <w:rPr>
                <w:sz w:val="22"/>
                <w:szCs w:val="22"/>
              </w:rPr>
            </w:pPr>
            <w:r>
              <w:rPr>
                <w:sz w:val="22"/>
                <w:szCs w:val="22"/>
              </w:rPr>
              <w:t>Deputy chair of the meeting and sign-off panel decisions when chairing.</w:t>
            </w:r>
          </w:p>
        </w:tc>
      </w:tr>
      <w:tr w:rsidR="002503D5" w:rsidRPr="00B21DEA" w14:paraId="4F730AF0" w14:textId="77777777" w:rsidTr="007065A3">
        <w:tc>
          <w:tcPr>
            <w:tcW w:w="4673" w:type="dxa"/>
          </w:tcPr>
          <w:p w14:paraId="1FEA9E25" w14:textId="6CFD2088" w:rsidR="002503D5" w:rsidRPr="00262FF7" w:rsidRDefault="002503D5" w:rsidP="00A86647">
            <w:pPr>
              <w:pStyle w:val="Bullets"/>
              <w:numPr>
                <w:ilvl w:val="0"/>
                <w:numId w:val="0"/>
              </w:numPr>
              <w:rPr>
                <w:sz w:val="22"/>
                <w:szCs w:val="22"/>
              </w:rPr>
            </w:pPr>
            <w:r w:rsidRPr="00262FF7">
              <w:rPr>
                <w:sz w:val="22"/>
                <w:szCs w:val="22"/>
              </w:rPr>
              <w:t>Committee chair</w:t>
            </w:r>
            <w:r>
              <w:rPr>
                <w:sz w:val="22"/>
                <w:szCs w:val="22"/>
              </w:rPr>
              <w:t>s</w:t>
            </w:r>
          </w:p>
        </w:tc>
        <w:tc>
          <w:tcPr>
            <w:tcW w:w="4343" w:type="dxa"/>
          </w:tcPr>
          <w:p w14:paraId="06C1AF69" w14:textId="4706502A" w:rsidR="002503D5" w:rsidRPr="00262FF7" w:rsidRDefault="00D15E03" w:rsidP="00862B30">
            <w:pPr>
              <w:pStyle w:val="Bullets"/>
              <w:numPr>
                <w:ilvl w:val="0"/>
                <w:numId w:val="0"/>
              </w:numPr>
              <w:rPr>
                <w:sz w:val="22"/>
                <w:szCs w:val="22"/>
              </w:rPr>
            </w:pPr>
            <w:r>
              <w:rPr>
                <w:sz w:val="22"/>
                <w:szCs w:val="22"/>
              </w:rPr>
              <w:t>P</w:t>
            </w:r>
            <w:r w:rsidR="00734337">
              <w:rPr>
                <w:sz w:val="22"/>
                <w:szCs w:val="22"/>
              </w:rPr>
              <w:t>rovide clinical insights</w:t>
            </w:r>
            <w:r w:rsidR="00F46773">
              <w:rPr>
                <w:sz w:val="22"/>
                <w:szCs w:val="22"/>
              </w:rPr>
              <w:t>, depending on the matter under discussion,</w:t>
            </w:r>
            <w:r w:rsidR="00734337">
              <w:rPr>
                <w:sz w:val="22"/>
                <w:szCs w:val="22"/>
              </w:rPr>
              <w:t xml:space="preserve"> and </w:t>
            </w:r>
            <w:r w:rsidR="00F46773">
              <w:rPr>
                <w:sz w:val="22"/>
                <w:szCs w:val="22"/>
              </w:rPr>
              <w:t xml:space="preserve">provide </w:t>
            </w:r>
            <w:r w:rsidR="00734337">
              <w:rPr>
                <w:sz w:val="22"/>
                <w:szCs w:val="22"/>
              </w:rPr>
              <w:t>feedback from scoping activities</w:t>
            </w:r>
          </w:p>
        </w:tc>
      </w:tr>
      <w:tr w:rsidR="002503D5" w:rsidRPr="00B21DEA" w14:paraId="489C4736" w14:textId="77777777" w:rsidTr="007065A3">
        <w:tc>
          <w:tcPr>
            <w:tcW w:w="4673" w:type="dxa"/>
          </w:tcPr>
          <w:p w14:paraId="0B777115" w14:textId="36B850EA" w:rsidR="002503D5" w:rsidRPr="00262FF7" w:rsidRDefault="002503D5" w:rsidP="00A86647">
            <w:pPr>
              <w:pStyle w:val="Bullets"/>
              <w:numPr>
                <w:ilvl w:val="0"/>
                <w:numId w:val="0"/>
              </w:numPr>
              <w:rPr>
                <w:sz w:val="22"/>
                <w:szCs w:val="22"/>
              </w:rPr>
            </w:pPr>
            <w:r w:rsidRPr="00262FF7">
              <w:rPr>
                <w:sz w:val="22"/>
                <w:szCs w:val="22"/>
              </w:rPr>
              <w:t xml:space="preserve">Consultant </w:t>
            </w:r>
            <w:r w:rsidR="00734337">
              <w:rPr>
                <w:sz w:val="22"/>
                <w:szCs w:val="22"/>
              </w:rPr>
              <w:t>c</w:t>
            </w:r>
            <w:r w:rsidRPr="00262FF7">
              <w:rPr>
                <w:sz w:val="22"/>
                <w:szCs w:val="22"/>
              </w:rPr>
              <w:t xml:space="preserve">linical </w:t>
            </w:r>
            <w:r w:rsidR="00734337">
              <w:rPr>
                <w:sz w:val="22"/>
                <w:szCs w:val="22"/>
              </w:rPr>
              <w:t>a</w:t>
            </w:r>
            <w:r w:rsidRPr="00262FF7">
              <w:rPr>
                <w:sz w:val="22"/>
                <w:szCs w:val="22"/>
              </w:rPr>
              <w:t>dviser</w:t>
            </w:r>
            <w:r>
              <w:rPr>
                <w:sz w:val="22"/>
                <w:szCs w:val="22"/>
              </w:rPr>
              <w:t>s</w:t>
            </w:r>
          </w:p>
        </w:tc>
        <w:tc>
          <w:tcPr>
            <w:tcW w:w="4343" w:type="dxa"/>
          </w:tcPr>
          <w:p w14:paraId="0039E895" w14:textId="646F8C60" w:rsidR="002503D5" w:rsidRPr="00262FF7" w:rsidRDefault="00D15E03" w:rsidP="00862B30">
            <w:pPr>
              <w:pStyle w:val="Bullets"/>
              <w:numPr>
                <w:ilvl w:val="0"/>
                <w:numId w:val="0"/>
              </w:numPr>
              <w:rPr>
                <w:sz w:val="22"/>
                <w:szCs w:val="22"/>
              </w:rPr>
            </w:pPr>
            <w:r>
              <w:rPr>
                <w:sz w:val="22"/>
                <w:szCs w:val="22"/>
              </w:rPr>
              <w:t xml:space="preserve">Provide clinical insights and provide expertise in specific areas of work (medicines, </w:t>
            </w:r>
            <w:proofErr w:type="spellStart"/>
            <w:r>
              <w:rPr>
                <w:sz w:val="22"/>
                <w:szCs w:val="22"/>
              </w:rPr>
              <w:t>medtech</w:t>
            </w:r>
            <w:proofErr w:type="spellEnd"/>
            <w:r>
              <w:rPr>
                <w:sz w:val="22"/>
                <w:szCs w:val="22"/>
              </w:rPr>
              <w:t xml:space="preserve">, interventional procedures) </w:t>
            </w:r>
          </w:p>
        </w:tc>
      </w:tr>
      <w:tr w:rsidR="00666484" w:rsidRPr="00B21DEA" w14:paraId="34C94E06" w14:textId="77777777" w:rsidTr="007065A3">
        <w:tc>
          <w:tcPr>
            <w:tcW w:w="4673" w:type="dxa"/>
          </w:tcPr>
          <w:p w14:paraId="524434E4" w14:textId="77777777" w:rsidR="00666484" w:rsidRPr="00262FF7" w:rsidRDefault="00666484" w:rsidP="007C49F2">
            <w:pPr>
              <w:pStyle w:val="Bullets"/>
              <w:numPr>
                <w:ilvl w:val="0"/>
                <w:numId w:val="0"/>
              </w:numPr>
              <w:rPr>
                <w:sz w:val="22"/>
                <w:szCs w:val="22"/>
              </w:rPr>
            </w:pPr>
            <w:r w:rsidRPr="00262FF7">
              <w:rPr>
                <w:sz w:val="22"/>
                <w:szCs w:val="22"/>
              </w:rPr>
              <w:t>Lay Member x 2</w:t>
            </w:r>
          </w:p>
        </w:tc>
        <w:tc>
          <w:tcPr>
            <w:tcW w:w="4343" w:type="dxa"/>
          </w:tcPr>
          <w:p w14:paraId="1DADEF7D" w14:textId="77777777" w:rsidR="00666484" w:rsidRPr="00262FF7" w:rsidRDefault="00666484" w:rsidP="007C49F2">
            <w:pPr>
              <w:pStyle w:val="Bullets"/>
              <w:numPr>
                <w:ilvl w:val="0"/>
                <w:numId w:val="0"/>
              </w:numPr>
              <w:rPr>
                <w:sz w:val="22"/>
                <w:szCs w:val="22"/>
              </w:rPr>
            </w:pPr>
            <w:r>
              <w:rPr>
                <w:sz w:val="22"/>
                <w:szCs w:val="22"/>
              </w:rPr>
              <w:t xml:space="preserve">Bring </w:t>
            </w:r>
            <w:r w:rsidRPr="007F3CF7">
              <w:rPr>
                <w:sz w:val="22"/>
                <w:szCs w:val="22"/>
              </w:rPr>
              <w:t>perspective</w:t>
            </w:r>
            <w:r w:rsidRPr="00262FF7">
              <w:rPr>
                <w:sz w:val="22"/>
                <w:szCs w:val="22"/>
              </w:rPr>
              <w:t xml:space="preserve"> of patients, people who use services, and carers to selection </w:t>
            </w:r>
            <w:r>
              <w:rPr>
                <w:sz w:val="22"/>
                <w:szCs w:val="22"/>
              </w:rPr>
              <w:t xml:space="preserve">and routing </w:t>
            </w:r>
            <w:r w:rsidRPr="00262FF7">
              <w:rPr>
                <w:sz w:val="22"/>
                <w:szCs w:val="22"/>
              </w:rPr>
              <w:t>of topics.</w:t>
            </w:r>
          </w:p>
        </w:tc>
      </w:tr>
      <w:tr w:rsidR="002503D5" w:rsidRPr="00B21DEA" w14:paraId="50F1B216" w14:textId="77777777" w:rsidTr="007065A3">
        <w:tc>
          <w:tcPr>
            <w:tcW w:w="4673" w:type="dxa"/>
          </w:tcPr>
          <w:p w14:paraId="2E64CD78" w14:textId="77777777" w:rsidR="002503D5" w:rsidRPr="00262FF7" w:rsidRDefault="002503D5" w:rsidP="00A86647">
            <w:pPr>
              <w:pStyle w:val="Bullets"/>
              <w:numPr>
                <w:ilvl w:val="0"/>
                <w:numId w:val="0"/>
              </w:numPr>
              <w:rPr>
                <w:sz w:val="22"/>
                <w:szCs w:val="22"/>
              </w:rPr>
            </w:pPr>
            <w:r w:rsidRPr="00262FF7">
              <w:rPr>
                <w:sz w:val="22"/>
                <w:szCs w:val="22"/>
              </w:rPr>
              <w:t>Department of Health and Social Care representative</w:t>
            </w:r>
          </w:p>
        </w:tc>
        <w:tc>
          <w:tcPr>
            <w:tcW w:w="4343" w:type="dxa"/>
          </w:tcPr>
          <w:p w14:paraId="6C2B3734" w14:textId="444EE923" w:rsidR="002503D5" w:rsidRPr="00262FF7" w:rsidRDefault="00F46773" w:rsidP="00862B30">
            <w:pPr>
              <w:pStyle w:val="Bullets"/>
              <w:numPr>
                <w:ilvl w:val="0"/>
                <w:numId w:val="0"/>
              </w:numPr>
              <w:rPr>
                <w:sz w:val="22"/>
                <w:szCs w:val="22"/>
              </w:rPr>
            </w:pPr>
            <w:r>
              <w:rPr>
                <w:sz w:val="22"/>
                <w:szCs w:val="22"/>
              </w:rPr>
              <w:t>S</w:t>
            </w:r>
            <w:r w:rsidR="002503D5">
              <w:rPr>
                <w:sz w:val="22"/>
                <w:szCs w:val="22"/>
              </w:rPr>
              <w:t>ponsor oversight</w:t>
            </w:r>
            <w:r>
              <w:rPr>
                <w:sz w:val="22"/>
                <w:szCs w:val="22"/>
              </w:rPr>
              <w:t xml:space="preserve"> of topic selection activity and support </w:t>
            </w:r>
            <w:r w:rsidR="00666484">
              <w:rPr>
                <w:sz w:val="22"/>
                <w:szCs w:val="22"/>
              </w:rPr>
              <w:t>for</w:t>
            </w:r>
            <w:r>
              <w:rPr>
                <w:sz w:val="22"/>
                <w:szCs w:val="22"/>
              </w:rPr>
              <w:t xml:space="preserve"> ministerial referral process for relevant programmes </w:t>
            </w:r>
          </w:p>
        </w:tc>
      </w:tr>
      <w:tr w:rsidR="002503D5" w:rsidRPr="00B21DEA" w14:paraId="42D933EE" w14:textId="77777777" w:rsidTr="007065A3">
        <w:tc>
          <w:tcPr>
            <w:tcW w:w="4673" w:type="dxa"/>
          </w:tcPr>
          <w:p w14:paraId="6349DAEB" w14:textId="2252CECA" w:rsidR="002503D5" w:rsidRPr="00262FF7" w:rsidRDefault="002503D5" w:rsidP="00A86647">
            <w:pPr>
              <w:pStyle w:val="Bullets"/>
              <w:numPr>
                <w:ilvl w:val="0"/>
                <w:numId w:val="0"/>
              </w:numPr>
              <w:rPr>
                <w:sz w:val="22"/>
                <w:szCs w:val="22"/>
              </w:rPr>
            </w:pPr>
            <w:r w:rsidRPr="00262FF7">
              <w:rPr>
                <w:sz w:val="22"/>
                <w:szCs w:val="22"/>
              </w:rPr>
              <w:t xml:space="preserve">NHS England and </w:t>
            </w:r>
            <w:r w:rsidR="00F46773">
              <w:rPr>
                <w:sz w:val="22"/>
                <w:szCs w:val="22"/>
              </w:rPr>
              <w:t xml:space="preserve">NHS </w:t>
            </w:r>
            <w:r w:rsidRPr="00262FF7">
              <w:rPr>
                <w:sz w:val="22"/>
                <w:szCs w:val="22"/>
              </w:rPr>
              <w:t>Improvement representative</w:t>
            </w:r>
          </w:p>
        </w:tc>
        <w:tc>
          <w:tcPr>
            <w:tcW w:w="4343" w:type="dxa"/>
          </w:tcPr>
          <w:p w14:paraId="23605CEA" w14:textId="2D66B07F" w:rsidR="002503D5" w:rsidRPr="00262FF7" w:rsidRDefault="00666484" w:rsidP="00862B30">
            <w:pPr>
              <w:pStyle w:val="Bullets"/>
              <w:numPr>
                <w:ilvl w:val="0"/>
                <w:numId w:val="0"/>
              </w:numPr>
              <w:rPr>
                <w:sz w:val="22"/>
                <w:szCs w:val="22"/>
              </w:rPr>
            </w:pPr>
            <w:r>
              <w:rPr>
                <w:sz w:val="22"/>
                <w:szCs w:val="22"/>
              </w:rPr>
              <w:t>Provide perspective on the i</w:t>
            </w:r>
            <w:r w:rsidR="002503D5">
              <w:rPr>
                <w:sz w:val="22"/>
                <w:szCs w:val="22"/>
              </w:rPr>
              <w:t xml:space="preserve">mpact of </w:t>
            </w:r>
            <w:r>
              <w:rPr>
                <w:sz w:val="22"/>
                <w:szCs w:val="22"/>
              </w:rPr>
              <w:t xml:space="preserve">a </w:t>
            </w:r>
            <w:r w:rsidR="002503D5">
              <w:rPr>
                <w:sz w:val="22"/>
                <w:szCs w:val="22"/>
              </w:rPr>
              <w:t xml:space="preserve">topic selection </w:t>
            </w:r>
            <w:r>
              <w:rPr>
                <w:sz w:val="22"/>
                <w:szCs w:val="22"/>
              </w:rPr>
              <w:t xml:space="preserve">decision on other NHS England related activities to support </w:t>
            </w:r>
            <w:r w:rsidR="002503D5">
              <w:rPr>
                <w:sz w:val="22"/>
                <w:szCs w:val="22"/>
              </w:rPr>
              <w:t>life science</w:t>
            </w:r>
            <w:r>
              <w:rPr>
                <w:sz w:val="22"/>
                <w:szCs w:val="22"/>
              </w:rPr>
              <w:t xml:space="preserve"> innovations</w:t>
            </w:r>
          </w:p>
        </w:tc>
      </w:tr>
    </w:tbl>
    <w:p w14:paraId="0A393225" w14:textId="77777777" w:rsidR="003E6A11" w:rsidRDefault="003E6A11" w:rsidP="00470F91">
      <w:pPr>
        <w:pStyle w:val="Paragraph"/>
        <w:numPr>
          <w:ilvl w:val="0"/>
          <w:numId w:val="0"/>
        </w:numPr>
        <w:tabs>
          <w:tab w:val="clear" w:pos="567"/>
          <w:tab w:val="left" w:pos="709"/>
        </w:tabs>
        <w:ind w:left="720"/>
      </w:pPr>
    </w:p>
    <w:p w14:paraId="3F5E6847" w14:textId="578DD5F2" w:rsidR="003E6A11" w:rsidRPr="00635E3B" w:rsidRDefault="003E6A11" w:rsidP="00470F91">
      <w:pPr>
        <w:pStyle w:val="Paragraph"/>
        <w:tabs>
          <w:tab w:val="clear" w:pos="567"/>
          <w:tab w:val="left" w:pos="709"/>
        </w:tabs>
        <w:ind w:left="720"/>
      </w:pPr>
      <w:r>
        <w:t xml:space="preserve">Members will be asked to attend the meeting for the agenda item(s) relevant to the matters under discussion. The quorum will be 5 full members including </w:t>
      </w:r>
      <w:r>
        <w:lastRenderedPageBreak/>
        <w:t>the Centre Director (or someone with delegated authority to act on their behalf), 1 Committee chair, 1 associate director, 1 lay member, the  Department of Health and Social Care representative (or someone with delegated authority to act on their behalf).</w:t>
      </w:r>
    </w:p>
    <w:p w14:paraId="5053CC26" w14:textId="77777777" w:rsidR="00FD5A1C" w:rsidRPr="007065A3" w:rsidRDefault="00FD5A1C" w:rsidP="00FD5A1C">
      <w:pPr>
        <w:pStyle w:val="Paragraphnonumbers"/>
        <w:spacing w:after="0" w:line="240" w:lineRule="auto"/>
        <w:rPr>
          <w:rFonts w:cs="Arial"/>
        </w:rPr>
      </w:pPr>
      <w:r w:rsidRPr="007065A3">
        <w:rPr>
          <w:rFonts w:cs="Arial"/>
        </w:rPr>
        <w:t>Advisory members:</w:t>
      </w:r>
    </w:p>
    <w:p w14:paraId="39CBA911" w14:textId="77777777" w:rsidR="00FD5A1C" w:rsidRPr="00635E3B" w:rsidRDefault="00FD5A1C" w:rsidP="00FD5A1C">
      <w:pPr>
        <w:pStyle w:val="Paragraphnonumbers"/>
        <w:spacing w:after="0" w:line="240" w:lineRule="auto"/>
        <w:rPr>
          <w:rFonts w:cs="Arial"/>
          <w:b/>
          <w:bCs/>
        </w:rPr>
      </w:pPr>
    </w:p>
    <w:p w14:paraId="5521D428" w14:textId="3F70706B" w:rsidR="00FD5A1C" w:rsidRPr="00635E3B" w:rsidRDefault="00FD5A1C" w:rsidP="00FD5A1C">
      <w:pPr>
        <w:pStyle w:val="Bullets"/>
      </w:pPr>
      <w:r w:rsidRPr="00635E3B">
        <w:t>Technical Adviser</w:t>
      </w:r>
      <w:r w:rsidR="00B72987">
        <w:t>s (representing various guidance producing programmes)</w:t>
      </w:r>
    </w:p>
    <w:p w14:paraId="0DD4DA5A" w14:textId="77777777" w:rsidR="00FD5A1C" w:rsidRPr="00635E3B" w:rsidRDefault="00FD5A1C" w:rsidP="00FD5A1C">
      <w:pPr>
        <w:pStyle w:val="Bullets"/>
      </w:pPr>
      <w:r w:rsidRPr="00635E3B">
        <w:t>Senior Manager – Horizon scanning, topic selection and scoping</w:t>
      </w:r>
    </w:p>
    <w:p w14:paraId="39C95DAD" w14:textId="5795933C" w:rsidR="00FD5A1C" w:rsidRPr="00635E3B" w:rsidRDefault="00FD5A1C" w:rsidP="00FD5A1C">
      <w:pPr>
        <w:pStyle w:val="Bullets"/>
      </w:pPr>
      <w:r w:rsidRPr="00635E3B">
        <w:t xml:space="preserve">Project Manager </w:t>
      </w:r>
      <w:r w:rsidR="00B72987" w:rsidRPr="00635E3B">
        <w:t xml:space="preserve">– </w:t>
      </w:r>
      <w:r w:rsidRPr="00635E3B">
        <w:t>Topic Selection</w:t>
      </w:r>
    </w:p>
    <w:p w14:paraId="7D1B8B6A" w14:textId="77777777" w:rsidR="00FD5A1C" w:rsidRPr="00635E3B" w:rsidRDefault="00FD5A1C" w:rsidP="00FD5A1C">
      <w:pPr>
        <w:pStyle w:val="Bullets"/>
      </w:pPr>
      <w:r w:rsidRPr="00635E3B">
        <w:t>Other Department of Health and Social Care representative(s)</w:t>
      </w:r>
    </w:p>
    <w:p w14:paraId="24C04BFC" w14:textId="77777777" w:rsidR="00FD5A1C" w:rsidRPr="00635E3B" w:rsidRDefault="00FD5A1C" w:rsidP="00FD5A1C">
      <w:pPr>
        <w:pStyle w:val="Bullets"/>
      </w:pPr>
      <w:r w:rsidRPr="00635E3B">
        <w:t>Other NHS England representative(s)</w:t>
      </w:r>
    </w:p>
    <w:p w14:paraId="002FBA5F" w14:textId="77777777" w:rsidR="00FD5A1C" w:rsidRPr="007065A3" w:rsidRDefault="00FD5A1C" w:rsidP="00FD5A1C">
      <w:pPr>
        <w:rPr>
          <w:rFonts w:ascii="Arial" w:hAnsi="Arial" w:cs="Arial"/>
          <w:bCs/>
          <w:sz w:val="22"/>
          <w:szCs w:val="22"/>
        </w:rPr>
      </w:pPr>
      <w:r w:rsidRPr="007065A3">
        <w:rPr>
          <w:rFonts w:ascii="Arial" w:hAnsi="Arial" w:cs="Arial"/>
          <w:bCs/>
        </w:rPr>
        <w:t>Secretariat</w:t>
      </w:r>
    </w:p>
    <w:p w14:paraId="420D8E5A" w14:textId="77777777" w:rsidR="00FD5A1C" w:rsidRPr="00E61B88" w:rsidRDefault="00FD5A1C" w:rsidP="00FD5A1C">
      <w:pPr>
        <w:rPr>
          <w:rFonts w:ascii="Arial" w:hAnsi="Arial" w:cs="Arial"/>
          <w:b/>
          <w:sz w:val="22"/>
          <w:szCs w:val="22"/>
        </w:rPr>
      </w:pPr>
    </w:p>
    <w:p w14:paraId="1D1AE33F" w14:textId="77777777" w:rsidR="00FD5A1C" w:rsidRPr="00CB5C60" w:rsidRDefault="00FD5A1C" w:rsidP="00FD5A1C">
      <w:pPr>
        <w:pStyle w:val="Bullets"/>
      </w:pPr>
      <w:r w:rsidRPr="00CB5C60">
        <w:t>Coordinator, Topic Selection</w:t>
      </w:r>
    </w:p>
    <w:p w14:paraId="2B8CB3DE" w14:textId="77777777" w:rsidR="00FD5A1C" w:rsidRDefault="00FD5A1C" w:rsidP="00FD5A1C">
      <w:pPr>
        <w:pStyle w:val="Bullets"/>
      </w:pPr>
      <w:r w:rsidRPr="00CB5C60">
        <w:t>Project Manager, Topic Selection</w:t>
      </w:r>
    </w:p>
    <w:p w14:paraId="6D427423" w14:textId="77777777" w:rsidR="00FD5A1C" w:rsidRDefault="00FD5A1C" w:rsidP="00FD5A1C">
      <w:pPr>
        <w:pStyle w:val="Bullets"/>
        <w:numPr>
          <w:ilvl w:val="0"/>
          <w:numId w:val="0"/>
        </w:numPr>
        <w:spacing w:after="0" w:line="240" w:lineRule="auto"/>
      </w:pPr>
    </w:p>
    <w:p w14:paraId="296E5EB9" w14:textId="77777777" w:rsidR="00FD5A1C" w:rsidRPr="007065A3" w:rsidRDefault="00FD5A1C" w:rsidP="00FD5A1C">
      <w:pPr>
        <w:rPr>
          <w:rFonts w:ascii="Arial" w:hAnsi="Arial" w:cs="Arial"/>
          <w:bCs/>
        </w:rPr>
      </w:pPr>
      <w:r w:rsidRPr="007065A3">
        <w:rPr>
          <w:rFonts w:ascii="Arial" w:hAnsi="Arial" w:cs="Arial"/>
          <w:bCs/>
        </w:rPr>
        <w:t>Other observers</w:t>
      </w:r>
    </w:p>
    <w:p w14:paraId="0A34AA5D" w14:textId="77777777" w:rsidR="00FD5A1C" w:rsidRPr="001368A6" w:rsidRDefault="00FD5A1C" w:rsidP="00FD5A1C">
      <w:pPr>
        <w:rPr>
          <w:rFonts w:ascii="Arial" w:hAnsi="Arial" w:cs="Arial"/>
          <w:b/>
        </w:rPr>
      </w:pPr>
    </w:p>
    <w:p w14:paraId="21786C62" w14:textId="71CF7A92" w:rsidR="00FD5A1C" w:rsidRPr="001368A6" w:rsidRDefault="00FD5A1C" w:rsidP="00FD5A1C">
      <w:pPr>
        <w:pStyle w:val="Paragraph"/>
        <w:tabs>
          <w:tab w:val="clear" w:pos="567"/>
          <w:tab w:val="left" w:pos="709"/>
        </w:tabs>
        <w:ind w:left="720"/>
      </w:pPr>
      <w:r>
        <w:t xml:space="preserve">NICE staff and invited guests (for example, NICE committee members) may attend </w:t>
      </w:r>
      <w:r w:rsidR="00B72987">
        <w:t xml:space="preserve">Topic Selection Oversight Panel </w:t>
      </w:r>
      <w:r>
        <w:t xml:space="preserve">meetings as observers, with the permission of the </w:t>
      </w:r>
      <w:r w:rsidR="00D44796">
        <w:t>Associate Director – Planning, Operations and Topic Selection</w:t>
      </w:r>
      <w:r>
        <w:t xml:space="preserve">. </w:t>
      </w:r>
    </w:p>
    <w:p w14:paraId="23E2A0BA" w14:textId="77777777" w:rsidR="00FD5A1C" w:rsidRPr="00635E3B" w:rsidRDefault="00FD5A1C" w:rsidP="00FD5A1C">
      <w:pPr>
        <w:pStyle w:val="Numberedheading1"/>
        <w:keepNext w:val="0"/>
        <w:numPr>
          <w:ilvl w:val="0"/>
          <w:numId w:val="0"/>
        </w:numPr>
        <w:spacing w:before="0" w:after="0" w:line="240" w:lineRule="auto"/>
        <w:ind w:left="1134" w:hanging="1134"/>
        <w:outlineLvl w:val="9"/>
        <w:rPr>
          <w:bCs w:val="0"/>
          <w:kern w:val="0"/>
          <w:sz w:val="24"/>
        </w:rPr>
      </w:pPr>
      <w:r w:rsidRPr="00635E3B">
        <w:rPr>
          <w:bCs w:val="0"/>
          <w:kern w:val="0"/>
          <w:sz w:val="24"/>
        </w:rPr>
        <w:t>Process for decision making</w:t>
      </w:r>
    </w:p>
    <w:p w14:paraId="483CD118" w14:textId="77777777" w:rsidR="00FD5A1C" w:rsidRPr="00635E3B" w:rsidRDefault="00FD5A1C" w:rsidP="00FD5A1C">
      <w:pPr>
        <w:ind w:left="720"/>
        <w:rPr>
          <w:rFonts w:ascii="Arial" w:hAnsi="Arial" w:cs="Arial"/>
          <w:b/>
        </w:rPr>
      </w:pPr>
    </w:p>
    <w:p w14:paraId="602E512B" w14:textId="3F9E32DE" w:rsidR="00FD5A1C" w:rsidRPr="00635E3B" w:rsidRDefault="00FD5A1C" w:rsidP="00FD5A1C">
      <w:pPr>
        <w:pStyle w:val="Paragraph"/>
        <w:tabs>
          <w:tab w:val="clear" w:pos="567"/>
          <w:tab w:val="left" w:pos="709"/>
        </w:tabs>
        <w:ind w:left="720"/>
      </w:pPr>
      <w:r>
        <w:t xml:space="preserve">Decisions will be made </w:t>
      </w:r>
      <w:r w:rsidR="00B72987">
        <w:t>based on</w:t>
      </w:r>
      <w:r>
        <w:t xml:space="preserve"> consensus wherever possible. Only in exceptional circumstances, if consensus cannot be reached, will decision-making members of the panel be asked to vote.</w:t>
      </w:r>
    </w:p>
    <w:p w14:paraId="6BECDB73" w14:textId="77777777" w:rsidR="00FD5A1C" w:rsidRDefault="00FD5A1C" w:rsidP="00FD5A1C">
      <w:pPr>
        <w:rPr>
          <w:rFonts w:ascii="Arial" w:hAnsi="Arial" w:cs="Arial"/>
          <w:b/>
        </w:rPr>
      </w:pPr>
      <w:r w:rsidRPr="001368A6">
        <w:rPr>
          <w:rFonts w:ascii="Arial" w:hAnsi="Arial" w:cs="Arial"/>
          <w:b/>
        </w:rPr>
        <w:t xml:space="preserve">Confidentiality </w:t>
      </w:r>
    </w:p>
    <w:p w14:paraId="78ABBC24" w14:textId="77777777" w:rsidR="00FD5A1C" w:rsidRPr="001368A6" w:rsidRDefault="00FD5A1C" w:rsidP="00FD5A1C">
      <w:pPr>
        <w:rPr>
          <w:rFonts w:ascii="Arial" w:hAnsi="Arial" w:cs="Arial"/>
          <w:b/>
        </w:rPr>
      </w:pPr>
    </w:p>
    <w:p w14:paraId="6F5DAA89" w14:textId="77777777" w:rsidR="00FD5A1C" w:rsidRDefault="00FD5A1C" w:rsidP="00FD5A1C">
      <w:pPr>
        <w:pStyle w:val="Paragraph"/>
        <w:tabs>
          <w:tab w:val="clear" w:pos="567"/>
          <w:tab w:val="left" w:pos="709"/>
        </w:tabs>
        <w:ind w:left="720"/>
      </w:pPr>
      <w:r>
        <w:t>Confidential papers and confidential information such as academic or commercial-in-confidence material or sensitive personal data disclosed in panel deliberations should not be discussed with colleagues who are not members of the panel, the NICE Topic Selection team, other organisations, the media, or members of the panel who are conflicted for the topic.</w:t>
      </w:r>
    </w:p>
    <w:p w14:paraId="7764348A" w14:textId="77777777" w:rsidR="00FD5A1C" w:rsidRPr="00B304D2" w:rsidRDefault="00FD5A1C" w:rsidP="00FD5A1C">
      <w:pPr>
        <w:spacing w:line="360" w:lineRule="auto"/>
        <w:rPr>
          <w:rFonts w:ascii="Arial" w:hAnsi="Arial" w:cs="Arial"/>
          <w:b/>
        </w:rPr>
      </w:pPr>
      <w:r w:rsidRPr="00B304D2">
        <w:rPr>
          <w:rFonts w:ascii="Arial" w:hAnsi="Arial" w:cs="Arial"/>
          <w:b/>
        </w:rPr>
        <w:t>Meetings and papers</w:t>
      </w:r>
    </w:p>
    <w:p w14:paraId="5A408C31" w14:textId="77777777" w:rsidR="00FD5A1C" w:rsidRDefault="00FD5A1C" w:rsidP="00FD5A1C">
      <w:pPr>
        <w:pStyle w:val="Paragraph"/>
        <w:numPr>
          <w:ilvl w:val="0"/>
          <w:numId w:val="0"/>
        </w:numPr>
        <w:shd w:val="clear" w:color="auto" w:fill="FFFFFF"/>
        <w:spacing w:after="0" w:line="240" w:lineRule="auto"/>
        <w:ind w:left="709" w:hanging="709"/>
        <w:rPr>
          <w:b/>
          <w:shd w:val="clear" w:color="auto" w:fill="BFBFBF"/>
        </w:rPr>
      </w:pPr>
    </w:p>
    <w:p w14:paraId="794F0997" w14:textId="77777777" w:rsidR="00FD5A1C" w:rsidRDefault="00FD5A1C" w:rsidP="00FD5A1C">
      <w:pPr>
        <w:pStyle w:val="Paragraph"/>
        <w:tabs>
          <w:tab w:val="clear" w:pos="567"/>
          <w:tab w:val="left" w:pos="709"/>
        </w:tabs>
        <w:ind w:left="720"/>
      </w:pPr>
      <w:r w:rsidRPr="2589EC1A">
        <w:rPr>
          <w:lang w:val="en" w:eastAsia="en-US"/>
        </w:rPr>
        <w:t>Meeting frequency will be determined to best meet the operational needs of topic selection for timely guidance output.</w:t>
      </w:r>
      <w:r>
        <w:t xml:space="preserve"> </w:t>
      </w:r>
    </w:p>
    <w:p w14:paraId="682FE53B" w14:textId="331243FE" w:rsidR="00FD5A1C" w:rsidRDefault="00FD5A1C" w:rsidP="00FD5A1C">
      <w:pPr>
        <w:pStyle w:val="Paragraph"/>
        <w:tabs>
          <w:tab w:val="clear" w:pos="567"/>
          <w:tab w:val="left" w:pos="709"/>
        </w:tabs>
        <w:ind w:left="720"/>
      </w:pPr>
      <w:r>
        <w:lastRenderedPageBreak/>
        <w:t xml:space="preserve">The secretariat will send all attendees electronic versions of the topic information </w:t>
      </w:r>
      <w:r w:rsidR="00D44796">
        <w:t xml:space="preserve">1 </w:t>
      </w:r>
      <w:r>
        <w:t xml:space="preserve">week prior to the meeting.  </w:t>
      </w:r>
    </w:p>
    <w:p w14:paraId="107A008C" w14:textId="77777777" w:rsidR="00FD5A1C" w:rsidRPr="00DE4819" w:rsidRDefault="00FD5A1C" w:rsidP="00FD5A1C">
      <w:pPr>
        <w:pStyle w:val="Paragraph"/>
        <w:tabs>
          <w:tab w:val="clear" w:pos="567"/>
          <w:tab w:val="left" w:pos="709"/>
        </w:tabs>
        <w:ind w:left="720"/>
      </w:pPr>
      <w:r>
        <w:t>NICE shall determine what matters shall appear on every agenda in advance of each meeting.</w:t>
      </w:r>
    </w:p>
    <w:p w14:paraId="3373B4DB" w14:textId="77777777" w:rsidR="00FD5A1C" w:rsidRPr="00886A83" w:rsidRDefault="00FD5A1C" w:rsidP="00FD5A1C">
      <w:pPr>
        <w:pStyle w:val="Paragraph"/>
        <w:tabs>
          <w:tab w:val="clear" w:pos="567"/>
          <w:tab w:val="left" w:pos="709"/>
        </w:tabs>
        <w:spacing w:after="0" w:line="240" w:lineRule="auto"/>
        <w:ind w:left="720"/>
      </w:pPr>
      <w:r>
        <w:t>The minutes will record significant decisions and actions relating to the topics</w:t>
      </w:r>
    </w:p>
    <w:p w14:paraId="78EDFFA9" w14:textId="77777777" w:rsidR="00FD5A1C" w:rsidRDefault="00FD5A1C" w:rsidP="00FD5A1C">
      <w:pPr>
        <w:rPr>
          <w:rFonts w:ascii="Arial" w:hAnsi="Arial" w:cs="Arial"/>
          <w:b/>
        </w:rPr>
      </w:pPr>
    </w:p>
    <w:p w14:paraId="5D75E8E2" w14:textId="77777777" w:rsidR="00FD5A1C" w:rsidRDefault="00FD5A1C" w:rsidP="00FD5A1C">
      <w:pPr>
        <w:rPr>
          <w:rFonts w:ascii="Arial" w:hAnsi="Arial" w:cs="Arial"/>
          <w:b/>
        </w:rPr>
      </w:pPr>
    </w:p>
    <w:p w14:paraId="0F7414EC" w14:textId="77777777" w:rsidR="00FD5A1C" w:rsidRDefault="00FD5A1C" w:rsidP="00FD5A1C">
      <w:pPr>
        <w:rPr>
          <w:rFonts w:ascii="Arial" w:hAnsi="Arial" w:cs="Arial"/>
          <w:b/>
        </w:rPr>
      </w:pPr>
      <w:r w:rsidRPr="001A6B99">
        <w:rPr>
          <w:rFonts w:ascii="Arial" w:hAnsi="Arial" w:cs="Arial"/>
          <w:b/>
        </w:rPr>
        <w:t xml:space="preserve">Transparency </w:t>
      </w:r>
    </w:p>
    <w:p w14:paraId="73536E02" w14:textId="77777777" w:rsidR="00FD5A1C" w:rsidRDefault="00FD5A1C" w:rsidP="00FD5A1C">
      <w:pPr>
        <w:spacing w:line="360" w:lineRule="auto"/>
        <w:rPr>
          <w:rFonts w:ascii="Arial" w:hAnsi="Arial" w:cs="Arial"/>
          <w:b/>
        </w:rPr>
      </w:pPr>
    </w:p>
    <w:p w14:paraId="62B03F7B" w14:textId="77777777" w:rsidR="00FD5A1C" w:rsidRDefault="00FD5A1C" w:rsidP="00FD5A1C">
      <w:pPr>
        <w:pStyle w:val="Paragraph"/>
        <w:tabs>
          <w:tab w:val="clear" w:pos="567"/>
          <w:tab w:val="left" w:pos="709"/>
        </w:tabs>
        <w:ind w:left="720"/>
        <w:rPr>
          <w:b/>
          <w:bCs/>
        </w:rPr>
      </w:pPr>
      <w:r>
        <w:t>The NICE website will be updated with the panel’s decision</w:t>
      </w:r>
      <w:r w:rsidRPr="2589EC1A">
        <w:rPr>
          <w:b/>
          <w:bCs/>
        </w:rPr>
        <w:t>.</w:t>
      </w:r>
    </w:p>
    <w:p w14:paraId="1E803C29" w14:textId="77777777" w:rsidR="00FD5A1C" w:rsidRPr="00B304D2" w:rsidRDefault="00FD5A1C" w:rsidP="00FD5A1C">
      <w:pPr>
        <w:rPr>
          <w:rFonts w:ascii="Arial" w:hAnsi="Arial" w:cs="Arial"/>
          <w:b/>
        </w:rPr>
      </w:pPr>
      <w:r w:rsidRPr="00B304D2">
        <w:rPr>
          <w:rFonts w:ascii="Arial" w:hAnsi="Arial" w:cs="Arial"/>
          <w:b/>
        </w:rPr>
        <w:t xml:space="preserve">Accountability </w:t>
      </w:r>
    </w:p>
    <w:p w14:paraId="3890A8A4" w14:textId="77777777" w:rsidR="00FD5A1C" w:rsidRDefault="00FD5A1C" w:rsidP="00FD5A1C">
      <w:pPr>
        <w:pStyle w:val="Paragraph"/>
        <w:numPr>
          <w:ilvl w:val="0"/>
          <w:numId w:val="0"/>
        </w:numPr>
        <w:shd w:val="clear" w:color="auto" w:fill="FFFFFF"/>
        <w:spacing w:after="0" w:line="240" w:lineRule="auto"/>
        <w:ind w:left="709" w:hanging="709"/>
        <w:rPr>
          <w:b/>
          <w:shd w:val="clear" w:color="auto" w:fill="BFBFBF"/>
        </w:rPr>
      </w:pPr>
    </w:p>
    <w:p w14:paraId="20A27AD0" w14:textId="34BA86CA" w:rsidR="00FD5A1C" w:rsidRDefault="007C49F2" w:rsidP="00FD5A1C">
      <w:pPr>
        <w:pStyle w:val="Paragraph"/>
        <w:tabs>
          <w:tab w:val="clear" w:pos="567"/>
          <w:tab w:val="left" w:pos="709"/>
        </w:tabs>
        <w:ind w:left="720"/>
      </w:pPr>
      <w:r>
        <w:t xml:space="preserve">The </w:t>
      </w:r>
      <w:r w:rsidR="00B72987">
        <w:t xml:space="preserve">Topic Selection Oversight Panel </w:t>
      </w:r>
      <w:r w:rsidR="00FD5A1C">
        <w:t xml:space="preserve">has the authority to make final decisions about which topics notified to the topic selection process are selected for guidance development and to which programme they are routed. </w:t>
      </w:r>
    </w:p>
    <w:p w14:paraId="144E523C" w14:textId="48540A4D" w:rsidR="00FD5A1C" w:rsidRDefault="00FD5A1C" w:rsidP="00FD5A1C">
      <w:pPr>
        <w:pStyle w:val="Paragraph"/>
        <w:tabs>
          <w:tab w:val="clear" w:pos="567"/>
          <w:tab w:val="left" w:pos="709"/>
        </w:tabs>
        <w:ind w:left="720"/>
      </w:pPr>
      <w:r>
        <w:t xml:space="preserve">Where an external stakeholder challenges the decision that </w:t>
      </w:r>
      <w:r w:rsidR="00B72987">
        <w:t xml:space="preserve">Topic Selection Oversight Panel </w:t>
      </w:r>
      <w:r>
        <w:t>have previously made,</w:t>
      </w:r>
      <w:r w:rsidR="007C49F2">
        <w:t xml:space="preserve"> the</w:t>
      </w:r>
      <w:r>
        <w:t xml:space="preserve"> </w:t>
      </w:r>
      <w:proofErr w:type="gramStart"/>
      <w:r w:rsidR="007C49F2">
        <w:t>p</w:t>
      </w:r>
      <w:r w:rsidR="00B72987">
        <w:t xml:space="preserve">anel </w:t>
      </w:r>
      <w:r>
        <w:t xml:space="preserve"> will</w:t>
      </w:r>
      <w:proofErr w:type="gramEnd"/>
      <w:r>
        <w:t xml:space="preserve"> be asked to re-consider their position. The outcome of the re-consideration step will be ratified by the NICE Senior Management Team.</w:t>
      </w:r>
    </w:p>
    <w:p w14:paraId="1BB58504" w14:textId="77777777" w:rsidR="00FD5A1C" w:rsidRDefault="00FD5A1C" w:rsidP="00FD5A1C">
      <w:pPr>
        <w:rPr>
          <w:rFonts w:ascii="Arial" w:hAnsi="Arial" w:cs="Arial"/>
          <w:b/>
        </w:rPr>
      </w:pPr>
      <w:r w:rsidRPr="001368A6">
        <w:rPr>
          <w:rFonts w:ascii="Arial" w:hAnsi="Arial" w:cs="Arial"/>
          <w:b/>
        </w:rPr>
        <w:t xml:space="preserve">Review of terms of reference </w:t>
      </w:r>
    </w:p>
    <w:p w14:paraId="1DBCAD4B" w14:textId="77777777" w:rsidR="00FD5A1C" w:rsidRPr="001368A6" w:rsidRDefault="00FD5A1C" w:rsidP="00FD5A1C">
      <w:pPr>
        <w:rPr>
          <w:rFonts w:ascii="Arial" w:hAnsi="Arial" w:cs="Arial"/>
          <w:b/>
        </w:rPr>
      </w:pPr>
    </w:p>
    <w:p w14:paraId="6A50CA9E" w14:textId="77777777" w:rsidR="00FD5A1C" w:rsidRPr="001368A6" w:rsidRDefault="00FD5A1C" w:rsidP="00FD5A1C">
      <w:pPr>
        <w:pStyle w:val="Paragraph"/>
        <w:tabs>
          <w:tab w:val="clear" w:pos="567"/>
          <w:tab w:val="left" w:pos="709"/>
        </w:tabs>
        <w:ind w:left="720"/>
      </w:pPr>
      <w:r>
        <w:t>These terms of reference and standing orders will be reviewed every 3 years.</w:t>
      </w:r>
    </w:p>
    <w:bookmarkEnd w:id="8"/>
    <w:p w14:paraId="387A0E54" w14:textId="77777777" w:rsidR="00FD5A1C" w:rsidRDefault="00FD5A1C" w:rsidP="00FD5A1C">
      <w:pPr>
        <w:widowControl w:val="0"/>
        <w:spacing w:before="120" w:after="240"/>
        <w:jc w:val="both"/>
        <w:rPr>
          <w:rFonts w:cs="Arial"/>
        </w:rPr>
      </w:pPr>
    </w:p>
    <w:p w14:paraId="3D847AD1" w14:textId="77777777" w:rsidR="00FD5A1C" w:rsidRPr="001368A6" w:rsidRDefault="00FD5A1C" w:rsidP="00FD5A1C">
      <w:pPr>
        <w:widowControl w:val="0"/>
        <w:spacing w:before="120" w:after="240"/>
        <w:jc w:val="both"/>
        <w:rPr>
          <w:rFonts w:ascii="Arial" w:hAnsi="Arial" w:cs="Arial"/>
        </w:rPr>
      </w:pPr>
      <w:r w:rsidRPr="001368A6">
        <w:rPr>
          <w:rFonts w:ascii="Arial" w:hAnsi="Arial" w:cs="Arial"/>
        </w:rPr>
        <w:t xml:space="preserve">Date: </w:t>
      </w:r>
      <w:r>
        <w:rPr>
          <w:rFonts w:ascii="Arial" w:hAnsi="Arial" w:cs="Arial"/>
        </w:rPr>
        <w:t>XX</w:t>
      </w:r>
    </w:p>
    <w:p w14:paraId="1E6876A6" w14:textId="77777777" w:rsidR="00FD5A1C" w:rsidRPr="001368A6" w:rsidRDefault="00FD5A1C" w:rsidP="00FD5A1C">
      <w:pPr>
        <w:widowControl w:val="0"/>
        <w:tabs>
          <w:tab w:val="num" w:pos="450"/>
        </w:tabs>
        <w:spacing w:before="120" w:after="240"/>
        <w:jc w:val="both"/>
        <w:rPr>
          <w:rFonts w:ascii="Arial" w:hAnsi="Arial" w:cs="Arial"/>
        </w:rPr>
      </w:pPr>
      <w:r w:rsidRPr="001368A6">
        <w:rPr>
          <w:rFonts w:ascii="Arial" w:hAnsi="Arial" w:cs="Arial"/>
        </w:rPr>
        <w:t xml:space="preserve">Review date: </w:t>
      </w:r>
      <w:r>
        <w:rPr>
          <w:rFonts w:ascii="Arial" w:hAnsi="Arial" w:cs="Arial"/>
        </w:rPr>
        <w:t>XX</w:t>
      </w:r>
    </w:p>
    <w:p w14:paraId="289C862A" w14:textId="77777777" w:rsidR="00FD5A1C" w:rsidRPr="00635E3B" w:rsidRDefault="00FD5A1C" w:rsidP="00FD5A1C">
      <w:pPr>
        <w:pStyle w:val="Paragraphnonumbers"/>
        <w:jc w:val="both"/>
        <w:rPr>
          <w:rFonts w:cs="Arial"/>
          <w:b/>
          <w:bCs/>
          <w:kern w:val="28"/>
          <w:lang w:val="en-US"/>
        </w:rPr>
      </w:pPr>
    </w:p>
    <w:p w14:paraId="5891B79E" w14:textId="77777777" w:rsidR="00652697" w:rsidRDefault="00652697" w:rsidP="007076C8">
      <w:pPr>
        <w:pStyle w:val="Paragraphnonumbers"/>
      </w:pPr>
    </w:p>
    <w:p w14:paraId="7B06B73E" w14:textId="5B20B3AB" w:rsidR="00243E00" w:rsidRDefault="00243E00" w:rsidP="006C2AA9">
      <w:pPr>
        <w:pStyle w:val="Paragraphnonumbers"/>
      </w:pPr>
    </w:p>
    <w:sectPr w:rsidR="00243E00" w:rsidSect="0065269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A9B30" w14:textId="77777777" w:rsidR="00C81DD6" w:rsidRDefault="00C81DD6" w:rsidP="00446BEE">
      <w:r>
        <w:separator/>
      </w:r>
    </w:p>
  </w:endnote>
  <w:endnote w:type="continuationSeparator" w:id="0">
    <w:p w14:paraId="62C111AE" w14:textId="77777777" w:rsidR="00C81DD6" w:rsidRDefault="00C81DD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9D348" w14:textId="77777777" w:rsidR="007065A3" w:rsidRDefault="007065A3">
    <w:pPr>
      <w:pStyle w:val="Footer"/>
    </w:pPr>
    <w:r>
      <w:t>Centre for Health Technology Evaluation</w:t>
    </w:r>
  </w:p>
  <w:p w14:paraId="6EA409C9" w14:textId="1AFA579D" w:rsidR="00821FF4" w:rsidRDefault="007065A3">
    <w:pPr>
      <w:pStyle w:val="Footer"/>
    </w:pPr>
    <w:r>
      <w:t>Topic Selection Processes – proposals for change</w:t>
    </w:r>
    <w:r w:rsidR="00821FF4">
      <w:tab/>
    </w:r>
    <w:r w:rsidR="00821FF4">
      <w:tab/>
    </w:r>
    <w:r w:rsidR="00821FF4">
      <w:fldChar w:fldCharType="begin"/>
    </w:r>
    <w:r w:rsidR="00821FF4">
      <w:instrText xml:space="preserve"> PAGE </w:instrText>
    </w:r>
    <w:r w:rsidR="00821FF4">
      <w:fldChar w:fldCharType="separate"/>
    </w:r>
    <w:r w:rsidR="00821FF4">
      <w:rPr>
        <w:noProof/>
      </w:rPr>
      <w:t>1</w:t>
    </w:r>
    <w:r w:rsidR="00821FF4">
      <w:fldChar w:fldCharType="end"/>
    </w:r>
    <w:r w:rsidR="00821FF4">
      <w:t xml:space="preserve"> of </w:t>
    </w:r>
    <w:r w:rsidR="00821FF4">
      <w:fldChar w:fldCharType="begin"/>
    </w:r>
    <w:r w:rsidR="00821FF4">
      <w:instrText>NUMPAGES</w:instrText>
    </w:r>
    <w:r w:rsidR="00821FF4">
      <w:fldChar w:fldCharType="separate"/>
    </w:r>
    <w:r w:rsidR="00821FF4">
      <w:rPr>
        <w:noProof/>
      </w:rPr>
      <w:t>1</w:t>
    </w:r>
    <w:r w:rsidR="00821F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4E0BC" w14:textId="77777777" w:rsidR="00C81DD6" w:rsidRDefault="00C81DD6" w:rsidP="00446BEE">
      <w:r>
        <w:separator/>
      </w:r>
    </w:p>
  </w:footnote>
  <w:footnote w:type="continuationSeparator" w:id="0">
    <w:p w14:paraId="4B4C82EA" w14:textId="77777777" w:rsidR="00C81DD6" w:rsidRDefault="00C81DD6"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54C47"/>
    <w:multiLevelType w:val="hybridMultilevel"/>
    <w:tmpl w:val="DEE6E202"/>
    <w:lvl w:ilvl="0" w:tplc="08090003">
      <w:start w:val="1"/>
      <w:numFmt w:val="bullet"/>
      <w:lvlText w:val="o"/>
      <w:lvlJc w:val="left"/>
      <w:pPr>
        <w:ind w:left="715" w:hanging="360"/>
      </w:pPr>
      <w:rPr>
        <w:rFonts w:ascii="Courier New" w:hAnsi="Courier New" w:cs="Courier New"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11B15797"/>
    <w:multiLevelType w:val="hybridMultilevel"/>
    <w:tmpl w:val="9FDA13D8"/>
    <w:lvl w:ilvl="0" w:tplc="88BE6816">
      <w:start w:val="1"/>
      <w:numFmt w:val="decimal"/>
      <w:pStyle w:val="Paragraph"/>
      <w:lvlText w:val="%1."/>
      <w:lvlJc w:val="left"/>
      <w:pPr>
        <w:ind w:left="4471" w:hanging="360"/>
      </w:pPr>
      <w:rPr>
        <w:b w:val="0"/>
        <w:bCs/>
      </w:rPr>
    </w:lvl>
    <w:lvl w:ilvl="1" w:tplc="84507102">
      <w:start w:val="1"/>
      <w:numFmt w:val="lowerLetter"/>
      <w:lvlText w:val="%2."/>
      <w:lvlJc w:val="left"/>
      <w:pPr>
        <w:ind w:left="1440" w:hanging="360"/>
      </w:pPr>
      <w:rPr>
        <w:b w:val="0"/>
        <w:bCs/>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C1A39"/>
    <w:multiLevelType w:val="hybridMultilevel"/>
    <w:tmpl w:val="B02E705C"/>
    <w:lvl w:ilvl="0" w:tplc="D936A8E4">
      <w:start w:val="1"/>
      <w:numFmt w:val="bullet"/>
      <w:lvlText w:val="•"/>
      <w:lvlJc w:val="left"/>
      <w:pPr>
        <w:tabs>
          <w:tab w:val="num" w:pos="360"/>
        </w:tabs>
        <w:ind w:left="360" w:hanging="360"/>
      </w:pPr>
      <w:rPr>
        <w:rFonts w:ascii="Arial" w:hAnsi="Arial" w:hint="default"/>
      </w:rPr>
    </w:lvl>
    <w:lvl w:ilvl="1" w:tplc="DB085256">
      <w:start w:val="1"/>
      <w:numFmt w:val="bullet"/>
      <w:lvlText w:val="•"/>
      <w:lvlJc w:val="left"/>
      <w:pPr>
        <w:tabs>
          <w:tab w:val="num" w:pos="1080"/>
        </w:tabs>
        <w:ind w:left="1080" w:hanging="360"/>
      </w:pPr>
      <w:rPr>
        <w:rFonts w:ascii="Arial" w:hAnsi="Arial" w:hint="default"/>
      </w:rPr>
    </w:lvl>
    <w:lvl w:ilvl="2" w:tplc="29DE6EA4" w:tentative="1">
      <w:start w:val="1"/>
      <w:numFmt w:val="bullet"/>
      <w:lvlText w:val="•"/>
      <w:lvlJc w:val="left"/>
      <w:pPr>
        <w:tabs>
          <w:tab w:val="num" w:pos="1800"/>
        </w:tabs>
        <w:ind w:left="1800" w:hanging="360"/>
      </w:pPr>
      <w:rPr>
        <w:rFonts w:ascii="Arial" w:hAnsi="Arial" w:hint="default"/>
      </w:rPr>
    </w:lvl>
    <w:lvl w:ilvl="3" w:tplc="F6C45350" w:tentative="1">
      <w:start w:val="1"/>
      <w:numFmt w:val="bullet"/>
      <w:lvlText w:val="•"/>
      <w:lvlJc w:val="left"/>
      <w:pPr>
        <w:tabs>
          <w:tab w:val="num" w:pos="2520"/>
        </w:tabs>
        <w:ind w:left="2520" w:hanging="360"/>
      </w:pPr>
      <w:rPr>
        <w:rFonts w:ascii="Arial" w:hAnsi="Arial" w:hint="default"/>
      </w:rPr>
    </w:lvl>
    <w:lvl w:ilvl="4" w:tplc="B6FEBC12" w:tentative="1">
      <w:start w:val="1"/>
      <w:numFmt w:val="bullet"/>
      <w:lvlText w:val="•"/>
      <w:lvlJc w:val="left"/>
      <w:pPr>
        <w:tabs>
          <w:tab w:val="num" w:pos="3240"/>
        </w:tabs>
        <w:ind w:left="3240" w:hanging="360"/>
      </w:pPr>
      <w:rPr>
        <w:rFonts w:ascii="Arial" w:hAnsi="Arial" w:hint="default"/>
      </w:rPr>
    </w:lvl>
    <w:lvl w:ilvl="5" w:tplc="76E6D486" w:tentative="1">
      <w:start w:val="1"/>
      <w:numFmt w:val="bullet"/>
      <w:lvlText w:val="•"/>
      <w:lvlJc w:val="left"/>
      <w:pPr>
        <w:tabs>
          <w:tab w:val="num" w:pos="3960"/>
        </w:tabs>
        <w:ind w:left="3960" w:hanging="360"/>
      </w:pPr>
      <w:rPr>
        <w:rFonts w:ascii="Arial" w:hAnsi="Arial" w:hint="default"/>
      </w:rPr>
    </w:lvl>
    <w:lvl w:ilvl="6" w:tplc="9FE48808" w:tentative="1">
      <w:start w:val="1"/>
      <w:numFmt w:val="bullet"/>
      <w:lvlText w:val="•"/>
      <w:lvlJc w:val="left"/>
      <w:pPr>
        <w:tabs>
          <w:tab w:val="num" w:pos="4680"/>
        </w:tabs>
        <w:ind w:left="4680" w:hanging="360"/>
      </w:pPr>
      <w:rPr>
        <w:rFonts w:ascii="Arial" w:hAnsi="Arial" w:hint="default"/>
      </w:rPr>
    </w:lvl>
    <w:lvl w:ilvl="7" w:tplc="23AE0FAA" w:tentative="1">
      <w:start w:val="1"/>
      <w:numFmt w:val="bullet"/>
      <w:lvlText w:val="•"/>
      <w:lvlJc w:val="left"/>
      <w:pPr>
        <w:tabs>
          <w:tab w:val="num" w:pos="5400"/>
        </w:tabs>
        <w:ind w:left="5400" w:hanging="360"/>
      </w:pPr>
      <w:rPr>
        <w:rFonts w:ascii="Arial" w:hAnsi="Arial" w:hint="default"/>
      </w:rPr>
    </w:lvl>
    <w:lvl w:ilvl="8" w:tplc="4BE85E7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1DAD3350"/>
    <w:multiLevelType w:val="hybridMultilevel"/>
    <w:tmpl w:val="95648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D2D20"/>
    <w:multiLevelType w:val="hybridMultilevel"/>
    <w:tmpl w:val="A06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30FDA"/>
    <w:multiLevelType w:val="hybridMultilevel"/>
    <w:tmpl w:val="08540104"/>
    <w:lvl w:ilvl="0" w:tplc="409C2376">
      <w:start w:val="1"/>
      <w:numFmt w:val="decimal"/>
      <w:pStyle w:val="Numberedheading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D802BB0">
      <w:start w:val="1"/>
      <w:numFmt w:val="decimal"/>
      <w:pStyle w:val="Numberedheading2"/>
      <w:lvlText w:val="%1.%2."/>
      <w:lvlJc w:val="left"/>
      <w:pPr>
        <w:ind w:left="604" w:hanging="604"/>
      </w:pPr>
      <w:rPr>
        <w:rFonts w:hint="default"/>
        <w:b w:val="0"/>
      </w:rPr>
    </w:lvl>
    <w:lvl w:ilvl="2" w:tplc="8B8C1F80">
      <w:start w:val="1"/>
      <w:numFmt w:val="decimal"/>
      <w:lvlText w:val="%1.%2.%3."/>
      <w:lvlJc w:val="left"/>
      <w:pPr>
        <w:ind w:left="1224" w:hanging="504"/>
      </w:pPr>
      <w:rPr>
        <w:rFonts w:hint="default"/>
      </w:rPr>
    </w:lvl>
    <w:lvl w:ilvl="3" w:tplc="DA0A6006">
      <w:start w:val="1"/>
      <w:numFmt w:val="decimal"/>
      <w:lvlText w:val="%1.%2.%3.%4."/>
      <w:lvlJc w:val="left"/>
      <w:pPr>
        <w:ind w:left="1728" w:hanging="648"/>
      </w:pPr>
      <w:rPr>
        <w:rFonts w:hint="default"/>
      </w:rPr>
    </w:lvl>
    <w:lvl w:ilvl="4" w:tplc="530E93CA">
      <w:start w:val="1"/>
      <w:numFmt w:val="decimal"/>
      <w:lvlText w:val="%1.%2.%3.%4.%5."/>
      <w:lvlJc w:val="left"/>
      <w:pPr>
        <w:ind w:left="2232" w:hanging="792"/>
      </w:pPr>
      <w:rPr>
        <w:rFonts w:hint="default"/>
      </w:rPr>
    </w:lvl>
    <w:lvl w:ilvl="5" w:tplc="4782D600">
      <w:start w:val="1"/>
      <w:numFmt w:val="decimal"/>
      <w:lvlText w:val="%1.%2.%3.%4.%5.%6."/>
      <w:lvlJc w:val="left"/>
      <w:pPr>
        <w:ind w:left="2736" w:hanging="936"/>
      </w:pPr>
      <w:rPr>
        <w:rFonts w:hint="default"/>
      </w:rPr>
    </w:lvl>
    <w:lvl w:ilvl="6" w:tplc="6730F31C">
      <w:start w:val="1"/>
      <w:numFmt w:val="decimal"/>
      <w:lvlText w:val="%1.%2.%3.%4.%5.%6.%7."/>
      <w:lvlJc w:val="left"/>
      <w:pPr>
        <w:ind w:left="3240" w:hanging="1080"/>
      </w:pPr>
      <w:rPr>
        <w:rFonts w:hint="default"/>
      </w:rPr>
    </w:lvl>
    <w:lvl w:ilvl="7" w:tplc="350457E0">
      <w:start w:val="1"/>
      <w:numFmt w:val="decimal"/>
      <w:lvlText w:val="%1.%2.%3.%4.%5.%6.%7.%8."/>
      <w:lvlJc w:val="left"/>
      <w:pPr>
        <w:ind w:left="3744" w:hanging="1224"/>
      </w:pPr>
      <w:rPr>
        <w:rFonts w:hint="default"/>
      </w:rPr>
    </w:lvl>
    <w:lvl w:ilvl="8" w:tplc="C7C0A4B2">
      <w:start w:val="1"/>
      <w:numFmt w:val="decimal"/>
      <w:lvlText w:val="%1.%2.%3.%4.%5.%6.%7.%8.%9."/>
      <w:lvlJc w:val="left"/>
      <w:pPr>
        <w:ind w:left="4320" w:hanging="1440"/>
      </w:pPr>
      <w:rPr>
        <w:rFonts w:hint="default"/>
      </w:rPr>
    </w:lvl>
  </w:abstractNum>
  <w:abstractNum w:abstractNumId="7" w15:restartNumberingAfterBreak="0">
    <w:nsid w:val="381C5364"/>
    <w:multiLevelType w:val="hybridMultilevel"/>
    <w:tmpl w:val="0FD00236"/>
    <w:lvl w:ilvl="0" w:tplc="2034EE6A">
      <w:start w:val="1"/>
      <w:numFmt w:val="bullet"/>
      <w:lvlText w:val=""/>
      <w:lvlJc w:val="left"/>
      <w:pPr>
        <w:ind w:left="1167" w:hanging="360"/>
      </w:pPr>
      <w:rPr>
        <w:rFonts w:ascii="Symbol" w:hAnsi="Symbol" w:hint="default"/>
        <w:sz w:val="22"/>
        <w:szCs w:val="22"/>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8" w15:restartNumberingAfterBreak="0">
    <w:nsid w:val="4546496A"/>
    <w:multiLevelType w:val="hybridMultilevel"/>
    <w:tmpl w:val="50D0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7B3F15"/>
    <w:multiLevelType w:val="hybridMultilevel"/>
    <w:tmpl w:val="7DD0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7C7024"/>
    <w:multiLevelType w:val="hybridMultilevel"/>
    <w:tmpl w:val="B00EAF52"/>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11"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6F2189"/>
    <w:multiLevelType w:val="hybridMultilevel"/>
    <w:tmpl w:val="EA5C5BAA"/>
    <w:lvl w:ilvl="0" w:tplc="E1F2A394">
      <w:start w:val="1"/>
      <w:numFmt w:val="bullet"/>
      <w:pStyle w:val="Bullets"/>
      <w:lvlText w:val=""/>
      <w:lvlJc w:val="left"/>
      <w:pPr>
        <w:ind w:left="1134" w:hanging="454"/>
      </w:pPr>
      <w:rPr>
        <w:rFonts w:ascii="Symbol" w:hAnsi="Symbol" w:hint="default"/>
        <w:color w:val="auto"/>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567943"/>
    <w:multiLevelType w:val="hybridMultilevel"/>
    <w:tmpl w:val="9AD2E550"/>
    <w:lvl w:ilvl="0" w:tplc="CACA5632">
      <w:start w:val="1"/>
      <w:numFmt w:val="bullet"/>
      <w:lvlText w:val="•"/>
      <w:lvlJc w:val="left"/>
      <w:pPr>
        <w:tabs>
          <w:tab w:val="num" w:pos="360"/>
        </w:tabs>
        <w:ind w:left="360" w:hanging="360"/>
      </w:pPr>
      <w:rPr>
        <w:rFonts w:ascii="Arial" w:hAnsi="Arial" w:hint="default"/>
      </w:rPr>
    </w:lvl>
    <w:lvl w:ilvl="1" w:tplc="335C9D24" w:tentative="1">
      <w:start w:val="1"/>
      <w:numFmt w:val="bullet"/>
      <w:lvlText w:val="•"/>
      <w:lvlJc w:val="left"/>
      <w:pPr>
        <w:tabs>
          <w:tab w:val="num" w:pos="1080"/>
        </w:tabs>
        <w:ind w:left="1080" w:hanging="360"/>
      </w:pPr>
      <w:rPr>
        <w:rFonts w:ascii="Arial" w:hAnsi="Arial" w:hint="default"/>
      </w:rPr>
    </w:lvl>
    <w:lvl w:ilvl="2" w:tplc="030097C4" w:tentative="1">
      <w:start w:val="1"/>
      <w:numFmt w:val="bullet"/>
      <w:lvlText w:val="•"/>
      <w:lvlJc w:val="left"/>
      <w:pPr>
        <w:tabs>
          <w:tab w:val="num" w:pos="1800"/>
        </w:tabs>
        <w:ind w:left="1800" w:hanging="360"/>
      </w:pPr>
      <w:rPr>
        <w:rFonts w:ascii="Arial" w:hAnsi="Arial" w:hint="default"/>
      </w:rPr>
    </w:lvl>
    <w:lvl w:ilvl="3" w:tplc="DBEEFDD2" w:tentative="1">
      <w:start w:val="1"/>
      <w:numFmt w:val="bullet"/>
      <w:lvlText w:val="•"/>
      <w:lvlJc w:val="left"/>
      <w:pPr>
        <w:tabs>
          <w:tab w:val="num" w:pos="2520"/>
        </w:tabs>
        <w:ind w:left="2520" w:hanging="360"/>
      </w:pPr>
      <w:rPr>
        <w:rFonts w:ascii="Arial" w:hAnsi="Arial" w:hint="default"/>
      </w:rPr>
    </w:lvl>
    <w:lvl w:ilvl="4" w:tplc="1F403946" w:tentative="1">
      <w:start w:val="1"/>
      <w:numFmt w:val="bullet"/>
      <w:lvlText w:val="•"/>
      <w:lvlJc w:val="left"/>
      <w:pPr>
        <w:tabs>
          <w:tab w:val="num" w:pos="3240"/>
        </w:tabs>
        <w:ind w:left="3240" w:hanging="360"/>
      </w:pPr>
      <w:rPr>
        <w:rFonts w:ascii="Arial" w:hAnsi="Arial" w:hint="default"/>
      </w:rPr>
    </w:lvl>
    <w:lvl w:ilvl="5" w:tplc="BF86F23C" w:tentative="1">
      <w:start w:val="1"/>
      <w:numFmt w:val="bullet"/>
      <w:lvlText w:val="•"/>
      <w:lvlJc w:val="left"/>
      <w:pPr>
        <w:tabs>
          <w:tab w:val="num" w:pos="3960"/>
        </w:tabs>
        <w:ind w:left="3960" w:hanging="360"/>
      </w:pPr>
      <w:rPr>
        <w:rFonts w:ascii="Arial" w:hAnsi="Arial" w:hint="default"/>
      </w:rPr>
    </w:lvl>
    <w:lvl w:ilvl="6" w:tplc="A36277EC" w:tentative="1">
      <w:start w:val="1"/>
      <w:numFmt w:val="bullet"/>
      <w:lvlText w:val="•"/>
      <w:lvlJc w:val="left"/>
      <w:pPr>
        <w:tabs>
          <w:tab w:val="num" w:pos="4680"/>
        </w:tabs>
        <w:ind w:left="4680" w:hanging="360"/>
      </w:pPr>
      <w:rPr>
        <w:rFonts w:ascii="Arial" w:hAnsi="Arial" w:hint="default"/>
      </w:rPr>
    </w:lvl>
    <w:lvl w:ilvl="7" w:tplc="FB50CCDE" w:tentative="1">
      <w:start w:val="1"/>
      <w:numFmt w:val="bullet"/>
      <w:lvlText w:val="•"/>
      <w:lvlJc w:val="left"/>
      <w:pPr>
        <w:tabs>
          <w:tab w:val="num" w:pos="5400"/>
        </w:tabs>
        <w:ind w:left="5400" w:hanging="360"/>
      </w:pPr>
      <w:rPr>
        <w:rFonts w:ascii="Arial" w:hAnsi="Arial" w:hint="default"/>
      </w:rPr>
    </w:lvl>
    <w:lvl w:ilvl="8" w:tplc="F658160E"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6C6B20BC"/>
    <w:multiLevelType w:val="hybridMultilevel"/>
    <w:tmpl w:val="88B06A3A"/>
    <w:lvl w:ilvl="0" w:tplc="C9D2FE9A">
      <w:start w:val="1"/>
      <w:numFmt w:val="decimal"/>
      <w:pStyle w:val="Style1"/>
      <w:lvlText w:val="%1."/>
      <w:lvlJc w:val="left"/>
      <w:pPr>
        <w:ind w:left="10141"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366BC8"/>
    <w:multiLevelType w:val="hybridMultilevel"/>
    <w:tmpl w:val="71180D56"/>
    <w:lvl w:ilvl="0" w:tplc="09C62B22">
      <w:start w:val="1"/>
      <w:numFmt w:val="bullet"/>
      <w:lvlText w:val=""/>
      <w:lvlJc w:val="left"/>
      <w:pPr>
        <w:tabs>
          <w:tab w:val="num" w:pos="720"/>
        </w:tabs>
        <w:ind w:left="720" w:hanging="360"/>
      </w:pPr>
      <w:rPr>
        <w:rFonts w:ascii="Symbol" w:hAnsi="Symbol" w:hint="default"/>
        <w:sz w:val="20"/>
      </w:rPr>
    </w:lvl>
    <w:lvl w:ilvl="1" w:tplc="0316BDCE">
      <w:start w:val="1"/>
      <w:numFmt w:val="bullet"/>
      <w:lvlText w:val="o"/>
      <w:lvlJc w:val="left"/>
      <w:pPr>
        <w:tabs>
          <w:tab w:val="num" w:pos="1440"/>
        </w:tabs>
        <w:ind w:left="1440" w:hanging="360"/>
      </w:pPr>
      <w:rPr>
        <w:rFonts w:ascii="Courier New" w:hAnsi="Courier New" w:cs="Times New Roman" w:hint="default"/>
        <w:sz w:val="20"/>
      </w:rPr>
    </w:lvl>
    <w:lvl w:ilvl="2" w:tplc="3B0EEBEC">
      <w:start w:val="1"/>
      <w:numFmt w:val="bullet"/>
      <w:lvlText w:val=""/>
      <w:lvlJc w:val="left"/>
      <w:pPr>
        <w:tabs>
          <w:tab w:val="num" w:pos="2160"/>
        </w:tabs>
        <w:ind w:left="2160" w:hanging="360"/>
      </w:pPr>
      <w:rPr>
        <w:rFonts w:ascii="Symbol" w:hAnsi="Symbol" w:hint="default"/>
        <w:sz w:val="20"/>
      </w:rPr>
    </w:lvl>
    <w:lvl w:ilvl="3" w:tplc="74648436">
      <w:start w:val="1"/>
      <w:numFmt w:val="bullet"/>
      <w:lvlText w:val=""/>
      <w:lvlJc w:val="left"/>
      <w:pPr>
        <w:tabs>
          <w:tab w:val="num" w:pos="2880"/>
        </w:tabs>
        <w:ind w:left="2880" w:hanging="360"/>
      </w:pPr>
      <w:rPr>
        <w:rFonts w:ascii="Symbol" w:hAnsi="Symbol" w:hint="default"/>
        <w:sz w:val="20"/>
      </w:rPr>
    </w:lvl>
    <w:lvl w:ilvl="4" w:tplc="AD565AA0">
      <w:start w:val="1"/>
      <w:numFmt w:val="bullet"/>
      <w:lvlText w:val=""/>
      <w:lvlJc w:val="left"/>
      <w:pPr>
        <w:tabs>
          <w:tab w:val="num" w:pos="3600"/>
        </w:tabs>
        <w:ind w:left="3600" w:hanging="360"/>
      </w:pPr>
      <w:rPr>
        <w:rFonts w:ascii="Symbol" w:hAnsi="Symbol" w:hint="default"/>
        <w:sz w:val="20"/>
      </w:rPr>
    </w:lvl>
    <w:lvl w:ilvl="5" w:tplc="2018B2C2">
      <w:start w:val="1"/>
      <w:numFmt w:val="bullet"/>
      <w:lvlText w:val=""/>
      <w:lvlJc w:val="left"/>
      <w:pPr>
        <w:tabs>
          <w:tab w:val="num" w:pos="4320"/>
        </w:tabs>
        <w:ind w:left="4320" w:hanging="360"/>
      </w:pPr>
      <w:rPr>
        <w:rFonts w:ascii="Symbol" w:hAnsi="Symbol" w:hint="default"/>
        <w:sz w:val="20"/>
      </w:rPr>
    </w:lvl>
    <w:lvl w:ilvl="6" w:tplc="3026A282">
      <w:start w:val="1"/>
      <w:numFmt w:val="bullet"/>
      <w:lvlText w:val=""/>
      <w:lvlJc w:val="left"/>
      <w:pPr>
        <w:tabs>
          <w:tab w:val="num" w:pos="5040"/>
        </w:tabs>
        <w:ind w:left="5040" w:hanging="360"/>
      </w:pPr>
      <w:rPr>
        <w:rFonts w:ascii="Symbol" w:hAnsi="Symbol" w:hint="default"/>
        <w:sz w:val="20"/>
      </w:rPr>
    </w:lvl>
    <w:lvl w:ilvl="7" w:tplc="D750A468">
      <w:start w:val="1"/>
      <w:numFmt w:val="bullet"/>
      <w:lvlText w:val=""/>
      <w:lvlJc w:val="left"/>
      <w:pPr>
        <w:tabs>
          <w:tab w:val="num" w:pos="5760"/>
        </w:tabs>
        <w:ind w:left="5760" w:hanging="360"/>
      </w:pPr>
      <w:rPr>
        <w:rFonts w:ascii="Symbol" w:hAnsi="Symbol" w:hint="default"/>
        <w:sz w:val="20"/>
      </w:rPr>
    </w:lvl>
    <w:lvl w:ilvl="8" w:tplc="ADECC0DC">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E74D87"/>
    <w:multiLevelType w:val="hybridMultilevel"/>
    <w:tmpl w:val="E42AD6D2"/>
    <w:lvl w:ilvl="0" w:tplc="B650BABC">
      <w:start w:val="1"/>
      <w:numFmt w:val="bullet"/>
      <w:lvlText w:val=""/>
      <w:lvlJc w:val="left"/>
      <w:pPr>
        <w:tabs>
          <w:tab w:val="num" w:pos="720"/>
        </w:tabs>
        <w:ind w:left="720" w:hanging="360"/>
      </w:pPr>
      <w:rPr>
        <w:rFonts w:ascii="Symbol" w:hAnsi="Symbol" w:hint="default"/>
        <w:sz w:val="20"/>
      </w:rPr>
    </w:lvl>
    <w:lvl w:ilvl="1" w:tplc="6316BC12">
      <w:start w:val="1"/>
      <w:numFmt w:val="bullet"/>
      <w:lvlText w:val="o"/>
      <w:lvlJc w:val="left"/>
      <w:pPr>
        <w:tabs>
          <w:tab w:val="num" w:pos="1440"/>
        </w:tabs>
        <w:ind w:left="1440" w:hanging="360"/>
      </w:pPr>
      <w:rPr>
        <w:rFonts w:ascii="Courier New" w:hAnsi="Courier New" w:cs="Times New Roman" w:hint="default"/>
        <w:sz w:val="20"/>
      </w:rPr>
    </w:lvl>
    <w:lvl w:ilvl="2" w:tplc="A4387CB0">
      <w:start w:val="1"/>
      <w:numFmt w:val="bullet"/>
      <w:lvlText w:val=""/>
      <w:lvlJc w:val="left"/>
      <w:pPr>
        <w:tabs>
          <w:tab w:val="num" w:pos="2160"/>
        </w:tabs>
        <w:ind w:left="2160" w:hanging="360"/>
      </w:pPr>
      <w:rPr>
        <w:rFonts w:ascii="Symbol" w:hAnsi="Symbol" w:hint="default"/>
        <w:sz w:val="20"/>
      </w:rPr>
    </w:lvl>
    <w:lvl w:ilvl="3" w:tplc="FD24EB62">
      <w:start w:val="1"/>
      <w:numFmt w:val="bullet"/>
      <w:lvlText w:val=""/>
      <w:lvlJc w:val="left"/>
      <w:pPr>
        <w:tabs>
          <w:tab w:val="num" w:pos="2880"/>
        </w:tabs>
        <w:ind w:left="2880" w:hanging="360"/>
      </w:pPr>
      <w:rPr>
        <w:rFonts w:ascii="Symbol" w:hAnsi="Symbol" w:hint="default"/>
        <w:sz w:val="20"/>
      </w:rPr>
    </w:lvl>
    <w:lvl w:ilvl="4" w:tplc="A182A18C">
      <w:start w:val="1"/>
      <w:numFmt w:val="bullet"/>
      <w:lvlText w:val=""/>
      <w:lvlJc w:val="left"/>
      <w:pPr>
        <w:tabs>
          <w:tab w:val="num" w:pos="3600"/>
        </w:tabs>
        <w:ind w:left="3600" w:hanging="360"/>
      </w:pPr>
      <w:rPr>
        <w:rFonts w:ascii="Symbol" w:hAnsi="Symbol" w:hint="default"/>
        <w:sz w:val="20"/>
      </w:rPr>
    </w:lvl>
    <w:lvl w:ilvl="5" w:tplc="1B1E91AE">
      <w:start w:val="1"/>
      <w:numFmt w:val="bullet"/>
      <w:lvlText w:val=""/>
      <w:lvlJc w:val="left"/>
      <w:pPr>
        <w:tabs>
          <w:tab w:val="num" w:pos="4320"/>
        </w:tabs>
        <w:ind w:left="4320" w:hanging="360"/>
      </w:pPr>
      <w:rPr>
        <w:rFonts w:ascii="Symbol" w:hAnsi="Symbol" w:hint="default"/>
        <w:sz w:val="20"/>
      </w:rPr>
    </w:lvl>
    <w:lvl w:ilvl="6" w:tplc="5BD8E59E">
      <w:start w:val="1"/>
      <w:numFmt w:val="bullet"/>
      <w:lvlText w:val=""/>
      <w:lvlJc w:val="left"/>
      <w:pPr>
        <w:tabs>
          <w:tab w:val="num" w:pos="5040"/>
        </w:tabs>
        <w:ind w:left="5040" w:hanging="360"/>
      </w:pPr>
      <w:rPr>
        <w:rFonts w:ascii="Symbol" w:hAnsi="Symbol" w:hint="default"/>
        <w:sz w:val="20"/>
      </w:rPr>
    </w:lvl>
    <w:lvl w:ilvl="7" w:tplc="85080806">
      <w:start w:val="1"/>
      <w:numFmt w:val="bullet"/>
      <w:lvlText w:val=""/>
      <w:lvlJc w:val="left"/>
      <w:pPr>
        <w:tabs>
          <w:tab w:val="num" w:pos="5760"/>
        </w:tabs>
        <w:ind w:left="5760" w:hanging="360"/>
      </w:pPr>
      <w:rPr>
        <w:rFonts w:ascii="Symbol" w:hAnsi="Symbol" w:hint="default"/>
        <w:sz w:val="20"/>
      </w:rPr>
    </w:lvl>
    <w:lvl w:ilvl="8" w:tplc="3D94B5E2">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4A722D"/>
    <w:multiLevelType w:val="hybridMultilevel"/>
    <w:tmpl w:val="EFF2A616"/>
    <w:lvl w:ilvl="0" w:tplc="08090001">
      <w:start w:val="1"/>
      <w:numFmt w:val="bullet"/>
      <w:lvlText w:val=""/>
      <w:lvlJc w:val="left"/>
      <w:pPr>
        <w:ind w:left="1167" w:hanging="360"/>
      </w:pPr>
      <w:rPr>
        <w:rFonts w:ascii="Symbol" w:hAnsi="Symbol" w:hint="default"/>
      </w:rPr>
    </w:lvl>
    <w:lvl w:ilvl="1" w:tplc="08090003" w:tentative="1">
      <w:start w:val="1"/>
      <w:numFmt w:val="bullet"/>
      <w:lvlText w:val="o"/>
      <w:lvlJc w:val="left"/>
      <w:pPr>
        <w:ind w:left="1887" w:hanging="360"/>
      </w:pPr>
      <w:rPr>
        <w:rFonts w:ascii="Courier New" w:hAnsi="Courier New" w:cs="Courier New" w:hint="default"/>
      </w:rPr>
    </w:lvl>
    <w:lvl w:ilvl="2" w:tplc="08090005" w:tentative="1">
      <w:start w:val="1"/>
      <w:numFmt w:val="bullet"/>
      <w:lvlText w:val=""/>
      <w:lvlJc w:val="left"/>
      <w:pPr>
        <w:ind w:left="2607" w:hanging="360"/>
      </w:pPr>
      <w:rPr>
        <w:rFonts w:ascii="Wingdings" w:hAnsi="Wingdings" w:hint="default"/>
      </w:rPr>
    </w:lvl>
    <w:lvl w:ilvl="3" w:tplc="08090001" w:tentative="1">
      <w:start w:val="1"/>
      <w:numFmt w:val="bullet"/>
      <w:lvlText w:val=""/>
      <w:lvlJc w:val="left"/>
      <w:pPr>
        <w:ind w:left="3327" w:hanging="360"/>
      </w:pPr>
      <w:rPr>
        <w:rFonts w:ascii="Symbol" w:hAnsi="Symbol" w:hint="default"/>
      </w:rPr>
    </w:lvl>
    <w:lvl w:ilvl="4" w:tplc="08090003" w:tentative="1">
      <w:start w:val="1"/>
      <w:numFmt w:val="bullet"/>
      <w:lvlText w:val="o"/>
      <w:lvlJc w:val="left"/>
      <w:pPr>
        <w:ind w:left="4047" w:hanging="360"/>
      </w:pPr>
      <w:rPr>
        <w:rFonts w:ascii="Courier New" w:hAnsi="Courier New" w:cs="Courier New" w:hint="default"/>
      </w:rPr>
    </w:lvl>
    <w:lvl w:ilvl="5" w:tplc="08090005" w:tentative="1">
      <w:start w:val="1"/>
      <w:numFmt w:val="bullet"/>
      <w:lvlText w:val=""/>
      <w:lvlJc w:val="left"/>
      <w:pPr>
        <w:ind w:left="4767" w:hanging="360"/>
      </w:pPr>
      <w:rPr>
        <w:rFonts w:ascii="Wingdings" w:hAnsi="Wingdings" w:hint="default"/>
      </w:rPr>
    </w:lvl>
    <w:lvl w:ilvl="6" w:tplc="08090001" w:tentative="1">
      <w:start w:val="1"/>
      <w:numFmt w:val="bullet"/>
      <w:lvlText w:val=""/>
      <w:lvlJc w:val="left"/>
      <w:pPr>
        <w:ind w:left="5487" w:hanging="360"/>
      </w:pPr>
      <w:rPr>
        <w:rFonts w:ascii="Symbol" w:hAnsi="Symbol" w:hint="default"/>
      </w:rPr>
    </w:lvl>
    <w:lvl w:ilvl="7" w:tplc="08090003" w:tentative="1">
      <w:start w:val="1"/>
      <w:numFmt w:val="bullet"/>
      <w:lvlText w:val="o"/>
      <w:lvlJc w:val="left"/>
      <w:pPr>
        <w:ind w:left="6207" w:hanging="360"/>
      </w:pPr>
      <w:rPr>
        <w:rFonts w:ascii="Courier New" w:hAnsi="Courier New" w:cs="Courier New" w:hint="default"/>
      </w:rPr>
    </w:lvl>
    <w:lvl w:ilvl="8" w:tplc="08090005" w:tentative="1">
      <w:start w:val="1"/>
      <w:numFmt w:val="bullet"/>
      <w:lvlText w:val=""/>
      <w:lvlJc w:val="left"/>
      <w:pPr>
        <w:ind w:left="6927" w:hanging="360"/>
      </w:pPr>
      <w:rPr>
        <w:rFonts w:ascii="Wingdings" w:hAnsi="Wingdings" w:hint="default"/>
      </w:rPr>
    </w:lvl>
  </w:abstractNum>
  <w:abstractNum w:abstractNumId="18" w15:restartNumberingAfterBreak="0">
    <w:nsid w:val="7CA33B48"/>
    <w:multiLevelType w:val="hybridMultilevel"/>
    <w:tmpl w:val="E362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4"/>
  </w:num>
  <w:num w:numId="4">
    <w:abstractNumId w:val="14"/>
    <w:lvlOverride w:ilvl="0">
      <w:startOverride w:val="1"/>
    </w:lvlOverride>
  </w:num>
  <w:num w:numId="5">
    <w:abstractNumId w:val="11"/>
  </w:num>
  <w:num w:numId="6">
    <w:abstractNumId w:val="1"/>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2"/>
    <w:lvlOverride w:ilvl="0">
      <w:startOverride w:val="1"/>
    </w:lvlOverride>
  </w:num>
  <w:num w:numId="16">
    <w:abstractNumId w:val="12"/>
    <w:lvlOverride w:ilvl="0">
      <w:startOverride w:val="1"/>
    </w:lvlOverride>
  </w:num>
  <w:num w:numId="17">
    <w:abstractNumId w:val="6"/>
  </w:num>
  <w:num w:numId="18">
    <w:abstractNumId w:val="1"/>
    <w:lvlOverride w:ilvl="0">
      <w:startOverride w:val="1"/>
    </w:lvlOverride>
  </w:num>
  <w:num w:numId="19">
    <w:abstractNumId w:val="1"/>
    <w:lvlOverride w:ilvl="0">
      <w:startOverride w:val="1"/>
    </w:lvlOverride>
  </w:num>
  <w:num w:numId="20">
    <w:abstractNumId w:val="1"/>
  </w:num>
  <w:num w:numId="21">
    <w:abstractNumId w:val="1"/>
    <w:lvlOverride w:ilvl="0">
      <w:startOverride w:val="1"/>
    </w:lvlOverride>
  </w:num>
  <w:num w:numId="22">
    <w:abstractNumId w:val="1"/>
  </w:num>
  <w:num w:numId="23">
    <w:abstractNumId w:val="3"/>
  </w:num>
  <w:num w:numId="24">
    <w:abstractNumId w:val="9"/>
  </w:num>
  <w:num w:numId="25">
    <w:abstractNumId w:val="18"/>
  </w:num>
  <w:num w:numId="26">
    <w:abstractNumId w:val="5"/>
  </w:num>
  <w:num w:numId="27">
    <w:abstractNumId w:val="8"/>
  </w:num>
  <w:num w:numId="28">
    <w:abstractNumId w:val="13"/>
  </w:num>
  <w:num w:numId="29">
    <w:abstractNumId w:val="2"/>
  </w:num>
  <w:num w:numId="30">
    <w:abstractNumId w:val="16"/>
  </w:num>
  <w:num w:numId="31">
    <w:abstractNumId w:val="15"/>
  </w:num>
  <w:num w:numId="32">
    <w:abstractNumId w:val="0"/>
  </w:num>
  <w:num w:numId="33">
    <w:abstractNumId w:val="1"/>
  </w:num>
  <w:num w:numId="34">
    <w:abstractNumId w:val="12"/>
  </w:num>
  <w:num w:numId="35">
    <w:abstractNumId w:val="17"/>
  </w:num>
  <w:num w:numId="36">
    <w:abstractNumId w:val="10"/>
  </w:num>
  <w:num w:numId="37">
    <w:abstractNumId w:val="12"/>
  </w:num>
  <w:num w:numId="3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B8"/>
    <w:rsid w:val="000053F8"/>
    <w:rsid w:val="00012A8F"/>
    <w:rsid w:val="00015FD6"/>
    <w:rsid w:val="00017E05"/>
    <w:rsid w:val="00021955"/>
    <w:rsid w:val="00022D84"/>
    <w:rsid w:val="00024D0A"/>
    <w:rsid w:val="000315EF"/>
    <w:rsid w:val="00033F8F"/>
    <w:rsid w:val="00033FD1"/>
    <w:rsid w:val="00037B30"/>
    <w:rsid w:val="0004700A"/>
    <w:rsid w:val="000472DC"/>
    <w:rsid w:val="00052975"/>
    <w:rsid w:val="00060BCA"/>
    <w:rsid w:val="00060CBC"/>
    <w:rsid w:val="0006405B"/>
    <w:rsid w:val="000644D2"/>
    <w:rsid w:val="00070065"/>
    <w:rsid w:val="00084887"/>
    <w:rsid w:val="00095DCB"/>
    <w:rsid w:val="000A4FEE"/>
    <w:rsid w:val="000B5939"/>
    <w:rsid w:val="000B6F81"/>
    <w:rsid w:val="000C4037"/>
    <w:rsid w:val="000C498E"/>
    <w:rsid w:val="000F3257"/>
    <w:rsid w:val="00103968"/>
    <w:rsid w:val="00111A01"/>
    <w:rsid w:val="00111CCE"/>
    <w:rsid w:val="001134E7"/>
    <w:rsid w:val="00130EB8"/>
    <w:rsid w:val="00154551"/>
    <w:rsid w:val="0016018E"/>
    <w:rsid w:val="00162F8B"/>
    <w:rsid w:val="0016343B"/>
    <w:rsid w:val="0017149E"/>
    <w:rsid w:val="0017169E"/>
    <w:rsid w:val="00173D80"/>
    <w:rsid w:val="00176F13"/>
    <w:rsid w:val="00181A4A"/>
    <w:rsid w:val="00191209"/>
    <w:rsid w:val="00192C96"/>
    <w:rsid w:val="001A6013"/>
    <w:rsid w:val="001B0EE9"/>
    <w:rsid w:val="001B543F"/>
    <w:rsid w:val="001B65B3"/>
    <w:rsid w:val="001D5294"/>
    <w:rsid w:val="001E1E30"/>
    <w:rsid w:val="001E64DB"/>
    <w:rsid w:val="001E6C93"/>
    <w:rsid w:val="001F0849"/>
    <w:rsid w:val="00200A12"/>
    <w:rsid w:val="002029A6"/>
    <w:rsid w:val="002070F1"/>
    <w:rsid w:val="00232F24"/>
    <w:rsid w:val="00233B41"/>
    <w:rsid w:val="00236CE3"/>
    <w:rsid w:val="002408EA"/>
    <w:rsid w:val="002422C1"/>
    <w:rsid w:val="00243E00"/>
    <w:rsid w:val="00246B6C"/>
    <w:rsid w:val="002503D5"/>
    <w:rsid w:val="00250B1D"/>
    <w:rsid w:val="00261E85"/>
    <w:rsid w:val="002655E4"/>
    <w:rsid w:val="00272252"/>
    <w:rsid w:val="00272B00"/>
    <w:rsid w:val="00274D8C"/>
    <w:rsid w:val="002819D7"/>
    <w:rsid w:val="00284C8B"/>
    <w:rsid w:val="00290477"/>
    <w:rsid w:val="0029358E"/>
    <w:rsid w:val="00293D07"/>
    <w:rsid w:val="002A5B47"/>
    <w:rsid w:val="002B362F"/>
    <w:rsid w:val="002B3E61"/>
    <w:rsid w:val="002B4669"/>
    <w:rsid w:val="002B5610"/>
    <w:rsid w:val="002C1A7E"/>
    <w:rsid w:val="002C64FE"/>
    <w:rsid w:val="002D0836"/>
    <w:rsid w:val="002D0D2F"/>
    <w:rsid w:val="002D3376"/>
    <w:rsid w:val="002D7C45"/>
    <w:rsid w:val="002E694C"/>
    <w:rsid w:val="002F13C9"/>
    <w:rsid w:val="002F2A63"/>
    <w:rsid w:val="002F7386"/>
    <w:rsid w:val="00304C56"/>
    <w:rsid w:val="00311ED0"/>
    <w:rsid w:val="00312579"/>
    <w:rsid w:val="0032091C"/>
    <w:rsid w:val="00330141"/>
    <w:rsid w:val="00331095"/>
    <w:rsid w:val="00334145"/>
    <w:rsid w:val="00336B3F"/>
    <w:rsid w:val="00342BFC"/>
    <w:rsid w:val="003453A6"/>
    <w:rsid w:val="00350EBA"/>
    <w:rsid w:val="00363A5A"/>
    <w:rsid w:val="003648C5"/>
    <w:rsid w:val="003704B6"/>
    <w:rsid w:val="003722FA"/>
    <w:rsid w:val="00385F6D"/>
    <w:rsid w:val="00387896"/>
    <w:rsid w:val="00390F60"/>
    <w:rsid w:val="003A2019"/>
    <w:rsid w:val="003B11E9"/>
    <w:rsid w:val="003B1F43"/>
    <w:rsid w:val="003B4012"/>
    <w:rsid w:val="003C7AAF"/>
    <w:rsid w:val="003D30CC"/>
    <w:rsid w:val="003D3A10"/>
    <w:rsid w:val="003E0B28"/>
    <w:rsid w:val="003E1738"/>
    <w:rsid w:val="003E4CAD"/>
    <w:rsid w:val="003E5ED8"/>
    <w:rsid w:val="003E6A11"/>
    <w:rsid w:val="003F0BD5"/>
    <w:rsid w:val="003F3318"/>
    <w:rsid w:val="004075B6"/>
    <w:rsid w:val="00416970"/>
    <w:rsid w:val="00420952"/>
    <w:rsid w:val="00425B57"/>
    <w:rsid w:val="00431ACC"/>
    <w:rsid w:val="00433EFF"/>
    <w:rsid w:val="00443081"/>
    <w:rsid w:val="00446BEE"/>
    <w:rsid w:val="004474E9"/>
    <w:rsid w:val="00460E53"/>
    <w:rsid w:val="00467AEA"/>
    <w:rsid w:val="00470F91"/>
    <w:rsid w:val="004735F7"/>
    <w:rsid w:val="00475EFE"/>
    <w:rsid w:val="0047790B"/>
    <w:rsid w:val="004A104E"/>
    <w:rsid w:val="004A5284"/>
    <w:rsid w:val="004B5075"/>
    <w:rsid w:val="004C1E7B"/>
    <w:rsid w:val="004C6BA8"/>
    <w:rsid w:val="004D231F"/>
    <w:rsid w:val="004D3D4B"/>
    <w:rsid w:val="004E1B7D"/>
    <w:rsid w:val="004E7CE7"/>
    <w:rsid w:val="004F1F4D"/>
    <w:rsid w:val="004F433A"/>
    <w:rsid w:val="005025A1"/>
    <w:rsid w:val="00511DAB"/>
    <w:rsid w:val="00514755"/>
    <w:rsid w:val="00514A65"/>
    <w:rsid w:val="00515068"/>
    <w:rsid w:val="00520269"/>
    <w:rsid w:val="00520FB1"/>
    <w:rsid w:val="0052679D"/>
    <w:rsid w:val="00530408"/>
    <w:rsid w:val="005315CD"/>
    <w:rsid w:val="005360E5"/>
    <w:rsid w:val="00536333"/>
    <w:rsid w:val="00536A40"/>
    <w:rsid w:val="00543DA9"/>
    <w:rsid w:val="00546E5A"/>
    <w:rsid w:val="00561A55"/>
    <w:rsid w:val="00562834"/>
    <w:rsid w:val="00567C48"/>
    <w:rsid w:val="00570B22"/>
    <w:rsid w:val="00572EEA"/>
    <w:rsid w:val="005751E4"/>
    <w:rsid w:val="00577F31"/>
    <w:rsid w:val="005851E1"/>
    <w:rsid w:val="00586225"/>
    <w:rsid w:val="005A35BD"/>
    <w:rsid w:val="005A4290"/>
    <w:rsid w:val="005B0874"/>
    <w:rsid w:val="005C0C2B"/>
    <w:rsid w:val="005C60C9"/>
    <w:rsid w:val="005D7388"/>
    <w:rsid w:val="005E1B6D"/>
    <w:rsid w:val="005E7E4F"/>
    <w:rsid w:val="005F2EB4"/>
    <w:rsid w:val="005F5FD6"/>
    <w:rsid w:val="006049A5"/>
    <w:rsid w:val="0061352A"/>
    <w:rsid w:val="00626988"/>
    <w:rsid w:val="006417E9"/>
    <w:rsid w:val="0065159D"/>
    <w:rsid w:val="00652697"/>
    <w:rsid w:val="006549A0"/>
    <w:rsid w:val="00655624"/>
    <w:rsid w:val="00666484"/>
    <w:rsid w:val="0067061D"/>
    <w:rsid w:val="00673352"/>
    <w:rsid w:val="00676BDB"/>
    <w:rsid w:val="006921E1"/>
    <w:rsid w:val="006A385C"/>
    <w:rsid w:val="006C0CB8"/>
    <w:rsid w:val="006C2AA9"/>
    <w:rsid w:val="006C54B2"/>
    <w:rsid w:val="006C71D8"/>
    <w:rsid w:val="006F4B25"/>
    <w:rsid w:val="006F6496"/>
    <w:rsid w:val="007026F5"/>
    <w:rsid w:val="00704634"/>
    <w:rsid w:val="00705301"/>
    <w:rsid w:val="00705532"/>
    <w:rsid w:val="007065A3"/>
    <w:rsid w:val="007066DD"/>
    <w:rsid w:val="007076C8"/>
    <w:rsid w:val="00707808"/>
    <w:rsid w:val="00715896"/>
    <w:rsid w:val="00723DE7"/>
    <w:rsid w:val="00724777"/>
    <w:rsid w:val="00727FD5"/>
    <w:rsid w:val="00734337"/>
    <w:rsid w:val="00735B3C"/>
    <w:rsid w:val="00735D39"/>
    <w:rsid w:val="00736348"/>
    <w:rsid w:val="00744EA8"/>
    <w:rsid w:val="00751E1C"/>
    <w:rsid w:val="00753B5F"/>
    <w:rsid w:val="00760908"/>
    <w:rsid w:val="00760CB0"/>
    <w:rsid w:val="0078028E"/>
    <w:rsid w:val="00782911"/>
    <w:rsid w:val="007837BD"/>
    <w:rsid w:val="00786026"/>
    <w:rsid w:val="0078707A"/>
    <w:rsid w:val="00791E27"/>
    <w:rsid w:val="007A66BD"/>
    <w:rsid w:val="007B1AEF"/>
    <w:rsid w:val="007B30B4"/>
    <w:rsid w:val="007B48D9"/>
    <w:rsid w:val="007B7189"/>
    <w:rsid w:val="007C49F2"/>
    <w:rsid w:val="007C6B6C"/>
    <w:rsid w:val="007C7B46"/>
    <w:rsid w:val="007D1EAF"/>
    <w:rsid w:val="007D4C87"/>
    <w:rsid w:val="007E4E44"/>
    <w:rsid w:val="007E662D"/>
    <w:rsid w:val="007F238D"/>
    <w:rsid w:val="007F2938"/>
    <w:rsid w:val="00801CED"/>
    <w:rsid w:val="00805ABC"/>
    <w:rsid w:val="0080727B"/>
    <w:rsid w:val="00816773"/>
    <w:rsid w:val="00821FF4"/>
    <w:rsid w:val="00822E29"/>
    <w:rsid w:val="0082506B"/>
    <w:rsid w:val="008306CE"/>
    <w:rsid w:val="00831E2A"/>
    <w:rsid w:val="00837352"/>
    <w:rsid w:val="00852C8F"/>
    <w:rsid w:val="00853BFF"/>
    <w:rsid w:val="00854A2D"/>
    <w:rsid w:val="00861B92"/>
    <w:rsid w:val="00862B30"/>
    <w:rsid w:val="008649B6"/>
    <w:rsid w:val="0087001F"/>
    <w:rsid w:val="00876A42"/>
    <w:rsid w:val="00876C0E"/>
    <w:rsid w:val="00880A3E"/>
    <w:rsid w:val="00881473"/>
    <w:rsid w:val="008814FB"/>
    <w:rsid w:val="008816BC"/>
    <w:rsid w:val="008977D0"/>
    <w:rsid w:val="00897C86"/>
    <w:rsid w:val="008A2AFC"/>
    <w:rsid w:val="008A7F8A"/>
    <w:rsid w:val="008C07DA"/>
    <w:rsid w:val="008C0C1C"/>
    <w:rsid w:val="008C6939"/>
    <w:rsid w:val="008D4740"/>
    <w:rsid w:val="008D4E21"/>
    <w:rsid w:val="008F3B0D"/>
    <w:rsid w:val="008F4560"/>
    <w:rsid w:val="008F47CA"/>
    <w:rsid w:val="008F5E30"/>
    <w:rsid w:val="008F6F54"/>
    <w:rsid w:val="0090092A"/>
    <w:rsid w:val="00906F75"/>
    <w:rsid w:val="00912625"/>
    <w:rsid w:val="00914463"/>
    <w:rsid w:val="00914D7F"/>
    <w:rsid w:val="009244B3"/>
    <w:rsid w:val="009257EE"/>
    <w:rsid w:val="00935151"/>
    <w:rsid w:val="00942A5D"/>
    <w:rsid w:val="00946153"/>
    <w:rsid w:val="0095053B"/>
    <w:rsid w:val="009518AA"/>
    <w:rsid w:val="00953A88"/>
    <w:rsid w:val="0096180A"/>
    <w:rsid w:val="00980C2A"/>
    <w:rsid w:val="00986486"/>
    <w:rsid w:val="00987725"/>
    <w:rsid w:val="009954D7"/>
    <w:rsid w:val="009A0E89"/>
    <w:rsid w:val="009B30FF"/>
    <w:rsid w:val="009D4E28"/>
    <w:rsid w:val="009D5530"/>
    <w:rsid w:val="009D74AE"/>
    <w:rsid w:val="009E680B"/>
    <w:rsid w:val="009F17DA"/>
    <w:rsid w:val="009F5D68"/>
    <w:rsid w:val="009F7957"/>
    <w:rsid w:val="00A0177B"/>
    <w:rsid w:val="00A03480"/>
    <w:rsid w:val="00A03635"/>
    <w:rsid w:val="00A05835"/>
    <w:rsid w:val="00A127A1"/>
    <w:rsid w:val="00A15369"/>
    <w:rsid w:val="00A15A1F"/>
    <w:rsid w:val="00A31414"/>
    <w:rsid w:val="00A3325A"/>
    <w:rsid w:val="00A33B23"/>
    <w:rsid w:val="00A33F88"/>
    <w:rsid w:val="00A3590E"/>
    <w:rsid w:val="00A43013"/>
    <w:rsid w:val="00A44017"/>
    <w:rsid w:val="00A45325"/>
    <w:rsid w:val="00A76FE1"/>
    <w:rsid w:val="00A803AF"/>
    <w:rsid w:val="00A86647"/>
    <w:rsid w:val="00AA25B2"/>
    <w:rsid w:val="00AA7B08"/>
    <w:rsid w:val="00AB2792"/>
    <w:rsid w:val="00AC26A9"/>
    <w:rsid w:val="00AC675E"/>
    <w:rsid w:val="00AD0BBB"/>
    <w:rsid w:val="00AD1D07"/>
    <w:rsid w:val="00AE0163"/>
    <w:rsid w:val="00AE1359"/>
    <w:rsid w:val="00AE4965"/>
    <w:rsid w:val="00AE4ACB"/>
    <w:rsid w:val="00AE4FD5"/>
    <w:rsid w:val="00AE57CE"/>
    <w:rsid w:val="00AE6D36"/>
    <w:rsid w:val="00AF05FD"/>
    <w:rsid w:val="00AF108A"/>
    <w:rsid w:val="00AF4F14"/>
    <w:rsid w:val="00AF7E1F"/>
    <w:rsid w:val="00B01C1D"/>
    <w:rsid w:val="00B02E55"/>
    <w:rsid w:val="00B036C1"/>
    <w:rsid w:val="00B0643A"/>
    <w:rsid w:val="00B47E73"/>
    <w:rsid w:val="00B53714"/>
    <w:rsid w:val="00B5431F"/>
    <w:rsid w:val="00B639A6"/>
    <w:rsid w:val="00B72987"/>
    <w:rsid w:val="00B75691"/>
    <w:rsid w:val="00B92B38"/>
    <w:rsid w:val="00B939F4"/>
    <w:rsid w:val="00BA05A5"/>
    <w:rsid w:val="00BA1154"/>
    <w:rsid w:val="00BA2328"/>
    <w:rsid w:val="00BA4891"/>
    <w:rsid w:val="00BB2E7D"/>
    <w:rsid w:val="00BB3B52"/>
    <w:rsid w:val="00BC4396"/>
    <w:rsid w:val="00BD097D"/>
    <w:rsid w:val="00BD163D"/>
    <w:rsid w:val="00BF6115"/>
    <w:rsid w:val="00BF7FE0"/>
    <w:rsid w:val="00C023E4"/>
    <w:rsid w:val="00C10A75"/>
    <w:rsid w:val="00C2540D"/>
    <w:rsid w:val="00C3688F"/>
    <w:rsid w:val="00C41BFA"/>
    <w:rsid w:val="00C51C1A"/>
    <w:rsid w:val="00C56C07"/>
    <w:rsid w:val="00C638D8"/>
    <w:rsid w:val="00C703AB"/>
    <w:rsid w:val="00C7499A"/>
    <w:rsid w:val="00C7621C"/>
    <w:rsid w:val="00C7677A"/>
    <w:rsid w:val="00C76B59"/>
    <w:rsid w:val="00C7704E"/>
    <w:rsid w:val="00C81104"/>
    <w:rsid w:val="00C81DD6"/>
    <w:rsid w:val="00C876A2"/>
    <w:rsid w:val="00C8777A"/>
    <w:rsid w:val="00C87AA7"/>
    <w:rsid w:val="00C87DC9"/>
    <w:rsid w:val="00C96411"/>
    <w:rsid w:val="00CA2A19"/>
    <w:rsid w:val="00CA5C2D"/>
    <w:rsid w:val="00CB0BCD"/>
    <w:rsid w:val="00CB3808"/>
    <w:rsid w:val="00CB47AB"/>
    <w:rsid w:val="00CB5671"/>
    <w:rsid w:val="00CB5C57"/>
    <w:rsid w:val="00CD0823"/>
    <w:rsid w:val="00CD4969"/>
    <w:rsid w:val="00CD49EE"/>
    <w:rsid w:val="00CD6DC3"/>
    <w:rsid w:val="00CE4475"/>
    <w:rsid w:val="00CE4B6C"/>
    <w:rsid w:val="00CE7191"/>
    <w:rsid w:val="00CF16C8"/>
    <w:rsid w:val="00CF58B7"/>
    <w:rsid w:val="00D04BAC"/>
    <w:rsid w:val="00D15E03"/>
    <w:rsid w:val="00D20086"/>
    <w:rsid w:val="00D20B1D"/>
    <w:rsid w:val="00D20EA7"/>
    <w:rsid w:val="00D26A68"/>
    <w:rsid w:val="00D31078"/>
    <w:rsid w:val="00D316E1"/>
    <w:rsid w:val="00D351C1"/>
    <w:rsid w:val="00D35EFB"/>
    <w:rsid w:val="00D4223F"/>
    <w:rsid w:val="00D44796"/>
    <w:rsid w:val="00D504B3"/>
    <w:rsid w:val="00D61219"/>
    <w:rsid w:val="00D65AC9"/>
    <w:rsid w:val="00D67842"/>
    <w:rsid w:val="00D71CCE"/>
    <w:rsid w:val="00D84F62"/>
    <w:rsid w:val="00D85687"/>
    <w:rsid w:val="00D85E99"/>
    <w:rsid w:val="00D86BF0"/>
    <w:rsid w:val="00D87D18"/>
    <w:rsid w:val="00D93043"/>
    <w:rsid w:val="00D96692"/>
    <w:rsid w:val="00DA1D79"/>
    <w:rsid w:val="00DA442C"/>
    <w:rsid w:val="00DA6444"/>
    <w:rsid w:val="00DA683E"/>
    <w:rsid w:val="00DA6E9B"/>
    <w:rsid w:val="00DA779B"/>
    <w:rsid w:val="00DB02BB"/>
    <w:rsid w:val="00DC1F9B"/>
    <w:rsid w:val="00DC351F"/>
    <w:rsid w:val="00DC7FC7"/>
    <w:rsid w:val="00DD65E5"/>
    <w:rsid w:val="00DE03B9"/>
    <w:rsid w:val="00DE5EAD"/>
    <w:rsid w:val="00DF2C94"/>
    <w:rsid w:val="00DF364C"/>
    <w:rsid w:val="00E02B94"/>
    <w:rsid w:val="00E02FD3"/>
    <w:rsid w:val="00E071C0"/>
    <w:rsid w:val="00E15D1F"/>
    <w:rsid w:val="00E160F7"/>
    <w:rsid w:val="00E17208"/>
    <w:rsid w:val="00E33422"/>
    <w:rsid w:val="00E336F1"/>
    <w:rsid w:val="00E3552B"/>
    <w:rsid w:val="00E403B0"/>
    <w:rsid w:val="00E403BF"/>
    <w:rsid w:val="00E43BD4"/>
    <w:rsid w:val="00E46235"/>
    <w:rsid w:val="00E46C03"/>
    <w:rsid w:val="00E51920"/>
    <w:rsid w:val="00E5293D"/>
    <w:rsid w:val="00E64120"/>
    <w:rsid w:val="00E660A1"/>
    <w:rsid w:val="00E734A2"/>
    <w:rsid w:val="00E761CF"/>
    <w:rsid w:val="00E8110A"/>
    <w:rsid w:val="00E83291"/>
    <w:rsid w:val="00E834EE"/>
    <w:rsid w:val="00E843F1"/>
    <w:rsid w:val="00E860CD"/>
    <w:rsid w:val="00E86610"/>
    <w:rsid w:val="00E86663"/>
    <w:rsid w:val="00EA3CCF"/>
    <w:rsid w:val="00EA7DEB"/>
    <w:rsid w:val="00ED1B3A"/>
    <w:rsid w:val="00ED1FA0"/>
    <w:rsid w:val="00ED32F7"/>
    <w:rsid w:val="00EE5895"/>
    <w:rsid w:val="00EE5E90"/>
    <w:rsid w:val="00EF197B"/>
    <w:rsid w:val="00EF2314"/>
    <w:rsid w:val="00EF336B"/>
    <w:rsid w:val="00F0113B"/>
    <w:rsid w:val="00F02CAB"/>
    <w:rsid w:val="00F055F1"/>
    <w:rsid w:val="00F06C90"/>
    <w:rsid w:val="00F10045"/>
    <w:rsid w:val="00F40EE9"/>
    <w:rsid w:val="00F42943"/>
    <w:rsid w:val="00F46773"/>
    <w:rsid w:val="00F57A3C"/>
    <w:rsid w:val="00F610AF"/>
    <w:rsid w:val="00F64A7D"/>
    <w:rsid w:val="00F7165B"/>
    <w:rsid w:val="00F77A2F"/>
    <w:rsid w:val="00F96A2C"/>
    <w:rsid w:val="00FA2851"/>
    <w:rsid w:val="00FA2C5A"/>
    <w:rsid w:val="00FA7C5A"/>
    <w:rsid w:val="00FC2741"/>
    <w:rsid w:val="00FC2D11"/>
    <w:rsid w:val="00FC56DB"/>
    <w:rsid w:val="00FC6230"/>
    <w:rsid w:val="00FD5A1C"/>
    <w:rsid w:val="00FF0B33"/>
    <w:rsid w:val="00FF3FFB"/>
    <w:rsid w:val="00FF61E7"/>
    <w:rsid w:val="012E26D6"/>
    <w:rsid w:val="01E5B105"/>
    <w:rsid w:val="113174E0"/>
    <w:rsid w:val="1192523A"/>
    <w:rsid w:val="1AA39DA7"/>
    <w:rsid w:val="1B1F4899"/>
    <w:rsid w:val="1E9B8F60"/>
    <w:rsid w:val="22110C34"/>
    <w:rsid w:val="2589EC1A"/>
    <w:rsid w:val="28EF7EF9"/>
    <w:rsid w:val="2A83D8CE"/>
    <w:rsid w:val="35C69726"/>
    <w:rsid w:val="387FE98A"/>
    <w:rsid w:val="3A59A7A2"/>
    <w:rsid w:val="41EA0600"/>
    <w:rsid w:val="442E94F2"/>
    <w:rsid w:val="4879E836"/>
    <w:rsid w:val="53DF5683"/>
    <w:rsid w:val="57309A21"/>
    <w:rsid w:val="591D0F28"/>
    <w:rsid w:val="5AF24E50"/>
    <w:rsid w:val="5BCECB03"/>
    <w:rsid w:val="5DB24FBB"/>
    <w:rsid w:val="66BBB52B"/>
    <w:rsid w:val="6DD18018"/>
    <w:rsid w:val="6F7CAE25"/>
    <w:rsid w:val="7017D4A2"/>
    <w:rsid w:val="753F0BF5"/>
    <w:rsid w:val="7BFD207A"/>
    <w:rsid w:val="7D1C7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A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6"/>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basedOn w:val="DefaultParagraphFont"/>
    <w:semiHidden/>
    <w:unhideWhenUsed/>
    <w:rsid w:val="005A35BD"/>
    <w:rPr>
      <w:sz w:val="16"/>
      <w:szCs w:val="16"/>
    </w:rPr>
  </w:style>
  <w:style w:type="paragraph" w:styleId="CommentText">
    <w:name w:val="annotation text"/>
    <w:basedOn w:val="Normal"/>
    <w:link w:val="CommentTextChar"/>
    <w:unhideWhenUsed/>
    <w:rsid w:val="005A35BD"/>
    <w:rPr>
      <w:sz w:val="20"/>
      <w:szCs w:val="20"/>
    </w:rPr>
  </w:style>
  <w:style w:type="character" w:customStyle="1" w:styleId="CommentTextChar">
    <w:name w:val="Comment Text Char"/>
    <w:basedOn w:val="DefaultParagraphFont"/>
    <w:link w:val="CommentText"/>
    <w:rsid w:val="005A35BD"/>
  </w:style>
  <w:style w:type="character" w:styleId="Hyperlink">
    <w:name w:val="Hyperlink"/>
    <w:basedOn w:val="DefaultParagraphFont"/>
    <w:unhideWhenUsed/>
    <w:rsid w:val="005A35BD"/>
    <w:rPr>
      <w:color w:val="0000FF" w:themeColor="hyperlink"/>
      <w:u w:val="single"/>
    </w:rPr>
  </w:style>
  <w:style w:type="character" w:styleId="UnresolvedMention">
    <w:name w:val="Unresolved Mention"/>
    <w:basedOn w:val="DefaultParagraphFont"/>
    <w:uiPriority w:val="99"/>
    <w:semiHidden/>
    <w:unhideWhenUsed/>
    <w:rsid w:val="005A35BD"/>
    <w:rPr>
      <w:color w:val="605E5C"/>
      <w:shd w:val="clear" w:color="auto" w:fill="E1DFDD"/>
    </w:rPr>
  </w:style>
  <w:style w:type="paragraph" w:styleId="CommentSubject">
    <w:name w:val="annotation subject"/>
    <w:basedOn w:val="CommentText"/>
    <w:next w:val="CommentText"/>
    <w:link w:val="CommentSubjectChar"/>
    <w:semiHidden/>
    <w:unhideWhenUsed/>
    <w:rsid w:val="007026F5"/>
    <w:rPr>
      <w:b/>
      <w:bCs/>
    </w:rPr>
  </w:style>
  <w:style w:type="character" w:customStyle="1" w:styleId="CommentSubjectChar">
    <w:name w:val="Comment Subject Char"/>
    <w:basedOn w:val="CommentTextChar"/>
    <w:link w:val="CommentSubject"/>
    <w:semiHidden/>
    <w:rsid w:val="007026F5"/>
    <w:rPr>
      <w:b/>
      <w:bCs/>
    </w:rPr>
  </w:style>
  <w:style w:type="paragraph" w:styleId="ListParagraph">
    <w:name w:val="List Paragraph"/>
    <w:basedOn w:val="Normal"/>
    <w:uiPriority w:val="34"/>
    <w:qFormat/>
    <w:rsid w:val="00561A55"/>
    <w:pPr>
      <w:ind w:left="720"/>
      <w:contextualSpacing/>
    </w:pPr>
  </w:style>
  <w:style w:type="paragraph" w:customStyle="1" w:styleId="Style1">
    <w:name w:val="Style1"/>
    <w:basedOn w:val="Normal"/>
    <w:link w:val="Style1Char"/>
    <w:qFormat/>
    <w:rsid w:val="00946153"/>
    <w:pPr>
      <w:numPr>
        <w:numId w:val="3"/>
      </w:numPr>
      <w:spacing w:before="120" w:after="120"/>
    </w:pPr>
    <w:rPr>
      <w:rFonts w:ascii="Arial" w:eastAsia="Arial Unicode MS" w:hAnsi="Arial"/>
    </w:rPr>
  </w:style>
  <w:style w:type="character" w:customStyle="1" w:styleId="Style1Char">
    <w:name w:val="Style1 Char"/>
    <w:basedOn w:val="DefaultParagraphFont"/>
    <w:link w:val="Style1"/>
    <w:rsid w:val="00946153"/>
    <w:rPr>
      <w:rFonts w:ascii="Arial" w:eastAsia="Arial Unicode MS" w:hAnsi="Arial"/>
      <w:sz w:val="24"/>
      <w:szCs w:val="24"/>
    </w:rPr>
  </w:style>
  <w:style w:type="table" w:styleId="TableGrid">
    <w:name w:val="Table Grid"/>
    <w:basedOn w:val="TableNormal"/>
    <w:rsid w:val="004F1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549A0"/>
    <w:rPr>
      <w:color w:val="800080" w:themeColor="followedHyperlink"/>
      <w:u w:val="single"/>
    </w:rPr>
  </w:style>
  <w:style w:type="paragraph" w:styleId="Revision">
    <w:name w:val="Revision"/>
    <w:hidden/>
    <w:uiPriority w:val="99"/>
    <w:semiHidden/>
    <w:rsid w:val="00980C2A"/>
    <w:rPr>
      <w:sz w:val="24"/>
      <w:szCs w:val="24"/>
    </w:rPr>
  </w:style>
  <w:style w:type="paragraph" w:styleId="FootnoteText">
    <w:name w:val="footnote text"/>
    <w:basedOn w:val="Normal"/>
    <w:link w:val="FootnoteTextChar"/>
    <w:semiHidden/>
    <w:unhideWhenUsed/>
    <w:rsid w:val="00D87D18"/>
    <w:rPr>
      <w:sz w:val="20"/>
      <w:szCs w:val="20"/>
    </w:rPr>
  </w:style>
  <w:style w:type="character" w:customStyle="1" w:styleId="FootnoteTextChar">
    <w:name w:val="Footnote Text Char"/>
    <w:basedOn w:val="DefaultParagraphFont"/>
    <w:link w:val="FootnoteText"/>
    <w:semiHidden/>
    <w:rsid w:val="00D87D18"/>
  </w:style>
  <w:style w:type="character" w:styleId="FootnoteReference">
    <w:name w:val="footnote reference"/>
    <w:basedOn w:val="DefaultParagraphFont"/>
    <w:semiHidden/>
    <w:unhideWhenUsed/>
    <w:rsid w:val="00D87D18"/>
    <w:rPr>
      <w:vertAlign w:val="superscript"/>
    </w:rPr>
  </w:style>
  <w:style w:type="paragraph" w:customStyle="1" w:styleId="Heading1boardreport">
    <w:name w:val="Heading 1 board report"/>
    <w:basedOn w:val="Heading1"/>
    <w:next w:val="Paragraph"/>
    <w:link w:val="Heading1boardreportChar"/>
    <w:qFormat/>
    <w:rsid w:val="007076C8"/>
    <w:pPr>
      <w:spacing w:after="240"/>
    </w:pPr>
    <w:rPr>
      <w:color w:val="004650"/>
      <w:sz w:val="36"/>
      <w:szCs w:val="36"/>
    </w:rPr>
  </w:style>
  <w:style w:type="character" w:customStyle="1" w:styleId="Heading1boardreportChar">
    <w:name w:val="Heading 1 board report Char"/>
    <w:basedOn w:val="Heading1Char"/>
    <w:link w:val="Heading1boardreport"/>
    <w:rsid w:val="007076C8"/>
    <w:rPr>
      <w:rFonts w:ascii="Arial" w:hAnsi="Arial"/>
      <w:b/>
      <w:bCs/>
      <w:color w:val="004650"/>
      <w:kern w:val="32"/>
      <w:sz w:val="36"/>
      <w:szCs w:val="36"/>
    </w:rPr>
  </w:style>
  <w:style w:type="character" w:customStyle="1" w:styleId="ParagraphnonumbersChar">
    <w:name w:val="Paragraph no numbers Char"/>
    <w:basedOn w:val="DefaultParagraphFont"/>
    <w:link w:val="Paragraphnonumbers"/>
    <w:uiPriority w:val="99"/>
    <w:rsid w:val="007076C8"/>
    <w:rPr>
      <w:rFonts w:ascii="Arial" w:hAnsi="Arial"/>
      <w:sz w:val="24"/>
      <w:szCs w:val="24"/>
    </w:rPr>
  </w:style>
  <w:style w:type="paragraph" w:customStyle="1" w:styleId="Tabletext">
    <w:name w:val="Table text"/>
    <w:basedOn w:val="Normal"/>
    <w:link w:val="TabletextChar"/>
    <w:qFormat/>
    <w:rsid w:val="007076C8"/>
    <w:pPr>
      <w:spacing w:before="60" w:after="60" w:line="276" w:lineRule="auto"/>
    </w:pPr>
    <w:rPr>
      <w:rFonts w:ascii="Arial" w:hAnsi="Arial"/>
      <w:sz w:val="22"/>
      <w:szCs w:val="20"/>
    </w:rPr>
  </w:style>
  <w:style w:type="paragraph" w:customStyle="1" w:styleId="Tablecolumnheading">
    <w:name w:val="Table column heading"/>
    <w:basedOn w:val="Tabletext"/>
    <w:link w:val="TablecolumnheadingChar"/>
    <w:qFormat/>
    <w:rsid w:val="007076C8"/>
    <w:rPr>
      <w:b/>
    </w:rPr>
  </w:style>
  <w:style w:type="character" w:customStyle="1" w:styleId="TabletextChar">
    <w:name w:val="Table text Char"/>
    <w:basedOn w:val="DefaultParagraphFont"/>
    <w:link w:val="Tabletext"/>
    <w:rsid w:val="007076C8"/>
    <w:rPr>
      <w:rFonts w:ascii="Arial" w:hAnsi="Arial"/>
      <w:sz w:val="22"/>
    </w:rPr>
  </w:style>
  <w:style w:type="character" w:customStyle="1" w:styleId="TablecolumnheadingChar">
    <w:name w:val="Table column heading Char"/>
    <w:basedOn w:val="TabletextChar"/>
    <w:link w:val="Tablecolumnheading"/>
    <w:rsid w:val="007076C8"/>
    <w:rPr>
      <w:rFonts w:ascii="Arial" w:hAnsi="Arial"/>
      <w:b/>
      <w:sz w:val="22"/>
    </w:rPr>
  </w:style>
  <w:style w:type="paragraph" w:customStyle="1" w:styleId="Bulletslast">
    <w:name w:val="Bullets last"/>
    <w:basedOn w:val="Bullets"/>
    <w:qFormat/>
    <w:rsid w:val="007076C8"/>
    <w:pPr>
      <w:numPr>
        <w:numId w:val="0"/>
      </w:numPr>
      <w:spacing w:after="240"/>
      <w:ind w:left="1588" w:hanging="454"/>
    </w:pPr>
    <w:rPr>
      <w:szCs w:val="20"/>
    </w:rPr>
  </w:style>
  <w:style w:type="paragraph" w:customStyle="1" w:styleId="Heading2boardreport">
    <w:name w:val="Heading 2 board report"/>
    <w:basedOn w:val="Heading2"/>
    <w:qFormat/>
    <w:rsid w:val="007076C8"/>
    <w:pPr>
      <w:spacing w:after="240"/>
    </w:pPr>
    <w:rPr>
      <w:b w:val="0"/>
      <w:i w:val="0"/>
      <w:iCs w:val="0"/>
      <w:kern w:val="32"/>
      <w:sz w:val="28"/>
      <w:szCs w:val="32"/>
    </w:rPr>
  </w:style>
  <w:style w:type="paragraph" w:customStyle="1" w:styleId="Heading3boardreport">
    <w:name w:val="Heading 3 board report"/>
    <w:basedOn w:val="Heading3"/>
    <w:qFormat/>
    <w:rsid w:val="007076C8"/>
    <w:pPr>
      <w:ind w:left="426"/>
    </w:pPr>
    <w:rPr>
      <w:b w:val="0"/>
      <w:bCs w:val="0"/>
    </w:rPr>
  </w:style>
  <w:style w:type="paragraph" w:customStyle="1" w:styleId="Numberedheading1">
    <w:name w:val="Numbered heading 1"/>
    <w:basedOn w:val="Heading1"/>
    <w:next w:val="Normal"/>
    <w:link w:val="Numberedheading1CharChar"/>
    <w:rsid w:val="00FD5A1C"/>
    <w:pPr>
      <w:numPr>
        <w:numId w:val="17"/>
      </w:numPr>
      <w:tabs>
        <w:tab w:val="num" w:pos="1134"/>
      </w:tabs>
      <w:spacing w:before="240" w:line="360" w:lineRule="auto"/>
      <w:ind w:left="1134" w:hanging="1134"/>
    </w:pPr>
    <w:rPr>
      <w:rFonts w:cs="Arial"/>
      <w:sz w:val="32"/>
      <w:szCs w:val="24"/>
      <w:lang w:eastAsia="en-US"/>
    </w:rPr>
  </w:style>
  <w:style w:type="paragraph" w:customStyle="1" w:styleId="Numberedheading2">
    <w:name w:val="Numbered heading 2"/>
    <w:basedOn w:val="Heading2"/>
    <w:next w:val="Normal"/>
    <w:rsid w:val="00FD5A1C"/>
    <w:pPr>
      <w:numPr>
        <w:ilvl w:val="1"/>
        <w:numId w:val="17"/>
      </w:numPr>
      <w:tabs>
        <w:tab w:val="num" w:pos="1134"/>
      </w:tabs>
      <w:spacing w:before="240" w:after="60" w:line="360" w:lineRule="auto"/>
      <w:ind w:left="1134" w:hanging="1134"/>
    </w:pPr>
    <w:rPr>
      <w:rFonts w:cs="Arial"/>
      <w:sz w:val="28"/>
      <w:szCs w:val="28"/>
      <w:lang w:eastAsia="en-US"/>
    </w:rPr>
  </w:style>
  <w:style w:type="character" w:customStyle="1" w:styleId="Numberedheading1CharChar">
    <w:name w:val="Numbered heading 1 Char Char"/>
    <w:link w:val="Numberedheading1"/>
    <w:rsid w:val="00FD5A1C"/>
    <w:rPr>
      <w:rFonts w:ascii="Arial" w:hAnsi="Arial" w:cs="Arial"/>
      <w:b/>
      <w:bCs/>
      <w:kern w:val="32"/>
      <w:sz w:val="32"/>
      <w:szCs w:val="24"/>
      <w:lang w:eastAsia="en-US"/>
    </w:rPr>
  </w:style>
  <w:style w:type="paragraph" w:customStyle="1" w:styleId="Title16pt">
    <w:name w:val="Title 16 pt"/>
    <w:basedOn w:val="Title"/>
    <w:rsid w:val="00673352"/>
    <w:pPr>
      <w:keepNext/>
      <w:spacing w:before="240" w:after="240"/>
    </w:pPr>
    <w:rPr>
      <w:rFonts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551585">
      <w:bodyDiv w:val="1"/>
      <w:marLeft w:val="0"/>
      <w:marRight w:val="0"/>
      <w:marTop w:val="0"/>
      <w:marBottom w:val="0"/>
      <w:divBdr>
        <w:top w:val="none" w:sz="0" w:space="0" w:color="auto"/>
        <w:left w:val="none" w:sz="0" w:space="0" w:color="auto"/>
        <w:bottom w:val="none" w:sz="0" w:space="0" w:color="auto"/>
        <w:right w:val="none" w:sz="0" w:space="0" w:color="auto"/>
      </w:divBdr>
      <w:divsChild>
        <w:div w:id="1787502379">
          <w:marLeft w:val="547"/>
          <w:marRight w:val="0"/>
          <w:marTop w:val="0"/>
          <w:marBottom w:val="0"/>
          <w:divBdr>
            <w:top w:val="none" w:sz="0" w:space="0" w:color="auto"/>
            <w:left w:val="none" w:sz="0" w:space="0" w:color="auto"/>
            <w:bottom w:val="none" w:sz="0" w:space="0" w:color="auto"/>
            <w:right w:val="none" w:sz="0" w:space="0" w:color="auto"/>
          </w:divBdr>
        </w:div>
        <w:div w:id="365453551">
          <w:marLeft w:val="547"/>
          <w:marRight w:val="0"/>
          <w:marTop w:val="0"/>
          <w:marBottom w:val="0"/>
          <w:divBdr>
            <w:top w:val="none" w:sz="0" w:space="0" w:color="auto"/>
            <w:left w:val="none" w:sz="0" w:space="0" w:color="auto"/>
            <w:bottom w:val="none" w:sz="0" w:space="0" w:color="auto"/>
            <w:right w:val="none" w:sz="0" w:space="0" w:color="auto"/>
          </w:divBdr>
        </w:div>
        <w:div w:id="1625233585">
          <w:marLeft w:val="547"/>
          <w:marRight w:val="0"/>
          <w:marTop w:val="0"/>
          <w:marBottom w:val="0"/>
          <w:divBdr>
            <w:top w:val="none" w:sz="0" w:space="0" w:color="auto"/>
            <w:left w:val="none" w:sz="0" w:space="0" w:color="auto"/>
            <w:bottom w:val="none" w:sz="0" w:space="0" w:color="auto"/>
            <w:right w:val="none" w:sz="0" w:space="0" w:color="auto"/>
          </w:divBdr>
        </w:div>
      </w:divsChild>
    </w:div>
    <w:div w:id="688802682">
      <w:bodyDiv w:val="1"/>
      <w:marLeft w:val="0"/>
      <w:marRight w:val="0"/>
      <w:marTop w:val="0"/>
      <w:marBottom w:val="0"/>
      <w:divBdr>
        <w:top w:val="none" w:sz="0" w:space="0" w:color="auto"/>
        <w:left w:val="none" w:sz="0" w:space="0" w:color="auto"/>
        <w:bottom w:val="none" w:sz="0" w:space="0" w:color="auto"/>
        <w:right w:val="none" w:sz="0" w:space="0" w:color="auto"/>
      </w:divBdr>
      <w:divsChild>
        <w:div w:id="1080715629">
          <w:marLeft w:val="0"/>
          <w:marRight w:val="0"/>
          <w:marTop w:val="0"/>
          <w:marBottom w:val="0"/>
          <w:divBdr>
            <w:top w:val="none" w:sz="0" w:space="0" w:color="auto"/>
            <w:left w:val="none" w:sz="0" w:space="0" w:color="auto"/>
            <w:bottom w:val="none" w:sz="0" w:space="0" w:color="auto"/>
            <w:right w:val="none" w:sz="0" w:space="0" w:color="auto"/>
          </w:divBdr>
        </w:div>
      </w:divsChild>
    </w:div>
    <w:div w:id="946615769">
      <w:bodyDiv w:val="1"/>
      <w:marLeft w:val="0"/>
      <w:marRight w:val="0"/>
      <w:marTop w:val="0"/>
      <w:marBottom w:val="0"/>
      <w:divBdr>
        <w:top w:val="none" w:sz="0" w:space="0" w:color="auto"/>
        <w:left w:val="none" w:sz="0" w:space="0" w:color="auto"/>
        <w:bottom w:val="none" w:sz="0" w:space="0" w:color="auto"/>
        <w:right w:val="none" w:sz="0" w:space="0" w:color="auto"/>
      </w:divBdr>
      <w:divsChild>
        <w:div w:id="1855873075">
          <w:marLeft w:val="648"/>
          <w:marRight w:val="0"/>
          <w:marTop w:val="170"/>
          <w:marBottom w:val="0"/>
          <w:divBdr>
            <w:top w:val="none" w:sz="0" w:space="0" w:color="auto"/>
            <w:left w:val="none" w:sz="0" w:space="0" w:color="auto"/>
            <w:bottom w:val="none" w:sz="0" w:space="0" w:color="auto"/>
            <w:right w:val="none" w:sz="0" w:space="0" w:color="auto"/>
          </w:divBdr>
        </w:div>
        <w:div w:id="1106384375">
          <w:marLeft w:val="648"/>
          <w:marRight w:val="0"/>
          <w:marTop w:val="170"/>
          <w:marBottom w:val="0"/>
          <w:divBdr>
            <w:top w:val="none" w:sz="0" w:space="0" w:color="auto"/>
            <w:left w:val="none" w:sz="0" w:space="0" w:color="auto"/>
            <w:bottom w:val="none" w:sz="0" w:space="0" w:color="auto"/>
            <w:right w:val="none" w:sz="0" w:space="0" w:color="auto"/>
          </w:divBdr>
        </w:div>
        <w:div w:id="1554147970">
          <w:marLeft w:val="850"/>
          <w:marRight w:val="0"/>
          <w:marTop w:val="170"/>
          <w:marBottom w:val="0"/>
          <w:divBdr>
            <w:top w:val="none" w:sz="0" w:space="0" w:color="auto"/>
            <w:left w:val="none" w:sz="0" w:space="0" w:color="auto"/>
            <w:bottom w:val="none" w:sz="0" w:space="0" w:color="auto"/>
            <w:right w:val="none" w:sz="0" w:space="0" w:color="auto"/>
          </w:divBdr>
        </w:div>
        <w:div w:id="360671295">
          <w:marLeft w:val="850"/>
          <w:marRight w:val="0"/>
          <w:marTop w:val="170"/>
          <w:marBottom w:val="0"/>
          <w:divBdr>
            <w:top w:val="none" w:sz="0" w:space="0" w:color="auto"/>
            <w:left w:val="none" w:sz="0" w:space="0" w:color="auto"/>
            <w:bottom w:val="none" w:sz="0" w:space="0" w:color="auto"/>
            <w:right w:val="none" w:sz="0" w:space="0" w:color="auto"/>
          </w:divBdr>
        </w:div>
        <w:div w:id="862323420">
          <w:marLeft w:val="850"/>
          <w:marRight w:val="0"/>
          <w:marTop w:val="170"/>
          <w:marBottom w:val="0"/>
          <w:divBdr>
            <w:top w:val="none" w:sz="0" w:space="0" w:color="auto"/>
            <w:left w:val="none" w:sz="0" w:space="0" w:color="auto"/>
            <w:bottom w:val="none" w:sz="0" w:space="0" w:color="auto"/>
            <w:right w:val="none" w:sz="0" w:space="0" w:color="auto"/>
          </w:divBdr>
        </w:div>
      </w:divsChild>
    </w:div>
    <w:div w:id="1289583892">
      <w:bodyDiv w:val="1"/>
      <w:marLeft w:val="0"/>
      <w:marRight w:val="0"/>
      <w:marTop w:val="0"/>
      <w:marBottom w:val="0"/>
      <w:divBdr>
        <w:top w:val="none" w:sz="0" w:space="0" w:color="auto"/>
        <w:left w:val="none" w:sz="0" w:space="0" w:color="auto"/>
        <w:bottom w:val="none" w:sz="0" w:space="0" w:color="auto"/>
        <w:right w:val="none" w:sz="0" w:space="0" w:color="auto"/>
      </w:divBdr>
      <w:divsChild>
        <w:div w:id="44762579">
          <w:marLeft w:val="821"/>
          <w:marRight w:val="0"/>
          <w:marTop w:val="0"/>
          <w:marBottom w:val="0"/>
          <w:divBdr>
            <w:top w:val="none" w:sz="0" w:space="0" w:color="auto"/>
            <w:left w:val="none" w:sz="0" w:space="0" w:color="auto"/>
            <w:bottom w:val="none" w:sz="0" w:space="0" w:color="auto"/>
            <w:right w:val="none" w:sz="0" w:space="0" w:color="auto"/>
          </w:divBdr>
        </w:div>
        <w:div w:id="1427653717">
          <w:marLeft w:val="821"/>
          <w:marRight w:val="0"/>
          <w:marTop w:val="0"/>
          <w:marBottom w:val="0"/>
          <w:divBdr>
            <w:top w:val="none" w:sz="0" w:space="0" w:color="auto"/>
            <w:left w:val="none" w:sz="0" w:space="0" w:color="auto"/>
            <w:bottom w:val="none" w:sz="0" w:space="0" w:color="auto"/>
            <w:right w:val="none" w:sz="0" w:space="0" w:color="auto"/>
          </w:divBdr>
        </w:div>
        <w:div w:id="42680377">
          <w:marLeft w:val="821"/>
          <w:marRight w:val="0"/>
          <w:marTop w:val="0"/>
          <w:marBottom w:val="0"/>
          <w:divBdr>
            <w:top w:val="none" w:sz="0" w:space="0" w:color="auto"/>
            <w:left w:val="none" w:sz="0" w:space="0" w:color="auto"/>
            <w:bottom w:val="none" w:sz="0" w:space="0" w:color="auto"/>
            <w:right w:val="none" w:sz="0" w:space="0" w:color="auto"/>
          </w:divBdr>
        </w:div>
        <w:div w:id="2101100490">
          <w:marLeft w:val="2462"/>
          <w:marRight w:val="0"/>
          <w:marTop w:val="0"/>
          <w:marBottom w:val="0"/>
          <w:divBdr>
            <w:top w:val="none" w:sz="0" w:space="0" w:color="auto"/>
            <w:left w:val="none" w:sz="0" w:space="0" w:color="auto"/>
            <w:bottom w:val="none" w:sz="0" w:space="0" w:color="auto"/>
            <w:right w:val="none" w:sz="0" w:space="0" w:color="auto"/>
          </w:divBdr>
        </w:div>
        <w:div w:id="1390180770">
          <w:marLeft w:val="2462"/>
          <w:marRight w:val="0"/>
          <w:marTop w:val="0"/>
          <w:marBottom w:val="0"/>
          <w:divBdr>
            <w:top w:val="none" w:sz="0" w:space="0" w:color="auto"/>
            <w:left w:val="none" w:sz="0" w:space="0" w:color="auto"/>
            <w:bottom w:val="none" w:sz="0" w:space="0" w:color="auto"/>
            <w:right w:val="none" w:sz="0" w:space="0" w:color="auto"/>
          </w:divBdr>
        </w:div>
        <w:div w:id="255863377">
          <w:marLeft w:val="821"/>
          <w:marRight w:val="0"/>
          <w:marTop w:val="0"/>
          <w:marBottom w:val="0"/>
          <w:divBdr>
            <w:top w:val="none" w:sz="0" w:space="0" w:color="auto"/>
            <w:left w:val="none" w:sz="0" w:space="0" w:color="auto"/>
            <w:bottom w:val="none" w:sz="0" w:space="0" w:color="auto"/>
            <w:right w:val="none" w:sz="0" w:space="0" w:color="auto"/>
          </w:divBdr>
        </w:div>
        <w:div w:id="650403018">
          <w:marLeft w:val="821"/>
          <w:marRight w:val="0"/>
          <w:marTop w:val="0"/>
          <w:marBottom w:val="0"/>
          <w:divBdr>
            <w:top w:val="none" w:sz="0" w:space="0" w:color="auto"/>
            <w:left w:val="none" w:sz="0" w:space="0" w:color="auto"/>
            <w:bottom w:val="none" w:sz="0" w:space="0" w:color="auto"/>
            <w:right w:val="none" w:sz="0" w:space="0" w:color="auto"/>
          </w:divBdr>
        </w:div>
      </w:divsChild>
    </w:div>
    <w:div w:id="1692564195">
      <w:bodyDiv w:val="1"/>
      <w:marLeft w:val="0"/>
      <w:marRight w:val="0"/>
      <w:marTop w:val="0"/>
      <w:marBottom w:val="0"/>
      <w:divBdr>
        <w:top w:val="none" w:sz="0" w:space="0" w:color="auto"/>
        <w:left w:val="none" w:sz="0" w:space="0" w:color="auto"/>
        <w:bottom w:val="none" w:sz="0" w:space="0" w:color="auto"/>
        <w:right w:val="none" w:sz="0" w:space="0" w:color="auto"/>
      </w:divBdr>
    </w:div>
    <w:div w:id="1797603292">
      <w:bodyDiv w:val="1"/>
      <w:marLeft w:val="0"/>
      <w:marRight w:val="0"/>
      <w:marTop w:val="0"/>
      <w:marBottom w:val="0"/>
      <w:divBdr>
        <w:top w:val="none" w:sz="0" w:space="0" w:color="auto"/>
        <w:left w:val="none" w:sz="0" w:space="0" w:color="auto"/>
        <w:bottom w:val="none" w:sz="0" w:space="0" w:color="auto"/>
        <w:right w:val="none" w:sz="0" w:space="0" w:color="auto"/>
      </w:divBdr>
    </w:div>
    <w:div w:id="1939560883">
      <w:bodyDiv w:val="1"/>
      <w:marLeft w:val="0"/>
      <w:marRight w:val="0"/>
      <w:marTop w:val="0"/>
      <w:marBottom w:val="0"/>
      <w:divBdr>
        <w:top w:val="none" w:sz="0" w:space="0" w:color="auto"/>
        <w:left w:val="none" w:sz="0" w:space="0" w:color="auto"/>
        <w:bottom w:val="none" w:sz="0" w:space="0" w:color="auto"/>
        <w:right w:val="none" w:sz="0" w:space="0" w:color="auto"/>
      </w:divBdr>
      <w:divsChild>
        <w:div w:id="1138037189">
          <w:marLeft w:val="547"/>
          <w:marRight w:val="0"/>
          <w:marTop w:val="0"/>
          <w:marBottom w:val="0"/>
          <w:divBdr>
            <w:top w:val="none" w:sz="0" w:space="0" w:color="auto"/>
            <w:left w:val="none" w:sz="0" w:space="0" w:color="auto"/>
            <w:bottom w:val="none" w:sz="0" w:space="0" w:color="auto"/>
            <w:right w:val="none" w:sz="0" w:space="0" w:color="auto"/>
          </w:divBdr>
        </w:div>
        <w:div w:id="1320691331">
          <w:marLeft w:val="547"/>
          <w:marRight w:val="0"/>
          <w:marTop w:val="0"/>
          <w:marBottom w:val="0"/>
          <w:divBdr>
            <w:top w:val="none" w:sz="0" w:space="0" w:color="auto"/>
            <w:left w:val="none" w:sz="0" w:space="0" w:color="auto"/>
            <w:bottom w:val="none" w:sz="0" w:space="0" w:color="auto"/>
            <w:right w:val="none" w:sz="0" w:space="0" w:color="auto"/>
          </w:divBdr>
        </w:div>
        <w:div w:id="1131627814">
          <w:marLeft w:val="547"/>
          <w:marRight w:val="0"/>
          <w:marTop w:val="0"/>
          <w:marBottom w:val="0"/>
          <w:divBdr>
            <w:top w:val="none" w:sz="0" w:space="0" w:color="auto"/>
            <w:left w:val="none" w:sz="0" w:space="0" w:color="auto"/>
            <w:bottom w:val="none" w:sz="0" w:space="0" w:color="auto"/>
            <w:right w:val="none" w:sz="0" w:space="0" w:color="auto"/>
          </w:divBdr>
        </w:div>
      </w:divsChild>
    </w:div>
    <w:div w:id="211570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o-we-are/our-principles" TargetMode="External"/><Relationship Id="rId13" Type="http://schemas.openxmlformats.org/officeDocument/2006/relationships/hyperlink" Target="http://www.legislation.gov.uk/id/uksi/2018/1322" TargetMode="External"/><Relationship Id="rId18" Type="http://schemas.openxmlformats.org/officeDocument/2006/relationships/hyperlink" Target="https://www.gov.uk/government/publications/voluntary-scheme-for-branded-medicines-pricing-and-access" TargetMode="External"/><Relationship Id="rId26" Type="http://schemas.openxmlformats.org/officeDocument/2006/relationships/hyperlink" Target="https://www.nice.org.uk/terms-and-conditions" TargetMode="External"/><Relationship Id="rId3" Type="http://schemas.openxmlformats.org/officeDocument/2006/relationships/styles" Target="styles.xml"/><Relationship Id="rId21" Type="http://schemas.openxmlformats.org/officeDocument/2006/relationships/hyperlink" Target="https://www.gov.uk/government/publications/life-sciences-sector-deal/life-sciences-sector-deal-2-2018" TargetMode="External"/><Relationship Id="rId7" Type="http://schemas.openxmlformats.org/officeDocument/2006/relationships/endnotes" Target="endnotes.xml"/><Relationship Id="rId12" Type="http://schemas.openxmlformats.org/officeDocument/2006/relationships/hyperlink" Target="http://www.legislation.gov.uk/uksi/2013/259/regulation/7/made" TargetMode="External"/><Relationship Id="rId17" Type="http://schemas.openxmlformats.org/officeDocument/2006/relationships/hyperlink" Target="https://www.longtermplan.nhs.uk/" TargetMode="External"/><Relationship Id="rId25" Type="http://schemas.openxmlformats.org/officeDocument/2006/relationships/hyperlink" Target="https://www.nice.org.uk/about/what-we-do/our-programmes/evidence-standards-framework-for-digital-health-technologies" TargetMode="External"/><Relationship Id="rId2" Type="http://schemas.openxmlformats.org/officeDocument/2006/relationships/numbering" Target="numbering.xml"/><Relationship Id="rId16" Type="http://schemas.openxmlformats.org/officeDocument/2006/relationships/hyperlink" Target="https://www.longtermplan.nhs.uk/" TargetMode="External"/><Relationship Id="rId20" Type="http://schemas.openxmlformats.org/officeDocument/2006/relationships/hyperlink" Target="https://www.gov.uk/government/publications/accelerated-access-review-respon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ice.nhs.uk\Data\CHTE\CHTE%202020\4.%20Workstreams\2.%20Single%20topic%20selection%20process\5.%20Project%20team%20&amp;%20SG%20papers\(https:\www.nice.org.uk\process\pmg28\chapter\introduction)" TargetMode="External"/><Relationship Id="rId24" Type="http://schemas.openxmlformats.org/officeDocument/2006/relationships/hyperlink" Target="https://www.nice.org.uk/about/what-we-do/our-programmes/evidence-standards-framework-for-digital-health-technologies" TargetMode="External"/><Relationship Id="rId5" Type="http://schemas.openxmlformats.org/officeDocument/2006/relationships/webSettings" Target="webSettings.xml"/><Relationship Id="rId15" Type="http://schemas.openxmlformats.org/officeDocument/2006/relationships/hyperlink" Target="http://www.legislation.gov.uk/id/uksi/2018/1322" TargetMode="External"/><Relationship Id="rId23" Type="http://schemas.openxmlformats.org/officeDocument/2006/relationships/hyperlink" Target="https://www.longtermplan.nhs.uk/" TargetMode="External"/><Relationship Id="rId28" Type="http://schemas.openxmlformats.org/officeDocument/2006/relationships/fontTable" Target="fontTable.xml"/><Relationship Id="rId10" Type="http://schemas.openxmlformats.org/officeDocument/2006/relationships/hyperlink" Target="file:///\\nice.nhs.uk\Data\CHTE\CHTE%202020\4.%20Workstreams\2.%20Single%20topic%20selection%20process\5.%20Project%20team%20&amp;%20SG%20papers\(https:\www.nice.org.uk\about\what-we-do\our-programmes\topic-selection%23ta-selection)" TargetMode="External"/><Relationship Id="rId19" Type="http://schemas.openxmlformats.org/officeDocument/2006/relationships/hyperlink" Target="https://www.gov.uk/government/publications/accelerated-access-review-final-report" TargetMode="External"/><Relationship Id="rId4" Type="http://schemas.openxmlformats.org/officeDocument/2006/relationships/settings" Target="settings.xml"/><Relationship Id="rId9" Type="http://schemas.openxmlformats.org/officeDocument/2006/relationships/hyperlink" Target="file:///\\nice.nhs.uk\Data\CHTE\CHTE%202020\4.%20Workstreams\2.%20Single%20topic%20selection%20process\5.%20Project%20team%20&amp;%20SG%20papers\(https:\www.nice.org.uk\process\pmg34\chapter\identifying-selecting-and-routing-technologies-for-evaluation)" TargetMode="External"/><Relationship Id="rId14" Type="http://schemas.openxmlformats.org/officeDocument/2006/relationships/hyperlink" Target="http://www.legislation.gov.uk/uksi/2013/259/regulation/8/made" TargetMode="External"/><Relationship Id="rId22" Type="http://schemas.openxmlformats.org/officeDocument/2006/relationships/hyperlink" Target="https://www.gov.uk/government/publications/voluntary-scheme-for-branded-medicines-pricing-and-acces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D28E-2D20-428E-AE78-455AF0004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6682</Words>
  <Characters>38092</Characters>
  <Application>Microsoft Office Word</Application>
  <DocSecurity>0</DocSecurity>
  <Lines>317</Lines>
  <Paragraphs>89</Paragraphs>
  <ScaleCrop>false</ScaleCrop>
  <Company/>
  <LinksUpToDate>false</LinksUpToDate>
  <CharactersWithSpaces>44685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2020-10-07T14:51:00Z</dcterms:created>
  <dcterms:modified xsi:type="dcterms:W3CDTF">2020-10-07T14:51:00Z</dcterms:modified>
</cp:coreProperties>
</file>