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CFC38" w14:textId="094BD627" w:rsidR="00840ECC" w:rsidRPr="00901A5C" w:rsidRDefault="001013E9" w:rsidP="008F6EA3">
      <w:pPr>
        <w:pStyle w:val="Title"/>
      </w:pPr>
      <w:r>
        <w:t>A</w:t>
      </w:r>
      <w:r w:rsidR="00071AA9" w:rsidRPr="00071AA9">
        <w:t xml:space="preserve">dvice on overlaps between the </w:t>
      </w:r>
      <w:r w:rsidR="001F5BCF">
        <w:t>evidence standards framework</w:t>
      </w:r>
      <w:r w:rsidR="001F5BCF" w:rsidRPr="00071AA9">
        <w:t xml:space="preserve"> </w:t>
      </w:r>
      <w:r w:rsidR="00071AA9" w:rsidRPr="00071AA9">
        <w:t xml:space="preserve">and medical device regulations for companies with </w:t>
      </w:r>
      <w:r w:rsidR="001F5BCF">
        <w:t>d</w:t>
      </w:r>
      <w:r w:rsidR="001F5BCF" w:rsidRPr="008F6EA3">
        <w:t>igital</w:t>
      </w:r>
      <w:r w:rsidR="001F5BCF" w:rsidRPr="00071AA9">
        <w:t xml:space="preserve"> </w:t>
      </w:r>
      <w:r w:rsidR="001F5BCF">
        <w:t>h</w:t>
      </w:r>
      <w:r w:rsidR="001F5BCF" w:rsidRPr="00071AA9">
        <w:t xml:space="preserve">ealth </w:t>
      </w:r>
      <w:r w:rsidR="001F5BCF">
        <w:t>t</w:t>
      </w:r>
      <w:r w:rsidR="001F5BCF" w:rsidRPr="00071AA9">
        <w:t xml:space="preserve">echnologies </w:t>
      </w:r>
      <w:r w:rsidR="00071AA9" w:rsidRPr="00071AA9">
        <w:t>that are also medical devices</w:t>
      </w:r>
    </w:p>
    <w:p w14:paraId="2344D2BA" w14:textId="77777777" w:rsidR="00840ECC" w:rsidRPr="00901A5C" w:rsidRDefault="00840ECC" w:rsidP="00840ECC">
      <w:pPr>
        <w:jc w:val="center"/>
        <w:rPr>
          <w:b/>
          <w:sz w:val="30"/>
          <w:szCs w:val="30"/>
        </w:rPr>
      </w:pPr>
    </w:p>
    <w:tbl>
      <w:tblPr>
        <w:tblStyle w:val="TableGrid"/>
        <w:tblW w:w="5000" w:type="pct"/>
        <w:tblLook w:val="04A0" w:firstRow="1" w:lastRow="0" w:firstColumn="1" w:lastColumn="0" w:noHBand="0" w:noVBand="1"/>
        <w:tblDescription w:val="Document author info"/>
      </w:tblPr>
      <w:tblGrid>
        <w:gridCol w:w="4512"/>
        <w:gridCol w:w="5461"/>
      </w:tblGrid>
      <w:tr w:rsidR="00840ECC" w:rsidRPr="00901A5C" w14:paraId="03790787" w14:textId="77777777" w:rsidTr="00ED4B9B">
        <w:trPr>
          <w:trHeight w:val="57"/>
        </w:trPr>
        <w:tc>
          <w:tcPr>
            <w:tcW w:w="2262" w:type="pct"/>
          </w:tcPr>
          <w:p w14:paraId="2254F014" w14:textId="748B126D" w:rsidR="00840ECC" w:rsidRPr="00901A5C" w:rsidRDefault="00840ECC" w:rsidP="0025304F">
            <w:pPr>
              <w:spacing w:after="0"/>
              <w:rPr>
                <w:b/>
              </w:rPr>
            </w:pPr>
            <w:r w:rsidRPr="00901A5C">
              <w:rPr>
                <w:b/>
              </w:rPr>
              <w:t>Work package ref</w:t>
            </w:r>
            <w:r w:rsidR="008240CF">
              <w:rPr>
                <w:b/>
              </w:rPr>
              <w:t>erence</w:t>
            </w:r>
          </w:p>
        </w:tc>
        <w:tc>
          <w:tcPr>
            <w:tcW w:w="2738" w:type="pct"/>
          </w:tcPr>
          <w:p w14:paraId="2F8B062F" w14:textId="75AD0E8D" w:rsidR="00840ECC" w:rsidRPr="00901A5C" w:rsidRDefault="00840ECC" w:rsidP="0025304F">
            <w:pPr>
              <w:spacing w:after="0"/>
            </w:pPr>
            <w:r>
              <w:t>RX216</w:t>
            </w:r>
            <w:r w:rsidR="009B29AA">
              <w:t xml:space="preserve"> phase 1</w:t>
            </w:r>
          </w:p>
        </w:tc>
      </w:tr>
      <w:tr w:rsidR="00840ECC" w:rsidRPr="00901A5C" w14:paraId="17DFCB5A" w14:textId="77777777" w:rsidTr="00ED4B9B">
        <w:trPr>
          <w:trHeight w:val="170"/>
        </w:trPr>
        <w:tc>
          <w:tcPr>
            <w:tcW w:w="2262" w:type="pct"/>
          </w:tcPr>
          <w:p w14:paraId="55228056" w14:textId="77777777" w:rsidR="00840ECC" w:rsidRPr="00901A5C" w:rsidRDefault="00840ECC" w:rsidP="0025304F">
            <w:pPr>
              <w:spacing w:after="0"/>
              <w:rPr>
                <w:b/>
              </w:rPr>
            </w:pPr>
            <w:r w:rsidRPr="00901A5C">
              <w:rPr>
                <w:b/>
              </w:rPr>
              <w:t>Work package name</w:t>
            </w:r>
          </w:p>
        </w:tc>
        <w:tc>
          <w:tcPr>
            <w:tcW w:w="2738" w:type="pct"/>
          </w:tcPr>
          <w:p w14:paraId="27A24939" w14:textId="3ABF8A17" w:rsidR="00840ECC" w:rsidRPr="00901A5C" w:rsidRDefault="00840ECC" w:rsidP="0025304F">
            <w:pPr>
              <w:spacing w:after="0"/>
            </w:pPr>
            <w:r>
              <w:t>O</w:t>
            </w:r>
            <w:r w:rsidRPr="00840ECC">
              <w:t>verlap between the medical device regulations and the evidence standards framework</w:t>
            </w:r>
          </w:p>
        </w:tc>
      </w:tr>
      <w:tr w:rsidR="00840ECC" w:rsidRPr="00901A5C" w14:paraId="1943E99F" w14:textId="77777777" w:rsidTr="00ED4B9B">
        <w:trPr>
          <w:trHeight w:val="113"/>
        </w:trPr>
        <w:tc>
          <w:tcPr>
            <w:tcW w:w="2262" w:type="pct"/>
          </w:tcPr>
          <w:p w14:paraId="7F8905A5" w14:textId="77777777" w:rsidR="00840ECC" w:rsidRPr="00901A5C" w:rsidRDefault="00840ECC" w:rsidP="0025304F">
            <w:pPr>
              <w:spacing w:after="0"/>
              <w:rPr>
                <w:b/>
              </w:rPr>
            </w:pPr>
            <w:r w:rsidRPr="00901A5C">
              <w:rPr>
                <w:b/>
              </w:rPr>
              <w:t>Produced by</w:t>
            </w:r>
          </w:p>
        </w:tc>
        <w:tc>
          <w:tcPr>
            <w:tcW w:w="2738" w:type="pct"/>
          </w:tcPr>
          <w:p w14:paraId="46AA95DC" w14:textId="34D1AB81" w:rsidR="00C353AC" w:rsidRPr="00901A5C" w:rsidRDefault="004502ED" w:rsidP="008240CF">
            <w:pPr>
              <w:spacing w:after="0"/>
            </w:pPr>
            <w:r w:rsidRPr="004502ED">
              <w:t xml:space="preserve">Newcastle upon Tyne Hospitals NHS Foundation Trust </w:t>
            </w:r>
            <w:r w:rsidR="008240CF">
              <w:t>E</w:t>
            </w:r>
            <w:r w:rsidRPr="004502ED">
              <w:t xml:space="preserve">xternal </w:t>
            </w:r>
            <w:r w:rsidR="008240CF">
              <w:t>A</w:t>
            </w:r>
            <w:r w:rsidRPr="004502ED">
              <w:t xml:space="preserve">ssessment </w:t>
            </w:r>
            <w:r w:rsidR="008240CF">
              <w:t>C</w:t>
            </w:r>
            <w:r w:rsidRPr="004502ED">
              <w:t>entre</w:t>
            </w:r>
            <w:r>
              <w:t xml:space="preserve"> (EAC)</w:t>
            </w:r>
          </w:p>
        </w:tc>
      </w:tr>
      <w:tr w:rsidR="00840ECC" w:rsidRPr="00901A5C" w14:paraId="128418AD" w14:textId="77777777" w:rsidTr="00ED4B9B">
        <w:trPr>
          <w:trHeight w:val="113"/>
        </w:trPr>
        <w:tc>
          <w:tcPr>
            <w:tcW w:w="2262" w:type="pct"/>
          </w:tcPr>
          <w:p w14:paraId="5D66444A" w14:textId="34AE2CB0" w:rsidR="00840ECC" w:rsidRPr="00901A5C" w:rsidRDefault="00490CA4" w:rsidP="0025304F">
            <w:pPr>
              <w:spacing w:after="0"/>
              <w:rPr>
                <w:b/>
              </w:rPr>
            </w:pPr>
            <w:r>
              <w:rPr>
                <w:b/>
              </w:rPr>
              <w:t>Main a</w:t>
            </w:r>
            <w:r w:rsidR="00840ECC" w:rsidRPr="00901A5C">
              <w:rPr>
                <w:b/>
              </w:rPr>
              <w:t>uthors</w:t>
            </w:r>
          </w:p>
        </w:tc>
        <w:tc>
          <w:tcPr>
            <w:tcW w:w="2738" w:type="pct"/>
          </w:tcPr>
          <w:p w14:paraId="3756A852" w14:textId="3B5125AD" w:rsidR="008B6B9B" w:rsidRPr="00901A5C" w:rsidRDefault="00840ECC" w:rsidP="00041D63">
            <w:pPr>
              <w:spacing w:after="0"/>
            </w:pPr>
            <w:r>
              <w:t xml:space="preserve">Ina </w:t>
            </w:r>
            <w:proofErr w:type="spellStart"/>
            <w:r>
              <w:t>Guri</w:t>
            </w:r>
            <w:proofErr w:type="spellEnd"/>
            <w:r>
              <w:t xml:space="preserve">, Alison Bray, Michael </w:t>
            </w:r>
            <w:proofErr w:type="spellStart"/>
            <w:r>
              <w:t>Drinnan</w:t>
            </w:r>
            <w:proofErr w:type="spellEnd"/>
            <w:r w:rsidR="00041D63">
              <w:t xml:space="preserve">, </w:t>
            </w:r>
            <w:r w:rsidR="008B6B9B">
              <w:t>Northern Medical Physics and Clinical Engineering, The Newcastle upon Tyne Hospitals NHS Foundation Trust</w:t>
            </w:r>
          </w:p>
        </w:tc>
      </w:tr>
      <w:tr w:rsidR="00840ECC" w:rsidRPr="00901A5C" w14:paraId="341F9A72" w14:textId="77777777" w:rsidTr="00ED4B9B">
        <w:trPr>
          <w:trHeight w:val="57"/>
        </w:trPr>
        <w:tc>
          <w:tcPr>
            <w:tcW w:w="2262" w:type="pct"/>
          </w:tcPr>
          <w:p w14:paraId="70B351E0" w14:textId="4A23583D" w:rsidR="00840ECC" w:rsidRPr="00901A5C" w:rsidRDefault="00840ECC" w:rsidP="0025304F">
            <w:pPr>
              <w:spacing w:after="0"/>
              <w:rPr>
                <w:b/>
              </w:rPr>
            </w:pPr>
            <w:r w:rsidRPr="00901A5C">
              <w:rPr>
                <w:b/>
              </w:rPr>
              <w:t>Correspondence to</w:t>
            </w:r>
          </w:p>
        </w:tc>
        <w:tc>
          <w:tcPr>
            <w:tcW w:w="2738" w:type="pct"/>
          </w:tcPr>
          <w:p w14:paraId="2A5904F3" w14:textId="35EC3A9F" w:rsidR="00840ECC" w:rsidRPr="00901A5C" w:rsidRDefault="00AC6AD4" w:rsidP="0025304F">
            <w:pPr>
              <w:spacing w:after="0"/>
            </w:pPr>
            <w:r>
              <w:t xml:space="preserve">Alison Bray, </w:t>
            </w:r>
            <w:hyperlink r:id="rId7" w:history="1">
              <w:r w:rsidRPr="00293128">
                <w:rPr>
                  <w:rStyle w:val="Hyperlink"/>
                </w:rPr>
                <w:t>abray3@nhs.net</w:t>
              </w:r>
            </w:hyperlink>
          </w:p>
        </w:tc>
      </w:tr>
      <w:tr w:rsidR="00F63430" w:rsidRPr="00901A5C" w14:paraId="438B4879" w14:textId="77777777" w:rsidTr="00ED4B9B">
        <w:trPr>
          <w:trHeight w:val="20"/>
        </w:trPr>
        <w:tc>
          <w:tcPr>
            <w:tcW w:w="2262" w:type="pct"/>
          </w:tcPr>
          <w:p w14:paraId="423CAE3A" w14:textId="51682718" w:rsidR="00F63430" w:rsidRPr="00901A5C" w:rsidRDefault="00F63430" w:rsidP="0025304F">
            <w:pPr>
              <w:spacing w:after="0"/>
              <w:rPr>
                <w:b/>
              </w:rPr>
            </w:pPr>
            <w:r>
              <w:rPr>
                <w:b/>
              </w:rPr>
              <w:t>Publication date</w:t>
            </w:r>
          </w:p>
        </w:tc>
        <w:tc>
          <w:tcPr>
            <w:tcW w:w="2738" w:type="pct"/>
          </w:tcPr>
          <w:p w14:paraId="2CF4B9DE" w14:textId="02497423" w:rsidR="00F63430" w:rsidRDefault="002343CB" w:rsidP="002343CB">
            <w:pPr>
              <w:spacing w:after="0"/>
            </w:pPr>
            <w:r>
              <w:t xml:space="preserve">23 </w:t>
            </w:r>
            <w:r w:rsidR="00F63430">
              <w:t>October 2020</w:t>
            </w:r>
          </w:p>
        </w:tc>
      </w:tr>
    </w:tbl>
    <w:p w14:paraId="2E23F1D4" w14:textId="77777777" w:rsidR="00840ECC" w:rsidRDefault="00840ECC" w:rsidP="00840ECC">
      <w:pPr>
        <w:rPr>
          <w:b/>
        </w:rPr>
      </w:pPr>
    </w:p>
    <w:p w14:paraId="36216133" w14:textId="329B46D6" w:rsidR="004F660E" w:rsidRDefault="004F660E" w:rsidP="00AC6AD4">
      <w:pPr>
        <w:sectPr w:rsidR="004F660E" w:rsidSect="00386ABF">
          <w:footerReference w:type="even" r:id="rId8"/>
          <w:footerReference w:type="default" r:id="rId9"/>
          <w:headerReference w:type="first" r:id="rId10"/>
          <w:footerReference w:type="first" r:id="rId11"/>
          <w:type w:val="continuous"/>
          <w:pgSz w:w="11906" w:h="16838" w:code="9"/>
          <w:pgMar w:top="3107" w:right="1440" w:bottom="1440" w:left="709" w:header="709" w:footer="709" w:gutter="0"/>
          <w:cols w:space="708"/>
          <w:titlePg/>
          <w:docGrid w:linePitch="360"/>
        </w:sectPr>
      </w:pPr>
    </w:p>
    <w:p w14:paraId="2D506A9A" w14:textId="51944060" w:rsidR="00D910B9" w:rsidRDefault="00D910B9" w:rsidP="008F6EA3">
      <w:pPr>
        <w:pStyle w:val="Title"/>
        <w:rPr>
          <w:rFonts w:asciiTheme="minorHAnsi" w:eastAsiaTheme="minorHAnsi" w:hAnsiTheme="minorHAnsi" w:cstheme="minorBidi"/>
          <w:caps/>
          <w:sz w:val="22"/>
          <w:szCs w:val="22"/>
          <w:lang w:eastAsia="en-US"/>
        </w:rPr>
      </w:pPr>
      <w:r w:rsidRPr="00071AA9">
        <w:lastRenderedPageBreak/>
        <w:t xml:space="preserve">Advice on overlaps between the </w:t>
      </w:r>
      <w:r w:rsidR="001F5BCF">
        <w:t>evidence standards framework</w:t>
      </w:r>
      <w:r w:rsidR="001F5BCF" w:rsidRPr="00071AA9">
        <w:t xml:space="preserve"> </w:t>
      </w:r>
      <w:r w:rsidRPr="00071AA9">
        <w:t xml:space="preserve">and </w:t>
      </w:r>
      <w:r>
        <w:t xml:space="preserve">medical device regulations for </w:t>
      </w:r>
      <w:r w:rsidRPr="00071AA9">
        <w:t xml:space="preserve">companies with </w:t>
      </w:r>
      <w:r w:rsidR="001F5BCF">
        <w:t>d</w:t>
      </w:r>
      <w:r w:rsidR="001F5BCF" w:rsidRPr="00071AA9">
        <w:t xml:space="preserve">igital </w:t>
      </w:r>
      <w:r w:rsidR="001F5BCF">
        <w:t>h</w:t>
      </w:r>
      <w:r w:rsidR="001F5BCF" w:rsidRPr="00071AA9">
        <w:t xml:space="preserve">ealth </w:t>
      </w:r>
      <w:r w:rsidR="001F5BCF">
        <w:t>t</w:t>
      </w:r>
      <w:r w:rsidR="001F5BCF" w:rsidRPr="00071AA9">
        <w:t xml:space="preserve">echnologies </w:t>
      </w:r>
      <w:r w:rsidRPr="00071AA9">
        <w:t>that are also medical devices</w:t>
      </w:r>
    </w:p>
    <w:sdt>
      <w:sdtPr>
        <w:rPr>
          <w:rFonts w:asciiTheme="minorHAnsi" w:eastAsiaTheme="minorHAnsi" w:hAnsiTheme="minorHAnsi" w:cstheme="minorBidi"/>
          <w:b w:val="0"/>
          <w:bCs w:val="0"/>
          <w:caps w:val="0"/>
          <w:color w:val="000000"/>
          <w:kern w:val="0"/>
          <w:sz w:val="22"/>
          <w:szCs w:val="22"/>
          <w:lang w:eastAsia="en-US"/>
        </w:rPr>
        <w:id w:val="-432513094"/>
        <w:docPartObj>
          <w:docPartGallery w:val="Table of Contents"/>
          <w:docPartUnique/>
        </w:docPartObj>
      </w:sdtPr>
      <w:sdtEndPr>
        <w:rPr>
          <w:noProof/>
          <w:color w:val="auto"/>
        </w:rPr>
      </w:sdtEndPr>
      <w:sdtContent>
        <w:p w14:paraId="2B1C0C52" w14:textId="3476FA69" w:rsidR="00840ECC" w:rsidRPr="00410066" w:rsidRDefault="005830B9" w:rsidP="00840ECC">
          <w:pPr>
            <w:pStyle w:val="TOCHeading"/>
            <w:rPr>
              <w:rStyle w:val="Heading1Char"/>
              <w:b/>
              <w:szCs w:val="22"/>
            </w:rPr>
          </w:pPr>
          <w:r w:rsidRPr="00410066">
            <w:rPr>
              <w:rStyle w:val="Heading1Char"/>
              <w:b/>
              <w:caps w:val="0"/>
              <w:szCs w:val="22"/>
            </w:rPr>
            <w:t>Contents</w:t>
          </w:r>
        </w:p>
        <w:p w14:paraId="228B24EE" w14:textId="6ACD1479" w:rsidR="00FF5D98" w:rsidRPr="008F6EA3" w:rsidRDefault="00840ECC">
          <w:pPr>
            <w:pStyle w:val="TOC1"/>
            <w:tabs>
              <w:tab w:val="right" w:leader="dot" w:pos="14560"/>
            </w:tabs>
            <w:rPr>
              <w:rFonts w:ascii="Arial" w:eastAsiaTheme="minorEastAsia" w:hAnsi="Arial" w:cs="Arial"/>
              <w:noProof/>
              <w:lang w:eastAsia="en-GB"/>
            </w:rPr>
          </w:pPr>
          <w:r w:rsidRPr="006E706A">
            <w:rPr>
              <w:rFonts w:ascii="Arial" w:hAnsi="Arial" w:cs="Arial"/>
            </w:rPr>
            <w:fldChar w:fldCharType="begin"/>
          </w:r>
          <w:r w:rsidRPr="006E706A">
            <w:rPr>
              <w:rFonts w:ascii="Arial" w:hAnsi="Arial" w:cs="Arial"/>
            </w:rPr>
            <w:instrText xml:space="preserve"> TOC \o "1-3" \h \z \u </w:instrText>
          </w:r>
          <w:r w:rsidRPr="006E706A">
            <w:rPr>
              <w:rFonts w:ascii="Arial" w:hAnsi="Arial" w:cs="Arial"/>
            </w:rPr>
            <w:fldChar w:fldCharType="separate"/>
          </w:r>
          <w:hyperlink w:anchor="_Toc54362492" w:history="1">
            <w:r w:rsidR="00FF5D98" w:rsidRPr="008F6EA3">
              <w:rPr>
                <w:rStyle w:val="Hyperlink"/>
                <w:rFonts w:ascii="Arial" w:hAnsi="Arial" w:cs="Arial"/>
                <w:noProof/>
              </w:rPr>
              <w:t>Purpose</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_Toc54362492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2</w:t>
            </w:r>
            <w:r w:rsidR="00FF5D98" w:rsidRPr="008F6EA3">
              <w:rPr>
                <w:rFonts w:ascii="Arial" w:hAnsi="Arial" w:cs="Arial"/>
                <w:noProof/>
                <w:webHidden/>
              </w:rPr>
              <w:fldChar w:fldCharType="end"/>
            </w:r>
          </w:hyperlink>
        </w:p>
        <w:p w14:paraId="4F148963" w14:textId="42F7C77D" w:rsidR="00FF5D98" w:rsidRPr="008F6EA3" w:rsidRDefault="00995EFA">
          <w:pPr>
            <w:pStyle w:val="TOC1"/>
            <w:tabs>
              <w:tab w:val="right" w:leader="dot" w:pos="14560"/>
            </w:tabs>
            <w:rPr>
              <w:rFonts w:ascii="Arial" w:eastAsiaTheme="minorEastAsia" w:hAnsi="Arial" w:cs="Arial"/>
              <w:noProof/>
              <w:lang w:eastAsia="en-GB"/>
            </w:rPr>
          </w:pPr>
          <w:hyperlink w:anchor="_Toc54362493" w:history="1">
            <w:r w:rsidR="00FF5D98" w:rsidRPr="008F6EA3">
              <w:rPr>
                <w:rStyle w:val="Hyperlink"/>
                <w:rFonts w:ascii="Arial" w:hAnsi="Arial" w:cs="Arial"/>
                <w:noProof/>
              </w:rPr>
              <w:t>Mapping ESF tiers and MDR classes for DHTs</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_Toc54362493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3</w:t>
            </w:r>
            <w:r w:rsidR="00FF5D98" w:rsidRPr="008F6EA3">
              <w:rPr>
                <w:rFonts w:ascii="Arial" w:hAnsi="Arial" w:cs="Arial"/>
                <w:noProof/>
                <w:webHidden/>
              </w:rPr>
              <w:fldChar w:fldCharType="end"/>
            </w:r>
          </w:hyperlink>
        </w:p>
        <w:p w14:paraId="61E78D61" w14:textId="1E74C7D5" w:rsidR="00FF5D98" w:rsidRPr="008F6EA3" w:rsidRDefault="00995EFA">
          <w:pPr>
            <w:pStyle w:val="TOC1"/>
            <w:tabs>
              <w:tab w:val="right" w:leader="dot" w:pos="14560"/>
            </w:tabs>
            <w:rPr>
              <w:rFonts w:ascii="Arial" w:eastAsiaTheme="minorEastAsia" w:hAnsi="Arial" w:cs="Arial"/>
              <w:noProof/>
              <w:lang w:eastAsia="en-GB"/>
            </w:rPr>
          </w:pPr>
          <w:hyperlink w:anchor="_Toc54362494" w:history="1">
            <w:r w:rsidR="00FF5D98" w:rsidRPr="008F6EA3">
              <w:rPr>
                <w:rStyle w:val="Hyperlink"/>
                <w:rFonts w:ascii="Arial" w:hAnsi="Arial" w:cs="Arial"/>
                <w:noProof/>
              </w:rPr>
              <w:t>NICE ESF Standards and MDR documentation requirements</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_Toc54362494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4</w:t>
            </w:r>
            <w:r w:rsidR="00FF5D98" w:rsidRPr="008F6EA3">
              <w:rPr>
                <w:rFonts w:ascii="Arial" w:hAnsi="Arial" w:cs="Arial"/>
                <w:noProof/>
                <w:webHidden/>
              </w:rPr>
              <w:fldChar w:fldCharType="end"/>
            </w:r>
          </w:hyperlink>
        </w:p>
        <w:p w14:paraId="0B27AA18" w14:textId="3740BC64" w:rsidR="00FF5D98" w:rsidRPr="008F6EA3" w:rsidRDefault="00995EFA">
          <w:pPr>
            <w:pStyle w:val="TOC2"/>
            <w:tabs>
              <w:tab w:val="right" w:leader="dot" w:pos="14560"/>
            </w:tabs>
            <w:rPr>
              <w:rFonts w:ascii="Arial" w:eastAsiaTheme="minorEastAsia" w:hAnsi="Arial" w:cs="Arial"/>
              <w:noProof/>
              <w:lang w:eastAsia="en-GB"/>
            </w:rPr>
          </w:pPr>
          <w:hyperlink w:anchor="_Toc54362495" w:history="1">
            <w:r w:rsidR="00FF5D98" w:rsidRPr="008F6EA3">
              <w:rPr>
                <w:rStyle w:val="Hyperlink"/>
                <w:rFonts w:ascii="Arial" w:hAnsi="Arial" w:cs="Arial"/>
                <w:noProof/>
              </w:rPr>
              <w:t>Tier B</w:t>
            </w:r>
            <w:r w:rsidR="00F41A61">
              <w:rPr>
                <w:rStyle w:val="Hyperlink"/>
                <w:rFonts w:ascii="Arial" w:hAnsi="Arial" w:cs="Arial"/>
                <w:noProof/>
              </w:rPr>
              <w:t>: u</w:t>
            </w:r>
            <w:r w:rsidR="00FF5D98" w:rsidRPr="008F6EA3">
              <w:rPr>
                <w:rStyle w:val="Hyperlink"/>
                <w:rFonts w:ascii="Arial" w:hAnsi="Arial" w:cs="Arial"/>
                <w:noProof/>
              </w:rPr>
              <w:t>nderstanding and communicating</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_Toc54362495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4</w:t>
            </w:r>
            <w:r w:rsidR="00FF5D98" w:rsidRPr="008F6EA3">
              <w:rPr>
                <w:rFonts w:ascii="Arial" w:hAnsi="Arial" w:cs="Arial"/>
                <w:noProof/>
                <w:webHidden/>
              </w:rPr>
              <w:fldChar w:fldCharType="end"/>
            </w:r>
          </w:hyperlink>
        </w:p>
        <w:p w14:paraId="0BB504C2" w14:textId="041E2515" w:rsidR="00FF5D98" w:rsidRPr="008F6EA3" w:rsidRDefault="00995EFA">
          <w:pPr>
            <w:pStyle w:val="TOC2"/>
            <w:tabs>
              <w:tab w:val="right" w:leader="dot" w:pos="14560"/>
            </w:tabs>
            <w:rPr>
              <w:rFonts w:ascii="Arial" w:eastAsiaTheme="minorEastAsia" w:hAnsi="Arial" w:cs="Arial"/>
              <w:noProof/>
              <w:lang w:eastAsia="en-GB"/>
            </w:rPr>
          </w:pPr>
          <w:hyperlink w:anchor="_Toc54362496" w:history="1">
            <w:r w:rsidR="00FF5D98" w:rsidRPr="008F6EA3">
              <w:rPr>
                <w:rStyle w:val="Hyperlink"/>
                <w:rFonts w:ascii="Arial" w:hAnsi="Arial" w:cs="Arial"/>
                <w:noProof/>
              </w:rPr>
              <w:t>Tier C</w:t>
            </w:r>
            <w:r w:rsidR="00F41A61">
              <w:rPr>
                <w:rStyle w:val="Hyperlink"/>
                <w:rFonts w:ascii="Arial" w:hAnsi="Arial" w:cs="Arial"/>
                <w:noProof/>
              </w:rPr>
              <w:t>:</w:t>
            </w:r>
            <w:r w:rsidR="00FF5D98" w:rsidRPr="008F6EA3">
              <w:rPr>
                <w:rStyle w:val="Hyperlink"/>
                <w:rFonts w:ascii="Arial" w:hAnsi="Arial" w:cs="Arial"/>
                <w:noProof/>
              </w:rPr>
              <w:t xml:space="preserve"> </w:t>
            </w:r>
            <w:r w:rsidR="00F41A61">
              <w:rPr>
                <w:rStyle w:val="Hyperlink"/>
                <w:rFonts w:ascii="Arial" w:hAnsi="Arial" w:cs="Arial"/>
                <w:noProof/>
              </w:rPr>
              <w:t>i</w:t>
            </w:r>
            <w:r w:rsidR="00FF5D98" w:rsidRPr="008F6EA3">
              <w:rPr>
                <w:rStyle w:val="Hyperlink"/>
                <w:rFonts w:ascii="Arial" w:hAnsi="Arial" w:cs="Arial"/>
                <w:noProof/>
              </w:rPr>
              <w:t>ntervention</w:t>
            </w:r>
            <w:r w:rsidR="00D76839">
              <w:rPr>
                <w:rStyle w:val="Hyperlink"/>
                <w:rFonts w:ascii="Arial" w:hAnsi="Arial" w:cs="Arial"/>
                <w:noProof/>
              </w:rPr>
              <w:t>s</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_Toc54362496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16</w:t>
            </w:r>
            <w:r w:rsidR="00FF5D98" w:rsidRPr="008F6EA3">
              <w:rPr>
                <w:rFonts w:ascii="Arial" w:hAnsi="Arial" w:cs="Arial"/>
                <w:noProof/>
                <w:webHidden/>
              </w:rPr>
              <w:fldChar w:fldCharType="end"/>
            </w:r>
          </w:hyperlink>
        </w:p>
        <w:p w14:paraId="3A843622" w14:textId="63C52B4E" w:rsidR="00FF5D98" w:rsidRPr="008F6EA3" w:rsidRDefault="00995EFA">
          <w:pPr>
            <w:pStyle w:val="TOC1"/>
            <w:tabs>
              <w:tab w:val="right" w:leader="dot" w:pos="14560"/>
            </w:tabs>
            <w:rPr>
              <w:rFonts w:ascii="Arial" w:eastAsiaTheme="minorEastAsia" w:hAnsi="Arial" w:cs="Arial"/>
              <w:noProof/>
              <w:lang w:eastAsia="en-GB"/>
            </w:rPr>
          </w:pPr>
          <w:hyperlink w:anchor="_Toc54362497" w:history="1">
            <w:r w:rsidR="00FF5D98" w:rsidRPr="008F6EA3">
              <w:rPr>
                <w:rStyle w:val="Hyperlink"/>
                <w:rFonts w:ascii="Arial" w:hAnsi="Arial" w:cs="Arial"/>
                <w:noProof/>
              </w:rPr>
              <w:t>Conclusions</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_Toc54362497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30</w:t>
            </w:r>
            <w:r w:rsidR="00FF5D98" w:rsidRPr="008F6EA3">
              <w:rPr>
                <w:rFonts w:ascii="Arial" w:hAnsi="Arial" w:cs="Arial"/>
                <w:noProof/>
                <w:webHidden/>
              </w:rPr>
              <w:fldChar w:fldCharType="end"/>
            </w:r>
          </w:hyperlink>
        </w:p>
        <w:p w14:paraId="7D1D7DE8" w14:textId="145AA5C3" w:rsidR="00FF5D98" w:rsidRPr="008F6EA3" w:rsidRDefault="00995EFA">
          <w:pPr>
            <w:pStyle w:val="TOC1"/>
            <w:tabs>
              <w:tab w:val="right" w:leader="dot" w:pos="14560"/>
            </w:tabs>
            <w:rPr>
              <w:rFonts w:ascii="Arial" w:eastAsiaTheme="minorEastAsia" w:hAnsi="Arial" w:cs="Arial"/>
              <w:noProof/>
              <w:lang w:eastAsia="en-GB"/>
            </w:rPr>
          </w:pPr>
          <w:hyperlink w:anchor="_Toc54362498" w:history="1">
            <w:r w:rsidR="00FF5D98" w:rsidRPr="008F6EA3">
              <w:rPr>
                <w:rStyle w:val="Hyperlink"/>
                <w:rFonts w:ascii="Arial" w:hAnsi="Arial" w:cs="Arial"/>
                <w:noProof/>
              </w:rPr>
              <w:t>Acknowledgements</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_Toc54362498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30</w:t>
            </w:r>
            <w:r w:rsidR="00FF5D98" w:rsidRPr="008F6EA3">
              <w:rPr>
                <w:rFonts w:ascii="Arial" w:hAnsi="Arial" w:cs="Arial"/>
                <w:noProof/>
                <w:webHidden/>
              </w:rPr>
              <w:fldChar w:fldCharType="end"/>
            </w:r>
          </w:hyperlink>
        </w:p>
        <w:p w14:paraId="6F741907" w14:textId="36242968" w:rsidR="00FF5D98" w:rsidRDefault="00995EFA">
          <w:pPr>
            <w:pStyle w:val="TOC1"/>
            <w:tabs>
              <w:tab w:val="right" w:leader="dot" w:pos="14560"/>
            </w:tabs>
            <w:rPr>
              <w:rFonts w:eastAsiaTheme="minorEastAsia"/>
              <w:noProof/>
              <w:lang w:eastAsia="en-GB"/>
            </w:rPr>
          </w:pPr>
          <w:hyperlink w:anchor="_Toc54362499" w:history="1">
            <w:r w:rsidR="00FF5D98" w:rsidRPr="008F6EA3">
              <w:rPr>
                <w:rStyle w:val="Hyperlink"/>
                <w:rFonts w:ascii="Arial" w:hAnsi="Arial" w:cs="Arial"/>
                <w:noProof/>
              </w:rPr>
              <w:t>References</w:t>
            </w:r>
            <w:r w:rsidR="00FF5D98" w:rsidRPr="008F6EA3">
              <w:rPr>
                <w:rFonts w:ascii="Arial" w:hAnsi="Arial" w:cs="Arial"/>
                <w:noProof/>
                <w:webHidden/>
              </w:rPr>
              <w:tab/>
            </w:r>
            <w:r w:rsidR="00FF5D98" w:rsidRPr="008F6EA3">
              <w:rPr>
                <w:rFonts w:ascii="Arial" w:hAnsi="Arial" w:cs="Arial"/>
                <w:noProof/>
                <w:webHidden/>
              </w:rPr>
              <w:fldChar w:fldCharType="begin"/>
            </w:r>
            <w:r w:rsidR="00FF5D98" w:rsidRPr="008F6EA3">
              <w:rPr>
                <w:rFonts w:ascii="Arial" w:hAnsi="Arial" w:cs="Arial"/>
                <w:noProof/>
                <w:webHidden/>
              </w:rPr>
              <w:instrText xml:space="preserve"> PAGEREF _Toc54362499 \h </w:instrText>
            </w:r>
            <w:r w:rsidR="00FF5D98" w:rsidRPr="008F6EA3">
              <w:rPr>
                <w:rFonts w:ascii="Arial" w:hAnsi="Arial" w:cs="Arial"/>
                <w:noProof/>
                <w:webHidden/>
              </w:rPr>
            </w:r>
            <w:r w:rsidR="00FF5D98" w:rsidRPr="008F6EA3">
              <w:rPr>
                <w:rFonts w:ascii="Arial" w:hAnsi="Arial" w:cs="Arial"/>
                <w:noProof/>
                <w:webHidden/>
              </w:rPr>
              <w:fldChar w:fldCharType="separate"/>
            </w:r>
            <w:r w:rsidR="00C37518">
              <w:rPr>
                <w:rFonts w:ascii="Arial" w:hAnsi="Arial" w:cs="Arial"/>
                <w:noProof/>
                <w:webHidden/>
              </w:rPr>
              <w:t>30</w:t>
            </w:r>
            <w:r w:rsidR="00FF5D98" w:rsidRPr="008F6EA3">
              <w:rPr>
                <w:rFonts w:ascii="Arial" w:hAnsi="Arial" w:cs="Arial"/>
                <w:noProof/>
                <w:webHidden/>
              </w:rPr>
              <w:fldChar w:fldCharType="end"/>
            </w:r>
          </w:hyperlink>
        </w:p>
        <w:p w14:paraId="422B03F7" w14:textId="77777777" w:rsidR="002A5872" w:rsidRDefault="00840ECC" w:rsidP="002A5872">
          <w:pPr>
            <w:pStyle w:val="TOC1"/>
            <w:tabs>
              <w:tab w:val="right" w:leader="dot" w:pos="14560"/>
            </w:tabs>
            <w:rPr>
              <w:noProof/>
            </w:rPr>
          </w:pPr>
          <w:r w:rsidRPr="006E706A">
            <w:rPr>
              <w:b/>
              <w:bCs/>
              <w:noProof/>
            </w:rPr>
            <w:fldChar w:fldCharType="end"/>
          </w:r>
        </w:p>
      </w:sdtContent>
    </w:sdt>
    <w:p w14:paraId="6164CA7F" w14:textId="28DB3F5F" w:rsidR="009C419D" w:rsidRPr="007E736D" w:rsidRDefault="00E63511" w:rsidP="007E736D">
      <w:pPr>
        <w:pStyle w:val="Heading1"/>
      </w:pPr>
      <w:bookmarkStart w:id="0" w:name="_Toc54362492"/>
      <w:r>
        <w:t>Purpose</w:t>
      </w:r>
      <w:bookmarkEnd w:id="0"/>
    </w:p>
    <w:p w14:paraId="59020651" w14:textId="72DAFF04" w:rsidR="002021C1" w:rsidRDefault="002021C1" w:rsidP="002021C1">
      <w:r w:rsidRPr="00AD0A39">
        <w:t xml:space="preserve">NICE has developed an </w:t>
      </w:r>
      <w:r w:rsidRPr="008E48AC">
        <w:t>evidence standards</w:t>
      </w:r>
      <w:r w:rsidR="008E48AC">
        <w:t xml:space="preserve"> framework (ESF) </w:t>
      </w:r>
      <w:r w:rsidR="008E48AC" w:rsidRPr="00DA0037">
        <w:rPr>
          <w:color w:val="0000FF"/>
        </w:rPr>
        <w:t>[</w:t>
      </w:r>
      <w:r w:rsidR="008E48AC" w:rsidRPr="00DA0037">
        <w:rPr>
          <w:color w:val="0000FF"/>
        </w:rPr>
        <w:fldChar w:fldCharType="begin"/>
      </w:r>
      <w:r w:rsidR="008E48AC" w:rsidRPr="00DA0037">
        <w:rPr>
          <w:color w:val="0000FF"/>
        </w:rPr>
        <w:instrText xml:space="preserve"> REF _Ref54360362 \r \h </w:instrText>
      </w:r>
      <w:r w:rsidR="00DA0037">
        <w:rPr>
          <w:color w:val="0000FF"/>
        </w:rPr>
        <w:instrText xml:space="preserve"> \* MERGEFORMAT </w:instrText>
      </w:r>
      <w:r w:rsidR="008E48AC" w:rsidRPr="00DA0037">
        <w:rPr>
          <w:color w:val="0000FF"/>
        </w:rPr>
      </w:r>
      <w:r w:rsidR="008E48AC" w:rsidRPr="00DA0037">
        <w:rPr>
          <w:color w:val="0000FF"/>
        </w:rPr>
        <w:fldChar w:fldCharType="separate"/>
      </w:r>
      <w:r w:rsidR="004D3E33">
        <w:rPr>
          <w:color w:val="0000FF"/>
        </w:rPr>
        <w:t>1</w:t>
      </w:r>
      <w:r w:rsidR="008E48AC" w:rsidRPr="00DA0037">
        <w:rPr>
          <w:color w:val="0000FF"/>
        </w:rPr>
        <w:fldChar w:fldCharType="end"/>
      </w:r>
      <w:r w:rsidR="008E48AC" w:rsidRPr="00DA0037">
        <w:rPr>
          <w:color w:val="0000FF"/>
        </w:rPr>
        <w:t>]</w:t>
      </w:r>
      <w:r w:rsidR="008E48AC">
        <w:t xml:space="preserve"> </w:t>
      </w:r>
      <w:r w:rsidRPr="00AD0A39">
        <w:t xml:space="preserve">for digital health technologies (DHTs) which defines </w:t>
      </w:r>
      <w:r>
        <w:t>minimum</w:t>
      </w:r>
      <w:r w:rsidRPr="00AD0A39">
        <w:t xml:space="preserve"> evidence </w:t>
      </w:r>
      <w:r>
        <w:t xml:space="preserve">and best practice standards </w:t>
      </w:r>
      <w:r w:rsidRPr="00AD0A39">
        <w:t xml:space="preserve">for DHTs. </w:t>
      </w:r>
      <w:r w:rsidRPr="00B046F4">
        <w:t xml:space="preserve">The NICE ESF is a set of evidence standards which have been developed to help technology developers collect the appropriate evidence to demonstrate clinical effectiveness and economic impact. </w:t>
      </w:r>
      <w:r>
        <w:t xml:space="preserve">They aim to </w:t>
      </w:r>
      <w:r w:rsidRPr="00B046F4">
        <w:t xml:space="preserve">promote consistency in the way DHTs are assessed across the NHS by health technology assessment </w:t>
      </w:r>
      <w:r>
        <w:t xml:space="preserve">(HTA) </w:t>
      </w:r>
      <w:r w:rsidRPr="00B046F4">
        <w:t>organisations and commissioners.</w:t>
      </w:r>
    </w:p>
    <w:p w14:paraId="5649ABFE" w14:textId="6174BEED" w:rsidR="000176AC" w:rsidRDefault="000176AC" w:rsidP="000176AC">
      <w:r w:rsidRPr="00AD0A39">
        <w:t>In the UK, medical</w:t>
      </w:r>
      <w:r w:rsidR="00580210">
        <w:t xml:space="preserve"> devices a</w:t>
      </w:r>
      <w:r w:rsidR="0047127F">
        <w:t>re currently governed by EU law</w:t>
      </w:r>
      <w:r w:rsidR="001F7B76">
        <w:t xml:space="preserve"> </w:t>
      </w:r>
      <w:r w:rsidR="0047127F">
        <w:t xml:space="preserve">according to the </w:t>
      </w:r>
      <w:r w:rsidR="0047127F" w:rsidRPr="008E48AC">
        <w:t>1993 EU Medical Device Directive (‘MDD’)</w:t>
      </w:r>
      <w:r w:rsidR="0047127F">
        <w:t xml:space="preserve"> </w:t>
      </w:r>
      <w:r w:rsidR="0047127F" w:rsidRPr="00DA0037">
        <w:rPr>
          <w:color w:val="0000FF"/>
        </w:rPr>
        <w:t>[</w:t>
      </w:r>
      <w:r w:rsidR="0022678C">
        <w:rPr>
          <w:color w:val="0000FF"/>
        </w:rPr>
        <w:fldChar w:fldCharType="begin"/>
      </w:r>
      <w:r w:rsidR="0022678C">
        <w:rPr>
          <w:color w:val="0000FF"/>
        </w:rPr>
        <w:instrText xml:space="preserve"> REF _Ref54362107 \r \h </w:instrText>
      </w:r>
      <w:r w:rsidR="0022678C">
        <w:rPr>
          <w:color w:val="0000FF"/>
        </w:rPr>
      </w:r>
      <w:r w:rsidR="0022678C">
        <w:rPr>
          <w:color w:val="0000FF"/>
        </w:rPr>
        <w:fldChar w:fldCharType="separate"/>
      </w:r>
      <w:r w:rsidR="004D3E33">
        <w:rPr>
          <w:color w:val="0000FF"/>
        </w:rPr>
        <w:t>2</w:t>
      </w:r>
      <w:r w:rsidR="0022678C">
        <w:rPr>
          <w:color w:val="0000FF"/>
        </w:rPr>
        <w:fldChar w:fldCharType="end"/>
      </w:r>
      <w:r w:rsidR="0047127F" w:rsidRPr="00DA0037">
        <w:rPr>
          <w:color w:val="0000FF"/>
        </w:rPr>
        <w:t>]</w:t>
      </w:r>
      <w:r w:rsidR="0047127F">
        <w:rPr>
          <w:color w:val="auto"/>
        </w:rPr>
        <w:t>. Updated legislation</w:t>
      </w:r>
      <w:r w:rsidR="00754ECC">
        <w:rPr>
          <w:color w:val="auto"/>
        </w:rPr>
        <w:t xml:space="preserve">, </w:t>
      </w:r>
      <w:r w:rsidR="0047127F">
        <w:rPr>
          <w:color w:val="auto"/>
        </w:rPr>
        <w:t xml:space="preserve">the </w:t>
      </w:r>
      <w:r w:rsidR="006B43E5" w:rsidRPr="008E48AC">
        <w:t>2017 EU Regulation on Medical Devices (</w:t>
      </w:r>
      <w:r w:rsidR="00B618DF" w:rsidRPr="008E48AC">
        <w:t>‘</w:t>
      </w:r>
      <w:r w:rsidR="006B43E5" w:rsidRPr="008E48AC">
        <w:t>MDR</w:t>
      </w:r>
      <w:r w:rsidR="00B618DF" w:rsidRPr="008E48AC">
        <w:t>’</w:t>
      </w:r>
      <w:r w:rsidR="006B43E5" w:rsidRPr="008E48AC">
        <w:t>)</w:t>
      </w:r>
      <w:r w:rsidR="008E48AC">
        <w:t xml:space="preserve"> </w:t>
      </w:r>
      <w:r w:rsidR="008E48AC" w:rsidRPr="00DA0037">
        <w:rPr>
          <w:color w:val="0000FF"/>
        </w:rPr>
        <w:t>[</w:t>
      </w:r>
      <w:r w:rsidR="0022678C">
        <w:rPr>
          <w:color w:val="0000FF"/>
        </w:rPr>
        <w:fldChar w:fldCharType="begin"/>
      </w:r>
      <w:r w:rsidR="0022678C">
        <w:rPr>
          <w:color w:val="0000FF"/>
        </w:rPr>
        <w:instrText xml:space="preserve"> REF _Ref54362111 \r \h </w:instrText>
      </w:r>
      <w:r w:rsidR="0022678C">
        <w:rPr>
          <w:color w:val="0000FF"/>
        </w:rPr>
      </w:r>
      <w:r w:rsidR="0022678C">
        <w:rPr>
          <w:color w:val="0000FF"/>
        </w:rPr>
        <w:fldChar w:fldCharType="separate"/>
      </w:r>
      <w:r w:rsidR="004D3E33">
        <w:rPr>
          <w:color w:val="0000FF"/>
        </w:rPr>
        <w:t>3</w:t>
      </w:r>
      <w:r w:rsidR="0022678C">
        <w:rPr>
          <w:color w:val="0000FF"/>
        </w:rPr>
        <w:fldChar w:fldCharType="end"/>
      </w:r>
      <w:r w:rsidR="008E48AC" w:rsidRPr="00DA0037">
        <w:rPr>
          <w:color w:val="0000FF"/>
        </w:rPr>
        <w:t>]</w:t>
      </w:r>
      <w:r w:rsidR="00754ECC">
        <w:t xml:space="preserve">, </w:t>
      </w:r>
      <w:r w:rsidR="0047127F">
        <w:t>entered into force</w:t>
      </w:r>
      <w:r w:rsidR="006B43E5" w:rsidRPr="00AD0A39">
        <w:t xml:space="preserve"> on 25 May 2017,</w:t>
      </w:r>
      <w:r w:rsidR="0047127F">
        <w:t xml:space="preserve"> set to </w:t>
      </w:r>
      <w:r w:rsidR="0006201A">
        <w:t>replace</w:t>
      </w:r>
      <w:r w:rsidR="006B43E5" w:rsidRPr="00AD0A39">
        <w:t xml:space="preserve"> the</w:t>
      </w:r>
      <w:r w:rsidR="0047127F">
        <w:t xml:space="preserve"> MDD according to a transition timetable. </w:t>
      </w:r>
      <w:r w:rsidR="00580210">
        <w:t xml:space="preserve">The original timetable was for the </w:t>
      </w:r>
      <w:r w:rsidR="006B43E5">
        <w:t xml:space="preserve">MDR </w:t>
      </w:r>
      <w:r w:rsidR="00580210">
        <w:t xml:space="preserve">to </w:t>
      </w:r>
      <w:r w:rsidR="00244295">
        <w:t>fully</w:t>
      </w:r>
      <w:r w:rsidR="002021C1">
        <w:t xml:space="preserve"> </w:t>
      </w:r>
      <w:r w:rsidR="00244295">
        <w:t xml:space="preserve">apply from 26 May 2020 after </w:t>
      </w:r>
      <w:r w:rsidR="006B43E5" w:rsidRPr="00AD0A39">
        <w:t xml:space="preserve">a </w:t>
      </w:r>
      <w:proofErr w:type="gramStart"/>
      <w:r w:rsidR="006B43E5" w:rsidRPr="00AD0A39">
        <w:t>3 year</w:t>
      </w:r>
      <w:proofErr w:type="gramEnd"/>
      <w:r w:rsidR="006B43E5" w:rsidRPr="00AD0A39">
        <w:t xml:space="preserve"> tran</w:t>
      </w:r>
      <w:r w:rsidR="00580210">
        <w:t>sition period</w:t>
      </w:r>
      <w:r w:rsidR="00244295">
        <w:t xml:space="preserve">, </w:t>
      </w:r>
      <w:r w:rsidR="006B43E5">
        <w:t xml:space="preserve">with a derogation period for some Class I </w:t>
      </w:r>
      <w:r w:rsidR="006B43E5" w:rsidRPr="000B451D">
        <w:t>devices under the MDD</w:t>
      </w:r>
      <w:r w:rsidR="006B43E5">
        <w:t xml:space="preserve">, including software, to </w:t>
      </w:r>
      <w:r w:rsidR="006B43E5" w:rsidRPr="008E48AC">
        <w:t>26 May 2024</w:t>
      </w:r>
      <w:r w:rsidR="008E48AC">
        <w:t xml:space="preserve"> </w:t>
      </w:r>
      <w:r w:rsidR="008E48AC" w:rsidRPr="00DA0037">
        <w:rPr>
          <w:color w:val="0000FF"/>
        </w:rPr>
        <w:t>[</w:t>
      </w:r>
      <w:r w:rsidR="008E48AC" w:rsidRPr="00DA0037">
        <w:rPr>
          <w:color w:val="0000FF"/>
        </w:rPr>
        <w:fldChar w:fldCharType="begin"/>
      </w:r>
      <w:r w:rsidR="008E48AC" w:rsidRPr="00DA0037">
        <w:rPr>
          <w:color w:val="0000FF"/>
        </w:rPr>
        <w:instrText xml:space="preserve"> REF _Ref54360589 \r \h </w:instrText>
      </w:r>
      <w:r w:rsidR="008E48AC" w:rsidRPr="00DA0037">
        <w:rPr>
          <w:color w:val="0000FF"/>
        </w:rPr>
      </w:r>
      <w:r w:rsidR="008E48AC" w:rsidRPr="00DA0037">
        <w:rPr>
          <w:color w:val="0000FF"/>
        </w:rPr>
        <w:fldChar w:fldCharType="separate"/>
      </w:r>
      <w:r w:rsidR="004D3E33">
        <w:rPr>
          <w:color w:val="0000FF"/>
        </w:rPr>
        <w:t>4</w:t>
      </w:r>
      <w:r w:rsidR="008E48AC" w:rsidRPr="00DA0037">
        <w:rPr>
          <w:color w:val="0000FF"/>
        </w:rPr>
        <w:fldChar w:fldCharType="end"/>
      </w:r>
      <w:r w:rsidR="008E48AC" w:rsidRPr="00DA0037">
        <w:rPr>
          <w:color w:val="0000FF"/>
        </w:rPr>
        <w:t>]</w:t>
      </w:r>
      <w:r w:rsidR="006B43E5">
        <w:t xml:space="preserve">. </w:t>
      </w:r>
      <w:r w:rsidR="00754ECC">
        <w:t>The l</w:t>
      </w:r>
      <w:r w:rsidR="00244295">
        <w:t>egislation</w:t>
      </w:r>
      <w:r w:rsidRPr="00AD0A39">
        <w:t xml:space="preserve"> outlines the technical documentation required for compliance</w:t>
      </w:r>
      <w:r>
        <w:t xml:space="preserve">, </w:t>
      </w:r>
      <w:r w:rsidR="00244295">
        <w:t xml:space="preserve">with the MDR </w:t>
      </w:r>
      <w:r w:rsidR="00DB48B3">
        <w:t>emphasising</w:t>
      </w:r>
      <w:r w:rsidR="00244295">
        <w:t xml:space="preserve"> safety and performance and clarifying</w:t>
      </w:r>
      <w:r w:rsidRPr="00AD0A39">
        <w:rPr>
          <w:color w:val="auto"/>
        </w:rPr>
        <w:t xml:space="preserve"> the </w:t>
      </w:r>
      <w:r w:rsidRPr="00AD0A39">
        <w:t>requirements for software that is a medical device compared to the MDD.</w:t>
      </w:r>
    </w:p>
    <w:p w14:paraId="42DC08E9" w14:textId="61184AAA" w:rsidR="005408CB" w:rsidRDefault="00174AF2" w:rsidP="00244295">
      <w:r>
        <w:t xml:space="preserve">In April 2020, a postponement to the full application date of </w:t>
      </w:r>
      <w:r w:rsidR="00244295">
        <w:t xml:space="preserve">the </w:t>
      </w:r>
      <w:r>
        <w:t xml:space="preserve">MDR until </w:t>
      </w:r>
      <w:r w:rsidR="000C428F">
        <w:t>26 May 2021</w:t>
      </w:r>
      <w:r w:rsidR="002021C1">
        <w:t>,</w:t>
      </w:r>
      <w:r w:rsidR="000C428F">
        <w:t xml:space="preserve"> </w:t>
      </w:r>
      <w:r w:rsidR="00C12EEA">
        <w:t>due to the COVID-19 pandemic</w:t>
      </w:r>
      <w:r w:rsidR="002021C1">
        <w:t>,</w:t>
      </w:r>
      <w:r w:rsidR="00C12EEA">
        <w:t xml:space="preserve"> </w:t>
      </w:r>
      <w:r>
        <w:t>passed through EU parliament.</w:t>
      </w:r>
      <w:r w:rsidR="00513C2D">
        <w:t xml:space="preserve"> Given th</w:t>
      </w:r>
      <w:r w:rsidR="00244295">
        <w:t xml:space="preserve">at this new date exceeds that when </w:t>
      </w:r>
      <w:r w:rsidR="001A2B85">
        <w:t xml:space="preserve">the </w:t>
      </w:r>
      <w:r w:rsidR="00513C2D">
        <w:t>UK</w:t>
      </w:r>
      <w:r w:rsidR="001A2B85">
        <w:t>’s legislative-alignment with the EU (transition period) will end</w:t>
      </w:r>
      <w:r w:rsidR="00244295">
        <w:t xml:space="preserve"> (</w:t>
      </w:r>
      <w:r w:rsidR="001A2B85">
        <w:t>31 December 2020</w:t>
      </w:r>
      <w:r w:rsidR="00244295">
        <w:t>)</w:t>
      </w:r>
      <w:r w:rsidR="001A2B85">
        <w:t xml:space="preserve">, </w:t>
      </w:r>
      <w:r w:rsidR="00B156F4">
        <w:t xml:space="preserve">the MDR will </w:t>
      </w:r>
      <w:r w:rsidR="00922146">
        <w:t>apply in Northern Ireland, but not in the rest of the UK</w:t>
      </w:r>
      <w:r w:rsidR="003D5A13">
        <w:t xml:space="preserve"> (Great Britain)</w:t>
      </w:r>
      <w:r w:rsidR="00E23F56">
        <w:t>.</w:t>
      </w:r>
      <w:r w:rsidR="002A5872">
        <w:t xml:space="preserve"> </w:t>
      </w:r>
      <w:r w:rsidR="00E23F56">
        <w:t>It was</w:t>
      </w:r>
      <w:r w:rsidR="00E23F56" w:rsidRPr="00C5660E">
        <w:t xml:space="preserve"> </w:t>
      </w:r>
      <w:r w:rsidR="00E23F56" w:rsidRPr="00CC2243">
        <w:t>announced on 1 September 2020</w:t>
      </w:r>
      <w:r w:rsidR="00CC2243">
        <w:t xml:space="preserve"> </w:t>
      </w:r>
      <w:r w:rsidR="00CC2243" w:rsidRPr="00DA0037">
        <w:rPr>
          <w:color w:val="0000FF"/>
        </w:rPr>
        <w:t>[</w:t>
      </w:r>
      <w:r w:rsidR="00CC2243" w:rsidRPr="00DA0037">
        <w:rPr>
          <w:color w:val="0000FF"/>
        </w:rPr>
        <w:fldChar w:fldCharType="begin"/>
      </w:r>
      <w:r w:rsidR="00CC2243" w:rsidRPr="00DA0037">
        <w:rPr>
          <w:color w:val="0000FF"/>
        </w:rPr>
        <w:instrText xml:space="preserve"> REF _Ref54360631 \r \h </w:instrText>
      </w:r>
      <w:r w:rsidR="00CC2243" w:rsidRPr="00DA0037">
        <w:rPr>
          <w:color w:val="0000FF"/>
        </w:rPr>
      </w:r>
      <w:r w:rsidR="00CC2243" w:rsidRPr="00DA0037">
        <w:rPr>
          <w:color w:val="0000FF"/>
        </w:rPr>
        <w:fldChar w:fldCharType="separate"/>
      </w:r>
      <w:r w:rsidR="004D3E33">
        <w:rPr>
          <w:color w:val="0000FF"/>
        </w:rPr>
        <w:t>5</w:t>
      </w:r>
      <w:r w:rsidR="00CC2243" w:rsidRPr="00DA0037">
        <w:rPr>
          <w:color w:val="0000FF"/>
        </w:rPr>
        <w:fldChar w:fldCharType="end"/>
      </w:r>
      <w:r w:rsidR="00CC2243" w:rsidRPr="00DA0037">
        <w:rPr>
          <w:color w:val="0000FF"/>
        </w:rPr>
        <w:t>]</w:t>
      </w:r>
      <w:r w:rsidR="00E23F56">
        <w:t xml:space="preserve"> that the </w:t>
      </w:r>
      <w:r w:rsidR="00922146">
        <w:t xml:space="preserve">rest of the </w:t>
      </w:r>
      <w:r w:rsidR="00E23F56">
        <w:t xml:space="preserve">UK will continue to be governed by the 2002 UK Medical Device Regulation (the UK implementation of the </w:t>
      </w:r>
      <w:r w:rsidR="00E23F56" w:rsidRPr="00B156F4">
        <w:t xml:space="preserve">1993 EU </w:t>
      </w:r>
      <w:r w:rsidR="00E23F56">
        <w:t>MDD) from 1</w:t>
      </w:r>
      <w:r w:rsidR="00E23F56" w:rsidRPr="003A6D5D">
        <w:rPr>
          <w:vertAlign w:val="superscript"/>
        </w:rPr>
        <w:t>st</w:t>
      </w:r>
      <w:r w:rsidR="00E23F56">
        <w:t xml:space="preserve"> January 2021</w:t>
      </w:r>
      <w:r w:rsidR="00754ECC">
        <w:t xml:space="preserve">. </w:t>
      </w:r>
      <w:r w:rsidR="00754ECC">
        <w:lastRenderedPageBreak/>
        <w:t>Devices placed on the</w:t>
      </w:r>
      <w:r w:rsidR="002A5872">
        <w:t xml:space="preserve"> market</w:t>
      </w:r>
      <w:r w:rsidR="00754ECC">
        <w:t xml:space="preserve"> in Great Britain</w:t>
      </w:r>
      <w:r w:rsidR="002A5872">
        <w:t xml:space="preserve"> will require a UK Conformity Assessed (UKCA) mark, with CE marks being recognised until </w:t>
      </w:r>
      <w:r w:rsidR="002A5872" w:rsidRPr="002A5872">
        <w:t>30 June 2023</w:t>
      </w:r>
      <w:r w:rsidR="002A5872">
        <w:t>.</w:t>
      </w:r>
      <w:r w:rsidR="00754ECC">
        <w:t xml:space="preserve"> </w:t>
      </w:r>
      <w:r w:rsidR="00E23F56">
        <w:t>T</w:t>
      </w:r>
      <w:r w:rsidR="00BF77D7">
        <w:t xml:space="preserve">he MHRA are currently considering how best to </w:t>
      </w:r>
      <w:r w:rsidR="00284445">
        <w:t>alig</w:t>
      </w:r>
      <w:r w:rsidR="004737C8">
        <w:t>n</w:t>
      </w:r>
      <w:r w:rsidR="00284445">
        <w:t xml:space="preserve"> UK law </w:t>
      </w:r>
      <w:r w:rsidR="00BF77D7">
        <w:t>with regulation in other European counties</w:t>
      </w:r>
      <w:r w:rsidR="00B618DF">
        <w:t>.</w:t>
      </w:r>
    </w:p>
    <w:p w14:paraId="32DE3D21" w14:textId="4CC17DE6" w:rsidR="004F660E" w:rsidRDefault="001064D9" w:rsidP="00610E15">
      <w:pPr>
        <w:spacing w:after="200"/>
      </w:pPr>
      <w:r>
        <w:t xml:space="preserve">The purpose of this document is to give an overview of the overlap between the </w:t>
      </w:r>
      <w:r w:rsidRPr="006B43E5">
        <w:t>2017 EU Medical Device Regulation (MDR)</w:t>
      </w:r>
      <w:r>
        <w:t xml:space="preserve"> </w:t>
      </w:r>
      <w:r w:rsidR="0067435B">
        <w:t xml:space="preserve">for software </w:t>
      </w:r>
      <w:r>
        <w:t xml:space="preserve">and the </w:t>
      </w:r>
      <w:r w:rsidRPr="006B43E5">
        <w:t>NICE evidence standards framework (ESF)</w:t>
      </w:r>
      <w:r>
        <w:t xml:space="preserve"> for </w:t>
      </w:r>
      <w:r w:rsidRPr="00AD0A39">
        <w:t>digital health technologies (DHTs)</w:t>
      </w:r>
      <w:r w:rsidR="00A85066">
        <w:t>, to</w:t>
      </w:r>
      <w:r w:rsidR="00A85066" w:rsidRPr="00AD0A39">
        <w:t xml:space="preserve"> help developers </w:t>
      </w:r>
      <w:r w:rsidR="00DB75A8">
        <w:t xml:space="preserve">of </w:t>
      </w:r>
      <w:r w:rsidR="00DB75A8" w:rsidRPr="006B43E5">
        <w:t>DHTs that meet the definition of a medical device</w:t>
      </w:r>
      <w:r w:rsidR="00DB75A8">
        <w:t xml:space="preserve"> to </w:t>
      </w:r>
      <w:r w:rsidR="00A85066" w:rsidRPr="00AD0A39">
        <w:t xml:space="preserve">better understand how the information required for the MDR </w:t>
      </w:r>
      <w:r w:rsidR="00DB75A8">
        <w:t xml:space="preserve">and their CE marking </w:t>
      </w:r>
      <w:r w:rsidR="00A85066" w:rsidRPr="00AD0A39">
        <w:t>is linked to the evidence levels described in the ESF.</w:t>
      </w:r>
      <w:r w:rsidR="000176AC">
        <w:t xml:space="preserve"> The </w:t>
      </w:r>
      <w:r w:rsidR="000176AC" w:rsidRPr="003F4985">
        <w:t>2017 EU Regulation on In Vitro Diagnostic Medical Devices (IVDR)</w:t>
      </w:r>
      <w:r w:rsidR="003F4985">
        <w:t xml:space="preserve"> </w:t>
      </w:r>
      <w:r w:rsidR="003F4985" w:rsidRPr="00DA0037">
        <w:rPr>
          <w:color w:val="0000FF"/>
        </w:rPr>
        <w:t>[</w:t>
      </w:r>
      <w:r w:rsidR="003F4985" w:rsidRPr="00DA0037">
        <w:rPr>
          <w:color w:val="0000FF"/>
        </w:rPr>
        <w:fldChar w:fldCharType="begin"/>
      </w:r>
      <w:r w:rsidR="003F4985" w:rsidRPr="00DA0037">
        <w:rPr>
          <w:color w:val="0000FF"/>
        </w:rPr>
        <w:instrText xml:space="preserve"> REF _Ref54360666 \r \h </w:instrText>
      </w:r>
      <w:r w:rsidR="003F4985" w:rsidRPr="00DA0037">
        <w:rPr>
          <w:color w:val="0000FF"/>
        </w:rPr>
      </w:r>
      <w:r w:rsidR="003F4985" w:rsidRPr="00DA0037">
        <w:rPr>
          <w:color w:val="0000FF"/>
        </w:rPr>
        <w:fldChar w:fldCharType="separate"/>
      </w:r>
      <w:r w:rsidR="004D3E33">
        <w:rPr>
          <w:color w:val="0000FF"/>
        </w:rPr>
        <w:t>6</w:t>
      </w:r>
      <w:r w:rsidR="003F4985" w:rsidRPr="00DA0037">
        <w:rPr>
          <w:color w:val="0000FF"/>
        </w:rPr>
        <w:fldChar w:fldCharType="end"/>
      </w:r>
      <w:r w:rsidR="003F4985" w:rsidRPr="00DA0037">
        <w:rPr>
          <w:color w:val="0000FF"/>
        </w:rPr>
        <w:t>]</w:t>
      </w:r>
      <w:r w:rsidR="000176AC">
        <w:t xml:space="preserve"> is out of scope for this work.</w:t>
      </w:r>
    </w:p>
    <w:p w14:paraId="509F3776" w14:textId="025ED6BF" w:rsidR="002C15C4" w:rsidRPr="007E736D" w:rsidRDefault="003056C1" w:rsidP="003056C1">
      <w:pPr>
        <w:pStyle w:val="Heading1"/>
      </w:pPr>
      <w:bookmarkStart w:id="1" w:name="_Toc54362493"/>
      <w:r>
        <w:t xml:space="preserve">Mapping </w:t>
      </w:r>
      <w:r w:rsidR="002C15C4" w:rsidRPr="007E736D">
        <w:t xml:space="preserve">ESF </w:t>
      </w:r>
      <w:r>
        <w:t>tiers and MDR</w:t>
      </w:r>
      <w:r w:rsidR="002C15C4" w:rsidRPr="007E736D">
        <w:t xml:space="preserve"> class</w:t>
      </w:r>
      <w:r>
        <w:t xml:space="preserve">es for </w:t>
      </w:r>
      <w:r w:rsidRPr="007E736D">
        <w:t>DHT</w:t>
      </w:r>
      <w:r>
        <w:t>s</w:t>
      </w:r>
      <w:bookmarkEnd w:id="1"/>
    </w:p>
    <w:p w14:paraId="37E1FF1B" w14:textId="116233A4" w:rsidR="008B3A88" w:rsidRDefault="003056C1" w:rsidP="008B20DE">
      <w:r w:rsidRPr="007E736D">
        <w:t xml:space="preserve">Medical devices are classified according to risk by </w:t>
      </w:r>
      <w:r w:rsidRPr="003F4985">
        <w:t>Annex VIII of the MDR</w:t>
      </w:r>
      <w:r w:rsidRPr="007E736D">
        <w:t xml:space="preserve"> into one of the following classes: I, IIa, IIb or III. Class IIa, IIb and III devices always require the involvement of a notified body to assess compliance. Some class I devices also require notified body involvement to assess certain aspects (measuring functions, sterility, reusable surgical instruments). </w:t>
      </w:r>
      <w:r w:rsidR="00D76BD3">
        <w:t xml:space="preserve">In the ESF, </w:t>
      </w:r>
      <w:r w:rsidR="008B20DE" w:rsidRPr="00706910">
        <w:t xml:space="preserve">DHTs are classified by </w:t>
      </w:r>
      <w:r w:rsidR="00DB75A8">
        <w:t xml:space="preserve">function and </w:t>
      </w:r>
      <w:r w:rsidR="008B20DE" w:rsidRPr="00706910">
        <w:t>stratif</w:t>
      </w:r>
      <w:r w:rsidR="00DB75A8">
        <w:t>ied</w:t>
      </w:r>
      <w:r w:rsidR="008B20DE" w:rsidRPr="00706910">
        <w:t xml:space="preserve"> into the following evidence tiers: </w:t>
      </w:r>
      <w:r w:rsidR="00DA26A1">
        <w:t>A</w:t>
      </w:r>
      <w:r w:rsidR="00C87905">
        <w:t xml:space="preserve"> (system impact)</w:t>
      </w:r>
      <w:r w:rsidR="008B20DE" w:rsidRPr="00706910">
        <w:t xml:space="preserve">, </w:t>
      </w:r>
      <w:r w:rsidR="00DA26A1">
        <w:t>B</w:t>
      </w:r>
      <w:r w:rsidR="00C87905">
        <w:t xml:space="preserve"> (understanding and communicating)</w:t>
      </w:r>
      <w:r w:rsidR="008B20DE" w:rsidRPr="00706910">
        <w:t xml:space="preserve">, </w:t>
      </w:r>
      <w:r w:rsidR="00DA26A1">
        <w:t>C</w:t>
      </w:r>
      <w:r w:rsidR="00C87905">
        <w:t xml:space="preserve"> (interventions)</w:t>
      </w:r>
      <w:r w:rsidR="008B20DE" w:rsidRPr="00706910">
        <w:t xml:space="preserve">. The evidence level needed for each tier is proportionate to the potential risk to users presented by the DHTs in that tier. The ESF can apply to DHTs that are not classified as medical </w:t>
      </w:r>
      <w:r w:rsidR="00616CAB">
        <w:t xml:space="preserve">devices </w:t>
      </w:r>
      <w:r w:rsidR="008B20DE" w:rsidRPr="00706910">
        <w:t>under the MDR.</w:t>
      </w:r>
      <w:r>
        <w:t xml:space="preserve"> </w:t>
      </w:r>
      <w:r w:rsidR="008776FA">
        <w:t xml:space="preserve">Table </w:t>
      </w:r>
      <w:r>
        <w:t xml:space="preserve">1 shows the </w:t>
      </w:r>
      <w:r w:rsidR="008776FA">
        <w:t>alignment</w:t>
      </w:r>
      <w:r>
        <w:t xml:space="preserve"> between </w:t>
      </w:r>
      <w:r w:rsidRPr="007E736D">
        <w:t xml:space="preserve">ESF </w:t>
      </w:r>
      <w:r>
        <w:t>tiers and MDR</w:t>
      </w:r>
      <w:r w:rsidRPr="007E736D">
        <w:t xml:space="preserve"> class</w:t>
      </w:r>
      <w:r>
        <w:t>es.</w:t>
      </w:r>
    </w:p>
    <w:p w14:paraId="367F17E2" w14:textId="690BD20F" w:rsidR="008B3A88" w:rsidRDefault="008B3A88" w:rsidP="008B3A88">
      <w:pPr>
        <w:pStyle w:val="Caption"/>
      </w:pPr>
      <w:r>
        <w:t xml:space="preserve">Table </w:t>
      </w:r>
      <w:fldSimple w:instr=" SEQ Table \* ARABIC ">
        <w:r w:rsidR="004D3E33">
          <w:rPr>
            <w:noProof/>
          </w:rPr>
          <w:t>1</w:t>
        </w:r>
      </w:fldSimple>
      <w:r>
        <w:t xml:space="preserve">: Alignment between </w:t>
      </w:r>
      <w:r w:rsidRPr="007E736D">
        <w:t xml:space="preserve">ESF </w:t>
      </w:r>
      <w:r>
        <w:t>tiers and functional classification and MDR</w:t>
      </w:r>
      <w:r w:rsidRPr="007E736D">
        <w:t xml:space="preserve"> class</w:t>
      </w:r>
      <w:r>
        <w:t xml:space="preserve">es for </w:t>
      </w:r>
      <w:r w:rsidRPr="007E736D">
        <w:t>DHT</w:t>
      </w:r>
      <w:r>
        <w:t xml:space="preserve">s. </w:t>
      </w:r>
      <w:r w:rsidR="003F4985">
        <w:t>I</w:t>
      </w:r>
      <w:r w:rsidR="008378BD">
        <w:t xml:space="preserve">t is the responsibility of the </w:t>
      </w:r>
      <w:r w:rsidRPr="002814C0">
        <w:t>developer to check whether the DHT i</w:t>
      </w:r>
      <w:r>
        <w:t>s a medical device under the MDR.</w:t>
      </w:r>
    </w:p>
    <w:tbl>
      <w:tblPr>
        <w:tblStyle w:val="TableGrid"/>
        <w:tblW w:w="5000" w:type="pct"/>
        <w:tblLook w:val="04A0" w:firstRow="1" w:lastRow="0" w:firstColumn="1" w:lastColumn="0" w:noHBand="0" w:noVBand="1"/>
        <w:tblDescription w:val="Tier, functional classification and likelihood of DHT being a medical device "/>
      </w:tblPr>
      <w:tblGrid>
        <w:gridCol w:w="4929"/>
        <w:gridCol w:w="3401"/>
        <w:gridCol w:w="6456"/>
      </w:tblGrid>
      <w:tr w:rsidR="008B3A88" w:rsidRPr="005C13C3" w14:paraId="08698801" w14:textId="77777777" w:rsidTr="00EF3B41">
        <w:trPr>
          <w:tblHeader/>
        </w:trPr>
        <w:tc>
          <w:tcPr>
            <w:tcW w:w="1667" w:type="pct"/>
            <w:shd w:val="clear" w:color="auto" w:fill="B8CCE4" w:themeFill="accent1" w:themeFillTint="66"/>
          </w:tcPr>
          <w:p w14:paraId="343EDF08" w14:textId="624ED06B" w:rsidR="008B3A88" w:rsidRPr="005C13C3" w:rsidRDefault="005571C8" w:rsidP="00152584">
            <w:pPr>
              <w:spacing w:after="0"/>
              <w:rPr>
                <w:b/>
              </w:rPr>
            </w:pPr>
            <w:r w:rsidRPr="005C13C3">
              <w:rPr>
                <w:b/>
              </w:rPr>
              <w:t>Tier</w:t>
            </w:r>
          </w:p>
        </w:tc>
        <w:tc>
          <w:tcPr>
            <w:tcW w:w="1150" w:type="pct"/>
            <w:shd w:val="clear" w:color="auto" w:fill="B8CCE4" w:themeFill="accent1" w:themeFillTint="66"/>
          </w:tcPr>
          <w:p w14:paraId="6AFF01CE" w14:textId="55EF1AB9" w:rsidR="008B3A88" w:rsidRPr="005C13C3" w:rsidRDefault="008B3A88" w:rsidP="00152584">
            <w:pPr>
              <w:spacing w:after="0"/>
              <w:rPr>
                <w:b/>
              </w:rPr>
            </w:pPr>
            <w:r w:rsidRPr="005C13C3">
              <w:rPr>
                <w:b/>
              </w:rPr>
              <w:t>Functional classification</w:t>
            </w:r>
          </w:p>
        </w:tc>
        <w:tc>
          <w:tcPr>
            <w:tcW w:w="2183" w:type="pct"/>
            <w:shd w:val="clear" w:color="auto" w:fill="B8CCE4" w:themeFill="accent1" w:themeFillTint="66"/>
          </w:tcPr>
          <w:p w14:paraId="53F53C1D" w14:textId="6485DE71" w:rsidR="008B3A88" w:rsidRPr="005C13C3" w:rsidRDefault="008B3A88" w:rsidP="00152584">
            <w:pPr>
              <w:spacing w:after="0"/>
              <w:rPr>
                <w:b/>
              </w:rPr>
            </w:pPr>
            <w:r w:rsidRPr="005C13C3">
              <w:rPr>
                <w:b/>
              </w:rPr>
              <w:t xml:space="preserve">Likelihood of </w:t>
            </w:r>
            <w:r w:rsidR="00E06E4C" w:rsidRPr="005C13C3">
              <w:rPr>
                <w:b/>
              </w:rPr>
              <w:t xml:space="preserve">DHT </w:t>
            </w:r>
            <w:r w:rsidRPr="005C13C3">
              <w:rPr>
                <w:b/>
              </w:rPr>
              <w:t>being a medical device</w:t>
            </w:r>
          </w:p>
        </w:tc>
      </w:tr>
      <w:tr w:rsidR="008B3A88" w:rsidRPr="005C13C3" w14:paraId="14EEB551" w14:textId="77777777" w:rsidTr="00173C75">
        <w:trPr>
          <w:trHeight w:val="340"/>
        </w:trPr>
        <w:tc>
          <w:tcPr>
            <w:tcW w:w="1667" w:type="pct"/>
          </w:tcPr>
          <w:p w14:paraId="5393473C" w14:textId="34636CB0" w:rsidR="008B3A88" w:rsidRPr="005C13C3" w:rsidRDefault="00DA26A1" w:rsidP="00152584">
            <w:pPr>
              <w:pStyle w:val="Default"/>
              <w:rPr>
                <w:sz w:val="22"/>
                <w:szCs w:val="22"/>
              </w:rPr>
            </w:pPr>
            <w:r w:rsidRPr="005C13C3">
              <w:rPr>
                <w:b/>
                <w:bCs/>
                <w:sz w:val="22"/>
                <w:szCs w:val="22"/>
              </w:rPr>
              <w:t>Tier A</w:t>
            </w:r>
            <w:r w:rsidR="001F5BCF">
              <w:rPr>
                <w:b/>
                <w:bCs/>
                <w:sz w:val="22"/>
                <w:szCs w:val="22"/>
              </w:rPr>
              <w:t>:</w:t>
            </w:r>
            <w:r w:rsidR="000B3AB3">
              <w:rPr>
                <w:b/>
                <w:bCs/>
                <w:sz w:val="22"/>
                <w:szCs w:val="22"/>
              </w:rPr>
              <w:t xml:space="preserve"> </w:t>
            </w:r>
            <w:r w:rsidR="001F5BCF">
              <w:rPr>
                <w:b/>
                <w:bCs/>
                <w:sz w:val="22"/>
                <w:szCs w:val="22"/>
              </w:rPr>
              <w:t>s</w:t>
            </w:r>
            <w:r w:rsidR="001F5BCF" w:rsidRPr="005C13C3">
              <w:rPr>
                <w:b/>
                <w:bCs/>
                <w:sz w:val="22"/>
                <w:szCs w:val="22"/>
              </w:rPr>
              <w:t xml:space="preserve">ystem </w:t>
            </w:r>
            <w:r w:rsidR="00E06E4C" w:rsidRPr="005C13C3">
              <w:rPr>
                <w:b/>
                <w:bCs/>
                <w:sz w:val="22"/>
                <w:szCs w:val="22"/>
              </w:rPr>
              <w:t>impact</w:t>
            </w:r>
            <w:r w:rsidR="008B3A88" w:rsidRPr="005C13C3">
              <w:rPr>
                <w:sz w:val="22"/>
                <w:szCs w:val="22"/>
              </w:rPr>
              <w:t>: DHTs with potential system benefi</w:t>
            </w:r>
            <w:r w:rsidR="00152584">
              <w:rPr>
                <w:sz w:val="22"/>
                <w:szCs w:val="22"/>
              </w:rPr>
              <w:t>ts but no direct user benefits</w:t>
            </w:r>
          </w:p>
        </w:tc>
        <w:tc>
          <w:tcPr>
            <w:tcW w:w="1150" w:type="pct"/>
          </w:tcPr>
          <w:p w14:paraId="54209D77" w14:textId="204ECF50" w:rsidR="008B3A88" w:rsidRPr="005C13C3" w:rsidRDefault="00DF1B89" w:rsidP="00152584">
            <w:pPr>
              <w:pStyle w:val="Default"/>
              <w:rPr>
                <w:sz w:val="22"/>
                <w:szCs w:val="22"/>
              </w:rPr>
            </w:pPr>
            <w:r>
              <w:rPr>
                <w:sz w:val="22"/>
                <w:szCs w:val="22"/>
              </w:rPr>
              <w:t>System service</w:t>
            </w:r>
          </w:p>
        </w:tc>
        <w:tc>
          <w:tcPr>
            <w:tcW w:w="2183" w:type="pct"/>
          </w:tcPr>
          <w:p w14:paraId="7C91F92E" w14:textId="441228F2" w:rsidR="008B3A88" w:rsidRPr="005C13C3" w:rsidRDefault="00E06E4C" w:rsidP="00152584">
            <w:pPr>
              <w:spacing w:after="0"/>
            </w:pPr>
            <w:r w:rsidRPr="005C13C3">
              <w:t>CE-marked medical devices</w:t>
            </w:r>
            <w:r w:rsidR="00C05BD7" w:rsidRPr="005C13C3">
              <w:t xml:space="preserve"> excluded</w:t>
            </w:r>
          </w:p>
          <w:p w14:paraId="0245C1D0" w14:textId="3F30895A" w:rsidR="00705820" w:rsidRPr="005C13C3" w:rsidRDefault="00705820" w:rsidP="00152584">
            <w:pPr>
              <w:spacing w:after="0"/>
            </w:pPr>
            <w:r w:rsidRPr="005C13C3">
              <w:t>Not classed as medical devices under the MDR</w:t>
            </w:r>
          </w:p>
        </w:tc>
      </w:tr>
      <w:tr w:rsidR="007F6AC1" w:rsidRPr="005C13C3" w14:paraId="773D0A8E" w14:textId="77777777" w:rsidTr="00173C75">
        <w:trPr>
          <w:trHeight w:val="57"/>
        </w:trPr>
        <w:tc>
          <w:tcPr>
            <w:tcW w:w="1667" w:type="pct"/>
          </w:tcPr>
          <w:p w14:paraId="24AEA9A9" w14:textId="65815DEC" w:rsidR="007F6AC1" w:rsidRPr="005C13C3" w:rsidRDefault="007F6AC1" w:rsidP="00152584">
            <w:pPr>
              <w:pStyle w:val="Default"/>
              <w:rPr>
                <w:sz w:val="22"/>
                <w:szCs w:val="22"/>
              </w:rPr>
            </w:pPr>
            <w:r w:rsidRPr="005C13C3">
              <w:rPr>
                <w:b/>
                <w:bCs/>
                <w:sz w:val="22"/>
                <w:szCs w:val="22"/>
              </w:rPr>
              <w:t>Tier B</w:t>
            </w:r>
            <w:r>
              <w:rPr>
                <w:b/>
                <w:bCs/>
                <w:sz w:val="22"/>
                <w:szCs w:val="22"/>
              </w:rPr>
              <w:t>: u</w:t>
            </w:r>
            <w:r w:rsidRPr="005C13C3">
              <w:rPr>
                <w:b/>
                <w:bCs/>
                <w:sz w:val="22"/>
                <w:szCs w:val="22"/>
              </w:rPr>
              <w:t>nderstanding and communicating</w:t>
            </w:r>
            <w:r w:rsidRPr="005C13C3">
              <w:rPr>
                <w:sz w:val="22"/>
                <w:szCs w:val="22"/>
              </w:rPr>
              <w:t>: DHTs which help users to understand healthy living and illnesses but are unlikely to have measurable user outcomes</w:t>
            </w:r>
          </w:p>
        </w:tc>
        <w:tc>
          <w:tcPr>
            <w:tcW w:w="1150" w:type="pct"/>
          </w:tcPr>
          <w:p w14:paraId="5BAF8BF0" w14:textId="378CB5D0" w:rsidR="007F6AC1" w:rsidRPr="005C13C3" w:rsidRDefault="007F6AC1" w:rsidP="00152584">
            <w:pPr>
              <w:pStyle w:val="Default"/>
              <w:rPr>
                <w:sz w:val="22"/>
                <w:szCs w:val="22"/>
              </w:rPr>
            </w:pPr>
            <w:r>
              <w:rPr>
                <w:sz w:val="22"/>
                <w:szCs w:val="22"/>
              </w:rPr>
              <w:t>Inform</w:t>
            </w:r>
          </w:p>
        </w:tc>
        <w:tc>
          <w:tcPr>
            <w:tcW w:w="2183" w:type="pct"/>
          </w:tcPr>
          <w:p w14:paraId="1AEF5442" w14:textId="07B9B14C" w:rsidR="007F6AC1" w:rsidRPr="005C13C3" w:rsidRDefault="007F6AC1" w:rsidP="00152584">
            <w:pPr>
              <w:spacing w:after="0"/>
            </w:pPr>
            <w:r w:rsidRPr="005C13C3">
              <w:t xml:space="preserve">May be classed as medical devices under the </w:t>
            </w:r>
            <w:proofErr w:type="gramStart"/>
            <w:r w:rsidRPr="005C13C3">
              <w:t>MDR</w:t>
            </w:r>
            <w:proofErr w:type="gramEnd"/>
          </w:p>
          <w:p w14:paraId="78986454" w14:textId="1F9888B9" w:rsidR="007F6AC1" w:rsidRPr="005C13C3" w:rsidRDefault="007F6AC1" w:rsidP="00152584">
            <w:pPr>
              <w:spacing w:after="0"/>
            </w:pPr>
          </w:p>
        </w:tc>
      </w:tr>
      <w:tr w:rsidR="007F6AC1" w:rsidRPr="005C13C3" w14:paraId="4F38D96D" w14:textId="77777777" w:rsidTr="00173C75">
        <w:trPr>
          <w:trHeight w:val="57"/>
        </w:trPr>
        <w:tc>
          <w:tcPr>
            <w:tcW w:w="1667" w:type="pct"/>
          </w:tcPr>
          <w:p w14:paraId="7BCADC4C" w14:textId="4177CFDC" w:rsidR="007F6AC1" w:rsidRPr="005C13C3" w:rsidRDefault="007F6AC1" w:rsidP="00152584">
            <w:pPr>
              <w:spacing w:after="0"/>
            </w:pPr>
            <w:r w:rsidRPr="005C13C3">
              <w:rPr>
                <w:b/>
                <w:bCs/>
              </w:rPr>
              <w:t>Tier B</w:t>
            </w:r>
            <w:r>
              <w:rPr>
                <w:b/>
                <w:bCs/>
              </w:rPr>
              <w:t>: u</w:t>
            </w:r>
            <w:r w:rsidRPr="005C13C3">
              <w:rPr>
                <w:b/>
                <w:bCs/>
              </w:rPr>
              <w:t>nderstanding and communicating</w:t>
            </w:r>
          </w:p>
        </w:tc>
        <w:tc>
          <w:tcPr>
            <w:tcW w:w="1150" w:type="pct"/>
          </w:tcPr>
          <w:p w14:paraId="30725369" w14:textId="066DA69E" w:rsidR="007F6AC1" w:rsidRPr="005C13C3" w:rsidRDefault="007F6AC1" w:rsidP="00152584">
            <w:pPr>
              <w:pStyle w:val="Default"/>
              <w:rPr>
                <w:sz w:val="22"/>
                <w:szCs w:val="22"/>
              </w:rPr>
            </w:pPr>
            <w:r w:rsidRPr="005C13C3">
              <w:rPr>
                <w:sz w:val="22"/>
                <w:szCs w:val="22"/>
              </w:rPr>
              <w:t>Health diaries</w:t>
            </w:r>
          </w:p>
        </w:tc>
        <w:tc>
          <w:tcPr>
            <w:tcW w:w="2183" w:type="pct"/>
          </w:tcPr>
          <w:p w14:paraId="2CF6AA1A" w14:textId="79D35ADE" w:rsidR="007F6AC1" w:rsidRPr="005C13C3" w:rsidRDefault="00581A3C" w:rsidP="00152584">
            <w:pPr>
              <w:spacing w:after="0"/>
            </w:pPr>
            <w:r w:rsidRPr="005C13C3">
              <w:t>May be classed as medical devices under the MDR</w:t>
            </w:r>
          </w:p>
        </w:tc>
      </w:tr>
      <w:tr w:rsidR="007F6AC1" w:rsidRPr="005C13C3" w14:paraId="04FFD82C" w14:textId="77777777" w:rsidTr="00173C75">
        <w:trPr>
          <w:trHeight w:val="57"/>
        </w:trPr>
        <w:tc>
          <w:tcPr>
            <w:tcW w:w="1667" w:type="pct"/>
          </w:tcPr>
          <w:p w14:paraId="4256EA24" w14:textId="2FAB2B5F" w:rsidR="007F6AC1" w:rsidRPr="005C13C3" w:rsidRDefault="007F6AC1" w:rsidP="00152584">
            <w:pPr>
              <w:spacing w:after="0"/>
            </w:pPr>
            <w:r w:rsidRPr="005C13C3">
              <w:rPr>
                <w:b/>
                <w:bCs/>
              </w:rPr>
              <w:t>Tier B</w:t>
            </w:r>
            <w:r>
              <w:rPr>
                <w:b/>
                <w:bCs/>
              </w:rPr>
              <w:t>: u</w:t>
            </w:r>
            <w:r w:rsidRPr="005C13C3">
              <w:rPr>
                <w:b/>
                <w:bCs/>
              </w:rPr>
              <w:t>nderstanding and communicating</w:t>
            </w:r>
          </w:p>
        </w:tc>
        <w:tc>
          <w:tcPr>
            <w:tcW w:w="1150" w:type="pct"/>
          </w:tcPr>
          <w:p w14:paraId="1B614112" w14:textId="0A776DC6" w:rsidR="007F6AC1" w:rsidRPr="005C13C3" w:rsidRDefault="007F6AC1" w:rsidP="00152584">
            <w:pPr>
              <w:pStyle w:val="Default"/>
              <w:tabs>
                <w:tab w:val="left" w:pos="1088"/>
              </w:tabs>
              <w:rPr>
                <w:sz w:val="22"/>
                <w:szCs w:val="22"/>
              </w:rPr>
            </w:pPr>
            <w:r>
              <w:rPr>
                <w:sz w:val="22"/>
                <w:szCs w:val="22"/>
              </w:rPr>
              <w:t>Communicate</w:t>
            </w:r>
          </w:p>
        </w:tc>
        <w:tc>
          <w:tcPr>
            <w:tcW w:w="2183" w:type="pct"/>
          </w:tcPr>
          <w:p w14:paraId="7D0A08C8" w14:textId="3C51E192" w:rsidR="007F6AC1" w:rsidRPr="005C13C3" w:rsidRDefault="00581A3C" w:rsidP="00152584">
            <w:pPr>
              <w:spacing w:after="0"/>
            </w:pPr>
            <w:r w:rsidRPr="005C13C3">
              <w:t>May be classed as medical devices under the MDR</w:t>
            </w:r>
          </w:p>
        </w:tc>
      </w:tr>
      <w:tr w:rsidR="0057477E" w:rsidRPr="005C13C3" w14:paraId="5B4BE887" w14:textId="77777777" w:rsidTr="00173C75">
        <w:trPr>
          <w:trHeight w:val="20"/>
        </w:trPr>
        <w:tc>
          <w:tcPr>
            <w:tcW w:w="1667" w:type="pct"/>
          </w:tcPr>
          <w:p w14:paraId="549E1FB5" w14:textId="2EFD1C39" w:rsidR="0057477E" w:rsidRPr="005C13C3" w:rsidRDefault="00DA26A1" w:rsidP="00173C75">
            <w:pPr>
              <w:spacing w:after="0"/>
            </w:pPr>
            <w:r w:rsidRPr="005C13C3">
              <w:rPr>
                <w:b/>
                <w:bCs/>
              </w:rPr>
              <w:t>Tier C</w:t>
            </w:r>
            <w:r w:rsidR="007074F4">
              <w:rPr>
                <w:b/>
                <w:bCs/>
              </w:rPr>
              <w:t>:</w:t>
            </w:r>
            <w:r w:rsidR="001F5BCF">
              <w:rPr>
                <w:b/>
                <w:bCs/>
              </w:rPr>
              <w:t xml:space="preserve"> i</w:t>
            </w:r>
            <w:r w:rsidR="0057477E" w:rsidRPr="005C13C3">
              <w:rPr>
                <w:b/>
                <w:bCs/>
              </w:rPr>
              <w:t>ntervention</w:t>
            </w:r>
            <w:r w:rsidR="000B3AB3">
              <w:rPr>
                <w:b/>
                <w:bCs/>
              </w:rPr>
              <w:t>s</w:t>
            </w:r>
            <w:r w:rsidR="0057477E" w:rsidRPr="005C13C3">
              <w:t xml:space="preserve">: DHTs for preventing, </w:t>
            </w:r>
            <w:proofErr w:type="gramStart"/>
            <w:r w:rsidR="0057477E" w:rsidRPr="005C13C3">
              <w:t>diagnosing</w:t>
            </w:r>
            <w:proofErr w:type="gramEnd"/>
            <w:r w:rsidR="0057477E" w:rsidRPr="005C13C3">
              <w:t xml:space="preserve"> and managing diseases. They may be used alongside treatment and will likely have measurable user benefits</w:t>
            </w:r>
          </w:p>
        </w:tc>
        <w:tc>
          <w:tcPr>
            <w:tcW w:w="1150" w:type="pct"/>
          </w:tcPr>
          <w:p w14:paraId="513336E6" w14:textId="21DDFCBA" w:rsidR="0057477E" w:rsidRPr="005C13C3" w:rsidRDefault="00DF1B89" w:rsidP="00152584">
            <w:pPr>
              <w:pStyle w:val="Default"/>
              <w:rPr>
                <w:sz w:val="22"/>
                <w:szCs w:val="22"/>
              </w:rPr>
            </w:pPr>
            <w:r>
              <w:rPr>
                <w:sz w:val="22"/>
                <w:szCs w:val="22"/>
              </w:rPr>
              <w:t>Preventative behaviour change</w:t>
            </w:r>
          </w:p>
        </w:tc>
        <w:tc>
          <w:tcPr>
            <w:tcW w:w="2183" w:type="pct"/>
          </w:tcPr>
          <w:p w14:paraId="7E7BC6E5" w14:textId="2C477FAC" w:rsidR="0057477E" w:rsidRPr="005C13C3" w:rsidRDefault="0057477E" w:rsidP="00152584">
            <w:pPr>
              <w:spacing w:after="0"/>
            </w:pPr>
            <w:r w:rsidRPr="005C13C3">
              <w:t xml:space="preserve">Likely to be classed as medical devices under the </w:t>
            </w:r>
            <w:proofErr w:type="gramStart"/>
            <w:r w:rsidRPr="005C13C3">
              <w:t>MDR</w:t>
            </w:r>
            <w:proofErr w:type="gramEnd"/>
          </w:p>
          <w:p w14:paraId="34CDEEB8" w14:textId="1DB07F39" w:rsidR="0057477E" w:rsidRPr="005C13C3" w:rsidRDefault="0057477E" w:rsidP="00152584">
            <w:pPr>
              <w:spacing w:after="0"/>
            </w:pPr>
          </w:p>
        </w:tc>
      </w:tr>
      <w:tr w:rsidR="0057477E" w:rsidRPr="005C13C3" w14:paraId="6DAAE0A7" w14:textId="77777777" w:rsidTr="00173C75">
        <w:trPr>
          <w:trHeight w:val="57"/>
        </w:trPr>
        <w:tc>
          <w:tcPr>
            <w:tcW w:w="1667" w:type="pct"/>
          </w:tcPr>
          <w:p w14:paraId="4BDE675A" w14:textId="0B5F68DA" w:rsidR="0057477E" w:rsidRPr="005C13C3" w:rsidRDefault="00EF3B41" w:rsidP="00152584">
            <w:pPr>
              <w:spacing w:after="0"/>
            </w:pPr>
            <w:r w:rsidRPr="005C13C3">
              <w:rPr>
                <w:b/>
                <w:bCs/>
              </w:rPr>
              <w:t>Tier C</w:t>
            </w:r>
            <w:r>
              <w:rPr>
                <w:b/>
                <w:bCs/>
              </w:rPr>
              <w:t>: i</w:t>
            </w:r>
            <w:r w:rsidRPr="005C13C3">
              <w:rPr>
                <w:b/>
                <w:bCs/>
              </w:rPr>
              <w:t>ntervention</w:t>
            </w:r>
            <w:r>
              <w:rPr>
                <w:b/>
                <w:bCs/>
              </w:rPr>
              <w:t>s</w:t>
            </w:r>
          </w:p>
        </w:tc>
        <w:tc>
          <w:tcPr>
            <w:tcW w:w="1150" w:type="pct"/>
          </w:tcPr>
          <w:p w14:paraId="2E2FB7CC" w14:textId="3B28299A" w:rsidR="0057477E" w:rsidRPr="005C13C3" w:rsidRDefault="00DF1B89" w:rsidP="00152584">
            <w:pPr>
              <w:pStyle w:val="Default"/>
              <w:rPr>
                <w:sz w:val="22"/>
                <w:szCs w:val="22"/>
              </w:rPr>
            </w:pPr>
            <w:r>
              <w:rPr>
                <w:sz w:val="22"/>
                <w:szCs w:val="22"/>
              </w:rPr>
              <w:t>Self-manage</w:t>
            </w:r>
          </w:p>
        </w:tc>
        <w:tc>
          <w:tcPr>
            <w:tcW w:w="2183" w:type="pct"/>
          </w:tcPr>
          <w:p w14:paraId="77AAC740" w14:textId="24879D49" w:rsidR="0057477E" w:rsidRPr="005C13C3" w:rsidRDefault="00581A3C" w:rsidP="00152584">
            <w:pPr>
              <w:spacing w:after="0"/>
            </w:pPr>
            <w:r w:rsidRPr="005C13C3">
              <w:t>Likely to be classed as medical devices under the MDR</w:t>
            </w:r>
          </w:p>
        </w:tc>
      </w:tr>
      <w:tr w:rsidR="0057477E" w:rsidRPr="005C13C3" w14:paraId="1CD959D5" w14:textId="77777777" w:rsidTr="00173C75">
        <w:trPr>
          <w:trHeight w:val="20"/>
        </w:trPr>
        <w:tc>
          <w:tcPr>
            <w:tcW w:w="1667" w:type="pct"/>
          </w:tcPr>
          <w:p w14:paraId="24F264A4" w14:textId="66461C67" w:rsidR="0057477E" w:rsidRPr="005C13C3" w:rsidRDefault="00EF3B41" w:rsidP="00152584">
            <w:pPr>
              <w:spacing w:after="0"/>
            </w:pPr>
            <w:r w:rsidRPr="005C13C3">
              <w:rPr>
                <w:b/>
                <w:bCs/>
              </w:rPr>
              <w:t>Tier C</w:t>
            </w:r>
            <w:r>
              <w:rPr>
                <w:b/>
                <w:bCs/>
              </w:rPr>
              <w:t>: i</w:t>
            </w:r>
            <w:r w:rsidRPr="005C13C3">
              <w:rPr>
                <w:b/>
                <w:bCs/>
              </w:rPr>
              <w:t>ntervention</w:t>
            </w:r>
            <w:r>
              <w:rPr>
                <w:b/>
                <w:bCs/>
              </w:rPr>
              <w:t>s</w:t>
            </w:r>
          </w:p>
        </w:tc>
        <w:tc>
          <w:tcPr>
            <w:tcW w:w="1150" w:type="pct"/>
          </w:tcPr>
          <w:p w14:paraId="020BAC37" w14:textId="68347BBC" w:rsidR="0057477E" w:rsidRPr="005C13C3" w:rsidRDefault="00DF1B89" w:rsidP="00152584">
            <w:pPr>
              <w:pStyle w:val="Default"/>
              <w:rPr>
                <w:sz w:val="22"/>
                <w:szCs w:val="22"/>
              </w:rPr>
            </w:pPr>
            <w:r>
              <w:rPr>
                <w:sz w:val="22"/>
                <w:szCs w:val="22"/>
              </w:rPr>
              <w:t>Treat</w:t>
            </w:r>
          </w:p>
        </w:tc>
        <w:tc>
          <w:tcPr>
            <w:tcW w:w="2183" w:type="pct"/>
          </w:tcPr>
          <w:p w14:paraId="14DA7C25" w14:textId="01A9B1DF" w:rsidR="0057477E" w:rsidRPr="005C13C3" w:rsidRDefault="0057477E" w:rsidP="00152584">
            <w:pPr>
              <w:spacing w:after="0"/>
            </w:pPr>
            <w:r w:rsidRPr="005C13C3">
              <w:t>Highly likely to be classed as medical devices under the MDR</w:t>
            </w:r>
          </w:p>
        </w:tc>
      </w:tr>
      <w:tr w:rsidR="0057477E" w:rsidRPr="005C13C3" w14:paraId="5173B2E0" w14:textId="77777777" w:rsidTr="00173C75">
        <w:trPr>
          <w:trHeight w:val="113"/>
        </w:trPr>
        <w:tc>
          <w:tcPr>
            <w:tcW w:w="1667" w:type="pct"/>
          </w:tcPr>
          <w:p w14:paraId="114A9E3C" w14:textId="2ABC97E0" w:rsidR="0057477E" w:rsidRPr="005C13C3" w:rsidRDefault="00EF3B41" w:rsidP="00152584">
            <w:pPr>
              <w:spacing w:after="0"/>
            </w:pPr>
            <w:r w:rsidRPr="005C13C3">
              <w:rPr>
                <w:b/>
                <w:bCs/>
              </w:rPr>
              <w:t>Tier C</w:t>
            </w:r>
            <w:r>
              <w:rPr>
                <w:b/>
                <w:bCs/>
              </w:rPr>
              <w:t>: i</w:t>
            </w:r>
            <w:r w:rsidRPr="005C13C3">
              <w:rPr>
                <w:b/>
                <w:bCs/>
              </w:rPr>
              <w:t>ntervention</w:t>
            </w:r>
            <w:r>
              <w:rPr>
                <w:b/>
                <w:bCs/>
              </w:rPr>
              <w:t>s</w:t>
            </w:r>
          </w:p>
        </w:tc>
        <w:tc>
          <w:tcPr>
            <w:tcW w:w="1150" w:type="pct"/>
          </w:tcPr>
          <w:p w14:paraId="76A52D39" w14:textId="6B0B89DC" w:rsidR="0057477E" w:rsidRPr="005C13C3" w:rsidRDefault="00DF1B89" w:rsidP="00152584">
            <w:pPr>
              <w:pStyle w:val="Default"/>
              <w:rPr>
                <w:sz w:val="22"/>
                <w:szCs w:val="22"/>
              </w:rPr>
            </w:pPr>
            <w:r>
              <w:rPr>
                <w:sz w:val="22"/>
                <w:szCs w:val="22"/>
              </w:rPr>
              <w:t>Active monitoring</w:t>
            </w:r>
          </w:p>
        </w:tc>
        <w:tc>
          <w:tcPr>
            <w:tcW w:w="2183" w:type="pct"/>
          </w:tcPr>
          <w:p w14:paraId="39C4E436" w14:textId="66195BE6" w:rsidR="0057477E" w:rsidRPr="005C13C3" w:rsidRDefault="00581A3C" w:rsidP="00152584">
            <w:pPr>
              <w:spacing w:after="0"/>
            </w:pPr>
            <w:r w:rsidRPr="005C13C3">
              <w:t>Highly likely to be classed as medical devices under the MDR</w:t>
            </w:r>
          </w:p>
        </w:tc>
      </w:tr>
      <w:tr w:rsidR="0057477E" w:rsidRPr="005C13C3" w14:paraId="7294622A" w14:textId="77777777" w:rsidTr="00173C75">
        <w:trPr>
          <w:trHeight w:val="170"/>
        </w:trPr>
        <w:tc>
          <w:tcPr>
            <w:tcW w:w="1667" w:type="pct"/>
          </w:tcPr>
          <w:p w14:paraId="670F5DFD" w14:textId="201B3AE7" w:rsidR="0057477E" w:rsidRPr="005C13C3" w:rsidRDefault="00EF3B41" w:rsidP="00152584">
            <w:pPr>
              <w:spacing w:after="0"/>
            </w:pPr>
            <w:r w:rsidRPr="005C13C3">
              <w:rPr>
                <w:b/>
                <w:bCs/>
              </w:rPr>
              <w:lastRenderedPageBreak/>
              <w:t>Tier C</w:t>
            </w:r>
            <w:r>
              <w:rPr>
                <w:b/>
                <w:bCs/>
              </w:rPr>
              <w:t>: i</w:t>
            </w:r>
            <w:r w:rsidRPr="005C13C3">
              <w:rPr>
                <w:b/>
                <w:bCs/>
              </w:rPr>
              <w:t>ntervention</w:t>
            </w:r>
            <w:r>
              <w:rPr>
                <w:b/>
                <w:bCs/>
              </w:rPr>
              <w:t>s</w:t>
            </w:r>
          </w:p>
        </w:tc>
        <w:tc>
          <w:tcPr>
            <w:tcW w:w="1150" w:type="pct"/>
          </w:tcPr>
          <w:p w14:paraId="5395A3AD" w14:textId="70D1FDEB" w:rsidR="0057477E" w:rsidRPr="005C13C3" w:rsidRDefault="00DF1B89" w:rsidP="00152584">
            <w:pPr>
              <w:pStyle w:val="Default"/>
              <w:rPr>
                <w:sz w:val="22"/>
                <w:szCs w:val="22"/>
              </w:rPr>
            </w:pPr>
            <w:r>
              <w:rPr>
                <w:sz w:val="22"/>
                <w:szCs w:val="22"/>
              </w:rPr>
              <w:t>Calculate</w:t>
            </w:r>
          </w:p>
        </w:tc>
        <w:tc>
          <w:tcPr>
            <w:tcW w:w="2183" w:type="pct"/>
          </w:tcPr>
          <w:p w14:paraId="2EB50BD9" w14:textId="75E786FB" w:rsidR="0057477E" w:rsidRPr="005C13C3" w:rsidRDefault="00581A3C" w:rsidP="00152584">
            <w:pPr>
              <w:spacing w:after="0"/>
            </w:pPr>
            <w:r w:rsidRPr="005C13C3">
              <w:t>Highly likely to be classed as medical devices under the MDR</w:t>
            </w:r>
          </w:p>
        </w:tc>
      </w:tr>
      <w:tr w:rsidR="0057477E" w:rsidRPr="005C13C3" w14:paraId="16577643" w14:textId="77777777" w:rsidTr="00173C75">
        <w:trPr>
          <w:trHeight w:val="227"/>
        </w:trPr>
        <w:tc>
          <w:tcPr>
            <w:tcW w:w="1667" w:type="pct"/>
          </w:tcPr>
          <w:p w14:paraId="4186D966" w14:textId="4FAF712E" w:rsidR="0057477E" w:rsidRPr="005C13C3" w:rsidRDefault="00EF3B41" w:rsidP="00152584">
            <w:pPr>
              <w:spacing w:after="0"/>
            </w:pPr>
            <w:r w:rsidRPr="005C13C3">
              <w:rPr>
                <w:b/>
                <w:bCs/>
              </w:rPr>
              <w:t>Tier C</w:t>
            </w:r>
            <w:r>
              <w:rPr>
                <w:b/>
                <w:bCs/>
              </w:rPr>
              <w:t>: i</w:t>
            </w:r>
            <w:r w:rsidRPr="005C13C3">
              <w:rPr>
                <w:b/>
                <w:bCs/>
              </w:rPr>
              <w:t>ntervention</w:t>
            </w:r>
            <w:r>
              <w:rPr>
                <w:b/>
                <w:bCs/>
              </w:rPr>
              <w:t>s</w:t>
            </w:r>
          </w:p>
        </w:tc>
        <w:tc>
          <w:tcPr>
            <w:tcW w:w="1150" w:type="pct"/>
          </w:tcPr>
          <w:p w14:paraId="6D4EE65C" w14:textId="33987FB4" w:rsidR="0057477E" w:rsidRPr="005C13C3" w:rsidRDefault="00DF1B89" w:rsidP="00173C75">
            <w:pPr>
              <w:spacing w:after="0"/>
            </w:pPr>
            <w:r>
              <w:t>Diagnose</w:t>
            </w:r>
          </w:p>
        </w:tc>
        <w:tc>
          <w:tcPr>
            <w:tcW w:w="2183" w:type="pct"/>
          </w:tcPr>
          <w:p w14:paraId="06E83C21" w14:textId="4E323D39" w:rsidR="0057477E" w:rsidRPr="005C13C3" w:rsidRDefault="00581A3C" w:rsidP="00152584">
            <w:pPr>
              <w:spacing w:after="0"/>
            </w:pPr>
            <w:r w:rsidRPr="005C13C3">
              <w:t>Highly likely to be classed as medical devices under the MDR</w:t>
            </w:r>
          </w:p>
        </w:tc>
      </w:tr>
    </w:tbl>
    <w:p w14:paraId="2A297056" w14:textId="0722F51A" w:rsidR="005E0703" w:rsidRDefault="00144938" w:rsidP="003056C1">
      <w:pPr>
        <w:pStyle w:val="Heading1"/>
      </w:pPr>
      <w:bookmarkStart w:id="2" w:name="_Toc54362494"/>
      <w:r w:rsidRPr="007E736D">
        <w:t xml:space="preserve">NICE ESF </w:t>
      </w:r>
      <w:r w:rsidR="001F5BCF">
        <w:t>s</w:t>
      </w:r>
      <w:r w:rsidR="001F5BCF" w:rsidRPr="007E736D">
        <w:t>tandards</w:t>
      </w:r>
      <w:r w:rsidR="001F5BCF">
        <w:t xml:space="preserve"> </w:t>
      </w:r>
      <w:r w:rsidR="003056C1">
        <w:t>and MDR document</w:t>
      </w:r>
      <w:r w:rsidR="00430BB9">
        <w:t>ation</w:t>
      </w:r>
      <w:r w:rsidR="003056C1">
        <w:t xml:space="preserve"> requirements</w:t>
      </w:r>
      <w:bookmarkEnd w:id="2"/>
    </w:p>
    <w:p w14:paraId="53B15C9C" w14:textId="56FDA2D7" w:rsidR="00A85066" w:rsidRPr="0019682C" w:rsidRDefault="003D0888" w:rsidP="00A85066">
      <w:pPr>
        <w:rPr>
          <w:color w:val="auto"/>
        </w:rPr>
      </w:pPr>
      <w:r w:rsidRPr="0019682C">
        <w:rPr>
          <w:color w:val="auto"/>
        </w:rPr>
        <w:t xml:space="preserve">Tables </w:t>
      </w:r>
      <w:r w:rsidR="008776FA">
        <w:rPr>
          <w:color w:val="auto"/>
        </w:rPr>
        <w:t>2-</w:t>
      </w:r>
      <w:r w:rsidR="00C715CF">
        <w:rPr>
          <w:color w:val="auto"/>
        </w:rPr>
        <w:t>5</w:t>
      </w:r>
      <w:r w:rsidR="00C715CF" w:rsidRPr="0019682C">
        <w:rPr>
          <w:color w:val="auto"/>
        </w:rPr>
        <w:t xml:space="preserve"> </w:t>
      </w:r>
      <w:r w:rsidRPr="0019682C">
        <w:rPr>
          <w:color w:val="auto"/>
        </w:rPr>
        <w:t xml:space="preserve">show the evidence standards from the ESF and the recommended MDR documents that </w:t>
      </w:r>
      <w:r w:rsidRPr="0019682C">
        <w:t>technology developers may use to meet the ESF criteria</w:t>
      </w:r>
      <w:r w:rsidR="00325B95">
        <w:t xml:space="preserve"> for </w:t>
      </w:r>
      <w:r w:rsidR="00327D5A">
        <w:t>Tier B</w:t>
      </w:r>
      <w:r w:rsidR="001F5BCF">
        <w:t xml:space="preserve">: understanding </w:t>
      </w:r>
      <w:r w:rsidR="00663D91">
        <w:t xml:space="preserve">and communicating </w:t>
      </w:r>
      <w:r w:rsidR="00327D5A">
        <w:t xml:space="preserve">DHTs </w:t>
      </w:r>
      <w:r w:rsidR="00325B95">
        <w:t xml:space="preserve">and </w:t>
      </w:r>
      <w:r w:rsidR="00327D5A">
        <w:t>Tier C</w:t>
      </w:r>
      <w:r w:rsidR="001F5BCF">
        <w:t>: i</w:t>
      </w:r>
      <w:r w:rsidR="00325B95">
        <w:t>ntervention</w:t>
      </w:r>
      <w:r w:rsidR="00327D5A">
        <w:t xml:space="preserve"> DHTs</w:t>
      </w:r>
      <w:r w:rsidR="00663D91">
        <w:rPr>
          <w:rStyle w:val="FootnoteReference"/>
        </w:rPr>
        <w:footnoteReference w:id="2"/>
      </w:r>
      <w:r w:rsidRPr="0019682C">
        <w:t>.</w:t>
      </w:r>
      <w:r w:rsidRPr="0019682C">
        <w:rPr>
          <w:color w:val="auto"/>
        </w:rPr>
        <w:t xml:space="preserve"> </w:t>
      </w:r>
      <w:r w:rsidR="00D143C3" w:rsidRPr="0019682C">
        <w:rPr>
          <w:color w:val="auto"/>
        </w:rPr>
        <w:t xml:space="preserve">Some ESF criteria are not </w:t>
      </w:r>
      <w:r w:rsidR="00D143C3" w:rsidRPr="0019682C">
        <w:t>explicitly</w:t>
      </w:r>
      <w:r w:rsidR="00D143C3" w:rsidRPr="0019682C">
        <w:rPr>
          <w:color w:val="auto"/>
        </w:rPr>
        <w:t xml:space="preserve"> MDR requirements, although they are likely to feed into the evidence for the technical file. </w:t>
      </w:r>
      <w:r w:rsidRPr="0019682C">
        <w:rPr>
          <w:color w:val="auto"/>
        </w:rPr>
        <w:t xml:space="preserve">Best practice evidence standards should be used for DHTs that present a potential high risk, as determined by the </w:t>
      </w:r>
      <w:r w:rsidRPr="00804C43">
        <w:t>contextual questions</w:t>
      </w:r>
      <w:r w:rsidR="00804C43">
        <w:t xml:space="preserve"> in the ESF document </w:t>
      </w:r>
      <w:r w:rsidR="00804C43" w:rsidRPr="00DA0037">
        <w:rPr>
          <w:color w:val="0000FF"/>
        </w:rPr>
        <w:t>[</w:t>
      </w:r>
      <w:r w:rsidR="00804C43" w:rsidRPr="00DA0037">
        <w:rPr>
          <w:color w:val="0000FF"/>
        </w:rPr>
        <w:fldChar w:fldCharType="begin"/>
      </w:r>
      <w:r w:rsidR="00804C43" w:rsidRPr="00DA0037">
        <w:rPr>
          <w:color w:val="0000FF"/>
        </w:rPr>
        <w:instrText xml:space="preserve"> REF _Ref54360362 \r \h </w:instrText>
      </w:r>
      <w:r w:rsidR="00804C43" w:rsidRPr="00DA0037">
        <w:rPr>
          <w:color w:val="0000FF"/>
        </w:rPr>
      </w:r>
      <w:r w:rsidR="00804C43" w:rsidRPr="00DA0037">
        <w:rPr>
          <w:color w:val="0000FF"/>
        </w:rPr>
        <w:fldChar w:fldCharType="separate"/>
      </w:r>
      <w:r w:rsidR="004D3E33">
        <w:rPr>
          <w:color w:val="0000FF"/>
        </w:rPr>
        <w:t>1</w:t>
      </w:r>
      <w:r w:rsidR="00804C43" w:rsidRPr="00DA0037">
        <w:rPr>
          <w:color w:val="0000FF"/>
        </w:rPr>
        <w:fldChar w:fldCharType="end"/>
      </w:r>
      <w:r w:rsidR="00804C43" w:rsidRPr="00DA0037">
        <w:rPr>
          <w:color w:val="0000FF"/>
        </w:rPr>
        <w:t>]</w:t>
      </w:r>
      <w:r w:rsidRPr="0019682C">
        <w:rPr>
          <w:color w:val="auto"/>
        </w:rPr>
        <w:t>.</w:t>
      </w:r>
    </w:p>
    <w:p w14:paraId="67458EC0" w14:textId="2159022A" w:rsidR="00E265A8" w:rsidRDefault="00D52DEF" w:rsidP="00A12BD3">
      <w:r w:rsidRPr="0019682C">
        <w:rPr>
          <w:color w:val="auto"/>
        </w:rPr>
        <w:t xml:space="preserve">The </w:t>
      </w:r>
      <w:r w:rsidRPr="00804C43">
        <w:t>MDR best practice guidelines</w:t>
      </w:r>
      <w:r w:rsidR="00804C43">
        <w:t xml:space="preserve"> </w:t>
      </w:r>
      <w:r w:rsidR="00804C43" w:rsidRPr="00DA0037">
        <w:rPr>
          <w:color w:val="0000FF"/>
        </w:rPr>
        <w:t>[</w:t>
      </w:r>
      <w:r w:rsidR="00804C43" w:rsidRPr="00DA0037">
        <w:rPr>
          <w:color w:val="0000FF"/>
        </w:rPr>
        <w:fldChar w:fldCharType="begin"/>
      </w:r>
      <w:r w:rsidR="00804C43" w:rsidRPr="00DA0037">
        <w:rPr>
          <w:color w:val="0000FF"/>
        </w:rPr>
        <w:instrText xml:space="preserve"> REF _Ref54360956 \r \h </w:instrText>
      </w:r>
      <w:r w:rsidR="00804C43" w:rsidRPr="00DA0037">
        <w:rPr>
          <w:color w:val="0000FF"/>
        </w:rPr>
      </w:r>
      <w:r w:rsidR="00804C43" w:rsidRPr="00DA0037">
        <w:rPr>
          <w:color w:val="0000FF"/>
        </w:rPr>
        <w:fldChar w:fldCharType="separate"/>
      </w:r>
      <w:r w:rsidR="004D3E33">
        <w:rPr>
          <w:color w:val="0000FF"/>
        </w:rPr>
        <w:t>7</w:t>
      </w:r>
      <w:r w:rsidR="00804C43" w:rsidRPr="00DA0037">
        <w:rPr>
          <w:color w:val="0000FF"/>
        </w:rPr>
        <w:fldChar w:fldCharType="end"/>
      </w:r>
      <w:r w:rsidR="00804C43" w:rsidRPr="00DA0037">
        <w:rPr>
          <w:color w:val="0000FF"/>
        </w:rPr>
        <w:t>]</w:t>
      </w:r>
      <w:r w:rsidRPr="0019682C">
        <w:rPr>
          <w:color w:val="auto"/>
        </w:rPr>
        <w:t xml:space="preserve"> from the </w:t>
      </w:r>
      <w:r w:rsidRPr="0019682C">
        <w:t>British Standards Institution (BSI) give some background about the MDR documentation requirements with links to further information.</w:t>
      </w:r>
    </w:p>
    <w:p w14:paraId="462F8383" w14:textId="28142F9B" w:rsidR="00144938" w:rsidRPr="007E736D" w:rsidRDefault="00327D5A" w:rsidP="00B340B6">
      <w:pPr>
        <w:pStyle w:val="Heading2"/>
        <w:spacing w:before="0"/>
      </w:pPr>
      <w:bookmarkStart w:id="3" w:name="_Toc54362495"/>
      <w:r>
        <w:t>Tier B</w:t>
      </w:r>
      <w:r w:rsidR="001F5BCF">
        <w:t>: u</w:t>
      </w:r>
      <w:r w:rsidR="004268A4">
        <w:t>nderstanding and communicating</w:t>
      </w:r>
      <w:bookmarkEnd w:id="3"/>
    </w:p>
    <w:p w14:paraId="27D5229D" w14:textId="77777777" w:rsidR="00144938" w:rsidRPr="007E736D" w:rsidRDefault="00144938" w:rsidP="00870148">
      <w:r w:rsidRPr="007E736D">
        <w:t>DHTs which help users to understand healthy living and illnesses but are unlikely to have measurable user outcomes.</w:t>
      </w:r>
    </w:p>
    <w:p w14:paraId="034C3EE4" w14:textId="6CBE3B56" w:rsidR="008776FA" w:rsidRPr="00AB1D77" w:rsidRDefault="008776FA" w:rsidP="00870148">
      <w:pPr>
        <w:pStyle w:val="Default"/>
        <w:spacing w:after="240"/>
        <w:rPr>
          <w:sz w:val="22"/>
          <w:szCs w:val="22"/>
        </w:rPr>
      </w:pPr>
      <w:r w:rsidRPr="00705820">
        <w:rPr>
          <w:b/>
          <w:sz w:val="22"/>
          <w:szCs w:val="22"/>
        </w:rPr>
        <w:t>Inform</w:t>
      </w:r>
      <w:r w:rsidRPr="00705820">
        <w:rPr>
          <w:sz w:val="22"/>
          <w:szCs w:val="22"/>
        </w:rPr>
        <w:t xml:space="preserve"> </w:t>
      </w:r>
      <w:proofErr w:type="gramStart"/>
      <w:r w:rsidR="005B4296" w:rsidRPr="00705820">
        <w:rPr>
          <w:sz w:val="22"/>
          <w:szCs w:val="22"/>
        </w:rPr>
        <w:t>e.g.</w:t>
      </w:r>
      <w:proofErr w:type="gramEnd"/>
      <w:r w:rsidR="005B4296" w:rsidRPr="00705820">
        <w:rPr>
          <w:sz w:val="22"/>
          <w:szCs w:val="22"/>
        </w:rPr>
        <w:t xml:space="preserve"> DHTs describing a condition and its treatment, apps providing advice for healthy lifestyles (such as recipes), apps that signpost to other </w:t>
      </w:r>
      <w:r w:rsidR="005B4296" w:rsidRPr="006E1BDC">
        <w:rPr>
          <w:sz w:val="22"/>
          <w:szCs w:val="22"/>
        </w:rPr>
        <w:t>services</w:t>
      </w:r>
      <w:r w:rsidRPr="00AB1D77">
        <w:rPr>
          <w:sz w:val="22"/>
          <w:szCs w:val="22"/>
        </w:rPr>
        <w:t>.</w:t>
      </w:r>
    </w:p>
    <w:p w14:paraId="126E4FC1" w14:textId="458196A8" w:rsidR="008776FA" w:rsidRDefault="004268A4" w:rsidP="00870148">
      <w:pPr>
        <w:pStyle w:val="Default"/>
        <w:spacing w:after="240"/>
        <w:rPr>
          <w:sz w:val="22"/>
          <w:szCs w:val="22"/>
        </w:rPr>
      </w:pPr>
      <w:r>
        <w:rPr>
          <w:b/>
          <w:sz w:val="22"/>
          <w:szCs w:val="22"/>
        </w:rPr>
        <w:t>Health diaries</w:t>
      </w:r>
      <w:r w:rsidR="008776FA">
        <w:rPr>
          <w:sz w:val="22"/>
          <w:szCs w:val="22"/>
        </w:rPr>
        <w:t xml:space="preserve"> e.g. </w:t>
      </w:r>
      <w:r w:rsidR="005B4296" w:rsidRPr="007E736D">
        <w:rPr>
          <w:sz w:val="22"/>
          <w:szCs w:val="22"/>
        </w:rPr>
        <w:t>health tracking information such as from fitness wea</w:t>
      </w:r>
      <w:r w:rsidR="008776FA">
        <w:rPr>
          <w:sz w:val="22"/>
          <w:szCs w:val="22"/>
        </w:rPr>
        <w:t xml:space="preserve">rables, </w:t>
      </w:r>
      <w:r w:rsidR="00A3735E">
        <w:rPr>
          <w:sz w:val="22"/>
          <w:szCs w:val="22"/>
        </w:rPr>
        <w:t xml:space="preserve">and </w:t>
      </w:r>
      <w:r w:rsidR="008776FA">
        <w:rPr>
          <w:sz w:val="22"/>
          <w:szCs w:val="22"/>
        </w:rPr>
        <w:t>symptom or mood diaries.</w:t>
      </w:r>
    </w:p>
    <w:p w14:paraId="369DBBB3" w14:textId="4C477772" w:rsidR="00144938" w:rsidRDefault="008776FA" w:rsidP="00870148">
      <w:pPr>
        <w:pStyle w:val="Default"/>
        <w:spacing w:after="240"/>
        <w:rPr>
          <w:sz w:val="22"/>
          <w:szCs w:val="22"/>
        </w:rPr>
      </w:pPr>
      <w:r w:rsidRPr="008776FA">
        <w:rPr>
          <w:b/>
          <w:sz w:val="22"/>
          <w:szCs w:val="22"/>
        </w:rPr>
        <w:t>Communicate</w:t>
      </w:r>
      <w:r>
        <w:rPr>
          <w:sz w:val="22"/>
          <w:szCs w:val="22"/>
        </w:rPr>
        <w:t xml:space="preserve"> e.g. </w:t>
      </w:r>
      <w:r w:rsidR="005B4296" w:rsidRPr="007E736D">
        <w:rPr>
          <w:sz w:val="22"/>
          <w:szCs w:val="22"/>
        </w:rPr>
        <w:t xml:space="preserve">instant messaging apps for health and social care, video conference-style consultation software, </w:t>
      </w:r>
      <w:r w:rsidR="00A3735E">
        <w:rPr>
          <w:sz w:val="22"/>
          <w:szCs w:val="22"/>
        </w:rPr>
        <w:t xml:space="preserve">and </w:t>
      </w:r>
      <w:r w:rsidR="005B4296" w:rsidRPr="007E736D">
        <w:rPr>
          <w:sz w:val="22"/>
          <w:szCs w:val="22"/>
        </w:rPr>
        <w:t xml:space="preserve">platforms for communication with carers or </w:t>
      </w:r>
      <w:r w:rsidR="005A74B8">
        <w:rPr>
          <w:sz w:val="22"/>
          <w:szCs w:val="22"/>
        </w:rPr>
        <w:t>professionals.</w:t>
      </w:r>
    </w:p>
    <w:p w14:paraId="6DBB6453" w14:textId="4B2AD3DC" w:rsidR="00C2661D" w:rsidRDefault="004B5CD6" w:rsidP="00870148">
      <w:pPr>
        <w:pStyle w:val="Default"/>
        <w:spacing w:after="240"/>
        <w:rPr>
          <w:b/>
          <w:bCs/>
          <w:i/>
          <w:color w:val="auto"/>
        </w:rPr>
      </w:pPr>
      <w:r w:rsidRPr="004B5CD6">
        <w:rPr>
          <w:rFonts w:eastAsia="Times New Roman"/>
          <w:b/>
          <w:bCs/>
          <w:sz w:val="22"/>
          <w:szCs w:val="22"/>
          <w:lang w:eastAsia="en-GB"/>
        </w:rPr>
        <w:t>Tier B</w:t>
      </w:r>
      <w:r w:rsidR="001F5BCF">
        <w:rPr>
          <w:rFonts w:eastAsia="Times New Roman"/>
          <w:b/>
          <w:bCs/>
          <w:sz w:val="22"/>
          <w:szCs w:val="22"/>
          <w:lang w:eastAsia="en-GB"/>
        </w:rPr>
        <w:t>: u</w:t>
      </w:r>
      <w:r w:rsidR="004268A4" w:rsidRPr="004B5CD6">
        <w:rPr>
          <w:rFonts w:eastAsia="Times New Roman"/>
          <w:b/>
          <w:bCs/>
          <w:sz w:val="22"/>
          <w:szCs w:val="22"/>
          <w:lang w:eastAsia="en-GB"/>
        </w:rPr>
        <w:t>nderstanding and communication</w:t>
      </w:r>
      <w:r w:rsidR="005B4296" w:rsidRPr="004B5CD6">
        <w:rPr>
          <w:rFonts w:eastAsia="Times New Roman"/>
          <w:b/>
          <w:bCs/>
          <w:sz w:val="22"/>
          <w:szCs w:val="22"/>
          <w:lang w:eastAsia="en-GB"/>
        </w:rPr>
        <w:t xml:space="preserve"> </w:t>
      </w:r>
      <w:r w:rsidR="005B4296" w:rsidRPr="00CD7B08">
        <w:rPr>
          <w:rFonts w:eastAsia="Times New Roman"/>
          <w:sz w:val="22"/>
          <w:szCs w:val="22"/>
          <w:lang w:eastAsia="en-GB"/>
        </w:rPr>
        <w:t>DHTs</w:t>
      </w:r>
      <w:r w:rsidR="005B4296" w:rsidRPr="00A31363">
        <w:rPr>
          <w:rFonts w:eastAsia="Times New Roman"/>
          <w:sz w:val="22"/>
          <w:szCs w:val="22"/>
          <w:lang w:eastAsia="en-GB"/>
        </w:rPr>
        <w:t xml:space="preserve"> </w:t>
      </w:r>
      <w:r w:rsidR="0023374B">
        <w:rPr>
          <w:rFonts w:eastAsia="Times New Roman"/>
          <w:sz w:val="22"/>
          <w:szCs w:val="22"/>
          <w:lang w:eastAsia="en-GB"/>
        </w:rPr>
        <w:t>may</w:t>
      </w:r>
      <w:r w:rsidR="005B4296" w:rsidRPr="00A31363">
        <w:rPr>
          <w:rFonts w:eastAsia="Times New Roman"/>
          <w:sz w:val="22"/>
          <w:szCs w:val="22"/>
          <w:lang w:eastAsia="en-GB"/>
        </w:rPr>
        <w:t xml:space="preserve"> be classified as medical devices under MDR</w:t>
      </w:r>
      <w:r w:rsidR="007C0EC3">
        <w:rPr>
          <w:rFonts w:eastAsia="Times New Roman"/>
          <w:sz w:val="22"/>
          <w:szCs w:val="22"/>
          <w:lang w:eastAsia="en-GB"/>
        </w:rPr>
        <w:t>.</w:t>
      </w:r>
      <w:r w:rsidR="00C2661D">
        <w:br w:type="page"/>
      </w:r>
    </w:p>
    <w:p w14:paraId="23240DB6" w14:textId="5541802F" w:rsidR="003D0888" w:rsidRPr="008B3A88" w:rsidRDefault="003D0888" w:rsidP="008B3A88">
      <w:pPr>
        <w:pStyle w:val="Caption"/>
      </w:pPr>
      <w:r w:rsidRPr="008B3A88">
        <w:lastRenderedPageBreak/>
        <w:t xml:space="preserve">Table </w:t>
      </w:r>
      <w:fldSimple w:instr=" SEQ Table \* ARABIC ">
        <w:r w:rsidR="004D3E33">
          <w:rPr>
            <w:noProof/>
          </w:rPr>
          <w:t>2</w:t>
        </w:r>
      </w:fldSimple>
      <w:r w:rsidRPr="008B3A88">
        <w:t xml:space="preserve">: </w:t>
      </w:r>
      <w:r w:rsidR="00327D5A">
        <w:t xml:space="preserve">Tier </w:t>
      </w:r>
      <w:r w:rsidR="000800E5">
        <w:t>B</w:t>
      </w:r>
      <w:r w:rsidR="001F5BCF">
        <w:t>: u</w:t>
      </w:r>
      <w:r w:rsidR="004268A4">
        <w:t>nderstanding and communicating</w:t>
      </w:r>
      <w:r w:rsidR="00CD7B08">
        <w:t xml:space="preserve"> -</w:t>
      </w:r>
      <w:r w:rsidR="00CD7B08" w:rsidRPr="008B3A88">
        <w:t xml:space="preserve"> </w:t>
      </w:r>
      <w:r w:rsidR="004B5CD6">
        <w:t>M</w:t>
      </w:r>
      <w:r w:rsidR="004B5CD6" w:rsidRPr="008B3A88">
        <w:t xml:space="preserve">inimum </w:t>
      </w:r>
      <w:r w:rsidRPr="008B3A88">
        <w:t>evidence standards</w:t>
      </w:r>
    </w:p>
    <w:tbl>
      <w:tblPr>
        <w:tblStyle w:val="TableGrid"/>
        <w:tblW w:w="5000" w:type="pct"/>
        <w:tblLook w:val="04A0" w:firstRow="1" w:lastRow="0" w:firstColumn="1" w:lastColumn="0" w:noHBand="0" w:noVBand="1"/>
        <w:tblDescription w:val="Evidence category, ESF minimum evidence standard, MDR requirement, aligned MDR documentation and section"/>
      </w:tblPr>
      <w:tblGrid>
        <w:gridCol w:w="2236"/>
        <w:gridCol w:w="4394"/>
        <w:gridCol w:w="3543"/>
        <w:gridCol w:w="4613"/>
      </w:tblGrid>
      <w:tr w:rsidR="00CB701A" w:rsidRPr="007E736D" w14:paraId="7722C9E6" w14:textId="5CA6398A" w:rsidTr="00506CF3">
        <w:trPr>
          <w:trHeight w:val="206"/>
          <w:tblHeader/>
        </w:trPr>
        <w:tc>
          <w:tcPr>
            <w:tcW w:w="756" w:type="pct"/>
            <w:shd w:val="clear" w:color="auto" w:fill="B8CCE4" w:themeFill="accent1" w:themeFillTint="66"/>
            <w:hideMark/>
          </w:tcPr>
          <w:p w14:paraId="44AAD95B" w14:textId="77777777" w:rsidR="00CB701A" w:rsidRPr="00E265A8" w:rsidRDefault="00CB701A" w:rsidP="00A12BD3">
            <w:pPr>
              <w:spacing w:after="0"/>
              <w:rPr>
                <w:b/>
              </w:rPr>
            </w:pPr>
            <w:r>
              <w:rPr>
                <w:b/>
              </w:rPr>
              <w:t>Evidence category</w:t>
            </w:r>
          </w:p>
        </w:tc>
        <w:tc>
          <w:tcPr>
            <w:tcW w:w="1486" w:type="pct"/>
            <w:shd w:val="clear" w:color="auto" w:fill="B8CCE4" w:themeFill="accent1" w:themeFillTint="66"/>
          </w:tcPr>
          <w:p w14:paraId="696141F0" w14:textId="751906CE" w:rsidR="00CB701A" w:rsidRDefault="00CB701A" w:rsidP="00A12BD3">
            <w:pPr>
              <w:spacing w:after="0"/>
              <w:rPr>
                <w:b/>
              </w:rPr>
            </w:pPr>
            <w:r>
              <w:rPr>
                <w:b/>
              </w:rPr>
              <w:t>ESF</w:t>
            </w:r>
            <w:r w:rsidRPr="008F6DB7">
              <w:rPr>
                <w:b/>
              </w:rPr>
              <w:t xml:space="preserve"> minimum evidence standard</w:t>
            </w:r>
          </w:p>
        </w:tc>
        <w:tc>
          <w:tcPr>
            <w:tcW w:w="1198" w:type="pct"/>
            <w:shd w:val="clear" w:color="auto" w:fill="B8CCE4" w:themeFill="accent1" w:themeFillTint="66"/>
          </w:tcPr>
          <w:p w14:paraId="532B71C6" w14:textId="77777777" w:rsidR="00CB701A" w:rsidRDefault="00CB701A" w:rsidP="00A12BD3">
            <w:pPr>
              <w:spacing w:after="0"/>
              <w:rPr>
                <w:b/>
              </w:rPr>
            </w:pPr>
            <w:r>
              <w:rPr>
                <w:b/>
              </w:rPr>
              <w:t>Is this an MDR requirement?</w:t>
            </w:r>
          </w:p>
        </w:tc>
        <w:tc>
          <w:tcPr>
            <w:tcW w:w="1560" w:type="pct"/>
            <w:shd w:val="clear" w:color="auto" w:fill="B8CCE4" w:themeFill="accent1" w:themeFillTint="66"/>
          </w:tcPr>
          <w:p w14:paraId="6FFA558C" w14:textId="0EE6ECE0" w:rsidR="00CB701A" w:rsidRPr="008B3A88" w:rsidRDefault="00CB701A" w:rsidP="00A12BD3">
            <w:pPr>
              <w:spacing w:after="0"/>
              <w:rPr>
                <w:b/>
              </w:rPr>
            </w:pPr>
            <w:r w:rsidRPr="008B3A88">
              <w:rPr>
                <w:b/>
              </w:rPr>
              <w:t>Aligned MDR documentation</w:t>
            </w:r>
            <w:r>
              <w:rPr>
                <w:b/>
              </w:rPr>
              <w:t xml:space="preserve"> and section</w:t>
            </w:r>
          </w:p>
        </w:tc>
      </w:tr>
      <w:tr w:rsidR="00CB701A" w:rsidRPr="007E736D" w14:paraId="1A295D48" w14:textId="71B0C3B5" w:rsidTr="00506CF3">
        <w:trPr>
          <w:trHeight w:val="1781"/>
        </w:trPr>
        <w:tc>
          <w:tcPr>
            <w:tcW w:w="756" w:type="pct"/>
            <w:hideMark/>
          </w:tcPr>
          <w:p w14:paraId="0B380FF0" w14:textId="4A873DE2" w:rsidR="00CB701A" w:rsidRPr="007E736D" w:rsidRDefault="00CB701A" w:rsidP="00A12BD3">
            <w:pPr>
              <w:spacing w:after="0"/>
            </w:pPr>
            <w:bookmarkStart w:id="4" w:name="_Hlk35334234"/>
            <w:r>
              <w:t>Reliable information content</w:t>
            </w:r>
            <w:r w:rsidRPr="007E736D">
              <w:t xml:space="preserve"> </w:t>
            </w:r>
          </w:p>
        </w:tc>
        <w:tc>
          <w:tcPr>
            <w:tcW w:w="1486" w:type="pct"/>
          </w:tcPr>
          <w:p w14:paraId="2B937B99" w14:textId="54412FE3" w:rsidR="00CB701A" w:rsidRDefault="00CB701A" w:rsidP="00A12BD3">
            <w:pPr>
              <w:spacing w:after="0"/>
            </w:pPr>
            <w:r w:rsidRPr="007E736D">
              <w:t>Be able to show that any health information provided by the DHT is valid (aligned to best available sources, such as NICE guidance, relevant professional organisations or recognised UK patient organisations, and appropriate for the target population) </w:t>
            </w:r>
          </w:p>
        </w:tc>
        <w:tc>
          <w:tcPr>
            <w:tcW w:w="1198" w:type="pct"/>
          </w:tcPr>
          <w:p w14:paraId="4F13746F" w14:textId="078B868E" w:rsidR="00CB701A" w:rsidRDefault="00CB701A" w:rsidP="00A12BD3">
            <w:pPr>
              <w:spacing w:after="0"/>
            </w:pPr>
            <w:r>
              <w:t>Yes</w:t>
            </w:r>
          </w:p>
          <w:p w14:paraId="00C82B14" w14:textId="55190E84" w:rsidR="00CB701A" w:rsidRPr="007E736D" w:rsidRDefault="00CB701A" w:rsidP="00A12BD3">
            <w:pPr>
              <w:spacing w:after="0"/>
            </w:pPr>
            <w:r>
              <w:t xml:space="preserve">No explicit requirement to use UK sources, but </w:t>
            </w:r>
            <w:r>
              <w:rPr>
                <w:color w:val="auto"/>
              </w:rPr>
              <w:t>a</w:t>
            </w:r>
            <w:r w:rsidRPr="00A31363">
              <w:rPr>
                <w:color w:val="auto"/>
              </w:rPr>
              <w:t xml:space="preserve">ll claims by the device manufacturer need to be </w:t>
            </w:r>
            <w:r>
              <w:rPr>
                <w:color w:val="auto"/>
              </w:rPr>
              <w:t>verified/</w:t>
            </w:r>
            <w:r w:rsidRPr="00A31363">
              <w:rPr>
                <w:color w:val="auto"/>
              </w:rPr>
              <w:t xml:space="preserve">validated. The way in which </w:t>
            </w:r>
            <w:r>
              <w:rPr>
                <w:color w:val="auto"/>
              </w:rPr>
              <w:t xml:space="preserve">to verify/ validate </w:t>
            </w:r>
            <w:r w:rsidRPr="00A31363">
              <w:rPr>
                <w:color w:val="auto"/>
              </w:rPr>
              <w:t>is not specified</w:t>
            </w:r>
          </w:p>
        </w:tc>
        <w:tc>
          <w:tcPr>
            <w:tcW w:w="1560" w:type="pct"/>
          </w:tcPr>
          <w:p w14:paraId="20E9486A" w14:textId="77777777" w:rsidR="00CB701A" w:rsidRDefault="00CB701A" w:rsidP="00A12BD3">
            <w:pPr>
              <w:spacing w:after="0"/>
            </w:pPr>
            <w:r>
              <w:t>General safety and performance requirements checklist</w:t>
            </w:r>
          </w:p>
          <w:p w14:paraId="6CBF7B5B" w14:textId="4C19F3F6" w:rsidR="00CB701A" w:rsidRDefault="00CB701A" w:rsidP="00A12BD3">
            <w:pPr>
              <w:spacing w:after="0"/>
              <w:rPr>
                <w:color w:val="auto"/>
              </w:rPr>
            </w:pPr>
            <w:r>
              <w:rPr>
                <w:color w:val="auto"/>
              </w:rPr>
              <w:t>Annex I</w:t>
            </w:r>
          </w:p>
          <w:p w14:paraId="1AB1131D" w14:textId="77777777" w:rsidR="00CB701A" w:rsidRDefault="00CB701A" w:rsidP="00A12BD3">
            <w:pPr>
              <w:spacing w:after="0"/>
              <w:rPr>
                <w:color w:val="auto"/>
              </w:rPr>
            </w:pPr>
          </w:p>
          <w:p w14:paraId="308BC4A7" w14:textId="77777777" w:rsidR="00CB701A" w:rsidRDefault="00CB701A" w:rsidP="00A12BD3">
            <w:pPr>
              <w:spacing w:after="0"/>
            </w:pPr>
            <w:r>
              <w:t>Validation and verification reports</w:t>
            </w:r>
          </w:p>
          <w:p w14:paraId="2550ED84" w14:textId="204E9401" w:rsidR="00CB701A" w:rsidRDefault="00CB701A" w:rsidP="00A12BD3">
            <w:pPr>
              <w:spacing w:after="0"/>
            </w:pPr>
            <w:r>
              <w:rPr>
                <w:color w:val="auto"/>
              </w:rPr>
              <w:t>Annex II (6)</w:t>
            </w:r>
          </w:p>
        </w:tc>
      </w:tr>
      <w:tr w:rsidR="00CB701A" w:rsidRPr="007E736D" w14:paraId="6613BFB9" w14:textId="285766BB" w:rsidTr="00506CF3">
        <w:trPr>
          <w:trHeight w:val="2044"/>
        </w:trPr>
        <w:tc>
          <w:tcPr>
            <w:tcW w:w="756" w:type="pct"/>
          </w:tcPr>
          <w:p w14:paraId="3FEC63C8" w14:textId="73DDF20D" w:rsidR="00CB701A" w:rsidRPr="007E736D" w:rsidRDefault="006152F2" w:rsidP="00A12BD3">
            <w:pPr>
              <w:spacing w:after="0"/>
            </w:pPr>
            <w:r w:rsidRPr="006152F2">
              <w:t>Reliable information content</w:t>
            </w:r>
          </w:p>
        </w:tc>
        <w:tc>
          <w:tcPr>
            <w:tcW w:w="1486" w:type="pct"/>
          </w:tcPr>
          <w:p w14:paraId="230D4CBF" w14:textId="77828948" w:rsidR="00CB701A" w:rsidRDefault="00CB701A" w:rsidP="00A12BD3">
            <w:pPr>
              <w:spacing w:after="0"/>
            </w:pPr>
            <w:r w:rsidRPr="007E736D">
              <w:t>Be able to show that any health information provided by the DHT is accurate </w:t>
            </w:r>
          </w:p>
        </w:tc>
        <w:tc>
          <w:tcPr>
            <w:tcW w:w="1198" w:type="pct"/>
          </w:tcPr>
          <w:p w14:paraId="6ABCBFB7" w14:textId="53F96E67" w:rsidR="00CB701A" w:rsidRPr="007E736D" w:rsidRDefault="00CB701A" w:rsidP="00A12BD3">
            <w:pPr>
              <w:spacing w:after="0"/>
            </w:pPr>
            <w:r>
              <w:t>Yes</w:t>
            </w:r>
          </w:p>
        </w:tc>
        <w:tc>
          <w:tcPr>
            <w:tcW w:w="1560" w:type="pct"/>
          </w:tcPr>
          <w:p w14:paraId="7F03A8A7" w14:textId="77777777" w:rsidR="00CB701A" w:rsidRDefault="00CB701A" w:rsidP="00A12BD3">
            <w:pPr>
              <w:spacing w:after="0"/>
            </w:pPr>
            <w:r>
              <w:t>General safety and performance requirements checklist</w:t>
            </w:r>
          </w:p>
          <w:p w14:paraId="30E3F831" w14:textId="5C170DBD" w:rsidR="00CB701A" w:rsidRDefault="00CB701A" w:rsidP="00A12BD3">
            <w:pPr>
              <w:spacing w:after="0"/>
              <w:rPr>
                <w:color w:val="auto"/>
              </w:rPr>
            </w:pPr>
            <w:r>
              <w:rPr>
                <w:color w:val="auto"/>
              </w:rPr>
              <w:t>Annex I (15)</w:t>
            </w:r>
          </w:p>
          <w:p w14:paraId="7B76EB7D" w14:textId="77777777" w:rsidR="000F32AD" w:rsidRDefault="000F32AD" w:rsidP="00A12BD3">
            <w:pPr>
              <w:spacing w:after="0"/>
              <w:rPr>
                <w:color w:val="auto"/>
              </w:rPr>
            </w:pPr>
          </w:p>
          <w:p w14:paraId="4A6A1C95" w14:textId="77777777" w:rsidR="00CB701A" w:rsidRDefault="00CB701A" w:rsidP="00A12BD3">
            <w:pPr>
              <w:spacing w:after="0"/>
            </w:pPr>
            <w:r>
              <w:t>Validation and verification reports</w:t>
            </w:r>
          </w:p>
          <w:p w14:paraId="63D75B2A" w14:textId="77777777" w:rsidR="00CB701A" w:rsidRDefault="00CB701A" w:rsidP="00A12BD3">
            <w:pPr>
              <w:spacing w:after="0"/>
            </w:pPr>
            <w:r>
              <w:rPr>
                <w:color w:val="auto"/>
              </w:rPr>
              <w:t>Annex II (6)</w:t>
            </w:r>
          </w:p>
          <w:p w14:paraId="3E1F55C7" w14:textId="77777777" w:rsidR="000F32AD" w:rsidRDefault="000F32AD" w:rsidP="00A12BD3">
            <w:pPr>
              <w:spacing w:after="0"/>
            </w:pPr>
          </w:p>
          <w:p w14:paraId="57D14EB2" w14:textId="1C3526D4" w:rsidR="00CB701A" w:rsidRDefault="00CB701A" w:rsidP="00A12BD3">
            <w:pPr>
              <w:spacing w:after="0"/>
            </w:pPr>
            <w:r>
              <w:t>Clinical investigation/evaluation reports</w:t>
            </w:r>
          </w:p>
          <w:p w14:paraId="13C4E6D9" w14:textId="77777777" w:rsidR="00CB701A" w:rsidRDefault="00CB701A" w:rsidP="00A12BD3">
            <w:pPr>
              <w:spacing w:after="0"/>
            </w:pPr>
            <w:r>
              <w:t xml:space="preserve">Annex </w:t>
            </w:r>
            <w:r w:rsidRPr="008B3A88">
              <w:t>XIV</w:t>
            </w:r>
            <w:r>
              <w:t xml:space="preserve"> (A)</w:t>
            </w:r>
          </w:p>
          <w:p w14:paraId="3C0CCF6D" w14:textId="03D8C0B1" w:rsidR="00CB701A" w:rsidRDefault="00CB701A" w:rsidP="00A12BD3">
            <w:pPr>
              <w:spacing w:after="0"/>
            </w:pPr>
            <w:r>
              <w:t xml:space="preserve">Annex XV </w:t>
            </w:r>
          </w:p>
        </w:tc>
      </w:tr>
      <w:tr w:rsidR="00CB701A" w:rsidRPr="007E736D" w14:paraId="718F46D3" w14:textId="4CBDA433" w:rsidTr="00506CF3">
        <w:trPr>
          <w:trHeight w:val="1275"/>
        </w:trPr>
        <w:tc>
          <w:tcPr>
            <w:tcW w:w="756" w:type="pct"/>
          </w:tcPr>
          <w:p w14:paraId="1EAEF9CB" w14:textId="5133648E" w:rsidR="00CB701A" w:rsidRPr="007E736D" w:rsidRDefault="006152F2" w:rsidP="00A12BD3">
            <w:pPr>
              <w:spacing w:after="0"/>
            </w:pPr>
            <w:r w:rsidRPr="006152F2">
              <w:t>Reliable information content</w:t>
            </w:r>
          </w:p>
        </w:tc>
        <w:tc>
          <w:tcPr>
            <w:tcW w:w="1486" w:type="pct"/>
          </w:tcPr>
          <w:p w14:paraId="28AF6604" w14:textId="5780393D" w:rsidR="00CB701A" w:rsidRDefault="00CB701A" w:rsidP="00A12BD3">
            <w:pPr>
              <w:spacing w:after="0"/>
            </w:pPr>
            <w:r w:rsidRPr="007E736D">
              <w:t>Be able to show that any health information provided by the DHT is up to date</w:t>
            </w:r>
          </w:p>
        </w:tc>
        <w:tc>
          <w:tcPr>
            <w:tcW w:w="1198" w:type="pct"/>
          </w:tcPr>
          <w:p w14:paraId="39B1B591" w14:textId="5046015E" w:rsidR="00CB701A" w:rsidRPr="007E736D" w:rsidRDefault="00CB701A" w:rsidP="00A12BD3">
            <w:pPr>
              <w:spacing w:after="0"/>
            </w:pPr>
            <w:r>
              <w:t>Yes</w:t>
            </w:r>
          </w:p>
        </w:tc>
        <w:tc>
          <w:tcPr>
            <w:tcW w:w="1560" w:type="pct"/>
          </w:tcPr>
          <w:p w14:paraId="24512E8A" w14:textId="77777777" w:rsidR="00CB701A" w:rsidRDefault="00CB701A" w:rsidP="00A12BD3">
            <w:pPr>
              <w:spacing w:after="0"/>
            </w:pPr>
            <w:r w:rsidRPr="009E2513">
              <w:t>Post-market surveillance</w:t>
            </w:r>
            <w:r>
              <w:t xml:space="preserve"> reports</w:t>
            </w:r>
          </w:p>
          <w:p w14:paraId="125F1A26" w14:textId="6764D0B1" w:rsidR="00CB701A" w:rsidRDefault="00CB701A" w:rsidP="00A12BD3">
            <w:pPr>
              <w:spacing w:after="0"/>
            </w:pPr>
            <w:r>
              <w:t>Article 85</w:t>
            </w:r>
          </w:p>
          <w:p w14:paraId="7866A950" w14:textId="06A892A7" w:rsidR="00CB701A" w:rsidRDefault="00CB701A" w:rsidP="00A12BD3">
            <w:pPr>
              <w:spacing w:after="0"/>
            </w:pPr>
            <w:r>
              <w:t>Annex III</w:t>
            </w:r>
          </w:p>
          <w:p w14:paraId="2D11F0D7" w14:textId="77777777" w:rsidR="00CB701A" w:rsidRPr="009E2513" w:rsidRDefault="00CB701A" w:rsidP="00A12BD3">
            <w:pPr>
              <w:spacing w:after="0"/>
            </w:pPr>
            <w:r>
              <w:t>Annex XIV (B)</w:t>
            </w:r>
          </w:p>
          <w:p w14:paraId="218C4D80" w14:textId="77777777" w:rsidR="000F32AD" w:rsidRDefault="000F32AD" w:rsidP="00A12BD3">
            <w:pPr>
              <w:spacing w:after="0"/>
            </w:pPr>
          </w:p>
          <w:p w14:paraId="59733414" w14:textId="532A8710" w:rsidR="00CB701A" w:rsidRPr="009E2513" w:rsidRDefault="00CB701A" w:rsidP="00A12BD3">
            <w:pPr>
              <w:spacing w:after="0"/>
            </w:pPr>
            <w:r w:rsidRPr="009E2513">
              <w:t>Periodic safety update report</w:t>
            </w:r>
          </w:p>
          <w:p w14:paraId="33A1DC33" w14:textId="77777777" w:rsidR="00CB701A" w:rsidRDefault="00CB701A" w:rsidP="00A12BD3">
            <w:pPr>
              <w:spacing w:after="0"/>
            </w:pPr>
            <w:r>
              <w:t>Article 86</w:t>
            </w:r>
          </w:p>
          <w:p w14:paraId="22512207" w14:textId="638970CF" w:rsidR="00CB701A" w:rsidRPr="009E2513" w:rsidRDefault="00CB701A" w:rsidP="00A12BD3">
            <w:pPr>
              <w:spacing w:after="0"/>
            </w:pPr>
            <w:r>
              <w:t>Annex III</w:t>
            </w:r>
          </w:p>
        </w:tc>
      </w:tr>
      <w:tr w:rsidR="00CB701A" w:rsidRPr="007E736D" w14:paraId="2E2D5F2E" w14:textId="14E381D1" w:rsidTr="00506CF3">
        <w:trPr>
          <w:trHeight w:val="1305"/>
        </w:trPr>
        <w:tc>
          <w:tcPr>
            <w:tcW w:w="756" w:type="pct"/>
          </w:tcPr>
          <w:p w14:paraId="209D13FA" w14:textId="3234A150" w:rsidR="00CB701A" w:rsidRPr="007E736D" w:rsidRDefault="006152F2" w:rsidP="00A12BD3">
            <w:pPr>
              <w:spacing w:after="0"/>
            </w:pPr>
            <w:r w:rsidRPr="006152F2">
              <w:t>Reliable information content</w:t>
            </w:r>
          </w:p>
        </w:tc>
        <w:tc>
          <w:tcPr>
            <w:tcW w:w="1486" w:type="pct"/>
          </w:tcPr>
          <w:p w14:paraId="74EFEFFF" w14:textId="5AA8640D" w:rsidR="00CB701A" w:rsidRPr="00C72B64" w:rsidRDefault="00CB701A" w:rsidP="00A12BD3">
            <w:pPr>
              <w:spacing w:after="0"/>
              <w:rPr>
                <w:highlight w:val="yellow"/>
              </w:rPr>
            </w:pPr>
            <w:r w:rsidRPr="005C573A">
              <w:t>Be able to show that any health information provided by the DHT is reviewed and updated by relevant experts at defined intervals, such as every year</w:t>
            </w:r>
          </w:p>
        </w:tc>
        <w:tc>
          <w:tcPr>
            <w:tcW w:w="1198" w:type="pct"/>
          </w:tcPr>
          <w:p w14:paraId="45141318" w14:textId="6BE96C63" w:rsidR="00CB701A" w:rsidRPr="007E736D" w:rsidRDefault="00CB701A" w:rsidP="00A12BD3">
            <w:pPr>
              <w:spacing w:after="0"/>
            </w:pPr>
            <w:r>
              <w:t>Yes</w:t>
            </w:r>
          </w:p>
        </w:tc>
        <w:tc>
          <w:tcPr>
            <w:tcW w:w="1560" w:type="pct"/>
          </w:tcPr>
          <w:p w14:paraId="3BEE8713" w14:textId="77777777" w:rsidR="00CB701A" w:rsidRDefault="00CB701A" w:rsidP="005A74B8">
            <w:pPr>
              <w:spacing w:after="0"/>
            </w:pPr>
            <w:r w:rsidRPr="009E2513">
              <w:t xml:space="preserve">Post-market surveillance </w:t>
            </w:r>
            <w:r>
              <w:t>reports</w:t>
            </w:r>
          </w:p>
          <w:p w14:paraId="3E0480FB" w14:textId="709FC251" w:rsidR="00CB701A" w:rsidRDefault="00CB701A" w:rsidP="00A12BD3">
            <w:pPr>
              <w:spacing w:after="0"/>
            </w:pPr>
            <w:r>
              <w:t>Article 85</w:t>
            </w:r>
          </w:p>
          <w:p w14:paraId="4DD4E5A4" w14:textId="77777777" w:rsidR="00CB701A" w:rsidRDefault="00CB701A" w:rsidP="00A12BD3">
            <w:pPr>
              <w:spacing w:after="0"/>
            </w:pPr>
            <w:r>
              <w:t>Annex III</w:t>
            </w:r>
          </w:p>
          <w:p w14:paraId="0DF0F97C" w14:textId="77777777" w:rsidR="00CB701A" w:rsidRPr="009E2513" w:rsidRDefault="00CB701A" w:rsidP="00A12BD3">
            <w:pPr>
              <w:spacing w:after="0"/>
            </w:pPr>
            <w:r>
              <w:t>Annex XIV (B)</w:t>
            </w:r>
          </w:p>
          <w:p w14:paraId="14252CD8" w14:textId="77777777" w:rsidR="000F32AD" w:rsidRDefault="000F32AD" w:rsidP="00A12BD3">
            <w:pPr>
              <w:spacing w:after="0"/>
            </w:pPr>
          </w:p>
          <w:p w14:paraId="48C0C23D" w14:textId="1E85F56E" w:rsidR="00CB701A" w:rsidRPr="009E2513" w:rsidRDefault="00CB701A" w:rsidP="00A12BD3">
            <w:pPr>
              <w:spacing w:after="0"/>
            </w:pPr>
            <w:r>
              <w:t>Periodic safety update report</w:t>
            </w:r>
          </w:p>
          <w:p w14:paraId="25E86BF0" w14:textId="77777777" w:rsidR="00CB701A" w:rsidRDefault="00CB701A" w:rsidP="00A12BD3">
            <w:pPr>
              <w:spacing w:after="0"/>
            </w:pPr>
            <w:r>
              <w:t>Article 86</w:t>
            </w:r>
          </w:p>
          <w:p w14:paraId="76F7F38F" w14:textId="60819E7E" w:rsidR="00CB701A" w:rsidRPr="009E2513" w:rsidRDefault="00CB701A" w:rsidP="00A12BD3">
            <w:pPr>
              <w:spacing w:after="0"/>
            </w:pPr>
            <w:r>
              <w:t>Annex III</w:t>
            </w:r>
          </w:p>
        </w:tc>
      </w:tr>
      <w:tr w:rsidR="00CB701A" w:rsidRPr="007E736D" w14:paraId="2740329A" w14:textId="3410BDEB" w:rsidTr="00506CF3">
        <w:trPr>
          <w:trHeight w:val="1791"/>
        </w:trPr>
        <w:tc>
          <w:tcPr>
            <w:tcW w:w="756" w:type="pct"/>
          </w:tcPr>
          <w:p w14:paraId="1DA92AED" w14:textId="66E8C016" w:rsidR="00CB701A" w:rsidRPr="007E736D" w:rsidRDefault="006152F2" w:rsidP="00A12BD3">
            <w:pPr>
              <w:spacing w:after="0"/>
            </w:pPr>
            <w:r w:rsidRPr="006152F2">
              <w:lastRenderedPageBreak/>
              <w:t>Reliable information content</w:t>
            </w:r>
          </w:p>
        </w:tc>
        <w:tc>
          <w:tcPr>
            <w:tcW w:w="1486" w:type="pct"/>
          </w:tcPr>
          <w:p w14:paraId="5B67D170" w14:textId="128D6E45" w:rsidR="00CB701A" w:rsidRPr="001A2088" w:rsidRDefault="00CB701A" w:rsidP="00A12BD3">
            <w:pPr>
              <w:spacing w:after="0"/>
              <w:rPr>
                <w:color w:val="auto"/>
              </w:rPr>
            </w:pPr>
            <w:r w:rsidRPr="001A2088">
              <w:t>Be able to show that any health information provided by the DHT is sufficiently comprehensive</w:t>
            </w:r>
          </w:p>
        </w:tc>
        <w:tc>
          <w:tcPr>
            <w:tcW w:w="1198" w:type="pct"/>
          </w:tcPr>
          <w:p w14:paraId="0C9054D8" w14:textId="77777777" w:rsidR="00CB701A" w:rsidRPr="001A2088" w:rsidRDefault="00CB701A" w:rsidP="00A12BD3">
            <w:pPr>
              <w:spacing w:after="0"/>
              <w:rPr>
                <w:color w:val="auto"/>
              </w:rPr>
            </w:pPr>
            <w:r w:rsidRPr="001A2088">
              <w:rPr>
                <w:color w:val="auto"/>
              </w:rPr>
              <w:t>Yes</w:t>
            </w:r>
          </w:p>
          <w:p w14:paraId="7DE076F3" w14:textId="3D4EB565" w:rsidR="00CB701A" w:rsidRPr="001A2088" w:rsidRDefault="00CB701A" w:rsidP="00A12BD3">
            <w:pPr>
              <w:spacing w:after="0"/>
            </w:pPr>
            <w:r w:rsidRPr="001A2088">
              <w:t>The DHT needs to perform as claimed</w:t>
            </w:r>
          </w:p>
        </w:tc>
        <w:tc>
          <w:tcPr>
            <w:tcW w:w="1560" w:type="pct"/>
          </w:tcPr>
          <w:p w14:paraId="2C100930" w14:textId="77777777" w:rsidR="00CB701A" w:rsidRPr="001A2088" w:rsidRDefault="00CB701A" w:rsidP="00A12BD3">
            <w:pPr>
              <w:spacing w:after="0"/>
            </w:pPr>
            <w:r w:rsidRPr="001A2088">
              <w:t>General safety and performance requirements</w:t>
            </w:r>
          </w:p>
          <w:p w14:paraId="199F2243" w14:textId="1D85AB79" w:rsidR="00CB701A" w:rsidRDefault="00CB701A" w:rsidP="00A12BD3">
            <w:pPr>
              <w:spacing w:after="0"/>
              <w:rPr>
                <w:color w:val="auto"/>
              </w:rPr>
            </w:pPr>
            <w:r w:rsidRPr="001A2088">
              <w:rPr>
                <w:color w:val="auto"/>
              </w:rPr>
              <w:t>Annex I</w:t>
            </w:r>
          </w:p>
          <w:p w14:paraId="42266A0F" w14:textId="77777777" w:rsidR="000F32AD" w:rsidRDefault="000F32AD" w:rsidP="00A12BD3">
            <w:pPr>
              <w:spacing w:after="0"/>
            </w:pPr>
          </w:p>
          <w:p w14:paraId="7E3D542B" w14:textId="71361090" w:rsidR="00CB701A" w:rsidRPr="001A2088" w:rsidRDefault="00CB701A" w:rsidP="00A12BD3">
            <w:pPr>
              <w:spacing w:after="0"/>
            </w:pPr>
            <w:r>
              <w:t xml:space="preserve">Instructions </w:t>
            </w:r>
            <w:r w:rsidRPr="00D27FCC">
              <w:t>for</w:t>
            </w:r>
            <w:r>
              <w:t xml:space="preserve"> use</w:t>
            </w:r>
          </w:p>
          <w:p w14:paraId="11D2FEBE" w14:textId="77777777" w:rsidR="00CB701A" w:rsidRPr="001A2088" w:rsidRDefault="00CB701A" w:rsidP="00A12BD3">
            <w:pPr>
              <w:spacing w:after="0"/>
              <w:rPr>
                <w:color w:val="auto"/>
              </w:rPr>
            </w:pPr>
            <w:r>
              <w:rPr>
                <w:color w:val="auto"/>
              </w:rPr>
              <w:t>Annex I (Chapter III)</w:t>
            </w:r>
          </w:p>
          <w:p w14:paraId="1108684C" w14:textId="77777777" w:rsidR="000F32AD" w:rsidRDefault="000F32AD" w:rsidP="00A12BD3">
            <w:pPr>
              <w:spacing w:after="0"/>
            </w:pPr>
          </w:p>
          <w:p w14:paraId="66838215" w14:textId="56BFA421" w:rsidR="00CB701A" w:rsidRDefault="00CB701A" w:rsidP="00A12BD3">
            <w:pPr>
              <w:spacing w:after="0"/>
            </w:pPr>
            <w:r>
              <w:t>Validation and verification reports</w:t>
            </w:r>
          </w:p>
          <w:p w14:paraId="0152A72F" w14:textId="5E224F45" w:rsidR="00CB701A" w:rsidRDefault="00CB701A" w:rsidP="00A12BD3">
            <w:pPr>
              <w:spacing w:after="0"/>
            </w:pPr>
            <w:r>
              <w:rPr>
                <w:color w:val="auto"/>
              </w:rPr>
              <w:t>Annex II (6)</w:t>
            </w:r>
          </w:p>
        </w:tc>
      </w:tr>
      <w:tr w:rsidR="00CB701A" w:rsidRPr="007E736D" w14:paraId="11BB6BB7" w14:textId="3B0F869E" w:rsidTr="00506CF3">
        <w:trPr>
          <w:cantSplit/>
          <w:trHeight w:val="1275"/>
        </w:trPr>
        <w:tc>
          <w:tcPr>
            <w:tcW w:w="756" w:type="pct"/>
            <w:hideMark/>
          </w:tcPr>
          <w:p w14:paraId="3647971B" w14:textId="5EAC95F6" w:rsidR="00CB701A" w:rsidRPr="007E736D" w:rsidRDefault="00CB701A" w:rsidP="00A12BD3">
            <w:pPr>
              <w:spacing w:after="0"/>
            </w:pPr>
            <w:r w:rsidRPr="007E736D">
              <w:t>Ongoing data coll</w:t>
            </w:r>
            <w:r>
              <w:t>ection to show usage of the DHT</w:t>
            </w:r>
            <w:r w:rsidRPr="007E736D">
              <w:t> </w:t>
            </w:r>
          </w:p>
        </w:tc>
        <w:tc>
          <w:tcPr>
            <w:tcW w:w="1486" w:type="pct"/>
          </w:tcPr>
          <w:p w14:paraId="35958AA3" w14:textId="0F91BC8F" w:rsidR="00CB701A" w:rsidRDefault="00CB701A" w:rsidP="00A12BD3">
            <w:pPr>
              <w:spacing w:after="0"/>
            </w:pPr>
            <w:r w:rsidRPr="007E736D">
              <w:t>Commitment to ongoing data collection to show usage of the DHT in the target population</w:t>
            </w:r>
          </w:p>
        </w:tc>
        <w:tc>
          <w:tcPr>
            <w:tcW w:w="1198" w:type="pct"/>
          </w:tcPr>
          <w:p w14:paraId="737CB1BC" w14:textId="38DA9BBE" w:rsidR="00CB701A" w:rsidRPr="007E736D" w:rsidRDefault="00CB701A" w:rsidP="00A12BD3">
            <w:pPr>
              <w:spacing w:after="0"/>
            </w:pPr>
            <w:r>
              <w:t>Yes</w:t>
            </w:r>
          </w:p>
        </w:tc>
        <w:tc>
          <w:tcPr>
            <w:tcW w:w="1560" w:type="pct"/>
          </w:tcPr>
          <w:p w14:paraId="0CF11591" w14:textId="77777777" w:rsidR="00CB701A" w:rsidRDefault="00CB701A" w:rsidP="00A12BD3">
            <w:pPr>
              <w:spacing w:after="0"/>
            </w:pPr>
            <w:r w:rsidRPr="009E2513">
              <w:t xml:space="preserve">Post-market surveillance </w:t>
            </w:r>
            <w:r>
              <w:t>reports</w:t>
            </w:r>
          </w:p>
          <w:p w14:paraId="406C1B72" w14:textId="77777777" w:rsidR="00CB701A" w:rsidRDefault="00CB701A" w:rsidP="00A12BD3">
            <w:pPr>
              <w:spacing w:after="0"/>
            </w:pPr>
            <w:r>
              <w:t>Article 85</w:t>
            </w:r>
          </w:p>
          <w:p w14:paraId="0E65C347" w14:textId="77777777" w:rsidR="00CB701A" w:rsidRDefault="00CB701A" w:rsidP="00A12BD3">
            <w:pPr>
              <w:spacing w:after="0"/>
            </w:pPr>
            <w:r>
              <w:t>Annex III</w:t>
            </w:r>
          </w:p>
          <w:p w14:paraId="5AF89175" w14:textId="77777777" w:rsidR="00CB701A" w:rsidRPr="009E2513" w:rsidRDefault="00CB701A" w:rsidP="00A12BD3">
            <w:pPr>
              <w:spacing w:after="0"/>
            </w:pPr>
            <w:r>
              <w:t>Annex XIV (B)</w:t>
            </w:r>
          </w:p>
          <w:p w14:paraId="34680BF9" w14:textId="77777777" w:rsidR="000F32AD" w:rsidRDefault="000F32AD" w:rsidP="00A12BD3">
            <w:pPr>
              <w:spacing w:after="0"/>
            </w:pPr>
          </w:p>
          <w:p w14:paraId="17D509E9" w14:textId="0A95EB14" w:rsidR="00CB701A" w:rsidRPr="009E2513" w:rsidRDefault="00CB701A" w:rsidP="00A12BD3">
            <w:pPr>
              <w:spacing w:after="0"/>
            </w:pPr>
            <w:r>
              <w:t>Periodic safety update report</w:t>
            </w:r>
          </w:p>
          <w:p w14:paraId="62E9E5E4" w14:textId="77777777" w:rsidR="00CB701A" w:rsidRDefault="00CB701A" w:rsidP="00A12BD3">
            <w:pPr>
              <w:spacing w:after="0"/>
            </w:pPr>
            <w:r>
              <w:t>Article 86</w:t>
            </w:r>
          </w:p>
          <w:p w14:paraId="5DAC2B45" w14:textId="42254926" w:rsidR="00CB701A" w:rsidRPr="009E2513" w:rsidRDefault="00CB701A" w:rsidP="00A12BD3">
            <w:pPr>
              <w:spacing w:after="0"/>
            </w:pPr>
            <w:r>
              <w:t>Annex III</w:t>
            </w:r>
          </w:p>
        </w:tc>
      </w:tr>
      <w:tr w:rsidR="00CB701A" w:rsidRPr="007E736D" w14:paraId="59AF5FAE" w14:textId="3AC342D3" w:rsidTr="00506CF3">
        <w:trPr>
          <w:trHeight w:val="2044"/>
        </w:trPr>
        <w:tc>
          <w:tcPr>
            <w:tcW w:w="756" w:type="pct"/>
          </w:tcPr>
          <w:p w14:paraId="5E200D0B" w14:textId="720CBB7A" w:rsidR="00CB701A" w:rsidRPr="007E736D" w:rsidRDefault="006152F2" w:rsidP="00A12BD3">
            <w:pPr>
              <w:spacing w:after="0"/>
            </w:pPr>
            <w:r w:rsidRPr="006152F2">
              <w:t>Ongoing data collection to show usage of the DHT</w:t>
            </w:r>
          </w:p>
        </w:tc>
        <w:tc>
          <w:tcPr>
            <w:tcW w:w="1486" w:type="pct"/>
          </w:tcPr>
          <w:p w14:paraId="6C6F9249" w14:textId="64FB7DC2" w:rsidR="00CB701A" w:rsidRDefault="00CB701A" w:rsidP="00A12BD3">
            <w:pPr>
              <w:spacing w:after="0"/>
            </w:pPr>
            <w:r>
              <w:t>C</w:t>
            </w:r>
            <w:r w:rsidRPr="0070689B">
              <w:t>ommitment to share, when available, with relevant decision-makers such as commissioners in a clear and useful format</w:t>
            </w:r>
          </w:p>
        </w:tc>
        <w:tc>
          <w:tcPr>
            <w:tcW w:w="1198" w:type="pct"/>
          </w:tcPr>
          <w:p w14:paraId="67FE64EB" w14:textId="44F4550C" w:rsidR="00CB701A" w:rsidRDefault="00CB701A" w:rsidP="00A12BD3">
            <w:pPr>
              <w:spacing w:after="0"/>
            </w:pPr>
            <w:r>
              <w:t>No</w:t>
            </w:r>
          </w:p>
          <w:p w14:paraId="0EA1365E" w14:textId="1F146414" w:rsidR="00CB701A" w:rsidRPr="007E736D" w:rsidRDefault="00CB701A" w:rsidP="00A12BD3">
            <w:pPr>
              <w:spacing w:after="0"/>
            </w:pPr>
            <w:r>
              <w:t>While it is a requirement for ongoing data collection, it is not a requirement to report this to commissioners unless triggering specific vigilance reports</w:t>
            </w:r>
          </w:p>
        </w:tc>
        <w:tc>
          <w:tcPr>
            <w:tcW w:w="1560" w:type="pct"/>
          </w:tcPr>
          <w:p w14:paraId="67E47A7D" w14:textId="77777777" w:rsidR="00CB701A" w:rsidRDefault="00CB701A" w:rsidP="00A12BD3">
            <w:pPr>
              <w:spacing w:after="0"/>
            </w:pPr>
            <w:r w:rsidRPr="009E2513">
              <w:t xml:space="preserve">Post-market surveillance </w:t>
            </w:r>
            <w:r>
              <w:t>reports</w:t>
            </w:r>
          </w:p>
          <w:p w14:paraId="4959DA4C" w14:textId="77777777" w:rsidR="00CB701A" w:rsidRDefault="00CB701A" w:rsidP="00A12BD3">
            <w:pPr>
              <w:spacing w:after="0"/>
            </w:pPr>
            <w:r>
              <w:t>Article 85</w:t>
            </w:r>
          </w:p>
          <w:p w14:paraId="1718650A" w14:textId="77777777" w:rsidR="00CB701A" w:rsidRDefault="00CB701A" w:rsidP="00A12BD3">
            <w:pPr>
              <w:spacing w:after="0"/>
            </w:pPr>
            <w:r>
              <w:t>Annex III</w:t>
            </w:r>
          </w:p>
          <w:p w14:paraId="0974FB97" w14:textId="77777777" w:rsidR="00CB701A" w:rsidRPr="009E2513" w:rsidRDefault="00CB701A" w:rsidP="00A12BD3">
            <w:pPr>
              <w:spacing w:after="0"/>
            </w:pPr>
            <w:r>
              <w:t>Annex XIV (B)</w:t>
            </w:r>
          </w:p>
          <w:p w14:paraId="1837E77A" w14:textId="77777777" w:rsidR="000F32AD" w:rsidRDefault="000F32AD" w:rsidP="00A12BD3">
            <w:pPr>
              <w:spacing w:after="0"/>
            </w:pPr>
          </w:p>
          <w:p w14:paraId="433BF4D0" w14:textId="16A021A8" w:rsidR="00CB701A" w:rsidRDefault="00CB701A" w:rsidP="00A12BD3">
            <w:pPr>
              <w:spacing w:after="0"/>
            </w:pPr>
            <w:r>
              <w:t>Periodic safety update report</w:t>
            </w:r>
          </w:p>
          <w:p w14:paraId="6E2B9C83" w14:textId="77777777" w:rsidR="00CB701A" w:rsidRDefault="00CB701A" w:rsidP="00A12BD3">
            <w:pPr>
              <w:spacing w:after="0"/>
            </w:pPr>
            <w:r>
              <w:t>Article 86</w:t>
            </w:r>
          </w:p>
          <w:p w14:paraId="1A203C56" w14:textId="77777777" w:rsidR="00CB701A" w:rsidRDefault="00CB701A" w:rsidP="00A12BD3">
            <w:pPr>
              <w:spacing w:after="0"/>
            </w:pPr>
            <w:r>
              <w:t>Annex III</w:t>
            </w:r>
          </w:p>
          <w:p w14:paraId="30CD7567" w14:textId="77777777" w:rsidR="000F32AD" w:rsidRDefault="000F32AD" w:rsidP="00A12BD3">
            <w:pPr>
              <w:spacing w:after="0"/>
            </w:pPr>
          </w:p>
          <w:p w14:paraId="61B774B3" w14:textId="33B7E4B3" w:rsidR="00CB701A" w:rsidRDefault="00CB701A" w:rsidP="00A12BD3">
            <w:pPr>
              <w:spacing w:after="0"/>
            </w:pPr>
            <w:r>
              <w:t>Vigilance reporting</w:t>
            </w:r>
          </w:p>
          <w:p w14:paraId="6FE76C6B" w14:textId="5604DF7A" w:rsidR="00CB701A" w:rsidRPr="009E2513" w:rsidRDefault="00CB701A" w:rsidP="00A12BD3">
            <w:pPr>
              <w:spacing w:after="0"/>
            </w:pPr>
            <w:r>
              <w:t>Chapter VII (Section 2)</w:t>
            </w:r>
          </w:p>
        </w:tc>
      </w:tr>
      <w:tr w:rsidR="00CB701A" w:rsidRPr="007E736D" w14:paraId="11284369" w14:textId="11DC6783" w:rsidTr="00506CF3">
        <w:trPr>
          <w:trHeight w:val="253"/>
        </w:trPr>
        <w:tc>
          <w:tcPr>
            <w:tcW w:w="756" w:type="pct"/>
            <w:hideMark/>
          </w:tcPr>
          <w:p w14:paraId="31D073AF" w14:textId="22667B03" w:rsidR="00CB701A" w:rsidRPr="007E736D" w:rsidRDefault="00CB701A" w:rsidP="00A12BD3">
            <w:pPr>
              <w:spacing w:after="0"/>
            </w:pPr>
            <w:r w:rsidRPr="007E736D">
              <w:t xml:space="preserve">Ongoing data collection to show value of the DHT </w:t>
            </w:r>
          </w:p>
        </w:tc>
        <w:tc>
          <w:tcPr>
            <w:tcW w:w="1486" w:type="pct"/>
          </w:tcPr>
          <w:p w14:paraId="6EF892BB" w14:textId="5866D2EE" w:rsidR="00CB701A" w:rsidRDefault="00CB701A" w:rsidP="00A12BD3">
            <w:pPr>
              <w:spacing w:after="0"/>
            </w:pPr>
            <w:r w:rsidRPr="007E736D">
              <w:t>Commitment to ongoing data collection to show user outcomes (if relevant) or user satisfaction (using non-patient identifiable information) to show ongoing value</w:t>
            </w:r>
          </w:p>
        </w:tc>
        <w:tc>
          <w:tcPr>
            <w:tcW w:w="1198" w:type="pct"/>
          </w:tcPr>
          <w:p w14:paraId="24F2C97B" w14:textId="1904C37F" w:rsidR="00CB701A" w:rsidRPr="007E736D" w:rsidRDefault="00CB701A" w:rsidP="00A12BD3">
            <w:pPr>
              <w:spacing w:after="0"/>
            </w:pPr>
            <w:r>
              <w:t>Yes</w:t>
            </w:r>
          </w:p>
        </w:tc>
        <w:tc>
          <w:tcPr>
            <w:tcW w:w="1560" w:type="pct"/>
          </w:tcPr>
          <w:p w14:paraId="75BF1C90" w14:textId="77777777" w:rsidR="00CB701A" w:rsidRDefault="00CB701A" w:rsidP="00A12BD3">
            <w:pPr>
              <w:spacing w:after="0"/>
            </w:pPr>
            <w:r w:rsidRPr="009E2513">
              <w:t xml:space="preserve">Post-market surveillance </w:t>
            </w:r>
            <w:r>
              <w:t>reports</w:t>
            </w:r>
          </w:p>
          <w:p w14:paraId="1DC5617D" w14:textId="77777777" w:rsidR="00CB701A" w:rsidRDefault="00CB701A" w:rsidP="00A12BD3">
            <w:pPr>
              <w:spacing w:after="0"/>
            </w:pPr>
            <w:r>
              <w:t>Article 85</w:t>
            </w:r>
          </w:p>
          <w:p w14:paraId="3839A78A" w14:textId="77777777" w:rsidR="00CB701A" w:rsidRDefault="00CB701A" w:rsidP="00A12BD3">
            <w:pPr>
              <w:spacing w:after="0"/>
            </w:pPr>
            <w:r>
              <w:t>Annex III</w:t>
            </w:r>
          </w:p>
          <w:p w14:paraId="7DE5D8E7" w14:textId="77777777" w:rsidR="00CB701A" w:rsidRPr="009E2513" w:rsidRDefault="00CB701A" w:rsidP="00A12BD3">
            <w:pPr>
              <w:spacing w:after="0"/>
            </w:pPr>
            <w:r>
              <w:t>Annex XIV (B)</w:t>
            </w:r>
          </w:p>
          <w:p w14:paraId="72DF57E7" w14:textId="77777777" w:rsidR="000F32AD" w:rsidRDefault="000F32AD" w:rsidP="00A12BD3">
            <w:pPr>
              <w:spacing w:after="0"/>
            </w:pPr>
          </w:p>
          <w:p w14:paraId="3FB7A9E3" w14:textId="551DCA1B" w:rsidR="00CB701A" w:rsidRPr="009E2513" w:rsidRDefault="00CB701A" w:rsidP="00A12BD3">
            <w:pPr>
              <w:spacing w:after="0"/>
            </w:pPr>
            <w:r>
              <w:t>Periodic safety update report</w:t>
            </w:r>
          </w:p>
          <w:p w14:paraId="03FD40C3" w14:textId="77777777" w:rsidR="00CB701A" w:rsidRDefault="00CB701A" w:rsidP="00A12BD3">
            <w:pPr>
              <w:spacing w:after="0"/>
            </w:pPr>
            <w:r>
              <w:t>Article 86</w:t>
            </w:r>
          </w:p>
          <w:p w14:paraId="4F7BBE91" w14:textId="25AA1D68" w:rsidR="00CB701A" w:rsidRPr="009E2513" w:rsidRDefault="00CB701A" w:rsidP="00A12BD3">
            <w:pPr>
              <w:spacing w:after="0"/>
            </w:pPr>
            <w:r>
              <w:t>Annex III</w:t>
            </w:r>
          </w:p>
        </w:tc>
      </w:tr>
      <w:tr w:rsidR="00CB701A" w:rsidRPr="007E736D" w14:paraId="40F8C33B" w14:textId="69B1FFE0" w:rsidTr="00506CF3">
        <w:trPr>
          <w:trHeight w:val="2044"/>
        </w:trPr>
        <w:tc>
          <w:tcPr>
            <w:tcW w:w="756" w:type="pct"/>
          </w:tcPr>
          <w:p w14:paraId="6ECB725D" w14:textId="601A93C3" w:rsidR="00CB701A" w:rsidRPr="00A85066" w:rsidRDefault="00D2179B" w:rsidP="00A12BD3">
            <w:pPr>
              <w:spacing w:after="0"/>
              <w:rPr>
                <w:highlight w:val="yellow"/>
              </w:rPr>
            </w:pPr>
            <w:r w:rsidRPr="00D2179B">
              <w:lastRenderedPageBreak/>
              <w:t>Ongoing data collection to show value of the DHT</w:t>
            </w:r>
          </w:p>
        </w:tc>
        <w:tc>
          <w:tcPr>
            <w:tcW w:w="1486" w:type="pct"/>
          </w:tcPr>
          <w:p w14:paraId="0DEF49A8" w14:textId="7BB6E646" w:rsidR="00CB701A" w:rsidRPr="00510318" w:rsidRDefault="00CB701A" w:rsidP="00A12BD3">
            <w:pPr>
              <w:spacing w:after="0"/>
            </w:pPr>
            <w:r w:rsidRPr="00510318">
              <w:t>Commitment to share, when available, user outcomes (if relevant) or user satisfaction (using non-patient identifiable information), with relevant decision-makers such as commissioners in a clear and useful format</w:t>
            </w:r>
          </w:p>
        </w:tc>
        <w:tc>
          <w:tcPr>
            <w:tcW w:w="1198" w:type="pct"/>
          </w:tcPr>
          <w:p w14:paraId="1616A8E4" w14:textId="77777777" w:rsidR="00CB701A" w:rsidRPr="00510318" w:rsidRDefault="00CB701A" w:rsidP="00A12BD3">
            <w:pPr>
              <w:spacing w:after="0"/>
            </w:pPr>
            <w:r w:rsidRPr="00510318">
              <w:t>No</w:t>
            </w:r>
          </w:p>
          <w:p w14:paraId="2FE96CDA" w14:textId="32AD0843" w:rsidR="00CB701A" w:rsidRPr="00510318" w:rsidRDefault="00CB701A" w:rsidP="00A12BD3">
            <w:pPr>
              <w:spacing w:after="0"/>
            </w:pPr>
            <w:r w:rsidRPr="00510318">
              <w:t xml:space="preserve">While </w:t>
            </w:r>
            <w:r>
              <w:t>there</w:t>
            </w:r>
            <w:r w:rsidRPr="00510318">
              <w:t xml:space="preserve"> is a requirement for ongoing data collection, it is not a requirement to report this to commissioners</w:t>
            </w:r>
            <w:r>
              <w:t xml:space="preserve"> unless triggering specific vigilance reports</w:t>
            </w:r>
          </w:p>
        </w:tc>
        <w:tc>
          <w:tcPr>
            <w:tcW w:w="1560" w:type="pct"/>
          </w:tcPr>
          <w:p w14:paraId="0167F0E7" w14:textId="77777777" w:rsidR="00CB701A" w:rsidRDefault="00CB701A" w:rsidP="00A12BD3">
            <w:pPr>
              <w:spacing w:after="0"/>
            </w:pPr>
            <w:r w:rsidRPr="009E2513">
              <w:t xml:space="preserve">Post-market surveillance </w:t>
            </w:r>
            <w:r>
              <w:t>reports</w:t>
            </w:r>
          </w:p>
          <w:p w14:paraId="3EF1F24D" w14:textId="77777777" w:rsidR="00CB701A" w:rsidRDefault="00CB701A" w:rsidP="00A12BD3">
            <w:pPr>
              <w:spacing w:after="0"/>
            </w:pPr>
            <w:r>
              <w:t>Article 85</w:t>
            </w:r>
          </w:p>
          <w:p w14:paraId="62E9560D" w14:textId="77777777" w:rsidR="00CB701A" w:rsidRDefault="00CB701A" w:rsidP="00A12BD3">
            <w:pPr>
              <w:spacing w:after="0"/>
            </w:pPr>
            <w:r>
              <w:t>Annex III</w:t>
            </w:r>
          </w:p>
          <w:p w14:paraId="52C241ED" w14:textId="77777777" w:rsidR="00CB701A" w:rsidRPr="00510318" w:rsidRDefault="00CB701A" w:rsidP="00A12BD3">
            <w:pPr>
              <w:spacing w:after="0"/>
            </w:pPr>
            <w:r>
              <w:t>Annex XIV (B)</w:t>
            </w:r>
          </w:p>
          <w:p w14:paraId="52E3A3DB" w14:textId="77777777" w:rsidR="007F7840" w:rsidRDefault="007F7840" w:rsidP="00A12BD3">
            <w:pPr>
              <w:spacing w:after="0"/>
            </w:pPr>
          </w:p>
          <w:p w14:paraId="0B916C31" w14:textId="73EFD5A2" w:rsidR="00CB701A" w:rsidRDefault="00CB701A" w:rsidP="00A12BD3">
            <w:pPr>
              <w:spacing w:after="0"/>
            </w:pPr>
            <w:r>
              <w:t>Periodic safety update report</w:t>
            </w:r>
          </w:p>
          <w:p w14:paraId="64F055F6" w14:textId="77777777" w:rsidR="00CB701A" w:rsidRDefault="00CB701A" w:rsidP="00A12BD3">
            <w:pPr>
              <w:spacing w:after="0"/>
            </w:pPr>
            <w:r>
              <w:t>Article 86</w:t>
            </w:r>
          </w:p>
          <w:p w14:paraId="731EB29E" w14:textId="77777777" w:rsidR="00CB701A" w:rsidRPr="00510318" w:rsidRDefault="00CB701A" w:rsidP="00A12BD3">
            <w:pPr>
              <w:spacing w:after="0"/>
            </w:pPr>
            <w:r>
              <w:t>Annex III</w:t>
            </w:r>
          </w:p>
          <w:p w14:paraId="06B38BDD" w14:textId="77777777" w:rsidR="007F7840" w:rsidRDefault="007F7840" w:rsidP="00A12BD3">
            <w:pPr>
              <w:spacing w:after="0"/>
            </w:pPr>
          </w:p>
          <w:p w14:paraId="7BB73D4C" w14:textId="0211FA14" w:rsidR="00CB701A" w:rsidRDefault="00CB701A" w:rsidP="00A12BD3">
            <w:pPr>
              <w:spacing w:after="0"/>
            </w:pPr>
            <w:r>
              <w:t>Vigilance reporting</w:t>
            </w:r>
          </w:p>
          <w:p w14:paraId="6CB22032" w14:textId="3FB78E03" w:rsidR="00CB701A" w:rsidRPr="00510318" w:rsidRDefault="00CB701A" w:rsidP="00A12BD3">
            <w:pPr>
              <w:spacing w:after="0"/>
            </w:pPr>
            <w:r>
              <w:t>Chapter VII (Section 2)</w:t>
            </w:r>
          </w:p>
        </w:tc>
      </w:tr>
      <w:tr w:rsidR="00CB701A" w:rsidRPr="007E736D" w14:paraId="3E6C257B" w14:textId="088A069E" w:rsidTr="00506CF3">
        <w:trPr>
          <w:trHeight w:val="1361"/>
        </w:trPr>
        <w:tc>
          <w:tcPr>
            <w:tcW w:w="756" w:type="pct"/>
            <w:tcBorders>
              <w:bottom w:val="single" w:sz="4" w:space="0" w:color="auto"/>
            </w:tcBorders>
            <w:hideMark/>
          </w:tcPr>
          <w:p w14:paraId="5E5AF048" w14:textId="0AE50E3B" w:rsidR="00CB701A" w:rsidRPr="007E736D" w:rsidRDefault="00CB701A" w:rsidP="00A12BD3">
            <w:pPr>
              <w:spacing w:after="0"/>
            </w:pPr>
            <w:r w:rsidRPr="007E736D">
              <w:t>Q</w:t>
            </w:r>
            <w:r>
              <w:t>uality and safeguarding</w:t>
            </w:r>
          </w:p>
        </w:tc>
        <w:tc>
          <w:tcPr>
            <w:tcW w:w="1486" w:type="pct"/>
          </w:tcPr>
          <w:p w14:paraId="6A0EC315" w14:textId="497D8A01" w:rsidR="00CB701A" w:rsidRDefault="00CB701A" w:rsidP="00A12BD3">
            <w:pPr>
              <w:spacing w:after="0"/>
            </w:pPr>
            <w:r w:rsidRPr="007E736D">
              <w:t>Show that appropriate safeguarding measures are in place around peer-support and other communication</w:t>
            </w:r>
            <w:r>
              <w:t xml:space="preserve"> functions within the platform</w:t>
            </w:r>
          </w:p>
        </w:tc>
        <w:tc>
          <w:tcPr>
            <w:tcW w:w="1198" w:type="pct"/>
            <w:tcBorders>
              <w:bottom w:val="single" w:sz="4" w:space="0" w:color="auto"/>
            </w:tcBorders>
          </w:tcPr>
          <w:p w14:paraId="61C0D9B0" w14:textId="5AAE415F" w:rsidR="00CB701A" w:rsidRPr="007E736D" w:rsidRDefault="00CB701A" w:rsidP="00A12BD3">
            <w:pPr>
              <w:spacing w:after="0"/>
            </w:pPr>
            <w:r>
              <w:t>Yes</w:t>
            </w:r>
          </w:p>
        </w:tc>
        <w:tc>
          <w:tcPr>
            <w:tcW w:w="1560" w:type="pct"/>
            <w:tcBorders>
              <w:bottom w:val="single" w:sz="4" w:space="0" w:color="auto"/>
            </w:tcBorders>
          </w:tcPr>
          <w:p w14:paraId="1D458880" w14:textId="77777777" w:rsidR="00CB701A" w:rsidRDefault="00CB701A" w:rsidP="00A12BD3">
            <w:pPr>
              <w:spacing w:after="0"/>
            </w:pPr>
            <w:r>
              <w:t>General safety and performance requirements</w:t>
            </w:r>
          </w:p>
          <w:p w14:paraId="4535859C" w14:textId="08027C01" w:rsidR="00CB701A" w:rsidRDefault="00CB701A" w:rsidP="00A12BD3">
            <w:pPr>
              <w:spacing w:after="0"/>
              <w:rPr>
                <w:color w:val="auto"/>
              </w:rPr>
            </w:pPr>
            <w:r>
              <w:rPr>
                <w:color w:val="auto"/>
              </w:rPr>
              <w:t>Annex I</w:t>
            </w:r>
          </w:p>
          <w:p w14:paraId="625BEA2F" w14:textId="77777777" w:rsidR="00932E3B" w:rsidRDefault="00932E3B" w:rsidP="00A12BD3">
            <w:pPr>
              <w:spacing w:after="0"/>
              <w:rPr>
                <w:color w:val="auto"/>
              </w:rPr>
            </w:pPr>
          </w:p>
          <w:p w14:paraId="043C3981" w14:textId="77777777" w:rsidR="00932E3B" w:rsidRDefault="00932E3B" w:rsidP="00932E3B">
            <w:pPr>
              <w:spacing w:after="0"/>
            </w:pPr>
            <w:r>
              <w:t>Vigilance reporting</w:t>
            </w:r>
          </w:p>
          <w:p w14:paraId="322C96D1" w14:textId="5107DCA2" w:rsidR="00CB701A" w:rsidRPr="00932E3B" w:rsidRDefault="00932E3B" w:rsidP="00A12BD3">
            <w:pPr>
              <w:spacing w:after="0"/>
              <w:rPr>
                <w:color w:val="auto"/>
              </w:rPr>
            </w:pPr>
            <w:r>
              <w:t>Chapter VII (Section 2)</w:t>
            </w:r>
          </w:p>
        </w:tc>
      </w:tr>
      <w:tr w:rsidR="00E7061C" w:rsidRPr="007E736D" w14:paraId="0B5940CF" w14:textId="77777777" w:rsidTr="00506CF3">
        <w:trPr>
          <w:trHeight w:val="1020"/>
        </w:trPr>
        <w:tc>
          <w:tcPr>
            <w:tcW w:w="756" w:type="pct"/>
            <w:tcBorders>
              <w:bottom w:val="single" w:sz="4" w:space="0" w:color="auto"/>
            </w:tcBorders>
          </w:tcPr>
          <w:p w14:paraId="646884FF" w14:textId="6A77C7CB" w:rsidR="00E7061C" w:rsidRPr="007E736D" w:rsidRDefault="00E7061C" w:rsidP="00E7061C">
            <w:pPr>
              <w:spacing w:after="0"/>
            </w:pPr>
            <w:r w:rsidRPr="007E736D">
              <w:t>Q</w:t>
            </w:r>
            <w:r>
              <w:t>uality and safeguarding</w:t>
            </w:r>
          </w:p>
        </w:tc>
        <w:tc>
          <w:tcPr>
            <w:tcW w:w="1486" w:type="pct"/>
          </w:tcPr>
          <w:p w14:paraId="18C30FDE" w14:textId="70241A55" w:rsidR="00E7061C" w:rsidRPr="007E736D" w:rsidRDefault="00E7061C" w:rsidP="00E7061C">
            <w:pPr>
              <w:spacing w:after="0"/>
            </w:pPr>
            <w:r w:rsidRPr="007E736D">
              <w:t xml:space="preserve">Describe who has access to the platform and their roles within the platform. </w:t>
            </w:r>
            <w:r w:rsidR="00932E3B" w:rsidRPr="007E736D">
              <w:t>Describe why these people or groups are suitable and qualified to have access</w:t>
            </w:r>
          </w:p>
        </w:tc>
        <w:tc>
          <w:tcPr>
            <w:tcW w:w="1198" w:type="pct"/>
            <w:tcBorders>
              <w:bottom w:val="single" w:sz="4" w:space="0" w:color="auto"/>
            </w:tcBorders>
          </w:tcPr>
          <w:p w14:paraId="0E447A57" w14:textId="2D8E8455" w:rsidR="00E7061C" w:rsidRDefault="00E7061C" w:rsidP="00E7061C">
            <w:pPr>
              <w:spacing w:after="0"/>
            </w:pPr>
            <w:r>
              <w:t>Yes</w:t>
            </w:r>
          </w:p>
        </w:tc>
        <w:tc>
          <w:tcPr>
            <w:tcW w:w="1560" w:type="pct"/>
            <w:tcBorders>
              <w:bottom w:val="single" w:sz="4" w:space="0" w:color="auto"/>
            </w:tcBorders>
          </w:tcPr>
          <w:p w14:paraId="0D6CF07E" w14:textId="77777777" w:rsidR="00932E3B" w:rsidRDefault="00932E3B" w:rsidP="00932E3B">
            <w:pPr>
              <w:spacing w:after="0"/>
            </w:pPr>
            <w:r>
              <w:t>Risk management</w:t>
            </w:r>
          </w:p>
          <w:p w14:paraId="2752D510" w14:textId="77777777" w:rsidR="00932E3B" w:rsidRDefault="00932E3B" w:rsidP="00932E3B">
            <w:pPr>
              <w:spacing w:after="0"/>
              <w:rPr>
                <w:color w:val="auto"/>
              </w:rPr>
            </w:pPr>
            <w:r>
              <w:rPr>
                <w:color w:val="auto"/>
              </w:rPr>
              <w:t>Annex I (3)</w:t>
            </w:r>
          </w:p>
          <w:p w14:paraId="7416020A" w14:textId="75B833C3" w:rsidR="00E7061C" w:rsidRDefault="00E7061C" w:rsidP="00932E3B">
            <w:pPr>
              <w:spacing w:after="0"/>
            </w:pPr>
          </w:p>
        </w:tc>
      </w:tr>
      <w:tr w:rsidR="00E7061C" w:rsidRPr="007E736D" w14:paraId="67A6B67B" w14:textId="77777777" w:rsidTr="00506CF3">
        <w:trPr>
          <w:trHeight w:val="1026"/>
        </w:trPr>
        <w:tc>
          <w:tcPr>
            <w:tcW w:w="756" w:type="pct"/>
            <w:tcBorders>
              <w:bottom w:val="single" w:sz="4" w:space="0" w:color="auto"/>
            </w:tcBorders>
          </w:tcPr>
          <w:p w14:paraId="37A46677" w14:textId="5496E259" w:rsidR="00E7061C" w:rsidRPr="007E736D" w:rsidRDefault="00E7061C" w:rsidP="00E7061C">
            <w:pPr>
              <w:spacing w:after="0"/>
            </w:pPr>
            <w:r w:rsidRPr="007E736D">
              <w:t>Q</w:t>
            </w:r>
            <w:r>
              <w:t>uality and safeguarding</w:t>
            </w:r>
          </w:p>
        </w:tc>
        <w:tc>
          <w:tcPr>
            <w:tcW w:w="1486" w:type="pct"/>
          </w:tcPr>
          <w:p w14:paraId="38FBC098" w14:textId="34132425" w:rsidR="00E7061C" w:rsidRPr="007E736D" w:rsidRDefault="00E7061C" w:rsidP="00E7061C">
            <w:pPr>
              <w:spacing w:after="0"/>
            </w:pPr>
            <w:r w:rsidRPr="007E736D">
              <w:t>Describe any measures in place to ensure safety in peer-to-peer communication, for example through user agreements or moderation</w:t>
            </w:r>
          </w:p>
        </w:tc>
        <w:tc>
          <w:tcPr>
            <w:tcW w:w="1198" w:type="pct"/>
            <w:tcBorders>
              <w:bottom w:val="single" w:sz="4" w:space="0" w:color="auto"/>
            </w:tcBorders>
          </w:tcPr>
          <w:p w14:paraId="2D184722" w14:textId="7C5EF7E9" w:rsidR="00E7061C" w:rsidRDefault="00E7061C" w:rsidP="00E7061C">
            <w:pPr>
              <w:spacing w:after="0"/>
            </w:pPr>
            <w:r w:rsidRPr="00E7061C">
              <w:t>Yes</w:t>
            </w:r>
          </w:p>
        </w:tc>
        <w:tc>
          <w:tcPr>
            <w:tcW w:w="1560" w:type="pct"/>
            <w:tcBorders>
              <w:bottom w:val="single" w:sz="4" w:space="0" w:color="auto"/>
            </w:tcBorders>
          </w:tcPr>
          <w:p w14:paraId="2B10824D" w14:textId="77777777" w:rsidR="00E7061C" w:rsidRDefault="00E7061C" w:rsidP="00E7061C">
            <w:pPr>
              <w:spacing w:after="0"/>
            </w:pPr>
            <w:r w:rsidRPr="009E2513">
              <w:t xml:space="preserve">Post-market surveillance </w:t>
            </w:r>
            <w:r>
              <w:t>reports</w:t>
            </w:r>
          </w:p>
          <w:p w14:paraId="33638756" w14:textId="77777777" w:rsidR="00E7061C" w:rsidRDefault="00E7061C" w:rsidP="00E7061C">
            <w:pPr>
              <w:spacing w:after="0"/>
            </w:pPr>
            <w:r>
              <w:t>Article 85</w:t>
            </w:r>
          </w:p>
          <w:p w14:paraId="0C4BAD09" w14:textId="77777777" w:rsidR="00E7061C" w:rsidRDefault="00E7061C" w:rsidP="00E7061C">
            <w:pPr>
              <w:spacing w:after="0"/>
            </w:pPr>
            <w:r>
              <w:t>Annex III</w:t>
            </w:r>
          </w:p>
          <w:p w14:paraId="176DBADF" w14:textId="4E39EDFD" w:rsidR="00E7061C" w:rsidRDefault="00E7061C" w:rsidP="00E7061C">
            <w:pPr>
              <w:spacing w:after="0"/>
            </w:pPr>
            <w:r>
              <w:t>Annex XIV (B)</w:t>
            </w:r>
          </w:p>
        </w:tc>
      </w:tr>
      <w:tr w:rsidR="00E7061C" w:rsidRPr="008B3A88" w14:paraId="2BC46AB2" w14:textId="77777777" w:rsidTr="00506CF3">
        <w:trPr>
          <w:trHeight w:val="1022"/>
        </w:trPr>
        <w:tc>
          <w:tcPr>
            <w:tcW w:w="756" w:type="pct"/>
            <w:hideMark/>
          </w:tcPr>
          <w:p w14:paraId="01D4A4B8" w14:textId="5375FB62" w:rsidR="00E7061C" w:rsidRPr="007E736D" w:rsidRDefault="00E7061C" w:rsidP="00E7061C">
            <w:pPr>
              <w:spacing w:after="0"/>
            </w:pPr>
            <w:r w:rsidRPr="007E736D">
              <w:t>Credibility with UK healt</w:t>
            </w:r>
            <w:r>
              <w:t>h and social care professionals</w:t>
            </w:r>
          </w:p>
        </w:tc>
        <w:tc>
          <w:tcPr>
            <w:tcW w:w="1486" w:type="pct"/>
          </w:tcPr>
          <w:p w14:paraId="55BFD84C" w14:textId="5D5E5D41" w:rsidR="00E7061C" w:rsidRDefault="00E7061C" w:rsidP="00E7061C">
            <w:pPr>
              <w:spacing w:after="0"/>
            </w:pPr>
            <w:r w:rsidRPr="007E736D">
              <w:t>Show that the DHT has a plausible mode of action that is viewed as useful and relevant by professional experts or expert groups in the relevant field</w:t>
            </w:r>
          </w:p>
        </w:tc>
        <w:tc>
          <w:tcPr>
            <w:tcW w:w="1198" w:type="pct"/>
          </w:tcPr>
          <w:p w14:paraId="3BD9B0F5" w14:textId="77777777" w:rsidR="00E7061C" w:rsidRDefault="00E7061C" w:rsidP="00E7061C">
            <w:pPr>
              <w:spacing w:after="0"/>
            </w:pPr>
            <w:r>
              <w:t>Not explicitly, but likely to feed into establishing and validating user requirements</w:t>
            </w:r>
          </w:p>
        </w:tc>
        <w:tc>
          <w:tcPr>
            <w:tcW w:w="1560" w:type="pct"/>
          </w:tcPr>
          <w:p w14:paraId="7B5FDD23" w14:textId="77777777" w:rsidR="00E7061C" w:rsidRDefault="00E7061C" w:rsidP="00E7061C">
            <w:pPr>
              <w:spacing w:after="0"/>
            </w:pPr>
            <w:r>
              <w:t xml:space="preserve">Instructions </w:t>
            </w:r>
            <w:r w:rsidRPr="00D27FCC">
              <w:t>for</w:t>
            </w:r>
            <w:r>
              <w:t xml:space="preserve"> use</w:t>
            </w:r>
          </w:p>
          <w:p w14:paraId="66844535" w14:textId="77777777" w:rsidR="00E7061C" w:rsidRPr="006E706A" w:rsidRDefault="00E7061C" w:rsidP="00E7061C">
            <w:pPr>
              <w:spacing w:after="0"/>
              <w:rPr>
                <w:color w:val="auto"/>
              </w:rPr>
            </w:pPr>
            <w:r w:rsidRPr="00C715CF">
              <w:rPr>
                <w:color w:val="auto"/>
              </w:rPr>
              <w:t>Annex I (Chapter III)</w:t>
            </w:r>
          </w:p>
          <w:p w14:paraId="465BA1E6" w14:textId="77777777" w:rsidR="00E7061C" w:rsidRDefault="00E7061C" w:rsidP="00E7061C">
            <w:pPr>
              <w:spacing w:after="0"/>
            </w:pPr>
          </w:p>
          <w:p w14:paraId="27B39495" w14:textId="408195C6" w:rsidR="00E7061C" w:rsidRPr="00074D56" w:rsidRDefault="00E7061C" w:rsidP="00E7061C">
            <w:pPr>
              <w:spacing w:after="0"/>
              <w:rPr>
                <w:color w:val="auto"/>
              </w:rPr>
            </w:pPr>
            <w:r>
              <w:t xml:space="preserve">Validation and </w:t>
            </w:r>
            <w:r w:rsidRPr="009D6431">
              <w:rPr>
                <w:color w:val="auto"/>
              </w:rPr>
              <w:t>verification reports</w:t>
            </w:r>
            <w:r>
              <w:rPr>
                <w:color w:val="auto"/>
              </w:rPr>
              <w:t xml:space="preserve"> </w:t>
            </w:r>
          </w:p>
          <w:p w14:paraId="0186CF1E" w14:textId="2F57DE30" w:rsidR="00E7061C" w:rsidRPr="006E706A" w:rsidRDefault="00E7061C" w:rsidP="00E7061C">
            <w:pPr>
              <w:spacing w:after="0"/>
              <w:rPr>
                <w:color w:val="auto"/>
              </w:rPr>
            </w:pPr>
            <w:r w:rsidRPr="00C715CF">
              <w:rPr>
                <w:color w:val="auto"/>
              </w:rPr>
              <w:t>Annex II (6)</w:t>
            </w:r>
          </w:p>
        </w:tc>
      </w:tr>
      <w:tr w:rsidR="00E7061C" w14:paraId="5322BF1C" w14:textId="77777777" w:rsidTr="00506CF3">
        <w:trPr>
          <w:trHeight w:val="2783"/>
        </w:trPr>
        <w:tc>
          <w:tcPr>
            <w:tcW w:w="756" w:type="pct"/>
          </w:tcPr>
          <w:p w14:paraId="18A55A10" w14:textId="610BC195" w:rsidR="00E7061C" w:rsidRPr="007E736D" w:rsidRDefault="00E7061C" w:rsidP="00E7061C">
            <w:pPr>
              <w:spacing w:after="0"/>
            </w:pPr>
            <w:r w:rsidRPr="007E736D">
              <w:lastRenderedPageBreak/>
              <w:t>Credibility with UK healt</w:t>
            </w:r>
            <w:r>
              <w:t>h and social care professionals</w:t>
            </w:r>
          </w:p>
        </w:tc>
        <w:tc>
          <w:tcPr>
            <w:tcW w:w="1486" w:type="pct"/>
          </w:tcPr>
          <w:p w14:paraId="1A7CE4D8" w14:textId="77777777" w:rsidR="00E7061C" w:rsidRDefault="00E7061C" w:rsidP="00E7061C">
            <w:pPr>
              <w:spacing w:after="0"/>
            </w:pPr>
            <w:r w:rsidRPr="007E736D">
              <w:t xml:space="preserve">Show that relevant clinical or social care professionals working within the UK health and social care system have been involved in the design, development or testing of the DHT </w:t>
            </w:r>
          </w:p>
          <w:p w14:paraId="4463F275" w14:textId="77777777" w:rsidR="00E7061C" w:rsidRDefault="00E7061C" w:rsidP="00E7061C">
            <w:pPr>
              <w:spacing w:after="0"/>
            </w:pPr>
            <w:r w:rsidRPr="007E736D">
              <w:t>or</w:t>
            </w:r>
          </w:p>
          <w:p w14:paraId="495950FD" w14:textId="082C8133" w:rsidR="00E7061C" w:rsidRDefault="00E7061C" w:rsidP="00E7061C">
            <w:pPr>
              <w:spacing w:after="0"/>
            </w:pPr>
            <w:r w:rsidRPr="007E736D">
              <w:t>Show that relevant clinical or social care professionals working within the UK health and social care system have been involved in signing-off the DHT, indicating their</w:t>
            </w:r>
            <w:r>
              <w:t xml:space="preserve"> informed approval of the DHT</w:t>
            </w:r>
          </w:p>
        </w:tc>
        <w:tc>
          <w:tcPr>
            <w:tcW w:w="1198" w:type="pct"/>
          </w:tcPr>
          <w:p w14:paraId="0284D5A0" w14:textId="5DA8E039" w:rsidR="00E7061C" w:rsidRDefault="00E7061C" w:rsidP="00E7061C">
            <w:pPr>
              <w:spacing w:after="0"/>
            </w:pPr>
            <w:r>
              <w:t xml:space="preserve">Although there are no explicit requirements for health and social professional involvement (UK or otherwise), heath or social care professionals are likely to feed into establishing and validating user </w:t>
            </w:r>
            <w:proofErr w:type="gramStart"/>
            <w:r>
              <w:t>requirements</w:t>
            </w:r>
            <w:proofErr w:type="gramEnd"/>
          </w:p>
          <w:p w14:paraId="3D041B30" w14:textId="2E653B4C" w:rsidR="00E7061C" w:rsidRDefault="00E7061C" w:rsidP="00E7061C">
            <w:pPr>
              <w:spacing w:after="0"/>
            </w:pPr>
            <w:r>
              <w:t>Similarly, this would form part of design and development work</w:t>
            </w:r>
          </w:p>
        </w:tc>
        <w:tc>
          <w:tcPr>
            <w:tcW w:w="1560" w:type="pct"/>
          </w:tcPr>
          <w:p w14:paraId="04040BA9" w14:textId="77777777" w:rsidR="00E7061C" w:rsidRDefault="00E7061C" w:rsidP="00E7061C">
            <w:pPr>
              <w:spacing w:after="0"/>
            </w:pPr>
          </w:p>
          <w:p w14:paraId="4E4C6572" w14:textId="445ECDA5" w:rsidR="00E7061C" w:rsidRDefault="00E7061C" w:rsidP="00E7061C">
            <w:pPr>
              <w:spacing w:after="0"/>
            </w:pPr>
            <w:r>
              <w:t>Validation and verification reports</w:t>
            </w:r>
          </w:p>
          <w:p w14:paraId="211EEEF9" w14:textId="77777777" w:rsidR="00E7061C" w:rsidRDefault="00E7061C" w:rsidP="00E7061C">
            <w:pPr>
              <w:spacing w:after="0"/>
              <w:rPr>
                <w:color w:val="auto"/>
              </w:rPr>
            </w:pPr>
            <w:r>
              <w:rPr>
                <w:color w:val="auto"/>
              </w:rPr>
              <w:t>Annex II (6)</w:t>
            </w:r>
          </w:p>
          <w:p w14:paraId="758A098B" w14:textId="77777777" w:rsidR="00E7061C" w:rsidRDefault="00E7061C" w:rsidP="00E7061C">
            <w:pPr>
              <w:spacing w:after="0"/>
            </w:pPr>
          </w:p>
          <w:p w14:paraId="63DC9FE0" w14:textId="2A400845" w:rsidR="00E7061C" w:rsidRDefault="00E7061C" w:rsidP="00E7061C">
            <w:pPr>
              <w:spacing w:after="0"/>
            </w:pPr>
            <w:r>
              <w:t>Clinical investigation/evaluation reports</w:t>
            </w:r>
          </w:p>
          <w:p w14:paraId="21EE4FEF" w14:textId="77777777" w:rsidR="00E7061C" w:rsidRDefault="00E7061C" w:rsidP="00E7061C">
            <w:pPr>
              <w:spacing w:after="0"/>
              <w:rPr>
                <w:color w:val="auto"/>
              </w:rPr>
            </w:pPr>
            <w:r>
              <w:t xml:space="preserve">Annex </w:t>
            </w:r>
            <w:r w:rsidRPr="008B3A88">
              <w:t>XIV</w:t>
            </w:r>
            <w:r>
              <w:t xml:space="preserve"> (A)</w:t>
            </w:r>
          </w:p>
          <w:p w14:paraId="625A9784" w14:textId="77777777" w:rsidR="00E7061C" w:rsidRDefault="00E7061C" w:rsidP="00E7061C">
            <w:pPr>
              <w:spacing w:after="0"/>
            </w:pPr>
          </w:p>
          <w:p w14:paraId="4E7D4B75" w14:textId="4B9D0877" w:rsidR="00E7061C" w:rsidRPr="007E736D" w:rsidRDefault="00E7061C" w:rsidP="00E7061C">
            <w:pPr>
              <w:spacing w:after="0"/>
            </w:pPr>
            <w:r>
              <w:t>Validation and verification reports</w:t>
            </w:r>
          </w:p>
          <w:p w14:paraId="3AC282DA" w14:textId="37C493DB" w:rsidR="00E7061C" w:rsidRDefault="00E7061C" w:rsidP="00E7061C">
            <w:pPr>
              <w:spacing w:after="0"/>
            </w:pPr>
            <w:r>
              <w:rPr>
                <w:color w:val="auto"/>
              </w:rPr>
              <w:t>Annex II (6)</w:t>
            </w:r>
          </w:p>
        </w:tc>
      </w:tr>
      <w:tr w:rsidR="00E7061C" w14:paraId="36F1D759" w14:textId="77777777" w:rsidTr="001C3CA5">
        <w:trPr>
          <w:trHeight w:val="2268"/>
        </w:trPr>
        <w:tc>
          <w:tcPr>
            <w:tcW w:w="756" w:type="pct"/>
            <w:hideMark/>
          </w:tcPr>
          <w:p w14:paraId="656FDB98" w14:textId="77777777" w:rsidR="00E7061C" w:rsidRPr="007E736D" w:rsidRDefault="00E7061C" w:rsidP="00E7061C">
            <w:pPr>
              <w:spacing w:after="0"/>
            </w:pPr>
            <w:r w:rsidRPr="007E736D">
              <w:t>Relevance to current care pathways in the UK</w:t>
            </w:r>
            <w:r>
              <w:t xml:space="preserve"> health and social care system</w:t>
            </w:r>
          </w:p>
        </w:tc>
        <w:tc>
          <w:tcPr>
            <w:tcW w:w="1486" w:type="pct"/>
          </w:tcPr>
          <w:p w14:paraId="0F483263" w14:textId="7CA0AE2B" w:rsidR="00E7061C" w:rsidRDefault="00E7061C" w:rsidP="00E7061C">
            <w:pPr>
              <w:spacing w:after="0"/>
            </w:pPr>
            <w:r w:rsidRPr="007E736D">
              <w:t>Evidence to show that the DHT has been successfully piloted in the UK health and social care system, showing that it is relevant to current care pathways and service provision in the UK</w:t>
            </w:r>
          </w:p>
        </w:tc>
        <w:tc>
          <w:tcPr>
            <w:tcW w:w="1198" w:type="pct"/>
          </w:tcPr>
          <w:p w14:paraId="33FA6EE0" w14:textId="77777777" w:rsidR="00E7061C" w:rsidRDefault="00E7061C" w:rsidP="00E7061C">
            <w:pPr>
              <w:spacing w:after="0"/>
            </w:pPr>
            <w:r>
              <w:t>Yes</w:t>
            </w:r>
          </w:p>
          <w:p w14:paraId="5FC1B41D" w14:textId="297C58E6" w:rsidR="00E7061C" w:rsidRDefault="00E7061C" w:rsidP="00E7061C">
            <w:pPr>
              <w:spacing w:after="0"/>
            </w:pPr>
            <w:r w:rsidRPr="00C7504A">
              <w:t xml:space="preserve">Although there are </w:t>
            </w:r>
            <w:r w:rsidRPr="009856E5">
              <w:t>no explicit requirements for health and social professional involvement (UK or otherwise), heath or social care professional</w:t>
            </w:r>
            <w:r>
              <w:t>s are</w:t>
            </w:r>
            <w:r w:rsidRPr="009856E5">
              <w:t xml:space="preserve"> </w:t>
            </w:r>
            <w:r>
              <w:t>likely to feed into device validation and clinical evaluation</w:t>
            </w:r>
          </w:p>
        </w:tc>
        <w:tc>
          <w:tcPr>
            <w:tcW w:w="1560" w:type="pct"/>
          </w:tcPr>
          <w:p w14:paraId="331BADC0" w14:textId="77777777" w:rsidR="00E7061C" w:rsidRPr="007E736D" w:rsidRDefault="00E7061C" w:rsidP="00E7061C">
            <w:pPr>
              <w:spacing w:after="0"/>
            </w:pPr>
            <w:r>
              <w:t>General safety and performance requirements</w:t>
            </w:r>
          </w:p>
          <w:p w14:paraId="6802ACC3" w14:textId="49AAA8D4" w:rsidR="00E7061C" w:rsidRDefault="00E7061C" w:rsidP="00E7061C">
            <w:pPr>
              <w:spacing w:after="0"/>
            </w:pPr>
            <w:r>
              <w:rPr>
                <w:color w:val="auto"/>
              </w:rPr>
              <w:t>Annex I</w:t>
            </w:r>
          </w:p>
          <w:p w14:paraId="1691EF5A" w14:textId="77777777" w:rsidR="00E7061C" w:rsidRDefault="00E7061C" w:rsidP="00E7061C">
            <w:pPr>
              <w:spacing w:after="0"/>
            </w:pPr>
          </w:p>
          <w:p w14:paraId="47E56555" w14:textId="48739E6F" w:rsidR="00E7061C" w:rsidRDefault="00E7061C" w:rsidP="00E7061C">
            <w:pPr>
              <w:spacing w:after="0"/>
            </w:pPr>
            <w:r>
              <w:t>Validation and verification reports</w:t>
            </w:r>
          </w:p>
          <w:p w14:paraId="466D4BC4" w14:textId="77777777" w:rsidR="00E7061C" w:rsidRDefault="00E7061C" w:rsidP="00E7061C">
            <w:pPr>
              <w:spacing w:after="0"/>
              <w:rPr>
                <w:color w:val="auto"/>
              </w:rPr>
            </w:pPr>
            <w:r>
              <w:rPr>
                <w:color w:val="auto"/>
              </w:rPr>
              <w:t>Annex II (6)</w:t>
            </w:r>
          </w:p>
          <w:p w14:paraId="2216EE9C" w14:textId="77777777" w:rsidR="00E7061C" w:rsidRDefault="00E7061C" w:rsidP="00E7061C">
            <w:pPr>
              <w:spacing w:after="0"/>
            </w:pPr>
          </w:p>
          <w:p w14:paraId="6A006888" w14:textId="7798202A" w:rsidR="00E7061C" w:rsidRDefault="00E7061C" w:rsidP="00E7061C">
            <w:pPr>
              <w:spacing w:after="0"/>
            </w:pPr>
            <w:r>
              <w:t>Clinical investigation/evaluation reports</w:t>
            </w:r>
          </w:p>
          <w:p w14:paraId="58F7D6A2" w14:textId="2CB70A71" w:rsidR="00E7061C" w:rsidRDefault="00E7061C" w:rsidP="00E7061C">
            <w:pPr>
              <w:spacing w:after="0"/>
            </w:pPr>
            <w:r>
              <w:t xml:space="preserve">Annex </w:t>
            </w:r>
            <w:r w:rsidRPr="008B3A88">
              <w:t>XIV</w:t>
            </w:r>
            <w:r>
              <w:t xml:space="preserve"> (A)</w:t>
            </w:r>
          </w:p>
        </w:tc>
      </w:tr>
      <w:tr w:rsidR="00E7061C" w14:paraId="45D04B8C" w14:textId="77777777" w:rsidTr="00506CF3">
        <w:trPr>
          <w:trHeight w:val="3066"/>
        </w:trPr>
        <w:tc>
          <w:tcPr>
            <w:tcW w:w="756" w:type="pct"/>
          </w:tcPr>
          <w:p w14:paraId="6D336FEC" w14:textId="11182101" w:rsidR="00E7061C" w:rsidRPr="007E736D" w:rsidRDefault="00E7061C" w:rsidP="00E7061C">
            <w:pPr>
              <w:spacing w:after="0"/>
            </w:pPr>
            <w:r w:rsidRPr="006152F2">
              <w:t>Relevance to current care pathways in the UK health and social care system</w:t>
            </w:r>
          </w:p>
        </w:tc>
        <w:tc>
          <w:tcPr>
            <w:tcW w:w="1486" w:type="pct"/>
          </w:tcPr>
          <w:p w14:paraId="69599C08" w14:textId="206D5DBB" w:rsidR="00E7061C" w:rsidRDefault="00E7061C" w:rsidP="00E7061C">
            <w:pPr>
              <w:spacing w:after="0"/>
            </w:pPr>
            <w:r w:rsidRPr="007E736D">
              <w:t xml:space="preserve">Evidence that the DHT </w:t>
            </w:r>
            <w:proofErr w:type="gramStart"/>
            <w:r w:rsidRPr="007E736D">
              <w:t>is able to</w:t>
            </w:r>
            <w:proofErr w:type="gramEnd"/>
            <w:r w:rsidRPr="007E736D">
              <w:t xml:space="preserve"> perform its intended function to the scale needed (for example, having servers that can scale to manage the expected number of users)</w:t>
            </w:r>
          </w:p>
        </w:tc>
        <w:tc>
          <w:tcPr>
            <w:tcW w:w="1198" w:type="pct"/>
          </w:tcPr>
          <w:p w14:paraId="2DC3BCF1" w14:textId="77777777" w:rsidR="00E7061C" w:rsidRDefault="00E7061C" w:rsidP="00E7061C">
            <w:pPr>
              <w:spacing w:after="0"/>
            </w:pPr>
            <w:r>
              <w:t>Yes</w:t>
            </w:r>
          </w:p>
          <w:p w14:paraId="493441D1" w14:textId="77777777" w:rsidR="00E7061C" w:rsidRDefault="00E7061C" w:rsidP="00E7061C">
            <w:pPr>
              <w:spacing w:after="0"/>
            </w:pPr>
            <w:r>
              <w:t>Devices must meet the relevant safety and performance requirements</w:t>
            </w:r>
          </w:p>
        </w:tc>
        <w:tc>
          <w:tcPr>
            <w:tcW w:w="1560" w:type="pct"/>
          </w:tcPr>
          <w:p w14:paraId="40829BCF" w14:textId="77777777" w:rsidR="00E7061C" w:rsidRPr="007E736D" w:rsidRDefault="00E7061C" w:rsidP="00E7061C">
            <w:pPr>
              <w:spacing w:after="0"/>
            </w:pPr>
            <w:r>
              <w:t>General safety and performance requirements - General requirements</w:t>
            </w:r>
          </w:p>
          <w:p w14:paraId="15739AB0" w14:textId="2493431E" w:rsidR="00E7061C" w:rsidRDefault="00E7061C" w:rsidP="00E7061C">
            <w:pPr>
              <w:spacing w:after="0"/>
              <w:rPr>
                <w:color w:val="auto"/>
              </w:rPr>
            </w:pPr>
            <w:r>
              <w:rPr>
                <w:color w:val="auto"/>
              </w:rPr>
              <w:t>Annex I (Chapter I)</w:t>
            </w:r>
          </w:p>
          <w:p w14:paraId="0F02184C" w14:textId="77777777" w:rsidR="00E7061C" w:rsidRDefault="00E7061C" w:rsidP="00E7061C">
            <w:pPr>
              <w:spacing w:after="0"/>
              <w:rPr>
                <w:color w:val="auto"/>
              </w:rPr>
            </w:pPr>
          </w:p>
          <w:p w14:paraId="6DA019BB" w14:textId="77777777" w:rsidR="00E7061C" w:rsidRDefault="00E7061C" w:rsidP="00E7061C">
            <w:pPr>
              <w:spacing w:after="0"/>
            </w:pPr>
            <w:r>
              <w:t>Validation and verification reports</w:t>
            </w:r>
          </w:p>
          <w:p w14:paraId="32080A5A" w14:textId="77777777" w:rsidR="00E7061C" w:rsidRDefault="00E7061C" w:rsidP="00E7061C">
            <w:pPr>
              <w:spacing w:after="0"/>
              <w:rPr>
                <w:color w:val="auto"/>
              </w:rPr>
            </w:pPr>
            <w:r>
              <w:rPr>
                <w:color w:val="auto"/>
              </w:rPr>
              <w:t>Annex II (6)</w:t>
            </w:r>
          </w:p>
          <w:p w14:paraId="1843C9CE" w14:textId="77777777" w:rsidR="00E7061C" w:rsidRDefault="00E7061C" w:rsidP="00E7061C">
            <w:pPr>
              <w:spacing w:after="0"/>
            </w:pPr>
          </w:p>
          <w:p w14:paraId="7981FC6D" w14:textId="64CC9A2E" w:rsidR="00E7061C" w:rsidRDefault="00E7061C" w:rsidP="00E7061C">
            <w:pPr>
              <w:spacing w:after="0"/>
            </w:pPr>
            <w:r>
              <w:t>Clinical investigation/evaluation reports</w:t>
            </w:r>
          </w:p>
          <w:p w14:paraId="0ABDEAB8" w14:textId="77777777" w:rsidR="00E7061C" w:rsidRDefault="00E7061C" w:rsidP="00E7061C">
            <w:pPr>
              <w:spacing w:after="0"/>
            </w:pPr>
            <w:r>
              <w:t xml:space="preserve">Annex </w:t>
            </w:r>
            <w:r w:rsidRPr="008B3A88">
              <w:t>XIV</w:t>
            </w:r>
            <w:r>
              <w:t xml:space="preserve"> (A)</w:t>
            </w:r>
          </w:p>
          <w:p w14:paraId="32E257E8" w14:textId="77777777" w:rsidR="00E7061C" w:rsidRDefault="00E7061C" w:rsidP="00E7061C">
            <w:pPr>
              <w:spacing w:after="0"/>
            </w:pPr>
            <w:r>
              <w:t xml:space="preserve">Annex XV </w:t>
            </w:r>
          </w:p>
          <w:p w14:paraId="0136A9BD" w14:textId="77777777" w:rsidR="00E7061C" w:rsidRDefault="00E7061C" w:rsidP="00E7061C">
            <w:pPr>
              <w:spacing w:after="0"/>
              <w:rPr>
                <w:color w:val="auto"/>
              </w:rPr>
            </w:pPr>
          </w:p>
          <w:p w14:paraId="30532890" w14:textId="7BA1974F" w:rsidR="00E7061C" w:rsidRDefault="00E7061C" w:rsidP="00E7061C">
            <w:pPr>
              <w:spacing w:after="0"/>
            </w:pPr>
            <w:r w:rsidRPr="00D74E62">
              <w:rPr>
                <w:color w:val="auto"/>
              </w:rPr>
              <w:t>Post-market surveillance</w:t>
            </w:r>
            <w:r>
              <w:rPr>
                <w:color w:val="auto"/>
              </w:rPr>
              <w:t xml:space="preserve"> reports</w:t>
            </w:r>
          </w:p>
          <w:p w14:paraId="0147E885" w14:textId="77777777" w:rsidR="00E7061C" w:rsidRDefault="00E7061C" w:rsidP="00E7061C">
            <w:pPr>
              <w:spacing w:after="0"/>
            </w:pPr>
            <w:r>
              <w:t>Article 85</w:t>
            </w:r>
          </w:p>
          <w:p w14:paraId="3EAFDF61" w14:textId="77777777" w:rsidR="00E7061C" w:rsidRDefault="00E7061C" w:rsidP="00E7061C">
            <w:pPr>
              <w:spacing w:after="0"/>
            </w:pPr>
            <w:r>
              <w:t>Annex III</w:t>
            </w:r>
          </w:p>
          <w:p w14:paraId="5E6AE497" w14:textId="7C195464" w:rsidR="00E7061C" w:rsidRDefault="00E7061C" w:rsidP="00E7061C">
            <w:pPr>
              <w:spacing w:after="0"/>
            </w:pPr>
            <w:r>
              <w:t>Annex XIV (B)</w:t>
            </w:r>
          </w:p>
        </w:tc>
      </w:tr>
      <w:tr w:rsidR="00E7061C" w:rsidRPr="008B3A88" w14:paraId="5615703F" w14:textId="77777777" w:rsidTr="00506CF3">
        <w:trPr>
          <w:trHeight w:val="1275"/>
        </w:trPr>
        <w:tc>
          <w:tcPr>
            <w:tcW w:w="756" w:type="pct"/>
            <w:hideMark/>
          </w:tcPr>
          <w:p w14:paraId="07D90A9F" w14:textId="7039CFE4" w:rsidR="00E7061C" w:rsidRPr="001A2088" w:rsidRDefault="00E7061C" w:rsidP="00E7061C">
            <w:pPr>
              <w:spacing w:after="0"/>
            </w:pPr>
            <w:r w:rsidRPr="001A2088">
              <w:lastRenderedPageBreak/>
              <w:t>Acceptability with users</w:t>
            </w:r>
          </w:p>
        </w:tc>
        <w:tc>
          <w:tcPr>
            <w:tcW w:w="1486" w:type="pct"/>
          </w:tcPr>
          <w:p w14:paraId="2C79220C" w14:textId="1EB18662" w:rsidR="00E7061C" w:rsidRPr="001A2088" w:rsidRDefault="00E7061C" w:rsidP="00E7061C">
            <w:pPr>
              <w:spacing w:after="0"/>
            </w:pPr>
            <w:r w:rsidRPr="001A2088">
              <w:t>Be able to show that representatives from relevant user groups were involved in the design, development or testing of the DHT</w:t>
            </w:r>
          </w:p>
        </w:tc>
        <w:tc>
          <w:tcPr>
            <w:tcW w:w="1198" w:type="pct"/>
          </w:tcPr>
          <w:p w14:paraId="4F834144" w14:textId="7822128D" w:rsidR="00E7061C" w:rsidRPr="001A2088" w:rsidRDefault="00E7061C" w:rsidP="00E7061C">
            <w:pPr>
              <w:spacing w:after="0"/>
            </w:pPr>
            <w:r w:rsidRPr="001A2088">
              <w:t xml:space="preserve">Not an MDR requirement for representation from user groups but must </w:t>
            </w:r>
            <w:proofErr w:type="gramStart"/>
            <w:r>
              <w:t>give consideration to</w:t>
            </w:r>
            <w:proofErr w:type="gramEnd"/>
            <w:r w:rsidRPr="001A2088">
              <w:t xml:space="preserve"> the use environment</w:t>
            </w:r>
          </w:p>
        </w:tc>
        <w:tc>
          <w:tcPr>
            <w:tcW w:w="1560" w:type="pct"/>
          </w:tcPr>
          <w:p w14:paraId="03301632" w14:textId="77777777" w:rsidR="00E7061C" w:rsidRPr="001A2088" w:rsidRDefault="00E7061C" w:rsidP="00E7061C">
            <w:pPr>
              <w:spacing w:after="0"/>
              <w:rPr>
                <w:color w:val="auto"/>
              </w:rPr>
            </w:pPr>
            <w:r w:rsidRPr="001A2088">
              <w:rPr>
                <w:color w:val="auto"/>
              </w:rPr>
              <w:t>General safety and performance requirements</w:t>
            </w:r>
          </w:p>
          <w:p w14:paraId="30A5C114" w14:textId="05F78182" w:rsidR="00E7061C" w:rsidRPr="001A2088" w:rsidRDefault="00E7061C" w:rsidP="00E7061C">
            <w:pPr>
              <w:spacing w:after="0"/>
              <w:rPr>
                <w:color w:val="auto"/>
              </w:rPr>
            </w:pPr>
            <w:r w:rsidRPr="001A2088">
              <w:rPr>
                <w:color w:val="auto"/>
              </w:rPr>
              <w:t xml:space="preserve">Annex </w:t>
            </w:r>
            <w:r>
              <w:rPr>
                <w:color w:val="auto"/>
              </w:rPr>
              <w:t>I</w:t>
            </w:r>
            <w:r w:rsidRPr="001A2088">
              <w:rPr>
                <w:color w:val="auto"/>
              </w:rPr>
              <w:t xml:space="preserve"> (5)</w:t>
            </w:r>
          </w:p>
          <w:p w14:paraId="75816FE7" w14:textId="77777777" w:rsidR="00E7061C" w:rsidRDefault="00E7061C" w:rsidP="00E7061C">
            <w:pPr>
              <w:spacing w:after="0"/>
            </w:pPr>
          </w:p>
          <w:p w14:paraId="66D037F4" w14:textId="291A6AD7" w:rsidR="00E7061C" w:rsidRPr="00D27FCC" w:rsidRDefault="00E7061C" w:rsidP="00E7061C">
            <w:pPr>
              <w:spacing w:after="0"/>
            </w:pPr>
            <w:r w:rsidRPr="00D27FCC">
              <w:t>Validation and verification reports</w:t>
            </w:r>
          </w:p>
          <w:p w14:paraId="61ECD788" w14:textId="5CFF89E5" w:rsidR="00E7061C" w:rsidRPr="008B3A88" w:rsidRDefault="00E7061C" w:rsidP="00E7061C">
            <w:pPr>
              <w:spacing w:after="0"/>
              <w:rPr>
                <w:color w:val="auto"/>
              </w:rPr>
            </w:pPr>
            <w:r w:rsidRPr="00D27FCC">
              <w:t>Annex II (6)</w:t>
            </w:r>
          </w:p>
        </w:tc>
      </w:tr>
      <w:tr w:rsidR="00E7061C" w:rsidRPr="00645D79" w14:paraId="48A4EC39" w14:textId="77777777" w:rsidTr="00506CF3">
        <w:trPr>
          <w:trHeight w:val="2297"/>
        </w:trPr>
        <w:tc>
          <w:tcPr>
            <w:tcW w:w="756" w:type="pct"/>
          </w:tcPr>
          <w:p w14:paraId="740D15E3" w14:textId="08C393B0" w:rsidR="00E7061C" w:rsidRPr="007E736D" w:rsidRDefault="00E7061C" w:rsidP="00E7061C">
            <w:pPr>
              <w:spacing w:after="0"/>
            </w:pPr>
            <w:r w:rsidRPr="006152F2">
              <w:t>Acceptability with users</w:t>
            </w:r>
          </w:p>
        </w:tc>
        <w:tc>
          <w:tcPr>
            <w:tcW w:w="1486" w:type="pct"/>
          </w:tcPr>
          <w:p w14:paraId="350DA5E5" w14:textId="1B7D20F7" w:rsidR="00E7061C" w:rsidRDefault="00E7061C" w:rsidP="00E7061C">
            <w:pPr>
              <w:spacing w:after="0"/>
            </w:pPr>
            <w:r w:rsidRPr="007E736D">
              <w:t>Provide data to show user satisfaction with the DHT</w:t>
            </w:r>
          </w:p>
        </w:tc>
        <w:tc>
          <w:tcPr>
            <w:tcW w:w="1198" w:type="pct"/>
          </w:tcPr>
          <w:p w14:paraId="67A2028D" w14:textId="77777777" w:rsidR="00E7061C" w:rsidRDefault="00E7061C" w:rsidP="00E7061C">
            <w:pPr>
              <w:spacing w:after="0"/>
            </w:pPr>
            <w:r>
              <w:t>Yes</w:t>
            </w:r>
          </w:p>
          <w:p w14:paraId="4D48DC8C" w14:textId="77777777" w:rsidR="00E7061C" w:rsidRDefault="00E7061C" w:rsidP="00E7061C">
            <w:pPr>
              <w:spacing w:after="0"/>
            </w:pPr>
          </w:p>
        </w:tc>
        <w:tc>
          <w:tcPr>
            <w:tcW w:w="1560" w:type="pct"/>
          </w:tcPr>
          <w:p w14:paraId="2A8509C3" w14:textId="77777777" w:rsidR="00E7061C" w:rsidRPr="00645D79" w:rsidRDefault="00E7061C" w:rsidP="00E7061C">
            <w:pPr>
              <w:spacing w:after="0"/>
            </w:pPr>
            <w:r w:rsidRPr="00645D79">
              <w:t>Validation and verification reports</w:t>
            </w:r>
          </w:p>
          <w:p w14:paraId="1B7B82D2" w14:textId="3EA712B2" w:rsidR="00E7061C" w:rsidRPr="00645D79" w:rsidRDefault="00E7061C" w:rsidP="00E7061C">
            <w:pPr>
              <w:spacing w:after="0"/>
              <w:rPr>
                <w:color w:val="auto"/>
              </w:rPr>
            </w:pPr>
            <w:r w:rsidRPr="00645D79">
              <w:rPr>
                <w:color w:val="auto"/>
              </w:rPr>
              <w:t>Annex II (6)</w:t>
            </w:r>
          </w:p>
          <w:p w14:paraId="2DC5A6BC" w14:textId="77777777" w:rsidR="00E7061C" w:rsidRDefault="00E7061C" w:rsidP="00E7061C">
            <w:pPr>
              <w:spacing w:after="0"/>
            </w:pPr>
          </w:p>
          <w:p w14:paraId="4CD4422D" w14:textId="01AEE64C" w:rsidR="00E7061C" w:rsidRPr="007C18D2" w:rsidRDefault="00E7061C" w:rsidP="00E7061C">
            <w:pPr>
              <w:spacing w:after="0"/>
            </w:pPr>
            <w:r w:rsidRPr="007C18D2">
              <w:t>Clinical investigation/evaluation reports</w:t>
            </w:r>
          </w:p>
          <w:p w14:paraId="05FB8501" w14:textId="77777777" w:rsidR="00E7061C" w:rsidRPr="00645D79" w:rsidRDefault="00E7061C" w:rsidP="00E7061C">
            <w:pPr>
              <w:spacing w:after="0"/>
            </w:pPr>
            <w:r w:rsidRPr="00645D79">
              <w:t>Annex XIV (A)</w:t>
            </w:r>
          </w:p>
          <w:p w14:paraId="1D2A23E0" w14:textId="77777777" w:rsidR="00E7061C" w:rsidRPr="00645D79" w:rsidRDefault="00E7061C" w:rsidP="00E7061C">
            <w:pPr>
              <w:spacing w:after="0"/>
            </w:pPr>
            <w:r w:rsidRPr="00645D79">
              <w:t xml:space="preserve">Annex XV </w:t>
            </w:r>
          </w:p>
          <w:p w14:paraId="445B99BF" w14:textId="77777777" w:rsidR="00E7061C" w:rsidRDefault="00E7061C" w:rsidP="00E7061C">
            <w:pPr>
              <w:spacing w:after="0"/>
              <w:rPr>
                <w:color w:val="auto"/>
              </w:rPr>
            </w:pPr>
          </w:p>
          <w:p w14:paraId="74AEF7CD" w14:textId="129A4BD3" w:rsidR="00E7061C" w:rsidRPr="007C18D2" w:rsidRDefault="00E7061C" w:rsidP="00E7061C">
            <w:pPr>
              <w:spacing w:after="0"/>
            </w:pPr>
            <w:r w:rsidRPr="007C18D2">
              <w:rPr>
                <w:color w:val="auto"/>
              </w:rPr>
              <w:t>Post-market surveillance reports and post-market clinical follow-up</w:t>
            </w:r>
          </w:p>
          <w:p w14:paraId="776572D9" w14:textId="77777777" w:rsidR="00E7061C" w:rsidRPr="00645D79" w:rsidRDefault="00E7061C" w:rsidP="00E7061C">
            <w:pPr>
              <w:spacing w:after="0"/>
            </w:pPr>
            <w:r w:rsidRPr="00645D79">
              <w:t>Article 85</w:t>
            </w:r>
            <w:r>
              <w:t>/86</w:t>
            </w:r>
          </w:p>
          <w:p w14:paraId="09F3E6F2" w14:textId="77777777" w:rsidR="00E7061C" w:rsidRPr="00645D79" w:rsidRDefault="00E7061C" w:rsidP="00E7061C">
            <w:pPr>
              <w:spacing w:after="0"/>
            </w:pPr>
            <w:r w:rsidRPr="00645D79">
              <w:t>Annex III</w:t>
            </w:r>
          </w:p>
          <w:p w14:paraId="6C565FC5" w14:textId="6CEF8BFB" w:rsidR="00E7061C" w:rsidRPr="00645D79" w:rsidRDefault="00E7061C" w:rsidP="00E7061C">
            <w:pPr>
              <w:spacing w:after="0"/>
            </w:pPr>
            <w:r w:rsidRPr="00645D79">
              <w:t>Annex XIV (B)</w:t>
            </w:r>
          </w:p>
        </w:tc>
      </w:tr>
      <w:tr w:rsidR="00E7061C" w14:paraId="66CC35E0" w14:textId="77777777" w:rsidTr="00506CF3">
        <w:trPr>
          <w:cantSplit/>
          <w:trHeight w:val="2331"/>
        </w:trPr>
        <w:tc>
          <w:tcPr>
            <w:tcW w:w="756" w:type="pct"/>
            <w:hideMark/>
          </w:tcPr>
          <w:p w14:paraId="0DEAA919" w14:textId="77777777" w:rsidR="00E7061C" w:rsidRPr="007E736D" w:rsidRDefault="00E7061C" w:rsidP="00E7061C">
            <w:pPr>
              <w:spacing w:after="0"/>
            </w:pPr>
            <w:r>
              <w:t>Equalities considerations</w:t>
            </w:r>
            <w:r w:rsidRPr="007E736D">
              <w:t xml:space="preserve"> </w:t>
            </w:r>
          </w:p>
        </w:tc>
        <w:tc>
          <w:tcPr>
            <w:tcW w:w="1486" w:type="pct"/>
          </w:tcPr>
          <w:p w14:paraId="7E65EE2F" w14:textId="357D1418" w:rsidR="00E7061C" w:rsidRPr="00EF4FEB" w:rsidRDefault="00E7061C" w:rsidP="00E7061C">
            <w:pPr>
              <w:spacing w:after="0"/>
              <w:rPr>
                <w:color w:val="auto"/>
              </w:rPr>
            </w:pPr>
            <w:r>
              <w:t>If relevant</w:t>
            </w:r>
            <w:r w:rsidRPr="007E736D">
              <w:t>, the DHT should contribute to challenging health inequalities in the UK health and social care system, or improving access to care among hard-to-reach populations</w:t>
            </w:r>
          </w:p>
        </w:tc>
        <w:tc>
          <w:tcPr>
            <w:tcW w:w="1198" w:type="pct"/>
          </w:tcPr>
          <w:p w14:paraId="276F7391" w14:textId="1A78B37D" w:rsidR="00E7061C" w:rsidRPr="008B3A88" w:rsidRDefault="00E7061C" w:rsidP="00E7061C">
            <w:pPr>
              <w:spacing w:after="0"/>
              <w:rPr>
                <w:color w:val="auto"/>
              </w:rPr>
            </w:pPr>
            <w:r w:rsidRPr="00057F2D">
              <w:rPr>
                <w:color w:val="auto"/>
              </w:rPr>
              <w:t xml:space="preserve">Not explicitly, but may feed into establishing and validating user </w:t>
            </w:r>
            <w:r w:rsidRPr="008B3A88">
              <w:rPr>
                <w:color w:val="auto"/>
              </w:rPr>
              <w:t xml:space="preserve">requirements, clinical </w:t>
            </w:r>
            <w:proofErr w:type="gramStart"/>
            <w:r w:rsidRPr="008B3A88">
              <w:rPr>
                <w:color w:val="auto"/>
              </w:rPr>
              <w:t>evaluation</w:t>
            </w:r>
            <w:proofErr w:type="gramEnd"/>
            <w:r w:rsidRPr="008B3A88">
              <w:rPr>
                <w:color w:val="auto"/>
              </w:rPr>
              <w:t xml:space="preserve"> and post-market surveillance</w:t>
            </w:r>
          </w:p>
        </w:tc>
        <w:tc>
          <w:tcPr>
            <w:tcW w:w="1560" w:type="pct"/>
          </w:tcPr>
          <w:p w14:paraId="114F5741" w14:textId="77777777" w:rsidR="00E7061C" w:rsidRPr="00645D79" w:rsidRDefault="00E7061C" w:rsidP="00E7061C">
            <w:pPr>
              <w:spacing w:after="0"/>
              <w:rPr>
                <w:color w:val="auto"/>
              </w:rPr>
            </w:pPr>
            <w:r w:rsidRPr="00645D79">
              <w:t>Validation and verification reports</w:t>
            </w:r>
          </w:p>
          <w:p w14:paraId="2175C6A1" w14:textId="117D5C6C" w:rsidR="00E7061C" w:rsidRDefault="00E7061C" w:rsidP="00E7061C">
            <w:pPr>
              <w:spacing w:after="0"/>
              <w:rPr>
                <w:color w:val="auto"/>
              </w:rPr>
            </w:pPr>
            <w:r>
              <w:rPr>
                <w:color w:val="auto"/>
              </w:rPr>
              <w:t>Annex II (6)</w:t>
            </w:r>
          </w:p>
          <w:p w14:paraId="121F6E37" w14:textId="77777777" w:rsidR="00E7061C" w:rsidRDefault="00E7061C" w:rsidP="00E7061C">
            <w:pPr>
              <w:spacing w:after="0"/>
            </w:pPr>
          </w:p>
          <w:p w14:paraId="2BD31F0C" w14:textId="092601CB" w:rsidR="00E7061C" w:rsidRPr="00645D79" w:rsidRDefault="00E7061C" w:rsidP="00E7061C">
            <w:pPr>
              <w:spacing w:after="0"/>
            </w:pPr>
            <w:r w:rsidRPr="00645D79">
              <w:t>Clinical investigation/evaluation reports</w:t>
            </w:r>
          </w:p>
          <w:p w14:paraId="5D5ADF4E" w14:textId="77777777" w:rsidR="00E7061C" w:rsidRDefault="00E7061C" w:rsidP="00E7061C">
            <w:pPr>
              <w:spacing w:after="0"/>
            </w:pPr>
            <w:r>
              <w:t xml:space="preserve">Annex </w:t>
            </w:r>
            <w:r w:rsidRPr="008B3A88">
              <w:t>XIV</w:t>
            </w:r>
            <w:r>
              <w:t xml:space="preserve"> (A)</w:t>
            </w:r>
          </w:p>
          <w:p w14:paraId="0235AC46" w14:textId="77777777" w:rsidR="00E7061C" w:rsidRDefault="00E7061C" w:rsidP="00E7061C">
            <w:pPr>
              <w:spacing w:after="0"/>
            </w:pPr>
            <w:r>
              <w:t xml:space="preserve">Annex XV </w:t>
            </w:r>
          </w:p>
          <w:p w14:paraId="0D5AD114" w14:textId="77777777" w:rsidR="00E7061C" w:rsidRDefault="00E7061C" w:rsidP="00E7061C">
            <w:pPr>
              <w:spacing w:after="0"/>
              <w:rPr>
                <w:color w:val="auto"/>
              </w:rPr>
            </w:pPr>
          </w:p>
          <w:p w14:paraId="601EB359" w14:textId="5AD3E090" w:rsidR="00E7061C" w:rsidRPr="00645D79" w:rsidRDefault="00E7061C" w:rsidP="00E7061C">
            <w:pPr>
              <w:spacing w:after="0"/>
            </w:pPr>
            <w:r w:rsidRPr="00645D79">
              <w:rPr>
                <w:color w:val="auto"/>
              </w:rPr>
              <w:t>Post-market surveillance reports</w:t>
            </w:r>
            <w:r>
              <w:rPr>
                <w:color w:val="auto"/>
              </w:rPr>
              <w:t xml:space="preserve"> and </w:t>
            </w:r>
            <w:r w:rsidRPr="00587C3B">
              <w:rPr>
                <w:color w:val="auto"/>
              </w:rPr>
              <w:t>post-market clinical follow-up</w:t>
            </w:r>
          </w:p>
          <w:p w14:paraId="14D346D6" w14:textId="77777777" w:rsidR="00E7061C" w:rsidRDefault="00E7061C" w:rsidP="00E7061C">
            <w:pPr>
              <w:spacing w:after="0"/>
            </w:pPr>
            <w:r>
              <w:t>Article 85</w:t>
            </w:r>
          </w:p>
          <w:p w14:paraId="085140A2" w14:textId="77777777" w:rsidR="00E7061C" w:rsidRDefault="00E7061C" w:rsidP="00E7061C">
            <w:pPr>
              <w:spacing w:after="0"/>
            </w:pPr>
            <w:r>
              <w:t>Annex III</w:t>
            </w:r>
          </w:p>
          <w:p w14:paraId="3E51E508" w14:textId="302945DE" w:rsidR="00E7061C" w:rsidRDefault="00E7061C" w:rsidP="00E7061C">
            <w:pPr>
              <w:spacing w:after="0"/>
            </w:pPr>
            <w:r>
              <w:t>Annex XIV (B)</w:t>
            </w:r>
          </w:p>
        </w:tc>
      </w:tr>
      <w:tr w:rsidR="00E7061C" w14:paraId="5F3B95AE" w14:textId="77777777" w:rsidTr="00506CF3">
        <w:trPr>
          <w:cantSplit/>
          <w:trHeight w:val="2078"/>
        </w:trPr>
        <w:tc>
          <w:tcPr>
            <w:tcW w:w="756" w:type="pct"/>
          </w:tcPr>
          <w:p w14:paraId="190BFDFD" w14:textId="6C3ACD25" w:rsidR="00E7061C" w:rsidRPr="007E736D" w:rsidRDefault="00E7061C" w:rsidP="00E7061C">
            <w:pPr>
              <w:spacing w:after="0"/>
            </w:pPr>
            <w:r w:rsidRPr="006152F2">
              <w:lastRenderedPageBreak/>
              <w:t>Equalities considerations</w:t>
            </w:r>
          </w:p>
        </w:tc>
        <w:tc>
          <w:tcPr>
            <w:tcW w:w="1486" w:type="pct"/>
          </w:tcPr>
          <w:p w14:paraId="7C1B8748" w14:textId="13CD80A3" w:rsidR="00E7061C" w:rsidRPr="00EF4FEB" w:rsidRDefault="00E7061C" w:rsidP="00E7061C">
            <w:pPr>
              <w:spacing w:after="0"/>
              <w:rPr>
                <w:color w:val="auto"/>
              </w:rPr>
            </w:pPr>
            <w:r>
              <w:t>If relevant</w:t>
            </w:r>
            <w:r w:rsidRPr="007E736D">
              <w:t xml:space="preserve">, the DHT should contribute to promoting equality, eliminating unlawful </w:t>
            </w:r>
            <w:proofErr w:type="gramStart"/>
            <w:r w:rsidRPr="007E736D">
              <w:t>discrimination</w:t>
            </w:r>
            <w:proofErr w:type="gramEnd"/>
            <w:r w:rsidRPr="007E736D">
              <w:t xml:space="preserve"> and fostering good relations between people with protected characteristics (as described in the</w:t>
            </w:r>
            <w:r>
              <w:t xml:space="preserve"> </w:t>
            </w:r>
            <w:r w:rsidRPr="007E736D">
              <w:t>2010 Equalities Act) and others</w:t>
            </w:r>
          </w:p>
        </w:tc>
        <w:tc>
          <w:tcPr>
            <w:tcW w:w="1198" w:type="pct"/>
          </w:tcPr>
          <w:p w14:paraId="4721D416" w14:textId="4DCCAC14" w:rsidR="00E7061C" w:rsidRPr="008B3A88" w:rsidRDefault="00E7061C" w:rsidP="00E7061C">
            <w:pPr>
              <w:spacing w:after="0"/>
              <w:rPr>
                <w:color w:val="auto"/>
              </w:rPr>
            </w:pPr>
            <w:r w:rsidRPr="00057F2D">
              <w:rPr>
                <w:color w:val="auto"/>
              </w:rPr>
              <w:t xml:space="preserve">Not explicitly, but may feed into establishing and validating user </w:t>
            </w:r>
            <w:r w:rsidRPr="008B3A88">
              <w:rPr>
                <w:color w:val="auto"/>
              </w:rPr>
              <w:t xml:space="preserve">requirements, clinical </w:t>
            </w:r>
            <w:proofErr w:type="gramStart"/>
            <w:r w:rsidRPr="008B3A88">
              <w:rPr>
                <w:color w:val="auto"/>
              </w:rPr>
              <w:t>evaluation</w:t>
            </w:r>
            <w:proofErr w:type="gramEnd"/>
            <w:r w:rsidRPr="008B3A88">
              <w:rPr>
                <w:color w:val="auto"/>
              </w:rPr>
              <w:t xml:space="preserve"> and post-market surveillance</w:t>
            </w:r>
          </w:p>
        </w:tc>
        <w:tc>
          <w:tcPr>
            <w:tcW w:w="1560" w:type="pct"/>
          </w:tcPr>
          <w:p w14:paraId="5CBCAC5D" w14:textId="77777777" w:rsidR="00E7061C" w:rsidRPr="00A91E28" w:rsidRDefault="00E7061C" w:rsidP="00E7061C">
            <w:pPr>
              <w:spacing w:after="0"/>
              <w:rPr>
                <w:color w:val="auto"/>
              </w:rPr>
            </w:pPr>
            <w:r>
              <w:t>Validation and verification reports</w:t>
            </w:r>
          </w:p>
          <w:p w14:paraId="52E6B5B5" w14:textId="5D6DEA26" w:rsidR="00E7061C" w:rsidRDefault="00E7061C" w:rsidP="00E7061C">
            <w:pPr>
              <w:spacing w:after="0"/>
              <w:rPr>
                <w:color w:val="auto"/>
              </w:rPr>
            </w:pPr>
            <w:r>
              <w:rPr>
                <w:color w:val="auto"/>
              </w:rPr>
              <w:t>Annex II (6)</w:t>
            </w:r>
          </w:p>
          <w:p w14:paraId="3B26563B" w14:textId="77777777" w:rsidR="00E7061C" w:rsidRDefault="00E7061C" w:rsidP="00E7061C">
            <w:pPr>
              <w:spacing w:after="0"/>
            </w:pPr>
          </w:p>
          <w:p w14:paraId="4D2D4F97" w14:textId="70139ACB" w:rsidR="00E7061C" w:rsidRPr="00A91E28" w:rsidRDefault="00E7061C" w:rsidP="00E7061C">
            <w:pPr>
              <w:spacing w:after="0"/>
              <w:rPr>
                <w:color w:val="auto"/>
              </w:rPr>
            </w:pPr>
            <w:r>
              <w:t>Clinical investigation/evaluation reports</w:t>
            </w:r>
          </w:p>
          <w:p w14:paraId="5E532B98" w14:textId="77777777" w:rsidR="00E7061C" w:rsidRDefault="00E7061C" w:rsidP="00E7061C">
            <w:pPr>
              <w:spacing w:after="0"/>
            </w:pPr>
            <w:r>
              <w:t xml:space="preserve">Annex </w:t>
            </w:r>
            <w:r w:rsidRPr="008B3A88">
              <w:t>XIV</w:t>
            </w:r>
            <w:r>
              <w:t xml:space="preserve"> (A)</w:t>
            </w:r>
          </w:p>
          <w:p w14:paraId="37BC5AF5" w14:textId="77777777" w:rsidR="00E7061C" w:rsidRDefault="00E7061C" w:rsidP="00E7061C">
            <w:pPr>
              <w:spacing w:after="0"/>
            </w:pPr>
            <w:r>
              <w:t xml:space="preserve">Annex XV </w:t>
            </w:r>
          </w:p>
          <w:p w14:paraId="13491CEE" w14:textId="77777777" w:rsidR="00E7061C" w:rsidRDefault="00E7061C" w:rsidP="00E7061C">
            <w:pPr>
              <w:spacing w:after="0"/>
              <w:rPr>
                <w:color w:val="auto"/>
              </w:rPr>
            </w:pPr>
          </w:p>
          <w:p w14:paraId="4FFA42B1" w14:textId="48C6F245" w:rsidR="00E7061C" w:rsidRPr="00A91E28" w:rsidRDefault="00E7061C" w:rsidP="00E7061C">
            <w:pPr>
              <w:spacing w:after="0"/>
              <w:rPr>
                <w:color w:val="auto"/>
              </w:rPr>
            </w:pPr>
            <w:r w:rsidRPr="007877A7">
              <w:rPr>
                <w:color w:val="auto"/>
              </w:rPr>
              <w:t>Post-market surveillance</w:t>
            </w:r>
            <w:r>
              <w:rPr>
                <w:color w:val="auto"/>
              </w:rPr>
              <w:t xml:space="preserve"> reports</w:t>
            </w:r>
          </w:p>
          <w:p w14:paraId="4EDD6A66" w14:textId="77777777" w:rsidR="00E7061C" w:rsidRDefault="00E7061C" w:rsidP="00E7061C">
            <w:pPr>
              <w:spacing w:after="0"/>
            </w:pPr>
            <w:r>
              <w:t>Article 85</w:t>
            </w:r>
          </w:p>
          <w:p w14:paraId="1F47ACB0" w14:textId="77777777" w:rsidR="00E7061C" w:rsidRDefault="00E7061C" w:rsidP="00E7061C">
            <w:pPr>
              <w:spacing w:after="0"/>
            </w:pPr>
            <w:r>
              <w:t>Annex III</w:t>
            </w:r>
          </w:p>
          <w:p w14:paraId="77D5C6E1" w14:textId="1BB8A96A" w:rsidR="00E7061C" w:rsidRDefault="00E7061C" w:rsidP="00E7061C">
            <w:pPr>
              <w:spacing w:after="0"/>
            </w:pPr>
            <w:r>
              <w:t>Annex XIV (B)</w:t>
            </w:r>
          </w:p>
        </w:tc>
      </w:tr>
      <w:tr w:rsidR="009406E9" w:rsidRPr="007E736D" w14:paraId="5DA835C8" w14:textId="77777777" w:rsidTr="00DB3B77">
        <w:trPr>
          <w:trHeight w:val="3515"/>
        </w:trPr>
        <w:tc>
          <w:tcPr>
            <w:tcW w:w="756" w:type="pct"/>
          </w:tcPr>
          <w:p w14:paraId="5B05CA33" w14:textId="1013B4B2" w:rsidR="009406E9" w:rsidRPr="007E736D" w:rsidRDefault="009406E9" w:rsidP="00E7061C">
            <w:pPr>
              <w:spacing w:after="0"/>
            </w:pPr>
            <w:r w:rsidRPr="007E736D">
              <w:t>Accurate and reliable measurements (if</w:t>
            </w:r>
            <w:r>
              <w:t xml:space="preserve"> relevant)</w:t>
            </w:r>
          </w:p>
        </w:tc>
        <w:tc>
          <w:tcPr>
            <w:tcW w:w="1486" w:type="pct"/>
          </w:tcPr>
          <w:p w14:paraId="0AF7350C" w14:textId="4FD46EB9" w:rsidR="009406E9" w:rsidRDefault="009406E9" w:rsidP="00E7061C">
            <w:pPr>
              <w:spacing w:after="0"/>
            </w:pPr>
            <w:r w:rsidRPr="0070689B">
              <w:t>Data or analysis which shows that the data generated or recorded by the DHT is</w:t>
            </w:r>
            <w:r>
              <w:t xml:space="preserve"> </w:t>
            </w:r>
            <w:r w:rsidRPr="007E736D">
              <w:t>accurate, reproducible</w:t>
            </w:r>
            <w:r>
              <w:t xml:space="preserve"> </w:t>
            </w:r>
            <w:r w:rsidRPr="007E736D">
              <w:t xml:space="preserve">and relevant to the range of values expected in the target </w:t>
            </w:r>
            <w:proofErr w:type="gramStart"/>
            <w:r w:rsidRPr="007E736D">
              <w:t>population</w:t>
            </w:r>
            <w:proofErr w:type="gramEnd"/>
          </w:p>
          <w:p w14:paraId="5490239A" w14:textId="77777777" w:rsidR="009406E9" w:rsidRDefault="009406E9" w:rsidP="00E7061C">
            <w:pPr>
              <w:spacing w:after="0"/>
            </w:pPr>
          </w:p>
          <w:p w14:paraId="082AE6F7" w14:textId="3269F74C" w:rsidR="009406E9" w:rsidRPr="007E736D" w:rsidRDefault="009406E9" w:rsidP="00E7061C">
            <w:pPr>
              <w:spacing w:after="0"/>
            </w:pPr>
            <w:r w:rsidRPr="007E736D">
              <w:t xml:space="preserve">Data showing that the DHT </w:t>
            </w:r>
            <w:proofErr w:type="gramStart"/>
            <w:r w:rsidRPr="007E736D">
              <w:t>is able to</w:t>
            </w:r>
            <w:proofErr w:type="gramEnd"/>
            <w:r w:rsidRPr="007E736D">
              <w:t xml:space="preserve"> detect clinically relevant changes or responses</w:t>
            </w:r>
          </w:p>
        </w:tc>
        <w:tc>
          <w:tcPr>
            <w:tcW w:w="1198" w:type="pct"/>
          </w:tcPr>
          <w:p w14:paraId="11820D08" w14:textId="77777777" w:rsidR="009406E9" w:rsidRDefault="009406E9" w:rsidP="00E7061C">
            <w:pPr>
              <w:spacing w:after="0"/>
            </w:pPr>
            <w:r>
              <w:t>Yes</w:t>
            </w:r>
          </w:p>
          <w:p w14:paraId="70EB3C70" w14:textId="453A93EB" w:rsidR="009406E9" w:rsidRDefault="009406E9" w:rsidP="00E7061C">
            <w:pPr>
              <w:spacing w:after="0"/>
            </w:pPr>
            <w:r>
              <w:t>Devices must meet the relevant safety and performance requirements</w:t>
            </w:r>
          </w:p>
        </w:tc>
        <w:tc>
          <w:tcPr>
            <w:tcW w:w="1560" w:type="pct"/>
          </w:tcPr>
          <w:p w14:paraId="76512A02" w14:textId="77777777" w:rsidR="009406E9" w:rsidRDefault="009406E9" w:rsidP="00E7061C">
            <w:pPr>
              <w:spacing w:after="0"/>
              <w:rPr>
                <w:color w:val="auto"/>
              </w:rPr>
            </w:pPr>
            <w:r>
              <w:t>General safety and performance requirements</w:t>
            </w:r>
            <w:r>
              <w:rPr>
                <w:color w:val="auto"/>
              </w:rPr>
              <w:t xml:space="preserve"> </w:t>
            </w:r>
          </w:p>
          <w:p w14:paraId="39E4779B" w14:textId="0CCD5512" w:rsidR="009406E9" w:rsidRDefault="009406E9" w:rsidP="00E7061C">
            <w:pPr>
              <w:spacing w:after="0"/>
              <w:rPr>
                <w:color w:val="auto"/>
              </w:rPr>
            </w:pPr>
            <w:r>
              <w:rPr>
                <w:color w:val="auto"/>
              </w:rPr>
              <w:t>Annex I (particularly 15)</w:t>
            </w:r>
          </w:p>
          <w:p w14:paraId="3C454C43" w14:textId="77777777" w:rsidR="009406E9" w:rsidRDefault="009406E9" w:rsidP="00E7061C">
            <w:pPr>
              <w:spacing w:after="0"/>
              <w:rPr>
                <w:color w:val="auto"/>
              </w:rPr>
            </w:pPr>
          </w:p>
          <w:p w14:paraId="04E4375D" w14:textId="77777777" w:rsidR="009406E9" w:rsidRDefault="009406E9" w:rsidP="00E7061C">
            <w:pPr>
              <w:spacing w:after="0"/>
              <w:rPr>
                <w:color w:val="auto"/>
              </w:rPr>
            </w:pPr>
            <w:r>
              <w:t>Validation and verification reports</w:t>
            </w:r>
            <w:r>
              <w:rPr>
                <w:color w:val="auto"/>
              </w:rPr>
              <w:t xml:space="preserve"> </w:t>
            </w:r>
          </w:p>
          <w:p w14:paraId="77BF313C" w14:textId="77777777" w:rsidR="009406E9" w:rsidRDefault="009406E9" w:rsidP="00E7061C">
            <w:pPr>
              <w:spacing w:after="0"/>
            </w:pPr>
            <w:r>
              <w:rPr>
                <w:color w:val="auto"/>
              </w:rPr>
              <w:t>Annex II (6)</w:t>
            </w:r>
            <w:r>
              <w:t xml:space="preserve"> </w:t>
            </w:r>
          </w:p>
          <w:p w14:paraId="4157E44C" w14:textId="77777777" w:rsidR="009406E9" w:rsidRDefault="009406E9" w:rsidP="00E7061C">
            <w:pPr>
              <w:spacing w:after="0"/>
            </w:pPr>
          </w:p>
          <w:p w14:paraId="0B7D2014" w14:textId="3231F384" w:rsidR="009406E9" w:rsidRDefault="009406E9" w:rsidP="00E7061C">
            <w:pPr>
              <w:spacing w:after="0"/>
              <w:rPr>
                <w:color w:val="auto"/>
              </w:rPr>
            </w:pPr>
            <w:r>
              <w:t>Clinical investigation/evaluation reports</w:t>
            </w:r>
            <w:r w:rsidRPr="00A91E28">
              <w:rPr>
                <w:color w:val="auto"/>
              </w:rPr>
              <w:t xml:space="preserve"> </w:t>
            </w:r>
          </w:p>
          <w:p w14:paraId="5A444E78" w14:textId="77777777" w:rsidR="009406E9" w:rsidRDefault="009406E9" w:rsidP="00E7061C">
            <w:pPr>
              <w:spacing w:after="0"/>
            </w:pPr>
            <w:r>
              <w:t xml:space="preserve">Annex </w:t>
            </w:r>
            <w:r w:rsidRPr="008B3A88">
              <w:t>XIV</w:t>
            </w:r>
            <w:r>
              <w:t xml:space="preserve"> (A)</w:t>
            </w:r>
          </w:p>
          <w:p w14:paraId="09833C12" w14:textId="77777777" w:rsidR="009406E9" w:rsidRDefault="009406E9" w:rsidP="00E7061C">
            <w:pPr>
              <w:spacing w:after="0"/>
              <w:rPr>
                <w:color w:val="auto"/>
              </w:rPr>
            </w:pPr>
            <w:r>
              <w:t>Annex XV</w:t>
            </w:r>
          </w:p>
          <w:p w14:paraId="1BC0E20F" w14:textId="77777777" w:rsidR="009406E9" w:rsidRDefault="009406E9" w:rsidP="00E7061C">
            <w:pPr>
              <w:spacing w:after="0"/>
              <w:rPr>
                <w:color w:val="auto"/>
              </w:rPr>
            </w:pPr>
          </w:p>
          <w:p w14:paraId="51AD129E" w14:textId="77777777" w:rsidR="009406E9" w:rsidRDefault="009406E9" w:rsidP="00E7061C">
            <w:pPr>
              <w:spacing w:after="0"/>
            </w:pPr>
            <w:r w:rsidRPr="00A91E28">
              <w:rPr>
                <w:color w:val="auto"/>
              </w:rPr>
              <w:t>Summary of safety and clinical performance (class III)</w:t>
            </w:r>
            <w:r w:rsidRPr="008B3A88">
              <w:t xml:space="preserve"> </w:t>
            </w:r>
          </w:p>
          <w:p w14:paraId="76029F5A" w14:textId="77B027F0" w:rsidR="009406E9" w:rsidRPr="007F7840" w:rsidRDefault="009406E9" w:rsidP="00E7061C">
            <w:pPr>
              <w:spacing w:after="0"/>
              <w:rPr>
                <w:color w:val="auto"/>
              </w:rPr>
            </w:pPr>
            <w:r w:rsidRPr="008B3A88">
              <w:t>Article 32</w:t>
            </w:r>
          </w:p>
        </w:tc>
      </w:tr>
      <w:tr w:rsidR="00DB3B77" w:rsidRPr="007E736D" w14:paraId="6001A126" w14:textId="77777777" w:rsidTr="00DB3B77">
        <w:trPr>
          <w:trHeight w:val="3515"/>
        </w:trPr>
        <w:tc>
          <w:tcPr>
            <w:tcW w:w="756" w:type="pct"/>
          </w:tcPr>
          <w:p w14:paraId="642D28FB" w14:textId="57715D77" w:rsidR="00DB3B77" w:rsidRPr="007E736D" w:rsidRDefault="00DB3B77" w:rsidP="00E7061C">
            <w:pPr>
              <w:spacing w:after="0"/>
            </w:pPr>
            <w:r w:rsidRPr="00DB3B77">
              <w:lastRenderedPageBreak/>
              <w:t>Accurate and reliable transmission of data (if relevant)</w:t>
            </w:r>
          </w:p>
        </w:tc>
        <w:tc>
          <w:tcPr>
            <w:tcW w:w="1486" w:type="pct"/>
          </w:tcPr>
          <w:p w14:paraId="49283EAF" w14:textId="77777777" w:rsidR="00DB3B77" w:rsidRDefault="00DB3B77" w:rsidP="00DB3B77">
            <w:pPr>
              <w:spacing w:after="0"/>
            </w:pPr>
            <w:r>
              <w:t xml:space="preserve">Technical data showing that numerical, text, audio, image-based, graphic-based or video information is not changed during the transmission </w:t>
            </w:r>
            <w:proofErr w:type="gramStart"/>
            <w:r>
              <w:t>process</w:t>
            </w:r>
            <w:proofErr w:type="gramEnd"/>
          </w:p>
          <w:p w14:paraId="27F98D6D" w14:textId="77777777" w:rsidR="00DB3B77" w:rsidRDefault="00DB3B77" w:rsidP="00DB3B77">
            <w:pPr>
              <w:spacing w:after="0"/>
            </w:pPr>
          </w:p>
          <w:p w14:paraId="338A2071" w14:textId="2BB35DE0" w:rsidR="00DB3B77" w:rsidRPr="0070689B" w:rsidRDefault="00DB3B77" w:rsidP="00DB3B77">
            <w:pPr>
              <w:spacing w:after="0"/>
            </w:pPr>
            <w:r>
              <w:t>Technical data showing that numerical, text, audio, image-based, graphic-based or video information is not biased by the data ‘value’ expected from the target patient population.</w:t>
            </w:r>
          </w:p>
        </w:tc>
        <w:tc>
          <w:tcPr>
            <w:tcW w:w="1198" w:type="pct"/>
          </w:tcPr>
          <w:p w14:paraId="1C3B032F" w14:textId="77777777" w:rsidR="00DB3B77" w:rsidRDefault="00DB3B77" w:rsidP="00DB3B77">
            <w:pPr>
              <w:spacing w:after="0"/>
            </w:pPr>
            <w:r>
              <w:t>Yes</w:t>
            </w:r>
          </w:p>
          <w:p w14:paraId="550B612C" w14:textId="1EF5EAC2" w:rsidR="00DB3B77" w:rsidRDefault="00DB3B77" w:rsidP="00DB3B77">
            <w:pPr>
              <w:spacing w:after="0"/>
            </w:pPr>
            <w:r>
              <w:t>Devices must meet the relevant safety and performance requirements</w:t>
            </w:r>
          </w:p>
        </w:tc>
        <w:tc>
          <w:tcPr>
            <w:tcW w:w="1560" w:type="pct"/>
          </w:tcPr>
          <w:p w14:paraId="6667993F" w14:textId="77777777" w:rsidR="00DB3B77" w:rsidRDefault="00DB3B77" w:rsidP="00DB3B77">
            <w:pPr>
              <w:spacing w:after="0"/>
              <w:rPr>
                <w:color w:val="auto"/>
              </w:rPr>
            </w:pPr>
            <w:r>
              <w:t>General safety and performance requirements</w:t>
            </w:r>
            <w:r>
              <w:rPr>
                <w:color w:val="auto"/>
              </w:rPr>
              <w:t xml:space="preserve"> </w:t>
            </w:r>
          </w:p>
          <w:p w14:paraId="2F6F00B2" w14:textId="77777777" w:rsidR="00DB3B77" w:rsidRDefault="00DB3B77" w:rsidP="00DB3B77">
            <w:pPr>
              <w:spacing w:after="0"/>
              <w:rPr>
                <w:color w:val="auto"/>
              </w:rPr>
            </w:pPr>
            <w:r>
              <w:rPr>
                <w:color w:val="auto"/>
              </w:rPr>
              <w:t>Annex I (particularly 15)</w:t>
            </w:r>
          </w:p>
          <w:p w14:paraId="507A7B57" w14:textId="77777777" w:rsidR="00DB3B77" w:rsidRDefault="00DB3B77" w:rsidP="00DB3B77">
            <w:pPr>
              <w:spacing w:after="0"/>
              <w:rPr>
                <w:color w:val="auto"/>
              </w:rPr>
            </w:pPr>
          </w:p>
          <w:p w14:paraId="05DA87CF" w14:textId="77777777" w:rsidR="00DB3B77" w:rsidRDefault="00DB3B77" w:rsidP="00DB3B77">
            <w:pPr>
              <w:spacing w:after="0"/>
              <w:rPr>
                <w:color w:val="auto"/>
              </w:rPr>
            </w:pPr>
            <w:r>
              <w:t>Validation and verification reports</w:t>
            </w:r>
            <w:r>
              <w:rPr>
                <w:color w:val="auto"/>
              </w:rPr>
              <w:t xml:space="preserve"> </w:t>
            </w:r>
          </w:p>
          <w:p w14:paraId="2B98C374" w14:textId="77777777" w:rsidR="00DB3B77" w:rsidRDefault="00DB3B77" w:rsidP="00DB3B77">
            <w:pPr>
              <w:spacing w:after="0"/>
            </w:pPr>
            <w:r>
              <w:rPr>
                <w:color w:val="auto"/>
              </w:rPr>
              <w:t>Annex II (6)</w:t>
            </w:r>
            <w:r>
              <w:t xml:space="preserve"> </w:t>
            </w:r>
          </w:p>
          <w:p w14:paraId="1E8EF5E9" w14:textId="77777777" w:rsidR="00DB3B77" w:rsidRDefault="00DB3B77" w:rsidP="00DB3B77">
            <w:pPr>
              <w:spacing w:after="0"/>
            </w:pPr>
          </w:p>
          <w:p w14:paraId="6D7CAB08" w14:textId="77777777" w:rsidR="00DB3B77" w:rsidRDefault="00DB3B77" w:rsidP="00DB3B77">
            <w:pPr>
              <w:spacing w:after="0"/>
              <w:rPr>
                <w:color w:val="auto"/>
              </w:rPr>
            </w:pPr>
            <w:r>
              <w:t>Clinical investigation/evaluation reports</w:t>
            </w:r>
            <w:r w:rsidRPr="00A91E28">
              <w:rPr>
                <w:color w:val="auto"/>
              </w:rPr>
              <w:t xml:space="preserve"> </w:t>
            </w:r>
          </w:p>
          <w:p w14:paraId="62BA455E" w14:textId="77777777" w:rsidR="00DB3B77" w:rsidRDefault="00DB3B77" w:rsidP="00DB3B77">
            <w:pPr>
              <w:spacing w:after="0"/>
            </w:pPr>
            <w:r>
              <w:t xml:space="preserve">Annex </w:t>
            </w:r>
            <w:r w:rsidRPr="008B3A88">
              <w:t>XIV</w:t>
            </w:r>
            <w:r>
              <w:t xml:space="preserve"> (A)</w:t>
            </w:r>
          </w:p>
          <w:p w14:paraId="1F0423E8" w14:textId="77777777" w:rsidR="00DB3B77" w:rsidRDefault="00DB3B77" w:rsidP="00DB3B77">
            <w:pPr>
              <w:spacing w:after="0"/>
              <w:rPr>
                <w:color w:val="auto"/>
              </w:rPr>
            </w:pPr>
            <w:r>
              <w:t>Annex XV</w:t>
            </w:r>
          </w:p>
          <w:p w14:paraId="7CE23F50" w14:textId="77777777" w:rsidR="00DB3B77" w:rsidRDefault="00DB3B77" w:rsidP="00DB3B77">
            <w:pPr>
              <w:spacing w:after="0"/>
              <w:rPr>
                <w:color w:val="auto"/>
              </w:rPr>
            </w:pPr>
          </w:p>
          <w:p w14:paraId="0EA3DD92" w14:textId="77777777" w:rsidR="00DB3B77" w:rsidRDefault="00DB3B77" w:rsidP="00DB3B77">
            <w:pPr>
              <w:spacing w:after="0"/>
            </w:pPr>
            <w:r w:rsidRPr="00A91E28">
              <w:rPr>
                <w:color w:val="auto"/>
              </w:rPr>
              <w:t>Summary of safety and clinical performance (class III)</w:t>
            </w:r>
            <w:r w:rsidRPr="008B3A88">
              <w:t xml:space="preserve"> </w:t>
            </w:r>
          </w:p>
          <w:p w14:paraId="309BB1D2" w14:textId="3F77E71B" w:rsidR="00DB3B77" w:rsidRDefault="00DB3B77" w:rsidP="00DB3B77">
            <w:pPr>
              <w:spacing w:after="0"/>
            </w:pPr>
            <w:r w:rsidRPr="008B3A88">
              <w:t>Article 32</w:t>
            </w:r>
          </w:p>
        </w:tc>
      </w:tr>
      <w:bookmarkEnd w:id="4"/>
    </w:tbl>
    <w:p w14:paraId="68757E92" w14:textId="3F4F9A8B" w:rsidR="00A36CFF" w:rsidRDefault="00A36CFF">
      <w:pPr>
        <w:spacing w:after="200" w:line="276" w:lineRule="auto"/>
        <w:rPr>
          <w:b/>
          <w:bCs/>
          <w:i/>
          <w:color w:val="auto"/>
        </w:rPr>
      </w:pPr>
    </w:p>
    <w:p w14:paraId="6BE88FA0" w14:textId="77777777" w:rsidR="00A36CFF" w:rsidRDefault="00A36CFF">
      <w:pPr>
        <w:spacing w:after="200" w:line="276" w:lineRule="auto"/>
        <w:rPr>
          <w:b/>
          <w:bCs/>
          <w:i/>
          <w:color w:val="auto"/>
        </w:rPr>
      </w:pPr>
      <w:r>
        <w:rPr>
          <w:b/>
          <w:bCs/>
          <w:i/>
          <w:color w:val="auto"/>
        </w:rPr>
        <w:br w:type="page"/>
      </w:r>
    </w:p>
    <w:p w14:paraId="43C69E9F" w14:textId="076BFC1A" w:rsidR="003D0888" w:rsidRPr="008B3A88" w:rsidRDefault="003D0888" w:rsidP="008B3A88">
      <w:pPr>
        <w:pStyle w:val="Caption"/>
      </w:pPr>
      <w:r w:rsidRPr="008B3A88">
        <w:lastRenderedPageBreak/>
        <w:t xml:space="preserve">Table </w:t>
      </w:r>
      <w:r w:rsidR="00957541" w:rsidRPr="008B3A88">
        <w:fldChar w:fldCharType="begin"/>
      </w:r>
      <w:r w:rsidR="00957541" w:rsidRPr="008776FA">
        <w:instrText xml:space="preserve"> SEQ Table \* ARABIC </w:instrText>
      </w:r>
      <w:r w:rsidR="00957541" w:rsidRPr="008B3A88">
        <w:fldChar w:fldCharType="separate"/>
      </w:r>
      <w:r w:rsidR="004D3E33">
        <w:rPr>
          <w:noProof/>
        </w:rPr>
        <w:t>3</w:t>
      </w:r>
      <w:r w:rsidR="00957541" w:rsidRPr="008B3A88">
        <w:rPr>
          <w:noProof/>
        </w:rPr>
        <w:fldChar w:fldCharType="end"/>
      </w:r>
      <w:r w:rsidRPr="008B3A88">
        <w:t xml:space="preserve">: </w:t>
      </w:r>
      <w:r w:rsidR="000800E5">
        <w:t>Tier B</w:t>
      </w:r>
      <w:r w:rsidR="001F5BCF">
        <w:t>: u</w:t>
      </w:r>
      <w:r w:rsidR="00E573DB" w:rsidRPr="00E573DB">
        <w:t>nderstanding and communicating</w:t>
      </w:r>
      <w:r w:rsidR="00CD7B08">
        <w:t xml:space="preserve"> -</w:t>
      </w:r>
      <w:r w:rsidR="00CD7B08" w:rsidRPr="008B3A88">
        <w:t xml:space="preserve"> </w:t>
      </w:r>
      <w:r w:rsidR="000800E5">
        <w:t>B</w:t>
      </w:r>
      <w:r w:rsidR="000800E5" w:rsidRPr="008B3A88">
        <w:t xml:space="preserve">est </w:t>
      </w:r>
      <w:r w:rsidR="00133C5C">
        <w:t>practice standards</w:t>
      </w:r>
    </w:p>
    <w:tbl>
      <w:tblPr>
        <w:tblStyle w:val="TableGrid"/>
        <w:tblW w:w="0" w:type="auto"/>
        <w:tblLook w:val="04A0" w:firstRow="1" w:lastRow="0" w:firstColumn="1" w:lastColumn="0" w:noHBand="0" w:noVBand="1"/>
        <w:tblDescription w:val="Evidence category, ESF minimum evidence standard, MDR requirement, aligned MDR documentation and section"/>
      </w:tblPr>
      <w:tblGrid>
        <w:gridCol w:w="2235"/>
        <w:gridCol w:w="4394"/>
        <w:gridCol w:w="3544"/>
        <w:gridCol w:w="4613"/>
      </w:tblGrid>
      <w:tr w:rsidR="007D24BB" w:rsidRPr="007E736D" w14:paraId="0F726C1B" w14:textId="1901550D" w:rsidTr="00506CF3">
        <w:trPr>
          <w:trHeight w:val="206"/>
          <w:tblHeader/>
        </w:trPr>
        <w:tc>
          <w:tcPr>
            <w:tcW w:w="2235" w:type="dxa"/>
            <w:shd w:val="clear" w:color="auto" w:fill="B8CCE4" w:themeFill="accent1" w:themeFillTint="66"/>
            <w:hideMark/>
          </w:tcPr>
          <w:p w14:paraId="06EE3ABF" w14:textId="77777777" w:rsidR="007D24BB" w:rsidRPr="00E265A8" w:rsidRDefault="007D24BB" w:rsidP="00A12BD3">
            <w:pPr>
              <w:spacing w:after="0"/>
              <w:rPr>
                <w:b/>
              </w:rPr>
            </w:pPr>
            <w:r>
              <w:rPr>
                <w:b/>
              </w:rPr>
              <w:t>Evidence category</w:t>
            </w:r>
          </w:p>
        </w:tc>
        <w:tc>
          <w:tcPr>
            <w:tcW w:w="4394" w:type="dxa"/>
            <w:shd w:val="clear" w:color="auto" w:fill="B8CCE4" w:themeFill="accent1" w:themeFillTint="66"/>
          </w:tcPr>
          <w:p w14:paraId="7C505F04" w14:textId="77777777" w:rsidR="007D24BB" w:rsidRDefault="007D24BB" w:rsidP="00A12BD3">
            <w:pPr>
              <w:spacing w:after="0"/>
              <w:rPr>
                <w:b/>
              </w:rPr>
            </w:pPr>
            <w:r>
              <w:rPr>
                <w:b/>
              </w:rPr>
              <w:t>ESF</w:t>
            </w:r>
            <w:r w:rsidRPr="008F6DB7">
              <w:rPr>
                <w:b/>
              </w:rPr>
              <w:t xml:space="preserve"> </w:t>
            </w:r>
            <w:r>
              <w:rPr>
                <w:b/>
              </w:rPr>
              <w:t>best practice</w:t>
            </w:r>
            <w:r w:rsidRPr="008F6DB7">
              <w:rPr>
                <w:b/>
              </w:rPr>
              <w:t xml:space="preserve"> standard</w:t>
            </w:r>
          </w:p>
        </w:tc>
        <w:tc>
          <w:tcPr>
            <w:tcW w:w="3544" w:type="dxa"/>
            <w:shd w:val="clear" w:color="auto" w:fill="B8CCE4" w:themeFill="accent1" w:themeFillTint="66"/>
          </w:tcPr>
          <w:p w14:paraId="325A0E0C" w14:textId="77777777" w:rsidR="007D24BB" w:rsidRDefault="007D24BB" w:rsidP="00A12BD3">
            <w:pPr>
              <w:spacing w:after="0"/>
              <w:rPr>
                <w:b/>
              </w:rPr>
            </w:pPr>
            <w:r>
              <w:rPr>
                <w:b/>
              </w:rPr>
              <w:t>Is this an MDR requirement?</w:t>
            </w:r>
          </w:p>
        </w:tc>
        <w:tc>
          <w:tcPr>
            <w:tcW w:w="4613" w:type="dxa"/>
            <w:shd w:val="clear" w:color="auto" w:fill="B8CCE4" w:themeFill="accent1" w:themeFillTint="66"/>
          </w:tcPr>
          <w:p w14:paraId="63288BEB" w14:textId="0D9C0573" w:rsidR="007D24BB" w:rsidRPr="00510318" w:rsidRDefault="007D24BB" w:rsidP="00617564">
            <w:pPr>
              <w:spacing w:after="0"/>
              <w:rPr>
                <w:b/>
              </w:rPr>
            </w:pPr>
            <w:r w:rsidRPr="008B3A88">
              <w:rPr>
                <w:b/>
              </w:rPr>
              <w:t>Aligned MDR documentation</w:t>
            </w:r>
            <w:r w:rsidR="00617564">
              <w:rPr>
                <w:b/>
              </w:rPr>
              <w:t xml:space="preserve"> and s</w:t>
            </w:r>
            <w:r>
              <w:rPr>
                <w:b/>
              </w:rPr>
              <w:t>ection</w:t>
            </w:r>
          </w:p>
        </w:tc>
      </w:tr>
      <w:tr w:rsidR="00617564" w:rsidRPr="00E265A8" w14:paraId="528E3E93" w14:textId="258C990E" w:rsidTr="00506CF3">
        <w:trPr>
          <w:trHeight w:val="1066"/>
        </w:trPr>
        <w:tc>
          <w:tcPr>
            <w:tcW w:w="2235" w:type="dxa"/>
          </w:tcPr>
          <w:p w14:paraId="4FF1B3C7" w14:textId="790B1523" w:rsidR="00617564" w:rsidRPr="00E265A8" w:rsidRDefault="00617564" w:rsidP="00A12BD3">
            <w:pPr>
              <w:spacing w:after="0" w:line="276" w:lineRule="auto"/>
              <w:rPr>
                <w:color w:val="auto"/>
              </w:rPr>
            </w:pPr>
            <w:bookmarkStart w:id="5" w:name="_Hlk35334425"/>
            <w:r>
              <w:rPr>
                <w:color w:val="auto"/>
              </w:rPr>
              <w:t>Reliable information content</w:t>
            </w:r>
            <w:r w:rsidRPr="00E265A8">
              <w:rPr>
                <w:color w:val="auto"/>
              </w:rPr>
              <w:t xml:space="preserve"> </w:t>
            </w:r>
          </w:p>
        </w:tc>
        <w:tc>
          <w:tcPr>
            <w:tcW w:w="4394" w:type="dxa"/>
          </w:tcPr>
          <w:p w14:paraId="2BA675AF" w14:textId="20C9F080" w:rsidR="00617564" w:rsidRPr="009D6431" w:rsidRDefault="00617564" w:rsidP="00A12BD3">
            <w:pPr>
              <w:spacing w:after="0"/>
            </w:pPr>
            <w:r w:rsidRPr="00E265A8">
              <w:t xml:space="preserve">Evidence of endorsement, </w:t>
            </w:r>
            <w:proofErr w:type="gramStart"/>
            <w:r w:rsidRPr="00E265A8">
              <w:t>accreditation</w:t>
            </w:r>
            <w:proofErr w:type="gramEnd"/>
            <w:r w:rsidRPr="00E265A8">
              <w:t xml:space="preserve"> or recommendation by NICE, NHS England, a relevant professional body or recognised UK patient organisation or</w:t>
            </w:r>
          </w:p>
        </w:tc>
        <w:tc>
          <w:tcPr>
            <w:tcW w:w="3544" w:type="dxa"/>
          </w:tcPr>
          <w:p w14:paraId="7321BDA7" w14:textId="5F07070D" w:rsidR="00617564" w:rsidRPr="009D6431" w:rsidRDefault="00617564" w:rsidP="00A12BD3">
            <w:pPr>
              <w:pStyle w:val="NoSpacing"/>
              <w:rPr>
                <w:rFonts w:ascii="Arial" w:hAnsi="Arial" w:cs="Arial"/>
              </w:rPr>
            </w:pPr>
            <w:r w:rsidRPr="009D6431">
              <w:rPr>
                <w:rFonts w:ascii="Arial" w:hAnsi="Arial" w:cs="Arial"/>
              </w:rPr>
              <w:t>No</w:t>
            </w:r>
          </w:p>
          <w:p w14:paraId="068ABCBA" w14:textId="7E668FEE" w:rsidR="00617564" w:rsidRPr="009D6431" w:rsidRDefault="00617564" w:rsidP="00A12BD3">
            <w:pPr>
              <w:pStyle w:val="NoSpacing"/>
              <w:rPr>
                <w:rFonts w:ascii="Arial" w:hAnsi="Arial" w:cs="Arial"/>
              </w:rPr>
            </w:pPr>
            <w:r>
              <w:rPr>
                <w:rFonts w:ascii="Arial" w:hAnsi="Arial" w:cs="Arial"/>
              </w:rPr>
              <w:t>Endorsement is not a requirement</w:t>
            </w:r>
          </w:p>
        </w:tc>
        <w:tc>
          <w:tcPr>
            <w:tcW w:w="4613" w:type="dxa"/>
          </w:tcPr>
          <w:p w14:paraId="7A4C0327" w14:textId="77777777" w:rsidR="00617564" w:rsidRPr="00E265A8" w:rsidRDefault="00617564" w:rsidP="00A12BD3">
            <w:pPr>
              <w:spacing w:after="0" w:line="276" w:lineRule="auto"/>
              <w:rPr>
                <w:color w:val="auto"/>
              </w:rPr>
            </w:pPr>
            <w:r>
              <w:t>Validation and verification reports</w:t>
            </w:r>
          </w:p>
          <w:p w14:paraId="1DD86A08" w14:textId="69FBC1F0" w:rsidR="00617564" w:rsidRDefault="00617564" w:rsidP="00A12BD3">
            <w:pPr>
              <w:spacing w:after="0" w:line="276" w:lineRule="auto"/>
            </w:pPr>
            <w:r>
              <w:rPr>
                <w:color w:val="auto"/>
              </w:rPr>
              <w:t>Annex II (6)</w:t>
            </w:r>
          </w:p>
        </w:tc>
      </w:tr>
      <w:tr w:rsidR="00617564" w:rsidRPr="00E265A8" w14:paraId="33F43A56" w14:textId="12687460" w:rsidTr="00506CF3">
        <w:tc>
          <w:tcPr>
            <w:tcW w:w="2235" w:type="dxa"/>
          </w:tcPr>
          <w:p w14:paraId="36036538" w14:textId="16BBC9BF" w:rsidR="00617564" w:rsidRPr="00E265A8" w:rsidRDefault="00617564" w:rsidP="00A12BD3">
            <w:pPr>
              <w:spacing w:after="0" w:line="276" w:lineRule="auto"/>
              <w:rPr>
                <w:color w:val="auto"/>
              </w:rPr>
            </w:pPr>
            <w:r>
              <w:rPr>
                <w:color w:val="auto"/>
              </w:rPr>
              <w:t>Reliable information content</w:t>
            </w:r>
          </w:p>
        </w:tc>
        <w:tc>
          <w:tcPr>
            <w:tcW w:w="4394" w:type="dxa"/>
          </w:tcPr>
          <w:p w14:paraId="3916E4FC" w14:textId="0CADB0DC" w:rsidR="00617564" w:rsidRDefault="00617564" w:rsidP="00A12BD3">
            <w:pPr>
              <w:spacing w:after="0"/>
            </w:pPr>
            <w:r w:rsidRPr="00E265A8">
              <w:rPr>
                <w:color w:val="auto"/>
              </w:rPr>
              <w:t xml:space="preserve">Evidence that the information content has been validated though an independent accreditation such as The Information Standard or </w:t>
            </w:r>
            <w:proofErr w:type="spellStart"/>
            <w:r w:rsidRPr="00E265A8">
              <w:rPr>
                <w:color w:val="auto"/>
              </w:rPr>
              <w:t>HONcode</w:t>
            </w:r>
            <w:proofErr w:type="spellEnd"/>
            <w:r w:rsidRPr="00E265A8">
              <w:rPr>
                <w:color w:val="auto"/>
              </w:rPr>
              <w:t xml:space="preserve"> certification</w:t>
            </w:r>
          </w:p>
        </w:tc>
        <w:tc>
          <w:tcPr>
            <w:tcW w:w="3544" w:type="dxa"/>
          </w:tcPr>
          <w:p w14:paraId="3B4EEAB0" w14:textId="3FAC9D84" w:rsidR="00617564" w:rsidRPr="00E265A8" w:rsidRDefault="00617564" w:rsidP="00A12BD3">
            <w:pPr>
              <w:spacing w:after="0" w:line="276" w:lineRule="auto"/>
              <w:rPr>
                <w:color w:val="auto"/>
              </w:rPr>
            </w:pPr>
            <w:r>
              <w:t>Not explicitly, but likely to feed into device validation and clinical evaluation</w:t>
            </w:r>
          </w:p>
        </w:tc>
        <w:tc>
          <w:tcPr>
            <w:tcW w:w="4613" w:type="dxa"/>
          </w:tcPr>
          <w:p w14:paraId="2121A27D" w14:textId="77777777" w:rsidR="00617564" w:rsidRPr="00E265A8" w:rsidRDefault="00617564" w:rsidP="00A12BD3">
            <w:pPr>
              <w:spacing w:after="0" w:line="276" w:lineRule="auto"/>
              <w:rPr>
                <w:color w:val="auto"/>
              </w:rPr>
            </w:pPr>
            <w:r>
              <w:t>Validation and verification reports</w:t>
            </w:r>
          </w:p>
          <w:p w14:paraId="4C453495" w14:textId="28DC291A" w:rsidR="00617564" w:rsidRDefault="00617564" w:rsidP="00A12BD3">
            <w:pPr>
              <w:spacing w:after="0" w:line="276" w:lineRule="auto"/>
            </w:pPr>
            <w:r>
              <w:rPr>
                <w:color w:val="auto"/>
              </w:rPr>
              <w:t>Annex II (6)</w:t>
            </w:r>
          </w:p>
        </w:tc>
      </w:tr>
      <w:tr w:rsidR="00012049" w:rsidRPr="00E265A8" w14:paraId="776C8A91" w14:textId="15FF0A54" w:rsidTr="00506CF3">
        <w:trPr>
          <w:trHeight w:val="1781"/>
        </w:trPr>
        <w:tc>
          <w:tcPr>
            <w:tcW w:w="2235" w:type="dxa"/>
          </w:tcPr>
          <w:p w14:paraId="3B6ED35A" w14:textId="10C4E5DB" w:rsidR="00012049" w:rsidRPr="00E265A8" w:rsidRDefault="00012049" w:rsidP="00A12BD3">
            <w:pPr>
              <w:spacing w:after="0" w:line="276" w:lineRule="auto"/>
              <w:rPr>
                <w:color w:val="auto"/>
              </w:rPr>
            </w:pPr>
            <w:r w:rsidRPr="00E265A8">
              <w:rPr>
                <w:color w:val="auto"/>
              </w:rPr>
              <w:t>Ongoing data coll</w:t>
            </w:r>
            <w:r>
              <w:rPr>
                <w:color w:val="auto"/>
              </w:rPr>
              <w:t>ection to show usage of the DHT</w:t>
            </w:r>
            <w:r w:rsidRPr="00E265A8">
              <w:rPr>
                <w:color w:val="auto"/>
              </w:rPr>
              <w:t> </w:t>
            </w:r>
          </w:p>
        </w:tc>
        <w:tc>
          <w:tcPr>
            <w:tcW w:w="4394" w:type="dxa"/>
          </w:tcPr>
          <w:p w14:paraId="52EEED99" w14:textId="5C2394C3" w:rsidR="00012049" w:rsidRDefault="00012049" w:rsidP="00A12BD3">
            <w:pPr>
              <w:spacing w:after="0"/>
            </w:pPr>
            <w:r w:rsidRPr="0070689B">
              <w:t>Evidence that data on usage is being collected in line with the minimum standards and can be made available to relevant decision-makers</w:t>
            </w:r>
          </w:p>
        </w:tc>
        <w:tc>
          <w:tcPr>
            <w:tcW w:w="3544" w:type="dxa"/>
          </w:tcPr>
          <w:p w14:paraId="4F207DB6" w14:textId="75BAF4A6" w:rsidR="00012049" w:rsidRDefault="00012049" w:rsidP="00A12BD3">
            <w:pPr>
              <w:spacing w:after="0"/>
            </w:pPr>
            <w:r>
              <w:t>Yes</w:t>
            </w:r>
          </w:p>
          <w:p w14:paraId="25AF02EE" w14:textId="29BE2FFF" w:rsidR="00012049" w:rsidRPr="00E265A8" w:rsidRDefault="00012049" w:rsidP="00A12BD3">
            <w:pPr>
              <w:spacing w:after="0"/>
            </w:pPr>
            <w:r>
              <w:t xml:space="preserve">While it is a requirement for ongoing data collection, it is not a requirement to report this to </w:t>
            </w:r>
            <w:r w:rsidRPr="0070689B">
              <w:t xml:space="preserve">relevant </w:t>
            </w:r>
            <w:r>
              <w:t>commissioners, but will be reviewed by notified bodies as part of compliance</w:t>
            </w:r>
          </w:p>
        </w:tc>
        <w:tc>
          <w:tcPr>
            <w:tcW w:w="4613" w:type="dxa"/>
          </w:tcPr>
          <w:p w14:paraId="1347E50B" w14:textId="77777777" w:rsidR="00012049" w:rsidRDefault="00012049" w:rsidP="00A12BD3">
            <w:pPr>
              <w:spacing w:after="0"/>
            </w:pPr>
            <w:r w:rsidRPr="009E2513">
              <w:t xml:space="preserve">Post-market surveillance </w:t>
            </w:r>
            <w:r>
              <w:t>reports</w:t>
            </w:r>
          </w:p>
          <w:p w14:paraId="3C5B500E" w14:textId="77777777" w:rsidR="00012049" w:rsidRDefault="00012049" w:rsidP="00A12BD3">
            <w:pPr>
              <w:spacing w:after="0"/>
            </w:pPr>
            <w:r>
              <w:t>Article 85</w:t>
            </w:r>
          </w:p>
          <w:p w14:paraId="161AF1D8" w14:textId="77777777" w:rsidR="00012049" w:rsidRDefault="00012049" w:rsidP="00A12BD3">
            <w:pPr>
              <w:spacing w:after="0"/>
            </w:pPr>
            <w:r>
              <w:t>Annex III</w:t>
            </w:r>
          </w:p>
          <w:p w14:paraId="707104F0" w14:textId="5AC86874" w:rsidR="00012049" w:rsidRDefault="00012049" w:rsidP="00A12BD3">
            <w:pPr>
              <w:spacing w:after="0"/>
            </w:pPr>
            <w:r>
              <w:t>Annex XIV (B)</w:t>
            </w:r>
          </w:p>
          <w:p w14:paraId="555C07E0" w14:textId="77777777" w:rsidR="00153AC0" w:rsidRPr="009E2513" w:rsidRDefault="00153AC0" w:rsidP="00A12BD3">
            <w:pPr>
              <w:spacing w:after="0"/>
            </w:pPr>
          </w:p>
          <w:p w14:paraId="3AD767F2" w14:textId="77777777" w:rsidR="00012049" w:rsidRDefault="00012049" w:rsidP="00A12BD3">
            <w:pPr>
              <w:spacing w:after="0"/>
            </w:pPr>
            <w:r>
              <w:t>Periodic safety update report</w:t>
            </w:r>
          </w:p>
          <w:p w14:paraId="74BB7305" w14:textId="77777777" w:rsidR="00012049" w:rsidRDefault="00012049" w:rsidP="00A12BD3">
            <w:pPr>
              <w:spacing w:after="0"/>
            </w:pPr>
            <w:r>
              <w:t>Article 86</w:t>
            </w:r>
          </w:p>
          <w:p w14:paraId="743BF5F4" w14:textId="56388B4A" w:rsidR="00012049" w:rsidRPr="009E2513" w:rsidRDefault="00012049" w:rsidP="00A12BD3">
            <w:pPr>
              <w:spacing w:after="0"/>
            </w:pPr>
            <w:r>
              <w:t>Annex III</w:t>
            </w:r>
          </w:p>
        </w:tc>
      </w:tr>
      <w:tr w:rsidR="0083194E" w:rsidRPr="00E265A8" w14:paraId="09EC25C0" w14:textId="0CB9D267" w:rsidTr="00506CF3">
        <w:trPr>
          <w:trHeight w:val="2015"/>
        </w:trPr>
        <w:tc>
          <w:tcPr>
            <w:tcW w:w="2235" w:type="dxa"/>
          </w:tcPr>
          <w:p w14:paraId="1A0CC5E1" w14:textId="74864F26" w:rsidR="0083194E" w:rsidRPr="00E265A8" w:rsidRDefault="0083194E" w:rsidP="00A12BD3">
            <w:pPr>
              <w:spacing w:after="0" w:line="276" w:lineRule="auto"/>
              <w:rPr>
                <w:color w:val="auto"/>
              </w:rPr>
            </w:pPr>
            <w:r w:rsidRPr="007E736D">
              <w:t>Ongoing data collection to show value of the DHT</w:t>
            </w:r>
          </w:p>
        </w:tc>
        <w:tc>
          <w:tcPr>
            <w:tcW w:w="4394" w:type="dxa"/>
          </w:tcPr>
          <w:p w14:paraId="1A9C5367" w14:textId="5C0EE570" w:rsidR="0083194E" w:rsidRDefault="0083194E" w:rsidP="00A12BD3">
            <w:pPr>
              <w:spacing w:after="0"/>
            </w:pPr>
            <w:r w:rsidRPr="0070689B">
              <w:t>Evidence that data on outcomes or user satisfaction is being collected in line with the minimum standard and can be made available to relevant decision-makers</w:t>
            </w:r>
          </w:p>
        </w:tc>
        <w:tc>
          <w:tcPr>
            <w:tcW w:w="3544" w:type="dxa"/>
          </w:tcPr>
          <w:p w14:paraId="43124FE3" w14:textId="77777777" w:rsidR="0083194E" w:rsidRDefault="0083194E" w:rsidP="00A12BD3">
            <w:pPr>
              <w:spacing w:after="0"/>
            </w:pPr>
            <w:r>
              <w:t>Yes</w:t>
            </w:r>
          </w:p>
          <w:p w14:paraId="770FFD1C" w14:textId="308F92CE" w:rsidR="0083194E" w:rsidRPr="00B0749E" w:rsidRDefault="0083194E" w:rsidP="00A12BD3">
            <w:pPr>
              <w:spacing w:after="0"/>
            </w:pPr>
            <w:r>
              <w:t xml:space="preserve">While it is a requirement for ongoing data collection, it is not a requirement to report this to </w:t>
            </w:r>
            <w:r w:rsidRPr="0070689B">
              <w:t xml:space="preserve">relevant </w:t>
            </w:r>
            <w:r>
              <w:t>commissioners, but will be reviewed by notified bodies as part of compliance</w:t>
            </w:r>
          </w:p>
        </w:tc>
        <w:tc>
          <w:tcPr>
            <w:tcW w:w="4613" w:type="dxa"/>
          </w:tcPr>
          <w:p w14:paraId="410C41EB" w14:textId="77777777" w:rsidR="0083194E" w:rsidRDefault="0083194E" w:rsidP="00A12BD3">
            <w:pPr>
              <w:spacing w:after="0"/>
            </w:pPr>
            <w:r w:rsidRPr="009E2513">
              <w:t xml:space="preserve">Post-market surveillance </w:t>
            </w:r>
            <w:r>
              <w:t>reports</w:t>
            </w:r>
          </w:p>
          <w:p w14:paraId="277439C6" w14:textId="77777777" w:rsidR="0083194E" w:rsidRDefault="0083194E" w:rsidP="00A12BD3">
            <w:pPr>
              <w:spacing w:after="0"/>
            </w:pPr>
            <w:r>
              <w:t>Article 85</w:t>
            </w:r>
          </w:p>
          <w:p w14:paraId="30D93560" w14:textId="77777777" w:rsidR="0083194E" w:rsidRDefault="0083194E" w:rsidP="00A12BD3">
            <w:pPr>
              <w:spacing w:after="0"/>
            </w:pPr>
            <w:r>
              <w:t>Annex III</w:t>
            </w:r>
          </w:p>
          <w:p w14:paraId="29FBEEFE" w14:textId="77777777" w:rsidR="0083194E" w:rsidRPr="009E2513" w:rsidRDefault="0083194E" w:rsidP="00A12BD3">
            <w:pPr>
              <w:spacing w:after="0"/>
            </w:pPr>
            <w:r>
              <w:t>Annex XIV (B)</w:t>
            </w:r>
          </w:p>
          <w:p w14:paraId="5D867CD4" w14:textId="77777777" w:rsidR="0083194E" w:rsidRDefault="0083194E" w:rsidP="00A12BD3">
            <w:pPr>
              <w:spacing w:after="0"/>
            </w:pPr>
          </w:p>
          <w:p w14:paraId="0E499E54" w14:textId="6420E88E" w:rsidR="0083194E" w:rsidRPr="009E2513" w:rsidRDefault="0083194E" w:rsidP="00A12BD3">
            <w:pPr>
              <w:spacing w:after="0"/>
            </w:pPr>
            <w:r>
              <w:t>Periodic safety update report</w:t>
            </w:r>
          </w:p>
          <w:p w14:paraId="394BBAB5" w14:textId="77777777" w:rsidR="0083194E" w:rsidRDefault="0083194E" w:rsidP="00A12BD3">
            <w:pPr>
              <w:spacing w:after="0"/>
            </w:pPr>
            <w:r>
              <w:t>Article 86</w:t>
            </w:r>
          </w:p>
          <w:p w14:paraId="4FC97908" w14:textId="29468274" w:rsidR="0083194E" w:rsidRPr="009E2513" w:rsidRDefault="0083194E" w:rsidP="00A12BD3">
            <w:pPr>
              <w:spacing w:after="0"/>
            </w:pPr>
            <w:r>
              <w:t>Annex III</w:t>
            </w:r>
          </w:p>
        </w:tc>
      </w:tr>
      <w:tr w:rsidR="0083194E" w14:paraId="700FFC31" w14:textId="77777777" w:rsidTr="00506CF3">
        <w:trPr>
          <w:trHeight w:val="1022"/>
        </w:trPr>
        <w:tc>
          <w:tcPr>
            <w:tcW w:w="2235" w:type="dxa"/>
          </w:tcPr>
          <w:p w14:paraId="05D2398B" w14:textId="49E9D7E0" w:rsidR="0083194E" w:rsidRPr="00E265A8" w:rsidRDefault="0083194E" w:rsidP="00A12BD3">
            <w:pPr>
              <w:spacing w:after="0"/>
              <w:rPr>
                <w:color w:val="auto"/>
              </w:rPr>
            </w:pPr>
            <w:r w:rsidRPr="00E265A8">
              <w:rPr>
                <w:color w:val="auto"/>
              </w:rPr>
              <w:t>Credibility with UK health</w:t>
            </w:r>
            <w:r>
              <w:rPr>
                <w:color w:val="auto"/>
              </w:rPr>
              <w:t xml:space="preserve"> and social care professionals</w:t>
            </w:r>
          </w:p>
        </w:tc>
        <w:tc>
          <w:tcPr>
            <w:tcW w:w="4394" w:type="dxa"/>
          </w:tcPr>
          <w:p w14:paraId="6CF643B7" w14:textId="4284E968" w:rsidR="0083194E" w:rsidRPr="00E265A8" w:rsidRDefault="0083194E" w:rsidP="00A12BD3">
            <w:pPr>
              <w:spacing w:after="0"/>
              <w:rPr>
                <w:color w:val="auto"/>
              </w:rPr>
            </w:pPr>
            <w:r w:rsidRPr="00325B95">
              <w:rPr>
                <w:color w:val="auto"/>
              </w:rPr>
              <w:t>Show that the DHT has a plausible mode of action that is viewed as useful and relevant by professional experts or expert groups in the relevant field</w:t>
            </w:r>
          </w:p>
        </w:tc>
        <w:tc>
          <w:tcPr>
            <w:tcW w:w="3544" w:type="dxa"/>
          </w:tcPr>
          <w:p w14:paraId="3E90A27D" w14:textId="1DD95B72" w:rsidR="0083194E" w:rsidRDefault="0083194E" w:rsidP="00A12BD3">
            <w:pPr>
              <w:spacing w:after="0"/>
            </w:pPr>
            <w:r w:rsidRPr="00325B95">
              <w:t>Not explicitly, but likely to feed into establishing and validating user requirements</w:t>
            </w:r>
          </w:p>
        </w:tc>
        <w:tc>
          <w:tcPr>
            <w:tcW w:w="4613" w:type="dxa"/>
          </w:tcPr>
          <w:p w14:paraId="3CC34BB0" w14:textId="77777777" w:rsidR="0083194E" w:rsidRDefault="0083194E" w:rsidP="00A12BD3">
            <w:pPr>
              <w:spacing w:after="0"/>
            </w:pPr>
            <w:r>
              <w:t xml:space="preserve">Instructions </w:t>
            </w:r>
            <w:r w:rsidRPr="00D27FCC">
              <w:t>for</w:t>
            </w:r>
            <w:r>
              <w:t xml:space="preserve"> use</w:t>
            </w:r>
          </w:p>
          <w:p w14:paraId="4E8EDB6E" w14:textId="2FF2D51E" w:rsidR="0083194E" w:rsidRDefault="0083194E" w:rsidP="00A12BD3">
            <w:pPr>
              <w:spacing w:after="0"/>
              <w:rPr>
                <w:color w:val="auto"/>
              </w:rPr>
            </w:pPr>
            <w:r>
              <w:rPr>
                <w:color w:val="auto"/>
              </w:rPr>
              <w:t>Annex I (Chapter III)</w:t>
            </w:r>
          </w:p>
          <w:p w14:paraId="11E6A942" w14:textId="77777777" w:rsidR="0083194E" w:rsidRDefault="0083194E" w:rsidP="00A12BD3">
            <w:pPr>
              <w:spacing w:after="0"/>
              <w:rPr>
                <w:color w:val="auto"/>
              </w:rPr>
            </w:pPr>
          </w:p>
          <w:p w14:paraId="5984E267" w14:textId="77777777" w:rsidR="0083194E" w:rsidRDefault="0083194E" w:rsidP="00A12BD3">
            <w:pPr>
              <w:spacing w:after="0"/>
            </w:pPr>
            <w:r>
              <w:t xml:space="preserve">Validation and </w:t>
            </w:r>
            <w:r w:rsidRPr="009D6431">
              <w:rPr>
                <w:color w:val="auto"/>
              </w:rPr>
              <w:t>verification reports</w:t>
            </w:r>
            <w:r>
              <w:rPr>
                <w:color w:val="auto"/>
              </w:rPr>
              <w:t xml:space="preserve"> </w:t>
            </w:r>
          </w:p>
          <w:p w14:paraId="6CAE26B6" w14:textId="59EE6248" w:rsidR="0083194E" w:rsidRDefault="0083194E" w:rsidP="00A12BD3">
            <w:pPr>
              <w:spacing w:after="0"/>
              <w:rPr>
                <w:color w:val="auto"/>
              </w:rPr>
            </w:pPr>
            <w:r>
              <w:rPr>
                <w:color w:val="auto"/>
              </w:rPr>
              <w:t>Annex II (6)</w:t>
            </w:r>
          </w:p>
        </w:tc>
      </w:tr>
      <w:tr w:rsidR="0083194E" w14:paraId="6809D0C2" w14:textId="77777777" w:rsidTr="00506CF3">
        <w:trPr>
          <w:trHeight w:val="3036"/>
        </w:trPr>
        <w:tc>
          <w:tcPr>
            <w:tcW w:w="2235" w:type="dxa"/>
            <w:tcBorders>
              <w:bottom w:val="single" w:sz="4" w:space="0" w:color="auto"/>
            </w:tcBorders>
          </w:tcPr>
          <w:p w14:paraId="63786998" w14:textId="63CE9D3D" w:rsidR="0083194E" w:rsidRPr="00E265A8" w:rsidRDefault="0083194E" w:rsidP="00A12BD3">
            <w:pPr>
              <w:spacing w:after="0"/>
              <w:rPr>
                <w:color w:val="auto"/>
              </w:rPr>
            </w:pPr>
            <w:r w:rsidRPr="00E265A8">
              <w:rPr>
                <w:color w:val="auto"/>
              </w:rPr>
              <w:lastRenderedPageBreak/>
              <w:t>Credibility with UK health</w:t>
            </w:r>
            <w:r>
              <w:rPr>
                <w:color w:val="auto"/>
              </w:rPr>
              <w:t xml:space="preserve"> and social care professionals</w:t>
            </w:r>
          </w:p>
        </w:tc>
        <w:tc>
          <w:tcPr>
            <w:tcW w:w="4394" w:type="dxa"/>
          </w:tcPr>
          <w:p w14:paraId="2D8D5540" w14:textId="5D5314F1" w:rsidR="0083194E" w:rsidRDefault="0083194E" w:rsidP="00A12BD3">
            <w:pPr>
              <w:spacing w:after="0"/>
            </w:pPr>
            <w:r w:rsidRPr="00E265A8">
              <w:rPr>
                <w:color w:val="auto"/>
              </w:rPr>
              <w:t xml:space="preserve">Published or </w:t>
            </w:r>
            <w:r>
              <w:rPr>
                <w:color w:val="auto"/>
              </w:rPr>
              <w:t>publicly</w:t>
            </w:r>
            <w:r w:rsidRPr="00E265A8">
              <w:rPr>
                <w:color w:val="auto"/>
              </w:rPr>
              <w:t xml:space="preserve"> available evidence documenting the role of relevant UK health or social care experts in the design, development, testing or sign-off of the DHT</w:t>
            </w:r>
          </w:p>
          <w:p w14:paraId="1D77E89A" w14:textId="0D57A78F" w:rsidR="0083194E" w:rsidRDefault="0083194E" w:rsidP="00A12BD3">
            <w:pPr>
              <w:spacing w:after="0"/>
            </w:pPr>
            <w:r w:rsidRPr="00D77B9C">
              <w:rPr>
                <w:color w:val="auto"/>
              </w:rPr>
              <w:t>Published or publicly available evidence documenting the role of relevant UK health or social care experts in signing-off the DHT, indicating their informed approval of the DHT</w:t>
            </w:r>
          </w:p>
        </w:tc>
        <w:tc>
          <w:tcPr>
            <w:tcW w:w="3544" w:type="dxa"/>
            <w:tcBorders>
              <w:bottom w:val="single" w:sz="4" w:space="0" w:color="auto"/>
            </w:tcBorders>
          </w:tcPr>
          <w:p w14:paraId="1C232381" w14:textId="2DD9758C" w:rsidR="0083194E" w:rsidRDefault="0083194E" w:rsidP="00A12BD3">
            <w:pPr>
              <w:spacing w:after="0"/>
            </w:pPr>
            <w:r>
              <w:t>No</w:t>
            </w:r>
          </w:p>
          <w:p w14:paraId="0A7F5567" w14:textId="330739BA" w:rsidR="0083194E" w:rsidRDefault="0083194E" w:rsidP="00A12BD3">
            <w:pPr>
              <w:spacing w:after="0"/>
            </w:pPr>
            <w:r w:rsidRPr="00D77B9C">
              <w:t xml:space="preserve">Although there are no explicit requirements for health and social professional involvement (UK or otherwise), heath or social care professionals are likely to feed into establishing and validating user </w:t>
            </w:r>
            <w:proofErr w:type="gramStart"/>
            <w:r w:rsidRPr="00D77B9C">
              <w:t>requirements</w:t>
            </w:r>
            <w:proofErr w:type="gramEnd"/>
          </w:p>
          <w:p w14:paraId="0B15D140" w14:textId="4CDD4A6D" w:rsidR="0083194E" w:rsidRPr="00E265A8" w:rsidRDefault="0083194E" w:rsidP="00A12BD3">
            <w:pPr>
              <w:spacing w:after="0"/>
              <w:rPr>
                <w:color w:val="auto"/>
              </w:rPr>
            </w:pPr>
            <w:r>
              <w:t>It is not a requirement for this information to be</w:t>
            </w:r>
            <w:r w:rsidRPr="002F1FF4">
              <w:t xml:space="preserve"> </w:t>
            </w:r>
            <w:r>
              <w:t>p</w:t>
            </w:r>
            <w:r w:rsidRPr="00EE75B9">
              <w:t xml:space="preserve">ublished or </w:t>
            </w:r>
            <w:r>
              <w:t>publicly</w:t>
            </w:r>
            <w:r w:rsidRPr="00EE75B9">
              <w:t xml:space="preserve"> available</w:t>
            </w:r>
          </w:p>
        </w:tc>
        <w:tc>
          <w:tcPr>
            <w:tcW w:w="4613" w:type="dxa"/>
            <w:tcBorders>
              <w:bottom w:val="single" w:sz="4" w:space="0" w:color="auto"/>
            </w:tcBorders>
          </w:tcPr>
          <w:p w14:paraId="656ECE7C" w14:textId="77777777" w:rsidR="0083194E" w:rsidRPr="00A91E28" w:rsidRDefault="0083194E" w:rsidP="00C53A7D">
            <w:pPr>
              <w:spacing w:after="0"/>
            </w:pPr>
            <w:r>
              <w:t>Validation and verification reports</w:t>
            </w:r>
          </w:p>
          <w:p w14:paraId="6F0200F1" w14:textId="1C5850AD" w:rsidR="0083194E" w:rsidRDefault="0083194E" w:rsidP="00A12BD3">
            <w:pPr>
              <w:spacing w:after="0"/>
              <w:rPr>
                <w:color w:val="auto"/>
              </w:rPr>
            </w:pPr>
            <w:r>
              <w:rPr>
                <w:color w:val="auto"/>
              </w:rPr>
              <w:t>Annex II (6)</w:t>
            </w:r>
          </w:p>
          <w:p w14:paraId="031BCE00" w14:textId="77777777" w:rsidR="0083194E" w:rsidRDefault="0083194E" w:rsidP="00A12BD3">
            <w:pPr>
              <w:spacing w:after="0"/>
            </w:pPr>
          </w:p>
          <w:p w14:paraId="66F469F9" w14:textId="77777777" w:rsidR="0083194E" w:rsidRDefault="0083194E" w:rsidP="00A12BD3">
            <w:pPr>
              <w:spacing w:after="0"/>
            </w:pPr>
            <w:r>
              <w:t>Clinical investigation/evaluation reports</w:t>
            </w:r>
          </w:p>
          <w:p w14:paraId="49926A1F" w14:textId="77777777" w:rsidR="0083194E" w:rsidRDefault="0083194E" w:rsidP="00A12BD3">
            <w:pPr>
              <w:spacing w:after="0"/>
            </w:pPr>
            <w:r>
              <w:t xml:space="preserve">Annex </w:t>
            </w:r>
            <w:r w:rsidRPr="008B3A88">
              <w:t>XIV</w:t>
            </w:r>
            <w:r>
              <w:t xml:space="preserve"> (A)</w:t>
            </w:r>
          </w:p>
          <w:p w14:paraId="00D0DF0E" w14:textId="10FDF9FC" w:rsidR="0083194E" w:rsidRDefault="0083194E" w:rsidP="00A12BD3">
            <w:pPr>
              <w:spacing w:after="0"/>
            </w:pPr>
            <w:r>
              <w:t xml:space="preserve">Annex XV </w:t>
            </w:r>
          </w:p>
        </w:tc>
      </w:tr>
      <w:tr w:rsidR="00E76D27" w14:paraId="5B441A78" w14:textId="77777777" w:rsidTr="00506CF3">
        <w:trPr>
          <w:trHeight w:val="2550"/>
        </w:trPr>
        <w:tc>
          <w:tcPr>
            <w:tcW w:w="2235" w:type="dxa"/>
          </w:tcPr>
          <w:p w14:paraId="519D0262" w14:textId="77777777" w:rsidR="00E76D27" w:rsidRPr="00E265A8" w:rsidRDefault="00E76D27" w:rsidP="00A12BD3">
            <w:pPr>
              <w:spacing w:after="0"/>
              <w:rPr>
                <w:color w:val="auto"/>
              </w:rPr>
            </w:pPr>
            <w:r w:rsidRPr="00E265A8">
              <w:rPr>
                <w:color w:val="auto"/>
              </w:rPr>
              <w:t>Relevance to current care pathways in the U</w:t>
            </w:r>
            <w:r>
              <w:rPr>
                <w:color w:val="auto"/>
              </w:rPr>
              <w:t>K health and social care system</w:t>
            </w:r>
          </w:p>
        </w:tc>
        <w:tc>
          <w:tcPr>
            <w:tcW w:w="4394" w:type="dxa"/>
          </w:tcPr>
          <w:p w14:paraId="0F714ED5" w14:textId="531E4565" w:rsidR="00E76D27" w:rsidRDefault="00E76D27" w:rsidP="00A12BD3">
            <w:pPr>
              <w:spacing w:after="0"/>
            </w:pPr>
            <w:r w:rsidRPr="00E265A8">
              <w:rPr>
                <w:color w:val="auto"/>
              </w:rPr>
              <w:t>Evidence to show successful implementation of the DHT in the UK health and social care system</w:t>
            </w:r>
          </w:p>
        </w:tc>
        <w:tc>
          <w:tcPr>
            <w:tcW w:w="3544" w:type="dxa"/>
          </w:tcPr>
          <w:p w14:paraId="08EA0412" w14:textId="607D22E5" w:rsidR="00E76D27" w:rsidRPr="005C1A8D" w:rsidRDefault="00E76D27" w:rsidP="00A12BD3">
            <w:pPr>
              <w:spacing w:after="0"/>
            </w:pPr>
            <w:r>
              <w:t xml:space="preserve">No explicit requirement for </w:t>
            </w:r>
            <w:r w:rsidRPr="00191F5B">
              <w:t>successful implementation in the health and social care system</w:t>
            </w:r>
            <w:r>
              <w:t xml:space="preserve"> (UK or otherwise), but likely to be covered by validation, clinical evaluation, clinical investigation if applicable, and post-market surveillance</w:t>
            </w:r>
          </w:p>
        </w:tc>
        <w:tc>
          <w:tcPr>
            <w:tcW w:w="4613" w:type="dxa"/>
          </w:tcPr>
          <w:p w14:paraId="27D5EEFF" w14:textId="77777777" w:rsidR="00E76D27" w:rsidRDefault="00E76D27" w:rsidP="00A12BD3">
            <w:pPr>
              <w:spacing w:after="0"/>
            </w:pPr>
            <w:r>
              <w:t>Validation and verification reports</w:t>
            </w:r>
          </w:p>
          <w:p w14:paraId="5D15C93C" w14:textId="0AB45C87" w:rsidR="00E76D27" w:rsidRDefault="00E76D27" w:rsidP="00A12BD3">
            <w:pPr>
              <w:spacing w:after="0"/>
              <w:rPr>
                <w:color w:val="auto"/>
              </w:rPr>
            </w:pPr>
            <w:r>
              <w:rPr>
                <w:color w:val="auto"/>
              </w:rPr>
              <w:t>Annex II (6)</w:t>
            </w:r>
          </w:p>
          <w:p w14:paraId="444E519A" w14:textId="77777777" w:rsidR="00E76D27" w:rsidRDefault="00E76D27" w:rsidP="00A12BD3">
            <w:pPr>
              <w:spacing w:after="0"/>
            </w:pPr>
          </w:p>
          <w:p w14:paraId="553E6B33" w14:textId="77777777" w:rsidR="00E76D27" w:rsidRDefault="00E76D27" w:rsidP="00A12BD3">
            <w:pPr>
              <w:spacing w:after="0"/>
            </w:pPr>
            <w:r>
              <w:t>Clinical investigation/evaluation reports</w:t>
            </w:r>
          </w:p>
          <w:p w14:paraId="56A37711" w14:textId="77777777" w:rsidR="00E76D27" w:rsidRDefault="00E76D27" w:rsidP="00A12BD3">
            <w:pPr>
              <w:spacing w:after="0"/>
            </w:pPr>
            <w:r>
              <w:t xml:space="preserve">Annex </w:t>
            </w:r>
            <w:r w:rsidRPr="008B3A88">
              <w:t>XIV</w:t>
            </w:r>
            <w:r>
              <w:t xml:space="preserve"> (A)</w:t>
            </w:r>
          </w:p>
          <w:p w14:paraId="581BA476" w14:textId="0B9D6162" w:rsidR="00E76D27" w:rsidRDefault="00E76D27" w:rsidP="00A12BD3">
            <w:pPr>
              <w:spacing w:after="0"/>
            </w:pPr>
            <w:r>
              <w:t xml:space="preserve">Annex XV </w:t>
            </w:r>
          </w:p>
          <w:p w14:paraId="2FAD9750" w14:textId="77777777" w:rsidR="00E76D27" w:rsidRDefault="00E76D27" w:rsidP="00A12BD3">
            <w:pPr>
              <w:spacing w:after="0"/>
            </w:pPr>
          </w:p>
          <w:p w14:paraId="3781222D" w14:textId="77777777" w:rsidR="00E76D27" w:rsidRDefault="00E76D27" w:rsidP="00A12BD3">
            <w:pPr>
              <w:spacing w:after="0"/>
            </w:pPr>
            <w:r w:rsidRPr="007877A7">
              <w:rPr>
                <w:color w:val="auto"/>
              </w:rPr>
              <w:t>Post-market surveillance</w:t>
            </w:r>
            <w:r>
              <w:rPr>
                <w:color w:val="auto"/>
              </w:rPr>
              <w:t xml:space="preserve"> reports</w:t>
            </w:r>
          </w:p>
          <w:p w14:paraId="7008F3FB" w14:textId="77777777" w:rsidR="00E76D27" w:rsidRDefault="00E76D27" w:rsidP="00A12BD3">
            <w:pPr>
              <w:spacing w:after="0"/>
            </w:pPr>
            <w:r>
              <w:t>Article 85</w:t>
            </w:r>
          </w:p>
          <w:p w14:paraId="2284EA02" w14:textId="77777777" w:rsidR="00E76D27" w:rsidRDefault="00E76D27" w:rsidP="00A12BD3">
            <w:pPr>
              <w:spacing w:after="0"/>
            </w:pPr>
            <w:r>
              <w:t>Annex III</w:t>
            </w:r>
          </w:p>
          <w:p w14:paraId="7C0EB509" w14:textId="60121216" w:rsidR="00E76D27" w:rsidRDefault="00E76D27" w:rsidP="00A12BD3">
            <w:pPr>
              <w:spacing w:after="0"/>
            </w:pPr>
            <w:r>
              <w:t>Annex XIV (B)</w:t>
            </w:r>
          </w:p>
        </w:tc>
      </w:tr>
      <w:tr w:rsidR="00E76D27" w14:paraId="5A628BB4" w14:textId="77777777" w:rsidTr="00506CF3">
        <w:tc>
          <w:tcPr>
            <w:tcW w:w="2235" w:type="dxa"/>
          </w:tcPr>
          <w:p w14:paraId="2ABEDC70" w14:textId="77777777" w:rsidR="00E76D27" w:rsidRPr="00E265A8" w:rsidRDefault="00E76D27" w:rsidP="00A12BD3">
            <w:pPr>
              <w:spacing w:after="0"/>
              <w:rPr>
                <w:color w:val="auto"/>
              </w:rPr>
            </w:pPr>
            <w:r>
              <w:rPr>
                <w:color w:val="auto"/>
              </w:rPr>
              <w:t>Acceptability with users</w:t>
            </w:r>
          </w:p>
        </w:tc>
        <w:tc>
          <w:tcPr>
            <w:tcW w:w="4394" w:type="dxa"/>
          </w:tcPr>
          <w:p w14:paraId="771B708D" w14:textId="55E31441" w:rsidR="00E76D27" w:rsidRDefault="00E76D27" w:rsidP="00A12BD3">
            <w:pPr>
              <w:spacing w:after="0"/>
            </w:pPr>
            <w:r w:rsidRPr="00E265A8">
              <w:rPr>
                <w:color w:val="auto"/>
              </w:rPr>
              <w:t xml:space="preserve">Published or </w:t>
            </w:r>
            <w:r>
              <w:rPr>
                <w:color w:val="auto"/>
              </w:rPr>
              <w:t>publicly</w:t>
            </w:r>
            <w:r w:rsidRPr="00E265A8">
              <w:rPr>
                <w:color w:val="auto"/>
              </w:rPr>
              <w:t xml:space="preserve"> available evidence to show that representatives from relevant user groups were involved in the design, development or testing of the DHT</w:t>
            </w:r>
          </w:p>
        </w:tc>
        <w:tc>
          <w:tcPr>
            <w:tcW w:w="3544" w:type="dxa"/>
          </w:tcPr>
          <w:p w14:paraId="72B9D671" w14:textId="77777777" w:rsidR="00E76D27" w:rsidRDefault="00E76D27" w:rsidP="00A12BD3">
            <w:pPr>
              <w:spacing w:after="0"/>
            </w:pPr>
            <w:r>
              <w:t>No</w:t>
            </w:r>
          </w:p>
          <w:p w14:paraId="5E64ABC1" w14:textId="506C648D" w:rsidR="00E76D27" w:rsidRPr="00E265A8" w:rsidRDefault="00E76D27" w:rsidP="00A12BD3">
            <w:pPr>
              <w:spacing w:after="0"/>
              <w:rPr>
                <w:color w:val="auto"/>
              </w:rPr>
            </w:pPr>
            <w:r>
              <w:t>It is not a requirement for this information to be</w:t>
            </w:r>
            <w:r w:rsidRPr="002F1FF4">
              <w:t xml:space="preserve"> </w:t>
            </w:r>
            <w:r>
              <w:t>p</w:t>
            </w:r>
            <w:r w:rsidRPr="00EE75B9">
              <w:t xml:space="preserve">ublished or </w:t>
            </w:r>
            <w:r>
              <w:t>publicly</w:t>
            </w:r>
            <w:r w:rsidRPr="00EE75B9">
              <w:t xml:space="preserve"> available</w:t>
            </w:r>
          </w:p>
        </w:tc>
        <w:tc>
          <w:tcPr>
            <w:tcW w:w="4613" w:type="dxa"/>
          </w:tcPr>
          <w:p w14:paraId="3FC01821" w14:textId="77777777" w:rsidR="00E76D27" w:rsidRPr="00A13590" w:rsidRDefault="00E76D27" w:rsidP="00A12BD3">
            <w:pPr>
              <w:spacing w:after="0"/>
            </w:pPr>
            <w:r>
              <w:t>Validation and verification reports</w:t>
            </w:r>
            <w:r>
              <w:rPr>
                <w:rStyle w:val="CommentReference"/>
              </w:rPr>
              <w:t xml:space="preserve"> </w:t>
            </w:r>
          </w:p>
          <w:p w14:paraId="31CB2BF8" w14:textId="4D834377" w:rsidR="00E76D27" w:rsidRDefault="00E76D27" w:rsidP="00A12BD3">
            <w:pPr>
              <w:spacing w:after="0"/>
            </w:pPr>
            <w:r>
              <w:rPr>
                <w:color w:val="auto"/>
              </w:rPr>
              <w:t>Annex II (6)</w:t>
            </w:r>
          </w:p>
        </w:tc>
      </w:tr>
      <w:tr w:rsidR="00E76D27" w14:paraId="0DD3E5DA" w14:textId="77777777" w:rsidTr="00A36CFF">
        <w:trPr>
          <w:trHeight w:val="518"/>
        </w:trPr>
        <w:tc>
          <w:tcPr>
            <w:tcW w:w="2235" w:type="dxa"/>
          </w:tcPr>
          <w:p w14:paraId="11966497" w14:textId="2D337445" w:rsidR="00E76D27" w:rsidRPr="00E265A8" w:rsidRDefault="00E76D27" w:rsidP="00A12BD3">
            <w:pPr>
              <w:spacing w:after="0"/>
              <w:rPr>
                <w:color w:val="auto"/>
              </w:rPr>
            </w:pPr>
            <w:r>
              <w:rPr>
                <w:color w:val="auto"/>
              </w:rPr>
              <w:t>Acceptability with users</w:t>
            </w:r>
          </w:p>
        </w:tc>
        <w:tc>
          <w:tcPr>
            <w:tcW w:w="4394" w:type="dxa"/>
          </w:tcPr>
          <w:p w14:paraId="519DB36B" w14:textId="47BD7450" w:rsidR="00E76D27" w:rsidRDefault="00E76D27" w:rsidP="00A12BD3">
            <w:pPr>
              <w:spacing w:after="0"/>
            </w:pPr>
            <w:r w:rsidRPr="00E265A8">
              <w:rPr>
                <w:color w:val="auto"/>
              </w:rPr>
              <w:t xml:space="preserve">Published or </w:t>
            </w:r>
            <w:r>
              <w:rPr>
                <w:color w:val="auto"/>
              </w:rPr>
              <w:t>publicly</w:t>
            </w:r>
            <w:r w:rsidRPr="00E265A8">
              <w:rPr>
                <w:color w:val="auto"/>
              </w:rPr>
              <w:t xml:space="preserve"> available evidence to show that users are satisfied with the DHT</w:t>
            </w:r>
          </w:p>
        </w:tc>
        <w:tc>
          <w:tcPr>
            <w:tcW w:w="3544" w:type="dxa"/>
          </w:tcPr>
          <w:p w14:paraId="29F9036A" w14:textId="77777777" w:rsidR="00E76D27" w:rsidRDefault="00E76D27" w:rsidP="00A12BD3">
            <w:pPr>
              <w:spacing w:after="0"/>
            </w:pPr>
            <w:r>
              <w:t>No</w:t>
            </w:r>
          </w:p>
          <w:p w14:paraId="5104B06E" w14:textId="623D7780" w:rsidR="00E76D27" w:rsidRPr="00E265A8" w:rsidRDefault="00E76D27" w:rsidP="00A12BD3">
            <w:pPr>
              <w:spacing w:after="0"/>
              <w:rPr>
                <w:color w:val="auto"/>
              </w:rPr>
            </w:pPr>
            <w:r>
              <w:t>It is not a requirement for this information to be</w:t>
            </w:r>
            <w:r w:rsidRPr="002F1FF4">
              <w:t xml:space="preserve"> </w:t>
            </w:r>
            <w:r>
              <w:t>p</w:t>
            </w:r>
            <w:r w:rsidRPr="00EE75B9">
              <w:t xml:space="preserve">ublished or </w:t>
            </w:r>
            <w:r>
              <w:t>publicly</w:t>
            </w:r>
            <w:r w:rsidRPr="00EE75B9">
              <w:t xml:space="preserve"> available</w:t>
            </w:r>
          </w:p>
        </w:tc>
        <w:tc>
          <w:tcPr>
            <w:tcW w:w="4613" w:type="dxa"/>
          </w:tcPr>
          <w:p w14:paraId="477BF8C0" w14:textId="77777777" w:rsidR="00E76D27" w:rsidRPr="008B3A88" w:rsidRDefault="00E76D27" w:rsidP="00A12BD3">
            <w:pPr>
              <w:spacing w:after="0"/>
            </w:pPr>
            <w:r>
              <w:t>Validation and verification reports</w:t>
            </w:r>
          </w:p>
          <w:p w14:paraId="12546181" w14:textId="390C909A" w:rsidR="00E76D27" w:rsidRDefault="00E76D27" w:rsidP="00A12BD3">
            <w:pPr>
              <w:spacing w:after="0"/>
              <w:rPr>
                <w:color w:val="auto"/>
              </w:rPr>
            </w:pPr>
            <w:r>
              <w:rPr>
                <w:color w:val="auto"/>
              </w:rPr>
              <w:t>Annex II (6)</w:t>
            </w:r>
          </w:p>
          <w:p w14:paraId="321441C2" w14:textId="77777777" w:rsidR="00E76D27" w:rsidRDefault="00E76D27" w:rsidP="00A12BD3">
            <w:pPr>
              <w:spacing w:after="0"/>
            </w:pPr>
          </w:p>
          <w:p w14:paraId="7A02AEAB" w14:textId="77777777" w:rsidR="00E76D27" w:rsidRPr="007C18D2" w:rsidRDefault="00E76D27" w:rsidP="00A12BD3">
            <w:pPr>
              <w:spacing w:after="0"/>
            </w:pPr>
            <w:r w:rsidRPr="007C18D2">
              <w:t>Clinical investigation/evaluation reports</w:t>
            </w:r>
          </w:p>
          <w:p w14:paraId="53F3DCEB" w14:textId="77777777" w:rsidR="00E76D27" w:rsidRDefault="00E76D27" w:rsidP="00A12BD3">
            <w:pPr>
              <w:spacing w:after="0"/>
            </w:pPr>
            <w:r>
              <w:t xml:space="preserve">Annex </w:t>
            </w:r>
            <w:r w:rsidRPr="008B3A88">
              <w:t>XIV</w:t>
            </w:r>
            <w:r>
              <w:t xml:space="preserve"> (A)</w:t>
            </w:r>
          </w:p>
          <w:p w14:paraId="4D6EF485" w14:textId="4E2B72D6" w:rsidR="00E76D27" w:rsidRDefault="00E76D27" w:rsidP="00A12BD3">
            <w:pPr>
              <w:spacing w:after="0"/>
            </w:pPr>
            <w:r>
              <w:t xml:space="preserve">Annex XV </w:t>
            </w:r>
          </w:p>
          <w:p w14:paraId="73E160E4" w14:textId="77777777" w:rsidR="00E76D27" w:rsidRDefault="00E76D27" w:rsidP="00A12BD3">
            <w:pPr>
              <w:spacing w:after="0"/>
            </w:pPr>
          </w:p>
          <w:p w14:paraId="34A7614B" w14:textId="77777777" w:rsidR="00E76D27" w:rsidRPr="007C18D2" w:rsidRDefault="00E76D27" w:rsidP="00A12BD3">
            <w:pPr>
              <w:spacing w:after="0"/>
            </w:pPr>
            <w:r w:rsidRPr="007C18D2">
              <w:rPr>
                <w:color w:val="auto"/>
              </w:rPr>
              <w:t>Post-market surveillance reports</w:t>
            </w:r>
          </w:p>
          <w:p w14:paraId="144C3EF5" w14:textId="77777777" w:rsidR="00E76D27" w:rsidRDefault="00E76D27" w:rsidP="00A12BD3">
            <w:pPr>
              <w:spacing w:after="0"/>
            </w:pPr>
            <w:r>
              <w:t>Article 85</w:t>
            </w:r>
          </w:p>
          <w:p w14:paraId="4C180622" w14:textId="77777777" w:rsidR="00E76D27" w:rsidRDefault="00E76D27" w:rsidP="00A12BD3">
            <w:pPr>
              <w:spacing w:after="0"/>
            </w:pPr>
            <w:r>
              <w:lastRenderedPageBreak/>
              <w:t>Annex III</w:t>
            </w:r>
          </w:p>
          <w:p w14:paraId="32E171B4" w14:textId="50B02AFB" w:rsidR="00E76D27" w:rsidRDefault="00E76D27" w:rsidP="00A12BD3">
            <w:pPr>
              <w:spacing w:after="0"/>
            </w:pPr>
            <w:r>
              <w:t>Annex XIV (B)</w:t>
            </w:r>
          </w:p>
        </w:tc>
      </w:tr>
      <w:tr w:rsidR="005C7BEB" w14:paraId="0E7F13DD" w14:textId="77777777" w:rsidTr="00506CF3">
        <w:trPr>
          <w:trHeight w:val="234"/>
        </w:trPr>
        <w:tc>
          <w:tcPr>
            <w:tcW w:w="2235" w:type="dxa"/>
          </w:tcPr>
          <w:p w14:paraId="7B532A7F" w14:textId="77777777" w:rsidR="005C7BEB" w:rsidRPr="00E265A8" w:rsidRDefault="005C7BEB" w:rsidP="00A12BD3">
            <w:pPr>
              <w:spacing w:after="0"/>
              <w:rPr>
                <w:color w:val="auto"/>
              </w:rPr>
            </w:pPr>
            <w:r w:rsidRPr="00E265A8">
              <w:rPr>
                <w:color w:val="auto"/>
              </w:rPr>
              <w:lastRenderedPageBreak/>
              <w:t xml:space="preserve">Equalities considerations </w:t>
            </w:r>
          </w:p>
        </w:tc>
        <w:tc>
          <w:tcPr>
            <w:tcW w:w="4394" w:type="dxa"/>
          </w:tcPr>
          <w:p w14:paraId="40924817" w14:textId="7BEEA8A7" w:rsidR="005C7BEB" w:rsidRPr="00EF4FEB" w:rsidRDefault="005C7BEB" w:rsidP="00A12BD3">
            <w:pPr>
              <w:spacing w:after="0"/>
              <w:rPr>
                <w:color w:val="auto"/>
              </w:rPr>
            </w:pPr>
            <w:r w:rsidRPr="00E265A8">
              <w:rPr>
                <w:color w:val="auto"/>
              </w:rPr>
              <w:t>Show evidence of the DHT being used in hard-to-reach populations</w:t>
            </w:r>
          </w:p>
        </w:tc>
        <w:tc>
          <w:tcPr>
            <w:tcW w:w="3544" w:type="dxa"/>
          </w:tcPr>
          <w:p w14:paraId="46E4813B" w14:textId="0DC90595" w:rsidR="005C7BEB" w:rsidRPr="00B1522B" w:rsidRDefault="005C7BEB" w:rsidP="00A12BD3">
            <w:pPr>
              <w:spacing w:after="0"/>
            </w:pPr>
            <w:r w:rsidRPr="00EF4FEB">
              <w:rPr>
                <w:color w:val="auto"/>
              </w:rPr>
              <w:t xml:space="preserve">Not explicitly, but may feed into establishing and validating user </w:t>
            </w:r>
            <w:r>
              <w:t>requirements</w:t>
            </w:r>
          </w:p>
        </w:tc>
        <w:tc>
          <w:tcPr>
            <w:tcW w:w="4613" w:type="dxa"/>
          </w:tcPr>
          <w:p w14:paraId="7A9891C5" w14:textId="77777777" w:rsidR="005C7BEB" w:rsidRPr="008B3A88" w:rsidRDefault="005C7BEB" w:rsidP="00A12BD3">
            <w:pPr>
              <w:spacing w:after="0"/>
            </w:pPr>
            <w:r>
              <w:t>Validation and verification reports</w:t>
            </w:r>
          </w:p>
          <w:p w14:paraId="5AA1F71B" w14:textId="797CAD4B" w:rsidR="005C7BEB" w:rsidRDefault="005C7BEB" w:rsidP="00A12BD3">
            <w:pPr>
              <w:spacing w:after="0"/>
              <w:rPr>
                <w:color w:val="auto"/>
              </w:rPr>
            </w:pPr>
            <w:r>
              <w:rPr>
                <w:color w:val="auto"/>
              </w:rPr>
              <w:t>Annex II (6)</w:t>
            </w:r>
          </w:p>
          <w:p w14:paraId="3F1120F0" w14:textId="77777777" w:rsidR="005C7BEB" w:rsidRDefault="005C7BEB" w:rsidP="00A12BD3">
            <w:pPr>
              <w:spacing w:after="0"/>
            </w:pPr>
          </w:p>
          <w:p w14:paraId="4A1D3BFC" w14:textId="77777777" w:rsidR="005C7BEB" w:rsidRDefault="005C7BEB" w:rsidP="00A12BD3">
            <w:pPr>
              <w:spacing w:after="0"/>
            </w:pPr>
            <w:r>
              <w:t>Clinical investigation/evaluation reports</w:t>
            </w:r>
          </w:p>
          <w:p w14:paraId="5E93117B" w14:textId="77777777" w:rsidR="005C7BEB" w:rsidRDefault="005C7BEB" w:rsidP="00A12BD3">
            <w:pPr>
              <w:spacing w:after="0"/>
            </w:pPr>
            <w:r>
              <w:t xml:space="preserve">Annex </w:t>
            </w:r>
            <w:r w:rsidRPr="008B3A88">
              <w:t>XIV</w:t>
            </w:r>
            <w:r>
              <w:t xml:space="preserve"> (A)</w:t>
            </w:r>
          </w:p>
          <w:p w14:paraId="4B127AD8" w14:textId="0F29796C" w:rsidR="005C7BEB" w:rsidRDefault="005C7BEB" w:rsidP="00A12BD3">
            <w:pPr>
              <w:spacing w:after="0"/>
            </w:pPr>
            <w:r>
              <w:t xml:space="preserve">Annex XV </w:t>
            </w:r>
          </w:p>
          <w:p w14:paraId="4523DCBB" w14:textId="77777777" w:rsidR="005C7BEB" w:rsidRDefault="005C7BEB" w:rsidP="00A12BD3">
            <w:pPr>
              <w:spacing w:after="0"/>
            </w:pPr>
          </w:p>
          <w:p w14:paraId="1EFF7E2C" w14:textId="77777777" w:rsidR="005C7BEB" w:rsidRDefault="005C7BEB" w:rsidP="00A12BD3">
            <w:pPr>
              <w:spacing w:after="0"/>
            </w:pPr>
            <w:r>
              <w:t>Post market surveillance reports</w:t>
            </w:r>
          </w:p>
          <w:p w14:paraId="4A981F52" w14:textId="77777777" w:rsidR="005C7BEB" w:rsidRDefault="005C7BEB" w:rsidP="00A12BD3">
            <w:pPr>
              <w:spacing w:after="0"/>
            </w:pPr>
            <w:r>
              <w:t>Article 85</w:t>
            </w:r>
          </w:p>
          <w:p w14:paraId="48F6759D" w14:textId="77777777" w:rsidR="005C7BEB" w:rsidRDefault="005C7BEB" w:rsidP="00A12BD3">
            <w:pPr>
              <w:spacing w:after="0"/>
            </w:pPr>
            <w:r>
              <w:t>Annex III</w:t>
            </w:r>
          </w:p>
          <w:p w14:paraId="4826AB1B" w14:textId="320AE64C" w:rsidR="005C7BEB" w:rsidRDefault="005C7BEB" w:rsidP="00A12BD3">
            <w:pPr>
              <w:spacing w:after="0"/>
            </w:pPr>
            <w:r>
              <w:t>Annex XIV (B)</w:t>
            </w:r>
          </w:p>
        </w:tc>
      </w:tr>
      <w:tr w:rsidR="00DB3B77" w14:paraId="2D8E6B9B" w14:textId="77777777" w:rsidTr="005A7DD3">
        <w:trPr>
          <w:trHeight w:val="3570"/>
        </w:trPr>
        <w:tc>
          <w:tcPr>
            <w:tcW w:w="2235" w:type="dxa"/>
          </w:tcPr>
          <w:p w14:paraId="1732A038" w14:textId="2D631DAE" w:rsidR="00DB3B77" w:rsidRPr="00E265A8" w:rsidRDefault="00DB3B77" w:rsidP="00DB3B77">
            <w:pPr>
              <w:spacing w:after="0"/>
              <w:rPr>
                <w:color w:val="auto"/>
              </w:rPr>
            </w:pPr>
            <w:r w:rsidRPr="007E736D">
              <w:t>Accurate and reliable measurements (if</w:t>
            </w:r>
            <w:r>
              <w:t xml:space="preserve"> relevant)</w:t>
            </w:r>
          </w:p>
        </w:tc>
        <w:tc>
          <w:tcPr>
            <w:tcW w:w="4394" w:type="dxa"/>
          </w:tcPr>
          <w:p w14:paraId="4E765A67" w14:textId="2D9B1037" w:rsidR="00DB3B77" w:rsidRDefault="00027873" w:rsidP="00DB3B77">
            <w:pPr>
              <w:spacing w:after="0"/>
            </w:pPr>
            <w:r>
              <w:t>Quantitative d</w:t>
            </w:r>
            <w:r w:rsidR="00DB3B77" w:rsidRPr="0070689B">
              <w:t>ata or analysis which shows that the data generated or recorded by the DHT is</w:t>
            </w:r>
            <w:r w:rsidR="00DB3B77">
              <w:t xml:space="preserve"> </w:t>
            </w:r>
            <w:r w:rsidR="00DB3B77" w:rsidRPr="007E736D">
              <w:t>accurate, reproducible</w:t>
            </w:r>
            <w:r w:rsidR="00DB3B77">
              <w:t xml:space="preserve"> </w:t>
            </w:r>
            <w:r w:rsidR="00DB3B77" w:rsidRPr="007E736D">
              <w:t xml:space="preserve">and relevant to the range of values expected in the target </w:t>
            </w:r>
            <w:proofErr w:type="gramStart"/>
            <w:r w:rsidR="00DB3B77" w:rsidRPr="007E736D">
              <w:t>population</w:t>
            </w:r>
            <w:proofErr w:type="gramEnd"/>
          </w:p>
          <w:p w14:paraId="2D76F21E" w14:textId="77777777" w:rsidR="00DB3B77" w:rsidRDefault="00DB3B77" w:rsidP="00DB3B77">
            <w:pPr>
              <w:spacing w:after="0"/>
            </w:pPr>
          </w:p>
          <w:p w14:paraId="0C393533" w14:textId="458186FA" w:rsidR="00DB3B77" w:rsidRDefault="00027873" w:rsidP="00DB3B77">
            <w:pPr>
              <w:spacing w:after="0"/>
              <w:rPr>
                <w:color w:val="auto"/>
              </w:rPr>
            </w:pPr>
            <w:r>
              <w:t>Quantitative d</w:t>
            </w:r>
            <w:r w:rsidR="00DB3B77" w:rsidRPr="007E736D">
              <w:t xml:space="preserve">ata showing that the DHT </w:t>
            </w:r>
            <w:proofErr w:type="gramStart"/>
            <w:r w:rsidR="00DB3B77" w:rsidRPr="007E736D">
              <w:t>is able to</w:t>
            </w:r>
            <w:proofErr w:type="gramEnd"/>
            <w:r w:rsidR="00DB3B77" w:rsidRPr="007E736D">
              <w:t xml:space="preserve"> detect clinically relevant changes or responses</w:t>
            </w:r>
          </w:p>
        </w:tc>
        <w:tc>
          <w:tcPr>
            <w:tcW w:w="3544" w:type="dxa"/>
          </w:tcPr>
          <w:p w14:paraId="126F1709" w14:textId="77777777" w:rsidR="00DB3B77" w:rsidRDefault="00DB3B77" w:rsidP="00DB3B77">
            <w:pPr>
              <w:spacing w:after="0"/>
            </w:pPr>
            <w:r>
              <w:t>Yes</w:t>
            </w:r>
          </w:p>
          <w:p w14:paraId="09BAA97E" w14:textId="4AD37B27" w:rsidR="00DB3B77" w:rsidRDefault="00DB3B77" w:rsidP="00DB3B77">
            <w:pPr>
              <w:spacing w:after="0"/>
              <w:rPr>
                <w:color w:val="auto"/>
              </w:rPr>
            </w:pPr>
            <w:r>
              <w:t>Devices must meet the relevant safety and performance requirements</w:t>
            </w:r>
          </w:p>
        </w:tc>
        <w:tc>
          <w:tcPr>
            <w:tcW w:w="4613" w:type="dxa"/>
          </w:tcPr>
          <w:p w14:paraId="2E285A91" w14:textId="77777777" w:rsidR="00DB3B77" w:rsidRDefault="00DB3B77" w:rsidP="00DB3B77">
            <w:pPr>
              <w:spacing w:after="0"/>
              <w:rPr>
                <w:color w:val="auto"/>
              </w:rPr>
            </w:pPr>
            <w:r>
              <w:t>General safety and performance requirements</w:t>
            </w:r>
            <w:r>
              <w:rPr>
                <w:color w:val="auto"/>
              </w:rPr>
              <w:t xml:space="preserve"> </w:t>
            </w:r>
          </w:p>
          <w:p w14:paraId="5D272685" w14:textId="77777777" w:rsidR="00DB3B77" w:rsidRDefault="00DB3B77" w:rsidP="00DB3B77">
            <w:pPr>
              <w:spacing w:after="0"/>
              <w:rPr>
                <w:color w:val="auto"/>
              </w:rPr>
            </w:pPr>
            <w:r>
              <w:rPr>
                <w:color w:val="auto"/>
              </w:rPr>
              <w:t>Annex I (particularly 15)</w:t>
            </w:r>
          </w:p>
          <w:p w14:paraId="41FD9ED9" w14:textId="77777777" w:rsidR="00DB3B77" w:rsidRDefault="00DB3B77" w:rsidP="00DB3B77">
            <w:pPr>
              <w:spacing w:after="0"/>
              <w:rPr>
                <w:color w:val="auto"/>
              </w:rPr>
            </w:pPr>
          </w:p>
          <w:p w14:paraId="39C3BF34" w14:textId="77777777" w:rsidR="00DB3B77" w:rsidRDefault="00DB3B77" w:rsidP="00DB3B77">
            <w:pPr>
              <w:spacing w:after="0"/>
              <w:rPr>
                <w:color w:val="auto"/>
              </w:rPr>
            </w:pPr>
            <w:r>
              <w:t>Validation and verification reports</w:t>
            </w:r>
            <w:r>
              <w:rPr>
                <w:color w:val="auto"/>
              </w:rPr>
              <w:t xml:space="preserve"> </w:t>
            </w:r>
          </w:p>
          <w:p w14:paraId="258AF599" w14:textId="77777777" w:rsidR="00DB3B77" w:rsidRDefault="00DB3B77" w:rsidP="00DB3B77">
            <w:pPr>
              <w:spacing w:after="0"/>
            </w:pPr>
            <w:r>
              <w:rPr>
                <w:color w:val="auto"/>
              </w:rPr>
              <w:t>Annex II (6)</w:t>
            </w:r>
            <w:r>
              <w:t xml:space="preserve"> </w:t>
            </w:r>
          </w:p>
          <w:p w14:paraId="5EFCC1E7" w14:textId="77777777" w:rsidR="00DB3B77" w:rsidRDefault="00DB3B77" w:rsidP="00DB3B77">
            <w:pPr>
              <w:spacing w:after="0"/>
            </w:pPr>
          </w:p>
          <w:p w14:paraId="21A79429" w14:textId="77777777" w:rsidR="00DB3B77" w:rsidRDefault="00DB3B77" w:rsidP="00DB3B77">
            <w:pPr>
              <w:spacing w:after="0"/>
              <w:rPr>
                <w:color w:val="auto"/>
              </w:rPr>
            </w:pPr>
            <w:r>
              <w:t>Clinical investigation/evaluation reports</w:t>
            </w:r>
            <w:r w:rsidRPr="00A91E28">
              <w:rPr>
                <w:color w:val="auto"/>
              </w:rPr>
              <w:t xml:space="preserve"> </w:t>
            </w:r>
          </w:p>
          <w:p w14:paraId="34EBA92F" w14:textId="77777777" w:rsidR="00DB3B77" w:rsidRDefault="00DB3B77" w:rsidP="00DB3B77">
            <w:pPr>
              <w:spacing w:after="0"/>
            </w:pPr>
            <w:r>
              <w:t xml:space="preserve">Annex </w:t>
            </w:r>
            <w:r w:rsidRPr="008B3A88">
              <w:t>XIV</w:t>
            </w:r>
            <w:r>
              <w:t xml:space="preserve"> (A)</w:t>
            </w:r>
          </w:p>
          <w:p w14:paraId="4FC64411" w14:textId="77777777" w:rsidR="00DB3B77" w:rsidRDefault="00DB3B77" w:rsidP="00DB3B77">
            <w:pPr>
              <w:spacing w:after="0"/>
              <w:rPr>
                <w:color w:val="auto"/>
              </w:rPr>
            </w:pPr>
            <w:r>
              <w:t>Annex XV</w:t>
            </w:r>
          </w:p>
          <w:p w14:paraId="042E31C5" w14:textId="77777777" w:rsidR="00DB3B77" w:rsidRDefault="00DB3B77" w:rsidP="00DB3B77">
            <w:pPr>
              <w:spacing w:after="0"/>
              <w:rPr>
                <w:color w:val="auto"/>
              </w:rPr>
            </w:pPr>
          </w:p>
          <w:p w14:paraId="7B381420" w14:textId="77777777" w:rsidR="00DB3B77" w:rsidRDefault="00DB3B77" w:rsidP="00DB3B77">
            <w:pPr>
              <w:spacing w:after="0"/>
            </w:pPr>
            <w:r w:rsidRPr="00A91E28">
              <w:rPr>
                <w:color w:val="auto"/>
              </w:rPr>
              <w:t>Summary of safety and clinical performance (class III)</w:t>
            </w:r>
            <w:r w:rsidRPr="008B3A88">
              <w:t xml:space="preserve"> </w:t>
            </w:r>
          </w:p>
          <w:p w14:paraId="5904F095" w14:textId="31690D5B" w:rsidR="00DB3B77" w:rsidRDefault="00DB3B77" w:rsidP="00DB3B77">
            <w:pPr>
              <w:spacing w:after="0"/>
            </w:pPr>
            <w:r w:rsidRPr="008B3A88">
              <w:t>Article 32</w:t>
            </w:r>
          </w:p>
        </w:tc>
      </w:tr>
      <w:tr w:rsidR="00012049" w14:paraId="079CA6E3" w14:textId="77777777" w:rsidTr="005A7DD3">
        <w:trPr>
          <w:trHeight w:val="3570"/>
        </w:trPr>
        <w:tc>
          <w:tcPr>
            <w:tcW w:w="2235" w:type="dxa"/>
          </w:tcPr>
          <w:p w14:paraId="6D5806E7" w14:textId="77777777" w:rsidR="00012049" w:rsidRPr="00E265A8" w:rsidRDefault="00012049" w:rsidP="00A12BD3">
            <w:pPr>
              <w:spacing w:after="0"/>
              <w:rPr>
                <w:color w:val="auto"/>
              </w:rPr>
            </w:pPr>
            <w:r w:rsidRPr="00E265A8">
              <w:rPr>
                <w:color w:val="auto"/>
              </w:rPr>
              <w:lastRenderedPageBreak/>
              <w:t>Accurate and reliable tra</w:t>
            </w:r>
            <w:r>
              <w:rPr>
                <w:color w:val="auto"/>
              </w:rPr>
              <w:t>nsmission of data (if relevant)</w:t>
            </w:r>
            <w:r w:rsidRPr="00E265A8">
              <w:rPr>
                <w:color w:val="auto"/>
              </w:rPr>
              <w:t xml:space="preserve"> </w:t>
            </w:r>
          </w:p>
        </w:tc>
        <w:tc>
          <w:tcPr>
            <w:tcW w:w="4394" w:type="dxa"/>
          </w:tcPr>
          <w:p w14:paraId="51F0110B" w14:textId="21F47265" w:rsidR="00012049" w:rsidRDefault="00012049" w:rsidP="00A12BD3">
            <w:pPr>
              <w:spacing w:after="0"/>
              <w:rPr>
                <w:color w:val="auto"/>
              </w:rPr>
            </w:pPr>
            <w:r>
              <w:rPr>
                <w:color w:val="auto"/>
              </w:rPr>
              <w:t xml:space="preserve">Technical </w:t>
            </w:r>
            <w:r w:rsidRPr="00E265A8">
              <w:rPr>
                <w:color w:val="auto"/>
              </w:rPr>
              <w:t xml:space="preserve">data showing that numerical, text, audio, image-based, graphic-based or video information is not changed during the transmission </w:t>
            </w:r>
            <w:proofErr w:type="gramStart"/>
            <w:r w:rsidRPr="00E265A8">
              <w:rPr>
                <w:color w:val="auto"/>
              </w:rPr>
              <w:t>process</w:t>
            </w:r>
            <w:proofErr w:type="gramEnd"/>
          </w:p>
          <w:p w14:paraId="33A119F0" w14:textId="77777777" w:rsidR="00012049" w:rsidRDefault="00012049" w:rsidP="00A12BD3">
            <w:pPr>
              <w:spacing w:after="0"/>
              <w:rPr>
                <w:color w:val="auto"/>
              </w:rPr>
            </w:pPr>
          </w:p>
          <w:p w14:paraId="650DAD19" w14:textId="39D54EDB" w:rsidR="00012049" w:rsidRDefault="00012049" w:rsidP="00A12BD3">
            <w:pPr>
              <w:spacing w:after="0"/>
              <w:rPr>
                <w:color w:val="auto"/>
              </w:rPr>
            </w:pPr>
            <w:r w:rsidRPr="00E265A8">
              <w:rPr>
                <w:color w:val="auto"/>
              </w:rPr>
              <w:t>Quantitative data showing that numerical, text, audio, image-based, graphic-based or video information is not biased by the data ‘value’ expected from the target patient population</w:t>
            </w:r>
          </w:p>
        </w:tc>
        <w:tc>
          <w:tcPr>
            <w:tcW w:w="3544" w:type="dxa"/>
          </w:tcPr>
          <w:p w14:paraId="58B6888C" w14:textId="77777777" w:rsidR="00012049" w:rsidRDefault="00012049" w:rsidP="00A12BD3">
            <w:pPr>
              <w:spacing w:after="0"/>
              <w:rPr>
                <w:color w:val="auto"/>
              </w:rPr>
            </w:pPr>
            <w:r>
              <w:rPr>
                <w:color w:val="auto"/>
              </w:rPr>
              <w:t>Yes</w:t>
            </w:r>
          </w:p>
          <w:p w14:paraId="6DA15559" w14:textId="77777777" w:rsidR="00012049" w:rsidRPr="00E265A8" w:rsidRDefault="00012049" w:rsidP="00A12BD3">
            <w:pPr>
              <w:spacing w:after="0"/>
              <w:rPr>
                <w:color w:val="auto"/>
              </w:rPr>
            </w:pPr>
            <w:r>
              <w:t>Devices must meet the relevant safety and performance requirements</w:t>
            </w:r>
          </w:p>
          <w:p w14:paraId="61542626" w14:textId="77777777" w:rsidR="00012049" w:rsidRPr="00E265A8" w:rsidRDefault="00012049" w:rsidP="00A12BD3">
            <w:pPr>
              <w:spacing w:after="0"/>
              <w:rPr>
                <w:color w:val="auto"/>
              </w:rPr>
            </w:pPr>
          </w:p>
        </w:tc>
        <w:tc>
          <w:tcPr>
            <w:tcW w:w="4613" w:type="dxa"/>
          </w:tcPr>
          <w:p w14:paraId="7F4D1A10" w14:textId="77777777" w:rsidR="00012049" w:rsidRPr="008B3A88" w:rsidRDefault="00012049" w:rsidP="00A12BD3">
            <w:pPr>
              <w:spacing w:after="0"/>
            </w:pPr>
            <w:r>
              <w:t>General safety and performance requirements checklist</w:t>
            </w:r>
          </w:p>
          <w:p w14:paraId="1A5E35AE" w14:textId="46A6FF21" w:rsidR="00012049" w:rsidRDefault="00012049" w:rsidP="00A12BD3">
            <w:pPr>
              <w:spacing w:after="0"/>
              <w:rPr>
                <w:color w:val="auto"/>
              </w:rPr>
            </w:pPr>
            <w:r>
              <w:rPr>
                <w:color w:val="auto"/>
              </w:rPr>
              <w:t>Annex I</w:t>
            </w:r>
          </w:p>
          <w:p w14:paraId="0F967E44" w14:textId="77777777" w:rsidR="00153AC0" w:rsidRDefault="00153AC0" w:rsidP="00A12BD3">
            <w:pPr>
              <w:spacing w:after="0"/>
              <w:rPr>
                <w:color w:val="auto"/>
              </w:rPr>
            </w:pPr>
          </w:p>
          <w:p w14:paraId="4BEDD218" w14:textId="77777777" w:rsidR="00012049" w:rsidRDefault="00012049" w:rsidP="00A12BD3">
            <w:pPr>
              <w:spacing w:after="0"/>
            </w:pPr>
            <w:r>
              <w:t>Validation and verification reports</w:t>
            </w:r>
          </w:p>
          <w:p w14:paraId="7DA1CD57" w14:textId="7E689AB9" w:rsidR="00012049" w:rsidRDefault="00012049" w:rsidP="00A12BD3">
            <w:pPr>
              <w:spacing w:after="0"/>
              <w:rPr>
                <w:color w:val="auto"/>
              </w:rPr>
            </w:pPr>
            <w:r>
              <w:rPr>
                <w:color w:val="auto"/>
              </w:rPr>
              <w:t>Annex II (6)</w:t>
            </w:r>
          </w:p>
          <w:p w14:paraId="0E049562" w14:textId="77777777" w:rsidR="00012049" w:rsidRDefault="00012049" w:rsidP="00A12BD3">
            <w:pPr>
              <w:spacing w:after="0"/>
            </w:pPr>
          </w:p>
          <w:p w14:paraId="434F6EA7" w14:textId="77777777" w:rsidR="00012049" w:rsidRDefault="00012049" w:rsidP="00A12BD3">
            <w:pPr>
              <w:spacing w:after="0"/>
            </w:pPr>
            <w:r>
              <w:t xml:space="preserve">Clinical investigation/evaluation reports </w:t>
            </w:r>
          </w:p>
          <w:p w14:paraId="5954D3CF" w14:textId="77777777" w:rsidR="00012049" w:rsidRDefault="00012049" w:rsidP="00A12BD3">
            <w:pPr>
              <w:spacing w:after="0"/>
            </w:pPr>
            <w:r>
              <w:t xml:space="preserve">Annex </w:t>
            </w:r>
            <w:r w:rsidRPr="008B3A88">
              <w:t>XIV</w:t>
            </w:r>
            <w:r>
              <w:t xml:space="preserve"> (A)</w:t>
            </w:r>
          </w:p>
          <w:p w14:paraId="331C758A" w14:textId="1B76B20D" w:rsidR="00012049" w:rsidRDefault="00012049" w:rsidP="00A12BD3">
            <w:pPr>
              <w:spacing w:after="0"/>
            </w:pPr>
            <w:r>
              <w:t xml:space="preserve">Annex XV </w:t>
            </w:r>
          </w:p>
          <w:p w14:paraId="33994ACE" w14:textId="77777777" w:rsidR="00153AC0" w:rsidRDefault="00153AC0" w:rsidP="00A12BD3">
            <w:pPr>
              <w:spacing w:after="0"/>
            </w:pPr>
          </w:p>
          <w:p w14:paraId="65D5EFB8" w14:textId="77777777" w:rsidR="00012049" w:rsidRPr="00E265A8" w:rsidRDefault="00012049" w:rsidP="00A12BD3">
            <w:pPr>
              <w:spacing w:after="0"/>
              <w:rPr>
                <w:color w:val="auto"/>
              </w:rPr>
            </w:pPr>
            <w:r w:rsidRPr="00A91E28">
              <w:rPr>
                <w:color w:val="auto"/>
              </w:rPr>
              <w:t>Summary of safety and clinical performance (class III)</w:t>
            </w:r>
          </w:p>
          <w:p w14:paraId="2B3E1447" w14:textId="5B5A55B6" w:rsidR="00012049" w:rsidRDefault="00012049" w:rsidP="00A12BD3">
            <w:pPr>
              <w:spacing w:after="0"/>
            </w:pPr>
            <w:r w:rsidRPr="008B3A88">
              <w:t>Article 32</w:t>
            </w:r>
          </w:p>
        </w:tc>
      </w:tr>
      <w:bookmarkEnd w:id="5"/>
    </w:tbl>
    <w:p w14:paraId="644FDC0F" w14:textId="77777777" w:rsidR="00A31363" w:rsidRDefault="00A31363">
      <w:pPr>
        <w:spacing w:after="200" w:line="276" w:lineRule="auto"/>
        <w:rPr>
          <w:rFonts w:eastAsiaTheme="majorEastAsia"/>
          <w:b/>
          <w:bCs/>
          <w:color w:val="auto"/>
          <w:sz w:val="26"/>
          <w:szCs w:val="26"/>
        </w:rPr>
      </w:pPr>
      <w:r>
        <w:br w:type="page"/>
      </w:r>
    </w:p>
    <w:p w14:paraId="632CEAEC" w14:textId="69DD779A" w:rsidR="00144938" w:rsidRPr="007E736D" w:rsidRDefault="004B5CD6" w:rsidP="007E736D">
      <w:pPr>
        <w:pStyle w:val="Heading2"/>
      </w:pPr>
      <w:bookmarkStart w:id="6" w:name="_Toc54362496"/>
      <w:r>
        <w:lastRenderedPageBreak/>
        <w:t>Tier C</w:t>
      </w:r>
      <w:r w:rsidR="001F5BCF">
        <w:t>: i</w:t>
      </w:r>
      <w:r w:rsidR="008C3453">
        <w:t>ntervention</w:t>
      </w:r>
      <w:r w:rsidR="000B3AB3">
        <w:t>s</w:t>
      </w:r>
      <w:bookmarkEnd w:id="6"/>
    </w:p>
    <w:p w14:paraId="4D3D58F8" w14:textId="6103499E" w:rsidR="00144938" w:rsidRPr="007E736D" w:rsidRDefault="00144938" w:rsidP="00144938">
      <w:r w:rsidRPr="007E736D">
        <w:t>DHTs for preventing</w:t>
      </w:r>
      <w:r w:rsidR="0023374B">
        <w:t xml:space="preserve">, </w:t>
      </w:r>
      <w:proofErr w:type="gramStart"/>
      <w:r w:rsidR="0023374B">
        <w:t>diagnosing</w:t>
      </w:r>
      <w:proofErr w:type="gramEnd"/>
      <w:r w:rsidRPr="007E736D">
        <w:t xml:space="preserve"> and managing diseases.</w:t>
      </w:r>
      <w:r w:rsidR="006C5CAA">
        <w:t xml:space="preserve"> </w:t>
      </w:r>
      <w:r w:rsidRPr="007E736D">
        <w:t>They may be used alongside treatment and will likely have measurable user benefits.</w:t>
      </w:r>
    </w:p>
    <w:p w14:paraId="1BF21AC7" w14:textId="30E03134" w:rsidR="008776FA" w:rsidRPr="006E1BDC" w:rsidRDefault="008776FA" w:rsidP="00133C5C">
      <w:pPr>
        <w:pStyle w:val="Default"/>
        <w:spacing w:after="240"/>
        <w:rPr>
          <w:sz w:val="22"/>
          <w:szCs w:val="22"/>
        </w:rPr>
      </w:pPr>
      <w:r w:rsidRPr="00705820">
        <w:rPr>
          <w:b/>
          <w:sz w:val="22"/>
          <w:szCs w:val="22"/>
        </w:rPr>
        <w:t xml:space="preserve">Preventative behaviour </w:t>
      </w:r>
      <w:proofErr w:type="gramStart"/>
      <w:r w:rsidRPr="00705820">
        <w:rPr>
          <w:b/>
          <w:sz w:val="22"/>
          <w:szCs w:val="22"/>
        </w:rPr>
        <w:t>change</w:t>
      </w:r>
      <w:proofErr w:type="gramEnd"/>
      <w:r w:rsidRPr="00705820">
        <w:rPr>
          <w:sz w:val="22"/>
          <w:szCs w:val="22"/>
        </w:rPr>
        <w:t xml:space="preserve"> </w:t>
      </w:r>
      <w:r w:rsidR="00234648" w:rsidRPr="00705820">
        <w:rPr>
          <w:sz w:val="22"/>
          <w:szCs w:val="22"/>
        </w:rPr>
        <w:t>e</w:t>
      </w:r>
      <w:r w:rsidR="005B4296" w:rsidRPr="00705820">
        <w:rPr>
          <w:sz w:val="22"/>
          <w:szCs w:val="22"/>
        </w:rPr>
        <w:t xml:space="preserve">.g. smoking cessation DHTs and those used as part of weight loss programmes, </w:t>
      </w:r>
      <w:r w:rsidR="00A3735E" w:rsidRPr="00705820">
        <w:rPr>
          <w:sz w:val="22"/>
          <w:szCs w:val="22"/>
        </w:rPr>
        <w:t xml:space="preserve">and </w:t>
      </w:r>
      <w:r w:rsidR="005B4296" w:rsidRPr="00705820">
        <w:rPr>
          <w:sz w:val="22"/>
          <w:szCs w:val="22"/>
        </w:rPr>
        <w:t>DHTs markete</w:t>
      </w:r>
      <w:r w:rsidRPr="00705820">
        <w:rPr>
          <w:sz w:val="22"/>
          <w:szCs w:val="22"/>
        </w:rPr>
        <w:t>d as aids to good sleep habits.</w:t>
      </w:r>
    </w:p>
    <w:p w14:paraId="76ED0EEE" w14:textId="77777777" w:rsidR="0023374B" w:rsidRDefault="008776FA" w:rsidP="00133C5C">
      <w:pPr>
        <w:pStyle w:val="Default"/>
        <w:spacing w:after="240"/>
        <w:rPr>
          <w:sz w:val="22"/>
          <w:szCs w:val="22"/>
        </w:rPr>
      </w:pPr>
      <w:r w:rsidRPr="008776FA">
        <w:rPr>
          <w:b/>
          <w:sz w:val="22"/>
          <w:szCs w:val="22"/>
        </w:rPr>
        <w:t>Self-manage</w:t>
      </w:r>
      <w:r>
        <w:rPr>
          <w:sz w:val="22"/>
          <w:szCs w:val="22"/>
        </w:rPr>
        <w:t xml:space="preserve"> e.g. </w:t>
      </w:r>
      <w:r w:rsidR="005B4296" w:rsidRPr="007E736D">
        <w:rPr>
          <w:sz w:val="22"/>
          <w:szCs w:val="22"/>
        </w:rPr>
        <w:t>DHTs that allow users to record, and optionally to send, data to a healthcare professional to improve management of their condition.</w:t>
      </w:r>
    </w:p>
    <w:p w14:paraId="21959C68" w14:textId="0AF56986" w:rsidR="0023374B" w:rsidRPr="008776FA" w:rsidRDefault="0023374B" w:rsidP="00133C5C">
      <w:pPr>
        <w:pStyle w:val="Default"/>
        <w:spacing w:after="240"/>
        <w:rPr>
          <w:sz w:val="22"/>
          <w:szCs w:val="22"/>
        </w:rPr>
      </w:pPr>
      <w:r w:rsidRPr="008776FA">
        <w:rPr>
          <w:b/>
          <w:sz w:val="22"/>
          <w:szCs w:val="22"/>
        </w:rPr>
        <w:t>Treat</w:t>
      </w:r>
      <w:r w:rsidRPr="008776FA">
        <w:rPr>
          <w:sz w:val="22"/>
          <w:szCs w:val="22"/>
        </w:rPr>
        <w:t xml:space="preserve"> </w:t>
      </w:r>
      <w:proofErr w:type="gramStart"/>
      <w:r w:rsidRPr="008776FA">
        <w:rPr>
          <w:sz w:val="22"/>
          <w:szCs w:val="22"/>
        </w:rPr>
        <w:t>e.g.</w:t>
      </w:r>
      <w:proofErr w:type="gramEnd"/>
      <w:r w:rsidRPr="008776FA">
        <w:rPr>
          <w:sz w:val="22"/>
          <w:szCs w:val="22"/>
        </w:rPr>
        <w:t xml:space="preserve"> DHTs for treating mental health or other conditions, clinician-facing apps that advise on treatments in certain situations</w:t>
      </w:r>
      <w:r w:rsidR="00D32E38">
        <w:rPr>
          <w:sz w:val="22"/>
          <w:szCs w:val="22"/>
        </w:rPr>
        <w:t xml:space="preserve"> and e</w:t>
      </w:r>
      <w:r w:rsidR="00D32E38" w:rsidRPr="00D32E38">
        <w:rPr>
          <w:sz w:val="22"/>
          <w:szCs w:val="22"/>
        </w:rPr>
        <w:t>lectronic prescribing systems that provide patient-level advice on prescribing</w:t>
      </w:r>
      <w:r w:rsidRPr="008776FA">
        <w:rPr>
          <w:sz w:val="22"/>
          <w:szCs w:val="22"/>
        </w:rPr>
        <w:t>.</w:t>
      </w:r>
    </w:p>
    <w:p w14:paraId="039E10FC" w14:textId="0A5A200F" w:rsidR="0023374B" w:rsidRDefault="0023374B" w:rsidP="00133C5C">
      <w:pPr>
        <w:pStyle w:val="Default"/>
        <w:spacing w:after="240"/>
        <w:rPr>
          <w:sz w:val="22"/>
          <w:szCs w:val="22"/>
        </w:rPr>
      </w:pPr>
      <w:r w:rsidRPr="008776FA">
        <w:rPr>
          <w:b/>
          <w:sz w:val="22"/>
          <w:szCs w:val="22"/>
        </w:rPr>
        <w:t>Active monitoring</w:t>
      </w:r>
      <w:r w:rsidRPr="008776FA">
        <w:rPr>
          <w:sz w:val="22"/>
          <w:szCs w:val="22"/>
        </w:rPr>
        <w:t xml:space="preserve"> e.g. DHTs linked to devices such as implants, sensors worn on the body or </w:t>
      </w:r>
      <w:r w:rsidR="00D32E38">
        <w:rPr>
          <w:sz w:val="22"/>
          <w:szCs w:val="22"/>
        </w:rPr>
        <w:t xml:space="preserve">sited </w:t>
      </w:r>
      <w:r w:rsidRPr="008776FA">
        <w:rPr>
          <w:sz w:val="22"/>
          <w:szCs w:val="22"/>
        </w:rPr>
        <w:t>in the home</w:t>
      </w:r>
      <w:r w:rsidR="00D32E38">
        <w:rPr>
          <w:sz w:val="22"/>
          <w:szCs w:val="22"/>
        </w:rPr>
        <w:t xml:space="preserve"> or care setting</w:t>
      </w:r>
      <w:r w:rsidRPr="008776FA">
        <w:rPr>
          <w:sz w:val="22"/>
          <w:szCs w:val="22"/>
        </w:rPr>
        <w:t>,</w:t>
      </w:r>
      <w:r w:rsidR="00D32E38">
        <w:rPr>
          <w:sz w:val="22"/>
          <w:szCs w:val="22"/>
        </w:rPr>
        <w:t xml:space="preserve"> where</w:t>
      </w:r>
      <w:r w:rsidRPr="008776FA">
        <w:rPr>
          <w:sz w:val="22"/>
          <w:szCs w:val="22"/>
        </w:rPr>
        <w:t xml:space="preserve"> data are automatically transmitted through the DHT for remote monitoring</w:t>
      </w:r>
      <w:r>
        <w:rPr>
          <w:sz w:val="22"/>
          <w:szCs w:val="22"/>
        </w:rPr>
        <w:t>.</w:t>
      </w:r>
      <w:r w:rsidR="00D32E38" w:rsidRPr="00D32E38">
        <w:t xml:space="preserve"> </w:t>
      </w:r>
      <w:r w:rsidR="00D32E38" w:rsidRPr="00D32E38">
        <w:rPr>
          <w:sz w:val="22"/>
          <w:szCs w:val="22"/>
        </w:rPr>
        <w:t>Includes ward-based systems for monitoring and recording patient observations.</w:t>
      </w:r>
    </w:p>
    <w:p w14:paraId="61FE46CC" w14:textId="77777777" w:rsidR="0023374B" w:rsidRDefault="0023374B" w:rsidP="00133C5C">
      <w:pPr>
        <w:pStyle w:val="Default"/>
        <w:spacing w:after="240"/>
        <w:rPr>
          <w:sz w:val="22"/>
          <w:szCs w:val="22"/>
        </w:rPr>
      </w:pPr>
      <w:r w:rsidRPr="008776FA">
        <w:rPr>
          <w:b/>
          <w:sz w:val="22"/>
          <w:szCs w:val="22"/>
        </w:rPr>
        <w:t xml:space="preserve">Calculate </w:t>
      </w:r>
      <w:proofErr w:type="gramStart"/>
      <w:r>
        <w:rPr>
          <w:sz w:val="22"/>
          <w:szCs w:val="22"/>
        </w:rPr>
        <w:t>e.g.</w:t>
      </w:r>
      <w:proofErr w:type="gramEnd"/>
      <w:r w:rsidRPr="008776FA">
        <w:rPr>
          <w:sz w:val="22"/>
          <w:szCs w:val="22"/>
        </w:rPr>
        <w:t xml:space="preserve"> DHTs for use by clinicians, professionals or users to calculate parameters pertaining to care, such as early warning system software</w:t>
      </w:r>
      <w:r>
        <w:rPr>
          <w:sz w:val="22"/>
          <w:szCs w:val="22"/>
        </w:rPr>
        <w:t>.</w:t>
      </w:r>
    </w:p>
    <w:p w14:paraId="458AF7E3" w14:textId="72EEE33D" w:rsidR="00144938" w:rsidRDefault="0023374B" w:rsidP="0023374B">
      <w:pPr>
        <w:pStyle w:val="Default"/>
        <w:rPr>
          <w:sz w:val="22"/>
          <w:szCs w:val="22"/>
        </w:rPr>
      </w:pPr>
      <w:r w:rsidRPr="008776FA">
        <w:rPr>
          <w:b/>
          <w:sz w:val="22"/>
          <w:szCs w:val="22"/>
        </w:rPr>
        <w:t>Diagnose</w:t>
      </w:r>
      <w:r>
        <w:rPr>
          <w:sz w:val="22"/>
          <w:szCs w:val="22"/>
        </w:rPr>
        <w:t xml:space="preserve"> e.g. </w:t>
      </w:r>
      <w:r w:rsidRPr="008776FA">
        <w:rPr>
          <w:sz w:val="22"/>
          <w:szCs w:val="22"/>
        </w:rPr>
        <w:t>DHTs</w:t>
      </w:r>
      <w:r w:rsidRPr="007E736D">
        <w:rPr>
          <w:sz w:val="22"/>
          <w:szCs w:val="22"/>
        </w:rPr>
        <w:t xml:space="preserve"> that diagnose specified clinical conditions using clinical data.</w:t>
      </w:r>
    </w:p>
    <w:p w14:paraId="1BD15987" w14:textId="77777777" w:rsidR="008776FA" w:rsidRPr="007E736D" w:rsidRDefault="008776FA" w:rsidP="00144938">
      <w:pPr>
        <w:pStyle w:val="Default"/>
        <w:rPr>
          <w:sz w:val="22"/>
          <w:szCs w:val="22"/>
        </w:rPr>
      </w:pPr>
    </w:p>
    <w:p w14:paraId="22E8141D" w14:textId="310EDD36" w:rsidR="00AE080D" w:rsidRDefault="004B5CD6" w:rsidP="008776FA">
      <w:r>
        <w:rPr>
          <w:b/>
          <w:bCs/>
        </w:rPr>
        <w:t>Tier C</w:t>
      </w:r>
      <w:r w:rsidR="001F5BCF">
        <w:rPr>
          <w:b/>
          <w:bCs/>
        </w:rPr>
        <w:t xml:space="preserve"> p</w:t>
      </w:r>
      <w:r w:rsidR="0023374B" w:rsidRPr="005571C8">
        <w:rPr>
          <w:b/>
          <w:bCs/>
        </w:rPr>
        <w:t>reventative behaviour change</w:t>
      </w:r>
      <w:r w:rsidR="0023374B">
        <w:t xml:space="preserve"> and </w:t>
      </w:r>
      <w:r w:rsidR="001F5BCF">
        <w:rPr>
          <w:b/>
          <w:bCs/>
        </w:rPr>
        <w:t>s</w:t>
      </w:r>
      <w:r w:rsidR="001F5BCF" w:rsidRPr="005571C8">
        <w:rPr>
          <w:b/>
          <w:bCs/>
        </w:rPr>
        <w:t>elf</w:t>
      </w:r>
      <w:r w:rsidR="0023374B" w:rsidRPr="005571C8">
        <w:rPr>
          <w:b/>
          <w:bCs/>
        </w:rPr>
        <w:t>-</w:t>
      </w:r>
      <w:r w:rsidR="0023374B" w:rsidRPr="004B5CD6">
        <w:rPr>
          <w:b/>
          <w:bCs/>
        </w:rPr>
        <w:t>manage</w:t>
      </w:r>
      <w:r w:rsidR="005B4296" w:rsidRPr="00CD7B08">
        <w:t xml:space="preserve"> DHTs</w:t>
      </w:r>
      <w:r w:rsidR="005B4296" w:rsidRPr="00A31363">
        <w:t xml:space="preserve"> are</w:t>
      </w:r>
      <w:r w:rsidR="00CA483C" w:rsidRPr="00A31363">
        <w:t xml:space="preserve"> likely to be</w:t>
      </w:r>
      <w:r w:rsidR="005B4296" w:rsidRPr="00A31363">
        <w:t xml:space="preserve"> classed as medical devices under </w:t>
      </w:r>
      <w:r w:rsidR="0023374B">
        <w:t xml:space="preserve">the </w:t>
      </w:r>
      <w:r w:rsidR="005B4296" w:rsidRPr="00A31363">
        <w:t>MDR</w:t>
      </w:r>
      <w:r w:rsidR="008800FD">
        <w:t>.</w:t>
      </w:r>
    </w:p>
    <w:p w14:paraId="26F336C2" w14:textId="2656090F" w:rsidR="00C2661D" w:rsidRDefault="004B5CD6" w:rsidP="00133C5C">
      <w:r>
        <w:rPr>
          <w:b/>
          <w:bCs/>
        </w:rPr>
        <w:t>Tier C</w:t>
      </w:r>
      <w:r w:rsidR="001F5BCF">
        <w:rPr>
          <w:b/>
          <w:bCs/>
        </w:rPr>
        <w:t xml:space="preserve"> t</w:t>
      </w:r>
      <w:r w:rsidR="0023374B" w:rsidRPr="005571C8">
        <w:rPr>
          <w:b/>
          <w:bCs/>
        </w:rPr>
        <w:t xml:space="preserve">reat, </w:t>
      </w:r>
      <w:r w:rsidR="001F5BCF">
        <w:rPr>
          <w:b/>
          <w:bCs/>
        </w:rPr>
        <w:t>a</w:t>
      </w:r>
      <w:r w:rsidR="001F5BCF" w:rsidRPr="005571C8">
        <w:rPr>
          <w:b/>
          <w:bCs/>
        </w:rPr>
        <w:t xml:space="preserve">ctive </w:t>
      </w:r>
      <w:r w:rsidR="0023374B" w:rsidRPr="005571C8">
        <w:rPr>
          <w:b/>
          <w:bCs/>
        </w:rPr>
        <w:t xml:space="preserve">monitoring, </w:t>
      </w:r>
      <w:r w:rsidR="001F5BCF">
        <w:rPr>
          <w:b/>
          <w:bCs/>
        </w:rPr>
        <w:t>c</w:t>
      </w:r>
      <w:r w:rsidR="001F5BCF" w:rsidRPr="005571C8">
        <w:rPr>
          <w:b/>
          <w:bCs/>
        </w:rPr>
        <w:t>alculate</w:t>
      </w:r>
      <w:r w:rsidR="001F5BCF">
        <w:t xml:space="preserve"> </w:t>
      </w:r>
      <w:r w:rsidR="0023374B">
        <w:t xml:space="preserve">and </w:t>
      </w:r>
      <w:r w:rsidR="001F5BCF">
        <w:rPr>
          <w:b/>
          <w:bCs/>
        </w:rPr>
        <w:t>d</w:t>
      </w:r>
      <w:r w:rsidR="001F5BCF" w:rsidRPr="004B5CD6">
        <w:rPr>
          <w:b/>
          <w:bCs/>
        </w:rPr>
        <w:t>iagnose</w:t>
      </w:r>
      <w:r w:rsidR="001F5BCF" w:rsidRPr="00CD7B08">
        <w:t xml:space="preserve"> </w:t>
      </w:r>
      <w:r w:rsidR="0023374B" w:rsidRPr="00CD7B08">
        <w:t>DHTs</w:t>
      </w:r>
      <w:r w:rsidR="0023374B" w:rsidRPr="0023374B">
        <w:t xml:space="preserve"> are highly likely to be classed as medical devices under </w:t>
      </w:r>
      <w:r w:rsidR="0023374B">
        <w:t xml:space="preserve">the </w:t>
      </w:r>
      <w:r w:rsidR="0023374B" w:rsidRPr="0023374B">
        <w:t>MDR.</w:t>
      </w:r>
      <w:r w:rsidR="00C2661D">
        <w:br w:type="page"/>
      </w:r>
    </w:p>
    <w:p w14:paraId="295C81F4" w14:textId="004C9C67" w:rsidR="003D0888" w:rsidRPr="008B3A88" w:rsidRDefault="003D0888" w:rsidP="008B3A88">
      <w:pPr>
        <w:pStyle w:val="Caption"/>
      </w:pPr>
      <w:r w:rsidRPr="008B3A88">
        <w:lastRenderedPageBreak/>
        <w:t xml:space="preserve">Table </w:t>
      </w:r>
      <w:r w:rsidR="00957541" w:rsidRPr="008B3A88">
        <w:fldChar w:fldCharType="begin"/>
      </w:r>
      <w:r w:rsidR="00957541" w:rsidRPr="008776FA">
        <w:instrText xml:space="preserve"> SEQ Table \* ARABIC </w:instrText>
      </w:r>
      <w:r w:rsidR="00957541" w:rsidRPr="008B3A88">
        <w:fldChar w:fldCharType="separate"/>
      </w:r>
      <w:r w:rsidR="004D3E33">
        <w:rPr>
          <w:noProof/>
        </w:rPr>
        <w:t>4</w:t>
      </w:r>
      <w:r w:rsidR="00957541" w:rsidRPr="008B3A88">
        <w:rPr>
          <w:noProof/>
        </w:rPr>
        <w:fldChar w:fldCharType="end"/>
      </w:r>
      <w:r w:rsidRPr="008B3A88">
        <w:t xml:space="preserve">: </w:t>
      </w:r>
      <w:r w:rsidR="00FC0B51">
        <w:t>Tier C</w:t>
      </w:r>
      <w:r w:rsidR="001F5BCF">
        <w:t>: i</w:t>
      </w:r>
      <w:r w:rsidR="00DC6674">
        <w:t>ntervention</w:t>
      </w:r>
      <w:r w:rsidR="000B3AB3">
        <w:t>s</w:t>
      </w:r>
      <w:r w:rsidR="00CD7B08">
        <w:t xml:space="preserve"> -</w:t>
      </w:r>
      <w:r w:rsidR="00CD7B08" w:rsidRPr="008B3A88">
        <w:t xml:space="preserve"> </w:t>
      </w:r>
      <w:r w:rsidR="00FC0B51">
        <w:t>M</w:t>
      </w:r>
      <w:r w:rsidRPr="008B3A88">
        <w:t>inimum evidence standards</w:t>
      </w:r>
    </w:p>
    <w:tbl>
      <w:tblPr>
        <w:tblStyle w:val="TableGrid"/>
        <w:tblW w:w="5012" w:type="pct"/>
        <w:tblLook w:val="04A0" w:firstRow="1" w:lastRow="0" w:firstColumn="1" w:lastColumn="0" w:noHBand="0" w:noVBand="1"/>
        <w:tblDescription w:val="Evidence category, ESF minimum evidence standard, MDR requirement, aligned MDR documentation and section"/>
      </w:tblPr>
      <w:tblGrid>
        <w:gridCol w:w="2235"/>
        <w:gridCol w:w="4396"/>
        <w:gridCol w:w="3545"/>
        <w:gridCol w:w="4645"/>
      </w:tblGrid>
      <w:tr w:rsidR="00506CF3" w:rsidRPr="007E736D" w14:paraId="7704F6F1" w14:textId="154B4B5E" w:rsidTr="00506CF3">
        <w:trPr>
          <w:trHeight w:val="20"/>
          <w:tblHeader/>
        </w:trPr>
        <w:tc>
          <w:tcPr>
            <w:tcW w:w="754" w:type="pct"/>
            <w:shd w:val="clear" w:color="auto" w:fill="B8CCE4" w:themeFill="accent1" w:themeFillTint="66"/>
            <w:hideMark/>
          </w:tcPr>
          <w:p w14:paraId="54B607A7" w14:textId="77777777" w:rsidR="003050EF" w:rsidRPr="00E265A8" w:rsidRDefault="003050EF" w:rsidP="00DF3701">
            <w:pPr>
              <w:spacing w:after="0"/>
              <w:rPr>
                <w:b/>
              </w:rPr>
            </w:pPr>
            <w:r>
              <w:rPr>
                <w:b/>
              </w:rPr>
              <w:t>Evidence category</w:t>
            </w:r>
          </w:p>
        </w:tc>
        <w:tc>
          <w:tcPr>
            <w:tcW w:w="1483" w:type="pct"/>
            <w:shd w:val="clear" w:color="auto" w:fill="B8CCE4" w:themeFill="accent1" w:themeFillTint="66"/>
          </w:tcPr>
          <w:p w14:paraId="66506643" w14:textId="77777777" w:rsidR="003050EF" w:rsidRDefault="003050EF" w:rsidP="00DF3701">
            <w:pPr>
              <w:spacing w:after="0"/>
              <w:rPr>
                <w:b/>
              </w:rPr>
            </w:pPr>
            <w:r>
              <w:rPr>
                <w:b/>
              </w:rPr>
              <w:t>ESF</w:t>
            </w:r>
            <w:r w:rsidRPr="008F6DB7">
              <w:rPr>
                <w:b/>
              </w:rPr>
              <w:t xml:space="preserve"> minimum evidence standard</w:t>
            </w:r>
          </w:p>
        </w:tc>
        <w:tc>
          <w:tcPr>
            <w:tcW w:w="1196" w:type="pct"/>
            <w:shd w:val="clear" w:color="auto" w:fill="B8CCE4" w:themeFill="accent1" w:themeFillTint="66"/>
          </w:tcPr>
          <w:p w14:paraId="356FF4F4" w14:textId="77777777" w:rsidR="003050EF" w:rsidRDefault="003050EF" w:rsidP="00DF3701">
            <w:pPr>
              <w:spacing w:after="0"/>
              <w:rPr>
                <w:b/>
              </w:rPr>
            </w:pPr>
            <w:r>
              <w:rPr>
                <w:b/>
              </w:rPr>
              <w:t>Is this an MDR requirement?</w:t>
            </w:r>
          </w:p>
        </w:tc>
        <w:tc>
          <w:tcPr>
            <w:tcW w:w="1567" w:type="pct"/>
            <w:shd w:val="clear" w:color="auto" w:fill="B8CCE4" w:themeFill="accent1" w:themeFillTint="66"/>
          </w:tcPr>
          <w:p w14:paraId="04971AC3" w14:textId="1553D8A2" w:rsidR="003050EF" w:rsidRDefault="003050EF" w:rsidP="003050EF">
            <w:pPr>
              <w:spacing w:after="0"/>
            </w:pPr>
            <w:r w:rsidRPr="008B3A88">
              <w:rPr>
                <w:b/>
              </w:rPr>
              <w:t>Aligned MDR documentation</w:t>
            </w:r>
            <w:r>
              <w:rPr>
                <w:b/>
              </w:rPr>
              <w:t xml:space="preserve"> and section</w:t>
            </w:r>
          </w:p>
        </w:tc>
      </w:tr>
      <w:tr w:rsidR="00506CF3" w:rsidRPr="007E736D" w14:paraId="1147EE10" w14:textId="33EA5480" w:rsidTr="00506CF3">
        <w:trPr>
          <w:trHeight w:val="3756"/>
        </w:trPr>
        <w:tc>
          <w:tcPr>
            <w:tcW w:w="754" w:type="pct"/>
          </w:tcPr>
          <w:p w14:paraId="24D6CF21" w14:textId="606451F5" w:rsidR="003050EF" w:rsidRPr="007E736D" w:rsidRDefault="003050EF" w:rsidP="00DF3701">
            <w:pPr>
              <w:spacing w:after="0"/>
            </w:pPr>
            <w:r>
              <w:t xml:space="preserve">Demonstrating effectiveness </w:t>
            </w:r>
            <w:r w:rsidRPr="00DC6BA8">
              <w:t xml:space="preserve">for </w:t>
            </w:r>
            <w:r>
              <w:rPr>
                <w:b/>
                <w:bCs/>
              </w:rPr>
              <w:t>p</w:t>
            </w:r>
            <w:r w:rsidRPr="005571C8">
              <w:rPr>
                <w:b/>
                <w:bCs/>
              </w:rPr>
              <w:t>reventative behaviour change</w:t>
            </w:r>
            <w:r w:rsidRPr="00DC6BA8">
              <w:t xml:space="preserve"> or </w:t>
            </w:r>
            <w:r>
              <w:rPr>
                <w:b/>
                <w:bCs/>
              </w:rPr>
              <w:t>s</w:t>
            </w:r>
            <w:r w:rsidRPr="005571C8">
              <w:rPr>
                <w:b/>
                <w:bCs/>
              </w:rPr>
              <w:t>elf-manage</w:t>
            </w:r>
            <w:r w:rsidRPr="000B3AB3">
              <w:t xml:space="preserve"> </w:t>
            </w:r>
            <w:r w:rsidRPr="00CD7B08">
              <w:t>DHTs</w:t>
            </w:r>
          </w:p>
        </w:tc>
        <w:tc>
          <w:tcPr>
            <w:tcW w:w="1483" w:type="pct"/>
          </w:tcPr>
          <w:p w14:paraId="3EF53359" w14:textId="067979AC" w:rsidR="003050EF" w:rsidRPr="004F2E1F" w:rsidRDefault="003050EF" w:rsidP="00DF3701">
            <w:pPr>
              <w:spacing w:after="0"/>
              <w:rPr>
                <w:color w:val="auto"/>
              </w:rPr>
            </w:pPr>
            <w:r>
              <w:t>High quality observational or quasi-experimental studies presenting comparative data demonstrating relevant outcomes. Comparisons could include relevant outcomes in a control group, use of historical controls, routinely collected data. Relevant outcomes may include behavioural or condition-related user outcomes, evidence of positive behaviour change or user satisfaction</w:t>
            </w:r>
          </w:p>
        </w:tc>
        <w:tc>
          <w:tcPr>
            <w:tcW w:w="1196" w:type="pct"/>
          </w:tcPr>
          <w:p w14:paraId="5C366CB6" w14:textId="13F97335" w:rsidR="003050EF" w:rsidRDefault="003050EF" w:rsidP="00DF3701">
            <w:pPr>
              <w:spacing w:after="0"/>
              <w:rPr>
                <w:color w:val="auto"/>
              </w:rPr>
            </w:pPr>
            <w:r w:rsidRPr="004F2E1F">
              <w:rPr>
                <w:color w:val="auto"/>
              </w:rPr>
              <w:t>A clinical evaluation and in some cases clinical investigation is required to validate device claims. Beyond this the nature of the evidence is not stipulated</w:t>
            </w:r>
          </w:p>
          <w:p w14:paraId="3BA62BA4" w14:textId="77777777" w:rsidR="003050EF" w:rsidRDefault="003050EF" w:rsidP="00DF3701">
            <w:pPr>
              <w:spacing w:after="0"/>
            </w:pPr>
          </w:p>
          <w:p w14:paraId="4562100C" w14:textId="777B2F38" w:rsidR="003050EF" w:rsidRDefault="003050EF" w:rsidP="00DF3701">
            <w:pPr>
              <w:spacing w:after="0"/>
            </w:pPr>
            <w:r>
              <w:t xml:space="preserve">Substantial equivalence claims for Medical devices (particularly high risk) </w:t>
            </w:r>
            <w:proofErr w:type="gramStart"/>
            <w:r>
              <w:t>is</w:t>
            </w:r>
            <w:proofErr w:type="gramEnd"/>
            <w:r>
              <w:t xml:space="preserve"> not necessarily seen as being compliant with regulation</w:t>
            </w:r>
          </w:p>
          <w:p w14:paraId="5E0E7FB6" w14:textId="77777777" w:rsidR="003050EF" w:rsidRDefault="003050EF" w:rsidP="00DF3701">
            <w:pPr>
              <w:spacing w:after="0"/>
            </w:pPr>
          </w:p>
          <w:p w14:paraId="54F5C174" w14:textId="6C883169" w:rsidR="003050EF" w:rsidRPr="000D0E13" w:rsidRDefault="003050EF" w:rsidP="004D4288">
            <w:pPr>
              <w:spacing w:after="0"/>
            </w:pPr>
            <w:r>
              <w:t>As risk increases there is greater need for manufacturer to conduct clinical investigations rather than clinical evaluations</w:t>
            </w:r>
          </w:p>
        </w:tc>
        <w:tc>
          <w:tcPr>
            <w:tcW w:w="1567" w:type="pct"/>
          </w:tcPr>
          <w:p w14:paraId="37023E04" w14:textId="77777777" w:rsidR="003050EF" w:rsidRPr="008776FA" w:rsidRDefault="003050EF" w:rsidP="00DF3701">
            <w:pPr>
              <w:spacing w:after="0"/>
            </w:pPr>
            <w:r>
              <w:t>General safety and performance requirements checklist</w:t>
            </w:r>
          </w:p>
          <w:p w14:paraId="5C64C597" w14:textId="2643D5BD" w:rsidR="003050EF" w:rsidRDefault="003050EF" w:rsidP="00DF3701">
            <w:pPr>
              <w:spacing w:after="0"/>
              <w:rPr>
                <w:color w:val="auto"/>
              </w:rPr>
            </w:pPr>
            <w:r>
              <w:rPr>
                <w:color w:val="auto"/>
              </w:rPr>
              <w:t>Annex I</w:t>
            </w:r>
          </w:p>
          <w:p w14:paraId="136B7F57" w14:textId="77777777" w:rsidR="003050EF" w:rsidRDefault="003050EF" w:rsidP="00DF3701">
            <w:pPr>
              <w:spacing w:after="0"/>
              <w:rPr>
                <w:color w:val="auto"/>
              </w:rPr>
            </w:pPr>
          </w:p>
          <w:p w14:paraId="6C11FE03" w14:textId="77777777" w:rsidR="003050EF" w:rsidRDefault="003050EF" w:rsidP="00DF3701">
            <w:pPr>
              <w:spacing w:after="0"/>
            </w:pPr>
            <w:r>
              <w:t>Validation and verification reports</w:t>
            </w:r>
          </w:p>
          <w:p w14:paraId="094A9BC6" w14:textId="1E00F19E" w:rsidR="003050EF" w:rsidRDefault="003050EF" w:rsidP="00DF3701">
            <w:pPr>
              <w:spacing w:after="0"/>
              <w:rPr>
                <w:color w:val="auto"/>
              </w:rPr>
            </w:pPr>
            <w:r>
              <w:rPr>
                <w:color w:val="auto"/>
              </w:rPr>
              <w:t>Annex II (6)</w:t>
            </w:r>
          </w:p>
          <w:p w14:paraId="2541F90A" w14:textId="77777777" w:rsidR="003050EF" w:rsidRDefault="003050EF" w:rsidP="00DF3701">
            <w:pPr>
              <w:spacing w:after="0"/>
            </w:pPr>
          </w:p>
          <w:p w14:paraId="0E46B6F3" w14:textId="77777777" w:rsidR="003050EF" w:rsidRDefault="003050EF" w:rsidP="00DF3701">
            <w:pPr>
              <w:spacing w:after="0"/>
            </w:pPr>
            <w:r>
              <w:t>Clinical investigation/evaluation reports</w:t>
            </w:r>
          </w:p>
          <w:p w14:paraId="49E54EB6" w14:textId="77777777" w:rsidR="003050EF" w:rsidRDefault="003050EF" w:rsidP="00DF3701">
            <w:pPr>
              <w:spacing w:after="0"/>
            </w:pPr>
            <w:r>
              <w:t xml:space="preserve">Annex </w:t>
            </w:r>
            <w:r w:rsidRPr="008B3A88">
              <w:t>XIV</w:t>
            </w:r>
            <w:r>
              <w:t xml:space="preserve"> (A)</w:t>
            </w:r>
          </w:p>
          <w:p w14:paraId="7D096C10" w14:textId="6EFBC8C6" w:rsidR="003050EF" w:rsidRDefault="003050EF" w:rsidP="00DF3701">
            <w:pPr>
              <w:spacing w:after="0"/>
            </w:pPr>
            <w:r>
              <w:t>Annex XV</w:t>
            </w:r>
          </w:p>
          <w:p w14:paraId="4C525375" w14:textId="77777777" w:rsidR="003050EF" w:rsidRDefault="003050EF" w:rsidP="00DF3701">
            <w:pPr>
              <w:spacing w:after="0"/>
            </w:pPr>
          </w:p>
          <w:p w14:paraId="6D839ABF" w14:textId="77777777" w:rsidR="003050EF" w:rsidRDefault="003050EF" w:rsidP="00DF3701">
            <w:pPr>
              <w:spacing w:after="0"/>
              <w:rPr>
                <w:color w:val="auto"/>
              </w:rPr>
            </w:pPr>
            <w:r w:rsidRPr="00A91E28">
              <w:rPr>
                <w:color w:val="auto"/>
              </w:rPr>
              <w:t>Summary of safety and clinical performance (class III)</w:t>
            </w:r>
          </w:p>
          <w:p w14:paraId="3FB88C0A" w14:textId="6CD471D1" w:rsidR="003050EF" w:rsidRDefault="003050EF" w:rsidP="00DF3701">
            <w:pPr>
              <w:spacing w:after="0"/>
            </w:pPr>
            <w:r w:rsidRPr="008B3A88">
              <w:t>Article 32</w:t>
            </w:r>
          </w:p>
        </w:tc>
      </w:tr>
      <w:tr w:rsidR="00506CF3" w:rsidRPr="007E736D" w14:paraId="2B91B421" w14:textId="77777777" w:rsidTr="00506CF3">
        <w:trPr>
          <w:trHeight w:val="20"/>
        </w:trPr>
        <w:tc>
          <w:tcPr>
            <w:tcW w:w="754" w:type="pct"/>
          </w:tcPr>
          <w:p w14:paraId="1115F3C4" w14:textId="2868EA5A" w:rsidR="00D34571" w:rsidRDefault="00D34571" w:rsidP="00DF3701">
            <w:pPr>
              <w:spacing w:after="0"/>
            </w:pPr>
            <w:r w:rsidRPr="00DC6674">
              <w:t xml:space="preserve">Demonstrating effectiveness for </w:t>
            </w:r>
            <w:r>
              <w:rPr>
                <w:b/>
                <w:bCs/>
              </w:rPr>
              <w:t>t</w:t>
            </w:r>
            <w:r w:rsidRPr="005571C8">
              <w:rPr>
                <w:b/>
                <w:bCs/>
              </w:rPr>
              <w:t xml:space="preserve">reat, </w:t>
            </w:r>
            <w:r>
              <w:rPr>
                <w:b/>
                <w:bCs/>
              </w:rPr>
              <w:t>a</w:t>
            </w:r>
            <w:r w:rsidRPr="005571C8">
              <w:rPr>
                <w:b/>
                <w:bCs/>
              </w:rPr>
              <w:t xml:space="preserve">ctive monitoring, </w:t>
            </w:r>
            <w:r>
              <w:rPr>
                <w:b/>
                <w:bCs/>
              </w:rPr>
              <w:t>c</w:t>
            </w:r>
            <w:r w:rsidRPr="005571C8">
              <w:rPr>
                <w:b/>
                <w:bCs/>
              </w:rPr>
              <w:t>alculate</w:t>
            </w:r>
            <w:r w:rsidRPr="00DC6674">
              <w:t xml:space="preserve"> or </w:t>
            </w:r>
            <w:r>
              <w:rPr>
                <w:b/>
                <w:bCs/>
              </w:rPr>
              <w:t>d</w:t>
            </w:r>
            <w:r w:rsidRPr="00FC0B51">
              <w:rPr>
                <w:b/>
                <w:bCs/>
              </w:rPr>
              <w:t>iagnose</w:t>
            </w:r>
            <w:r w:rsidRPr="00CD7B08">
              <w:t xml:space="preserve"> DHTs</w:t>
            </w:r>
          </w:p>
        </w:tc>
        <w:tc>
          <w:tcPr>
            <w:tcW w:w="1483" w:type="pct"/>
          </w:tcPr>
          <w:p w14:paraId="12355377" w14:textId="1DF00E1E" w:rsidR="00D34571" w:rsidRDefault="00D34571" w:rsidP="00DF3701">
            <w:pPr>
              <w:spacing w:after="0"/>
            </w:pPr>
            <w:r w:rsidRPr="00DC6674">
              <w:t>High quality experimental or quasi-experimental studies showing improvements in relevant outcomes (e.g. diagnostic accuracy, patient-reported outcomes, healthy behaviours, physiological measurements, user satisfaction and engagement). Generic outcome measures may also be useful when reported alongside condition-specific outcomes. The comparator should be a care option that is reflective of the current care pathway, such as a commonly used active intervention</w:t>
            </w:r>
          </w:p>
        </w:tc>
        <w:tc>
          <w:tcPr>
            <w:tcW w:w="1196" w:type="pct"/>
          </w:tcPr>
          <w:p w14:paraId="30C0F01E" w14:textId="4BCF73CD" w:rsidR="00D34571" w:rsidRDefault="00D34571" w:rsidP="00DF3701">
            <w:pPr>
              <w:spacing w:after="0"/>
              <w:rPr>
                <w:color w:val="auto"/>
              </w:rPr>
            </w:pPr>
            <w:r w:rsidRPr="004F2E1F">
              <w:rPr>
                <w:color w:val="auto"/>
              </w:rPr>
              <w:t>A clinical evaluation and in some cases clinical investigation is required to validate device claims. Beyond this the nature of the evidence is not stipulated</w:t>
            </w:r>
          </w:p>
          <w:p w14:paraId="74C884EA" w14:textId="77777777" w:rsidR="00D34571" w:rsidRDefault="00D34571" w:rsidP="00DF3701">
            <w:pPr>
              <w:spacing w:after="0"/>
            </w:pPr>
          </w:p>
          <w:p w14:paraId="4B9FF2ED" w14:textId="6AB1F722" w:rsidR="00D34571" w:rsidRDefault="00D34571" w:rsidP="00DF3701">
            <w:pPr>
              <w:spacing w:after="0"/>
            </w:pPr>
            <w:r>
              <w:t xml:space="preserve">Substantial equivalence claims for Medical devices (particularly high risk) </w:t>
            </w:r>
            <w:proofErr w:type="gramStart"/>
            <w:r>
              <w:t>is</w:t>
            </w:r>
            <w:proofErr w:type="gramEnd"/>
            <w:r>
              <w:t xml:space="preserve"> not necessarily seen as being compliant with regulation</w:t>
            </w:r>
          </w:p>
          <w:p w14:paraId="523759EB" w14:textId="77777777" w:rsidR="00D34571" w:rsidRDefault="00D34571" w:rsidP="00DF3701">
            <w:pPr>
              <w:spacing w:after="0"/>
            </w:pPr>
          </w:p>
          <w:p w14:paraId="22CFA49E" w14:textId="4F9B7417" w:rsidR="00D34571" w:rsidRPr="004F2E1F" w:rsidRDefault="00D34571" w:rsidP="00DF3701">
            <w:pPr>
              <w:spacing w:after="0"/>
              <w:rPr>
                <w:color w:val="auto"/>
              </w:rPr>
            </w:pPr>
            <w:r>
              <w:t>As risk increases there is greater need for manufacturer to conduct clinical investigations rather than clinical evaluations</w:t>
            </w:r>
          </w:p>
        </w:tc>
        <w:tc>
          <w:tcPr>
            <w:tcW w:w="1567" w:type="pct"/>
          </w:tcPr>
          <w:p w14:paraId="190369E2" w14:textId="77777777" w:rsidR="00D34571" w:rsidRDefault="00D34571" w:rsidP="00DF3701">
            <w:pPr>
              <w:spacing w:after="0"/>
            </w:pPr>
            <w:r>
              <w:t>Clinical investigation/evaluation reports</w:t>
            </w:r>
          </w:p>
          <w:p w14:paraId="3301C5DD" w14:textId="77777777" w:rsidR="00D34571" w:rsidRDefault="00D34571" w:rsidP="00DF3701">
            <w:pPr>
              <w:spacing w:after="0"/>
            </w:pPr>
          </w:p>
          <w:p w14:paraId="6610830E" w14:textId="77777777" w:rsidR="00D34571" w:rsidRDefault="00D34571" w:rsidP="00DF3701">
            <w:pPr>
              <w:spacing w:after="0"/>
              <w:rPr>
                <w:color w:val="auto"/>
              </w:rPr>
            </w:pPr>
          </w:p>
          <w:p w14:paraId="196F1897" w14:textId="77777777" w:rsidR="00D34571" w:rsidRDefault="00D34571" w:rsidP="00DF3701">
            <w:pPr>
              <w:spacing w:after="0"/>
            </w:pPr>
            <w:r>
              <w:t xml:space="preserve">Annex </w:t>
            </w:r>
            <w:r w:rsidRPr="008B3A88">
              <w:t>XIV</w:t>
            </w:r>
            <w:r>
              <w:t xml:space="preserve"> (A)</w:t>
            </w:r>
          </w:p>
          <w:p w14:paraId="5FF3EB2B" w14:textId="560F0DFB" w:rsidR="00D34571" w:rsidRPr="008B3A88" w:rsidRDefault="00D34571" w:rsidP="00DF3701">
            <w:pPr>
              <w:spacing w:after="0"/>
            </w:pPr>
            <w:r>
              <w:t>Annex XV</w:t>
            </w:r>
          </w:p>
        </w:tc>
      </w:tr>
      <w:tr w:rsidR="00506CF3" w:rsidRPr="007E736D" w14:paraId="4852085C" w14:textId="63EA3FBD" w:rsidTr="00506CF3">
        <w:trPr>
          <w:trHeight w:val="2268"/>
        </w:trPr>
        <w:tc>
          <w:tcPr>
            <w:tcW w:w="754" w:type="pct"/>
          </w:tcPr>
          <w:p w14:paraId="0F849F7A" w14:textId="126CA262" w:rsidR="004D42CE" w:rsidRPr="007E736D" w:rsidRDefault="004D42CE" w:rsidP="00DF3701">
            <w:pPr>
              <w:spacing w:after="0"/>
            </w:pPr>
            <w:r w:rsidRPr="00DF05F2">
              <w:lastRenderedPageBreak/>
              <w:t xml:space="preserve">Use of appropriate behaviour </w:t>
            </w:r>
            <w:r>
              <w:t xml:space="preserve">change techniques (if relevant </w:t>
            </w:r>
          </w:p>
        </w:tc>
        <w:tc>
          <w:tcPr>
            <w:tcW w:w="1483" w:type="pct"/>
          </w:tcPr>
          <w:p w14:paraId="07A5C242" w14:textId="5217D6F4" w:rsidR="004D42CE" w:rsidRDefault="004D42CE" w:rsidP="00DF3701">
            <w:pPr>
              <w:spacing w:after="0"/>
            </w:pPr>
            <w:r w:rsidRPr="00DF05F2">
              <w:t>Be able to show that the</w:t>
            </w:r>
            <w:r>
              <w:t xml:space="preserve"> techniques used in the DHT are </w:t>
            </w:r>
            <w:r w:rsidRPr="00DF05F2">
              <w:t>consistent with recognised behaviour change theory and recommended practice (aligned to guidance from NICE or relevant professional organisations)</w:t>
            </w:r>
          </w:p>
          <w:p w14:paraId="779E4240" w14:textId="77777777" w:rsidR="00657A65" w:rsidRDefault="00657A65" w:rsidP="00DF3701">
            <w:pPr>
              <w:spacing w:after="0"/>
            </w:pPr>
          </w:p>
          <w:p w14:paraId="55EC06CC" w14:textId="4862B116" w:rsidR="004D42CE" w:rsidRDefault="004D42CE" w:rsidP="00DF3701">
            <w:pPr>
              <w:spacing w:after="0"/>
            </w:pPr>
            <w:r w:rsidRPr="00DF05F2">
              <w:t>Be able to show that the</w:t>
            </w:r>
            <w:r>
              <w:t xml:space="preserve"> techniques used in the DHT are </w:t>
            </w:r>
            <w:r w:rsidRPr="00DF05F2">
              <w:t>appropriate for the target population</w:t>
            </w:r>
          </w:p>
        </w:tc>
        <w:tc>
          <w:tcPr>
            <w:tcW w:w="1196" w:type="pct"/>
          </w:tcPr>
          <w:p w14:paraId="191E9BCB" w14:textId="5FBFA363" w:rsidR="004D42CE" w:rsidRPr="000D0E13" w:rsidRDefault="004D42CE" w:rsidP="00DF3701">
            <w:pPr>
              <w:spacing w:after="0"/>
            </w:pPr>
            <w:r>
              <w:t>Yes</w:t>
            </w:r>
          </w:p>
        </w:tc>
        <w:tc>
          <w:tcPr>
            <w:tcW w:w="1567" w:type="pct"/>
          </w:tcPr>
          <w:p w14:paraId="0C264F76" w14:textId="77777777" w:rsidR="004D42CE" w:rsidRDefault="004D42CE" w:rsidP="00DF3701">
            <w:pPr>
              <w:spacing w:after="0"/>
            </w:pPr>
            <w:r>
              <w:t>General safety and performance requirements checklist</w:t>
            </w:r>
          </w:p>
          <w:p w14:paraId="2A31AEDE" w14:textId="14C8FD67" w:rsidR="004D42CE" w:rsidRDefault="004D42CE" w:rsidP="00DF3701">
            <w:pPr>
              <w:spacing w:after="0"/>
              <w:rPr>
                <w:color w:val="auto"/>
              </w:rPr>
            </w:pPr>
            <w:r>
              <w:rPr>
                <w:color w:val="auto"/>
              </w:rPr>
              <w:t>Annex I</w:t>
            </w:r>
          </w:p>
          <w:p w14:paraId="7DAE25AA" w14:textId="77777777" w:rsidR="004D42CE" w:rsidRDefault="004D42CE" w:rsidP="00DF3701">
            <w:pPr>
              <w:spacing w:after="0"/>
              <w:rPr>
                <w:color w:val="auto"/>
              </w:rPr>
            </w:pPr>
          </w:p>
          <w:p w14:paraId="34C31532" w14:textId="77777777" w:rsidR="004D42CE" w:rsidRDefault="004D42CE" w:rsidP="00DF3701">
            <w:pPr>
              <w:spacing w:after="0"/>
            </w:pPr>
            <w:r>
              <w:t>Validation and verification reports</w:t>
            </w:r>
          </w:p>
          <w:p w14:paraId="3B10E2E6" w14:textId="1CE7F561" w:rsidR="004D42CE" w:rsidRDefault="004D42CE" w:rsidP="00DF3701">
            <w:pPr>
              <w:spacing w:after="0"/>
              <w:rPr>
                <w:color w:val="auto"/>
              </w:rPr>
            </w:pPr>
            <w:r>
              <w:rPr>
                <w:color w:val="auto"/>
              </w:rPr>
              <w:t>Annex II (6)</w:t>
            </w:r>
          </w:p>
          <w:p w14:paraId="09BD3F37" w14:textId="77777777" w:rsidR="004D42CE" w:rsidRDefault="004D42CE" w:rsidP="00DF3701">
            <w:pPr>
              <w:spacing w:after="0"/>
            </w:pPr>
          </w:p>
          <w:p w14:paraId="11DD7330" w14:textId="77777777" w:rsidR="004D42CE" w:rsidRPr="007E736D" w:rsidRDefault="004D42CE" w:rsidP="00DF3701">
            <w:pPr>
              <w:spacing w:after="0"/>
            </w:pPr>
            <w:r>
              <w:t>Clinical investigation/evaluation reports</w:t>
            </w:r>
          </w:p>
          <w:p w14:paraId="7798C5E9" w14:textId="77777777" w:rsidR="004D42CE" w:rsidRDefault="004D42CE" w:rsidP="00DF3701">
            <w:pPr>
              <w:spacing w:after="0"/>
            </w:pPr>
            <w:r>
              <w:t xml:space="preserve">Annex </w:t>
            </w:r>
            <w:r w:rsidRPr="008B3A88">
              <w:t>XIV</w:t>
            </w:r>
            <w:r>
              <w:t xml:space="preserve"> (A)</w:t>
            </w:r>
          </w:p>
          <w:p w14:paraId="2C9C2827" w14:textId="3AED74CE" w:rsidR="004D42CE" w:rsidRDefault="004D42CE" w:rsidP="00DF3701">
            <w:pPr>
              <w:spacing w:after="0"/>
            </w:pPr>
            <w:r>
              <w:t>Annex XV</w:t>
            </w:r>
          </w:p>
        </w:tc>
      </w:tr>
      <w:tr w:rsidR="00506CF3" w14:paraId="58473407" w14:textId="77777777" w:rsidTr="00506CF3">
        <w:trPr>
          <w:trHeight w:val="2016"/>
        </w:trPr>
        <w:tc>
          <w:tcPr>
            <w:tcW w:w="754" w:type="pct"/>
            <w:hideMark/>
          </w:tcPr>
          <w:p w14:paraId="4756AEBD" w14:textId="77777777" w:rsidR="004D42CE" w:rsidRPr="007E736D" w:rsidRDefault="004D42CE" w:rsidP="00DF3701">
            <w:pPr>
              <w:spacing w:after="0"/>
            </w:pPr>
            <w:r>
              <w:t>Reliable information content</w:t>
            </w:r>
            <w:r w:rsidRPr="007E736D">
              <w:t xml:space="preserve"> </w:t>
            </w:r>
          </w:p>
        </w:tc>
        <w:tc>
          <w:tcPr>
            <w:tcW w:w="1483" w:type="pct"/>
          </w:tcPr>
          <w:p w14:paraId="637A68F1" w14:textId="0D307BC0" w:rsidR="004D42CE" w:rsidRDefault="004D42CE" w:rsidP="00DF3701">
            <w:pPr>
              <w:spacing w:after="0"/>
            </w:pPr>
            <w:r w:rsidRPr="007E736D">
              <w:t>Be able to show that any health information provided by the DHT is valid (aligned to best available sources, such as NICE guidance, relevant professional organisations or recognised UK patient organisations, and appropriate for the target population)</w:t>
            </w:r>
          </w:p>
        </w:tc>
        <w:tc>
          <w:tcPr>
            <w:tcW w:w="1196" w:type="pct"/>
          </w:tcPr>
          <w:p w14:paraId="6A18CF0C" w14:textId="77777777" w:rsidR="004D42CE" w:rsidRDefault="004D42CE" w:rsidP="00DF3701">
            <w:pPr>
              <w:spacing w:after="0"/>
            </w:pPr>
            <w:r>
              <w:t>Yes</w:t>
            </w:r>
          </w:p>
          <w:p w14:paraId="54CBF5F8" w14:textId="180837AA" w:rsidR="004D42CE" w:rsidRPr="007E736D" w:rsidRDefault="004D42CE" w:rsidP="00DF3701">
            <w:pPr>
              <w:spacing w:after="0"/>
            </w:pPr>
            <w:r>
              <w:t xml:space="preserve">No explicit requirement to use UK sources, but </w:t>
            </w:r>
            <w:r>
              <w:rPr>
                <w:color w:val="auto"/>
              </w:rPr>
              <w:t>a</w:t>
            </w:r>
            <w:r w:rsidRPr="00A31363">
              <w:rPr>
                <w:color w:val="auto"/>
              </w:rPr>
              <w:t xml:space="preserve">ll claims by the device manufacturer need to be </w:t>
            </w:r>
            <w:r>
              <w:rPr>
                <w:color w:val="auto"/>
              </w:rPr>
              <w:t>verified/</w:t>
            </w:r>
            <w:r w:rsidRPr="00A31363">
              <w:rPr>
                <w:color w:val="auto"/>
              </w:rPr>
              <w:t xml:space="preserve">validated. The way in which </w:t>
            </w:r>
            <w:r>
              <w:rPr>
                <w:color w:val="auto"/>
              </w:rPr>
              <w:t xml:space="preserve">to verify/ validate </w:t>
            </w:r>
            <w:r w:rsidRPr="00A31363">
              <w:rPr>
                <w:color w:val="auto"/>
              </w:rPr>
              <w:t>is not specified</w:t>
            </w:r>
          </w:p>
        </w:tc>
        <w:tc>
          <w:tcPr>
            <w:tcW w:w="1567" w:type="pct"/>
          </w:tcPr>
          <w:p w14:paraId="3D5222D6" w14:textId="77777777" w:rsidR="004D42CE" w:rsidRDefault="004D42CE" w:rsidP="00DF3701">
            <w:pPr>
              <w:spacing w:after="0"/>
            </w:pPr>
            <w:r>
              <w:t>General safety and performance requirements checklist</w:t>
            </w:r>
          </w:p>
          <w:p w14:paraId="5EE892EE" w14:textId="77777777" w:rsidR="004D42CE" w:rsidRDefault="004D42CE" w:rsidP="00DF3701">
            <w:pPr>
              <w:spacing w:after="0"/>
              <w:rPr>
                <w:color w:val="auto"/>
              </w:rPr>
            </w:pPr>
            <w:r>
              <w:rPr>
                <w:color w:val="auto"/>
              </w:rPr>
              <w:t>Annex I</w:t>
            </w:r>
          </w:p>
          <w:p w14:paraId="73E3A638" w14:textId="77777777" w:rsidR="004D42CE" w:rsidRDefault="004D42CE" w:rsidP="00DF3701">
            <w:pPr>
              <w:spacing w:after="0"/>
            </w:pPr>
          </w:p>
          <w:p w14:paraId="4B889B54" w14:textId="61ED9E6D" w:rsidR="004D42CE" w:rsidRDefault="004D42CE" w:rsidP="00DF3701">
            <w:pPr>
              <w:spacing w:after="0"/>
            </w:pPr>
            <w:r>
              <w:t>Validation and verification reports</w:t>
            </w:r>
          </w:p>
          <w:p w14:paraId="1B599F76" w14:textId="52BBB5B0" w:rsidR="004D42CE" w:rsidRDefault="004D42CE" w:rsidP="00DF3701">
            <w:pPr>
              <w:spacing w:after="0"/>
            </w:pPr>
            <w:r>
              <w:rPr>
                <w:color w:val="auto"/>
              </w:rPr>
              <w:t>Annex II (6)</w:t>
            </w:r>
          </w:p>
        </w:tc>
      </w:tr>
      <w:tr w:rsidR="00506CF3" w14:paraId="66F301BE" w14:textId="77777777" w:rsidTr="00506CF3">
        <w:trPr>
          <w:trHeight w:val="1284"/>
        </w:trPr>
        <w:tc>
          <w:tcPr>
            <w:tcW w:w="754" w:type="pct"/>
          </w:tcPr>
          <w:p w14:paraId="48528A5E" w14:textId="26A26158" w:rsidR="008E592D" w:rsidRPr="007E736D" w:rsidRDefault="008E592D" w:rsidP="00DF3701">
            <w:pPr>
              <w:spacing w:after="0"/>
            </w:pPr>
            <w:r w:rsidRPr="008E592D">
              <w:t>Reliable information content</w:t>
            </w:r>
          </w:p>
        </w:tc>
        <w:tc>
          <w:tcPr>
            <w:tcW w:w="1483" w:type="pct"/>
          </w:tcPr>
          <w:p w14:paraId="219324CC" w14:textId="0E4C301B" w:rsidR="008E592D" w:rsidRDefault="008E592D" w:rsidP="00DF3701">
            <w:pPr>
              <w:spacing w:after="0"/>
            </w:pPr>
            <w:r w:rsidRPr="007E736D">
              <w:t>Be able to show that any health information provided by the DHT is accurate</w:t>
            </w:r>
          </w:p>
        </w:tc>
        <w:tc>
          <w:tcPr>
            <w:tcW w:w="1196" w:type="pct"/>
          </w:tcPr>
          <w:p w14:paraId="24F76820" w14:textId="77777777" w:rsidR="008E592D" w:rsidRPr="007E736D" w:rsidRDefault="008E592D" w:rsidP="00DF3701">
            <w:pPr>
              <w:spacing w:after="0"/>
            </w:pPr>
            <w:r>
              <w:t>Yes</w:t>
            </w:r>
          </w:p>
        </w:tc>
        <w:tc>
          <w:tcPr>
            <w:tcW w:w="1567" w:type="pct"/>
          </w:tcPr>
          <w:p w14:paraId="5897F701" w14:textId="77777777" w:rsidR="008E592D" w:rsidRDefault="008E592D" w:rsidP="00DF3701">
            <w:pPr>
              <w:spacing w:after="0"/>
            </w:pPr>
            <w:r>
              <w:t>General safety and performance requirements checklist</w:t>
            </w:r>
          </w:p>
          <w:p w14:paraId="4F73E06F" w14:textId="64BDB602" w:rsidR="008E592D" w:rsidRDefault="008E592D" w:rsidP="00DF3701">
            <w:pPr>
              <w:spacing w:after="0"/>
              <w:rPr>
                <w:color w:val="auto"/>
              </w:rPr>
            </w:pPr>
            <w:r>
              <w:rPr>
                <w:color w:val="auto"/>
              </w:rPr>
              <w:t>Annex I (15)</w:t>
            </w:r>
          </w:p>
          <w:p w14:paraId="5CFC65E8" w14:textId="77777777" w:rsidR="008E592D" w:rsidRDefault="008E592D" w:rsidP="00DF3701">
            <w:pPr>
              <w:spacing w:after="0"/>
              <w:rPr>
                <w:color w:val="auto"/>
              </w:rPr>
            </w:pPr>
          </w:p>
          <w:p w14:paraId="58EBCD7C" w14:textId="77777777" w:rsidR="008E592D" w:rsidRDefault="008E592D" w:rsidP="00DF3701">
            <w:pPr>
              <w:spacing w:after="0"/>
            </w:pPr>
            <w:r>
              <w:t>Validation and verification reports</w:t>
            </w:r>
          </w:p>
          <w:p w14:paraId="6936EC01" w14:textId="59DE66CC" w:rsidR="008E592D" w:rsidRDefault="008E592D" w:rsidP="00DF3701">
            <w:pPr>
              <w:spacing w:after="0"/>
              <w:rPr>
                <w:color w:val="auto"/>
              </w:rPr>
            </w:pPr>
            <w:r>
              <w:rPr>
                <w:color w:val="auto"/>
              </w:rPr>
              <w:t>Annex II (6)</w:t>
            </w:r>
          </w:p>
          <w:p w14:paraId="441A8111" w14:textId="77777777" w:rsidR="008E592D" w:rsidRDefault="008E592D" w:rsidP="00DF3701">
            <w:pPr>
              <w:spacing w:after="0"/>
            </w:pPr>
          </w:p>
          <w:p w14:paraId="7B08DA05" w14:textId="77777777" w:rsidR="008E592D" w:rsidRDefault="008E592D" w:rsidP="00DF3701">
            <w:pPr>
              <w:spacing w:after="0"/>
            </w:pPr>
            <w:r>
              <w:t>Clinical investigation/evaluation reports</w:t>
            </w:r>
          </w:p>
          <w:p w14:paraId="1DA0F518" w14:textId="77777777" w:rsidR="008E592D" w:rsidRDefault="008E592D" w:rsidP="00DF3701">
            <w:pPr>
              <w:spacing w:after="0"/>
            </w:pPr>
            <w:r>
              <w:t xml:space="preserve">Annex </w:t>
            </w:r>
            <w:r w:rsidRPr="008B3A88">
              <w:t>XIV</w:t>
            </w:r>
            <w:r>
              <w:t xml:space="preserve"> (A)</w:t>
            </w:r>
          </w:p>
          <w:p w14:paraId="2B75F2DE" w14:textId="42E75630" w:rsidR="008E592D" w:rsidRDefault="008E592D" w:rsidP="00DF3701">
            <w:pPr>
              <w:spacing w:after="0"/>
            </w:pPr>
            <w:r>
              <w:t xml:space="preserve">Annex XV </w:t>
            </w:r>
          </w:p>
        </w:tc>
      </w:tr>
      <w:tr w:rsidR="00506CF3" w:rsidRPr="009E2513" w14:paraId="01126DA8" w14:textId="77777777" w:rsidTr="00506CF3">
        <w:trPr>
          <w:trHeight w:val="1272"/>
        </w:trPr>
        <w:tc>
          <w:tcPr>
            <w:tcW w:w="754" w:type="pct"/>
          </w:tcPr>
          <w:p w14:paraId="22459857" w14:textId="165EDE9A" w:rsidR="008E592D" w:rsidRPr="007E736D" w:rsidRDefault="008E592D" w:rsidP="00DF3701">
            <w:pPr>
              <w:spacing w:after="0"/>
            </w:pPr>
            <w:r w:rsidRPr="008E592D">
              <w:t>Reliable information content</w:t>
            </w:r>
          </w:p>
        </w:tc>
        <w:tc>
          <w:tcPr>
            <w:tcW w:w="1483" w:type="pct"/>
          </w:tcPr>
          <w:p w14:paraId="62F201BE" w14:textId="77777777" w:rsidR="008E592D" w:rsidRDefault="008E592D" w:rsidP="00DF3701">
            <w:pPr>
              <w:spacing w:after="0"/>
            </w:pPr>
            <w:r w:rsidRPr="007E736D">
              <w:t>Be able to show that any health information provided by the DHT is up to date</w:t>
            </w:r>
          </w:p>
        </w:tc>
        <w:tc>
          <w:tcPr>
            <w:tcW w:w="1196" w:type="pct"/>
          </w:tcPr>
          <w:p w14:paraId="7939C271" w14:textId="77777777" w:rsidR="008E592D" w:rsidRPr="007E736D" w:rsidRDefault="008E592D" w:rsidP="00DF3701">
            <w:pPr>
              <w:spacing w:after="0"/>
            </w:pPr>
            <w:r>
              <w:t>Yes</w:t>
            </w:r>
          </w:p>
        </w:tc>
        <w:tc>
          <w:tcPr>
            <w:tcW w:w="1567" w:type="pct"/>
          </w:tcPr>
          <w:p w14:paraId="4D30821D" w14:textId="77777777" w:rsidR="008E592D" w:rsidRDefault="008E592D" w:rsidP="00DF3701">
            <w:pPr>
              <w:spacing w:after="0"/>
            </w:pPr>
            <w:r w:rsidRPr="009E2513">
              <w:t>Post-market surveillance</w:t>
            </w:r>
            <w:r>
              <w:t xml:space="preserve"> reports</w:t>
            </w:r>
          </w:p>
          <w:p w14:paraId="46CCC4F2" w14:textId="77777777" w:rsidR="008E592D" w:rsidRDefault="008E592D" w:rsidP="00DF3701">
            <w:pPr>
              <w:spacing w:after="0"/>
            </w:pPr>
            <w:r>
              <w:t>Article 85</w:t>
            </w:r>
          </w:p>
          <w:p w14:paraId="38AC4491" w14:textId="77777777" w:rsidR="008E592D" w:rsidRDefault="008E592D" w:rsidP="00DF3701">
            <w:pPr>
              <w:spacing w:after="0"/>
            </w:pPr>
            <w:r>
              <w:t>Annex III</w:t>
            </w:r>
          </w:p>
          <w:p w14:paraId="4EE5490E" w14:textId="11B692B2" w:rsidR="008E592D" w:rsidRDefault="008E592D" w:rsidP="00DF3701">
            <w:pPr>
              <w:spacing w:after="0"/>
            </w:pPr>
            <w:r>
              <w:t>Annex XIV (B)</w:t>
            </w:r>
          </w:p>
          <w:p w14:paraId="24266366" w14:textId="77777777" w:rsidR="008E592D" w:rsidRPr="009E2513" w:rsidRDefault="008E592D" w:rsidP="00DF3701">
            <w:pPr>
              <w:spacing w:after="0"/>
            </w:pPr>
          </w:p>
          <w:p w14:paraId="58FC7F2E" w14:textId="77777777" w:rsidR="008E592D" w:rsidRPr="009E2513" w:rsidRDefault="008E592D" w:rsidP="00DF3701">
            <w:pPr>
              <w:spacing w:after="0"/>
            </w:pPr>
            <w:r w:rsidRPr="009E2513">
              <w:t>Periodic safety update report</w:t>
            </w:r>
          </w:p>
          <w:p w14:paraId="69A7F015" w14:textId="77777777" w:rsidR="008E592D" w:rsidRDefault="008E592D" w:rsidP="00DF3701">
            <w:pPr>
              <w:spacing w:after="0"/>
            </w:pPr>
            <w:r>
              <w:t>Article 86</w:t>
            </w:r>
          </w:p>
          <w:p w14:paraId="43CF418C" w14:textId="6AB256CE" w:rsidR="008E592D" w:rsidRPr="009E2513" w:rsidRDefault="008E592D" w:rsidP="00DF3701">
            <w:pPr>
              <w:spacing w:after="0"/>
            </w:pPr>
            <w:r>
              <w:t>Annex III</w:t>
            </w:r>
          </w:p>
        </w:tc>
      </w:tr>
      <w:tr w:rsidR="00506CF3" w:rsidRPr="009E2513" w14:paraId="11D17494" w14:textId="77777777" w:rsidTr="00506CF3">
        <w:trPr>
          <w:trHeight w:val="1272"/>
        </w:trPr>
        <w:tc>
          <w:tcPr>
            <w:tcW w:w="754" w:type="pct"/>
          </w:tcPr>
          <w:p w14:paraId="0053D1AE" w14:textId="56B2516B" w:rsidR="008E592D" w:rsidRPr="007E736D" w:rsidRDefault="008E592D" w:rsidP="00DF3701">
            <w:pPr>
              <w:spacing w:after="0"/>
            </w:pPr>
            <w:r w:rsidRPr="008E592D">
              <w:lastRenderedPageBreak/>
              <w:t>Reliable information content</w:t>
            </w:r>
          </w:p>
        </w:tc>
        <w:tc>
          <w:tcPr>
            <w:tcW w:w="1483" w:type="pct"/>
          </w:tcPr>
          <w:p w14:paraId="2A9FB6E9" w14:textId="77777777" w:rsidR="008E592D" w:rsidRPr="00C72B64" w:rsidRDefault="008E592D" w:rsidP="00DF3701">
            <w:pPr>
              <w:spacing w:after="0"/>
              <w:rPr>
                <w:highlight w:val="yellow"/>
              </w:rPr>
            </w:pPr>
            <w:r w:rsidRPr="005C573A">
              <w:t>Be able to show that any health information provided by the DHT is reviewed and updated by relevant experts at defined intervals, such as every year</w:t>
            </w:r>
          </w:p>
        </w:tc>
        <w:tc>
          <w:tcPr>
            <w:tcW w:w="1196" w:type="pct"/>
          </w:tcPr>
          <w:p w14:paraId="4C38D30D" w14:textId="77777777" w:rsidR="008E592D" w:rsidRPr="007E736D" w:rsidRDefault="008E592D" w:rsidP="00DF3701">
            <w:pPr>
              <w:spacing w:after="0"/>
            </w:pPr>
            <w:r>
              <w:t>Yes</w:t>
            </w:r>
          </w:p>
        </w:tc>
        <w:tc>
          <w:tcPr>
            <w:tcW w:w="1567" w:type="pct"/>
          </w:tcPr>
          <w:p w14:paraId="04DDB6F5" w14:textId="77777777" w:rsidR="008E592D" w:rsidRDefault="008E592D" w:rsidP="00DF3701">
            <w:pPr>
              <w:spacing w:after="0"/>
            </w:pPr>
            <w:r w:rsidRPr="009E2513">
              <w:t xml:space="preserve">Post-market surveillance </w:t>
            </w:r>
            <w:r>
              <w:t>reports</w:t>
            </w:r>
          </w:p>
          <w:p w14:paraId="4DD56942" w14:textId="77777777" w:rsidR="008E592D" w:rsidRDefault="008E592D" w:rsidP="00DF3701">
            <w:pPr>
              <w:spacing w:after="0"/>
            </w:pPr>
            <w:r>
              <w:t>Article 85</w:t>
            </w:r>
          </w:p>
          <w:p w14:paraId="0F33F2DB" w14:textId="77777777" w:rsidR="008E592D" w:rsidRDefault="008E592D" w:rsidP="00DF3701">
            <w:pPr>
              <w:spacing w:after="0"/>
            </w:pPr>
            <w:r>
              <w:t>Annex III</w:t>
            </w:r>
          </w:p>
          <w:p w14:paraId="0C326873" w14:textId="6F9A4B01" w:rsidR="008E592D" w:rsidRDefault="008E592D" w:rsidP="00DF3701">
            <w:pPr>
              <w:spacing w:after="0"/>
            </w:pPr>
            <w:r>
              <w:t>Annex XIV (B)</w:t>
            </w:r>
          </w:p>
          <w:p w14:paraId="0D3C5C81" w14:textId="77777777" w:rsidR="008E592D" w:rsidRPr="009E2513" w:rsidRDefault="008E592D" w:rsidP="00DF3701">
            <w:pPr>
              <w:spacing w:after="0"/>
            </w:pPr>
          </w:p>
          <w:p w14:paraId="48C08ACD" w14:textId="77777777" w:rsidR="008E592D" w:rsidRPr="009E2513" w:rsidRDefault="008E592D" w:rsidP="00DF3701">
            <w:pPr>
              <w:spacing w:after="0"/>
            </w:pPr>
            <w:r>
              <w:t>Periodic safety update report</w:t>
            </w:r>
          </w:p>
          <w:p w14:paraId="1D99C459" w14:textId="77777777" w:rsidR="008E592D" w:rsidRDefault="008E592D" w:rsidP="00DF3701">
            <w:pPr>
              <w:spacing w:after="0"/>
            </w:pPr>
            <w:r>
              <w:t>Article 86</w:t>
            </w:r>
          </w:p>
          <w:p w14:paraId="56F861EC" w14:textId="2F0E570F" w:rsidR="008E592D" w:rsidRPr="009E2513" w:rsidRDefault="008E592D" w:rsidP="00DF3701">
            <w:pPr>
              <w:spacing w:after="0"/>
            </w:pPr>
            <w:r>
              <w:t>Annex III</w:t>
            </w:r>
          </w:p>
        </w:tc>
      </w:tr>
      <w:tr w:rsidR="00506CF3" w14:paraId="71AB5DED" w14:textId="77777777" w:rsidTr="00506CF3">
        <w:trPr>
          <w:trHeight w:val="1032"/>
        </w:trPr>
        <w:tc>
          <w:tcPr>
            <w:tcW w:w="754" w:type="pct"/>
          </w:tcPr>
          <w:p w14:paraId="313C1CE0" w14:textId="3A56704A" w:rsidR="008E592D" w:rsidRPr="007E736D" w:rsidRDefault="008E592D" w:rsidP="00DF3701">
            <w:pPr>
              <w:spacing w:after="0"/>
            </w:pPr>
            <w:r w:rsidRPr="008E592D">
              <w:t>Reliable information content</w:t>
            </w:r>
          </w:p>
        </w:tc>
        <w:tc>
          <w:tcPr>
            <w:tcW w:w="1483" w:type="pct"/>
          </w:tcPr>
          <w:p w14:paraId="6A2C8873" w14:textId="77777777" w:rsidR="008E592D" w:rsidRPr="001A2088" w:rsidRDefault="008E592D" w:rsidP="00DF3701">
            <w:pPr>
              <w:spacing w:after="0"/>
              <w:rPr>
                <w:color w:val="auto"/>
              </w:rPr>
            </w:pPr>
            <w:r w:rsidRPr="001A2088">
              <w:t>Be able to show that any health information provided by the DHT is sufficiently comprehensive</w:t>
            </w:r>
          </w:p>
        </w:tc>
        <w:tc>
          <w:tcPr>
            <w:tcW w:w="1196" w:type="pct"/>
          </w:tcPr>
          <w:p w14:paraId="497BA421" w14:textId="77777777" w:rsidR="008E592D" w:rsidRPr="001A2088" w:rsidRDefault="008E592D" w:rsidP="00DF3701">
            <w:pPr>
              <w:spacing w:after="0"/>
              <w:rPr>
                <w:color w:val="auto"/>
              </w:rPr>
            </w:pPr>
            <w:r w:rsidRPr="001A2088">
              <w:rPr>
                <w:color w:val="auto"/>
              </w:rPr>
              <w:t>Yes</w:t>
            </w:r>
          </w:p>
          <w:p w14:paraId="27546599" w14:textId="1BDE29E4" w:rsidR="008E592D" w:rsidRPr="001A2088" w:rsidRDefault="008E592D" w:rsidP="00DF3701">
            <w:pPr>
              <w:spacing w:after="0"/>
            </w:pPr>
            <w:r w:rsidRPr="001A2088">
              <w:t>The DHT needs to perform as claimed</w:t>
            </w:r>
          </w:p>
        </w:tc>
        <w:tc>
          <w:tcPr>
            <w:tcW w:w="1567" w:type="pct"/>
          </w:tcPr>
          <w:p w14:paraId="43C7838B" w14:textId="77777777" w:rsidR="008E592D" w:rsidRPr="001A2088" w:rsidRDefault="008E592D" w:rsidP="00DF3701">
            <w:pPr>
              <w:spacing w:after="0"/>
            </w:pPr>
            <w:r w:rsidRPr="001A2088">
              <w:t>General safety and performance requirements</w:t>
            </w:r>
          </w:p>
          <w:p w14:paraId="502D27E8" w14:textId="5FB56D25" w:rsidR="008E592D" w:rsidRDefault="008E592D" w:rsidP="00DF3701">
            <w:pPr>
              <w:spacing w:after="0"/>
              <w:rPr>
                <w:color w:val="auto"/>
              </w:rPr>
            </w:pPr>
            <w:r w:rsidRPr="001A2088">
              <w:rPr>
                <w:color w:val="auto"/>
              </w:rPr>
              <w:t>Annex I</w:t>
            </w:r>
          </w:p>
          <w:p w14:paraId="4E290BB1" w14:textId="77777777" w:rsidR="008E592D" w:rsidRDefault="008E592D" w:rsidP="00DF3701">
            <w:pPr>
              <w:spacing w:after="0"/>
              <w:rPr>
                <w:color w:val="auto"/>
              </w:rPr>
            </w:pPr>
          </w:p>
          <w:p w14:paraId="580E3D04" w14:textId="77777777" w:rsidR="008E592D" w:rsidRPr="001A2088" w:rsidRDefault="008E592D" w:rsidP="00DF3701">
            <w:pPr>
              <w:spacing w:after="0"/>
            </w:pPr>
            <w:r>
              <w:t xml:space="preserve">Instructions </w:t>
            </w:r>
            <w:r w:rsidRPr="00D27FCC">
              <w:t>for</w:t>
            </w:r>
            <w:r>
              <w:t xml:space="preserve"> use</w:t>
            </w:r>
          </w:p>
          <w:p w14:paraId="3547B445" w14:textId="17B26AAE" w:rsidR="008E592D" w:rsidRDefault="008E592D" w:rsidP="00DF3701">
            <w:pPr>
              <w:spacing w:after="0"/>
              <w:rPr>
                <w:color w:val="auto"/>
              </w:rPr>
            </w:pPr>
            <w:r>
              <w:rPr>
                <w:color w:val="auto"/>
              </w:rPr>
              <w:t>Annex I (Chapter III)</w:t>
            </w:r>
          </w:p>
          <w:p w14:paraId="32B365D6" w14:textId="77777777" w:rsidR="008E592D" w:rsidRPr="001A2088" w:rsidRDefault="008E592D" w:rsidP="00DF3701">
            <w:pPr>
              <w:spacing w:after="0"/>
              <w:rPr>
                <w:color w:val="auto"/>
              </w:rPr>
            </w:pPr>
          </w:p>
          <w:p w14:paraId="1ADB9189" w14:textId="77777777" w:rsidR="008E592D" w:rsidRDefault="008E592D" w:rsidP="00DF3701">
            <w:pPr>
              <w:spacing w:after="0"/>
            </w:pPr>
            <w:r>
              <w:t>Validation and verification reports</w:t>
            </w:r>
          </w:p>
          <w:p w14:paraId="6F60DA80" w14:textId="746AFFC5" w:rsidR="008E592D" w:rsidRDefault="008E592D" w:rsidP="00DF3701">
            <w:pPr>
              <w:spacing w:after="0"/>
            </w:pPr>
            <w:r>
              <w:rPr>
                <w:color w:val="auto"/>
              </w:rPr>
              <w:t>Annex II (6)</w:t>
            </w:r>
          </w:p>
        </w:tc>
      </w:tr>
      <w:tr w:rsidR="00506CF3" w:rsidRPr="009E2513" w14:paraId="282E021A" w14:textId="77777777" w:rsidTr="00506CF3">
        <w:trPr>
          <w:trHeight w:val="1272"/>
        </w:trPr>
        <w:tc>
          <w:tcPr>
            <w:tcW w:w="754" w:type="pct"/>
            <w:hideMark/>
          </w:tcPr>
          <w:p w14:paraId="1094A866" w14:textId="77777777" w:rsidR="00965895" w:rsidRPr="007E736D" w:rsidRDefault="00965895" w:rsidP="00DF3701">
            <w:pPr>
              <w:spacing w:after="0"/>
            </w:pPr>
            <w:r w:rsidRPr="007E736D">
              <w:t>Ongoing data coll</w:t>
            </w:r>
            <w:r>
              <w:t>ection to show usage of the DHT</w:t>
            </w:r>
            <w:r w:rsidRPr="007E736D">
              <w:t> </w:t>
            </w:r>
          </w:p>
        </w:tc>
        <w:tc>
          <w:tcPr>
            <w:tcW w:w="1483" w:type="pct"/>
          </w:tcPr>
          <w:p w14:paraId="320D0308" w14:textId="34F9DE81" w:rsidR="00965895" w:rsidRDefault="00965895" w:rsidP="00DF3701">
            <w:pPr>
              <w:spacing w:after="0"/>
            </w:pPr>
            <w:r w:rsidRPr="007E736D">
              <w:t>Commitment to ongoing data collection to show usage of the DHT in the target population</w:t>
            </w:r>
          </w:p>
        </w:tc>
        <w:tc>
          <w:tcPr>
            <w:tcW w:w="1196" w:type="pct"/>
          </w:tcPr>
          <w:p w14:paraId="383A29AA" w14:textId="77777777" w:rsidR="00965895" w:rsidRPr="007E736D" w:rsidRDefault="00965895" w:rsidP="00DF3701">
            <w:pPr>
              <w:spacing w:after="0"/>
            </w:pPr>
            <w:r>
              <w:t>Yes</w:t>
            </w:r>
          </w:p>
        </w:tc>
        <w:tc>
          <w:tcPr>
            <w:tcW w:w="1567" w:type="pct"/>
          </w:tcPr>
          <w:p w14:paraId="1DF47CA2" w14:textId="77777777" w:rsidR="00965895" w:rsidRDefault="00965895" w:rsidP="00DF3701">
            <w:pPr>
              <w:spacing w:after="0"/>
            </w:pPr>
            <w:r w:rsidRPr="009E2513">
              <w:t xml:space="preserve">Post-market surveillance </w:t>
            </w:r>
            <w:r>
              <w:t>reports</w:t>
            </w:r>
          </w:p>
          <w:p w14:paraId="4A36E659" w14:textId="77777777" w:rsidR="00965895" w:rsidRDefault="00965895" w:rsidP="00DF3701">
            <w:pPr>
              <w:spacing w:after="0"/>
            </w:pPr>
            <w:r>
              <w:t>Article 85</w:t>
            </w:r>
          </w:p>
          <w:p w14:paraId="372FCCC8" w14:textId="77777777" w:rsidR="00965895" w:rsidRDefault="00965895" w:rsidP="00DF3701">
            <w:pPr>
              <w:spacing w:after="0"/>
            </w:pPr>
            <w:r>
              <w:t>Annex III</w:t>
            </w:r>
          </w:p>
          <w:p w14:paraId="752EC2CF" w14:textId="7BC46E6D" w:rsidR="00965895" w:rsidRDefault="00965895" w:rsidP="00DF3701">
            <w:pPr>
              <w:spacing w:after="0"/>
            </w:pPr>
            <w:r>
              <w:t>Annex XIV (B)</w:t>
            </w:r>
          </w:p>
          <w:p w14:paraId="39CD534B" w14:textId="77777777" w:rsidR="00965895" w:rsidRPr="009E2513" w:rsidRDefault="00965895" w:rsidP="00DF3701">
            <w:pPr>
              <w:spacing w:after="0"/>
            </w:pPr>
          </w:p>
          <w:p w14:paraId="475E0906" w14:textId="77777777" w:rsidR="00965895" w:rsidRPr="009E2513" w:rsidRDefault="00965895" w:rsidP="00DF3701">
            <w:pPr>
              <w:spacing w:after="0"/>
            </w:pPr>
            <w:r>
              <w:t>Periodic safety update report</w:t>
            </w:r>
          </w:p>
          <w:p w14:paraId="7D8D1187" w14:textId="77777777" w:rsidR="00965895" w:rsidRDefault="00965895" w:rsidP="00DF3701">
            <w:pPr>
              <w:spacing w:after="0"/>
            </w:pPr>
            <w:r>
              <w:t>Article 86</w:t>
            </w:r>
          </w:p>
          <w:p w14:paraId="3FCFF670" w14:textId="27E66CE5" w:rsidR="00965895" w:rsidRPr="009E2513" w:rsidRDefault="00965895" w:rsidP="00DF3701">
            <w:pPr>
              <w:spacing w:after="0"/>
            </w:pPr>
            <w:r>
              <w:t>Annex III</w:t>
            </w:r>
          </w:p>
        </w:tc>
      </w:tr>
      <w:tr w:rsidR="00506CF3" w:rsidRPr="009E2513" w14:paraId="366FBF2E" w14:textId="77777777" w:rsidTr="00506CF3">
        <w:trPr>
          <w:trHeight w:val="1984"/>
        </w:trPr>
        <w:tc>
          <w:tcPr>
            <w:tcW w:w="754" w:type="pct"/>
          </w:tcPr>
          <w:p w14:paraId="119C9253" w14:textId="0503C945" w:rsidR="00965895" w:rsidRPr="007E736D" w:rsidRDefault="00965895" w:rsidP="00DF3701">
            <w:pPr>
              <w:spacing w:after="0"/>
            </w:pPr>
            <w:r w:rsidRPr="007E736D">
              <w:t>Ongoing data coll</w:t>
            </w:r>
            <w:r>
              <w:t>ection to show usage of the DHT</w:t>
            </w:r>
            <w:r w:rsidRPr="007E736D">
              <w:t> </w:t>
            </w:r>
          </w:p>
        </w:tc>
        <w:tc>
          <w:tcPr>
            <w:tcW w:w="1483" w:type="pct"/>
          </w:tcPr>
          <w:p w14:paraId="3EA63160" w14:textId="61CA96D1" w:rsidR="00965895" w:rsidRDefault="00965895" w:rsidP="00DF3701">
            <w:pPr>
              <w:spacing w:after="0"/>
            </w:pPr>
            <w:r>
              <w:t>C</w:t>
            </w:r>
            <w:r w:rsidRPr="0070689B">
              <w:t>ommitment to share, when available, with relevant decision-makers such as commissioners in a clear and useful format</w:t>
            </w:r>
          </w:p>
        </w:tc>
        <w:tc>
          <w:tcPr>
            <w:tcW w:w="1196" w:type="pct"/>
          </w:tcPr>
          <w:p w14:paraId="69D4D2BA" w14:textId="77777777" w:rsidR="00965895" w:rsidRDefault="00965895" w:rsidP="00DF3701">
            <w:pPr>
              <w:spacing w:after="0"/>
            </w:pPr>
            <w:r>
              <w:t>Yes</w:t>
            </w:r>
          </w:p>
          <w:p w14:paraId="6FDDEBD1" w14:textId="24A52A26" w:rsidR="00965895" w:rsidRPr="007E736D" w:rsidRDefault="00965895" w:rsidP="00DF3701">
            <w:pPr>
              <w:spacing w:after="0"/>
            </w:pPr>
            <w:r>
              <w:t xml:space="preserve">While it is a requirement for ongoing data collection, it is not a requirement to report this to </w:t>
            </w:r>
            <w:r w:rsidRPr="0070689B">
              <w:t xml:space="preserve">relevant </w:t>
            </w:r>
            <w:r>
              <w:t>commissioners, but will be reviewed by notified bodies as part of compliance</w:t>
            </w:r>
          </w:p>
        </w:tc>
        <w:tc>
          <w:tcPr>
            <w:tcW w:w="1567" w:type="pct"/>
          </w:tcPr>
          <w:p w14:paraId="050187AD" w14:textId="77777777" w:rsidR="00965895" w:rsidRDefault="00965895" w:rsidP="00DF3701">
            <w:pPr>
              <w:spacing w:after="0"/>
            </w:pPr>
            <w:r w:rsidRPr="009E2513">
              <w:t xml:space="preserve">Post-market surveillance </w:t>
            </w:r>
            <w:r>
              <w:t>reports</w:t>
            </w:r>
          </w:p>
          <w:p w14:paraId="6F23401E" w14:textId="77777777" w:rsidR="00965895" w:rsidRDefault="00965895" w:rsidP="00DF3701">
            <w:pPr>
              <w:spacing w:after="0"/>
            </w:pPr>
            <w:r>
              <w:t>Article 85</w:t>
            </w:r>
          </w:p>
          <w:p w14:paraId="365FA879" w14:textId="77777777" w:rsidR="00965895" w:rsidRDefault="00965895" w:rsidP="00DF3701">
            <w:pPr>
              <w:spacing w:after="0"/>
            </w:pPr>
            <w:r>
              <w:t>Annex III</w:t>
            </w:r>
          </w:p>
          <w:p w14:paraId="4A84F33E" w14:textId="08B9CB0F" w:rsidR="00965895" w:rsidRDefault="00965895" w:rsidP="00DF3701">
            <w:pPr>
              <w:spacing w:after="0"/>
            </w:pPr>
            <w:r>
              <w:t>Annex XIV (B)</w:t>
            </w:r>
          </w:p>
          <w:p w14:paraId="5AAFA87C" w14:textId="77777777" w:rsidR="00965895" w:rsidRPr="009E2513" w:rsidRDefault="00965895" w:rsidP="00DF3701">
            <w:pPr>
              <w:spacing w:after="0"/>
            </w:pPr>
          </w:p>
          <w:p w14:paraId="69747A45" w14:textId="77777777" w:rsidR="00965895" w:rsidRPr="009E2513" w:rsidRDefault="00965895" w:rsidP="00DF3701">
            <w:pPr>
              <w:spacing w:after="0"/>
            </w:pPr>
            <w:r>
              <w:t>Periodic safety update report</w:t>
            </w:r>
          </w:p>
          <w:p w14:paraId="3483A6B9" w14:textId="77777777" w:rsidR="00965895" w:rsidRDefault="00965895" w:rsidP="00DF3701">
            <w:pPr>
              <w:spacing w:after="0"/>
            </w:pPr>
            <w:r>
              <w:t>Article 86</w:t>
            </w:r>
          </w:p>
          <w:p w14:paraId="0ECF0140" w14:textId="399FD223" w:rsidR="00965895" w:rsidRPr="009E2513" w:rsidRDefault="00965895" w:rsidP="00DF3701">
            <w:pPr>
              <w:spacing w:after="0"/>
            </w:pPr>
            <w:r>
              <w:t>Annex III</w:t>
            </w:r>
          </w:p>
        </w:tc>
      </w:tr>
      <w:tr w:rsidR="00506CF3" w:rsidRPr="009E2513" w14:paraId="4A28CE2B" w14:textId="77777777" w:rsidTr="00506CF3">
        <w:trPr>
          <w:trHeight w:val="1272"/>
        </w:trPr>
        <w:tc>
          <w:tcPr>
            <w:tcW w:w="754" w:type="pct"/>
            <w:hideMark/>
          </w:tcPr>
          <w:p w14:paraId="0FD3ACF0" w14:textId="77777777" w:rsidR="00600763" w:rsidRPr="007E736D" w:rsidRDefault="00600763" w:rsidP="00DF3701">
            <w:pPr>
              <w:spacing w:after="0"/>
            </w:pPr>
            <w:r w:rsidRPr="007E736D">
              <w:lastRenderedPageBreak/>
              <w:t xml:space="preserve">Ongoing data collection to show value of the DHT </w:t>
            </w:r>
          </w:p>
        </w:tc>
        <w:tc>
          <w:tcPr>
            <w:tcW w:w="1483" w:type="pct"/>
          </w:tcPr>
          <w:p w14:paraId="469E2B9C" w14:textId="4E95F125" w:rsidR="00600763" w:rsidRDefault="00600763" w:rsidP="00DF3701">
            <w:pPr>
              <w:spacing w:after="0"/>
            </w:pPr>
            <w:r w:rsidRPr="007E736D">
              <w:t>Commitment to ongoing data collection to show user outcomes (if relevant) or user satisfaction (using non-patient identifiable information) to show ongoing value</w:t>
            </w:r>
          </w:p>
        </w:tc>
        <w:tc>
          <w:tcPr>
            <w:tcW w:w="1196" w:type="pct"/>
          </w:tcPr>
          <w:p w14:paraId="3CFBD0E5" w14:textId="77777777" w:rsidR="00600763" w:rsidRPr="007E736D" w:rsidRDefault="00600763" w:rsidP="00DF3701">
            <w:pPr>
              <w:spacing w:after="0"/>
            </w:pPr>
            <w:r>
              <w:t>Yes</w:t>
            </w:r>
          </w:p>
        </w:tc>
        <w:tc>
          <w:tcPr>
            <w:tcW w:w="1567" w:type="pct"/>
          </w:tcPr>
          <w:p w14:paraId="7C4C2EAE" w14:textId="77777777" w:rsidR="00600763" w:rsidRDefault="00600763" w:rsidP="00DF3701">
            <w:pPr>
              <w:spacing w:after="0"/>
            </w:pPr>
            <w:r w:rsidRPr="009E2513">
              <w:t xml:space="preserve">Post-market surveillance </w:t>
            </w:r>
            <w:r>
              <w:t>reports</w:t>
            </w:r>
          </w:p>
          <w:p w14:paraId="38B7CBD7" w14:textId="77777777" w:rsidR="00600763" w:rsidRDefault="00600763" w:rsidP="00DF3701">
            <w:pPr>
              <w:spacing w:after="0"/>
            </w:pPr>
            <w:r>
              <w:t>Article 85</w:t>
            </w:r>
          </w:p>
          <w:p w14:paraId="7E13D849" w14:textId="77777777" w:rsidR="00600763" w:rsidRDefault="00600763" w:rsidP="00DF3701">
            <w:pPr>
              <w:spacing w:after="0"/>
            </w:pPr>
            <w:r>
              <w:t>Annex III</w:t>
            </w:r>
          </w:p>
          <w:p w14:paraId="6B38C78C" w14:textId="6F9DEE51" w:rsidR="00600763" w:rsidRDefault="00600763" w:rsidP="00DF3701">
            <w:pPr>
              <w:spacing w:after="0"/>
            </w:pPr>
            <w:r>
              <w:t>Annex XIV (B)</w:t>
            </w:r>
          </w:p>
          <w:p w14:paraId="18CC9DD4" w14:textId="77777777" w:rsidR="00600763" w:rsidRPr="009E2513" w:rsidRDefault="00600763" w:rsidP="00DF3701">
            <w:pPr>
              <w:spacing w:after="0"/>
            </w:pPr>
          </w:p>
          <w:p w14:paraId="11A7CDE9" w14:textId="77777777" w:rsidR="00600763" w:rsidRPr="009E2513" w:rsidRDefault="00600763" w:rsidP="00DF3701">
            <w:pPr>
              <w:spacing w:after="0"/>
            </w:pPr>
            <w:r>
              <w:t>Periodic safety update report</w:t>
            </w:r>
          </w:p>
          <w:p w14:paraId="6D93317E" w14:textId="77777777" w:rsidR="00600763" w:rsidRDefault="00600763" w:rsidP="00DF3701">
            <w:pPr>
              <w:spacing w:after="0"/>
            </w:pPr>
            <w:r>
              <w:t>Article 86</w:t>
            </w:r>
          </w:p>
          <w:p w14:paraId="5A5D58E9" w14:textId="42DEA469" w:rsidR="00600763" w:rsidRPr="009E2513" w:rsidRDefault="00600763" w:rsidP="00DF3701">
            <w:pPr>
              <w:spacing w:after="0"/>
            </w:pPr>
            <w:r>
              <w:t>Annex III</w:t>
            </w:r>
          </w:p>
        </w:tc>
      </w:tr>
      <w:tr w:rsidR="00506CF3" w:rsidRPr="00510318" w14:paraId="1AA80D58" w14:textId="77777777" w:rsidTr="00506CF3">
        <w:trPr>
          <w:trHeight w:val="2035"/>
        </w:trPr>
        <w:tc>
          <w:tcPr>
            <w:tcW w:w="754" w:type="pct"/>
          </w:tcPr>
          <w:p w14:paraId="7171C6B2" w14:textId="73CDF5F3" w:rsidR="00600763" w:rsidRPr="00A85066" w:rsidRDefault="00600763" w:rsidP="00DF3701">
            <w:pPr>
              <w:spacing w:after="0"/>
              <w:rPr>
                <w:highlight w:val="yellow"/>
              </w:rPr>
            </w:pPr>
            <w:r w:rsidRPr="007E736D">
              <w:t>Ongoing data collection to show value of the DHT</w:t>
            </w:r>
          </w:p>
        </w:tc>
        <w:tc>
          <w:tcPr>
            <w:tcW w:w="1483" w:type="pct"/>
          </w:tcPr>
          <w:p w14:paraId="34E07D6C" w14:textId="695104B6" w:rsidR="00600763" w:rsidRPr="00510318" w:rsidRDefault="00600763" w:rsidP="00DF3701">
            <w:pPr>
              <w:spacing w:after="0"/>
            </w:pPr>
            <w:r w:rsidRPr="00510318">
              <w:t>Commitment to share, when available, user outcomes (if relevant) or user satisfaction (using non-patient identifiable information), with relevant decision-makers such as commissioners in a clear and useful format</w:t>
            </w:r>
          </w:p>
        </w:tc>
        <w:tc>
          <w:tcPr>
            <w:tcW w:w="1196" w:type="pct"/>
          </w:tcPr>
          <w:p w14:paraId="0307C932" w14:textId="77777777" w:rsidR="00600763" w:rsidRDefault="00600763" w:rsidP="00DF3701">
            <w:pPr>
              <w:spacing w:after="0"/>
            </w:pPr>
            <w:r>
              <w:t>Yes</w:t>
            </w:r>
          </w:p>
          <w:p w14:paraId="44133BE4" w14:textId="66447F36" w:rsidR="00600763" w:rsidRPr="00510318" w:rsidRDefault="00600763" w:rsidP="00DF3701">
            <w:pPr>
              <w:spacing w:after="0"/>
            </w:pPr>
            <w:r>
              <w:t xml:space="preserve">While it is a requirement for ongoing data collection, it is not a requirement to report this to </w:t>
            </w:r>
            <w:r w:rsidRPr="0070689B">
              <w:t xml:space="preserve">relevant </w:t>
            </w:r>
            <w:r>
              <w:t>commissioners, but will be reviewed by notified bodies as part of compliance</w:t>
            </w:r>
          </w:p>
        </w:tc>
        <w:tc>
          <w:tcPr>
            <w:tcW w:w="1567" w:type="pct"/>
          </w:tcPr>
          <w:p w14:paraId="52209D16" w14:textId="77777777" w:rsidR="00600763" w:rsidRDefault="00600763" w:rsidP="00DF3701">
            <w:pPr>
              <w:spacing w:after="0"/>
            </w:pPr>
            <w:r w:rsidRPr="009E2513">
              <w:t xml:space="preserve">Post-market surveillance </w:t>
            </w:r>
            <w:r>
              <w:t>reports</w:t>
            </w:r>
          </w:p>
          <w:p w14:paraId="4C2F5509" w14:textId="77777777" w:rsidR="00600763" w:rsidRDefault="00600763" w:rsidP="00DF3701">
            <w:pPr>
              <w:spacing w:after="0"/>
            </w:pPr>
            <w:r>
              <w:t>Article 85</w:t>
            </w:r>
          </w:p>
          <w:p w14:paraId="4EDE1109" w14:textId="77777777" w:rsidR="00600763" w:rsidRDefault="00600763" w:rsidP="00DF3701">
            <w:pPr>
              <w:spacing w:after="0"/>
            </w:pPr>
            <w:r>
              <w:t>Annex III</w:t>
            </w:r>
          </w:p>
          <w:p w14:paraId="115A594D" w14:textId="36F31A2F" w:rsidR="00600763" w:rsidRDefault="00600763" w:rsidP="00DF3701">
            <w:pPr>
              <w:spacing w:after="0"/>
            </w:pPr>
            <w:r>
              <w:t>Annex XIV (B)</w:t>
            </w:r>
          </w:p>
          <w:p w14:paraId="27405B69" w14:textId="77777777" w:rsidR="00600763" w:rsidRPr="00510318" w:rsidRDefault="00600763" w:rsidP="00DF3701">
            <w:pPr>
              <w:spacing w:after="0"/>
            </w:pPr>
          </w:p>
          <w:p w14:paraId="48374516" w14:textId="77777777" w:rsidR="00600763" w:rsidRPr="009E2513" w:rsidRDefault="00600763" w:rsidP="00DF3701">
            <w:pPr>
              <w:spacing w:after="0"/>
            </w:pPr>
            <w:r>
              <w:t>Periodic safety update report</w:t>
            </w:r>
          </w:p>
          <w:p w14:paraId="0B622CA5" w14:textId="77777777" w:rsidR="00600763" w:rsidRDefault="00600763" w:rsidP="00DF3701">
            <w:pPr>
              <w:spacing w:after="0"/>
            </w:pPr>
            <w:r>
              <w:t>Article 86</w:t>
            </w:r>
          </w:p>
          <w:p w14:paraId="38406D26" w14:textId="50576CA3" w:rsidR="00600763" w:rsidRPr="00510318" w:rsidRDefault="00600763" w:rsidP="00DF3701">
            <w:pPr>
              <w:spacing w:after="0"/>
            </w:pPr>
            <w:r>
              <w:t>Annex III</w:t>
            </w:r>
          </w:p>
        </w:tc>
      </w:tr>
      <w:tr w:rsidR="00506CF3" w14:paraId="18AAD074" w14:textId="77777777" w:rsidTr="00506CF3">
        <w:trPr>
          <w:trHeight w:val="20"/>
        </w:trPr>
        <w:tc>
          <w:tcPr>
            <w:tcW w:w="754" w:type="pct"/>
            <w:hideMark/>
          </w:tcPr>
          <w:p w14:paraId="36D7B470" w14:textId="78DA0D37" w:rsidR="00AA0153" w:rsidRPr="007E736D" w:rsidRDefault="00AA0153" w:rsidP="00DF3701">
            <w:pPr>
              <w:spacing w:after="0"/>
            </w:pPr>
            <w:r w:rsidRPr="007E736D">
              <w:t>Q</w:t>
            </w:r>
            <w:r>
              <w:t>uality and safeguarding</w:t>
            </w:r>
          </w:p>
        </w:tc>
        <w:tc>
          <w:tcPr>
            <w:tcW w:w="1483" w:type="pct"/>
          </w:tcPr>
          <w:p w14:paraId="0C320C60" w14:textId="6CA3B081" w:rsidR="00AA0153" w:rsidRDefault="00AA0153" w:rsidP="00DF3701">
            <w:pPr>
              <w:spacing w:after="0"/>
            </w:pPr>
            <w:r w:rsidRPr="007E736D">
              <w:t>Show that appropriate safeguarding measures are in place around peer-support and other communication functions within the platform</w:t>
            </w:r>
          </w:p>
        </w:tc>
        <w:tc>
          <w:tcPr>
            <w:tcW w:w="1196" w:type="pct"/>
          </w:tcPr>
          <w:p w14:paraId="771170A0" w14:textId="77777777" w:rsidR="00AA0153" w:rsidRPr="007E736D" w:rsidRDefault="00AA0153" w:rsidP="00DF3701">
            <w:pPr>
              <w:spacing w:after="0"/>
            </w:pPr>
            <w:r>
              <w:t>Yes</w:t>
            </w:r>
          </w:p>
        </w:tc>
        <w:tc>
          <w:tcPr>
            <w:tcW w:w="1567" w:type="pct"/>
          </w:tcPr>
          <w:p w14:paraId="0FC41487" w14:textId="77777777" w:rsidR="00AA0153" w:rsidRPr="009E2513" w:rsidRDefault="00AA0153" w:rsidP="00DF3701">
            <w:pPr>
              <w:spacing w:after="0"/>
            </w:pPr>
            <w:r>
              <w:t>General safety and performance requirements</w:t>
            </w:r>
          </w:p>
          <w:p w14:paraId="5EC64420" w14:textId="6C7CEE05" w:rsidR="00AA0153" w:rsidRDefault="00AA0153" w:rsidP="00DF3701">
            <w:pPr>
              <w:spacing w:after="0"/>
              <w:rPr>
                <w:color w:val="auto"/>
              </w:rPr>
            </w:pPr>
            <w:r>
              <w:rPr>
                <w:color w:val="auto"/>
              </w:rPr>
              <w:t>Annex I</w:t>
            </w:r>
          </w:p>
          <w:p w14:paraId="773072A3" w14:textId="77777777" w:rsidR="00AA0153" w:rsidRDefault="00AA0153" w:rsidP="00DF3701">
            <w:pPr>
              <w:spacing w:after="0"/>
            </w:pPr>
          </w:p>
        </w:tc>
      </w:tr>
      <w:tr w:rsidR="00506CF3" w14:paraId="2FA73B62" w14:textId="77777777" w:rsidTr="00506CF3">
        <w:trPr>
          <w:trHeight w:val="20"/>
        </w:trPr>
        <w:tc>
          <w:tcPr>
            <w:tcW w:w="754" w:type="pct"/>
          </w:tcPr>
          <w:p w14:paraId="6C0BA1B8" w14:textId="34F0C350" w:rsidR="00AA0153" w:rsidRPr="007E736D" w:rsidRDefault="00AA0153" w:rsidP="00DF3701">
            <w:pPr>
              <w:spacing w:after="0"/>
            </w:pPr>
            <w:r w:rsidRPr="00AA0153">
              <w:t>Quality and safeguarding</w:t>
            </w:r>
          </w:p>
        </w:tc>
        <w:tc>
          <w:tcPr>
            <w:tcW w:w="1483" w:type="pct"/>
          </w:tcPr>
          <w:p w14:paraId="4C0110CD" w14:textId="77777777" w:rsidR="002224A2" w:rsidRDefault="00AA0153" w:rsidP="00DF3701">
            <w:pPr>
              <w:spacing w:after="0"/>
            </w:pPr>
            <w:r w:rsidRPr="007E736D">
              <w:t>Describe who has access to the platform and their roles within the platform</w:t>
            </w:r>
          </w:p>
          <w:p w14:paraId="1547F6CC" w14:textId="1B7AAB0F" w:rsidR="00AA0153" w:rsidRPr="007E736D" w:rsidRDefault="00AA0153" w:rsidP="00DF3701">
            <w:pPr>
              <w:spacing w:after="0"/>
            </w:pPr>
            <w:r w:rsidRPr="007E736D">
              <w:t>Describe why these people or groups are suitable and qualified to have access</w:t>
            </w:r>
          </w:p>
        </w:tc>
        <w:tc>
          <w:tcPr>
            <w:tcW w:w="1196" w:type="pct"/>
          </w:tcPr>
          <w:p w14:paraId="04D3B9C5" w14:textId="2C410A51" w:rsidR="00AA0153" w:rsidRDefault="00F70E68" w:rsidP="00DF3701">
            <w:pPr>
              <w:spacing w:after="0"/>
            </w:pPr>
            <w:r>
              <w:t>Yes</w:t>
            </w:r>
          </w:p>
        </w:tc>
        <w:tc>
          <w:tcPr>
            <w:tcW w:w="1567" w:type="pct"/>
          </w:tcPr>
          <w:p w14:paraId="3A1FC3DC" w14:textId="77777777" w:rsidR="00AA0153" w:rsidRDefault="00AA0153" w:rsidP="00DF3701">
            <w:pPr>
              <w:spacing w:after="0"/>
            </w:pPr>
            <w:r>
              <w:t>Risk management</w:t>
            </w:r>
          </w:p>
          <w:p w14:paraId="5C1A2B48" w14:textId="7C14842E" w:rsidR="00AA0153" w:rsidRDefault="00AA0153" w:rsidP="00DF3701">
            <w:pPr>
              <w:spacing w:after="0"/>
              <w:rPr>
                <w:color w:val="auto"/>
              </w:rPr>
            </w:pPr>
            <w:r>
              <w:rPr>
                <w:color w:val="auto"/>
              </w:rPr>
              <w:t>Annex I (3)</w:t>
            </w:r>
          </w:p>
          <w:p w14:paraId="72FB598C" w14:textId="77777777" w:rsidR="00AA0153" w:rsidRDefault="00AA0153" w:rsidP="00DF3701">
            <w:pPr>
              <w:spacing w:after="0"/>
            </w:pPr>
          </w:p>
        </w:tc>
      </w:tr>
      <w:tr w:rsidR="00506CF3" w14:paraId="0ED4A1FC" w14:textId="77777777" w:rsidTr="00506CF3">
        <w:trPr>
          <w:trHeight w:val="20"/>
        </w:trPr>
        <w:tc>
          <w:tcPr>
            <w:tcW w:w="754" w:type="pct"/>
          </w:tcPr>
          <w:p w14:paraId="3D9DEB41" w14:textId="6AEC1124" w:rsidR="00AA0153" w:rsidRPr="007E736D" w:rsidRDefault="00AA0153" w:rsidP="00DF3701">
            <w:pPr>
              <w:spacing w:after="0"/>
            </w:pPr>
            <w:r w:rsidRPr="00AA0153">
              <w:t>Quality and safeguarding</w:t>
            </w:r>
          </w:p>
        </w:tc>
        <w:tc>
          <w:tcPr>
            <w:tcW w:w="1483" w:type="pct"/>
          </w:tcPr>
          <w:p w14:paraId="6E56EF7B" w14:textId="5FEE64B5" w:rsidR="00AA0153" w:rsidRPr="007E736D" w:rsidRDefault="00AA0153" w:rsidP="00DF3701">
            <w:pPr>
              <w:spacing w:after="0"/>
            </w:pPr>
            <w:r w:rsidRPr="007E736D">
              <w:t>Describe any measures in place to ensure safety in peer-to-peer communication, for example through user agreements or moderation</w:t>
            </w:r>
          </w:p>
        </w:tc>
        <w:tc>
          <w:tcPr>
            <w:tcW w:w="1196" w:type="pct"/>
          </w:tcPr>
          <w:p w14:paraId="182E3DD8" w14:textId="156348AA" w:rsidR="00AA0153" w:rsidRDefault="00F70E68" w:rsidP="00DF3701">
            <w:pPr>
              <w:spacing w:after="0"/>
            </w:pPr>
            <w:r>
              <w:t>Yes</w:t>
            </w:r>
          </w:p>
        </w:tc>
        <w:tc>
          <w:tcPr>
            <w:tcW w:w="1567" w:type="pct"/>
          </w:tcPr>
          <w:p w14:paraId="5ABEAF72" w14:textId="77777777" w:rsidR="00AA0153" w:rsidRDefault="00AA0153" w:rsidP="00DF3701">
            <w:pPr>
              <w:spacing w:after="0"/>
            </w:pPr>
            <w:r w:rsidRPr="009E2513">
              <w:t xml:space="preserve">Post-market surveillance </w:t>
            </w:r>
            <w:r>
              <w:t>reports</w:t>
            </w:r>
          </w:p>
          <w:p w14:paraId="20D45BFA" w14:textId="77777777" w:rsidR="00AA0153" w:rsidRDefault="00AA0153" w:rsidP="00DF3701">
            <w:pPr>
              <w:spacing w:after="0"/>
            </w:pPr>
            <w:r>
              <w:t>Article 85</w:t>
            </w:r>
          </w:p>
          <w:p w14:paraId="0DD9504D" w14:textId="77777777" w:rsidR="00AA0153" w:rsidRDefault="00AA0153" w:rsidP="00DF3701">
            <w:pPr>
              <w:spacing w:after="0"/>
            </w:pPr>
            <w:r>
              <w:t>Annex III</w:t>
            </w:r>
          </w:p>
          <w:p w14:paraId="64EA6294" w14:textId="77777777" w:rsidR="00AA0153" w:rsidRDefault="00AA0153" w:rsidP="00DF3701">
            <w:pPr>
              <w:spacing w:after="0"/>
            </w:pPr>
            <w:r>
              <w:t>Annex XIV (B)</w:t>
            </w:r>
          </w:p>
        </w:tc>
      </w:tr>
      <w:tr w:rsidR="00506CF3" w:rsidRPr="006E706A" w14:paraId="061915CA" w14:textId="77777777" w:rsidTr="00506CF3">
        <w:trPr>
          <w:trHeight w:val="1008"/>
        </w:trPr>
        <w:tc>
          <w:tcPr>
            <w:tcW w:w="754" w:type="pct"/>
            <w:hideMark/>
          </w:tcPr>
          <w:p w14:paraId="371BF007" w14:textId="703F0E5B" w:rsidR="00B23371" w:rsidRPr="007E736D" w:rsidRDefault="00B23371" w:rsidP="00DF3701">
            <w:pPr>
              <w:spacing w:after="0"/>
            </w:pPr>
            <w:r w:rsidRPr="007E736D">
              <w:t>Credibility with UK healt</w:t>
            </w:r>
            <w:r>
              <w:t>h and social care professionals</w:t>
            </w:r>
          </w:p>
        </w:tc>
        <w:tc>
          <w:tcPr>
            <w:tcW w:w="1483" w:type="pct"/>
          </w:tcPr>
          <w:p w14:paraId="45D40CA4" w14:textId="579A6498" w:rsidR="00B23371" w:rsidRDefault="00B23371" w:rsidP="00DF3701">
            <w:pPr>
              <w:spacing w:after="0"/>
            </w:pPr>
            <w:r w:rsidRPr="007E736D">
              <w:t>Show that the DHT has a plausible mode of action that is viewed as useful and relevant by professional experts or expert groups in the relevant field</w:t>
            </w:r>
          </w:p>
        </w:tc>
        <w:tc>
          <w:tcPr>
            <w:tcW w:w="1196" w:type="pct"/>
          </w:tcPr>
          <w:p w14:paraId="72F5D015" w14:textId="77777777" w:rsidR="00B23371" w:rsidRDefault="00B23371" w:rsidP="00DF3701">
            <w:pPr>
              <w:spacing w:after="0"/>
            </w:pPr>
            <w:r>
              <w:t>Not explicitly, but likely to feed into establishing and validating user requirements</w:t>
            </w:r>
          </w:p>
        </w:tc>
        <w:tc>
          <w:tcPr>
            <w:tcW w:w="1567" w:type="pct"/>
          </w:tcPr>
          <w:p w14:paraId="56AC020F" w14:textId="77777777" w:rsidR="00B23371" w:rsidRDefault="00B23371" w:rsidP="00DF3701">
            <w:pPr>
              <w:spacing w:after="0"/>
            </w:pPr>
            <w:r>
              <w:t xml:space="preserve">Instructions </w:t>
            </w:r>
            <w:r w:rsidRPr="00D27FCC">
              <w:t>for</w:t>
            </w:r>
            <w:r>
              <w:t xml:space="preserve"> use</w:t>
            </w:r>
          </w:p>
          <w:p w14:paraId="1DC2D682" w14:textId="31E209E3" w:rsidR="00B23371" w:rsidRDefault="00B23371" w:rsidP="00DF3701">
            <w:pPr>
              <w:spacing w:after="0"/>
              <w:rPr>
                <w:color w:val="auto"/>
              </w:rPr>
            </w:pPr>
            <w:r w:rsidRPr="00C715CF">
              <w:rPr>
                <w:color w:val="auto"/>
              </w:rPr>
              <w:t>Annex I (Chapter III)</w:t>
            </w:r>
          </w:p>
          <w:p w14:paraId="47A20F39" w14:textId="77777777" w:rsidR="00B23371" w:rsidRPr="006E706A" w:rsidRDefault="00B23371" w:rsidP="00DF3701">
            <w:pPr>
              <w:spacing w:after="0"/>
              <w:rPr>
                <w:color w:val="auto"/>
              </w:rPr>
            </w:pPr>
          </w:p>
          <w:p w14:paraId="1FD7CDB5" w14:textId="77777777" w:rsidR="00B23371" w:rsidRPr="00074D56" w:rsidRDefault="00B23371" w:rsidP="00DF3701">
            <w:pPr>
              <w:spacing w:after="0"/>
              <w:rPr>
                <w:color w:val="auto"/>
              </w:rPr>
            </w:pPr>
            <w:r>
              <w:t xml:space="preserve">Validation and </w:t>
            </w:r>
            <w:r w:rsidRPr="009D6431">
              <w:rPr>
                <w:color w:val="auto"/>
              </w:rPr>
              <w:t>verification reports</w:t>
            </w:r>
            <w:r>
              <w:rPr>
                <w:color w:val="auto"/>
              </w:rPr>
              <w:t xml:space="preserve"> </w:t>
            </w:r>
          </w:p>
          <w:p w14:paraId="4711849B" w14:textId="34FB693A" w:rsidR="00B23371" w:rsidRPr="006E706A" w:rsidRDefault="00B23371" w:rsidP="00DF3701">
            <w:pPr>
              <w:spacing w:after="0"/>
              <w:rPr>
                <w:color w:val="auto"/>
              </w:rPr>
            </w:pPr>
            <w:r w:rsidRPr="00C715CF">
              <w:rPr>
                <w:color w:val="auto"/>
              </w:rPr>
              <w:t>Annex II (6)</w:t>
            </w:r>
          </w:p>
        </w:tc>
      </w:tr>
      <w:tr w:rsidR="00506CF3" w14:paraId="2185B892" w14:textId="77777777" w:rsidTr="00506CF3">
        <w:trPr>
          <w:trHeight w:val="2786"/>
        </w:trPr>
        <w:tc>
          <w:tcPr>
            <w:tcW w:w="754" w:type="pct"/>
          </w:tcPr>
          <w:p w14:paraId="19A68288" w14:textId="12893395" w:rsidR="00524845" w:rsidRPr="007E736D" w:rsidRDefault="00524845" w:rsidP="00DF3701">
            <w:pPr>
              <w:spacing w:after="0"/>
            </w:pPr>
            <w:r w:rsidRPr="007E736D">
              <w:lastRenderedPageBreak/>
              <w:t>Credibility with UK healt</w:t>
            </w:r>
            <w:r>
              <w:t>h and social care professionals</w:t>
            </w:r>
          </w:p>
        </w:tc>
        <w:tc>
          <w:tcPr>
            <w:tcW w:w="1483" w:type="pct"/>
          </w:tcPr>
          <w:p w14:paraId="23EA5388" w14:textId="59120A30" w:rsidR="00524845" w:rsidRDefault="00524845" w:rsidP="00DF3701">
            <w:pPr>
              <w:spacing w:after="0"/>
            </w:pPr>
            <w:r w:rsidRPr="007E736D">
              <w:t>Show that relevant clinical or social care professionals working within the UK health and social care system have been involved in the design, development or testing of the DHT</w:t>
            </w:r>
          </w:p>
          <w:p w14:paraId="6F933DC1" w14:textId="77777777" w:rsidR="00524845" w:rsidRDefault="00524845" w:rsidP="00DF3701">
            <w:pPr>
              <w:spacing w:after="0"/>
            </w:pPr>
            <w:r w:rsidRPr="007E736D">
              <w:t>or</w:t>
            </w:r>
          </w:p>
          <w:p w14:paraId="7EB4FB89" w14:textId="6C681612" w:rsidR="00524845" w:rsidRDefault="00524845" w:rsidP="00DF3701">
            <w:pPr>
              <w:spacing w:after="0"/>
            </w:pPr>
            <w:r w:rsidRPr="007E736D">
              <w:t>Show that relevant clinical or social care professionals working within the UK health and social care system have been involved in signing-off the DHT, indicating their informed approval of the DHT</w:t>
            </w:r>
          </w:p>
        </w:tc>
        <w:tc>
          <w:tcPr>
            <w:tcW w:w="1196" w:type="pct"/>
          </w:tcPr>
          <w:p w14:paraId="0022C2AA" w14:textId="77777777" w:rsidR="00524845" w:rsidRDefault="00524845" w:rsidP="00DF3701">
            <w:pPr>
              <w:spacing w:after="0"/>
            </w:pPr>
            <w:r>
              <w:t xml:space="preserve">Although there are no explicit requirements for health and social professional involvement (UK or otherwise), heath or social care professionals are likely to feed into establishing and validating user </w:t>
            </w:r>
            <w:proofErr w:type="gramStart"/>
            <w:r>
              <w:t>requirements</w:t>
            </w:r>
            <w:proofErr w:type="gramEnd"/>
          </w:p>
          <w:p w14:paraId="5092AC07" w14:textId="77777777" w:rsidR="00524845" w:rsidRDefault="00524845" w:rsidP="00DF3701">
            <w:pPr>
              <w:spacing w:after="0"/>
            </w:pPr>
          </w:p>
        </w:tc>
        <w:tc>
          <w:tcPr>
            <w:tcW w:w="1567" w:type="pct"/>
          </w:tcPr>
          <w:p w14:paraId="207391C0" w14:textId="77777777" w:rsidR="00524845" w:rsidRDefault="00524845" w:rsidP="00DF3701">
            <w:pPr>
              <w:spacing w:after="0"/>
            </w:pPr>
            <w:r>
              <w:t>Validation and verification reports</w:t>
            </w:r>
          </w:p>
          <w:p w14:paraId="776153EA" w14:textId="2D261E81" w:rsidR="00524845" w:rsidRDefault="00524845" w:rsidP="00DF3701">
            <w:pPr>
              <w:spacing w:after="0"/>
              <w:rPr>
                <w:color w:val="auto"/>
              </w:rPr>
            </w:pPr>
            <w:r>
              <w:rPr>
                <w:color w:val="auto"/>
              </w:rPr>
              <w:t>Annex II (6)</w:t>
            </w:r>
          </w:p>
          <w:p w14:paraId="2A6D0F29" w14:textId="77777777" w:rsidR="00524845" w:rsidRDefault="00524845" w:rsidP="00DF3701">
            <w:pPr>
              <w:spacing w:after="0"/>
              <w:rPr>
                <w:color w:val="auto"/>
              </w:rPr>
            </w:pPr>
          </w:p>
          <w:p w14:paraId="0CAB3B36" w14:textId="77777777" w:rsidR="00524845" w:rsidRDefault="00524845" w:rsidP="00DF3701">
            <w:pPr>
              <w:spacing w:after="0"/>
            </w:pPr>
            <w:r>
              <w:t>Clinical investigation/evaluation reports</w:t>
            </w:r>
          </w:p>
          <w:p w14:paraId="200B2C88" w14:textId="34EB58A2" w:rsidR="00524845" w:rsidRDefault="00524845" w:rsidP="00DF3701">
            <w:pPr>
              <w:spacing w:after="0"/>
            </w:pPr>
            <w:r>
              <w:t xml:space="preserve">Annex </w:t>
            </w:r>
            <w:r w:rsidRPr="008B3A88">
              <w:t>XIV</w:t>
            </w:r>
            <w:r>
              <w:t xml:space="preserve"> (A)</w:t>
            </w:r>
          </w:p>
          <w:p w14:paraId="43B4164B" w14:textId="77777777" w:rsidR="00524845" w:rsidRDefault="00524845" w:rsidP="00DF3701">
            <w:pPr>
              <w:spacing w:after="0"/>
              <w:rPr>
                <w:color w:val="auto"/>
              </w:rPr>
            </w:pPr>
          </w:p>
          <w:p w14:paraId="67B833CC" w14:textId="77777777" w:rsidR="00524845" w:rsidRDefault="00524845" w:rsidP="00DF3701">
            <w:pPr>
              <w:spacing w:after="0"/>
            </w:pPr>
            <w:r>
              <w:t>Validation and verification reports</w:t>
            </w:r>
          </w:p>
          <w:p w14:paraId="6BDD3D4E" w14:textId="20A80383" w:rsidR="00524845" w:rsidRDefault="00524845" w:rsidP="00DF3701">
            <w:pPr>
              <w:spacing w:after="0"/>
            </w:pPr>
            <w:r>
              <w:rPr>
                <w:color w:val="auto"/>
              </w:rPr>
              <w:t>Annex II (6)</w:t>
            </w:r>
          </w:p>
        </w:tc>
      </w:tr>
      <w:tr w:rsidR="00506CF3" w14:paraId="497F2F71" w14:textId="77777777" w:rsidTr="00506CF3">
        <w:trPr>
          <w:trHeight w:val="1819"/>
        </w:trPr>
        <w:tc>
          <w:tcPr>
            <w:tcW w:w="754" w:type="pct"/>
            <w:hideMark/>
          </w:tcPr>
          <w:p w14:paraId="6B61BDEB" w14:textId="77777777" w:rsidR="00C92E3A" w:rsidRPr="007E736D" w:rsidRDefault="00C92E3A" w:rsidP="00DF3701">
            <w:pPr>
              <w:spacing w:after="0"/>
            </w:pPr>
            <w:r w:rsidRPr="007E736D">
              <w:t>Relevance to current care pathways in the UK</w:t>
            </w:r>
            <w:r>
              <w:t xml:space="preserve"> health and social care system</w:t>
            </w:r>
          </w:p>
        </w:tc>
        <w:tc>
          <w:tcPr>
            <w:tcW w:w="1483" w:type="pct"/>
          </w:tcPr>
          <w:p w14:paraId="1FBFBFC2" w14:textId="7023A700" w:rsidR="00C92E3A" w:rsidRDefault="00C92E3A" w:rsidP="00DF3701">
            <w:pPr>
              <w:spacing w:after="0"/>
            </w:pPr>
            <w:r w:rsidRPr="007E736D">
              <w:t>Evidence to show that the DHT has been successfully piloted in the UK health and social care system, showing that it is relevant to current care pathways and service provision in the UK</w:t>
            </w:r>
          </w:p>
        </w:tc>
        <w:tc>
          <w:tcPr>
            <w:tcW w:w="1196" w:type="pct"/>
          </w:tcPr>
          <w:p w14:paraId="1A2C31CC" w14:textId="77777777" w:rsidR="00C92E3A" w:rsidRDefault="00C92E3A" w:rsidP="00DF3701">
            <w:pPr>
              <w:spacing w:after="0"/>
            </w:pPr>
            <w:r w:rsidRPr="00C7504A">
              <w:t xml:space="preserve">Although there are </w:t>
            </w:r>
            <w:r w:rsidRPr="009856E5">
              <w:t>no explicit requirements for health and social professional involvement (UK or otherwise), heath or social care professional</w:t>
            </w:r>
            <w:r>
              <w:t>s are</w:t>
            </w:r>
            <w:r w:rsidRPr="009856E5" w:rsidDel="00C7504A">
              <w:t xml:space="preserve"> </w:t>
            </w:r>
            <w:r>
              <w:t>likely to feed into device validation and clinical evaluation</w:t>
            </w:r>
          </w:p>
        </w:tc>
        <w:tc>
          <w:tcPr>
            <w:tcW w:w="1567" w:type="pct"/>
          </w:tcPr>
          <w:p w14:paraId="7B4FD447" w14:textId="77777777" w:rsidR="00C92E3A" w:rsidRPr="007E736D" w:rsidRDefault="00C92E3A" w:rsidP="00DF3701">
            <w:pPr>
              <w:spacing w:after="0"/>
            </w:pPr>
            <w:r>
              <w:t>Validation and verification reports</w:t>
            </w:r>
          </w:p>
          <w:p w14:paraId="233DA78D" w14:textId="1C94C746" w:rsidR="00C92E3A" w:rsidRDefault="00C92E3A" w:rsidP="00DF3701">
            <w:pPr>
              <w:spacing w:after="0"/>
              <w:rPr>
                <w:color w:val="auto"/>
              </w:rPr>
            </w:pPr>
            <w:r>
              <w:rPr>
                <w:color w:val="auto"/>
              </w:rPr>
              <w:t>Annex II (6)</w:t>
            </w:r>
          </w:p>
          <w:p w14:paraId="12AD7EAE" w14:textId="77777777" w:rsidR="00C92E3A" w:rsidRDefault="00C92E3A" w:rsidP="00DF3701">
            <w:pPr>
              <w:spacing w:after="0"/>
              <w:rPr>
                <w:color w:val="auto"/>
              </w:rPr>
            </w:pPr>
          </w:p>
          <w:p w14:paraId="408FAAEB" w14:textId="77777777" w:rsidR="00C92E3A" w:rsidRDefault="00C92E3A" w:rsidP="00DF3701">
            <w:pPr>
              <w:spacing w:after="0"/>
            </w:pPr>
            <w:r>
              <w:t>Clinical investigation/evaluation reports</w:t>
            </w:r>
          </w:p>
          <w:p w14:paraId="0F51A04C" w14:textId="629CCE6A" w:rsidR="00C92E3A" w:rsidRDefault="00C92E3A" w:rsidP="00DF3701">
            <w:pPr>
              <w:spacing w:after="0"/>
            </w:pPr>
            <w:r>
              <w:t xml:space="preserve">Annex </w:t>
            </w:r>
            <w:r w:rsidRPr="008B3A88">
              <w:t>XIV</w:t>
            </w:r>
            <w:r>
              <w:t xml:space="preserve"> (A)</w:t>
            </w:r>
          </w:p>
        </w:tc>
      </w:tr>
      <w:tr w:rsidR="00506CF3" w14:paraId="13BA7479" w14:textId="77777777" w:rsidTr="00506CF3">
        <w:trPr>
          <w:trHeight w:val="2808"/>
        </w:trPr>
        <w:tc>
          <w:tcPr>
            <w:tcW w:w="754" w:type="pct"/>
          </w:tcPr>
          <w:p w14:paraId="4C20960E" w14:textId="51E49A8D" w:rsidR="00C92E3A" w:rsidRPr="007E736D" w:rsidRDefault="00C92E3A" w:rsidP="00DF3701">
            <w:pPr>
              <w:spacing w:after="0"/>
            </w:pPr>
            <w:r w:rsidRPr="007E736D">
              <w:t>Relevance to current care pathways in the UK</w:t>
            </w:r>
            <w:r>
              <w:t xml:space="preserve"> health and social care system</w:t>
            </w:r>
          </w:p>
        </w:tc>
        <w:tc>
          <w:tcPr>
            <w:tcW w:w="1483" w:type="pct"/>
          </w:tcPr>
          <w:p w14:paraId="192980E3" w14:textId="4F59B236" w:rsidR="00C92E3A" w:rsidRDefault="00C92E3A" w:rsidP="00DF3701">
            <w:pPr>
              <w:spacing w:after="0"/>
            </w:pPr>
            <w:r w:rsidRPr="007E736D">
              <w:t xml:space="preserve">Evidence that the DHT </w:t>
            </w:r>
            <w:proofErr w:type="gramStart"/>
            <w:r w:rsidRPr="007E736D">
              <w:t>is able to</w:t>
            </w:r>
            <w:proofErr w:type="gramEnd"/>
            <w:r w:rsidRPr="007E736D">
              <w:t xml:space="preserve"> perform its intended function to the scale needed (for example, having servers that can scale to manage the expected number of users)</w:t>
            </w:r>
          </w:p>
        </w:tc>
        <w:tc>
          <w:tcPr>
            <w:tcW w:w="1196" w:type="pct"/>
          </w:tcPr>
          <w:p w14:paraId="68424A39" w14:textId="77777777" w:rsidR="00C92E3A" w:rsidRDefault="00C92E3A" w:rsidP="00DF3701">
            <w:pPr>
              <w:spacing w:after="0"/>
            </w:pPr>
            <w:r>
              <w:t>Yes</w:t>
            </w:r>
          </w:p>
          <w:p w14:paraId="52264AAB" w14:textId="77777777" w:rsidR="00C92E3A" w:rsidRDefault="00C92E3A" w:rsidP="00DF3701">
            <w:pPr>
              <w:spacing w:after="0"/>
            </w:pPr>
            <w:r>
              <w:t>Devices must meet the relevant safety and performance requirements</w:t>
            </w:r>
          </w:p>
        </w:tc>
        <w:tc>
          <w:tcPr>
            <w:tcW w:w="1567" w:type="pct"/>
          </w:tcPr>
          <w:p w14:paraId="202A7AD8" w14:textId="77777777" w:rsidR="00C92E3A" w:rsidRPr="007E736D" w:rsidRDefault="00C92E3A" w:rsidP="00DF3701">
            <w:pPr>
              <w:spacing w:after="0"/>
            </w:pPr>
            <w:r>
              <w:t>General safety and performance requirements - General requirements</w:t>
            </w:r>
          </w:p>
          <w:p w14:paraId="278C0CC9" w14:textId="35192197" w:rsidR="00C92E3A" w:rsidRDefault="00C92E3A" w:rsidP="00DF3701">
            <w:pPr>
              <w:spacing w:after="0"/>
              <w:rPr>
                <w:color w:val="auto"/>
              </w:rPr>
            </w:pPr>
            <w:r>
              <w:rPr>
                <w:color w:val="auto"/>
              </w:rPr>
              <w:t>Annex I (Chapter I)</w:t>
            </w:r>
          </w:p>
          <w:p w14:paraId="42D3377D" w14:textId="77777777" w:rsidR="00C92E3A" w:rsidRDefault="00C92E3A" w:rsidP="00DF3701">
            <w:pPr>
              <w:spacing w:after="0"/>
              <w:rPr>
                <w:color w:val="auto"/>
              </w:rPr>
            </w:pPr>
          </w:p>
          <w:p w14:paraId="18B773E8" w14:textId="77777777" w:rsidR="00C92E3A" w:rsidRDefault="00C92E3A" w:rsidP="00DF3701">
            <w:pPr>
              <w:spacing w:after="0"/>
            </w:pPr>
            <w:r>
              <w:t>Validation and verification reports</w:t>
            </w:r>
          </w:p>
          <w:p w14:paraId="50E6510A" w14:textId="07230D68" w:rsidR="00C92E3A" w:rsidRDefault="00C92E3A" w:rsidP="00DF3701">
            <w:pPr>
              <w:spacing w:after="0"/>
              <w:rPr>
                <w:color w:val="auto"/>
              </w:rPr>
            </w:pPr>
            <w:r>
              <w:rPr>
                <w:color w:val="auto"/>
              </w:rPr>
              <w:t>Annex II (6)</w:t>
            </w:r>
          </w:p>
          <w:p w14:paraId="66C603E7" w14:textId="77777777" w:rsidR="00C92E3A" w:rsidRDefault="00C92E3A" w:rsidP="00DF3701">
            <w:pPr>
              <w:spacing w:after="0"/>
              <w:rPr>
                <w:color w:val="auto"/>
              </w:rPr>
            </w:pPr>
          </w:p>
          <w:p w14:paraId="2EBFCA98" w14:textId="77777777" w:rsidR="00C92E3A" w:rsidRDefault="00C92E3A" w:rsidP="00DF3701">
            <w:pPr>
              <w:spacing w:after="0"/>
            </w:pPr>
            <w:r>
              <w:t>Clinical investigation/evaluation reports</w:t>
            </w:r>
          </w:p>
          <w:p w14:paraId="0ECBFA85" w14:textId="77777777" w:rsidR="00C92E3A" w:rsidRDefault="00C92E3A" w:rsidP="00DF3701">
            <w:pPr>
              <w:spacing w:after="0"/>
            </w:pPr>
            <w:r>
              <w:t xml:space="preserve">Annex </w:t>
            </w:r>
            <w:r w:rsidRPr="008B3A88">
              <w:t>XIV</w:t>
            </w:r>
            <w:r>
              <w:t xml:space="preserve"> (A)</w:t>
            </w:r>
          </w:p>
          <w:p w14:paraId="425676DD" w14:textId="5590ACCD" w:rsidR="00C92E3A" w:rsidRDefault="00C92E3A" w:rsidP="00DF3701">
            <w:pPr>
              <w:spacing w:after="0"/>
            </w:pPr>
            <w:r>
              <w:t xml:space="preserve">Annex XV </w:t>
            </w:r>
          </w:p>
          <w:p w14:paraId="2A42264A" w14:textId="77777777" w:rsidR="00C92E3A" w:rsidRDefault="00C92E3A" w:rsidP="00DF3701">
            <w:pPr>
              <w:spacing w:after="0"/>
            </w:pPr>
          </w:p>
          <w:p w14:paraId="0A1ADF1F" w14:textId="77777777" w:rsidR="00C92E3A" w:rsidRDefault="00C92E3A" w:rsidP="00DF3701">
            <w:pPr>
              <w:spacing w:after="0"/>
            </w:pPr>
            <w:r w:rsidRPr="00D74E62">
              <w:rPr>
                <w:color w:val="auto"/>
              </w:rPr>
              <w:t>Post-market surveillance</w:t>
            </w:r>
            <w:r>
              <w:rPr>
                <w:color w:val="auto"/>
              </w:rPr>
              <w:t xml:space="preserve"> reports</w:t>
            </w:r>
          </w:p>
          <w:p w14:paraId="43EE4BC7" w14:textId="77777777" w:rsidR="00C92E3A" w:rsidRDefault="00C92E3A" w:rsidP="00DF3701">
            <w:pPr>
              <w:spacing w:after="0"/>
            </w:pPr>
            <w:r>
              <w:t>Article 85</w:t>
            </w:r>
          </w:p>
          <w:p w14:paraId="27DDEEE1" w14:textId="77777777" w:rsidR="00C92E3A" w:rsidRDefault="00C92E3A" w:rsidP="00DF3701">
            <w:pPr>
              <w:spacing w:after="0"/>
            </w:pPr>
            <w:r>
              <w:t>Annex III</w:t>
            </w:r>
          </w:p>
          <w:p w14:paraId="3C04804A" w14:textId="08220290" w:rsidR="00C92E3A" w:rsidRDefault="00C92E3A" w:rsidP="00DF3701">
            <w:pPr>
              <w:spacing w:after="0"/>
            </w:pPr>
            <w:r>
              <w:t>Annex XIV (B)</w:t>
            </w:r>
          </w:p>
        </w:tc>
      </w:tr>
      <w:tr w:rsidR="00506CF3" w:rsidRPr="008B3A88" w14:paraId="43EEA703" w14:textId="77777777" w:rsidTr="00506CF3">
        <w:trPr>
          <w:trHeight w:val="1260"/>
        </w:trPr>
        <w:tc>
          <w:tcPr>
            <w:tcW w:w="754" w:type="pct"/>
            <w:hideMark/>
          </w:tcPr>
          <w:p w14:paraId="46590442" w14:textId="3E16A82D" w:rsidR="00447D5E" w:rsidRPr="001A2088" w:rsidRDefault="00447D5E" w:rsidP="00DF3701">
            <w:pPr>
              <w:spacing w:after="0"/>
            </w:pPr>
            <w:r w:rsidRPr="001A2088">
              <w:lastRenderedPageBreak/>
              <w:t>Acceptability with users</w:t>
            </w:r>
          </w:p>
        </w:tc>
        <w:tc>
          <w:tcPr>
            <w:tcW w:w="1483" w:type="pct"/>
          </w:tcPr>
          <w:p w14:paraId="60052394" w14:textId="3F16AEB7" w:rsidR="00447D5E" w:rsidRPr="001A2088" w:rsidRDefault="00447D5E" w:rsidP="00DF3701">
            <w:pPr>
              <w:spacing w:after="0"/>
            </w:pPr>
            <w:r w:rsidRPr="001A2088">
              <w:t>Be able to show that representatives from relevant user groups were involved in the design, development or testing of the DHT</w:t>
            </w:r>
          </w:p>
        </w:tc>
        <w:tc>
          <w:tcPr>
            <w:tcW w:w="1196" w:type="pct"/>
          </w:tcPr>
          <w:p w14:paraId="4032C92B" w14:textId="77777777" w:rsidR="00447D5E" w:rsidRPr="001A2088" w:rsidRDefault="00447D5E" w:rsidP="00DF3701">
            <w:pPr>
              <w:spacing w:after="0"/>
            </w:pPr>
            <w:r w:rsidRPr="001A2088">
              <w:t xml:space="preserve">Not an MDR requirement for representation from user groups but must </w:t>
            </w:r>
            <w:proofErr w:type="gramStart"/>
            <w:r>
              <w:t>give consideration to</w:t>
            </w:r>
            <w:proofErr w:type="gramEnd"/>
            <w:r w:rsidRPr="001A2088">
              <w:t xml:space="preserve"> the use environment</w:t>
            </w:r>
          </w:p>
        </w:tc>
        <w:tc>
          <w:tcPr>
            <w:tcW w:w="1567" w:type="pct"/>
          </w:tcPr>
          <w:p w14:paraId="34B363A6" w14:textId="77777777" w:rsidR="00447D5E" w:rsidRPr="001A2088" w:rsidRDefault="00447D5E" w:rsidP="00DF3701">
            <w:pPr>
              <w:spacing w:after="0"/>
              <w:rPr>
                <w:color w:val="auto"/>
              </w:rPr>
            </w:pPr>
            <w:r w:rsidRPr="001A2088">
              <w:rPr>
                <w:color w:val="auto"/>
              </w:rPr>
              <w:t>General safety and performance requirements</w:t>
            </w:r>
          </w:p>
          <w:p w14:paraId="2DD1F628" w14:textId="6CCB46B4" w:rsidR="00447D5E" w:rsidRDefault="00447D5E" w:rsidP="00DF3701">
            <w:pPr>
              <w:spacing w:after="0"/>
              <w:rPr>
                <w:color w:val="auto"/>
              </w:rPr>
            </w:pPr>
            <w:r w:rsidRPr="001A2088">
              <w:rPr>
                <w:color w:val="auto"/>
              </w:rPr>
              <w:t xml:space="preserve">Annex </w:t>
            </w:r>
            <w:r>
              <w:rPr>
                <w:color w:val="auto"/>
              </w:rPr>
              <w:t>I</w:t>
            </w:r>
            <w:r w:rsidRPr="001A2088">
              <w:rPr>
                <w:color w:val="auto"/>
              </w:rPr>
              <w:t xml:space="preserve"> (5)</w:t>
            </w:r>
          </w:p>
          <w:p w14:paraId="4D645742" w14:textId="77777777" w:rsidR="00447D5E" w:rsidRPr="001A2088" w:rsidRDefault="00447D5E" w:rsidP="00DF3701">
            <w:pPr>
              <w:spacing w:after="0"/>
              <w:rPr>
                <w:color w:val="auto"/>
              </w:rPr>
            </w:pPr>
          </w:p>
          <w:p w14:paraId="6102B616" w14:textId="77777777" w:rsidR="00447D5E" w:rsidRPr="00D27FCC" w:rsidRDefault="00447D5E" w:rsidP="00DF3701">
            <w:pPr>
              <w:spacing w:after="0"/>
            </w:pPr>
            <w:r w:rsidRPr="00D27FCC">
              <w:t>Validation and verification reports</w:t>
            </w:r>
          </w:p>
          <w:p w14:paraId="6ADD395D" w14:textId="40106194" w:rsidR="00447D5E" w:rsidRPr="008B3A88" w:rsidRDefault="00447D5E" w:rsidP="00DF3701">
            <w:pPr>
              <w:spacing w:after="0"/>
              <w:rPr>
                <w:color w:val="auto"/>
              </w:rPr>
            </w:pPr>
            <w:r w:rsidRPr="00D27FCC">
              <w:t>Annex II (6)</w:t>
            </w:r>
          </w:p>
        </w:tc>
      </w:tr>
      <w:tr w:rsidR="00506CF3" w:rsidRPr="00645D79" w14:paraId="4C5C2EF1" w14:textId="77777777" w:rsidTr="00506CF3">
        <w:trPr>
          <w:trHeight w:val="2040"/>
        </w:trPr>
        <w:tc>
          <w:tcPr>
            <w:tcW w:w="754" w:type="pct"/>
          </w:tcPr>
          <w:p w14:paraId="75BE8664" w14:textId="237963C6" w:rsidR="00447D5E" w:rsidRPr="007E736D" w:rsidRDefault="00447D5E" w:rsidP="00DF3701">
            <w:pPr>
              <w:spacing w:after="0"/>
            </w:pPr>
            <w:r w:rsidRPr="001A2088">
              <w:t>Acceptability with users</w:t>
            </w:r>
          </w:p>
        </w:tc>
        <w:tc>
          <w:tcPr>
            <w:tcW w:w="1483" w:type="pct"/>
          </w:tcPr>
          <w:p w14:paraId="293695ED" w14:textId="643967F0" w:rsidR="00447D5E" w:rsidRDefault="00447D5E" w:rsidP="00DF3701">
            <w:pPr>
              <w:spacing w:after="0"/>
            </w:pPr>
            <w:r w:rsidRPr="007E736D">
              <w:t>Provide data to show user satisfaction with the DHT</w:t>
            </w:r>
          </w:p>
        </w:tc>
        <w:tc>
          <w:tcPr>
            <w:tcW w:w="1196" w:type="pct"/>
          </w:tcPr>
          <w:p w14:paraId="2E2278A5" w14:textId="77777777" w:rsidR="00447D5E" w:rsidRDefault="00447D5E" w:rsidP="00DF3701">
            <w:pPr>
              <w:spacing w:after="0"/>
            </w:pPr>
            <w:r>
              <w:t>Yes</w:t>
            </w:r>
          </w:p>
          <w:p w14:paraId="7B7B19B8" w14:textId="77777777" w:rsidR="00447D5E" w:rsidRDefault="00447D5E" w:rsidP="00DF3701">
            <w:pPr>
              <w:spacing w:after="0"/>
            </w:pPr>
          </w:p>
        </w:tc>
        <w:tc>
          <w:tcPr>
            <w:tcW w:w="1567" w:type="pct"/>
          </w:tcPr>
          <w:p w14:paraId="4CE2DFEC" w14:textId="77777777" w:rsidR="00447D5E" w:rsidRPr="00645D79" w:rsidRDefault="00447D5E" w:rsidP="00DF3701">
            <w:pPr>
              <w:spacing w:after="0"/>
            </w:pPr>
            <w:r w:rsidRPr="00645D79">
              <w:t>Validation and verification reports</w:t>
            </w:r>
          </w:p>
          <w:p w14:paraId="7ACAE554" w14:textId="1C8C53F2" w:rsidR="00447D5E" w:rsidRDefault="00447D5E" w:rsidP="00DF3701">
            <w:pPr>
              <w:spacing w:after="0"/>
              <w:rPr>
                <w:color w:val="auto"/>
              </w:rPr>
            </w:pPr>
            <w:r w:rsidRPr="00645D79">
              <w:rPr>
                <w:color w:val="auto"/>
              </w:rPr>
              <w:t>Annex II (6)</w:t>
            </w:r>
          </w:p>
          <w:p w14:paraId="4E7D2B80" w14:textId="77777777" w:rsidR="00447D5E" w:rsidRPr="00645D79" w:rsidRDefault="00447D5E" w:rsidP="00DF3701">
            <w:pPr>
              <w:spacing w:after="0"/>
              <w:rPr>
                <w:color w:val="auto"/>
              </w:rPr>
            </w:pPr>
          </w:p>
          <w:p w14:paraId="36B53148" w14:textId="77777777" w:rsidR="00447D5E" w:rsidRPr="00645D79" w:rsidRDefault="00447D5E" w:rsidP="00DF3701">
            <w:pPr>
              <w:spacing w:after="0"/>
            </w:pPr>
            <w:r w:rsidRPr="00645D79">
              <w:t>Clinical investigation/evaluation reports</w:t>
            </w:r>
          </w:p>
          <w:p w14:paraId="60307B1C" w14:textId="77777777" w:rsidR="00447D5E" w:rsidRPr="00645D79" w:rsidRDefault="00447D5E" w:rsidP="00DF3701">
            <w:pPr>
              <w:spacing w:after="0"/>
            </w:pPr>
            <w:r w:rsidRPr="00645D79">
              <w:t>Annex XIV (A)</w:t>
            </w:r>
          </w:p>
          <w:p w14:paraId="3EEFC6DA" w14:textId="32FABD5E" w:rsidR="00447D5E" w:rsidRDefault="00447D5E" w:rsidP="00DF3701">
            <w:pPr>
              <w:spacing w:after="0"/>
            </w:pPr>
            <w:r w:rsidRPr="00645D79">
              <w:t xml:space="preserve">Annex XV </w:t>
            </w:r>
          </w:p>
          <w:p w14:paraId="583FA041" w14:textId="77777777" w:rsidR="00447D5E" w:rsidRPr="00645D79" w:rsidRDefault="00447D5E" w:rsidP="00DF3701">
            <w:pPr>
              <w:spacing w:after="0"/>
            </w:pPr>
          </w:p>
          <w:p w14:paraId="0FAC5F55" w14:textId="77777777" w:rsidR="00447D5E" w:rsidRPr="005C13C3" w:rsidRDefault="00447D5E" w:rsidP="00DF3701">
            <w:pPr>
              <w:spacing w:after="0"/>
              <w:rPr>
                <w:color w:val="auto"/>
              </w:rPr>
            </w:pPr>
            <w:r w:rsidRPr="005C13C3">
              <w:rPr>
                <w:color w:val="auto"/>
              </w:rPr>
              <w:t>Post-market surveillance reports and post-market clinical follow-up</w:t>
            </w:r>
          </w:p>
          <w:p w14:paraId="62D1F3F4" w14:textId="77777777" w:rsidR="00447D5E" w:rsidRPr="00645D79" w:rsidRDefault="00447D5E" w:rsidP="00DF3701">
            <w:pPr>
              <w:spacing w:after="0"/>
            </w:pPr>
            <w:r w:rsidRPr="00645D79">
              <w:t>Article 85</w:t>
            </w:r>
            <w:r>
              <w:t>/86</w:t>
            </w:r>
          </w:p>
          <w:p w14:paraId="2B88BAB3" w14:textId="77777777" w:rsidR="00447D5E" w:rsidRPr="00645D79" w:rsidRDefault="00447D5E" w:rsidP="00DF3701">
            <w:pPr>
              <w:spacing w:after="0"/>
            </w:pPr>
            <w:r w:rsidRPr="00645D79">
              <w:t>Annex III</w:t>
            </w:r>
          </w:p>
          <w:p w14:paraId="54CCB582" w14:textId="376F1D73" w:rsidR="00447D5E" w:rsidRPr="00645D79" w:rsidRDefault="00447D5E" w:rsidP="00DF3701">
            <w:pPr>
              <w:spacing w:after="0"/>
            </w:pPr>
            <w:r w:rsidRPr="00645D79">
              <w:t>Annex XIV (B)</w:t>
            </w:r>
          </w:p>
        </w:tc>
      </w:tr>
      <w:tr w:rsidR="00506CF3" w14:paraId="0B68D695" w14:textId="77777777" w:rsidTr="00506CF3">
        <w:trPr>
          <w:trHeight w:val="2040"/>
        </w:trPr>
        <w:tc>
          <w:tcPr>
            <w:tcW w:w="754" w:type="pct"/>
            <w:hideMark/>
          </w:tcPr>
          <w:p w14:paraId="29694910" w14:textId="77777777" w:rsidR="001166DA" w:rsidRPr="007E736D" w:rsidRDefault="001166DA" w:rsidP="00DF3701">
            <w:pPr>
              <w:spacing w:after="0"/>
            </w:pPr>
            <w:r>
              <w:t>Equalities considerations</w:t>
            </w:r>
            <w:r w:rsidRPr="007E736D">
              <w:t xml:space="preserve"> </w:t>
            </w:r>
          </w:p>
        </w:tc>
        <w:tc>
          <w:tcPr>
            <w:tcW w:w="1483" w:type="pct"/>
          </w:tcPr>
          <w:p w14:paraId="4724B8AA" w14:textId="281D3100" w:rsidR="001166DA" w:rsidRPr="00EF4FEB" w:rsidRDefault="001166DA" w:rsidP="00DF3701">
            <w:pPr>
              <w:spacing w:after="0"/>
              <w:rPr>
                <w:color w:val="auto"/>
              </w:rPr>
            </w:pPr>
            <w:r>
              <w:t>If relevant</w:t>
            </w:r>
            <w:r w:rsidRPr="007E736D">
              <w:t>, the DHT should contribute to challenging health inequalities in the UK health and social care system, or improving access to care among hard-to-reach populations</w:t>
            </w:r>
          </w:p>
        </w:tc>
        <w:tc>
          <w:tcPr>
            <w:tcW w:w="1196" w:type="pct"/>
          </w:tcPr>
          <w:p w14:paraId="66CD2108" w14:textId="02ED820E" w:rsidR="001166DA" w:rsidRPr="008B3A88" w:rsidRDefault="001166DA" w:rsidP="00DF3701">
            <w:pPr>
              <w:spacing w:after="0"/>
              <w:rPr>
                <w:color w:val="auto"/>
              </w:rPr>
            </w:pPr>
            <w:r w:rsidRPr="00057F2D">
              <w:rPr>
                <w:color w:val="auto"/>
              </w:rPr>
              <w:t xml:space="preserve">Not explicitly, but may feed into establishing and validating user </w:t>
            </w:r>
            <w:r w:rsidRPr="008B3A88">
              <w:rPr>
                <w:color w:val="auto"/>
              </w:rPr>
              <w:t xml:space="preserve">requirements, clinical </w:t>
            </w:r>
            <w:proofErr w:type="gramStart"/>
            <w:r w:rsidRPr="008B3A88">
              <w:rPr>
                <w:color w:val="auto"/>
              </w:rPr>
              <w:t>evaluation</w:t>
            </w:r>
            <w:proofErr w:type="gramEnd"/>
            <w:r w:rsidRPr="008B3A88">
              <w:rPr>
                <w:color w:val="auto"/>
              </w:rPr>
              <w:t xml:space="preserve"> and post-market surveillance</w:t>
            </w:r>
          </w:p>
        </w:tc>
        <w:tc>
          <w:tcPr>
            <w:tcW w:w="1567" w:type="pct"/>
          </w:tcPr>
          <w:p w14:paraId="124D6055" w14:textId="77777777" w:rsidR="001166DA" w:rsidRPr="005C13C3" w:rsidRDefault="001166DA" w:rsidP="00DF3701">
            <w:pPr>
              <w:spacing w:after="0"/>
              <w:rPr>
                <w:color w:val="auto"/>
              </w:rPr>
            </w:pPr>
            <w:r w:rsidRPr="005C13C3">
              <w:t>Validation and verification reports</w:t>
            </w:r>
          </w:p>
          <w:p w14:paraId="4D7A6A6B" w14:textId="047FC951" w:rsidR="001166DA" w:rsidRDefault="001166DA" w:rsidP="00DF3701">
            <w:pPr>
              <w:spacing w:after="0"/>
              <w:rPr>
                <w:color w:val="auto"/>
              </w:rPr>
            </w:pPr>
            <w:r>
              <w:rPr>
                <w:color w:val="auto"/>
              </w:rPr>
              <w:t>Annex II (6)</w:t>
            </w:r>
          </w:p>
          <w:p w14:paraId="355AE4D2" w14:textId="77777777" w:rsidR="001166DA" w:rsidRDefault="001166DA" w:rsidP="00DF3701">
            <w:pPr>
              <w:spacing w:after="0"/>
              <w:rPr>
                <w:color w:val="auto"/>
              </w:rPr>
            </w:pPr>
          </w:p>
          <w:p w14:paraId="3D755381" w14:textId="77777777" w:rsidR="001166DA" w:rsidRPr="00645D79" w:rsidRDefault="001166DA" w:rsidP="00DF3701">
            <w:pPr>
              <w:spacing w:after="0"/>
            </w:pPr>
            <w:r w:rsidRPr="00645D79">
              <w:t>Clinical investigation/evaluation reports</w:t>
            </w:r>
          </w:p>
          <w:p w14:paraId="59113F4C" w14:textId="77777777" w:rsidR="001166DA" w:rsidRDefault="001166DA" w:rsidP="00DF3701">
            <w:pPr>
              <w:spacing w:after="0"/>
            </w:pPr>
            <w:r>
              <w:t xml:space="preserve">Annex </w:t>
            </w:r>
            <w:r w:rsidRPr="008B3A88">
              <w:t>XIV</w:t>
            </w:r>
            <w:r>
              <w:t xml:space="preserve"> (A)</w:t>
            </w:r>
          </w:p>
          <w:p w14:paraId="05B632BC" w14:textId="7B090F32" w:rsidR="001166DA" w:rsidRDefault="001166DA" w:rsidP="00DF3701">
            <w:pPr>
              <w:spacing w:after="0"/>
            </w:pPr>
            <w:r>
              <w:t xml:space="preserve">Annex XV </w:t>
            </w:r>
          </w:p>
          <w:p w14:paraId="2598F93C" w14:textId="77777777" w:rsidR="001166DA" w:rsidRDefault="001166DA" w:rsidP="00DF3701">
            <w:pPr>
              <w:spacing w:after="0"/>
            </w:pPr>
          </w:p>
          <w:p w14:paraId="39C50DE5" w14:textId="77777777" w:rsidR="001166DA" w:rsidRDefault="001166DA" w:rsidP="00DF3701">
            <w:pPr>
              <w:spacing w:after="0"/>
              <w:rPr>
                <w:color w:val="auto"/>
              </w:rPr>
            </w:pPr>
            <w:r w:rsidRPr="00645D79">
              <w:rPr>
                <w:color w:val="auto"/>
              </w:rPr>
              <w:t>Post-market surveillance reports</w:t>
            </w:r>
            <w:r>
              <w:rPr>
                <w:color w:val="auto"/>
              </w:rPr>
              <w:t xml:space="preserve"> and </w:t>
            </w:r>
            <w:r w:rsidRPr="00587C3B">
              <w:rPr>
                <w:color w:val="auto"/>
              </w:rPr>
              <w:t>post-market clinical follow-up</w:t>
            </w:r>
          </w:p>
          <w:p w14:paraId="57B2DB7D" w14:textId="77777777" w:rsidR="001166DA" w:rsidRDefault="001166DA" w:rsidP="00DF3701">
            <w:pPr>
              <w:spacing w:after="0"/>
            </w:pPr>
            <w:r>
              <w:t>Article 85</w:t>
            </w:r>
          </w:p>
          <w:p w14:paraId="039B2753" w14:textId="77777777" w:rsidR="001166DA" w:rsidRDefault="001166DA" w:rsidP="00DF3701">
            <w:pPr>
              <w:spacing w:after="0"/>
            </w:pPr>
            <w:r>
              <w:t>Annex III</w:t>
            </w:r>
          </w:p>
          <w:p w14:paraId="6C5170FF" w14:textId="7240579E" w:rsidR="001166DA" w:rsidRDefault="001166DA" w:rsidP="00DF3701">
            <w:pPr>
              <w:spacing w:after="0"/>
            </w:pPr>
            <w:r>
              <w:t>Annex XIV (B)</w:t>
            </w:r>
          </w:p>
        </w:tc>
      </w:tr>
      <w:tr w:rsidR="00506CF3" w14:paraId="6EA16389" w14:textId="77777777" w:rsidTr="00506CF3">
        <w:trPr>
          <w:trHeight w:val="2040"/>
        </w:trPr>
        <w:tc>
          <w:tcPr>
            <w:tcW w:w="754" w:type="pct"/>
          </w:tcPr>
          <w:p w14:paraId="6422A2BC" w14:textId="09A4A4AD" w:rsidR="001166DA" w:rsidRPr="007E736D" w:rsidRDefault="001166DA" w:rsidP="00DF3701">
            <w:pPr>
              <w:spacing w:after="0"/>
            </w:pPr>
            <w:r>
              <w:lastRenderedPageBreak/>
              <w:t>Equalities considerations</w:t>
            </w:r>
          </w:p>
        </w:tc>
        <w:tc>
          <w:tcPr>
            <w:tcW w:w="1483" w:type="pct"/>
          </w:tcPr>
          <w:p w14:paraId="1FC9E1A3" w14:textId="42F52E5F" w:rsidR="001166DA" w:rsidRPr="00EF4FEB" w:rsidRDefault="001166DA" w:rsidP="00DF3701">
            <w:pPr>
              <w:spacing w:after="0"/>
              <w:rPr>
                <w:color w:val="auto"/>
              </w:rPr>
            </w:pPr>
            <w:r>
              <w:t>If relevant</w:t>
            </w:r>
            <w:r w:rsidRPr="007E736D">
              <w:t xml:space="preserve">, the DHT should contribute to promoting equality, eliminating unlawful </w:t>
            </w:r>
            <w:proofErr w:type="gramStart"/>
            <w:r w:rsidRPr="007E736D">
              <w:t>discrimination</w:t>
            </w:r>
            <w:proofErr w:type="gramEnd"/>
            <w:r w:rsidRPr="007E736D">
              <w:t xml:space="preserve"> and fostering good relations between people with protected characteristics (as described in the</w:t>
            </w:r>
            <w:r>
              <w:t xml:space="preserve"> </w:t>
            </w:r>
            <w:r w:rsidRPr="007E736D">
              <w:t>2010 Equalities Act) and others</w:t>
            </w:r>
          </w:p>
        </w:tc>
        <w:tc>
          <w:tcPr>
            <w:tcW w:w="1196" w:type="pct"/>
          </w:tcPr>
          <w:p w14:paraId="1EE1EDCD" w14:textId="5300B951" w:rsidR="001166DA" w:rsidRPr="008B3A88" w:rsidRDefault="001166DA" w:rsidP="00DF3701">
            <w:pPr>
              <w:spacing w:after="0"/>
              <w:rPr>
                <w:color w:val="auto"/>
              </w:rPr>
            </w:pPr>
            <w:r w:rsidRPr="00057F2D">
              <w:rPr>
                <w:color w:val="auto"/>
              </w:rPr>
              <w:t xml:space="preserve">Not explicitly, but may feed into establishing and validating user </w:t>
            </w:r>
            <w:r w:rsidRPr="008B3A88">
              <w:rPr>
                <w:color w:val="auto"/>
              </w:rPr>
              <w:t xml:space="preserve">requirements, clinical </w:t>
            </w:r>
            <w:proofErr w:type="gramStart"/>
            <w:r w:rsidRPr="008B3A88">
              <w:rPr>
                <w:color w:val="auto"/>
              </w:rPr>
              <w:t>evaluation</w:t>
            </w:r>
            <w:proofErr w:type="gramEnd"/>
            <w:r w:rsidRPr="008B3A88">
              <w:rPr>
                <w:color w:val="auto"/>
              </w:rPr>
              <w:t xml:space="preserve"> and post-market surveillance</w:t>
            </w:r>
          </w:p>
        </w:tc>
        <w:tc>
          <w:tcPr>
            <w:tcW w:w="1567" w:type="pct"/>
          </w:tcPr>
          <w:p w14:paraId="4A19C8C6" w14:textId="77777777" w:rsidR="001166DA" w:rsidRPr="00A91E28" w:rsidRDefault="001166DA" w:rsidP="00DF3701">
            <w:pPr>
              <w:spacing w:after="0"/>
              <w:rPr>
                <w:color w:val="auto"/>
              </w:rPr>
            </w:pPr>
            <w:r>
              <w:t>Validation and verification reports</w:t>
            </w:r>
          </w:p>
          <w:p w14:paraId="4F093857" w14:textId="097B7664" w:rsidR="001166DA" w:rsidRDefault="001166DA" w:rsidP="00DF3701">
            <w:pPr>
              <w:spacing w:after="0"/>
              <w:rPr>
                <w:color w:val="auto"/>
              </w:rPr>
            </w:pPr>
            <w:r>
              <w:rPr>
                <w:color w:val="auto"/>
              </w:rPr>
              <w:t>Annex II (6)</w:t>
            </w:r>
          </w:p>
          <w:p w14:paraId="60799AEA" w14:textId="77777777" w:rsidR="001166DA" w:rsidRDefault="001166DA" w:rsidP="00DF3701">
            <w:pPr>
              <w:spacing w:after="0"/>
              <w:rPr>
                <w:color w:val="auto"/>
              </w:rPr>
            </w:pPr>
          </w:p>
          <w:p w14:paraId="5A38247A" w14:textId="77777777" w:rsidR="001166DA" w:rsidRPr="00A91E28" w:rsidRDefault="001166DA" w:rsidP="00DF3701">
            <w:pPr>
              <w:spacing w:after="0"/>
              <w:rPr>
                <w:color w:val="auto"/>
              </w:rPr>
            </w:pPr>
            <w:r>
              <w:t>Clinical investigation/evaluation reports</w:t>
            </w:r>
          </w:p>
          <w:p w14:paraId="36DC4047" w14:textId="77777777" w:rsidR="001166DA" w:rsidRDefault="001166DA" w:rsidP="00DF3701">
            <w:pPr>
              <w:spacing w:after="0"/>
            </w:pPr>
            <w:r>
              <w:t xml:space="preserve">Annex </w:t>
            </w:r>
            <w:r w:rsidRPr="008B3A88">
              <w:t>XIV</w:t>
            </w:r>
            <w:r>
              <w:t xml:space="preserve"> (A)</w:t>
            </w:r>
          </w:p>
          <w:p w14:paraId="3A9AA31C" w14:textId="3438F2E0" w:rsidR="001166DA" w:rsidRDefault="001166DA" w:rsidP="00DF3701">
            <w:pPr>
              <w:spacing w:after="0"/>
            </w:pPr>
            <w:r>
              <w:t xml:space="preserve">Annex XV </w:t>
            </w:r>
          </w:p>
          <w:p w14:paraId="07CA5C7C" w14:textId="77777777" w:rsidR="001166DA" w:rsidRDefault="001166DA" w:rsidP="00DF3701">
            <w:pPr>
              <w:spacing w:after="0"/>
            </w:pPr>
          </w:p>
          <w:p w14:paraId="59702F4E" w14:textId="77777777" w:rsidR="001166DA" w:rsidRPr="00A91E28" w:rsidRDefault="001166DA" w:rsidP="00DF3701">
            <w:pPr>
              <w:spacing w:after="0"/>
              <w:rPr>
                <w:color w:val="auto"/>
              </w:rPr>
            </w:pPr>
            <w:r w:rsidRPr="007877A7">
              <w:rPr>
                <w:color w:val="auto"/>
              </w:rPr>
              <w:t>Post-market surveillance</w:t>
            </w:r>
            <w:r>
              <w:rPr>
                <w:color w:val="auto"/>
              </w:rPr>
              <w:t xml:space="preserve"> reports</w:t>
            </w:r>
          </w:p>
          <w:p w14:paraId="3FD39DC6" w14:textId="77777777" w:rsidR="001166DA" w:rsidRDefault="001166DA" w:rsidP="00DF3701">
            <w:pPr>
              <w:spacing w:after="0"/>
            </w:pPr>
            <w:r>
              <w:t>Article 85</w:t>
            </w:r>
          </w:p>
          <w:p w14:paraId="345897FC" w14:textId="77777777" w:rsidR="001166DA" w:rsidRDefault="001166DA" w:rsidP="00DF3701">
            <w:pPr>
              <w:spacing w:after="0"/>
            </w:pPr>
            <w:r>
              <w:t>Annex III</w:t>
            </w:r>
          </w:p>
          <w:p w14:paraId="2FC333A7" w14:textId="45CB7D55" w:rsidR="001166DA" w:rsidRDefault="001166DA" w:rsidP="00DF3701">
            <w:pPr>
              <w:spacing w:after="0"/>
            </w:pPr>
            <w:r>
              <w:t>Annex XIV (B)</w:t>
            </w:r>
          </w:p>
        </w:tc>
      </w:tr>
      <w:tr w:rsidR="00506CF3" w14:paraId="133CC2AB" w14:textId="77777777" w:rsidTr="00027873">
        <w:trPr>
          <w:trHeight w:val="3515"/>
        </w:trPr>
        <w:tc>
          <w:tcPr>
            <w:tcW w:w="754" w:type="pct"/>
            <w:hideMark/>
          </w:tcPr>
          <w:p w14:paraId="16559900" w14:textId="65B41691" w:rsidR="00D34571" w:rsidRPr="007E736D" w:rsidRDefault="00D34571" w:rsidP="00DF3701">
            <w:pPr>
              <w:spacing w:after="0"/>
            </w:pPr>
            <w:r w:rsidRPr="007E736D">
              <w:t>Accurate and reliable measurements (if</w:t>
            </w:r>
            <w:r>
              <w:t xml:space="preserve"> relevant)</w:t>
            </w:r>
          </w:p>
        </w:tc>
        <w:tc>
          <w:tcPr>
            <w:tcW w:w="1483" w:type="pct"/>
          </w:tcPr>
          <w:p w14:paraId="699D8685" w14:textId="5DD24B37" w:rsidR="00D34571" w:rsidRDefault="00D34571" w:rsidP="00DF3701">
            <w:pPr>
              <w:spacing w:after="0"/>
            </w:pPr>
            <w:r w:rsidRPr="0070689B">
              <w:t>Data or analysis which shows that the data generated or recorded by the DHT is</w:t>
            </w:r>
            <w:r>
              <w:t xml:space="preserve"> </w:t>
            </w:r>
            <w:r w:rsidRPr="007E736D">
              <w:t>accurate, reproducible</w:t>
            </w:r>
            <w:r>
              <w:t xml:space="preserve"> </w:t>
            </w:r>
            <w:r w:rsidRPr="007E736D">
              <w:t xml:space="preserve">and relevant to the range of values expected in the target </w:t>
            </w:r>
            <w:proofErr w:type="gramStart"/>
            <w:r w:rsidRPr="007E736D">
              <w:t>population</w:t>
            </w:r>
            <w:proofErr w:type="gramEnd"/>
          </w:p>
          <w:p w14:paraId="5332B353" w14:textId="77777777" w:rsidR="006041BB" w:rsidRDefault="006041BB" w:rsidP="00DF3701">
            <w:pPr>
              <w:spacing w:after="0"/>
            </w:pPr>
          </w:p>
          <w:p w14:paraId="6CDB531D" w14:textId="533F7846" w:rsidR="00D34571" w:rsidRDefault="00D34571" w:rsidP="00DF3701">
            <w:pPr>
              <w:spacing w:after="0"/>
            </w:pPr>
            <w:r w:rsidRPr="007E736D">
              <w:t xml:space="preserve">Data showing that the DHT </w:t>
            </w:r>
            <w:proofErr w:type="gramStart"/>
            <w:r w:rsidRPr="007E736D">
              <w:t>is able to</w:t>
            </w:r>
            <w:proofErr w:type="gramEnd"/>
            <w:r w:rsidRPr="007E736D">
              <w:t xml:space="preserve"> detect clinically relevant changes or responses</w:t>
            </w:r>
          </w:p>
        </w:tc>
        <w:tc>
          <w:tcPr>
            <w:tcW w:w="1196" w:type="pct"/>
          </w:tcPr>
          <w:p w14:paraId="35106FA1" w14:textId="77777777" w:rsidR="00D34571" w:rsidRDefault="00D34571" w:rsidP="00DF3701">
            <w:pPr>
              <w:spacing w:after="0"/>
            </w:pPr>
            <w:r>
              <w:t>Yes</w:t>
            </w:r>
          </w:p>
          <w:p w14:paraId="52974323" w14:textId="77777777" w:rsidR="00D34571" w:rsidRDefault="00D34571" w:rsidP="00DF3701">
            <w:pPr>
              <w:spacing w:after="0"/>
            </w:pPr>
            <w:r>
              <w:t>Devices must meet the relevant safety and performance requirements</w:t>
            </w:r>
          </w:p>
        </w:tc>
        <w:tc>
          <w:tcPr>
            <w:tcW w:w="1567" w:type="pct"/>
          </w:tcPr>
          <w:p w14:paraId="0075F04C" w14:textId="77777777" w:rsidR="00D34571" w:rsidRPr="007E736D" w:rsidRDefault="00D34571" w:rsidP="00DF3701">
            <w:pPr>
              <w:spacing w:after="0"/>
            </w:pPr>
            <w:r>
              <w:t>General safety and performance requirements</w:t>
            </w:r>
          </w:p>
          <w:p w14:paraId="042FC18C" w14:textId="3363DCD3" w:rsidR="00D34571" w:rsidRDefault="00D34571" w:rsidP="00DF3701">
            <w:pPr>
              <w:spacing w:after="0"/>
              <w:rPr>
                <w:color w:val="auto"/>
              </w:rPr>
            </w:pPr>
            <w:r>
              <w:rPr>
                <w:color w:val="auto"/>
              </w:rPr>
              <w:t>Annex I (particularly 15)</w:t>
            </w:r>
          </w:p>
          <w:p w14:paraId="191B6954" w14:textId="77777777" w:rsidR="00D34571" w:rsidRDefault="00D34571" w:rsidP="00DF3701">
            <w:pPr>
              <w:spacing w:after="0"/>
            </w:pPr>
          </w:p>
          <w:p w14:paraId="47904656" w14:textId="77777777" w:rsidR="00D34571" w:rsidRDefault="00D34571" w:rsidP="00DF3701">
            <w:pPr>
              <w:spacing w:after="0"/>
            </w:pPr>
            <w:r>
              <w:t>Validation and verification reports</w:t>
            </w:r>
          </w:p>
          <w:p w14:paraId="04E729F6" w14:textId="4BA46F1A" w:rsidR="00D34571" w:rsidRDefault="00D34571" w:rsidP="00DF3701">
            <w:pPr>
              <w:spacing w:after="0"/>
              <w:rPr>
                <w:color w:val="auto"/>
              </w:rPr>
            </w:pPr>
            <w:r>
              <w:rPr>
                <w:color w:val="auto"/>
              </w:rPr>
              <w:t>Annex II (6)</w:t>
            </w:r>
          </w:p>
          <w:p w14:paraId="7E4727BF" w14:textId="77777777" w:rsidR="00D34571" w:rsidRPr="008B3A88" w:rsidRDefault="00D34571" w:rsidP="00DF3701">
            <w:pPr>
              <w:spacing w:after="0"/>
            </w:pPr>
          </w:p>
          <w:p w14:paraId="334183B5" w14:textId="77777777" w:rsidR="00D34571" w:rsidRDefault="00D34571" w:rsidP="00DF3701">
            <w:pPr>
              <w:spacing w:after="0"/>
            </w:pPr>
            <w:r>
              <w:t>Clinical investigation/evaluation reports</w:t>
            </w:r>
          </w:p>
          <w:p w14:paraId="73667936" w14:textId="77777777" w:rsidR="00D34571" w:rsidRDefault="00D34571" w:rsidP="00DF3701">
            <w:pPr>
              <w:spacing w:after="0"/>
            </w:pPr>
            <w:r>
              <w:t xml:space="preserve">Annex </w:t>
            </w:r>
            <w:r w:rsidRPr="008B3A88">
              <w:t>XIV</w:t>
            </w:r>
            <w:r>
              <w:t xml:space="preserve"> (A)</w:t>
            </w:r>
          </w:p>
          <w:p w14:paraId="3D45113E" w14:textId="0ACCD71B" w:rsidR="00D34571" w:rsidRDefault="00D34571" w:rsidP="00DF3701">
            <w:pPr>
              <w:spacing w:after="0"/>
            </w:pPr>
            <w:r>
              <w:t xml:space="preserve">Annex XV </w:t>
            </w:r>
          </w:p>
          <w:p w14:paraId="6F64DF14" w14:textId="77777777" w:rsidR="00D34571" w:rsidRPr="008B3A88" w:rsidRDefault="00D34571" w:rsidP="00DF3701">
            <w:pPr>
              <w:spacing w:after="0"/>
            </w:pPr>
          </w:p>
          <w:p w14:paraId="1DB33E7C" w14:textId="77777777" w:rsidR="00D34571" w:rsidRDefault="00D34571" w:rsidP="00DF3701">
            <w:pPr>
              <w:spacing w:after="0"/>
              <w:rPr>
                <w:color w:val="auto"/>
              </w:rPr>
            </w:pPr>
            <w:r w:rsidRPr="00A91E28">
              <w:rPr>
                <w:color w:val="auto"/>
              </w:rPr>
              <w:t>Summary of safety and clinical performance (class III)</w:t>
            </w:r>
          </w:p>
          <w:p w14:paraId="22FB06B3" w14:textId="2EC68752" w:rsidR="00D34571" w:rsidRDefault="00D34571" w:rsidP="00DF3701">
            <w:pPr>
              <w:spacing w:after="0"/>
            </w:pPr>
            <w:r w:rsidRPr="008B3A88">
              <w:t>Article 32</w:t>
            </w:r>
          </w:p>
        </w:tc>
      </w:tr>
      <w:tr w:rsidR="00027873" w14:paraId="0F75F5FC" w14:textId="77777777" w:rsidTr="00027873">
        <w:trPr>
          <w:trHeight w:val="3515"/>
        </w:trPr>
        <w:tc>
          <w:tcPr>
            <w:tcW w:w="754" w:type="pct"/>
          </w:tcPr>
          <w:p w14:paraId="4F4D15C2" w14:textId="0E90BE26" w:rsidR="00027873" w:rsidRPr="007E736D" w:rsidRDefault="00027873" w:rsidP="00027873">
            <w:pPr>
              <w:spacing w:after="0"/>
            </w:pPr>
            <w:r>
              <w:lastRenderedPageBreak/>
              <w:t>Accurate and reliable transmission of data (if relevant)</w:t>
            </w:r>
          </w:p>
        </w:tc>
        <w:tc>
          <w:tcPr>
            <w:tcW w:w="1483" w:type="pct"/>
          </w:tcPr>
          <w:p w14:paraId="44F5F902" w14:textId="77777777" w:rsidR="00027873" w:rsidRDefault="00027873" w:rsidP="00027873">
            <w:pPr>
              <w:spacing w:after="0"/>
            </w:pPr>
            <w:r w:rsidRPr="007E736D">
              <w:t xml:space="preserve">Technical data showing that numerical, text, audio, image-based, graphic-based or video information is not changed during the transmission </w:t>
            </w:r>
            <w:proofErr w:type="gramStart"/>
            <w:r w:rsidRPr="007E736D">
              <w:t>process</w:t>
            </w:r>
            <w:proofErr w:type="gramEnd"/>
          </w:p>
          <w:p w14:paraId="2B5EAAED" w14:textId="77777777" w:rsidR="00027873" w:rsidRDefault="00027873" w:rsidP="00027873">
            <w:pPr>
              <w:spacing w:after="0"/>
            </w:pPr>
          </w:p>
          <w:p w14:paraId="5B488D3D" w14:textId="69D020D5" w:rsidR="00027873" w:rsidRPr="0070689B" w:rsidRDefault="00027873" w:rsidP="00027873">
            <w:pPr>
              <w:spacing w:after="0"/>
            </w:pPr>
            <w:r w:rsidRPr="007E736D">
              <w:t>Technical data showing that numerical, text, audio, image-based, graphic-based or video information is not biased by the data ‘value’ expected from the target patient population</w:t>
            </w:r>
          </w:p>
        </w:tc>
        <w:tc>
          <w:tcPr>
            <w:tcW w:w="1196" w:type="pct"/>
          </w:tcPr>
          <w:p w14:paraId="2E8E9E21" w14:textId="77777777" w:rsidR="00027873" w:rsidRDefault="00027873" w:rsidP="00027873">
            <w:pPr>
              <w:spacing w:after="0"/>
            </w:pPr>
            <w:r>
              <w:t>Yes</w:t>
            </w:r>
          </w:p>
          <w:p w14:paraId="095F4E3B" w14:textId="30551641" w:rsidR="00027873" w:rsidRDefault="00027873" w:rsidP="00027873">
            <w:pPr>
              <w:spacing w:after="0"/>
            </w:pPr>
            <w:r>
              <w:t>Devices must meet the relevant safety and performance requirements</w:t>
            </w:r>
          </w:p>
        </w:tc>
        <w:tc>
          <w:tcPr>
            <w:tcW w:w="1567" w:type="pct"/>
          </w:tcPr>
          <w:p w14:paraId="4B439347" w14:textId="77777777" w:rsidR="00027873" w:rsidRPr="007E736D" w:rsidRDefault="00027873" w:rsidP="00027873">
            <w:pPr>
              <w:spacing w:after="0"/>
            </w:pPr>
            <w:r>
              <w:t>General safety and performance requirements</w:t>
            </w:r>
          </w:p>
          <w:p w14:paraId="7A75F88F" w14:textId="77777777" w:rsidR="00027873" w:rsidRDefault="00027873" w:rsidP="00027873">
            <w:pPr>
              <w:spacing w:after="0"/>
              <w:rPr>
                <w:color w:val="auto"/>
              </w:rPr>
            </w:pPr>
            <w:r>
              <w:rPr>
                <w:color w:val="auto"/>
              </w:rPr>
              <w:t>Annex I (particularly 15)</w:t>
            </w:r>
          </w:p>
          <w:p w14:paraId="1ACD8A20" w14:textId="77777777" w:rsidR="00027873" w:rsidRDefault="00027873" w:rsidP="00027873">
            <w:pPr>
              <w:spacing w:after="0"/>
            </w:pPr>
          </w:p>
          <w:p w14:paraId="5A38B0FC" w14:textId="77777777" w:rsidR="00027873" w:rsidRDefault="00027873" w:rsidP="00027873">
            <w:pPr>
              <w:spacing w:after="0"/>
            </w:pPr>
            <w:r>
              <w:t>Validation and verification reports</w:t>
            </w:r>
          </w:p>
          <w:p w14:paraId="4BEA98B3" w14:textId="77777777" w:rsidR="00027873" w:rsidRDefault="00027873" w:rsidP="00027873">
            <w:pPr>
              <w:spacing w:after="0"/>
              <w:rPr>
                <w:color w:val="auto"/>
              </w:rPr>
            </w:pPr>
            <w:r>
              <w:rPr>
                <w:color w:val="auto"/>
              </w:rPr>
              <w:t>Annex II (6)</w:t>
            </w:r>
          </w:p>
          <w:p w14:paraId="01F0ED1D" w14:textId="77777777" w:rsidR="00027873" w:rsidRPr="008B3A88" w:rsidRDefault="00027873" w:rsidP="00027873">
            <w:pPr>
              <w:spacing w:after="0"/>
            </w:pPr>
          </w:p>
          <w:p w14:paraId="12C51C19" w14:textId="77777777" w:rsidR="00027873" w:rsidRDefault="00027873" w:rsidP="00027873">
            <w:pPr>
              <w:spacing w:after="0"/>
            </w:pPr>
            <w:r>
              <w:t>Clinical investigation/evaluation reports</w:t>
            </w:r>
          </w:p>
          <w:p w14:paraId="2ED3A528" w14:textId="77777777" w:rsidR="00027873" w:rsidRDefault="00027873" w:rsidP="00027873">
            <w:pPr>
              <w:spacing w:after="0"/>
            </w:pPr>
            <w:r>
              <w:t xml:space="preserve">Annex </w:t>
            </w:r>
            <w:r w:rsidRPr="008B3A88">
              <w:t>XIV</w:t>
            </w:r>
            <w:r>
              <w:t xml:space="preserve"> (A)</w:t>
            </w:r>
          </w:p>
          <w:p w14:paraId="0873B13F" w14:textId="77777777" w:rsidR="00027873" w:rsidRDefault="00027873" w:rsidP="00027873">
            <w:pPr>
              <w:spacing w:after="0"/>
            </w:pPr>
            <w:r>
              <w:t xml:space="preserve">Annex XV </w:t>
            </w:r>
          </w:p>
          <w:p w14:paraId="59637CD3" w14:textId="77777777" w:rsidR="00027873" w:rsidRPr="008B3A88" w:rsidRDefault="00027873" w:rsidP="00027873">
            <w:pPr>
              <w:spacing w:after="0"/>
            </w:pPr>
          </w:p>
          <w:p w14:paraId="58B89AAB" w14:textId="77777777" w:rsidR="00027873" w:rsidRDefault="00027873" w:rsidP="00027873">
            <w:pPr>
              <w:spacing w:after="0"/>
              <w:rPr>
                <w:color w:val="auto"/>
              </w:rPr>
            </w:pPr>
            <w:r w:rsidRPr="00A91E28">
              <w:rPr>
                <w:color w:val="auto"/>
              </w:rPr>
              <w:t>Summary of safety and clinical performance (class III)</w:t>
            </w:r>
          </w:p>
          <w:p w14:paraId="2848E495" w14:textId="3D12812A" w:rsidR="00027873" w:rsidRDefault="00027873" w:rsidP="00027873">
            <w:pPr>
              <w:spacing w:after="0"/>
            </w:pPr>
            <w:r w:rsidRPr="008B3A88">
              <w:t>Article 32</w:t>
            </w:r>
          </w:p>
        </w:tc>
      </w:tr>
    </w:tbl>
    <w:p w14:paraId="23BD8B11" w14:textId="77777777" w:rsidR="004D4288" w:rsidRDefault="004D4288">
      <w:pPr>
        <w:spacing w:after="200" w:line="276" w:lineRule="auto"/>
        <w:rPr>
          <w:b/>
          <w:bCs/>
          <w:i/>
          <w:color w:val="auto"/>
        </w:rPr>
      </w:pPr>
      <w:r>
        <w:br w:type="page"/>
      </w:r>
    </w:p>
    <w:p w14:paraId="135D317E" w14:textId="3237B79C" w:rsidR="003D0888" w:rsidRPr="008B3A88" w:rsidRDefault="003D0888" w:rsidP="008B3A88">
      <w:pPr>
        <w:pStyle w:val="Caption"/>
      </w:pPr>
      <w:r w:rsidRPr="008B3A88">
        <w:lastRenderedPageBreak/>
        <w:t xml:space="preserve">Table </w:t>
      </w:r>
      <w:r w:rsidR="00957541" w:rsidRPr="008B3A88">
        <w:fldChar w:fldCharType="begin"/>
      </w:r>
      <w:r w:rsidR="00957541" w:rsidRPr="008776FA">
        <w:instrText xml:space="preserve"> SEQ Table \* ARABIC </w:instrText>
      </w:r>
      <w:r w:rsidR="00957541" w:rsidRPr="008B3A88">
        <w:fldChar w:fldCharType="separate"/>
      </w:r>
      <w:r w:rsidR="004D3E33">
        <w:rPr>
          <w:noProof/>
        </w:rPr>
        <w:t>5</w:t>
      </w:r>
      <w:r w:rsidR="00957541" w:rsidRPr="008B3A88">
        <w:rPr>
          <w:noProof/>
        </w:rPr>
        <w:fldChar w:fldCharType="end"/>
      </w:r>
      <w:r w:rsidRPr="008B3A88">
        <w:t xml:space="preserve">: </w:t>
      </w:r>
      <w:r w:rsidR="00FC0B51">
        <w:t>Tier C</w:t>
      </w:r>
      <w:r w:rsidR="001F5BCF">
        <w:t>: i</w:t>
      </w:r>
      <w:r w:rsidR="00DC6674">
        <w:t>ntervention</w:t>
      </w:r>
      <w:r w:rsidR="000B3AB3">
        <w:t>s</w:t>
      </w:r>
      <w:r w:rsidR="00CD7B08">
        <w:t xml:space="preserve"> - </w:t>
      </w:r>
      <w:r w:rsidR="00FC0B51">
        <w:t>B</w:t>
      </w:r>
      <w:r w:rsidRPr="008B3A88">
        <w:t>est practice standards</w:t>
      </w:r>
    </w:p>
    <w:tbl>
      <w:tblPr>
        <w:tblStyle w:val="TableGrid"/>
        <w:tblW w:w="5012" w:type="pct"/>
        <w:tblLook w:val="04A0" w:firstRow="1" w:lastRow="0" w:firstColumn="1" w:lastColumn="0" w:noHBand="0" w:noVBand="1"/>
        <w:tblDescription w:val="Evidence category, ESF minimum evidence standard, MDR requirement, aligned MDR documentation and section"/>
      </w:tblPr>
      <w:tblGrid>
        <w:gridCol w:w="2235"/>
        <w:gridCol w:w="4393"/>
        <w:gridCol w:w="3545"/>
        <w:gridCol w:w="4648"/>
      </w:tblGrid>
      <w:tr w:rsidR="006041BB" w:rsidRPr="007E736D" w14:paraId="5E86A2DF" w14:textId="5AF56258" w:rsidTr="00506CF3">
        <w:trPr>
          <w:trHeight w:val="206"/>
          <w:tblHeader/>
        </w:trPr>
        <w:tc>
          <w:tcPr>
            <w:tcW w:w="754" w:type="pct"/>
            <w:shd w:val="clear" w:color="auto" w:fill="B8CCE4" w:themeFill="accent1" w:themeFillTint="66"/>
            <w:hideMark/>
          </w:tcPr>
          <w:p w14:paraId="37D51E31" w14:textId="77777777" w:rsidR="006041BB" w:rsidRPr="00E265A8" w:rsidRDefault="006041BB" w:rsidP="004D4288">
            <w:pPr>
              <w:spacing w:after="0"/>
              <w:rPr>
                <w:b/>
              </w:rPr>
            </w:pPr>
            <w:r>
              <w:rPr>
                <w:b/>
              </w:rPr>
              <w:t>Evidence category</w:t>
            </w:r>
          </w:p>
        </w:tc>
        <w:tc>
          <w:tcPr>
            <w:tcW w:w="1482" w:type="pct"/>
            <w:shd w:val="clear" w:color="auto" w:fill="B8CCE4" w:themeFill="accent1" w:themeFillTint="66"/>
          </w:tcPr>
          <w:p w14:paraId="05F41219" w14:textId="7B5F5C1B" w:rsidR="006041BB" w:rsidRDefault="006041BB" w:rsidP="004D4288">
            <w:pPr>
              <w:spacing w:after="0"/>
              <w:rPr>
                <w:b/>
              </w:rPr>
            </w:pPr>
            <w:r>
              <w:rPr>
                <w:b/>
              </w:rPr>
              <w:t>ESF</w:t>
            </w:r>
            <w:r w:rsidRPr="008F6DB7">
              <w:rPr>
                <w:b/>
              </w:rPr>
              <w:t xml:space="preserve"> </w:t>
            </w:r>
            <w:r>
              <w:rPr>
                <w:b/>
              </w:rPr>
              <w:t>best practice</w:t>
            </w:r>
            <w:r w:rsidRPr="008F6DB7">
              <w:rPr>
                <w:b/>
              </w:rPr>
              <w:t xml:space="preserve"> standard</w:t>
            </w:r>
          </w:p>
        </w:tc>
        <w:tc>
          <w:tcPr>
            <w:tcW w:w="1196" w:type="pct"/>
            <w:shd w:val="clear" w:color="auto" w:fill="B8CCE4" w:themeFill="accent1" w:themeFillTint="66"/>
          </w:tcPr>
          <w:p w14:paraId="7F6709D1" w14:textId="77777777" w:rsidR="006041BB" w:rsidRDefault="006041BB" w:rsidP="004D4288">
            <w:pPr>
              <w:spacing w:after="0"/>
              <w:rPr>
                <w:b/>
              </w:rPr>
            </w:pPr>
            <w:r>
              <w:rPr>
                <w:b/>
              </w:rPr>
              <w:t>Is this an MDR requirement?</w:t>
            </w:r>
          </w:p>
        </w:tc>
        <w:tc>
          <w:tcPr>
            <w:tcW w:w="1568" w:type="pct"/>
            <w:shd w:val="clear" w:color="auto" w:fill="B8CCE4" w:themeFill="accent1" w:themeFillTint="66"/>
          </w:tcPr>
          <w:p w14:paraId="12CAA3B3" w14:textId="2B0196E8" w:rsidR="006041BB" w:rsidRDefault="006041BB" w:rsidP="006041BB">
            <w:pPr>
              <w:spacing w:after="0"/>
            </w:pPr>
            <w:r w:rsidRPr="008B3A88">
              <w:rPr>
                <w:b/>
              </w:rPr>
              <w:t>Aligned MDR documentation</w:t>
            </w:r>
            <w:r>
              <w:rPr>
                <w:b/>
              </w:rPr>
              <w:t xml:space="preserve"> and section</w:t>
            </w:r>
          </w:p>
        </w:tc>
      </w:tr>
      <w:tr w:rsidR="006041BB" w:rsidRPr="00E265A8" w14:paraId="682060E6" w14:textId="02F6BE1B" w:rsidTr="00506CF3">
        <w:trPr>
          <w:trHeight w:val="4309"/>
        </w:trPr>
        <w:tc>
          <w:tcPr>
            <w:tcW w:w="754" w:type="pct"/>
            <w:shd w:val="clear" w:color="auto" w:fill="auto"/>
          </w:tcPr>
          <w:p w14:paraId="6059C960" w14:textId="085E7F10" w:rsidR="006041BB" w:rsidRPr="00E265A8" w:rsidRDefault="006041BB" w:rsidP="004D4288">
            <w:pPr>
              <w:spacing w:after="0"/>
            </w:pPr>
            <w:r>
              <w:t xml:space="preserve">Demonstrating effectiveness </w:t>
            </w:r>
            <w:r w:rsidRPr="00DC6674">
              <w:t xml:space="preserve">for </w:t>
            </w:r>
            <w:r>
              <w:rPr>
                <w:b/>
                <w:bCs/>
              </w:rPr>
              <w:t>p</w:t>
            </w:r>
            <w:r w:rsidRPr="005571C8">
              <w:rPr>
                <w:b/>
                <w:bCs/>
              </w:rPr>
              <w:t>reventative behaviour change</w:t>
            </w:r>
            <w:r w:rsidRPr="00DC6674">
              <w:t xml:space="preserve"> or </w:t>
            </w:r>
            <w:r>
              <w:rPr>
                <w:b/>
                <w:bCs/>
              </w:rPr>
              <w:t>s</w:t>
            </w:r>
            <w:r w:rsidRPr="005571C8">
              <w:rPr>
                <w:b/>
                <w:bCs/>
              </w:rPr>
              <w:t>elf-manage</w:t>
            </w:r>
            <w:r w:rsidRPr="00DC6674">
              <w:t xml:space="preserve"> DHTs</w:t>
            </w:r>
            <w:r>
              <w:t xml:space="preserve"> </w:t>
            </w:r>
          </w:p>
        </w:tc>
        <w:tc>
          <w:tcPr>
            <w:tcW w:w="1482" w:type="pct"/>
          </w:tcPr>
          <w:p w14:paraId="4BA6649D" w14:textId="1443CC25" w:rsidR="006041BB" w:rsidRPr="004F2E1F" w:rsidRDefault="006041BB" w:rsidP="004D4288">
            <w:pPr>
              <w:spacing w:after="0"/>
              <w:rPr>
                <w:color w:val="auto"/>
              </w:rPr>
            </w:pPr>
            <w:r w:rsidRPr="00DF05F2">
              <w:t>High quality intervention study (quasi-experimental or experimental design) which incorporates a comparison group, showing improvement</w:t>
            </w:r>
            <w:r>
              <w:t xml:space="preserve">s in relevant outcomes, such as </w:t>
            </w:r>
            <w:r w:rsidRPr="00DF05F2">
              <w:t>patient-reported outcomes (preferably using validated tools) including symptom severity or quality of life</w:t>
            </w:r>
            <w:r>
              <w:t xml:space="preserve">, </w:t>
            </w:r>
            <w:r w:rsidRPr="00DF05F2">
              <w:t>other clinical measures of disease severity or disability</w:t>
            </w:r>
            <w:r>
              <w:t xml:space="preserve">, healthy behaviours, physiological measures, </w:t>
            </w:r>
            <w:r w:rsidRPr="00DF05F2">
              <w:t>u</w:t>
            </w:r>
            <w:r>
              <w:t xml:space="preserve">ser satisfaction and engagement, </w:t>
            </w:r>
            <w:r w:rsidRPr="00DF05F2">
              <w:t>heal</w:t>
            </w:r>
            <w:r>
              <w:t>th and social care resource use</w:t>
            </w:r>
            <w:r w:rsidRPr="00DF05F2">
              <w:t xml:space="preserve"> such</w:t>
            </w:r>
            <w:r>
              <w:t xml:space="preserve"> as admissions or appointments. </w:t>
            </w:r>
            <w:r w:rsidRPr="00DF05F2">
              <w:t>The comparator should be a care option that is reflective of standard care in the current care pathway, such as a commonly used active intervention</w:t>
            </w:r>
          </w:p>
        </w:tc>
        <w:tc>
          <w:tcPr>
            <w:tcW w:w="1196" w:type="pct"/>
          </w:tcPr>
          <w:p w14:paraId="1E6E74D5" w14:textId="4ADDAA73" w:rsidR="006041BB" w:rsidRDefault="006041BB" w:rsidP="004D4288">
            <w:pPr>
              <w:spacing w:after="0"/>
              <w:rPr>
                <w:color w:val="auto"/>
              </w:rPr>
            </w:pPr>
            <w:r w:rsidRPr="00234648">
              <w:rPr>
                <w:color w:val="auto"/>
              </w:rPr>
              <w:t>A clinical evaluation and in some cases clinical investigation is required to validate device claims. Beyond this the nature of the evidence is not stipulated</w:t>
            </w:r>
          </w:p>
          <w:p w14:paraId="0E84D01F" w14:textId="77777777" w:rsidR="006041BB" w:rsidRDefault="006041BB" w:rsidP="004D4288">
            <w:pPr>
              <w:spacing w:after="0"/>
              <w:rPr>
                <w:color w:val="auto"/>
              </w:rPr>
            </w:pPr>
          </w:p>
          <w:p w14:paraId="1830E658" w14:textId="311E55AD" w:rsidR="006041BB" w:rsidRDefault="006041BB" w:rsidP="004D4288">
            <w:pPr>
              <w:spacing w:after="0"/>
            </w:pPr>
            <w:r>
              <w:t xml:space="preserve">Substantial equivalence claims for Medical devices (particularly high risk) </w:t>
            </w:r>
            <w:proofErr w:type="gramStart"/>
            <w:r>
              <w:t>is</w:t>
            </w:r>
            <w:proofErr w:type="gramEnd"/>
            <w:r>
              <w:t xml:space="preserve"> not necessarily seen as being compliant with regulation</w:t>
            </w:r>
          </w:p>
          <w:p w14:paraId="27017079" w14:textId="77777777" w:rsidR="006041BB" w:rsidRDefault="006041BB" w:rsidP="004D4288">
            <w:pPr>
              <w:spacing w:after="0"/>
            </w:pPr>
          </w:p>
          <w:p w14:paraId="797F7677" w14:textId="7D4495C4" w:rsidR="006041BB" w:rsidRPr="008776FA" w:rsidRDefault="006041BB" w:rsidP="004D4288">
            <w:pPr>
              <w:spacing w:after="0"/>
              <w:rPr>
                <w:color w:val="auto"/>
              </w:rPr>
            </w:pPr>
            <w:r>
              <w:t>As risk increases there is greater need for manufacturer to conduct clinical investigations rather than clinical evaluations</w:t>
            </w:r>
          </w:p>
        </w:tc>
        <w:tc>
          <w:tcPr>
            <w:tcW w:w="1568" w:type="pct"/>
          </w:tcPr>
          <w:p w14:paraId="3E6D4245" w14:textId="77777777" w:rsidR="006041BB" w:rsidRDefault="006041BB" w:rsidP="004D4288">
            <w:pPr>
              <w:spacing w:after="0"/>
            </w:pPr>
            <w:r>
              <w:t>Validation and verification reports</w:t>
            </w:r>
          </w:p>
          <w:p w14:paraId="475FB9F2" w14:textId="642354DF" w:rsidR="006041BB" w:rsidRDefault="006041BB" w:rsidP="004D4288">
            <w:pPr>
              <w:spacing w:after="0"/>
              <w:rPr>
                <w:color w:val="auto"/>
              </w:rPr>
            </w:pPr>
            <w:r>
              <w:rPr>
                <w:color w:val="auto"/>
              </w:rPr>
              <w:t>Annex II (6)</w:t>
            </w:r>
          </w:p>
          <w:p w14:paraId="3A7BD178" w14:textId="77777777" w:rsidR="00805973" w:rsidRDefault="00805973" w:rsidP="004D4288">
            <w:pPr>
              <w:spacing w:after="0"/>
            </w:pPr>
          </w:p>
          <w:p w14:paraId="0094243E" w14:textId="77777777" w:rsidR="006041BB" w:rsidRDefault="006041BB" w:rsidP="004D4288">
            <w:pPr>
              <w:spacing w:after="0"/>
            </w:pPr>
            <w:r>
              <w:t>Clinical investigation/evaluation reports</w:t>
            </w:r>
          </w:p>
          <w:p w14:paraId="4E3F0376" w14:textId="77777777" w:rsidR="006041BB" w:rsidRDefault="006041BB" w:rsidP="004D4288">
            <w:pPr>
              <w:spacing w:after="0"/>
            </w:pPr>
            <w:r>
              <w:t xml:space="preserve">Annex </w:t>
            </w:r>
            <w:r w:rsidRPr="008B3A88">
              <w:t>XIV</w:t>
            </w:r>
            <w:r>
              <w:t xml:space="preserve"> (A)</w:t>
            </w:r>
          </w:p>
          <w:p w14:paraId="4EE7CE80" w14:textId="6274B4C3" w:rsidR="006041BB" w:rsidRDefault="006041BB" w:rsidP="004D4288">
            <w:pPr>
              <w:spacing w:after="0"/>
            </w:pPr>
            <w:r>
              <w:t>Annex XV</w:t>
            </w:r>
          </w:p>
        </w:tc>
      </w:tr>
      <w:tr w:rsidR="00051202" w:rsidRPr="00E265A8" w14:paraId="57AFF660" w14:textId="77777777" w:rsidTr="00506CF3">
        <w:trPr>
          <w:trHeight w:val="5054"/>
        </w:trPr>
        <w:tc>
          <w:tcPr>
            <w:tcW w:w="754" w:type="pct"/>
          </w:tcPr>
          <w:p w14:paraId="330455B0" w14:textId="2D64032E" w:rsidR="00051202" w:rsidRDefault="00051202" w:rsidP="004D4288">
            <w:pPr>
              <w:spacing w:after="0"/>
            </w:pPr>
            <w:r w:rsidRPr="00DC6674">
              <w:lastRenderedPageBreak/>
              <w:t xml:space="preserve">Demonstrating effectiveness for </w:t>
            </w:r>
            <w:r>
              <w:rPr>
                <w:b/>
                <w:bCs/>
              </w:rPr>
              <w:t>t</w:t>
            </w:r>
            <w:r w:rsidRPr="005571C8">
              <w:rPr>
                <w:b/>
                <w:bCs/>
              </w:rPr>
              <w:t xml:space="preserve">reat, </w:t>
            </w:r>
            <w:r>
              <w:rPr>
                <w:b/>
                <w:bCs/>
              </w:rPr>
              <w:t>a</w:t>
            </w:r>
            <w:r w:rsidRPr="005571C8">
              <w:rPr>
                <w:b/>
                <w:bCs/>
              </w:rPr>
              <w:t xml:space="preserve">ctive monitoring, </w:t>
            </w:r>
            <w:r>
              <w:rPr>
                <w:b/>
                <w:bCs/>
              </w:rPr>
              <w:t>c</w:t>
            </w:r>
            <w:r w:rsidRPr="005571C8">
              <w:rPr>
                <w:b/>
                <w:bCs/>
              </w:rPr>
              <w:t>alculate</w:t>
            </w:r>
            <w:r w:rsidRPr="00DC6674">
              <w:t xml:space="preserve"> or </w:t>
            </w:r>
            <w:r>
              <w:rPr>
                <w:b/>
                <w:bCs/>
              </w:rPr>
              <w:t>d</w:t>
            </w:r>
            <w:r w:rsidRPr="005571C8">
              <w:rPr>
                <w:b/>
                <w:bCs/>
              </w:rPr>
              <w:t>iagnose</w:t>
            </w:r>
            <w:r>
              <w:t xml:space="preserve"> DHTs</w:t>
            </w:r>
          </w:p>
        </w:tc>
        <w:tc>
          <w:tcPr>
            <w:tcW w:w="1482" w:type="pct"/>
          </w:tcPr>
          <w:p w14:paraId="0F02A6B4" w14:textId="77777777" w:rsidR="00051202" w:rsidRDefault="00051202" w:rsidP="004D4288">
            <w:pPr>
              <w:spacing w:after="0"/>
              <w:rPr>
                <w:color w:val="auto"/>
              </w:rPr>
            </w:pPr>
            <w:r w:rsidRPr="00DF05F2">
              <w:rPr>
                <w:color w:val="auto"/>
              </w:rPr>
              <w:t>High quality randomised controlled study or studies done in a setting relevant to the UK health and social care system, comparing the DHT with a relevant comparator and demonstrating consistent benefit including in clinical outcomes in the target population, using validated condi</w:t>
            </w:r>
            <w:r>
              <w:rPr>
                <w:color w:val="auto"/>
              </w:rPr>
              <w:t>tion-specific outcome measures</w:t>
            </w:r>
          </w:p>
          <w:p w14:paraId="73C1FEFC" w14:textId="77777777" w:rsidR="00051202" w:rsidRPr="004F2E1F" w:rsidRDefault="00051202" w:rsidP="004D4288">
            <w:pPr>
              <w:spacing w:after="0"/>
              <w:rPr>
                <w:color w:val="auto"/>
              </w:rPr>
            </w:pPr>
            <w:r>
              <w:rPr>
                <w:color w:val="auto"/>
              </w:rPr>
              <w:t>or</w:t>
            </w:r>
          </w:p>
          <w:p w14:paraId="48580D37" w14:textId="16618895" w:rsidR="00051202" w:rsidRPr="00DF05F2" w:rsidRDefault="00051202" w:rsidP="004D4288">
            <w:pPr>
              <w:spacing w:after="0"/>
            </w:pPr>
            <w:r w:rsidRPr="00E265A8">
              <w:rPr>
                <w:color w:val="auto"/>
              </w:rPr>
              <w:t>Well-conducted meta-analysis of randomised controlled studies if there are enough available studies on the DHT</w:t>
            </w:r>
          </w:p>
        </w:tc>
        <w:tc>
          <w:tcPr>
            <w:tcW w:w="1196" w:type="pct"/>
          </w:tcPr>
          <w:p w14:paraId="3E66C6B8" w14:textId="275CCFB6" w:rsidR="00051202" w:rsidRDefault="00051202" w:rsidP="004D4288">
            <w:pPr>
              <w:spacing w:after="0"/>
              <w:rPr>
                <w:color w:val="auto"/>
              </w:rPr>
            </w:pPr>
            <w:r w:rsidRPr="004F2E1F">
              <w:rPr>
                <w:color w:val="auto"/>
              </w:rPr>
              <w:t>A clinical evaluation and in some cases clinical investigation is required to validate device claims. Beyond this the nature of the evidence is not stipulated</w:t>
            </w:r>
          </w:p>
          <w:p w14:paraId="07E2463B" w14:textId="77777777" w:rsidR="00051202" w:rsidRDefault="00051202" w:rsidP="004D4288">
            <w:pPr>
              <w:spacing w:after="0"/>
            </w:pPr>
          </w:p>
          <w:p w14:paraId="0EAD008E" w14:textId="38DA3CD7" w:rsidR="00051202" w:rsidRDefault="00051202" w:rsidP="004D4288">
            <w:pPr>
              <w:spacing w:after="0"/>
            </w:pPr>
            <w:r>
              <w:t xml:space="preserve">Substantial equivalence claims for Medical devices (particularly high risk) </w:t>
            </w:r>
            <w:proofErr w:type="gramStart"/>
            <w:r>
              <w:t>is</w:t>
            </w:r>
            <w:proofErr w:type="gramEnd"/>
            <w:r>
              <w:t xml:space="preserve"> not necessarily seen as being compliant with regulation</w:t>
            </w:r>
          </w:p>
          <w:p w14:paraId="1DFB0721" w14:textId="77777777" w:rsidR="00051202" w:rsidRDefault="00051202" w:rsidP="004D4288">
            <w:pPr>
              <w:spacing w:after="0"/>
            </w:pPr>
          </w:p>
          <w:p w14:paraId="43D8F314" w14:textId="46EB1404" w:rsidR="00051202" w:rsidRDefault="00051202" w:rsidP="004D4288">
            <w:pPr>
              <w:spacing w:after="0"/>
            </w:pPr>
            <w:r>
              <w:t>As risk increases there is greater need for manufacturer to conduct clinical investigations rather than clinical evaluations</w:t>
            </w:r>
          </w:p>
          <w:p w14:paraId="436BA77B" w14:textId="77777777" w:rsidR="00051202" w:rsidRPr="00234648" w:rsidRDefault="00051202" w:rsidP="004D4288">
            <w:pPr>
              <w:spacing w:after="0"/>
              <w:rPr>
                <w:color w:val="auto"/>
              </w:rPr>
            </w:pPr>
          </w:p>
          <w:p w14:paraId="74FFCD5F" w14:textId="74F22D37" w:rsidR="00051202" w:rsidRPr="00234648" w:rsidRDefault="00051202" w:rsidP="004D4288">
            <w:pPr>
              <w:spacing w:after="0"/>
              <w:rPr>
                <w:color w:val="auto"/>
              </w:rPr>
            </w:pPr>
            <w:r w:rsidRPr="00DC6674">
              <w:rPr>
                <w:color w:val="auto"/>
              </w:rPr>
              <w:t>Not explicitly, but likely to feed into device validation if there are enough available studies to conduct a meta-analysis</w:t>
            </w:r>
          </w:p>
        </w:tc>
        <w:tc>
          <w:tcPr>
            <w:tcW w:w="1568" w:type="pct"/>
          </w:tcPr>
          <w:p w14:paraId="5D48F2E7" w14:textId="77777777" w:rsidR="00051202" w:rsidRDefault="00051202" w:rsidP="004D4288">
            <w:pPr>
              <w:spacing w:after="0"/>
            </w:pPr>
            <w:r>
              <w:t>Clinical investigation/evaluation reports</w:t>
            </w:r>
          </w:p>
          <w:p w14:paraId="2070C0AF" w14:textId="7EECCB87" w:rsidR="00051202" w:rsidRDefault="00051202" w:rsidP="004D4288">
            <w:pPr>
              <w:spacing w:after="0"/>
            </w:pPr>
            <w:r>
              <w:t xml:space="preserve">Annex </w:t>
            </w:r>
            <w:r w:rsidRPr="008B3A88">
              <w:t>XIV</w:t>
            </w:r>
            <w:r>
              <w:t xml:space="preserve"> (A)</w:t>
            </w:r>
          </w:p>
          <w:p w14:paraId="3B5675AA" w14:textId="7BBD9322" w:rsidR="00051202" w:rsidRDefault="00051202" w:rsidP="004D4288">
            <w:pPr>
              <w:spacing w:after="0"/>
            </w:pPr>
            <w:r>
              <w:t>Annex XV</w:t>
            </w:r>
          </w:p>
          <w:p w14:paraId="32C26CAC" w14:textId="77777777" w:rsidR="00051202" w:rsidRDefault="00051202" w:rsidP="004D4288">
            <w:pPr>
              <w:spacing w:after="0"/>
            </w:pPr>
          </w:p>
          <w:p w14:paraId="529B614E" w14:textId="77777777" w:rsidR="00051202" w:rsidRDefault="00051202" w:rsidP="004D4288">
            <w:pPr>
              <w:spacing w:after="0"/>
            </w:pPr>
            <w:r>
              <w:t>Clinical investigation/evaluation reports</w:t>
            </w:r>
            <w:r w:rsidRPr="00E265A8">
              <w:rPr>
                <w:color w:val="auto"/>
              </w:rPr>
              <w:t xml:space="preserve"> </w:t>
            </w:r>
          </w:p>
          <w:p w14:paraId="2DF0E1ED" w14:textId="77777777" w:rsidR="00051202" w:rsidRDefault="00051202" w:rsidP="004D4288">
            <w:pPr>
              <w:spacing w:after="0"/>
            </w:pPr>
            <w:r>
              <w:t xml:space="preserve">Annex </w:t>
            </w:r>
            <w:r w:rsidRPr="008B3A88">
              <w:t>XIV</w:t>
            </w:r>
            <w:r>
              <w:t xml:space="preserve"> (A)</w:t>
            </w:r>
          </w:p>
          <w:p w14:paraId="0D180CDB" w14:textId="77777777" w:rsidR="00051202" w:rsidRDefault="00051202" w:rsidP="004D4288">
            <w:pPr>
              <w:spacing w:after="0"/>
            </w:pPr>
            <w:r>
              <w:t>Annex XV</w:t>
            </w:r>
          </w:p>
          <w:p w14:paraId="2C5B2CCB" w14:textId="77777777" w:rsidR="00051202" w:rsidRDefault="00051202" w:rsidP="004D4288">
            <w:pPr>
              <w:spacing w:after="0"/>
              <w:rPr>
                <w:color w:val="auto"/>
              </w:rPr>
            </w:pPr>
          </w:p>
          <w:p w14:paraId="6EB1D32C" w14:textId="67CFDCEC" w:rsidR="00051202" w:rsidRDefault="00051202" w:rsidP="004D4288">
            <w:pPr>
              <w:spacing w:after="0"/>
            </w:pPr>
            <w:r>
              <w:rPr>
                <w:color w:val="auto"/>
              </w:rPr>
              <w:t xml:space="preserve">Validation and verification </w:t>
            </w:r>
            <w:r>
              <w:t>reports</w:t>
            </w:r>
          </w:p>
          <w:p w14:paraId="25E184CA" w14:textId="36FF1FDE" w:rsidR="00051202" w:rsidRDefault="00051202" w:rsidP="004D4288">
            <w:pPr>
              <w:spacing w:after="0"/>
            </w:pPr>
            <w:r>
              <w:rPr>
                <w:color w:val="auto"/>
              </w:rPr>
              <w:t>Annex II (6)</w:t>
            </w:r>
          </w:p>
        </w:tc>
      </w:tr>
      <w:tr w:rsidR="00923533" w:rsidRPr="00E265A8" w14:paraId="41EAC7E6" w14:textId="131D1F44" w:rsidTr="00506CF3">
        <w:trPr>
          <w:trHeight w:val="305"/>
        </w:trPr>
        <w:tc>
          <w:tcPr>
            <w:tcW w:w="754" w:type="pct"/>
            <w:shd w:val="clear" w:color="auto" w:fill="auto"/>
          </w:tcPr>
          <w:p w14:paraId="3D323870" w14:textId="06DF9436" w:rsidR="00923533" w:rsidRPr="00E265A8" w:rsidRDefault="00923533" w:rsidP="004D4288">
            <w:pPr>
              <w:spacing w:after="0"/>
            </w:pPr>
            <w:r w:rsidRPr="00DF05F2">
              <w:t xml:space="preserve">Use of appropriate behaviour </w:t>
            </w:r>
            <w:r>
              <w:t>change techniques (if relevant)</w:t>
            </w:r>
          </w:p>
        </w:tc>
        <w:tc>
          <w:tcPr>
            <w:tcW w:w="1482" w:type="pct"/>
          </w:tcPr>
          <w:p w14:paraId="38D59343" w14:textId="2E993729" w:rsidR="00923533" w:rsidRDefault="00923533" w:rsidP="004D4288">
            <w:pPr>
              <w:spacing w:after="0"/>
            </w:pPr>
            <w:r w:rsidRPr="00DF05F2">
              <w:t>Published qualitative or quantitative evidence showing that the</w:t>
            </w:r>
            <w:r>
              <w:t xml:space="preserve"> techniques used in the DHT are </w:t>
            </w:r>
            <w:r w:rsidRPr="00DF05F2">
              <w:t>based on published and recognised effective behaviour change techniques</w:t>
            </w:r>
          </w:p>
        </w:tc>
        <w:tc>
          <w:tcPr>
            <w:tcW w:w="1196" w:type="pct"/>
          </w:tcPr>
          <w:p w14:paraId="0C8BDEA3" w14:textId="496EC057" w:rsidR="00923533" w:rsidRPr="008776FA" w:rsidRDefault="00923533" w:rsidP="004D4288">
            <w:pPr>
              <w:spacing w:after="0"/>
              <w:rPr>
                <w:color w:val="auto"/>
              </w:rPr>
            </w:pPr>
            <w:r w:rsidRPr="008776FA">
              <w:rPr>
                <w:color w:val="auto"/>
              </w:rPr>
              <w:t>No</w:t>
            </w:r>
          </w:p>
          <w:p w14:paraId="12C173D5" w14:textId="415F1D95" w:rsidR="00923533" w:rsidRPr="008776FA" w:rsidRDefault="00923533" w:rsidP="004D4288">
            <w:pPr>
              <w:spacing w:after="0"/>
              <w:rPr>
                <w:color w:val="auto"/>
              </w:rPr>
            </w:pPr>
            <w:r w:rsidRPr="008776FA">
              <w:rPr>
                <w:color w:val="auto"/>
              </w:rPr>
              <w:t xml:space="preserve">It is not a requirement for this information to be published or </w:t>
            </w:r>
            <w:r>
              <w:rPr>
                <w:color w:val="auto"/>
              </w:rPr>
              <w:t>publicly</w:t>
            </w:r>
            <w:r w:rsidRPr="008776FA">
              <w:rPr>
                <w:color w:val="auto"/>
              </w:rPr>
              <w:t xml:space="preserve"> available</w:t>
            </w:r>
          </w:p>
        </w:tc>
        <w:tc>
          <w:tcPr>
            <w:tcW w:w="1568" w:type="pct"/>
          </w:tcPr>
          <w:p w14:paraId="3A74974A" w14:textId="77777777" w:rsidR="00923533" w:rsidRDefault="00923533" w:rsidP="004D4288">
            <w:pPr>
              <w:spacing w:after="0"/>
            </w:pPr>
            <w:r>
              <w:t>Validation and verification reports</w:t>
            </w:r>
          </w:p>
          <w:p w14:paraId="5F45351D" w14:textId="27766EE7" w:rsidR="00923533" w:rsidRDefault="00923533" w:rsidP="004D4288">
            <w:pPr>
              <w:spacing w:after="0"/>
            </w:pPr>
            <w:r>
              <w:rPr>
                <w:color w:val="auto"/>
              </w:rPr>
              <w:t>Annex II (6)</w:t>
            </w:r>
          </w:p>
        </w:tc>
      </w:tr>
      <w:tr w:rsidR="00923533" w:rsidRPr="00E265A8" w14:paraId="2E4C6CB7" w14:textId="7D1394D4" w:rsidTr="009F647B">
        <w:trPr>
          <w:trHeight w:val="1474"/>
        </w:trPr>
        <w:tc>
          <w:tcPr>
            <w:tcW w:w="754" w:type="pct"/>
            <w:shd w:val="clear" w:color="auto" w:fill="auto"/>
          </w:tcPr>
          <w:p w14:paraId="67038DA1" w14:textId="2744DD3C" w:rsidR="00923533" w:rsidRPr="00E265A8" w:rsidRDefault="00923533" w:rsidP="004D4288">
            <w:pPr>
              <w:spacing w:after="0"/>
            </w:pPr>
            <w:r w:rsidRPr="00DF05F2">
              <w:t xml:space="preserve">Use of appropriate behaviour </w:t>
            </w:r>
            <w:r>
              <w:t>change techniques (if relevant)</w:t>
            </w:r>
          </w:p>
        </w:tc>
        <w:tc>
          <w:tcPr>
            <w:tcW w:w="1482" w:type="pct"/>
          </w:tcPr>
          <w:p w14:paraId="4FE1B2FF" w14:textId="46E5E2A8" w:rsidR="00923533" w:rsidRDefault="00923533" w:rsidP="004D4288">
            <w:pPr>
              <w:spacing w:after="0"/>
            </w:pPr>
            <w:r w:rsidRPr="00DF05F2">
              <w:t>Published qualitative or quantitative evidence showing that the</w:t>
            </w:r>
            <w:r>
              <w:t xml:space="preserve"> techniques used in the DHT are </w:t>
            </w:r>
            <w:r w:rsidRPr="00DF05F2">
              <w:t>aligned with recommended practice</w:t>
            </w:r>
          </w:p>
        </w:tc>
        <w:tc>
          <w:tcPr>
            <w:tcW w:w="1196" w:type="pct"/>
          </w:tcPr>
          <w:p w14:paraId="0C23C775" w14:textId="747F3A04" w:rsidR="00923533" w:rsidRPr="008776FA" w:rsidRDefault="00923533" w:rsidP="004D4288">
            <w:pPr>
              <w:spacing w:after="0"/>
              <w:rPr>
                <w:color w:val="auto"/>
              </w:rPr>
            </w:pPr>
            <w:r w:rsidRPr="008776FA">
              <w:rPr>
                <w:color w:val="auto"/>
              </w:rPr>
              <w:t>No</w:t>
            </w:r>
          </w:p>
          <w:p w14:paraId="73846A03" w14:textId="721307C7" w:rsidR="00923533" w:rsidRPr="008776FA" w:rsidRDefault="00923533" w:rsidP="004D4288">
            <w:pPr>
              <w:spacing w:after="0"/>
              <w:rPr>
                <w:color w:val="auto"/>
              </w:rPr>
            </w:pPr>
            <w:r w:rsidRPr="008776FA">
              <w:rPr>
                <w:color w:val="auto"/>
              </w:rPr>
              <w:t xml:space="preserve">It is not a requirement for this information to be published or </w:t>
            </w:r>
            <w:r>
              <w:rPr>
                <w:color w:val="auto"/>
              </w:rPr>
              <w:t>publicly</w:t>
            </w:r>
            <w:r w:rsidRPr="008776FA">
              <w:rPr>
                <w:color w:val="auto"/>
              </w:rPr>
              <w:t xml:space="preserve"> available</w:t>
            </w:r>
          </w:p>
        </w:tc>
        <w:tc>
          <w:tcPr>
            <w:tcW w:w="1568" w:type="pct"/>
          </w:tcPr>
          <w:p w14:paraId="7C10354B" w14:textId="77777777" w:rsidR="00923533" w:rsidRDefault="00923533" w:rsidP="004D4288">
            <w:pPr>
              <w:spacing w:after="0"/>
            </w:pPr>
            <w:r>
              <w:t>General safety and performance requirements checklist</w:t>
            </w:r>
          </w:p>
          <w:p w14:paraId="75377F17" w14:textId="7917F59E" w:rsidR="00923533" w:rsidRDefault="00923533" w:rsidP="004D4288">
            <w:pPr>
              <w:spacing w:after="0"/>
              <w:rPr>
                <w:color w:val="auto"/>
              </w:rPr>
            </w:pPr>
            <w:r>
              <w:rPr>
                <w:color w:val="auto"/>
              </w:rPr>
              <w:t>Annex I</w:t>
            </w:r>
          </w:p>
          <w:p w14:paraId="2736A922" w14:textId="77777777" w:rsidR="00923533" w:rsidRDefault="00923533" w:rsidP="004D4288">
            <w:pPr>
              <w:spacing w:after="0"/>
              <w:rPr>
                <w:color w:val="auto"/>
              </w:rPr>
            </w:pPr>
          </w:p>
          <w:p w14:paraId="14D974C9" w14:textId="77777777" w:rsidR="00923533" w:rsidRDefault="00923533" w:rsidP="004D4288">
            <w:pPr>
              <w:spacing w:after="0"/>
            </w:pPr>
            <w:r>
              <w:t>Validation and verification reports</w:t>
            </w:r>
          </w:p>
          <w:p w14:paraId="734171D6" w14:textId="75620447" w:rsidR="00923533" w:rsidRDefault="00923533" w:rsidP="004D4288">
            <w:pPr>
              <w:spacing w:after="0"/>
            </w:pPr>
            <w:r>
              <w:rPr>
                <w:color w:val="auto"/>
              </w:rPr>
              <w:t>Annex II (6)</w:t>
            </w:r>
          </w:p>
        </w:tc>
      </w:tr>
      <w:tr w:rsidR="00923533" w:rsidRPr="00E265A8" w14:paraId="6B251B96" w14:textId="6C183431" w:rsidTr="009F647B">
        <w:trPr>
          <w:trHeight w:val="1510"/>
        </w:trPr>
        <w:tc>
          <w:tcPr>
            <w:tcW w:w="754" w:type="pct"/>
            <w:shd w:val="clear" w:color="auto" w:fill="auto"/>
          </w:tcPr>
          <w:p w14:paraId="58C14A32" w14:textId="4D103395" w:rsidR="00923533" w:rsidRPr="00DF05F2" w:rsidRDefault="00923533" w:rsidP="004D4288">
            <w:pPr>
              <w:spacing w:after="0"/>
            </w:pPr>
            <w:r w:rsidRPr="00DF05F2">
              <w:lastRenderedPageBreak/>
              <w:t xml:space="preserve">Use of appropriate behaviour </w:t>
            </w:r>
            <w:r>
              <w:t>change techniques (if relevant)</w:t>
            </w:r>
          </w:p>
        </w:tc>
        <w:tc>
          <w:tcPr>
            <w:tcW w:w="1482" w:type="pct"/>
          </w:tcPr>
          <w:p w14:paraId="3B0EC4F0" w14:textId="7C351ACC" w:rsidR="00923533" w:rsidRDefault="00923533" w:rsidP="004D4288">
            <w:pPr>
              <w:spacing w:after="0"/>
            </w:pPr>
            <w:r w:rsidRPr="00DF05F2">
              <w:t>Published qualitative or quantitative evidence showing that the</w:t>
            </w:r>
            <w:r>
              <w:t xml:space="preserve"> techniques used in the DHT are </w:t>
            </w:r>
            <w:r w:rsidRPr="00DF05F2">
              <w:t>appropriate for the target population</w:t>
            </w:r>
          </w:p>
        </w:tc>
        <w:tc>
          <w:tcPr>
            <w:tcW w:w="1196" w:type="pct"/>
          </w:tcPr>
          <w:p w14:paraId="5E92EA1A" w14:textId="209CD11B" w:rsidR="00923533" w:rsidRPr="008776FA" w:rsidRDefault="00923533" w:rsidP="004D4288">
            <w:pPr>
              <w:spacing w:after="0"/>
              <w:rPr>
                <w:color w:val="auto"/>
              </w:rPr>
            </w:pPr>
            <w:r w:rsidRPr="008776FA">
              <w:rPr>
                <w:color w:val="auto"/>
              </w:rPr>
              <w:t>No</w:t>
            </w:r>
          </w:p>
          <w:p w14:paraId="0A4849D1" w14:textId="2C95DDA5" w:rsidR="00923533" w:rsidRPr="008776FA" w:rsidRDefault="00923533" w:rsidP="004D4288">
            <w:pPr>
              <w:spacing w:after="0"/>
              <w:rPr>
                <w:color w:val="auto"/>
              </w:rPr>
            </w:pPr>
            <w:r w:rsidRPr="008776FA">
              <w:rPr>
                <w:color w:val="auto"/>
              </w:rPr>
              <w:t xml:space="preserve">It is not a requirement for this information to be published or </w:t>
            </w:r>
            <w:r>
              <w:rPr>
                <w:color w:val="auto"/>
              </w:rPr>
              <w:t>publicly</w:t>
            </w:r>
            <w:r w:rsidRPr="008776FA">
              <w:rPr>
                <w:color w:val="auto"/>
              </w:rPr>
              <w:t xml:space="preserve"> available</w:t>
            </w:r>
          </w:p>
        </w:tc>
        <w:tc>
          <w:tcPr>
            <w:tcW w:w="1568" w:type="pct"/>
          </w:tcPr>
          <w:p w14:paraId="5E861FEC" w14:textId="77777777" w:rsidR="00923533" w:rsidRDefault="00923533" w:rsidP="004D4288">
            <w:pPr>
              <w:spacing w:after="0"/>
            </w:pPr>
            <w:r>
              <w:t>General safety and performance requirements checklist</w:t>
            </w:r>
          </w:p>
          <w:p w14:paraId="0003B2EA" w14:textId="280EEFB7" w:rsidR="00923533" w:rsidRDefault="00923533" w:rsidP="004D4288">
            <w:pPr>
              <w:spacing w:after="0"/>
              <w:rPr>
                <w:color w:val="auto"/>
              </w:rPr>
            </w:pPr>
            <w:r>
              <w:rPr>
                <w:color w:val="auto"/>
              </w:rPr>
              <w:t>Annex I</w:t>
            </w:r>
          </w:p>
          <w:p w14:paraId="600F083C" w14:textId="77777777" w:rsidR="00923533" w:rsidRDefault="00923533" w:rsidP="004D4288">
            <w:pPr>
              <w:spacing w:after="0"/>
              <w:rPr>
                <w:color w:val="auto"/>
              </w:rPr>
            </w:pPr>
          </w:p>
          <w:p w14:paraId="59CB4BD8" w14:textId="77777777" w:rsidR="00923533" w:rsidRDefault="00923533" w:rsidP="004D4288">
            <w:pPr>
              <w:spacing w:after="0"/>
            </w:pPr>
            <w:r>
              <w:t>Validation and verification reports</w:t>
            </w:r>
          </w:p>
          <w:p w14:paraId="77971C61" w14:textId="672994E7" w:rsidR="00923533" w:rsidRDefault="00923533" w:rsidP="004D4288">
            <w:pPr>
              <w:spacing w:after="0"/>
            </w:pPr>
            <w:r>
              <w:rPr>
                <w:color w:val="auto"/>
              </w:rPr>
              <w:t>Annex II (6)</w:t>
            </w:r>
          </w:p>
        </w:tc>
      </w:tr>
      <w:tr w:rsidR="006739BE" w14:paraId="6280E1E5" w14:textId="77777777" w:rsidTr="00506CF3">
        <w:trPr>
          <w:trHeight w:val="1066"/>
        </w:trPr>
        <w:tc>
          <w:tcPr>
            <w:tcW w:w="754" w:type="pct"/>
          </w:tcPr>
          <w:p w14:paraId="76D37DF0" w14:textId="77777777" w:rsidR="006739BE" w:rsidRPr="00E265A8" w:rsidRDefault="006739BE" w:rsidP="004D4288">
            <w:pPr>
              <w:spacing w:after="0" w:line="276" w:lineRule="auto"/>
              <w:rPr>
                <w:color w:val="auto"/>
              </w:rPr>
            </w:pPr>
            <w:r>
              <w:rPr>
                <w:color w:val="auto"/>
              </w:rPr>
              <w:t>Reliable information content</w:t>
            </w:r>
            <w:r w:rsidRPr="00E265A8">
              <w:rPr>
                <w:color w:val="auto"/>
              </w:rPr>
              <w:t xml:space="preserve"> </w:t>
            </w:r>
          </w:p>
        </w:tc>
        <w:tc>
          <w:tcPr>
            <w:tcW w:w="1482" w:type="pct"/>
          </w:tcPr>
          <w:p w14:paraId="2A934C89" w14:textId="77777777" w:rsidR="006739BE" w:rsidRPr="009D6431" w:rsidRDefault="006739BE" w:rsidP="004D4288">
            <w:pPr>
              <w:spacing w:after="0"/>
            </w:pPr>
            <w:r w:rsidRPr="00E265A8">
              <w:t xml:space="preserve">Evidence of endorsement, </w:t>
            </w:r>
            <w:proofErr w:type="gramStart"/>
            <w:r w:rsidRPr="00E265A8">
              <w:t>accreditation</w:t>
            </w:r>
            <w:proofErr w:type="gramEnd"/>
            <w:r w:rsidRPr="00E265A8">
              <w:t xml:space="preserve"> or recommendation by NICE, NHS England, a relevant professional body or recognised UK patient organisation or</w:t>
            </w:r>
          </w:p>
        </w:tc>
        <w:tc>
          <w:tcPr>
            <w:tcW w:w="1196" w:type="pct"/>
          </w:tcPr>
          <w:p w14:paraId="6FEBF06B" w14:textId="77777777" w:rsidR="006739BE" w:rsidRPr="009D6431" w:rsidRDefault="006739BE" w:rsidP="004D4288">
            <w:pPr>
              <w:pStyle w:val="NoSpacing"/>
              <w:rPr>
                <w:rFonts w:ascii="Arial" w:hAnsi="Arial" w:cs="Arial"/>
              </w:rPr>
            </w:pPr>
            <w:r w:rsidRPr="009D6431">
              <w:rPr>
                <w:rFonts w:ascii="Arial" w:hAnsi="Arial" w:cs="Arial"/>
              </w:rPr>
              <w:t>No</w:t>
            </w:r>
          </w:p>
          <w:p w14:paraId="4973321B" w14:textId="1C520729" w:rsidR="006739BE" w:rsidRPr="009D6431" w:rsidRDefault="006739BE" w:rsidP="004D4288">
            <w:pPr>
              <w:pStyle w:val="NoSpacing"/>
              <w:rPr>
                <w:rFonts w:ascii="Arial" w:hAnsi="Arial" w:cs="Arial"/>
              </w:rPr>
            </w:pPr>
            <w:r>
              <w:rPr>
                <w:rFonts w:ascii="Arial" w:hAnsi="Arial" w:cs="Arial"/>
              </w:rPr>
              <w:t>Endorsement is not a requirement</w:t>
            </w:r>
          </w:p>
        </w:tc>
        <w:tc>
          <w:tcPr>
            <w:tcW w:w="1568" w:type="pct"/>
          </w:tcPr>
          <w:p w14:paraId="7111776F" w14:textId="77777777" w:rsidR="006739BE" w:rsidRPr="00E265A8" w:rsidRDefault="006739BE" w:rsidP="004D4288">
            <w:pPr>
              <w:spacing w:after="0" w:line="276" w:lineRule="auto"/>
              <w:rPr>
                <w:color w:val="auto"/>
              </w:rPr>
            </w:pPr>
            <w:r>
              <w:t>Validation and verification reports</w:t>
            </w:r>
          </w:p>
          <w:p w14:paraId="770DABB3" w14:textId="1B965397" w:rsidR="006739BE" w:rsidRDefault="006739BE" w:rsidP="004D4288">
            <w:pPr>
              <w:spacing w:after="0" w:line="276" w:lineRule="auto"/>
            </w:pPr>
            <w:r>
              <w:rPr>
                <w:color w:val="auto"/>
              </w:rPr>
              <w:t>Annex II (6)</w:t>
            </w:r>
          </w:p>
        </w:tc>
      </w:tr>
      <w:tr w:rsidR="006739BE" w14:paraId="649C413D" w14:textId="77777777" w:rsidTr="00506CF3">
        <w:tc>
          <w:tcPr>
            <w:tcW w:w="754" w:type="pct"/>
          </w:tcPr>
          <w:p w14:paraId="0566EF61" w14:textId="303AED12" w:rsidR="006739BE" w:rsidRPr="00E265A8" w:rsidRDefault="006739BE" w:rsidP="004D4288">
            <w:pPr>
              <w:spacing w:after="0" w:line="276" w:lineRule="auto"/>
              <w:rPr>
                <w:color w:val="auto"/>
              </w:rPr>
            </w:pPr>
            <w:r>
              <w:rPr>
                <w:color w:val="auto"/>
              </w:rPr>
              <w:t>Reliable information content</w:t>
            </w:r>
          </w:p>
        </w:tc>
        <w:tc>
          <w:tcPr>
            <w:tcW w:w="1482" w:type="pct"/>
          </w:tcPr>
          <w:p w14:paraId="58F9FFE7" w14:textId="30B022C2" w:rsidR="006739BE" w:rsidRDefault="006739BE" w:rsidP="004D4288">
            <w:pPr>
              <w:spacing w:after="0"/>
            </w:pPr>
            <w:r w:rsidRPr="00E265A8">
              <w:rPr>
                <w:color w:val="auto"/>
              </w:rPr>
              <w:t xml:space="preserve">Evidence that the information content has been validated though an independent accreditation such as The Information Standard or </w:t>
            </w:r>
            <w:proofErr w:type="spellStart"/>
            <w:r w:rsidRPr="00E265A8">
              <w:rPr>
                <w:color w:val="auto"/>
              </w:rPr>
              <w:t>HONcode</w:t>
            </w:r>
            <w:proofErr w:type="spellEnd"/>
            <w:r w:rsidRPr="00E265A8">
              <w:rPr>
                <w:color w:val="auto"/>
              </w:rPr>
              <w:t xml:space="preserve"> certification</w:t>
            </w:r>
          </w:p>
        </w:tc>
        <w:tc>
          <w:tcPr>
            <w:tcW w:w="1196" w:type="pct"/>
          </w:tcPr>
          <w:p w14:paraId="09DB2C72" w14:textId="11E97DE6" w:rsidR="006739BE" w:rsidRPr="00E265A8" w:rsidRDefault="006739BE" w:rsidP="004D4288">
            <w:pPr>
              <w:spacing w:after="0" w:line="276" w:lineRule="auto"/>
              <w:rPr>
                <w:color w:val="auto"/>
              </w:rPr>
            </w:pPr>
            <w:r>
              <w:t>Not explicitly, but likely to feed into device validation and clinical evaluation</w:t>
            </w:r>
          </w:p>
        </w:tc>
        <w:tc>
          <w:tcPr>
            <w:tcW w:w="1568" w:type="pct"/>
          </w:tcPr>
          <w:p w14:paraId="46F0CA41" w14:textId="77777777" w:rsidR="006739BE" w:rsidRPr="00E265A8" w:rsidRDefault="006739BE" w:rsidP="004D4288">
            <w:pPr>
              <w:spacing w:after="0" w:line="276" w:lineRule="auto"/>
              <w:rPr>
                <w:color w:val="auto"/>
              </w:rPr>
            </w:pPr>
            <w:r>
              <w:t>Validation and verification reports</w:t>
            </w:r>
          </w:p>
          <w:p w14:paraId="3F456764" w14:textId="1BB697F8" w:rsidR="006739BE" w:rsidRDefault="006739BE" w:rsidP="004D4288">
            <w:pPr>
              <w:spacing w:after="0" w:line="276" w:lineRule="auto"/>
            </w:pPr>
            <w:r>
              <w:rPr>
                <w:color w:val="auto"/>
              </w:rPr>
              <w:t>Annex II (6)</w:t>
            </w:r>
          </w:p>
        </w:tc>
      </w:tr>
      <w:tr w:rsidR="004B204E" w:rsidRPr="009E2513" w14:paraId="0EF206DA" w14:textId="77777777" w:rsidTr="009F647B">
        <w:trPr>
          <w:trHeight w:val="2041"/>
        </w:trPr>
        <w:tc>
          <w:tcPr>
            <w:tcW w:w="754" w:type="pct"/>
          </w:tcPr>
          <w:p w14:paraId="597FC02A" w14:textId="77777777" w:rsidR="004B204E" w:rsidRPr="00E265A8" w:rsidRDefault="004B204E" w:rsidP="004D4288">
            <w:pPr>
              <w:spacing w:after="0" w:line="276" w:lineRule="auto"/>
              <w:rPr>
                <w:color w:val="auto"/>
              </w:rPr>
            </w:pPr>
            <w:r w:rsidRPr="00E265A8">
              <w:rPr>
                <w:color w:val="auto"/>
              </w:rPr>
              <w:t>Ongoing data coll</w:t>
            </w:r>
            <w:r>
              <w:rPr>
                <w:color w:val="auto"/>
              </w:rPr>
              <w:t>ection to show usage of the DHT</w:t>
            </w:r>
            <w:r w:rsidRPr="00E265A8">
              <w:rPr>
                <w:color w:val="auto"/>
              </w:rPr>
              <w:t> </w:t>
            </w:r>
          </w:p>
        </w:tc>
        <w:tc>
          <w:tcPr>
            <w:tcW w:w="1482" w:type="pct"/>
          </w:tcPr>
          <w:p w14:paraId="14FBE087" w14:textId="70324C3B" w:rsidR="004B204E" w:rsidRDefault="004B204E" w:rsidP="004D4288">
            <w:pPr>
              <w:spacing w:after="0"/>
            </w:pPr>
            <w:r w:rsidRPr="0070689B">
              <w:t>Evidence that data on usage is being collected in line with the minimum standards and can be made available to relevant decision-makers</w:t>
            </w:r>
          </w:p>
        </w:tc>
        <w:tc>
          <w:tcPr>
            <w:tcW w:w="1196" w:type="pct"/>
          </w:tcPr>
          <w:p w14:paraId="5DBAAB3E" w14:textId="77777777" w:rsidR="004B204E" w:rsidRDefault="004B204E" w:rsidP="004D4288">
            <w:pPr>
              <w:spacing w:after="0"/>
            </w:pPr>
            <w:r>
              <w:t>Yes</w:t>
            </w:r>
          </w:p>
          <w:p w14:paraId="6B9EA72C" w14:textId="65913710" w:rsidR="004B204E" w:rsidRPr="00E265A8" w:rsidRDefault="004B204E" w:rsidP="004D4288">
            <w:pPr>
              <w:spacing w:after="0"/>
            </w:pPr>
            <w:r>
              <w:t xml:space="preserve">While it is a requirement for ongoing data collection, it is not a requirement to report this to </w:t>
            </w:r>
            <w:r w:rsidRPr="0070689B">
              <w:t xml:space="preserve">relevant </w:t>
            </w:r>
            <w:r>
              <w:t>commissioners, but will be reviewed by notified bodies as part of compliance</w:t>
            </w:r>
          </w:p>
        </w:tc>
        <w:tc>
          <w:tcPr>
            <w:tcW w:w="1568" w:type="pct"/>
          </w:tcPr>
          <w:p w14:paraId="0A9CF346" w14:textId="77777777" w:rsidR="004B204E" w:rsidRDefault="004B204E" w:rsidP="004D4288">
            <w:pPr>
              <w:spacing w:after="0"/>
            </w:pPr>
            <w:r w:rsidRPr="009E2513">
              <w:t xml:space="preserve">Post-market surveillance </w:t>
            </w:r>
            <w:r>
              <w:t>reports</w:t>
            </w:r>
          </w:p>
          <w:p w14:paraId="167057BB" w14:textId="77777777" w:rsidR="004B204E" w:rsidRDefault="004B204E" w:rsidP="004D4288">
            <w:pPr>
              <w:spacing w:after="0"/>
            </w:pPr>
            <w:r>
              <w:t>Article 85</w:t>
            </w:r>
          </w:p>
          <w:p w14:paraId="6EE25827" w14:textId="77777777" w:rsidR="004B204E" w:rsidRDefault="004B204E" w:rsidP="004D4288">
            <w:pPr>
              <w:spacing w:after="0"/>
            </w:pPr>
            <w:r>
              <w:t>Annex III</w:t>
            </w:r>
          </w:p>
          <w:p w14:paraId="2650F392" w14:textId="026EE5C0" w:rsidR="004B204E" w:rsidRDefault="004B204E" w:rsidP="004D4288">
            <w:pPr>
              <w:spacing w:after="0"/>
            </w:pPr>
            <w:r>
              <w:t>Annex XIV (B)</w:t>
            </w:r>
          </w:p>
          <w:p w14:paraId="73709F22" w14:textId="77777777" w:rsidR="004B204E" w:rsidRPr="009E2513" w:rsidRDefault="004B204E" w:rsidP="004D4288">
            <w:pPr>
              <w:spacing w:after="0"/>
            </w:pPr>
          </w:p>
          <w:p w14:paraId="422D6B21" w14:textId="77777777" w:rsidR="004B204E" w:rsidRPr="009E2513" w:rsidRDefault="004B204E" w:rsidP="004D4288">
            <w:pPr>
              <w:spacing w:after="0"/>
            </w:pPr>
            <w:r>
              <w:t>Periodic safety update report</w:t>
            </w:r>
          </w:p>
          <w:p w14:paraId="6373B700" w14:textId="77777777" w:rsidR="004B204E" w:rsidRDefault="004B204E" w:rsidP="004D4288">
            <w:pPr>
              <w:spacing w:after="0"/>
            </w:pPr>
            <w:r>
              <w:t>Article 86</w:t>
            </w:r>
          </w:p>
          <w:p w14:paraId="7C5CCB59" w14:textId="694073A2" w:rsidR="004B204E" w:rsidRPr="009E2513" w:rsidRDefault="004B204E" w:rsidP="004D4288">
            <w:pPr>
              <w:spacing w:after="0"/>
            </w:pPr>
            <w:r>
              <w:t>Annex III</w:t>
            </w:r>
          </w:p>
        </w:tc>
      </w:tr>
      <w:tr w:rsidR="004B204E" w:rsidRPr="009E2513" w14:paraId="54B46A55" w14:textId="77777777" w:rsidTr="009F647B">
        <w:trPr>
          <w:trHeight w:val="2041"/>
        </w:trPr>
        <w:tc>
          <w:tcPr>
            <w:tcW w:w="754" w:type="pct"/>
          </w:tcPr>
          <w:p w14:paraId="4D1993D6" w14:textId="77777777" w:rsidR="004B204E" w:rsidRPr="00E265A8" w:rsidRDefault="004B204E" w:rsidP="004D4288">
            <w:pPr>
              <w:spacing w:after="0" w:line="276" w:lineRule="auto"/>
              <w:rPr>
                <w:color w:val="auto"/>
              </w:rPr>
            </w:pPr>
            <w:r w:rsidRPr="007E736D">
              <w:t>Ongoing data collection to show value of the DHT</w:t>
            </w:r>
          </w:p>
        </w:tc>
        <w:tc>
          <w:tcPr>
            <w:tcW w:w="1482" w:type="pct"/>
          </w:tcPr>
          <w:p w14:paraId="694959B2" w14:textId="54A378E1" w:rsidR="004B204E" w:rsidRDefault="004B204E" w:rsidP="004D4288">
            <w:pPr>
              <w:spacing w:after="0"/>
            </w:pPr>
            <w:r w:rsidRPr="0070689B">
              <w:t>Evidence that data on outcomes or user satisfaction is being collected in line with the minimum standard and can be made available to relevant decision-makers</w:t>
            </w:r>
          </w:p>
        </w:tc>
        <w:tc>
          <w:tcPr>
            <w:tcW w:w="1196" w:type="pct"/>
          </w:tcPr>
          <w:p w14:paraId="64C57960" w14:textId="77777777" w:rsidR="004B204E" w:rsidRDefault="004B204E" w:rsidP="004D4288">
            <w:pPr>
              <w:spacing w:after="0"/>
            </w:pPr>
            <w:r>
              <w:t>Yes</w:t>
            </w:r>
          </w:p>
          <w:p w14:paraId="14AAB07A" w14:textId="33F60452" w:rsidR="004B204E" w:rsidRPr="00B0749E" w:rsidRDefault="004B204E" w:rsidP="004D4288">
            <w:pPr>
              <w:spacing w:after="0"/>
            </w:pPr>
            <w:r>
              <w:t xml:space="preserve">While it is a requirement for ongoing data collection, it is not a requirement to report this to </w:t>
            </w:r>
            <w:r w:rsidRPr="0070689B">
              <w:t xml:space="preserve">relevant </w:t>
            </w:r>
            <w:r>
              <w:t>commissioners, but will be reviewed by notified bodies as part of compliance</w:t>
            </w:r>
          </w:p>
        </w:tc>
        <w:tc>
          <w:tcPr>
            <w:tcW w:w="1568" w:type="pct"/>
          </w:tcPr>
          <w:p w14:paraId="00D35E18" w14:textId="77777777" w:rsidR="004B204E" w:rsidRDefault="004B204E" w:rsidP="004D4288">
            <w:pPr>
              <w:spacing w:after="0"/>
            </w:pPr>
            <w:r w:rsidRPr="009E2513">
              <w:t xml:space="preserve">Post-market surveillance </w:t>
            </w:r>
            <w:r>
              <w:t>reports</w:t>
            </w:r>
          </w:p>
          <w:p w14:paraId="031BA936" w14:textId="77777777" w:rsidR="004B204E" w:rsidRDefault="004B204E" w:rsidP="004D4288">
            <w:pPr>
              <w:spacing w:after="0"/>
            </w:pPr>
            <w:r>
              <w:t>Article 85</w:t>
            </w:r>
          </w:p>
          <w:p w14:paraId="57373736" w14:textId="77777777" w:rsidR="004B204E" w:rsidRDefault="004B204E" w:rsidP="004D4288">
            <w:pPr>
              <w:spacing w:after="0"/>
            </w:pPr>
            <w:r>
              <w:t>Annex III</w:t>
            </w:r>
          </w:p>
          <w:p w14:paraId="6D701B47" w14:textId="52850D74" w:rsidR="004B204E" w:rsidRDefault="004B204E" w:rsidP="004D4288">
            <w:pPr>
              <w:spacing w:after="0"/>
            </w:pPr>
            <w:r>
              <w:t>Annex XIV (B)</w:t>
            </w:r>
          </w:p>
          <w:p w14:paraId="5561F714" w14:textId="77777777" w:rsidR="004B204E" w:rsidRPr="009E2513" w:rsidRDefault="004B204E" w:rsidP="004D4288">
            <w:pPr>
              <w:spacing w:after="0"/>
            </w:pPr>
          </w:p>
          <w:p w14:paraId="47CD7664" w14:textId="77777777" w:rsidR="004B204E" w:rsidRPr="009E2513" w:rsidRDefault="004B204E" w:rsidP="004D4288">
            <w:pPr>
              <w:spacing w:after="0"/>
            </w:pPr>
            <w:r>
              <w:t>Periodic safety update report</w:t>
            </w:r>
          </w:p>
          <w:p w14:paraId="3043B299" w14:textId="77777777" w:rsidR="004B204E" w:rsidRDefault="004B204E" w:rsidP="004D4288">
            <w:pPr>
              <w:spacing w:after="0"/>
            </w:pPr>
            <w:r>
              <w:t>Article 86</w:t>
            </w:r>
          </w:p>
          <w:p w14:paraId="7C4DEE1B" w14:textId="30275579" w:rsidR="004B204E" w:rsidRPr="009E2513" w:rsidRDefault="004B204E" w:rsidP="004D4288">
            <w:pPr>
              <w:spacing w:after="0"/>
            </w:pPr>
            <w:r>
              <w:t>Annex III</w:t>
            </w:r>
          </w:p>
        </w:tc>
      </w:tr>
      <w:tr w:rsidR="004B204E" w14:paraId="63487F8E" w14:textId="77777777" w:rsidTr="00506CF3">
        <w:trPr>
          <w:trHeight w:val="1020"/>
        </w:trPr>
        <w:tc>
          <w:tcPr>
            <w:tcW w:w="754" w:type="pct"/>
          </w:tcPr>
          <w:p w14:paraId="49B2151F" w14:textId="77777777" w:rsidR="004B204E" w:rsidRPr="00E265A8" w:rsidRDefault="004B204E" w:rsidP="004D4288">
            <w:pPr>
              <w:spacing w:after="0"/>
              <w:rPr>
                <w:color w:val="auto"/>
              </w:rPr>
            </w:pPr>
            <w:r w:rsidRPr="00E265A8">
              <w:rPr>
                <w:color w:val="auto"/>
              </w:rPr>
              <w:t>Credibility with UK health</w:t>
            </w:r>
            <w:r>
              <w:rPr>
                <w:color w:val="auto"/>
              </w:rPr>
              <w:t xml:space="preserve"> and social care professionals</w:t>
            </w:r>
          </w:p>
        </w:tc>
        <w:tc>
          <w:tcPr>
            <w:tcW w:w="1482" w:type="pct"/>
          </w:tcPr>
          <w:p w14:paraId="4FE117B5" w14:textId="1E613CE9" w:rsidR="004B204E" w:rsidRPr="00E265A8" w:rsidRDefault="004B204E" w:rsidP="004D4288">
            <w:pPr>
              <w:spacing w:after="0"/>
              <w:rPr>
                <w:color w:val="auto"/>
              </w:rPr>
            </w:pPr>
            <w:r w:rsidRPr="00325B95">
              <w:rPr>
                <w:color w:val="auto"/>
              </w:rPr>
              <w:t>Show that the DHT has a plausible mode of action that is viewed as useful and relevant by professional experts or expert groups in the relevant field</w:t>
            </w:r>
          </w:p>
        </w:tc>
        <w:tc>
          <w:tcPr>
            <w:tcW w:w="1196" w:type="pct"/>
          </w:tcPr>
          <w:p w14:paraId="0957659B" w14:textId="77777777" w:rsidR="004B204E" w:rsidRDefault="004B204E" w:rsidP="004D4288">
            <w:pPr>
              <w:spacing w:after="0"/>
            </w:pPr>
            <w:r w:rsidRPr="00325B95">
              <w:t>Not explicitly, but likely to feed into establishing and validating user requirements</w:t>
            </w:r>
          </w:p>
        </w:tc>
        <w:tc>
          <w:tcPr>
            <w:tcW w:w="1568" w:type="pct"/>
          </w:tcPr>
          <w:p w14:paraId="4E552A8B" w14:textId="77777777" w:rsidR="004B204E" w:rsidRDefault="004B204E" w:rsidP="004D4288">
            <w:pPr>
              <w:spacing w:after="0"/>
            </w:pPr>
            <w:r>
              <w:t xml:space="preserve">Instructions </w:t>
            </w:r>
            <w:r w:rsidRPr="00D27FCC">
              <w:t>for</w:t>
            </w:r>
            <w:r>
              <w:t xml:space="preserve"> use</w:t>
            </w:r>
          </w:p>
          <w:p w14:paraId="47777F23" w14:textId="070116DF" w:rsidR="004B204E" w:rsidRDefault="004B204E" w:rsidP="004D4288">
            <w:pPr>
              <w:spacing w:after="0"/>
              <w:rPr>
                <w:color w:val="auto"/>
              </w:rPr>
            </w:pPr>
            <w:r>
              <w:rPr>
                <w:color w:val="auto"/>
              </w:rPr>
              <w:t>Annex I (Chapter III)</w:t>
            </w:r>
          </w:p>
          <w:p w14:paraId="4FD70BB4" w14:textId="77777777" w:rsidR="004B204E" w:rsidRDefault="004B204E" w:rsidP="004D4288">
            <w:pPr>
              <w:spacing w:after="0"/>
              <w:rPr>
                <w:color w:val="auto"/>
              </w:rPr>
            </w:pPr>
          </w:p>
          <w:p w14:paraId="344E059E" w14:textId="77777777" w:rsidR="004B204E" w:rsidRDefault="004B204E" w:rsidP="004D4288">
            <w:pPr>
              <w:spacing w:after="0"/>
            </w:pPr>
            <w:r>
              <w:t xml:space="preserve">Validation and </w:t>
            </w:r>
            <w:r w:rsidRPr="009D6431">
              <w:rPr>
                <w:color w:val="auto"/>
              </w:rPr>
              <w:t>verification reports</w:t>
            </w:r>
            <w:r>
              <w:rPr>
                <w:color w:val="auto"/>
              </w:rPr>
              <w:t xml:space="preserve"> </w:t>
            </w:r>
          </w:p>
          <w:p w14:paraId="04EBC09A" w14:textId="303A4030" w:rsidR="004B204E" w:rsidRDefault="004B204E" w:rsidP="004D4288">
            <w:pPr>
              <w:spacing w:after="0"/>
              <w:rPr>
                <w:color w:val="auto"/>
              </w:rPr>
            </w:pPr>
            <w:r>
              <w:rPr>
                <w:color w:val="auto"/>
              </w:rPr>
              <w:t>Annex II (6)</w:t>
            </w:r>
          </w:p>
        </w:tc>
      </w:tr>
      <w:tr w:rsidR="004B204E" w14:paraId="45020065" w14:textId="77777777" w:rsidTr="009F647B">
        <w:trPr>
          <w:trHeight w:val="2778"/>
        </w:trPr>
        <w:tc>
          <w:tcPr>
            <w:tcW w:w="754" w:type="pct"/>
          </w:tcPr>
          <w:p w14:paraId="4BC6D9CC" w14:textId="327C1B44" w:rsidR="004B204E" w:rsidRPr="00E265A8" w:rsidRDefault="004B204E" w:rsidP="004D4288">
            <w:pPr>
              <w:spacing w:after="0"/>
              <w:rPr>
                <w:color w:val="auto"/>
              </w:rPr>
            </w:pPr>
            <w:r w:rsidRPr="00E265A8">
              <w:rPr>
                <w:color w:val="auto"/>
              </w:rPr>
              <w:lastRenderedPageBreak/>
              <w:t>Credibility with UK health</w:t>
            </w:r>
            <w:r>
              <w:rPr>
                <w:color w:val="auto"/>
              </w:rPr>
              <w:t xml:space="preserve"> and social care professionals</w:t>
            </w:r>
          </w:p>
        </w:tc>
        <w:tc>
          <w:tcPr>
            <w:tcW w:w="1482" w:type="pct"/>
          </w:tcPr>
          <w:p w14:paraId="65DA80A6" w14:textId="78332DDD" w:rsidR="004B204E" w:rsidRDefault="004B204E" w:rsidP="004D4288">
            <w:pPr>
              <w:spacing w:after="0"/>
              <w:rPr>
                <w:color w:val="auto"/>
              </w:rPr>
            </w:pPr>
            <w:r w:rsidRPr="00E265A8">
              <w:rPr>
                <w:color w:val="auto"/>
              </w:rPr>
              <w:t xml:space="preserve">Published or </w:t>
            </w:r>
            <w:r>
              <w:rPr>
                <w:color w:val="auto"/>
              </w:rPr>
              <w:t>publicly</w:t>
            </w:r>
            <w:r w:rsidRPr="00E265A8">
              <w:rPr>
                <w:color w:val="auto"/>
              </w:rPr>
              <w:t xml:space="preserve"> available evidence documenting the role of relevant UK health or social care experts in the design, development, testing or sign-off of the DHT</w:t>
            </w:r>
          </w:p>
          <w:p w14:paraId="13D95DDE" w14:textId="77777777" w:rsidR="004B204E" w:rsidRDefault="004B204E" w:rsidP="004D4288">
            <w:pPr>
              <w:spacing w:after="0"/>
            </w:pPr>
          </w:p>
          <w:p w14:paraId="269E539B" w14:textId="258550A0" w:rsidR="004B204E" w:rsidRDefault="004B204E" w:rsidP="004D4288">
            <w:pPr>
              <w:spacing w:after="0"/>
            </w:pPr>
            <w:r w:rsidRPr="00D77B9C">
              <w:rPr>
                <w:color w:val="auto"/>
              </w:rPr>
              <w:t>Published or publicly available evidence documenting the role of relevant UK health or social care experts in signing-off the DHT, indicating their informed approval of the DHT</w:t>
            </w:r>
          </w:p>
        </w:tc>
        <w:tc>
          <w:tcPr>
            <w:tcW w:w="1196" w:type="pct"/>
          </w:tcPr>
          <w:p w14:paraId="22FA3BC0" w14:textId="77777777" w:rsidR="004B204E" w:rsidRDefault="004B204E" w:rsidP="004D4288">
            <w:pPr>
              <w:spacing w:after="0"/>
            </w:pPr>
            <w:r>
              <w:t>No</w:t>
            </w:r>
          </w:p>
          <w:p w14:paraId="74D2F170" w14:textId="77777777" w:rsidR="004B204E" w:rsidRDefault="004B204E" w:rsidP="004D4288">
            <w:pPr>
              <w:spacing w:after="0"/>
            </w:pPr>
            <w:r w:rsidRPr="00D77B9C">
              <w:t xml:space="preserve">Although there are no explicit requirements for health and social professional involvement (UK or otherwise), heath or social care professionals are likely to feed into establishing and validating user </w:t>
            </w:r>
            <w:proofErr w:type="gramStart"/>
            <w:r w:rsidRPr="00D77B9C">
              <w:t>requirements</w:t>
            </w:r>
            <w:proofErr w:type="gramEnd"/>
          </w:p>
          <w:p w14:paraId="5B855AD5" w14:textId="77777777" w:rsidR="004B204E" w:rsidRPr="00E265A8" w:rsidRDefault="004B204E" w:rsidP="004D4288">
            <w:pPr>
              <w:spacing w:after="0"/>
              <w:rPr>
                <w:color w:val="auto"/>
              </w:rPr>
            </w:pPr>
            <w:r>
              <w:t>It is not a requirement for this information to be</w:t>
            </w:r>
            <w:r w:rsidRPr="002F1FF4">
              <w:t xml:space="preserve"> </w:t>
            </w:r>
            <w:r>
              <w:t>p</w:t>
            </w:r>
            <w:r w:rsidRPr="00EE75B9">
              <w:t xml:space="preserve">ublished or </w:t>
            </w:r>
            <w:r>
              <w:t>publicly</w:t>
            </w:r>
            <w:r w:rsidRPr="00EE75B9">
              <w:t xml:space="preserve"> available</w:t>
            </w:r>
          </w:p>
        </w:tc>
        <w:tc>
          <w:tcPr>
            <w:tcW w:w="1568" w:type="pct"/>
          </w:tcPr>
          <w:p w14:paraId="39D8D12D" w14:textId="77777777" w:rsidR="004B204E" w:rsidRDefault="004B204E" w:rsidP="004D4288">
            <w:pPr>
              <w:spacing w:after="0"/>
            </w:pPr>
            <w:r>
              <w:t>Validation and verification reports</w:t>
            </w:r>
          </w:p>
          <w:p w14:paraId="6051B6A5" w14:textId="2AD6ECF6" w:rsidR="004B204E" w:rsidRDefault="004B204E" w:rsidP="004D4288">
            <w:pPr>
              <w:spacing w:after="0"/>
              <w:rPr>
                <w:color w:val="auto"/>
              </w:rPr>
            </w:pPr>
            <w:r>
              <w:rPr>
                <w:color w:val="auto"/>
              </w:rPr>
              <w:t>Annex II (6)</w:t>
            </w:r>
          </w:p>
          <w:p w14:paraId="124D657F" w14:textId="77777777" w:rsidR="004B204E" w:rsidRDefault="004B204E" w:rsidP="004D4288">
            <w:pPr>
              <w:spacing w:after="0"/>
            </w:pPr>
          </w:p>
          <w:p w14:paraId="4DDD8124" w14:textId="77777777" w:rsidR="004B204E" w:rsidRDefault="004B204E" w:rsidP="004D4288">
            <w:pPr>
              <w:spacing w:after="0"/>
            </w:pPr>
            <w:r>
              <w:t>Clinical investigation/evaluation reports</w:t>
            </w:r>
          </w:p>
          <w:p w14:paraId="45B01B18" w14:textId="77777777" w:rsidR="004B204E" w:rsidRDefault="004B204E" w:rsidP="004D4288">
            <w:pPr>
              <w:spacing w:after="0"/>
            </w:pPr>
            <w:r>
              <w:t xml:space="preserve">Annex </w:t>
            </w:r>
            <w:r w:rsidRPr="008B3A88">
              <w:t>XIV</w:t>
            </w:r>
            <w:r>
              <w:t xml:space="preserve"> (A)</w:t>
            </w:r>
          </w:p>
          <w:p w14:paraId="0DC12054" w14:textId="100C3978" w:rsidR="004B204E" w:rsidRDefault="004B204E" w:rsidP="004D4288">
            <w:pPr>
              <w:spacing w:after="0"/>
            </w:pPr>
            <w:r>
              <w:t xml:space="preserve">Annex XV </w:t>
            </w:r>
          </w:p>
        </w:tc>
      </w:tr>
      <w:tr w:rsidR="004E2624" w14:paraId="11F2D6C0" w14:textId="77777777" w:rsidTr="00506CF3">
        <w:trPr>
          <w:trHeight w:val="2772"/>
        </w:trPr>
        <w:tc>
          <w:tcPr>
            <w:tcW w:w="754" w:type="pct"/>
          </w:tcPr>
          <w:p w14:paraId="4FDAEE94" w14:textId="77777777" w:rsidR="004E2624" w:rsidRPr="00E265A8" w:rsidRDefault="004E2624" w:rsidP="004D4288">
            <w:pPr>
              <w:spacing w:after="0"/>
              <w:rPr>
                <w:color w:val="auto"/>
              </w:rPr>
            </w:pPr>
            <w:r w:rsidRPr="00E265A8">
              <w:rPr>
                <w:color w:val="auto"/>
              </w:rPr>
              <w:t>Relevance to current care pathways in the U</w:t>
            </w:r>
            <w:r>
              <w:rPr>
                <w:color w:val="auto"/>
              </w:rPr>
              <w:t>K health and social care system</w:t>
            </w:r>
          </w:p>
        </w:tc>
        <w:tc>
          <w:tcPr>
            <w:tcW w:w="1482" w:type="pct"/>
          </w:tcPr>
          <w:p w14:paraId="1CFF8FE4" w14:textId="7E22291C" w:rsidR="004E2624" w:rsidRDefault="004E2624" w:rsidP="004D4288">
            <w:pPr>
              <w:spacing w:after="0"/>
            </w:pPr>
            <w:r w:rsidRPr="00E265A8">
              <w:rPr>
                <w:color w:val="auto"/>
              </w:rPr>
              <w:t>Evidence to show successful implementation of the DHT in the UK health and social care system</w:t>
            </w:r>
          </w:p>
        </w:tc>
        <w:tc>
          <w:tcPr>
            <w:tcW w:w="1196" w:type="pct"/>
          </w:tcPr>
          <w:p w14:paraId="133FD56E" w14:textId="77777777" w:rsidR="004E2624" w:rsidRPr="005C1A8D" w:rsidRDefault="004E2624" w:rsidP="004D4288">
            <w:pPr>
              <w:spacing w:after="0"/>
            </w:pPr>
            <w:r>
              <w:t xml:space="preserve">No explicit requirement for </w:t>
            </w:r>
            <w:r w:rsidRPr="00191F5B">
              <w:t>successful implementation in the health and social care system</w:t>
            </w:r>
            <w:r>
              <w:t xml:space="preserve"> (UK or otherwise), but likely to be covered by validation, clinical evaluation, clinical investigation if applicable, and post-market surveillance</w:t>
            </w:r>
          </w:p>
        </w:tc>
        <w:tc>
          <w:tcPr>
            <w:tcW w:w="1568" w:type="pct"/>
          </w:tcPr>
          <w:p w14:paraId="65ADFF67" w14:textId="77777777" w:rsidR="004E2624" w:rsidRDefault="004E2624" w:rsidP="004D4288">
            <w:pPr>
              <w:spacing w:after="0"/>
            </w:pPr>
            <w:r>
              <w:t>Validation and verification reports</w:t>
            </w:r>
          </w:p>
          <w:p w14:paraId="1F8FAB5E" w14:textId="30512538" w:rsidR="004E2624" w:rsidRDefault="004E2624" w:rsidP="004D4288">
            <w:pPr>
              <w:spacing w:after="0"/>
              <w:rPr>
                <w:color w:val="auto"/>
              </w:rPr>
            </w:pPr>
            <w:r>
              <w:rPr>
                <w:color w:val="auto"/>
              </w:rPr>
              <w:t>Annex II (6)</w:t>
            </w:r>
          </w:p>
          <w:p w14:paraId="340D9688" w14:textId="77777777" w:rsidR="004E2624" w:rsidRDefault="004E2624" w:rsidP="004D4288">
            <w:pPr>
              <w:spacing w:after="0"/>
            </w:pPr>
          </w:p>
          <w:p w14:paraId="5F2BEC7B" w14:textId="77777777" w:rsidR="004E2624" w:rsidRDefault="004E2624" w:rsidP="004D4288">
            <w:pPr>
              <w:spacing w:after="0"/>
            </w:pPr>
            <w:r>
              <w:t>Clinical investigation/evaluation reports</w:t>
            </w:r>
          </w:p>
          <w:p w14:paraId="331C1143" w14:textId="77777777" w:rsidR="004E2624" w:rsidRDefault="004E2624" w:rsidP="004D4288">
            <w:pPr>
              <w:spacing w:after="0"/>
            </w:pPr>
            <w:r>
              <w:t xml:space="preserve">Annex </w:t>
            </w:r>
            <w:r w:rsidRPr="008B3A88">
              <w:t>XIV</w:t>
            </w:r>
            <w:r>
              <w:t xml:space="preserve"> (A)</w:t>
            </w:r>
          </w:p>
          <w:p w14:paraId="56CF045D" w14:textId="0854BA4C" w:rsidR="004E2624" w:rsidRDefault="004E2624" w:rsidP="004D4288">
            <w:pPr>
              <w:spacing w:after="0"/>
            </w:pPr>
            <w:r>
              <w:t xml:space="preserve">Annex XV </w:t>
            </w:r>
          </w:p>
          <w:p w14:paraId="357BB5C0" w14:textId="77777777" w:rsidR="004E2624" w:rsidRDefault="004E2624" w:rsidP="004D4288">
            <w:pPr>
              <w:spacing w:after="0"/>
            </w:pPr>
          </w:p>
          <w:p w14:paraId="5EE7597F" w14:textId="77777777" w:rsidR="004E2624" w:rsidRDefault="004E2624" w:rsidP="004D4288">
            <w:pPr>
              <w:spacing w:after="0"/>
            </w:pPr>
            <w:r w:rsidRPr="007877A7">
              <w:rPr>
                <w:color w:val="auto"/>
              </w:rPr>
              <w:t>Post-market surveillance</w:t>
            </w:r>
            <w:r>
              <w:rPr>
                <w:color w:val="auto"/>
              </w:rPr>
              <w:t xml:space="preserve"> reports</w:t>
            </w:r>
          </w:p>
          <w:p w14:paraId="6C6144AF" w14:textId="77777777" w:rsidR="004E2624" w:rsidRDefault="004E2624" w:rsidP="004D4288">
            <w:pPr>
              <w:spacing w:after="0"/>
            </w:pPr>
            <w:r>
              <w:t>Article 85</w:t>
            </w:r>
          </w:p>
          <w:p w14:paraId="6A94EED3" w14:textId="77777777" w:rsidR="004E2624" w:rsidRDefault="004E2624" w:rsidP="004D4288">
            <w:pPr>
              <w:spacing w:after="0"/>
            </w:pPr>
            <w:r>
              <w:t>Annex III</w:t>
            </w:r>
          </w:p>
          <w:p w14:paraId="72A07D46" w14:textId="6E9AFB3A" w:rsidR="004E2624" w:rsidRDefault="004E2624" w:rsidP="004D4288">
            <w:pPr>
              <w:spacing w:after="0"/>
            </w:pPr>
            <w:r>
              <w:t>Annex XIV (B)</w:t>
            </w:r>
          </w:p>
        </w:tc>
      </w:tr>
      <w:tr w:rsidR="004E2624" w14:paraId="4058F4D3" w14:textId="77777777" w:rsidTr="00506CF3">
        <w:tc>
          <w:tcPr>
            <w:tcW w:w="754" w:type="pct"/>
          </w:tcPr>
          <w:p w14:paraId="26D511DD" w14:textId="77777777" w:rsidR="004E2624" w:rsidRPr="00E265A8" w:rsidRDefault="004E2624" w:rsidP="004D4288">
            <w:pPr>
              <w:spacing w:after="0"/>
              <w:rPr>
                <w:color w:val="auto"/>
              </w:rPr>
            </w:pPr>
            <w:r>
              <w:rPr>
                <w:color w:val="auto"/>
              </w:rPr>
              <w:t>Acceptability with users</w:t>
            </w:r>
          </w:p>
        </w:tc>
        <w:tc>
          <w:tcPr>
            <w:tcW w:w="1482" w:type="pct"/>
          </w:tcPr>
          <w:p w14:paraId="571B0355" w14:textId="77777777" w:rsidR="004E2624" w:rsidRDefault="004E2624" w:rsidP="004D4288">
            <w:pPr>
              <w:spacing w:after="0"/>
            </w:pPr>
            <w:r w:rsidRPr="00E265A8">
              <w:rPr>
                <w:color w:val="auto"/>
              </w:rPr>
              <w:t xml:space="preserve">Published or </w:t>
            </w:r>
            <w:r>
              <w:rPr>
                <w:color w:val="auto"/>
              </w:rPr>
              <w:t>publicly</w:t>
            </w:r>
            <w:r w:rsidRPr="00E265A8">
              <w:rPr>
                <w:color w:val="auto"/>
              </w:rPr>
              <w:t xml:space="preserve"> available evidence to show that representatives from relevant user groups were involved in the design, development or testing of the DHT</w:t>
            </w:r>
          </w:p>
        </w:tc>
        <w:tc>
          <w:tcPr>
            <w:tcW w:w="1196" w:type="pct"/>
          </w:tcPr>
          <w:p w14:paraId="425BA89F" w14:textId="77777777" w:rsidR="004E2624" w:rsidRDefault="004E2624" w:rsidP="004D4288">
            <w:pPr>
              <w:spacing w:after="0"/>
            </w:pPr>
            <w:r>
              <w:t>No</w:t>
            </w:r>
          </w:p>
          <w:p w14:paraId="5160C64F" w14:textId="77777777" w:rsidR="004E2624" w:rsidRPr="00E265A8" w:rsidRDefault="004E2624" w:rsidP="004D4288">
            <w:pPr>
              <w:spacing w:after="0"/>
              <w:rPr>
                <w:color w:val="auto"/>
              </w:rPr>
            </w:pPr>
            <w:r>
              <w:t>It is not a requirement for this information to be</w:t>
            </w:r>
            <w:r w:rsidRPr="002F1FF4">
              <w:t xml:space="preserve"> </w:t>
            </w:r>
            <w:r>
              <w:t>p</w:t>
            </w:r>
            <w:r w:rsidRPr="00EE75B9">
              <w:t xml:space="preserve">ublished or </w:t>
            </w:r>
            <w:r>
              <w:t>publicly</w:t>
            </w:r>
            <w:r w:rsidRPr="00EE75B9">
              <w:t xml:space="preserve"> available</w:t>
            </w:r>
          </w:p>
        </w:tc>
        <w:tc>
          <w:tcPr>
            <w:tcW w:w="1568" w:type="pct"/>
          </w:tcPr>
          <w:p w14:paraId="012281A6" w14:textId="77777777" w:rsidR="004E2624" w:rsidRPr="00A13590" w:rsidRDefault="004E2624" w:rsidP="004D4288">
            <w:pPr>
              <w:spacing w:after="0"/>
            </w:pPr>
            <w:r>
              <w:t>Validation and verification reports</w:t>
            </w:r>
            <w:r>
              <w:rPr>
                <w:rStyle w:val="CommentReference"/>
              </w:rPr>
              <w:t xml:space="preserve"> </w:t>
            </w:r>
          </w:p>
          <w:p w14:paraId="30121268" w14:textId="7F79DD0F" w:rsidR="004E2624" w:rsidRDefault="004E2624" w:rsidP="004D4288">
            <w:pPr>
              <w:spacing w:after="0"/>
            </w:pPr>
            <w:r>
              <w:rPr>
                <w:color w:val="auto"/>
              </w:rPr>
              <w:t>Annex II (6)</w:t>
            </w:r>
          </w:p>
        </w:tc>
      </w:tr>
      <w:tr w:rsidR="004E2624" w14:paraId="071FE744" w14:textId="77777777" w:rsidTr="009F647B">
        <w:trPr>
          <w:trHeight w:val="234"/>
        </w:trPr>
        <w:tc>
          <w:tcPr>
            <w:tcW w:w="754" w:type="pct"/>
          </w:tcPr>
          <w:p w14:paraId="2FB522B6" w14:textId="7AB67F1B" w:rsidR="004E2624" w:rsidRPr="00E265A8" w:rsidRDefault="004E2624" w:rsidP="004D4288">
            <w:pPr>
              <w:spacing w:after="0"/>
              <w:rPr>
                <w:color w:val="auto"/>
              </w:rPr>
            </w:pPr>
            <w:r>
              <w:rPr>
                <w:color w:val="auto"/>
              </w:rPr>
              <w:t>Acceptability with users</w:t>
            </w:r>
          </w:p>
        </w:tc>
        <w:tc>
          <w:tcPr>
            <w:tcW w:w="1482" w:type="pct"/>
          </w:tcPr>
          <w:p w14:paraId="530174B6" w14:textId="77777777" w:rsidR="004E2624" w:rsidRDefault="004E2624" w:rsidP="004D4288">
            <w:pPr>
              <w:spacing w:after="0"/>
            </w:pPr>
            <w:r w:rsidRPr="00E265A8">
              <w:rPr>
                <w:color w:val="auto"/>
              </w:rPr>
              <w:t xml:space="preserve">Published or </w:t>
            </w:r>
            <w:r>
              <w:rPr>
                <w:color w:val="auto"/>
              </w:rPr>
              <w:t>publicly</w:t>
            </w:r>
            <w:r w:rsidRPr="00E265A8">
              <w:rPr>
                <w:color w:val="auto"/>
              </w:rPr>
              <w:t xml:space="preserve"> available evidence to show that users are satisfied with the DHT</w:t>
            </w:r>
          </w:p>
        </w:tc>
        <w:tc>
          <w:tcPr>
            <w:tcW w:w="1196" w:type="pct"/>
          </w:tcPr>
          <w:p w14:paraId="79E746BA" w14:textId="77777777" w:rsidR="004E2624" w:rsidRDefault="004E2624" w:rsidP="004D4288">
            <w:pPr>
              <w:spacing w:after="0"/>
            </w:pPr>
            <w:r>
              <w:t>No</w:t>
            </w:r>
          </w:p>
          <w:p w14:paraId="38913AE4" w14:textId="77777777" w:rsidR="004E2624" w:rsidRPr="00E265A8" w:rsidRDefault="004E2624" w:rsidP="004D4288">
            <w:pPr>
              <w:spacing w:after="0"/>
              <w:rPr>
                <w:color w:val="auto"/>
              </w:rPr>
            </w:pPr>
            <w:r>
              <w:t>It is not a requirement for this information to be</w:t>
            </w:r>
            <w:r w:rsidRPr="002F1FF4">
              <w:t xml:space="preserve"> </w:t>
            </w:r>
            <w:r>
              <w:t>p</w:t>
            </w:r>
            <w:r w:rsidRPr="00EE75B9">
              <w:t xml:space="preserve">ublished or </w:t>
            </w:r>
            <w:r>
              <w:t>publicly</w:t>
            </w:r>
            <w:r w:rsidRPr="00EE75B9">
              <w:t xml:space="preserve"> available</w:t>
            </w:r>
          </w:p>
        </w:tc>
        <w:tc>
          <w:tcPr>
            <w:tcW w:w="1568" w:type="pct"/>
          </w:tcPr>
          <w:p w14:paraId="728D1BC9" w14:textId="77777777" w:rsidR="004E2624" w:rsidRPr="008B3A88" w:rsidRDefault="004E2624" w:rsidP="004D4288">
            <w:pPr>
              <w:spacing w:after="0"/>
            </w:pPr>
            <w:r>
              <w:t>Validation and verification reports</w:t>
            </w:r>
          </w:p>
          <w:p w14:paraId="264DB132" w14:textId="0F54815C" w:rsidR="004E2624" w:rsidRDefault="004E2624" w:rsidP="004D4288">
            <w:pPr>
              <w:spacing w:after="0"/>
              <w:rPr>
                <w:color w:val="auto"/>
              </w:rPr>
            </w:pPr>
            <w:r>
              <w:rPr>
                <w:color w:val="auto"/>
              </w:rPr>
              <w:t>Annex II (6)</w:t>
            </w:r>
          </w:p>
          <w:p w14:paraId="37F3607E" w14:textId="77777777" w:rsidR="004E2624" w:rsidRDefault="004E2624" w:rsidP="004D4288">
            <w:pPr>
              <w:spacing w:after="0"/>
            </w:pPr>
          </w:p>
          <w:p w14:paraId="2A6FDD84" w14:textId="77777777" w:rsidR="004E2624" w:rsidRPr="005C13C3" w:rsidRDefault="004E2624" w:rsidP="004D4288">
            <w:pPr>
              <w:spacing w:after="0"/>
            </w:pPr>
            <w:r w:rsidRPr="005C13C3">
              <w:t>Clinical investigation/evaluation reports</w:t>
            </w:r>
          </w:p>
          <w:p w14:paraId="2091CF39" w14:textId="77777777" w:rsidR="004E2624" w:rsidRDefault="004E2624" w:rsidP="004D4288">
            <w:pPr>
              <w:spacing w:after="0"/>
            </w:pPr>
            <w:r>
              <w:t xml:space="preserve">Annex </w:t>
            </w:r>
            <w:r w:rsidRPr="008B3A88">
              <w:t>XIV</w:t>
            </w:r>
            <w:r>
              <w:t xml:space="preserve"> (A)</w:t>
            </w:r>
          </w:p>
          <w:p w14:paraId="14C76F03" w14:textId="0EC992D9" w:rsidR="004E2624" w:rsidRDefault="004E2624" w:rsidP="004D4288">
            <w:pPr>
              <w:spacing w:after="0"/>
            </w:pPr>
            <w:r>
              <w:t xml:space="preserve">Annex XV </w:t>
            </w:r>
          </w:p>
          <w:p w14:paraId="661356D6" w14:textId="77777777" w:rsidR="004E2624" w:rsidRDefault="004E2624" w:rsidP="004D4288">
            <w:pPr>
              <w:spacing w:after="0"/>
            </w:pPr>
          </w:p>
          <w:p w14:paraId="41FA8D7F" w14:textId="77777777" w:rsidR="004E2624" w:rsidRPr="005C13C3" w:rsidRDefault="004E2624" w:rsidP="004D4288">
            <w:pPr>
              <w:spacing w:after="0"/>
              <w:rPr>
                <w:color w:val="auto"/>
              </w:rPr>
            </w:pPr>
            <w:r w:rsidRPr="005C13C3">
              <w:rPr>
                <w:color w:val="auto"/>
              </w:rPr>
              <w:t>Post-market surveillance reports</w:t>
            </w:r>
          </w:p>
          <w:p w14:paraId="44131EF2" w14:textId="77777777" w:rsidR="004E2624" w:rsidRDefault="004E2624" w:rsidP="004D4288">
            <w:pPr>
              <w:spacing w:after="0"/>
            </w:pPr>
            <w:r>
              <w:t>Article 85</w:t>
            </w:r>
          </w:p>
          <w:p w14:paraId="2C9713A4" w14:textId="77777777" w:rsidR="004E2624" w:rsidRDefault="004E2624" w:rsidP="004D4288">
            <w:pPr>
              <w:spacing w:after="0"/>
            </w:pPr>
            <w:r>
              <w:t>Annex III</w:t>
            </w:r>
          </w:p>
          <w:p w14:paraId="5DC26EC2" w14:textId="3AD9395E" w:rsidR="004E2624" w:rsidRDefault="004E2624" w:rsidP="004D4288">
            <w:pPr>
              <w:spacing w:after="0"/>
            </w:pPr>
            <w:r>
              <w:lastRenderedPageBreak/>
              <w:t>Annex XIV (B)</w:t>
            </w:r>
          </w:p>
        </w:tc>
      </w:tr>
      <w:tr w:rsidR="008A576E" w14:paraId="329DC911" w14:textId="77777777" w:rsidTr="00506CF3">
        <w:trPr>
          <w:trHeight w:val="820"/>
        </w:trPr>
        <w:tc>
          <w:tcPr>
            <w:tcW w:w="754" w:type="pct"/>
          </w:tcPr>
          <w:p w14:paraId="3159FB7D" w14:textId="77777777" w:rsidR="008A576E" w:rsidRPr="00E265A8" w:rsidRDefault="008A576E" w:rsidP="004D4288">
            <w:pPr>
              <w:spacing w:after="0"/>
              <w:rPr>
                <w:color w:val="auto"/>
              </w:rPr>
            </w:pPr>
            <w:r w:rsidRPr="00E265A8">
              <w:rPr>
                <w:color w:val="auto"/>
              </w:rPr>
              <w:lastRenderedPageBreak/>
              <w:t xml:space="preserve">Equalities considerations </w:t>
            </w:r>
          </w:p>
        </w:tc>
        <w:tc>
          <w:tcPr>
            <w:tcW w:w="1482" w:type="pct"/>
          </w:tcPr>
          <w:p w14:paraId="6411C5E5" w14:textId="54EC1A7C" w:rsidR="008A576E" w:rsidRPr="00EF4FEB" w:rsidRDefault="008A576E" w:rsidP="004D4288">
            <w:pPr>
              <w:spacing w:after="0"/>
              <w:rPr>
                <w:color w:val="auto"/>
              </w:rPr>
            </w:pPr>
            <w:r w:rsidRPr="00E265A8">
              <w:rPr>
                <w:color w:val="auto"/>
              </w:rPr>
              <w:t>Show evidence of the DHT being used in hard-to-reach populations</w:t>
            </w:r>
          </w:p>
        </w:tc>
        <w:tc>
          <w:tcPr>
            <w:tcW w:w="1196" w:type="pct"/>
          </w:tcPr>
          <w:p w14:paraId="18E1DA14" w14:textId="00C0E862" w:rsidR="008A576E" w:rsidRPr="00B1522B" w:rsidRDefault="008A576E" w:rsidP="004D4288">
            <w:pPr>
              <w:spacing w:after="0"/>
            </w:pPr>
            <w:r w:rsidRPr="00EF4FEB">
              <w:rPr>
                <w:color w:val="auto"/>
              </w:rPr>
              <w:t xml:space="preserve">Not explicitly, but may feed into establishing and validating user </w:t>
            </w:r>
            <w:r>
              <w:t>requirements</w:t>
            </w:r>
          </w:p>
        </w:tc>
        <w:tc>
          <w:tcPr>
            <w:tcW w:w="1568" w:type="pct"/>
          </w:tcPr>
          <w:p w14:paraId="026E5556" w14:textId="77777777" w:rsidR="008A576E" w:rsidRPr="005C13C3" w:rsidRDefault="008A576E" w:rsidP="004D4288">
            <w:pPr>
              <w:spacing w:after="0"/>
            </w:pPr>
            <w:r w:rsidRPr="005C13C3">
              <w:t>Validation and verification reports</w:t>
            </w:r>
          </w:p>
          <w:p w14:paraId="55EABF6B" w14:textId="5557714F" w:rsidR="008A576E" w:rsidRDefault="008A576E" w:rsidP="004D4288">
            <w:pPr>
              <w:spacing w:after="0"/>
              <w:rPr>
                <w:color w:val="auto"/>
              </w:rPr>
            </w:pPr>
            <w:r>
              <w:rPr>
                <w:color w:val="auto"/>
              </w:rPr>
              <w:t>Annex II (6)</w:t>
            </w:r>
          </w:p>
          <w:p w14:paraId="16A2D093" w14:textId="77777777" w:rsidR="008A576E" w:rsidRDefault="008A576E" w:rsidP="004D4288">
            <w:pPr>
              <w:spacing w:after="0"/>
            </w:pPr>
          </w:p>
          <w:p w14:paraId="5DCC8760" w14:textId="77777777" w:rsidR="008A576E" w:rsidRPr="005C13C3" w:rsidRDefault="008A576E" w:rsidP="004D4288">
            <w:pPr>
              <w:spacing w:after="0"/>
            </w:pPr>
            <w:r w:rsidRPr="005C13C3">
              <w:t>Clinical investigation/evaluation reports</w:t>
            </w:r>
          </w:p>
          <w:p w14:paraId="0A72647E" w14:textId="77777777" w:rsidR="008A576E" w:rsidRDefault="008A576E" w:rsidP="004D4288">
            <w:pPr>
              <w:spacing w:after="0"/>
            </w:pPr>
            <w:r>
              <w:t xml:space="preserve">Annex </w:t>
            </w:r>
            <w:r w:rsidRPr="008B3A88">
              <w:t>XIV</w:t>
            </w:r>
            <w:r>
              <w:t xml:space="preserve"> (A)</w:t>
            </w:r>
          </w:p>
          <w:p w14:paraId="6185EE7E" w14:textId="7F2847F4" w:rsidR="008A576E" w:rsidRDefault="008A576E" w:rsidP="004D4288">
            <w:pPr>
              <w:spacing w:after="0"/>
            </w:pPr>
            <w:r>
              <w:t xml:space="preserve">Annex XV </w:t>
            </w:r>
          </w:p>
          <w:p w14:paraId="475D5074" w14:textId="77777777" w:rsidR="008A576E" w:rsidRDefault="008A576E" w:rsidP="004D4288">
            <w:pPr>
              <w:spacing w:after="0"/>
            </w:pPr>
          </w:p>
          <w:p w14:paraId="6A1B44DE" w14:textId="77777777" w:rsidR="008A576E" w:rsidRPr="005C13C3" w:rsidRDefault="008A576E" w:rsidP="004D4288">
            <w:pPr>
              <w:spacing w:after="0"/>
            </w:pPr>
            <w:r w:rsidRPr="005C13C3">
              <w:t>Post market surveillance reports</w:t>
            </w:r>
          </w:p>
          <w:p w14:paraId="332DE479" w14:textId="77777777" w:rsidR="008A576E" w:rsidRDefault="008A576E" w:rsidP="004D4288">
            <w:pPr>
              <w:spacing w:after="0"/>
            </w:pPr>
            <w:r>
              <w:t>Article 85</w:t>
            </w:r>
          </w:p>
          <w:p w14:paraId="02A2B80C" w14:textId="77777777" w:rsidR="008A576E" w:rsidRDefault="008A576E" w:rsidP="004D4288">
            <w:pPr>
              <w:spacing w:after="0"/>
            </w:pPr>
            <w:r>
              <w:t>Annex III</w:t>
            </w:r>
          </w:p>
          <w:p w14:paraId="3526F550" w14:textId="377B5FC7" w:rsidR="008A576E" w:rsidRDefault="008A576E" w:rsidP="004D4288">
            <w:pPr>
              <w:spacing w:after="0"/>
            </w:pPr>
            <w:r>
              <w:t>Annex XIV (B)</w:t>
            </w:r>
          </w:p>
        </w:tc>
      </w:tr>
      <w:tr w:rsidR="00027873" w14:paraId="234567F5" w14:textId="77777777" w:rsidTr="00506CF3">
        <w:trPr>
          <w:trHeight w:val="2268"/>
        </w:trPr>
        <w:tc>
          <w:tcPr>
            <w:tcW w:w="754" w:type="pct"/>
          </w:tcPr>
          <w:p w14:paraId="25DEE215" w14:textId="31C69B18" w:rsidR="00027873" w:rsidRPr="00E265A8" w:rsidRDefault="00027873" w:rsidP="00027873">
            <w:pPr>
              <w:spacing w:after="0"/>
              <w:rPr>
                <w:color w:val="auto"/>
              </w:rPr>
            </w:pPr>
            <w:r w:rsidRPr="007E736D">
              <w:t>Accurate and reliable measurements (if</w:t>
            </w:r>
            <w:r>
              <w:t xml:space="preserve"> relevant)</w:t>
            </w:r>
          </w:p>
        </w:tc>
        <w:tc>
          <w:tcPr>
            <w:tcW w:w="1482" w:type="pct"/>
          </w:tcPr>
          <w:p w14:paraId="2B38B592" w14:textId="77777777" w:rsidR="00027873" w:rsidRDefault="00027873" w:rsidP="00027873">
            <w:pPr>
              <w:spacing w:after="0"/>
            </w:pPr>
            <w:r>
              <w:t>Quantitative d</w:t>
            </w:r>
            <w:r w:rsidRPr="0070689B">
              <w:t>ata or analysis which shows that the data generated or recorded by the DHT is</w:t>
            </w:r>
            <w:r>
              <w:t xml:space="preserve"> </w:t>
            </w:r>
            <w:r w:rsidRPr="007E736D">
              <w:t>accurate, reproducible</w:t>
            </w:r>
            <w:r>
              <w:t xml:space="preserve"> </w:t>
            </w:r>
            <w:r w:rsidRPr="007E736D">
              <w:t xml:space="preserve">and relevant to the range of values expected in the target </w:t>
            </w:r>
            <w:proofErr w:type="gramStart"/>
            <w:r w:rsidRPr="007E736D">
              <w:t>population</w:t>
            </w:r>
            <w:proofErr w:type="gramEnd"/>
          </w:p>
          <w:p w14:paraId="399A7150" w14:textId="77777777" w:rsidR="00027873" w:rsidRDefault="00027873" w:rsidP="00027873">
            <w:pPr>
              <w:spacing w:after="0"/>
            </w:pPr>
          </w:p>
          <w:p w14:paraId="7293FAE5" w14:textId="74F9EAA4" w:rsidR="00027873" w:rsidRDefault="00027873" w:rsidP="00027873">
            <w:pPr>
              <w:spacing w:after="0"/>
              <w:rPr>
                <w:color w:val="auto"/>
              </w:rPr>
            </w:pPr>
            <w:r>
              <w:t>Quantitative d</w:t>
            </w:r>
            <w:r w:rsidRPr="007E736D">
              <w:t xml:space="preserve">ata showing that the DHT </w:t>
            </w:r>
            <w:proofErr w:type="gramStart"/>
            <w:r w:rsidRPr="007E736D">
              <w:t>is able to</w:t>
            </w:r>
            <w:proofErr w:type="gramEnd"/>
            <w:r w:rsidRPr="007E736D">
              <w:t xml:space="preserve"> detect clinically relevant changes or responses</w:t>
            </w:r>
          </w:p>
        </w:tc>
        <w:tc>
          <w:tcPr>
            <w:tcW w:w="1196" w:type="pct"/>
          </w:tcPr>
          <w:p w14:paraId="32AB9AF4" w14:textId="77777777" w:rsidR="00027873" w:rsidRDefault="00027873" w:rsidP="00027873">
            <w:pPr>
              <w:spacing w:after="0"/>
            </w:pPr>
            <w:r>
              <w:t>Yes</w:t>
            </w:r>
          </w:p>
          <w:p w14:paraId="320D1708" w14:textId="7C644267" w:rsidR="00027873" w:rsidRDefault="00027873" w:rsidP="00027873">
            <w:pPr>
              <w:spacing w:after="0"/>
              <w:rPr>
                <w:color w:val="auto"/>
              </w:rPr>
            </w:pPr>
            <w:r>
              <w:t>Devices must meet the relevant safety and performance requirements</w:t>
            </w:r>
          </w:p>
        </w:tc>
        <w:tc>
          <w:tcPr>
            <w:tcW w:w="1568" w:type="pct"/>
          </w:tcPr>
          <w:p w14:paraId="2D54595D" w14:textId="77777777" w:rsidR="00027873" w:rsidRDefault="00027873" w:rsidP="00027873">
            <w:pPr>
              <w:spacing w:after="0"/>
              <w:rPr>
                <w:color w:val="auto"/>
              </w:rPr>
            </w:pPr>
            <w:r>
              <w:t>General safety and performance requirements</w:t>
            </w:r>
            <w:r>
              <w:rPr>
                <w:color w:val="auto"/>
              </w:rPr>
              <w:t xml:space="preserve"> </w:t>
            </w:r>
          </w:p>
          <w:p w14:paraId="17F506A6" w14:textId="77777777" w:rsidR="00027873" w:rsidRDefault="00027873" w:rsidP="00027873">
            <w:pPr>
              <w:spacing w:after="0"/>
              <w:rPr>
                <w:color w:val="auto"/>
              </w:rPr>
            </w:pPr>
            <w:r>
              <w:rPr>
                <w:color w:val="auto"/>
              </w:rPr>
              <w:t>Annex I (particularly 15)</w:t>
            </w:r>
          </w:p>
          <w:p w14:paraId="2E0CDB2F" w14:textId="77777777" w:rsidR="00027873" w:rsidRDefault="00027873" w:rsidP="00027873">
            <w:pPr>
              <w:spacing w:after="0"/>
              <w:rPr>
                <w:color w:val="auto"/>
              </w:rPr>
            </w:pPr>
          </w:p>
          <w:p w14:paraId="3E415B7D" w14:textId="77777777" w:rsidR="00027873" w:rsidRDefault="00027873" w:rsidP="00027873">
            <w:pPr>
              <w:spacing w:after="0"/>
              <w:rPr>
                <w:color w:val="auto"/>
              </w:rPr>
            </w:pPr>
            <w:r>
              <w:t>Validation and verification reports</w:t>
            </w:r>
            <w:r>
              <w:rPr>
                <w:color w:val="auto"/>
              </w:rPr>
              <w:t xml:space="preserve"> </w:t>
            </w:r>
          </w:p>
          <w:p w14:paraId="6C5F93D6" w14:textId="77777777" w:rsidR="00027873" w:rsidRDefault="00027873" w:rsidP="00027873">
            <w:pPr>
              <w:spacing w:after="0"/>
            </w:pPr>
            <w:r>
              <w:rPr>
                <w:color w:val="auto"/>
              </w:rPr>
              <w:t>Annex II (6)</w:t>
            </w:r>
            <w:r>
              <w:t xml:space="preserve"> </w:t>
            </w:r>
          </w:p>
          <w:p w14:paraId="29B7793F" w14:textId="77777777" w:rsidR="00027873" w:rsidRDefault="00027873" w:rsidP="00027873">
            <w:pPr>
              <w:spacing w:after="0"/>
            </w:pPr>
          </w:p>
          <w:p w14:paraId="7EB32D24" w14:textId="77777777" w:rsidR="00027873" w:rsidRDefault="00027873" w:rsidP="00027873">
            <w:pPr>
              <w:spacing w:after="0"/>
              <w:rPr>
                <w:color w:val="auto"/>
              </w:rPr>
            </w:pPr>
            <w:r>
              <w:t>Clinical investigation/evaluation reports</w:t>
            </w:r>
            <w:r w:rsidRPr="00A91E28">
              <w:rPr>
                <w:color w:val="auto"/>
              </w:rPr>
              <w:t xml:space="preserve"> </w:t>
            </w:r>
          </w:p>
          <w:p w14:paraId="3AD7B451" w14:textId="77777777" w:rsidR="00027873" w:rsidRDefault="00027873" w:rsidP="00027873">
            <w:pPr>
              <w:spacing w:after="0"/>
            </w:pPr>
            <w:r>
              <w:t xml:space="preserve">Annex </w:t>
            </w:r>
            <w:r w:rsidRPr="008B3A88">
              <w:t>XIV</w:t>
            </w:r>
            <w:r>
              <w:t xml:space="preserve"> (A)</w:t>
            </w:r>
          </w:p>
          <w:p w14:paraId="002D532F" w14:textId="77777777" w:rsidR="00027873" w:rsidRDefault="00027873" w:rsidP="00027873">
            <w:pPr>
              <w:spacing w:after="0"/>
              <w:rPr>
                <w:color w:val="auto"/>
              </w:rPr>
            </w:pPr>
            <w:r>
              <w:t>Annex XV</w:t>
            </w:r>
          </w:p>
          <w:p w14:paraId="65DCD7B0" w14:textId="77777777" w:rsidR="00027873" w:rsidRDefault="00027873" w:rsidP="00027873">
            <w:pPr>
              <w:spacing w:after="0"/>
              <w:rPr>
                <w:color w:val="auto"/>
              </w:rPr>
            </w:pPr>
          </w:p>
          <w:p w14:paraId="644B5BD2" w14:textId="77777777" w:rsidR="00027873" w:rsidRDefault="00027873" w:rsidP="00027873">
            <w:pPr>
              <w:spacing w:after="0"/>
            </w:pPr>
            <w:r w:rsidRPr="00A91E28">
              <w:rPr>
                <w:color w:val="auto"/>
              </w:rPr>
              <w:t>Summary of safety and clinical performance (class III)</w:t>
            </w:r>
            <w:r w:rsidRPr="008B3A88">
              <w:t xml:space="preserve"> </w:t>
            </w:r>
          </w:p>
          <w:p w14:paraId="3B3960DA" w14:textId="3A0E6A32" w:rsidR="00027873" w:rsidRDefault="00027873" w:rsidP="00027873">
            <w:pPr>
              <w:spacing w:after="0"/>
            </w:pPr>
            <w:r w:rsidRPr="008B3A88">
              <w:t>Article 32</w:t>
            </w:r>
          </w:p>
        </w:tc>
      </w:tr>
      <w:tr w:rsidR="00BE2E4C" w14:paraId="615CA172" w14:textId="77777777" w:rsidTr="00027873">
        <w:trPr>
          <w:trHeight w:val="1020"/>
        </w:trPr>
        <w:tc>
          <w:tcPr>
            <w:tcW w:w="754" w:type="pct"/>
          </w:tcPr>
          <w:p w14:paraId="33D201A3" w14:textId="1471A3AA" w:rsidR="00BE2E4C" w:rsidRPr="00E265A8" w:rsidRDefault="00BE2E4C" w:rsidP="004D4288">
            <w:pPr>
              <w:spacing w:after="0"/>
              <w:rPr>
                <w:color w:val="auto"/>
              </w:rPr>
            </w:pPr>
            <w:bookmarkStart w:id="7" w:name="_Hlk58914348"/>
            <w:r w:rsidRPr="00E265A8">
              <w:rPr>
                <w:color w:val="auto"/>
              </w:rPr>
              <w:t>Accurate and reliable tra</w:t>
            </w:r>
            <w:r>
              <w:rPr>
                <w:color w:val="auto"/>
              </w:rPr>
              <w:t>nsmission of data (if relevant)</w:t>
            </w:r>
            <w:r w:rsidRPr="00E265A8">
              <w:rPr>
                <w:color w:val="auto"/>
              </w:rPr>
              <w:t xml:space="preserve"> </w:t>
            </w:r>
            <w:bookmarkEnd w:id="7"/>
          </w:p>
        </w:tc>
        <w:tc>
          <w:tcPr>
            <w:tcW w:w="1482" w:type="pct"/>
          </w:tcPr>
          <w:p w14:paraId="141F410C" w14:textId="1F2B132D" w:rsidR="00BE2E4C" w:rsidRDefault="00BE2E4C" w:rsidP="004D4288">
            <w:pPr>
              <w:spacing w:after="0"/>
              <w:rPr>
                <w:color w:val="auto"/>
              </w:rPr>
            </w:pPr>
            <w:r>
              <w:rPr>
                <w:color w:val="auto"/>
              </w:rPr>
              <w:t xml:space="preserve">Technical </w:t>
            </w:r>
            <w:r w:rsidRPr="00E265A8">
              <w:rPr>
                <w:color w:val="auto"/>
              </w:rPr>
              <w:t xml:space="preserve">data showing that numerical, text, audio, image-based, graphic-based or video information is not changed during the transmission </w:t>
            </w:r>
            <w:proofErr w:type="gramStart"/>
            <w:r w:rsidRPr="00E265A8">
              <w:rPr>
                <w:color w:val="auto"/>
              </w:rPr>
              <w:t>process</w:t>
            </w:r>
            <w:proofErr w:type="gramEnd"/>
          </w:p>
          <w:p w14:paraId="2594A98E" w14:textId="77777777" w:rsidR="00817F6A" w:rsidRDefault="00817F6A" w:rsidP="004D4288">
            <w:pPr>
              <w:spacing w:after="0"/>
              <w:rPr>
                <w:color w:val="auto"/>
              </w:rPr>
            </w:pPr>
          </w:p>
          <w:p w14:paraId="1A95A6D4" w14:textId="528B57CE" w:rsidR="00BE2E4C" w:rsidRDefault="00BE2E4C" w:rsidP="004D4288">
            <w:pPr>
              <w:spacing w:after="0"/>
              <w:rPr>
                <w:color w:val="auto"/>
              </w:rPr>
            </w:pPr>
            <w:r w:rsidRPr="00E265A8">
              <w:rPr>
                <w:color w:val="auto"/>
              </w:rPr>
              <w:t>Quantitative data showing that numerical, text, audio, image-based, graphic-based or video information is not biased by the data ‘value’ expected from the target patient population</w:t>
            </w:r>
          </w:p>
        </w:tc>
        <w:tc>
          <w:tcPr>
            <w:tcW w:w="1196" w:type="pct"/>
          </w:tcPr>
          <w:p w14:paraId="7A2DD9F8" w14:textId="77777777" w:rsidR="00BE2E4C" w:rsidRDefault="00BE2E4C" w:rsidP="004D4288">
            <w:pPr>
              <w:spacing w:after="0"/>
              <w:rPr>
                <w:color w:val="auto"/>
              </w:rPr>
            </w:pPr>
            <w:r>
              <w:rPr>
                <w:color w:val="auto"/>
              </w:rPr>
              <w:t>Yes</w:t>
            </w:r>
          </w:p>
          <w:p w14:paraId="4C0FFFD2" w14:textId="77777777" w:rsidR="00BE2E4C" w:rsidRPr="00E265A8" w:rsidRDefault="00BE2E4C" w:rsidP="004D4288">
            <w:pPr>
              <w:spacing w:after="0"/>
              <w:rPr>
                <w:color w:val="auto"/>
              </w:rPr>
            </w:pPr>
            <w:r>
              <w:t>Devices must meet the relevant safety and performance requirements</w:t>
            </w:r>
          </w:p>
          <w:p w14:paraId="1CD5F787" w14:textId="77777777" w:rsidR="00BE2E4C" w:rsidRPr="00E265A8" w:rsidRDefault="00BE2E4C" w:rsidP="004D4288">
            <w:pPr>
              <w:spacing w:after="0"/>
              <w:rPr>
                <w:color w:val="auto"/>
              </w:rPr>
            </w:pPr>
          </w:p>
        </w:tc>
        <w:tc>
          <w:tcPr>
            <w:tcW w:w="1568" w:type="pct"/>
          </w:tcPr>
          <w:p w14:paraId="0D6C1221" w14:textId="77777777" w:rsidR="00BE2E4C" w:rsidRPr="008B3A88" w:rsidRDefault="00BE2E4C" w:rsidP="004D4288">
            <w:pPr>
              <w:spacing w:after="0"/>
            </w:pPr>
            <w:r>
              <w:t>General safety and performance requirements checklist</w:t>
            </w:r>
          </w:p>
          <w:p w14:paraId="41379D49" w14:textId="73A5C623" w:rsidR="00BE2E4C" w:rsidRDefault="00BE2E4C" w:rsidP="004D4288">
            <w:pPr>
              <w:spacing w:after="0"/>
              <w:rPr>
                <w:color w:val="auto"/>
              </w:rPr>
            </w:pPr>
            <w:r>
              <w:rPr>
                <w:color w:val="auto"/>
              </w:rPr>
              <w:t>Annex I</w:t>
            </w:r>
          </w:p>
          <w:p w14:paraId="39AF2C9E" w14:textId="77777777" w:rsidR="00BE2E4C" w:rsidRDefault="00BE2E4C" w:rsidP="004D4288">
            <w:pPr>
              <w:spacing w:after="0"/>
              <w:rPr>
                <w:color w:val="auto"/>
              </w:rPr>
            </w:pPr>
          </w:p>
          <w:p w14:paraId="06003AA2" w14:textId="77777777" w:rsidR="00BE2E4C" w:rsidRDefault="00BE2E4C" w:rsidP="004D4288">
            <w:pPr>
              <w:spacing w:after="0"/>
            </w:pPr>
            <w:r>
              <w:t>Validation and verification reports</w:t>
            </w:r>
          </w:p>
          <w:p w14:paraId="51D606A2" w14:textId="104F85A3" w:rsidR="00BE2E4C" w:rsidRDefault="00BE2E4C" w:rsidP="004D4288">
            <w:pPr>
              <w:spacing w:after="0"/>
              <w:rPr>
                <w:color w:val="auto"/>
              </w:rPr>
            </w:pPr>
            <w:r>
              <w:rPr>
                <w:color w:val="auto"/>
              </w:rPr>
              <w:t>Annex II (6)</w:t>
            </w:r>
          </w:p>
          <w:p w14:paraId="55C688B1" w14:textId="77777777" w:rsidR="00BE2E4C" w:rsidRDefault="00BE2E4C" w:rsidP="004D4288">
            <w:pPr>
              <w:spacing w:after="0"/>
            </w:pPr>
          </w:p>
          <w:p w14:paraId="1AC94E05" w14:textId="77777777" w:rsidR="00BE2E4C" w:rsidRDefault="00BE2E4C" w:rsidP="004D4288">
            <w:pPr>
              <w:spacing w:after="0"/>
            </w:pPr>
            <w:r>
              <w:t xml:space="preserve">Clinical investigation/evaluation reports </w:t>
            </w:r>
          </w:p>
          <w:p w14:paraId="37C2CF23" w14:textId="77777777" w:rsidR="00BE2E4C" w:rsidRDefault="00BE2E4C" w:rsidP="004D4288">
            <w:pPr>
              <w:spacing w:after="0"/>
            </w:pPr>
            <w:r>
              <w:t xml:space="preserve">Annex </w:t>
            </w:r>
            <w:r w:rsidRPr="008B3A88">
              <w:t>XIV</w:t>
            </w:r>
            <w:r>
              <w:t xml:space="preserve"> (A)</w:t>
            </w:r>
          </w:p>
          <w:p w14:paraId="479149D5" w14:textId="3C76DD45" w:rsidR="00BE2E4C" w:rsidRDefault="00BE2E4C" w:rsidP="004D4288">
            <w:pPr>
              <w:spacing w:after="0"/>
            </w:pPr>
            <w:r>
              <w:t xml:space="preserve">Annex XV </w:t>
            </w:r>
          </w:p>
          <w:p w14:paraId="37137A48" w14:textId="77777777" w:rsidR="00BE2E4C" w:rsidRDefault="00BE2E4C" w:rsidP="004D4288">
            <w:pPr>
              <w:spacing w:after="0"/>
            </w:pPr>
          </w:p>
          <w:p w14:paraId="2BCA3B3C" w14:textId="77777777" w:rsidR="00BE2E4C" w:rsidRPr="00E265A8" w:rsidRDefault="00BE2E4C" w:rsidP="004D4288">
            <w:pPr>
              <w:spacing w:after="0"/>
              <w:rPr>
                <w:color w:val="auto"/>
              </w:rPr>
            </w:pPr>
            <w:r w:rsidRPr="00A91E28">
              <w:rPr>
                <w:color w:val="auto"/>
              </w:rPr>
              <w:t>Summary of safety and clinical performance (class III)</w:t>
            </w:r>
          </w:p>
          <w:p w14:paraId="0D99D3BD" w14:textId="084F31E2" w:rsidR="00BE2E4C" w:rsidRDefault="00BE2E4C" w:rsidP="004D4288">
            <w:pPr>
              <w:spacing w:after="0"/>
            </w:pPr>
            <w:r w:rsidRPr="008B3A88">
              <w:t>Article 32</w:t>
            </w:r>
          </w:p>
        </w:tc>
      </w:tr>
    </w:tbl>
    <w:p w14:paraId="0BC78E10" w14:textId="6BE4E81F" w:rsidR="000176AC" w:rsidRDefault="000176AC" w:rsidP="000176AC">
      <w:pPr>
        <w:pStyle w:val="Heading1"/>
      </w:pPr>
      <w:bookmarkStart w:id="8" w:name="_Toc54362497"/>
      <w:r>
        <w:lastRenderedPageBreak/>
        <w:t>Conclusions</w:t>
      </w:r>
      <w:bookmarkEnd w:id="8"/>
    </w:p>
    <w:p w14:paraId="371FC0DE" w14:textId="21CEEEFD" w:rsidR="000B451D" w:rsidRDefault="000176AC" w:rsidP="000176AC">
      <w:r>
        <w:t xml:space="preserve">For software regulated </w:t>
      </w:r>
      <w:r w:rsidR="00300BC6">
        <w:t xml:space="preserve">as a medical device </w:t>
      </w:r>
      <w:r>
        <w:t xml:space="preserve">under </w:t>
      </w:r>
      <w:r w:rsidR="008800FD">
        <w:t>the 2017</w:t>
      </w:r>
      <w:r w:rsidR="00234648">
        <w:t xml:space="preserve"> </w:t>
      </w:r>
      <w:r>
        <w:t xml:space="preserve">EU MDR, some of the documentation that is submitted for regulatory purposes </w:t>
      </w:r>
      <w:r w:rsidR="00300BC6">
        <w:t xml:space="preserve">and CE marking </w:t>
      </w:r>
      <w:r>
        <w:t xml:space="preserve">may also satisfy certain </w:t>
      </w:r>
      <w:r w:rsidR="005D10F8">
        <w:t>standards</w:t>
      </w:r>
      <w:r>
        <w:t xml:space="preserve"> of the NICE ESF</w:t>
      </w:r>
      <w:r w:rsidR="00BC3A07">
        <w:t>, as shown in tables 2</w:t>
      </w:r>
      <w:r w:rsidR="005D10F8">
        <w:t>-</w:t>
      </w:r>
      <w:r w:rsidR="00FC0B51">
        <w:t>5</w:t>
      </w:r>
      <w:r>
        <w:t xml:space="preserve">. There may </w:t>
      </w:r>
      <w:r w:rsidR="005D10F8">
        <w:t xml:space="preserve">also </w:t>
      </w:r>
      <w:r>
        <w:t xml:space="preserve">be some useful standards, guidelines and best practices within the EU MDR framework that assist </w:t>
      </w:r>
      <w:r w:rsidR="005D10F8">
        <w:t>DHTs</w:t>
      </w:r>
      <w:r>
        <w:t xml:space="preserve"> </w:t>
      </w:r>
      <w:r w:rsidR="005D10F8">
        <w:t xml:space="preserve">that are </w:t>
      </w:r>
      <w:r w:rsidR="00234648">
        <w:t xml:space="preserve">unlikely to be </w:t>
      </w:r>
      <w:r w:rsidR="005D10F8">
        <w:t xml:space="preserve">medical devices (i.e. </w:t>
      </w:r>
      <w:r w:rsidR="004D1478">
        <w:t>Tier A</w:t>
      </w:r>
      <w:r w:rsidR="001F5BCF">
        <w:t>: s</w:t>
      </w:r>
      <w:r w:rsidR="004D1478">
        <w:t xml:space="preserve">ystem impact </w:t>
      </w:r>
      <w:r w:rsidR="005D10F8">
        <w:t xml:space="preserve">DHTs) </w:t>
      </w:r>
      <w:r w:rsidR="006C2558">
        <w:t>to meet the ESF standards, although</w:t>
      </w:r>
      <w:r>
        <w:t xml:space="preserve"> these would not be used for</w:t>
      </w:r>
      <w:r w:rsidR="006C2558">
        <w:t xml:space="preserve"> regulatory compliance purposes</w:t>
      </w:r>
      <w:r>
        <w:t>.</w:t>
      </w:r>
    </w:p>
    <w:p w14:paraId="510BC691" w14:textId="15B50E49" w:rsidR="000B451D" w:rsidRDefault="000B451D" w:rsidP="000B451D">
      <w:pPr>
        <w:pStyle w:val="Heading1"/>
      </w:pPr>
      <w:bookmarkStart w:id="9" w:name="_Toc54362498"/>
      <w:r>
        <w:t>Acknowledgements</w:t>
      </w:r>
      <w:bookmarkEnd w:id="9"/>
    </w:p>
    <w:p w14:paraId="5836DC77" w14:textId="651FE7B7" w:rsidR="000B451D" w:rsidRDefault="000B451D" w:rsidP="000176AC">
      <w:r>
        <w:t>Newcastle EAC thanks the following contributors for their expert review and comments on a pre-publication draft of this document:</w:t>
      </w:r>
    </w:p>
    <w:p w14:paraId="14093B5D" w14:textId="0A7F25A9" w:rsidR="000B451D" w:rsidRDefault="000B451D" w:rsidP="008800FD">
      <w:pPr>
        <w:pStyle w:val="ListParagraph"/>
        <w:numPr>
          <w:ilvl w:val="0"/>
          <w:numId w:val="32"/>
        </w:numPr>
      </w:pPr>
      <w:r w:rsidRPr="000B451D">
        <w:t>Robert Turpin. Head of Sector (Healthcare), B</w:t>
      </w:r>
      <w:r>
        <w:t xml:space="preserve">ritish </w:t>
      </w:r>
      <w:r w:rsidRPr="000B451D">
        <w:t>S</w:t>
      </w:r>
      <w:r>
        <w:t xml:space="preserve">tandards </w:t>
      </w:r>
      <w:r w:rsidRPr="000B451D">
        <w:t>I</w:t>
      </w:r>
      <w:r>
        <w:t>nstitute</w:t>
      </w:r>
    </w:p>
    <w:p w14:paraId="5DBE9151" w14:textId="49A44C98" w:rsidR="000B451D" w:rsidRDefault="000B451D" w:rsidP="000B451D">
      <w:pPr>
        <w:pStyle w:val="ListParagraph"/>
        <w:numPr>
          <w:ilvl w:val="0"/>
          <w:numId w:val="32"/>
        </w:numPr>
      </w:pPr>
      <w:r>
        <w:t>Mark Salmon. Deputy Director, Evidence Resources, NICE</w:t>
      </w:r>
    </w:p>
    <w:p w14:paraId="436AA1A1" w14:textId="62F6649B" w:rsidR="00587C3B" w:rsidRDefault="00587C3B" w:rsidP="000B451D">
      <w:pPr>
        <w:pStyle w:val="ListParagraph"/>
        <w:numPr>
          <w:ilvl w:val="0"/>
          <w:numId w:val="32"/>
        </w:numPr>
      </w:pPr>
      <w:r>
        <w:t>David Grainger. Senior Medical Device Specialist, MHRA</w:t>
      </w:r>
    </w:p>
    <w:p w14:paraId="7C273AB7" w14:textId="06BA4234" w:rsidR="008776FA" w:rsidRDefault="004D1478" w:rsidP="000B451D">
      <w:pPr>
        <w:pStyle w:val="ListParagraph"/>
        <w:numPr>
          <w:ilvl w:val="0"/>
          <w:numId w:val="32"/>
        </w:numPr>
      </w:pPr>
      <w:r>
        <w:t>Andrew Davies. Digital Health Lead, ABHI</w:t>
      </w:r>
    </w:p>
    <w:p w14:paraId="7A4ECEBE" w14:textId="5689C508" w:rsidR="00291FED" w:rsidRDefault="000B451D" w:rsidP="000B451D">
      <w:r>
        <w:t>Comments were also invited from</w:t>
      </w:r>
      <w:r w:rsidR="008776FA">
        <w:t xml:space="preserve"> other organisations </w:t>
      </w:r>
      <w:r w:rsidR="00300BC6">
        <w:t>but unfortunately not received within the timescale for this work.</w:t>
      </w:r>
      <w:r w:rsidR="00953D22">
        <w:t xml:space="preserve"> Some initial work by the ABHI explored the possibility of creating a mapping tool between the ESF an</w:t>
      </w:r>
      <w:r w:rsidR="00FD11BE">
        <w:t>d different sections of the MDR.</w:t>
      </w:r>
    </w:p>
    <w:p w14:paraId="44652F8E" w14:textId="78DE3EB0" w:rsidR="008E48AC" w:rsidRDefault="008E48AC" w:rsidP="008E48AC">
      <w:pPr>
        <w:pStyle w:val="Heading1"/>
      </w:pPr>
      <w:bookmarkStart w:id="10" w:name="_Toc54362499"/>
      <w:r>
        <w:t>References</w:t>
      </w:r>
      <w:bookmarkEnd w:id="10"/>
    </w:p>
    <w:p w14:paraId="2B4EADA2" w14:textId="5168FA76" w:rsidR="008E48AC" w:rsidRDefault="005B280D" w:rsidP="007F0719">
      <w:pPr>
        <w:pStyle w:val="ListParagraph"/>
        <w:numPr>
          <w:ilvl w:val="0"/>
          <w:numId w:val="35"/>
        </w:numPr>
        <w:ind w:left="714" w:hanging="357"/>
        <w:contextualSpacing w:val="0"/>
      </w:pPr>
      <w:r>
        <w:t xml:space="preserve">The National Institute for Health and Care Excellence, March 2019. </w:t>
      </w:r>
      <w:r w:rsidRPr="005B280D">
        <w:rPr>
          <w:i/>
        </w:rPr>
        <w:t>Evidence Standards Framework for Digital Health Technologies</w:t>
      </w:r>
      <w:r>
        <w:t xml:space="preserve">. Accessed 23/10/2020 at </w:t>
      </w:r>
      <w:hyperlink r:id="rId12" w:history="1">
        <w:bookmarkStart w:id="11" w:name="_Ref54360362"/>
        <w:r w:rsidR="008E48AC" w:rsidRPr="00DB3622">
          <w:rPr>
            <w:rStyle w:val="Hyperlink"/>
          </w:rPr>
          <w:t>https://www.nice.org.uk/Media/Default/About/what-we-do/our-programmes/evidence-standards-framework/digital-evidence-standards-framework.pdf</w:t>
        </w:r>
        <w:bookmarkEnd w:id="11"/>
      </w:hyperlink>
      <w:r>
        <w:t>.</w:t>
      </w:r>
    </w:p>
    <w:p w14:paraId="69C0144A" w14:textId="754C5A7B" w:rsidR="008E48AC" w:rsidRDefault="00A82984" w:rsidP="007F0719">
      <w:pPr>
        <w:pStyle w:val="ListParagraph"/>
        <w:numPr>
          <w:ilvl w:val="0"/>
          <w:numId w:val="35"/>
        </w:numPr>
        <w:ind w:left="714" w:hanging="357"/>
        <w:contextualSpacing w:val="0"/>
      </w:pPr>
      <w:bookmarkStart w:id="12" w:name="_Ref54362107"/>
      <w:r>
        <w:t xml:space="preserve">European Economic Community, 14 June 1993. </w:t>
      </w:r>
      <w:r w:rsidRPr="00A82984">
        <w:rPr>
          <w:i/>
        </w:rPr>
        <w:t>Council Directive 93/42/EEC of 14 June 1993 concerning medical devices</w:t>
      </w:r>
      <w:r>
        <w:t>.</w:t>
      </w:r>
      <w:r w:rsidRPr="00A82984">
        <w:t xml:space="preserve"> </w:t>
      </w:r>
      <w:r>
        <w:t xml:space="preserve">Accessed 23/10/2020 at </w:t>
      </w:r>
      <w:hyperlink r:id="rId13" w:history="1">
        <w:bookmarkStart w:id="13" w:name="_Ref54360530"/>
        <w:r w:rsidR="008E48AC" w:rsidRPr="00DB3622">
          <w:rPr>
            <w:rStyle w:val="Hyperlink"/>
          </w:rPr>
          <w:t>https://eur-lex.europa.eu/legal-content/EN/TXT/?uri=CELEX:01993L0042-20071011</w:t>
        </w:r>
        <w:bookmarkEnd w:id="13"/>
      </w:hyperlink>
      <w:r>
        <w:t>.</w:t>
      </w:r>
      <w:bookmarkEnd w:id="12"/>
    </w:p>
    <w:p w14:paraId="15A83AF5" w14:textId="71EA7762" w:rsidR="0047127F" w:rsidRDefault="0047127F" w:rsidP="007F0719">
      <w:pPr>
        <w:pStyle w:val="ListParagraph"/>
        <w:numPr>
          <w:ilvl w:val="0"/>
          <w:numId w:val="35"/>
        </w:numPr>
        <w:ind w:left="714" w:hanging="357"/>
        <w:contextualSpacing w:val="0"/>
      </w:pPr>
      <w:bookmarkStart w:id="14" w:name="_Ref54362111"/>
      <w:r>
        <w:lastRenderedPageBreak/>
        <w:t xml:space="preserve">European Union, 5 April 2017. </w:t>
      </w:r>
      <w:r w:rsidRPr="005B280D">
        <w:rPr>
          <w:i/>
        </w:rPr>
        <w:t>Regulation (EU) 2017/745 of the European Parliament and of the Council of 5 April 2017 on medical devices</w:t>
      </w:r>
      <w:r>
        <w:t xml:space="preserve">. Accessed 23/10/2020 at </w:t>
      </w:r>
      <w:hyperlink r:id="rId14" w:history="1">
        <w:bookmarkStart w:id="15" w:name="_Ref54360437"/>
        <w:r w:rsidRPr="00DB3622">
          <w:rPr>
            <w:rStyle w:val="Hyperlink"/>
          </w:rPr>
          <w:t>https://eur-lex.europa.eu/legal-content/EN/TXT/?qid=1573142983313&amp;uri=CELEX:32017R0745</w:t>
        </w:r>
        <w:bookmarkEnd w:id="15"/>
      </w:hyperlink>
      <w:r>
        <w:t>.</w:t>
      </w:r>
      <w:bookmarkEnd w:id="14"/>
    </w:p>
    <w:p w14:paraId="39D85A05" w14:textId="2DA75AC3" w:rsidR="008E48AC" w:rsidRDefault="00D24021" w:rsidP="007F0719">
      <w:pPr>
        <w:pStyle w:val="ListParagraph"/>
        <w:numPr>
          <w:ilvl w:val="0"/>
          <w:numId w:val="35"/>
        </w:numPr>
        <w:ind w:left="714" w:hanging="357"/>
        <w:contextualSpacing w:val="0"/>
      </w:pPr>
      <w:r>
        <w:t xml:space="preserve">British Standards Institution, </w:t>
      </w:r>
      <w:r w:rsidRPr="00D24021">
        <w:t>23 January 2020</w:t>
      </w:r>
      <w:r>
        <w:t xml:space="preserve">. </w:t>
      </w:r>
      <w:r w:rsidRPr="00D24021">
        <w:rPr>
          <w:i/>
        </w:rPr>
        <w:t>Second corrigendum to the MDR and IVDR; Vigilance Reporting – updated Manufacturer Incident Reporting (MIR) forms</w:t>
      </w:r>
      <w:r>
        <w:t xml:space="preserve">. Accessed 23/10/2020 at </w:t>
      </w:r>
      <w:hyperlink r:id="rId15" w:history="1">
        <w:bookmarkStart w:id="16" w:name="_Ref54360589"/>
        <w:r w:rsidR="008E48AC" w:rsidRPr="00DB3622">
          <w:rPr>
            <w:rStyle w:val="Hyperlink"/>
          </w:rPr>
          <w:t>https://www.bsigroup.com/en-GB/medical-devices/news-centre/enews/2020-news/second-corrigenda-to-the-mdr-and-ivdr/</w:t>
        </w:r>
        <w:bookmarkEnd w:id="16"/>
      </w:hyperlink>
      <w:r>
        <w:t>.</w:t>
      </w:r>
    </w:p>
    <w:p w14:paraId="573D33C9" w14:textId="18C2DC43" w:rsidR="008E48AC" w:rsidRDefault="00A5644C" w:rsidP="007F0719">
      <w:pPr>
        <w:pStyle w:val="ListParagraph"/>
        <w:numPr>
          <w:ilvl w:val="0"/>
          <w:numId w:val="35"/>
        </w:numPr>
        <w:ind w:left="714" w:hanging="357"/>
        <w:contextualSpacing w:val="0"/>
      </w:pPr>
      <w:r>
        <w:t xml:space="preserve">UK Government, 1 September 2020. </w:t>
      </w:r>
      <w:r w:rsidRPr="00BE64FB">
        <w:rPr>
          <w:i/>
        </w:rPr>
        <w:t>Regulating medical devices from 1 January 2021</w:t>
      </w:r>
      <w:r>
        <w:t>. Accessed 23/10/2020 at</w:t>
      </w:r>
      <w:r w:rsidR="00417482">
        <w:t xml:space="preserve"> </w:t>
      </w:r>
      <w:hyperlink r:id="rId16" w:history="1">
        <w:bookmarkStart w:id="17" w:name="_Ref54360631"/>
        <w:r w:rsidR="00CC2243" w:rsidRPr="00DB3622">
          <w:rPr>
            <w:rStyle w:val="Hyperlink"/>
          </w:rPr>
          <w:t>https://www.gov.uk/guidance/regulating-medical-devices-from-1-january-2021</w:t>
        </w:r>
        <w:bookmarkEnd w:id="17"/>
      </w:hyperlink>
      <w:r>
        <w:t>.</w:t>
      </w:r>
    </w:p>
    <w:p w14:paraId="485039E9" w14:textId="784A1D88" w:rsidR="00CC2243" w:rsidRDefault="00322804" w:rsidP="007F0719">
      <w:pPr>
        <w:pStyle w:val="ListParagraph"/>
        <w:numPr>
          <w:ilvl w:val="0"/>
          <w:numId w:val="35"/>
        </w:numPr>
        <w:ind w:left="714" w:hanging="357"/>
        <w:contextualSpacing w:val="0"/>
      </w:pPr>
      <w:r>
        <w:t xml:space="preserve">European Union, 5 April 2017. </w:t>
      </w:r>
      <w:r w:rsidRPr="00322804">
        <w:rPr>
          <w:i/>
        </w:rPr>
        <w:t>Regulation (EU) 2017/746 of the European Parliament and of the Council of 5 April 2017 on in vitro diagnostic medical devices</w:t>
      </w:r>
      <w:r>
        <w:t xml:space="preserve">. Accessed 23/10/2020 at </w:t>
      </w:r>
      <w:hyperlink r:id="rId17" w:history="1">
        <w:bookmarkStart w:id="18" w:name="_Ref54360666"/>
        <w:r w:rsidR="003F4985" w:rsidRPr="00DB3622">
          <w:rPr>
            <w:rStyle w:val="Hyperlink"/>
          </w:rPr>
          <w:t>https://eur-lex.europa.eu/legal-content/EN/TXT/HTML/?uri=CELEX:32017R0746&amp;from=EN</w:t>
        </w:r>
        <w:bookmarkEnd w:id="18"/>
      </w:hyperlink>
      <w:r>
        <w:t>.</w:t>
      </w:r>
    </w:p>
    <w:p w14:paraId="1DB7C02F" w14:textId="58365EFF" w:rsidR="00804C43" w:rsidRPr="008E48AC" w:rsidRDefault="00417482" w:rsidP="007F0719">
      <w:pPr>
        <w:pStyle w:val="ListParagraph"/>
        <w:numPr>
          <w:ilvl w:val="0"/>
          <w:numId w:val="35"/>
        </w:numPr>
        <w:ind w:left="714" w:hanging="357"/>
        <w:contextualSpacing w:val="0"/>
      </w:pPr>
      <w:r>
        <w:t xml:space="preserve">British Standards Institution, May 2020. </w:t>
      </w:r>
      <w:r w:rsidRPr="00860328">
        <w:rPr>
          <w:i/>
        </w:rPr>
        <w:t>MDR Documentation Submissions Best Practices Guidelines Revision 2</w:t>
      </w:r>
      <w:r>
        <w:t xml:space="preserve">. Accessed 23/10/2020 at </w:t>
      </w:r>
      <w:hyperlink r:id="rId18" w:history="1">
        <w:bookmarkStart w:id="19" w:name="_Ref54360956"/>
        <w:r w:rsidR="00804C43" w:rsidRPr="00DB3622">
          <w:rPr>
            <w:rStyle w:val="Hyperlink"/>
          </w:rPr>
          <w:t>https://www.bsigroup.com/globalassets/meddev/localfiles/en-gb/documents/bsi-md-mdr-best-practice-documentation-submissions-en-gb.pdf</w:t>
        </w:r>
        <w:bookmarkEnd w:id="19"/>
      </w:hyperlink>
      <w:r>
        <w:t>.</w:t>
      </w:r>
    </w:p>
    <w:sectPr w:rsidR="00804C43" w:rsidRPr="008E48AC" w:rsidSect="00386ABF">
      <w:headerReference w:type="even" r:id="rId19"/>
      <w:headerReference w:type="default" r:id="rId20"/>
      <w:footerReference w:type="even" r:id="rId21"/>
      <w:footerReference w:type="default" r:id="rId22"/>
      <w:headerReference w:type="first" r:id="rId23"/>
      <w:footerReference w:type="first" r:id="rId24"/>
      <w:type w:val="continuous"/>
      <w:pgSz w:w="16838" w:h="11906" w:orient="landscape"/>
      <w:pgMar w:top="1134" w:right="1134" w:bottom="1134" w:left="1134" w:header="709"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B8E0F" w14:textId="77777777" w:rsidR="00525949" w:rsidRDefault="00525949" w:rsidP="00684A1C">
      <w:r>
        <w:separator/>
      </w:r>
    </w:p>
  </w:endnote>
  <w:endnote w:type="continuationSeparator" w:id="0">
    <w:p w14:paraId="2022ED89" w14:textId="77777777" w:rsidR="00525949" w:rsidRDefault="00525949" w:rsidP="00684A1C">
      <w:r>
        <w:continuationSeparator/>
      </w:r>
    </w:p>
  </w:endnote>
  <w:endnote w:type="continuationNotice" w:id="1">
    <w:p w14:paraId="024716D5" w14:textId="77777777" w:rsidR="00525949" w:rsidRDefault="005259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2A146" w14:textId="77777777" w:rsidR="00525949" w:rsidRDefault="00525949" w:rsidP="00F53C12">
    <w:pPr>
      <w:pStyle w:val="Footer"/>
      <w:jc w:val="cen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0722B" w14:textId="77777777" w:rsidR="00525949" w:rsidRDefault="00525949" w:rsidP="00F53C12">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94B5" w14:textId="77777777" w:rsidR="00525949" w:rsidRDefault="00525949">
    <w:pPr>
      <w:pStyle w:val="Footer"/>
    </w:pPr>
    <w:r>
      <w:rPr>
        <w:noProof/>
      </w:rPr>
      <w:drawing>
        <wp:anchor distT="0" distB="0" distL="114300" distR="114300" simplePos="0" relativeHeight="251657728" behindDoc="0" locked="0" layoutInCell="1" allowOverlap="1" wp14:anchorId="5888268E" wp14:editId="3F62959C">
          <wp:simplePos x="0" y="0"/>
          <wp:positionH relativeFrom="column">
            <wp:posOffset>-795655</wp:posOffset>
          </wp:positionH>
          <wp:positionV relativeFrom="paragraph">
            <wp:posOffset>-299720</wp:posOffset>
          </wp:positionV>
          <wp:extent cx="8074800" cy="1072800"/>
          <wp:effectExtent l="0" t="0" r="254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74800" cy="10728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E6624" w14:textId="77777777" w:rsidR="00525949" w:rsidRDefault="005259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4B6CD" w14:textId="77777777" w:rsidR="00525949" w:rsidRPr="00A612C5" w:rsidRDefault="00525949" w:rsidP="00A612C5">
    <w:pPr>
      <w:tabs>
        <w:tab w:val="center" w:pos="4513"/>
        <w:tab w:val="right" w:pos="9026"/>
      </w:tabs>
      <w:jc w:val="center"/>
      <w:rPr>
        <w:rFonts w:eastAsia="Arial" w:cs="Times New Roman"/>
        <w:color w:val="auto"/>
        <w:lang w:eastAsia="en-US"/>
      </w:rPr>
    </w:pPr>
    <w:r w:rsidRPr="00A612C5">
      <w:rPr>
        <w:rFonts w:eastAsia="Arial" w:cs="Times New Roman"/>
        <w:color w:val="auto"/>
        <w:lang w:eastAsia="en-US"/>
      </w:rPr>
      <w:fldChar w:fldCharType="begin"/>
    </w:r>
    <w:r w:rsidRPr="00A612C5">
      <w:rPr>
        <w:rFonts w:eastAsia="Arial" w:cs="Times New Roman"/>
        <w:color w:val="auto"/>
        <w:lang w:eastAsia="en-US"/>
      </w:rPr>
      <w:instrText xml:space="preserve"> PAGE   \* MERGEFORMAT </w:instrText>
    </w:r>
    <w:r w:rsidRPr="00A612C5">
      <w:rPr>
        <w:rFonts w:eastAsia="Arial" w:cs="Times New Roman"/>
        <w:color w:val="auto"/>
        <w:lang w:eastAsia="en-US"/>
      </w:rPr>
      <w:fldChar w:fldCharType="separate"/>
    </w:r>
    <w:r>
      <w:rPr>
        <w:rFonts w:eastAsia="Arial" w:cs="Times New Roman"/>
        <w:noProof/>
        <w:color w:val="auto"/>
        <w:lang w:eastAsia="en-US"/>
      </w:rPr>
      <w:t>2</w:t>
    </w:r>
    <w:r w:rsidRPr="00A612C5">
      <w:rPr>
        <w:rFonts w:eastAsia="Arial" w:cs="Times New Roman"/>
        <w:color w:val="auto"/>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C09A6" w14:textId="77777777" w:rsidR="00525949" w:rsidRDefault="0052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097F8" w14:textId="77777777" w:rsidR="00525949" w:rsidRDefault="00525949" w:rsidP="00684A1C">
      <w:r>
        <w:separator/>
      </w:r>
    </w:p>
  </w:footnote>
  <w:footnote w:type="continuationSeparator" w:id="0">
    <w:p w14:paraId="1095BA9B" w14:textId="77777777" w:rsidR="00525949" w:rsidRDefault="00525949" w:rsidP="00684A1C">
      <w:r>
        <w:continuationSeparator/>
      </w:r>
    </w:p>
  </w:footnote>
  <w:footnote w:type="continuationNotice" w:id="1">
    <w:p w14:paraId="570F7F6B" w14:textId="77777777" w:rsidR="00525949" w:rsidRDefault="00525949">
      <w:pPr>
        <w:spacing w:after="0"/>
      </w:pPr>
    </w:p>
  </w:footnote>
  <w:footnote w:id="2">
    <w:p w14:paraId="1CB6EE26" w14:textId="4EA62523" w:rsidR="00525949" w:rsidRDefault="00525949">
      <w:pPr>
        <w:pStyle w:val="FootnoteText"/>
      </w:pPr>
      <w:r>
        <w:rPr>
          <w:rStyle w:val="FootnoteReference"/>
        </w:rPr>
        <w:footnoteRef/>
      </w:r>
      <w:r>
        <w:t xml:space="preserve"> CE-marked devices are excluded from the system impact</w:t>
      </w:r>
      <w:r w:rsidRPr="00663D91">
        <w:t xml:space="preserve"> </w:t>
      </w:r>
      <w:r>
        <w:t>tier so there is no corresponding table for Tier A – System impact DHTs.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2081" w14:textId="2779EEF0" w:rsidR="00525949" w:rsidRDefault="00525949" w:rsidP="00F53C12">
    <w:pPr>
      <w:pStyle w:val="Header"/>
    </w:pPr>
    <w:r w:rsidRPr="00370A64">
      <w:rPr>
        <w:rFonts w:ascii="Calibri" w:hAnsi="Calibri" w:cs="Times New Roman"/>
        <w:noProof/>
      </w:rPr>
      <w:drawing>
        <wp:anchor distT="0" distB="0" distL="114300" distR="114300" simplePos="0" relativeHeight="251656704" behindDoc="1" locked="0" layoutInCell="1" allowOverlap="1" wp14:anchorId="24E65AAB" wp14:editId="1C7E968E">
          <wp:simplePos x="0" y="0"/>
          <wp:positionH relativeFrom="column">
            <wp:posOffset>3356151</wp:posOffset>
          </wp:positionH>
          <wp:positionV relativeFrom="paragraph">
            <wp:posOffset>-43121</wp:posOffset>
          </wp:positionV>
          <wp:extent cx="3217119" cy="719021"/>
          <wp:effectExtent l="0" t="0" r="254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17119" cy="71902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84BB6" w14:textId="77777777" w:rsidR="00525949" w:rsidRDefault="00525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CAE6A" w14:textId="3F4783B4" w:rsidR="00525949" w:rsidRDefault="005259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2BC5" w14:textId="77777777" w:rsidR="00525949" w:rsidRDefault="00525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B20C14"/>
    <w:multiLevelType w:val="hybridMultilevel"/>
    <w:tmpl w:val="B5D4A6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670B8"/>
    <w:multiLevelType w:val="hybridMultilevel"/>
    <w:tmpl w:val="69F2E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C64B6"/>
    <w:multiLevelType w:val="hybridMultilevel"/>
    <w:tmpl w:val="CF86BC50"/>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45B36"/>
    <w:multiLevelType w:val="hybridMultilevel"/>
    <w:tmpl w:val="F9DAA598"/>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4A4DF0"/>
    <w:multiLevelType w:val="hybridMultilevel"/>
    <w:tmpl w:val="4B48A13A"/>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01827"/>
    <w:multiLevelType w:val="hybridMultilevel"/>
    <w:tmpl w:val="76CC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51CF3"/>
    <w:multiLevelType w:val="hybridMultilevel"/>
    <w:tmpl w:val="83087070"/>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D37D46"/>
    <w:multiLevelType w:val="hybridMultilevel"/>
    <w:tmpl w:val="CA388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2284E"/>
    <w:multiLevelType w:val="hybridMultilevel"/>
    <w:tmpl w:val="00D2C02C"/>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649FD"/>
    <w:multiLevelType w:val="hybridMultilevel"/>
    <w:tmpl w:val="5FAEEA20"/>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51745"/>
    <w:multiLevelType w:val="hybridMultilevel"/>
    <w:tmpl w:val="D628692E"/>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8C3390"/>
    <w:multiLevelType w:val="hybridMultilevel"/>
    <w:tmpl w:val="933E2332"/>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4274B4"/>
    <w:multiLevelType w:val="hybridMultilevel"/>
    <w:tmpl w:val="E968BBA8"/>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B47A24"/>
    <w:multiLevelType w:val="hybridMultilevel"/>
    <w:tmpl w:val="2ECA7E38"/>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AD0226"/>
    <w:multiLevelType w:val="hybridMultilevel"/>
    <w:tmpl w:val="171AC1AE"/>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745F22"/>
    <w:multiLevelType w:val="hybridMultilevel"/>
    <w:tmpl w:val="D7FE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3105E"/>
    <w:multiLevelType w:val="hybridMultilevel"/>
    <w:tmpl w:val="AA703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930897"/>
    <w:multiLevelType w:val="hybridMultilevel"/>
    <w:tmpl w:val="5616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648E1"/>
    <w:multiLevelType w:val="hybridMultilevel"/>
    <w:tmpl w:val="5E52D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A74E8F"/>
    <w:multiLevelType w:val="hybridMultilevel"/>
    <w:tmpl w:val="7DCC6D74"/>
    <w:lvl w:ilvl="0" w:tplc="1E82D5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C313C"/>
    <w:multiLevelType w:val="hybridMultilevel"/>
    <w:tmpl w:val="2828095A"/>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D354B6"/>
    <w:multiLevelType w:val="hybridMultilevel"/>
    <w:tmpl w:val="089C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A510D"/>
    <w:multiLevelType w:val="hybridMultilevel"/>
    <w:tmpl w:val="5BC85B90"/>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0F5D60"/>
    <w:multiLevelType w:val="hybridMultilevel"/>
    <w:tmpl w:val="E27C57D4"/>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F55016"/>
    <w:multiLevelType w:val="hybridMultilevel"/>
    <w:tmpl w:val="3B5EFFDE"/>
    <w:lvl w:ilvl="0" w:tplc="4852D04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549CD"/>
    <w:multiLevelType w:val="hybridMultilevel"/>
    <w:tmpl w:val="DFCAE796"/>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275431"/>
    <w:multiLevelType w:val="hybridMultilevel"/>
    <w:tmpl w:val="BF082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25EB0"/>
    <w:multiLevelType w:val="hybridMultilevel"/>
    <w:tmpl w:val="1206DB42"/>
    <w:lvl w:ilvl="0" w:tplc="1E82D5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D66"/>
    <w:multiLevelType w:val="hybridMultilevel"/>
    <w:tmpl w:val="21C2598C"/>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564685"/>
    <w:multiLevelType w:val="hybridMultilevel"/>
    <w:tmpl w:val="3FBA43D4"/>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BE7C6A"/>
    <w:multiLevelType w:val="hybridMultilevel"/>
    <w:tmpl w:val="95BA7924"/>
    <w:lvl w:ilvl="0" w:tplc="1E82D5C4">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3D49DE"/>
    <w:multiLevelType w:val="hybridMultilevel"/>
    <w:tmpl w:val="07627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93C71"/>
    <w:multiLevelType w:val="hybridMultilevel"/>
    <w:tmpl w:val="EA60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A2865"/>
    <w:multiLevelType w:val="hybridMultilevel"/>
    <w:tmpl w:val="D47E738C"/>
    <w:lvl w:ilvl="0" w:tplc="1E82D5C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0E2DAD"/>
    <w:multiLevelType w:val="hybridMultilevel"/>
    <w:tmpl w:val="F312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082C63"/>
    <w:multiLevelType w:val="hybridMultilevel"/>
    <w:tmpl w:val="2C90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35"/>
  </w:num>
  <w:num w:numId="4">
    <w:abstractNumId w:val="19"/>
  </w:num>
  <w:num w:numId="5">
    <w:abstractNumId w:val="18"/>
  </w:num>
  <w:num w:numId="6">
    <w:abstractNumId w:val="32"/>
  </w:num>
  <w:num w:numId="7">
    <w:abstractNumId w:val="17"/>
  </w:num>
  <w:num w:numId="8">
    <w:abstractNumId w:val="27"/>
  </w:num>
  <w:num w:numId="9">
    <w:abstractNumId w:val="24"/>
  </w:num>
  <w:num w:numId="10">
    <w:abstractNumId w:val="7"/>
  </w:num>
  <w:num w:numId="11">
    <w:abstractNumId w:val="13"/>
  </w:num>
  <w:num w:numId="12">
    <w:abstractNumId w:val="4"/>
  </w:num>
  <w:num w:numId="13">
    <w:abstractNumId w:val="33"/>
  </w:num>
  <w:num w:numId="14">
    <w:abstractNumId w:val="1"/>
  </w:num>
  <w:num w:numId="15">
    <w:abstractNumId w:val="9"/>
  </w:num>
  <w:num w:numId="16">
    <w:abstractNumId w:val="20"/>
  </w:num>
  <w:num w:numId="17">
    <w:abstractNumId w:val="8"/>
  </w:num>
  <w:num w:numId="18">
    <w:abstractNumId w:val="22"/>
  </w:num>
  <w:num w:numId="19">
    <w:abstractNumId w:val="11"/>
  </w:num>
  <w:num w:numId="20">
    <w:abstractNumId w:val="10"/>
  </w:num>
  <w:num w:numId="21">
    <w:abstractNumId w:val="25"/>
  </w:num>
  <w:num w:numId="22">
    <w:abstractNumId w:val="12"/>
  </w:num>
  <w:num w:numId="23">
    <w:abstractNumId w:val="29"/>
  </w:num>
  <w:num w:numId="24">
    <w:abstractNumId w:val="23"/>
  </w:num>
  <w:num w:numId="25">
    <w:abstractNumId w:val="0"/>
  </w:num>
  <w:num w:numId="26">
    <w:abstractNumId w:val="30"/>
  </w:num>
  <w:num w:numId="27">
    <w:abstractNumId w:val="28"/>
  </w:num>
  <w:num w:numId="28">
    <w:abstractNumId w:val="14"/>
  </w:num>
  <w:num w:numId="29">
    <w:abstractNumId w:val="2"/>
  </w:num>
  <w:num w:numId="30">
    <w:abstractNumId w:val="6"/>
  </w:num>
  <w:num w:numId="31">
    <w:abstractNumId w:val="3"/>
  </w:num>
  <w:num w:numId="32">
    <w:abstractNumId w:val="21"/>
  </w:num>
  <w:num w:numId="33">
    <w:abstractNumId w:val="16"/>
  </w:num>
  <w:num w:numId="34">
    <w:abstractNumId w:val="26"/>
  </w:num>
  <w:num w:numId="35">
    <w:abstractNumId w:val="31"/>
  </w:num>
  <w:num w:numId="3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80A"/>
    <w:rsid w:val="000022B8"/>
    <w:rsid w:val="00004FCD"/>
    <w:rsid w:val="00005D83"/>
    <w:rsid w:val="00012049"/>
    <w:rsid w:val="00012EB5"/>
    <w:rsid w:val="00016465"/>
    <w:rsid w:val="000176AC"/>
    <w:rsid w:val="00022E64"/>
    <w:rsid w:val="00027873"/>
    <w:rsid w:val="00027ED2"/>
    <w:rsid w:val="00032878"/>
    <w:rsid w:val="00036373"/>
    <w:rsid w:val="00041D63"/>
    <w:rsid w:val="000444E7"/>
    <w:rsid w:val="000477C7"/>
    <w:rsid w:val="00051202"/>
    <w:rsid w:val="000531D9"/>
    <w:rsid w:val="00053E8D"/>
    <w:rsid w:val="00053EE0"/>
    <w:rsid w:val="00057F2D"/>
    <w:rsid w:val="0006127B"/>
    <w:rsid w:val="0006201A"/>
    <w:rsid w:val="00071AA9"/>
    <w:rsid w:val="00074D56"/>
    <w:rsid w:val="000800E5"/>
    <w:rsid w:val="00083705"/>
    <w:rsid w:val="00084676"/>
    <w:rsid w:val="0009129D"/>
    <w:rsid w:val="00093B46"/>
    <w:rsid w:val="00096964"/>
    <w:rsid w:val="00097D23"/>
    <w:rsid w:val="000A3AF0"/>
    <w:rsid w:val="000A5427"/>
    <w:rsid w:val="000A5B91"/>
    <w:rsid w:val="000A77C8"/>
    <w:rsid w:val="000B10F6"/>
    <w:rsid w:val="000B3AB3"/>
    <w:rsid w:val="000B451D"/>
    <w:rsid w:val="000B6A27"/>
    <w:rsid w:val="000C0028"/>
    <w:rsid w:val="000C238E"/>
    <w:rsid w:val="000C428F"/>
    <w:rsid w:val="000C5D3B"/>
    <w:rsid w:val="000D0E13"/>
    <w:rsid w:val="000E6A1B"/>
    <w:rsid w:val="000E6FD4"/>
    <w:rsid w:val="000E71BD"/>
    <w:rsid w:val="000E7AD6"/>
    <w:rsid w:val="000F32AD"/>
    <w:rsid w:val="000F52A9"/>
    <w:rsid w:val="001013E9"/>
    <w:rsid w:val="00101C20"/>
    <w:rsid w:val="001064D9"/>
    <w:rsid w:val="00107333"/>
    <w:rsid w:val="0010785B"/>
    <w:rsid w:val="00113800"/>
    <w:rsid w:val="00115EF6"/>
    <w:rsid w:val="001166DA"/>
    <w:rsid w:val="00116763"/>
    <w:rsid w:val="001178A6"/>
    <w:rsid w:val="0012503E"/>
    <w:rsid w:val="00125AE2"/>
    <w:rsid w:val="00132589"/>
    <w:rsid w:val="00133C5C"/>
    <w:rsid w:val="0013471A"/>
    <w:rsid w:val="001416D4"/>
    <w:rsid w:val="00144938"/>
    <w:rsid w:val="00145BC6"/>
    <w:rsid w:val="00146488"/>
    <w:rsid w:val="00150E81"/>
    <w:rsid w:val="00151973"/>
    <w:rsid w:val="00152584"/>
    <w:rsid w:val="00153AC0"/>
    <w:rsid w:val="0016197A"/>
    <w:rsid w:val="00162394"/>
    <w:rsid w:val="00165E68"/>
    <w:rsid w:val="001661B6"/>
    <w:rsid w:val="00167C89"/>
    <w:rsid w:val="00173C75"/>
    <w:rsid w:val="00174AF2"/>
    <w:rsid w:val="001757C2"/>
    <w:rsid w:val="00182067"/>
    <w:rsid w:val="00182F72"/>
    <w:rsid w:val="00185656"/>
    <w:rsid w:val="00190D98"/>
    <w:rsid w:val="00191F5B"/>
    <w:rsid w:val="0019404B"/>
    <w:rsid w:val="0019682C"/>
    <w:rsid w:val="001A2088"/>
    <w:rsid w:val="001A2B85"/>
    <w:rsid w:val="001A507A"/>
    <w:rsid w:val="001A6249"/>
    <w:rsid w:val="001A6988"/>
    <w:rsid w:val="001B6F71"/>
    <w:rsid w:val="001C01CE"/>
    <w:rsid w:val="001C13A6"/>
    <w:rsid w:val="001C26D4"/>
    <w:rsid w:val="001C3CA5"/>
    <w:rsid w:val="001C60AA"/>
    <w:rsid w:val="001C728A"/>
    <w:rsid w:val="001C7770"/>
    <w:rsid w:val="001D6BF9"/>
    <w:rsid w:val="001E14F6"/>
    <w:rsid w:val="001E390A"/>
    <w:rsid w:val="001F232C"/>
    <w:rsid w:val="001F5BCF"/>
    <w:rsid w:val="001F7B76"/>
    <w:rsid w:val="001F7FF3"/>
    <w:rsid w:val="002021C1"/>
    <w:rsid w:val="0020229C"/>
    <w:rsid w:val="00204A5B"/>
    <w:rsid w:val="0021384C"/>
    <w:rsid w:val="002224A2"/>
    <w:rsid w:val="0022678C"/>
    <w:rsid w:val="00226FDC"/>
    <w:rsid w:val="00227088"/>
    <w:rsid w:val="0023374B"/>
    <w:rsid w:val="002343CB"/>
    <w:rsid w:val="00234648"/>
    <w:rsid w:val="00235D1F"/>
    <w:rsid w:val="00241A50"/>
    <w:rsid w:val="00244295"/>
    <w:rsid w:val="00250D07"/>
    <w:rsid w:val="0025304F"/>
    <w:rsid w:val="002542CD"/>
    <w:rsid w:val="00257501"/>
    <w:rsid w:val="0026103F"/>
    <w:rsid w:val="00262A6A"/>
    <w:rsid w:val="002724AB"/>
    <w:rsid w:val="00272867"/>
    <w:rsid w:val="00274EA3"/>
    <w:rsid w:val="00276C27"/>
    <w:rsid w:val="00280D0E"/>
    <w:rsid w:val="00282907"/>
    <w:rsid w:val="00284445"/>
    <w:rsid w:val="00291FED"/>
    <w:rsid w:val="0029275C"/>
    <w:rsid w:val="002928BD"/>
    <w:rsid w:val="0029304B"/>
    <w:rsid w:val="00294E30"/>
    <w:rsid w:val="00296888"/>
    <w:rsid w:val="002A11C1"/>
    <w:rsid w:val="002A1CDF"/>
    <w:rsid w:val="002A4089"/>
    <w:rsid w:val="002A43A0"/>
    <w:rsid w:val="002A56B6"/>
    <w:rsid w:val="002A5872"/>
    <w:rsid w:val="002C0040"/>
    <w:rsid w:val="002C15C4"/>
    <w:rsid w:val="002D40EE"/>
    <w:rsid w:val="002D77C2"/>
    <w:rsid w:val="002E01B6"/>
    <w:rsid w:val="002E3007"/>
    <w:rsid w:val="002E34B8"/>
    <w:rsid w:val="002E4F5F"/>
    <w:rsid w:val="002E5394"/>
    <w:rsid w:val="002F6240"/>
    <w:rsid w:val="002F6F7C"/>
    <w:rsid w:val="00300BC6"/>
    <w:rsid w:val="003044F6"/>
    <w:rsid w:val="003050EF"/>
    <w:rsid w:val="003056C1"/>
    <w:rsid w:val="0031649C"/>
    <w:rsid w:val="00322804"/>
    <w:rsid w:val="00325B95"/>
    <w:rsid w:val="00327D5A"/>
    <w:rsid w:val="0033498A"/>
    <w:rsid w:val="00334ABF"/>
    <w:rsid w:val="00350F5D"/>
    <w:rsid w:val="00353242"/>
    <w:rsid w:val="003554E7"/>
    <w:rsid w:val="00356BCD"/>
    <w:rsid w:val="0036283D"/>
    <w:rsid w:val="0036393A"/>
    <w:rsid w:val="00374C48"/>
    <w:rsid w:val="003800F9"/>
    <w:rsid w:val="0038032A"/>
    <w:rsid w:val="003843CF"/>
    <w:rsid w:val="00385CAE"/>
    <w:rsid w:val="0038606B"/>
    <w:rsid w:val="00386ABF"/>
    <w:rsid w:val="003927EC"/>
    <w:rsid w:val="003942E6"/>
    <w:rsid w:val="0039697A"/>
    <w:rsid w:val="003971C9"/>
    <w:rsid w:val="003B0BE9"/>
    <w:rsid w:val="003B4C5E"/>
    <w:rsid w:val="003C186D"/>
    <w:rsid w:val="003C2222"/>
    <w:rsid w:val="003C5014"/>
    <w:rsid w:val="003D0888"/>
    <w:rsid w:val="003D0C0D"/>
    <w:rsid w:val="003D179D"/>
    <w:rsid w:val="003D5478"/>
    <w:rsid w:val="003D5A13"/>
    <w:rsid w:val="003E0B8F"/>
    <w:rsid w:val="003E7E91"/>
    <w:rsid w:val="003F4985"/>
    <w:rsid w:val="004030C4"/>
    <w:rsid w:val="00403DBA"/>
    <w:rsid w:val="00410066"/>
    <w:rsid w:val="00412280"/>
    <w:rsid w:val="00416D87"/>
    <w:rsid w:val="00417482"/>
    <w:rsid w:val="00422137"/>
    <w:rsid w:val="00425ADA"/>
    <w:rsid w:val="004268A4"/>
    <w:rsid w:val="00430BB9"/>
    <w:rsid w:val="00430EAC"/>
    <w:rsid w:val="0043142D"/>
    <w:rsid w:val="00434CBA"/>
    <w:rsid w:val="00442E0C"/>
    <w:rsid w:val="00447D5E"/>
    <w:rsid w:val="004502ED"/>
    <w:rsid w:val="004512E6"/>
    <w:rsid w:val="004616A3"/>
    <w:rsid w:val="00464F2E"/>
    <w:rsid w:val="00471023"/>
    <w:rsid w:val="0047127F"/>
    <w:rsid w:val="004737C8"/>
    <w:rsid w:val="00476EDD"/>
    <w:rsid w:val="0048190F"/>
    <w:rsid w:val="00482A8E"/>
    <w:rsid w:val="00482CD2"/>
    <w:rsid w:val="00485862"/>
    <w:rsid w:val="0048701A"/>
    <w:rsid w:val="00490CA4"/>
    <w:rsid w:val="0049427F"/>
    <w:rsid w:val="004A0B17"/>
    <w:rsid w:val="004A3694"/>
    <w:rsid w:val="004A662B"/>
    <w:rsid w:val="004B204E"/>
    <w:rsid w:val="004B5CD6"/>
    <w:rsid w:val="004C7084"/>
    <w:rsid w:val="004D1478"/>
    <w:rsid w:val="004D3E33"/>
    <w:rsid w:val="004D4288"/>
    <w:rsid w:val="004D42CE"/>
    <w:rsid w:val="004D4B83"/>
    <w:rsid w:val="004D5BD8"/>
    <w:rsid w:val="004D6C46"/>
    <w:rsid w:val="004E0A5C"/>
    <w:rsid w:val="004E2624"/>
    <w:rsid w:val="004F27FA"/>
    <w:rsid w:val="004F2E1F"/>
    <w:rsid w:val="004F3604"/>
    <w:rsid w:val="004F660E"/>
    <w:rsid w:val="00506CF3"/>
    <w:rsid w:val="00510318"/>
    <w:rsid w:val="00513C2D"/>
    <w:rsid w:val="00513D6E"/>
    <w:rsid w:val="00524845"/>
    <w:rsid w:val="00525949"/>
    <w:rsid w:val="00527C5B"/>
    <w:rsid w:val="005323FF"/>
    <w:rsid w:val="005346DC"/>
    <w:rsid w:val="005371F7"/>
    <w:rsid w:val="005408CB"/>
    <w:rsid w:val="00541137"/>
    <w:rsid w:val="005571C8"/>
    <w:rsid w:val="00562789"/>
    <w:rsid w:val="0056491A"/>
    <w:rsid w:val="00567D37"/>
    <w:rsid w:val="00572205"/>
    <w:rsid w:val="0057477E"/>
    <w:rsid w:val="00580210"/>
    <w:rsid w:val="00581A3C"/>
    <w:rsid w:val="005830B9"/>
    <w:rsid w:val="00587C3B"/>
    <w:rsid w:val="005917B4"/>
    <w:rsid w:val="00593DC2"/>
    <w:rsid w:val="005951FA"/>
    <w:rsid w:val="0059613B"/>
    <w:rsid w:val="005A414F"/>
    <w:rsid w:val="005A41C7"/>
    <w:rsid w:val="005A6D1F"/>
    <w:rsid w:val="005A74B8"/>
    <w:rsid w:val="005A76CF"/>
    <w:rsid w:val="005A7DD3"/>
    <w:rsid w:val="005B109E"/>
    <w:rsid w:val="005B280D"/>
    <w:rsid w:val="005B3A55"/>
    <w:rsid w:val="005B4296"/>
    <w:rsid w:val="005B490C"/>
    <w:rsid w:val="005C13C3"/>
    <w:rsid w:val="005C1A2B"/>
    <w:rsid w:val="005C1A8D"/>
    <w:rsid w:val="005C300D"/>
    <w:rsid w:val="005C318B"/>
    <w:rsid w:val="005C4682"/>
    <w:rsid w:val="005C4D53"/>
    <w:rsid w:val="005C573A"/>
    <w:rsid w:val="005C7705"/>
    <w:rsid w:val="005C7BEB"/>
    <w:rsid w:val="005D0D23"/>
    <w:rsid w:val="005D10F8"/>
    <w:rsid w:val="005D33A3"/>
    <w:rsid w:val="005D359E"/>
    <w:rsid w:val="005D4140"/>
    <w:rsid w:val="005D4D2B"/>
    <w:rsid w:val="005D68F4"/>
    <w:rsid w:val="005E005E"/>
    <w:rsid w:val="005E0703"/>
    <w:rsid w:val="005F1FE5"/>
    <w:rsid w:val="005F7DBF"/>
    <w:rsid w:val="00600763"/>
    <w:rsid w:val="006041BB"/>
    <w:rsid w:val="00610DD2"/>
    <w:rsid w:val="00610E15"/>
    <w:rsid w:val="00612479"/>
    <w:rsid w:val="006152F2"/>
    <w:rsid w:val="00616CAB"/>
    <w:rsid w:val="00617564"/>
    <w:rsid w:val="00622A73"/>
    <w:rsid w:val="006261F1"/>
    <w:rsid w:val="00627DD9"/>
    <w:rsid w:val="0063235F"/>
    <w:rsid w:val="00633122"/>
    <w:rsid w:val="006364ED"/>
    <w:rsid w:val="00637721"/>
    <w:rsid w:val="00645D79"/>
    <w:rsid w:val="00647316"/>
    <w:rsid w:val="006474AB"/>
    <w:rsid w:val="0065671F"/>
    <w:rsid w:val="00657A65"/>
    <w:rsid w:val="00662D70"/>
    <w:rsid w:val="00663D91"/>
    <w:rsid w:val="00664063"/>
    <w:rsid w:val="00665578"/>
    <w:rsid w:val="006709DC"/>
    <w:rsid w:val="00670AB4"/>
    <w:rsid w:val="006739BE"/>
    <w:rsid w:val="0067435B"/>
    <w:rsid w:val="006744E0"/>
    <w:rsid w:val="00684A1C"/>
    <w:rsid w:val="00686525"/>
    <w:rsid w:val="0069081C"/>
    <w:rsid w:val="00690866"/>
    <w:rsid w:val="006950D9"/>
    <w:rsid w:val="00696CDE"/>
    <w:rsid w:val="006A34AB"/>
    <w:rsid w:val="006B1F74"/>
    <w:rsid w:val="006B2A96"/>
    <w:rsid w:val="006B43E5"/>
    <w:rsid w:val="006B622A"/>
    <w:rsid w:val="006C1405"/>
    <w:rsid w:val="006C1972"/>
    <w:rsid w:val="006C2558"/>
    <w:rsid w:val="006C3662"/>
    <w:rsid w:val="006C5B79"/>
    <w:rsid w:val="006C5CAA"/>
    <w:rsid w:val="006D73C7"/>
    <w:rsid w:val="006E0D98"/>
    <w:rsid w:val="006E1BDC"/>
    <w:rsid w:val="006E4713"/>
    <w:rsid w:val="006E706A"/>
    <w:rsid w:val="006F3247"/>
    <w:rsid w:val="006F4C97"/>
    <w:rsid w:val="00700499"/>
    <w:rsid w:val="00705082"/>
    <w:rsid w:val="00705820"/>
    <w:rsid w:val="0070689B"/>
    <w:rsid w:val="00706910"/>
    <w:rsid w:val="007074F4"/>
    <w:rsid w:val="00715428"/>
    <w:rsid w:val="007168BC"/>
    <w:rsid w:val="0071748F"/>
    <w:rsid w:val="00727F4E"/>
    <w:rsid w:val="00733663"/>
    <w:rsid w:val="0074047A"/>
    <w:rsid w:val="00752183"/>
    <w:rsid w:val="00754ECC"/>
    <w:rsid w:val="0076429F"/>
    <w:rsid w:val="00766FF2"/>
    <w:rsid w:val="00772F5B"/>
    <w:rsid w:val="00775674"/>
    <w:rsid w:val="00775D61"/>
    <w:rsid w:val="00777F85"/>
    <w:rsid w:val="007877A7"/>
    <w:rsid w:val="00796A38"/>
    <w:rsid w:val="00797EA6"/>
    <w:rsid w:val="007A5686"/>
    <w:rsid w:val="007A616E"/>
    <w:rsid w:val="007B112A"/>
    <w:rsid w:val="007B11CF"/>
    <w:rsid w:val="007B4551"/>
    <w:rsid w:val="007B661A"/>
    <w:rsid w:val="007C0EC3"/>
    <w:rsid w:val="007C18D2"/>
    <w:rsid w:val="007D10B3"/>
    <w:rsid w:val="007D24BB"/>
    <w:rsid w:val="007D35FA"/>
    <w:rsid w:val="007E736D"/>
    <w:rsid w:val="007F0719"/>
    <w:rsid w:val="007F0D2C"/>
    <w:rsid w:val="007F1C7C"/>
    <w:rsid w:val="007F1DAC"/>
    <w:rsid w:val="007F6AC1"/>
    <w:rsid w:val="007F6B1D"/>
    <w:rsid w:val="007F7840"/>
    <w:rsid w:val="008038BE"/>
    <w:rsid w:val="00804C43"/>
    <w:rsid w:val="00805973"/>
    <w:rsid w:val="00807E85"/>
    <w:rsid w:val="00810DCF"/>
    <w:rsid w:val="00812244"/>
    <w:rsid w:val="00812AF1"/>
    <w:rsid w:val="008171A2"/>
    <w:rsid w:val="00817F6A"/>
    <w:rsid w:val="00821B48"/>
    <w:rsid w:val="008240CF"/>
    <w:rsid w:val="008274EB"/>
    <w:rsid w:val="0083074A"/>
    <w:rsid w:val="0083194E"/>
    <w:rsid w:val="008378BD"/>
    <w:rsid w:val="00840126"/>
    <w:rsid w:val="00840ECC"/>
    <w:rsid w:val="00854D83"/>
    <w:rsid w:val="00857ECD"/>
    <w:rsid w:val="00860268"/>
    <w:rsid w:val="00860328"/>
    <w:rsid w:val="00860361"/>
    <w:rsid w:val="00865EB7"/>
    <w:rsid w:val="00870148"/>
    <w:rsid w:val="008704DA"/>
    <w:rsid w:val="008709EC"/>
    <w:rsid w:val="0087349F"/>
    <w:rsid w:val="00876290"/>
    <w:rsid w:val="008776FA"/>
    <w:rsid w:val="008800FD"/>
    <w:rsid w:val="008A576E"/>
    <w:rsid w:val="008A57AD"/>
    <w:rsid w:val="008B1219"/>
    <w:rsid w:val="008B20DE"/>
    <w:rsid w:val="008B3A88"/>
    <w:rsid w:val="008B46D5"/>
    <w:rsid w:val="008B6B9B"/>
    <w:rsid w:val="008C1E5D"/>
    <w:rsid w:val="008C3453"/>
    <w:rsid w:val="008D1557"/>
    <w:rsid w:val="008D4BF3"/>
    <w:rsid w:val="008E48AC"/>
    <w:rsid w:val="008E592D"/>
    <w:rsid w:val="008E77A3"/>
    <w:rsid w:val="008E7F32"/>
    <w:rsid w:val="008F06DC"/>
    <w:rsid w:val="008F25E4"/>
    <w:rsid w:val="008F45D5"/>
    <w:rsid w:val="008F67C9"/>
    <w:rsid w:val="008F6DB7"/>
    <w:rsid w:val="008F6EA3"/>
    <w:rsid w:val="00905B49"/>
    <w:rsid w:val="00907D41"/>
    <w:rsid w:val="00911E40"/>
    <w:rsid w:val="00921EC1"/>
    <w:rsid w:val="00922146"/>
    <w:rsid w:val="00923533"/>
    <w:rsid w:val="00925B9C"/>
    <w:rsid w:val="00926AC4"/>
    <w:rsid w:val="00926F86"/>
    <w:rsid w:val="00932E3B"/>
    <w:rsid w:val="00936A93"/>
    <w:rsid w:val="00936BF6"/>
    <w:rsid w:val="009406E9"/>
    <w:rsid w:val="00947147"/>
    <w:rsid w:val="00947C05"/>
    <w:rsid w:val="009510FC"/>
    <w:rsid w:val="00951A8B"/>
    <w:rsid w:val="00953D22"/>
    <w:rsid w:val="009560BD"/>
    <w:rsid w:val="009564D7"/>
    <w:rsid w:val="009574FA"/>
    <w:rsid w:val="00957541"/>
    <w:rsid w:val="009603AC"/>
    <w:rsid w:val="00963CEE"/>
    <w:rsid w:val="00965895"/>
    <w:rsid w:val="00965C21"/>
    <w:rsid w:val="00967076"/>
    <w:rsid w:val="0097089A"/>
    <w:rsid w:val="00970EDB"/>
    <w:rsid w:val="009719E0"/>
    <w:rsid w:val="00977BA1"/>
    <w:rsid w:val="00983F7C"/>
    <w:rsid w:val="009856E5"/>
    <w:rsid w:val="009919B0"/>
    <w:rsid w:val="00992F59"/>
    <w:rsid w:val="00995B3D"/>
    <w:rsid w:val="00995CA2"/>
    <w:rsid w:val="00995EFA"/>
    <w:rsid w:val="009B29AA"/>
    <w:rsid w:val="009B3DCB"/>
    <w:rsid w:val="009B581A"/>
    <w:rsid w:val="009B65A1"/>
    <w:rsid w:val="009B7DB5"/>
    <w:rsid w:val="009C10CD"/>
    <w:rsid w:val="009C419D"/>
    <w:rsid w:val="009D13FB"/>
    <w:rsid w:val="009D1EAA"/>
    <w:rsid w:val="009D2C67"/>
    <w:rsid w:val="009D50E1"/>
    <w:rsid w:val="009D6431"/>
    <w:rsid w:val="009D65A4"/>
    <w:rsid w:val="009D7829"/>
    <w:rsid w:val="009D7CFF"/>
    <w:rsid w:val="009E2513"/>
    <w:rsid w:val="009E5B04"/>
    <w:rsid w:val="009E7B1D"/>
    <w:rsid w:val="009F647B"/>
    <w:rsid w:val="00A040DD"/>
    <w:rsid w:val="00A0607F"/>
    <w:rsid w:val="00A0641C"/>
    <w:rsid w:val="00A12BD3"/>
    <w:rsid w:val="00A13590"/>
    <w:rsid w:val="00A21238"/>
    <w:rsid w:val="00A31363"/>
    <w:rsid w:val="00A369D9"/>
    <w:rsid w:val="00A36CFF"/>
    <w:rsid w:val="00A3735E"/>
    <w:rsid w:val="00A37A76"/>
    <w:rsid w:val="00A37B0B"/>
    <w:rsid w:val="00A410A6"/>
    <w:rsid w:val="00A45850"/>
    <w:rsid w:val="00A50697"/>
    <w:rsid w:val="00A5245B"/>
    <w:rsid w:val="00A54FD6"/>
    <w:rsid w:val="00A5644C"/>
    <w:rsid w:val="00A612C5"/>
    <w:rsid w:val="00A70E28"/>
    <w:rsid w:val="00A77440"/>
    <w:rsid w:val="00A82984"/>
    <w:rsid w:val="00A85066"/>
    <w:rsid w:val="00A86A8B"/>
    <w:rsid w:val="00A90A8C"/>
    <w:rsid w:val="00A9121E"/>
    <w:rsid w:val="00A91E28"/>
    <w:rsid w:val="00A9207F"/>
    <w:rsid w:val="00A97A76"/>
    <w:rsid w:val="00AA0153"/>
    <w:rsid w:val="00AB1D77"/>
    <w:rsid w:val="00AC206A"/>
    <w:rsid w:val="00AC6AD4"/>
    <w:rsid w:val="00AC7AFC"/>
    <w:rsid w:val="00AD0A39"/>
    <w:rsid w:val="00AD69D1"/>
    <w:rsid w:val="00AD79EF"/>
    <w:rsid w:val="00AE080D"/>
    <w:rsid w:val="00AE5071"/>
    <w:rsid w:val="00AE5D51"/>
    <w:rsid w:val="00AF1679"/>
    <w:rsid w:val="00AF1E3D"/>
    <w:rsid w:val="00AF7D56"/>
    <w:rsid w:val="00B046F4"/>
    <w:rsid w:val="00B0749E"/>
    <w:rsid w:val="00B10593"/>
    <w:rsid w:val="00B10DC1"/>
    <w:rsid w:val="00B13BF5"/>
    <w:rsid w:val="00B1522B"/>
    <w:rsid w:val="00B156F4"/>
    <w:rsid w:val="00B17730"/>
    <w:rsid w:val="00B179E3"/>
    <w:rsid w:val="00B21C21"/>
    <w:rsid w:val="00B23371"/>
    <w:rsid w:val="00B27F12"/>
    <w:rsid w:val="00B30BBB"/>
    <w:rsid w:val="00B32BDF"/>
    <w:rsid w:val="00B340B6"/>
    <w:rsid w:val="00B46EF6"/>
    <w:rsid w:val="00B531E1"/>
    <w:rsid w:val="00B536DA"/>
    <w:rsid w:val="00B566D8"/>
    <w:rsid w:val="00B618DF"/>
    <w:rsid w:val="00B627AF"/>
    <w:rsid w:val="00B6606E"/>
    <w:rsid w:val="00B66420"/>
    <w:rsid w:val="00B70F4B"/>
    <w:rsid w:val="00B84AA5"/>
    <w:rsid w:val="00B86EF7"/>
    <w:rsid w:val="00B944DE"/>
    <w:rsid w:val="00BB1DF8"/>
    <w:rsid w:val="00BC0BA3"/>
    <w:rsid w:val="00BC386A"/>
    <w:rsid w:val="00BC3A07"/>
    <w:rsid w:val="00BD18A8"/>
    <w:rsid w:val="00BD19FA"/>
    <w:rsid w:val="00BD380A"/>
    <w:rsid w:val="00BE0CFB"/>
    <w:rsid w:val="00BE1119"/>
    <w:rsid w:val="00BE19E1"/>
    <w:rsid w:val="00BE2E4C"/>
    <w:rsid w:val="00BE5EB6"/>
    <w:rsid w:val="00BE64FB"/>
    <w:rsid w:val="00BF5AA6"/>
    <w:rsid w:val="00BF77D7"/>
    <w:rsid w:val="00C00E78"/>
    <w:rsid w:val="00C04261"/>
    <w:rsid w:val="00C05BD7"/>
    <w:rsid w:val="00C05F24"/>
    <w:rsid w:val="00C12EEA"/>
    <w:rsid w:val="00C142FA"/>
    <w:rsid w:val="00C1549D"/>
    <w:rsid w:val="00C232A9"/>
    <w:rsid w:val="00C2661D"/>
    <w:rsid w:val="00C31961"/>
    <w:rsid w:val="00C353AC"/>
    <w:rsid w:val="00C3575A"/>
    <w:rsid w:val="00C35A1D"/>
    <w:rsid w:val="00C37518"/>
    <w:rsid w:val="00C404AF"/>
    <w:rsid w:val="00C45EC3"/>
    <w:rsid w:val="00C53A7D"/>
    <w:rsid w:val="00C568BC"/>
    <w:rsid w:val="00C56969"/>
    <w:rsid w:val="00C617B7"/>
    <w:rsid w:val="00C61EC0"/>
    <w:rsid w:val="00C66A94"/>
    <w:rsid w:val="00C67C13"/>
    <w:rsid w:val="00C7065D"/>
    <w:rsid w:val="00C715CF"/>
    <w:rsid w:val="00C72B64"/>
    <w:rsid w:val="00C72FB3"/>
    <w:rsid w:val="00C7504A"/>
    <w:rsid w:val="00C77B78"/>
    <w:rsid w:val="00C8477F"/>
    <w:rsid w:val="00C86171"/>
    <w:rsid w:val="00C8717D"/>
    <w:rsid w:val="00C87905"/>
    <w:rsid w:val="00C90E0F"/>
    <w:rsid w:val="00C920B7"/>
    <w:rsid w:val="00C92ABB"/>
    <w:rsid w:val="00C92E3A"/>
    <w:rsid w:val="00C9679D"/>
    <w:rsid w:val="00C97754"/>
    <w:rsid w:val="00CA12C8"/>
    <w:rsid w:val="00CA329B"/>
    <w:rsid w:val="00CA483C"/>
    <w:rsid w:val="00CA573A"/>
    <w:rsid w:val="00CA7A6D"/>
    <w:rsid w:val="00CB4567"/>
    <w:rsid w:val="00CB5441"/>
    <w:rsid w:val="00CB6D74"/>
    <w:rsid w:val="00CB701A"/>
    <w:rsid w:val="00CC2243"/>
    <w:rsid w:val="00CC48B0"/>
    <w:rsid w:val="00CC6FD7"/>
    <w:rsid w:val="00CD749B"/>
    <w:rsid w:val="00CD7B08"/>
    <w:rsid w:val="00CE099B"/>
    <w:rsid w:val="00D04E48"/>
    <w:rsid w:val="00D05630"/>
    <w:rsid w:val="00D143C3"/>
    <w:rsid w:val="00D14779"/>
    <w:rsid w:val="00D1619E"/>
    <w:rsid w:val="00D2179B"/>
    <w:rsid w:val="00D24021"/>
    <w:rsid w:val="00D2464D"/>
    <w:rsid w:val="00D2487B"/>
    <w:rsid w:val="00D24A2B"/>
    <w:rsid w:val="00D27BA2"/>
    <w:rsid w:val="00D27FCC"/>
    <w:rsid w:val="00D32E38"/>
    <w:rsid w:val="00D34571"/>
    <w:rsid w:val="00D43C6C"/>
    <w:rsid w:val="00D44BD7"/>
    <w:rsid w:val="00D52DEF"/>
    <w:rsid w:val="00D53C9F"/>
    <w:rsid w:val="00D55CCF"/>
    <w:rsid w:val="00D55D8F"/>
    <w:rsid w:val="00D6044B"/>
    <w:rsid w:val="00D62218"/>
    <w:rsid w:val="00D70FA2"/>
    <w:rsid w:val="00D71369"/>
    <w:rsid w:val="00D7388F"/>
    <w:rsid w:val="00D74E62"/>
    <w:rsid w:val="00D76552"/>
    <w:rsid w:val="00D76839"/>
    <w:rsid w:val="00D76BD3"/>
    <w:rsid w:val="00D774B1"/>
    <w:rsid w:val="00D77B9C"/>
    <w:rsid w:val="00D8368C"/>
    <w:rsid w:val="00D86993"/>
    <w:rsid w:val="00D910B9"/>
    <w:rsid w:val="00D92220"/>
    <w:rsid w:val="00D92B6F"/>
    <w:rsid w:val="00D93DD0"/>
    <w:rsid w:val="00D94F41"/>
    <w:rsid w:val="00D95D10"/>
    <w:rsid w:val="00D968BB"/>
    <w:rsid w:val="00D972F5"/>
    <w:rsid w:val="00DA0037"/>
    <w:rsid w:val="00DA07D4"/>
    <w:rsid w:val="00DA26A1"/>
    <w:rsid w:val="00DA2986"/>
    <w:rsid w:val="00DA53A6"/>
    <w:rsid w:val="00DA54C8"/>
    <w:rsid w:val="00DB3B77"/>
    <w:rsid w:val="00DB40C0"/>
    <w:rsid w:val="00DB48B3"/>
    <w:rsid w:val="00DB5C27"/>
    <w:rsid w:val="00DB75A8"/>
    <w:rsid w:val="00DC0FFE"/>
    <w:rsid w:val="00DC157F"/>
    <w:rsid w:val="00DC26CC"/>
    <w:rsid w:val="00DC363F"/>
    <w:rsid w:val="00DC3B3E"/>
    <w:rsid w:val="00DC6674"/>
    <w:rsid w:val="00DC6BA8"/>
    <w:rsid w:val="00DC7561"/>
    <w:rsid w:val="00DE22D3"/>
    <w:rsid w:val="00DE6564"/>
    <w:rsid w:val="00DF05F2"/>
    <w:rsid w:val="00DF1B89"/>
    <w:rsid w:val="00DF3701"/>
    <w:rsid w:val="00DF69FB"/>
    <w:rsid w:val="00E0163E"/>
    <w:rsid w:val="00E06E4C"/>
    <w:rsid w:val="00E101A9"/>
    <w:rsid w:val="00E10C93"/>
    <w:rsid w:val="00E13FF1"/>
    <w:rsid w:val="00E154EA"/>
    <w:rsid w:val="00E155BE"/>
    <w:rsid w:val="00E206F6"/>
    <w:rsid w:val="00E21180"/>
    <w:rsid w:val="00E23F56"/>
    <w:rsid w:val="00E2497D"/>
    <w:rsid w:val="00E265A8"/>
    <w:rsid w:val="00E27346"/>
    <w:rsid w:val="00E3010B"/>
    <w:rsid w:val="00E3091D"/>
    <w:rsid w:val="00E31CCF"/>
    <w:rsid w:val="00E418B8"/>
    <w:rsid w:val="00E47A44"/>
    <w:rsid w:val="00E50D77"/>
    <w:rsid w:val="00E5269C"/>
    <w:rsid w:val="00E5722A"/>
    <w:rsid w:val="00E57293"/>
    <w:rsid w:val="00E573DB"/>
    <w:rsid w:val="00E63511"/>
    <w:rsid w:val="00E7061C"/>
    <w:rsid w:val="00E71BD7"/>
    <w:rsid w:val="00E7554E"/>
    <w:rsid w:val="00E7641E"/>
    <w:rsid w:val="00E76777"/>
    <w:rsid w:val="00E76D27"/>
    <w:rsid w:val="00E80F0D"/>
    <w:rsid w:val="00E81581"/>
    <w:rsid w:val="00E81DD5"/>
    <w:rsid w:val="00E86E69"/>
    <w:rsid w:val="00E904F4"/>
    <w:rsid w:val="00E924D0"/>
    <w:rsid w:val="00E95537"/>
    <w:rsid w:val="00EA1D94"/>
    <w:rsid w:val="00EB0898"/>
    <w:rsid w:val="00EB1983"/>
    <w:rsid w:val="00EB2058"/>
    <w:rsid w:val="00EB39C3"/>
    <w:rsid w:val="00EC4C93"/>
    <w:rsid w:val="00ED4B9B"/>
    <w:rsid w:val="00EE166A"/>
    <w:rsid w:val="00EE1BBD"/>
    <w:rsid w:val="00EE3D41"/>
    <w:rsid w:val="00EE7C48"/>
    <w:rsid w:val="00EF2D96"/>
    <w:rsid w:val="00EF2F15"/>
    <w:rsid w:val="00EF3B41"/>
    <w:rsid w:val="00EF4FEB"/>
    <w:rsid w:val="00F008CE"/>
    <w:rsid w:val="00F12701"/>
    <w:rsid w:val="00F17AD8"/>
    <w:rsid w:val="00F21356"/>
    <w:rsid w:val="00F240A8"/>
    <w:rsid w:val="00F24213"/>
    <w:rsid w:val="00F24C07"/>
    <w:rsid w:val="00F25C05"/>
    <w:rsid w:val="00F2678E"/>
    <w:rsid w:val="00F31D9A"/>
    <w:rsid w:val="00F41A61"/>
    <w:rsid w:val="00F443B5"/>
    <w:rsid w:val="00F472CA"/>
    <w:rsid w:val="00F4782C"/>
    <w:rsid w:val="00F518EC"/>
    <w:rsid w:val="00F53C12"/>
    <w:rsid w:val="00F63430"/>
    <w:rsid w:val="00F65CF5"/>
    <w:rsid w:val="00F67901"/>
    <w:rsid w:val="00F70E68"/>
    <w:rsid w:val="00F7130C"/>
    <w:rsid w:val="00F723A8"/>
    <w:rsid w:val="00F728F7"/>
    <w:rsid w:val="00F74A43"/>
    <w:rsid w:val="00F80549"/>
    <w:rsid w:val="00F96DC4"/>
    <w:rsid w:val="00FA07DF"/>
    <w:rsid w:val="00FA17FC"/>
    <w:rsid w:val="00FA586F"/>
    <w:rsid w:val="00FA7A8D"/>
    <w:rsid w:val="00FB1237"/>
    <w:rsid w:val="00FC0B51"/>
    <w:rsid w:val="00FC1190"/>
    <w:rsid w:val="00FC2479"/>
    <w:rsid w:val="00FD11BE"/>
    <w:rsid w:val="00FF5D98"/>
    <w:rsid w:val="00FF6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76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84"/>
    <w:pPr>
      <w:spacing w:after="240" w:line="240" w:lineRule="auto"/>
    </w:pPr>
    <w:rPr>
      <w:rFonts w:ascii="Arial" w:eastAsia="Times New Roman" w:hAnsi="Arial" w:cs="Arial"/>
      <w:color w:val="000000"/>
      <w:lang w:eastAsia="en-GB"/>
    </w:rPr>
  </w:style>
  <w:style w:type="paragraph" w:styleId="Heading1">
    <w:name w:val="heading 1"/>
    <w:basedOn w:val="Normal"/>
    <w:next w:val="Normal"/>
    <w:link w:val="Heading1Char"/>
    <w:uiPriority w:val="9"/>
    <w:qFormat/>
    <w:rsid w:val="007E736D"/>
    <w:pPr>
      <w:keepNext/>
      <w:keepLines/>
      <w:spacing w:before="480"/>
      <w:outlineLvl w:val="0"/>
    </w:pPr>
    <w:rPr>
      <w:rFonts w:eastAsiaTheme="majorEastAsia"/>
      <w:b/>
      <w:bCs/>
      <w:color w:val="auto"/>
      <w:sz w:val="32"/>
      <w:szCs w:val="28"/>
    </w:rPr>
  </w:style>
  <w:style w:type="paragraph" w:styleId="Heading2">
    <w:name w:val="heading 2"/>
    <w:basedOn w:val="Normal"/>
    <w:next w:val="Normal"/>
    <w:link w:val="Heading2Char"/>
    <w:uiPriority w:val="9"/>
    <w:unhideWhenUsed/>
    <w:qFormat/>
    <w:rsid w:val="007E736D"/>
    <w:pPr>
      <w:keepNext/>
      <w:keepLines/>
      <w:spacing w:before="200"/>
      <w:outlineLvl w:val="1"/>
    </w:pPr>
    <w:rPr>
      <w:rFonts w:eastAsiaTheme="majorEastAsia"/>
      <w:b/>
      <w:bCs/>
      <w:color w:val="auto"/>
      <w:sz w:val="26"/>
      <w:szCs w:val="26"/>
    </w:rPr>
  </w:style>
  <w:style w:type="paragraph" w:styleId="Heading3">
    <w:name w:val="heading 3"/>
    <w:basedOn w:val="Normal"/>
    <w:next w:val="Normal"/>
    <w:link w:val="Heading3Char"/>
    <w:uiPriority w:val="9"/>
    <w:unhideWhenUsed/>
    <w:qFormat/>
    <w:rsid w:val="0074047A"/>
    <w:pPr>
      <w:keepNext/>
      <w:keepLines/>
      <w:outlineLvl w:val="2"/>
    </w:pPr>
    <w:rPr>
      <w:rFonts w:eastAsiaTheme="majorEastAsia"/>
      <w:b/>
      <w:bCs/>
      <w:color w:val="auto"/>
    </w:rPr>
  </w:style>
  <w:style w:type="paragraph" w:styleId="Heading4">
    <w:name w:val="heading 4"/>
    <w:basedOn w:val="Normal"/>
    <w:next w:val="Normal"/>
    <w:link w:val="Heading4Char"/>
    <w:uiPriority w:val="9"/>
    <w:unhideWhenUsed/>
    <w:qFormat/>
    <w:rsid w:val="006C1405"/>
    <w:pPr>
      <w:keepNext/>
      <w:keepLines/>
      <w:spacing w:before="200"/>
      <w:outlineLvl w:val="3"/>
    </w:pPr>
    <w:rPr>
      <w:rFonts w:asciiTheme="majorHAnsi" w:eastAsiaTheme="majorEastAsia" w:hAnsiTheme="majorHAnsi" w:cstheme="majorBidi"/>
      <w:b/>
      <w:bCs/>
      <w:iCs/>
      <w:color w:val="4F81BD" w:themeColor="accent1"/>
    </w:rPr>
  </w:style>
  <w:style w:type="paragraph" w:styleId="Heading5">
    <w:name w:val="heading 5"/>
    <w:basedOn w:val="Normal"/>
    <w:next w:val="Normal"/>
    <w:link w:val="Heading5Char"/>
    <w:uiPriority w:val="9"/>
    <w:unhideWhenUsed/>
    <w:qFormat/>
    <w:rsid w:val="00F2135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8F6EA3"/>
    <w:pPr>
      <w:jc w:val="center"/>
    </w:pPr>
    <w:rPr>
      <w:b/>
      <w:sz w:val="30"/>
      <w:szCs w:val="30"/>
    </w:rPr>
  </w:style>
  <w:style w:type="character" w:customStyle="1" w:styleId="TitleChar">
    <w:name w:val="Title Char"/>
    <w:basedOn w:val="DefaultParagraphFont"/>
    <w:link w:val="Title"/>
    <w:uiPriority w:val="10"/>
    <w:rsid w:val="008F6EA3"/>
    <w:rPr>
      <w:rFonts w:ascii="Arial" w:eastAsia="Times New Roman" w:hAnsi="Arial" w:cs="Arial"/>
      <w:b/>
      <w:color w:val="000000"/>
      <w:sz w:val="30"/>
      <w:szCs w:val="30"/>
      <w:lang w:eastAsia="en-GB"/>
    </w:rPr>
  </w:style>
  <w:style w:type="character" w:customStyle="1" w:styleId="Heading1Char">
    <w:name w:val="Heading 1 Char"/>
    <w:basedOn w:val="DefaultParagraphFont"/>
    <w:link w:val="Heading1"/>
    <w:uiPriority w:val="9"/>
    <w:rsid w:val="007E736D"/>
    <w:rPr>
      <w:rFonts w:ascii="Arial" w:eastAsiaTheme="majorEastAsia" w:hAnsi="Arial" w:cs="Arial"/>
      <w:b/>
      <w:bCs/>
      <w:sz w:val="32"/>
      <w:szCs w:val="28"/>
      <w:lang w:eastAsia="en-GB"/>
    </w:rPr>
  </w:style>
  <w:style w:type="table" w:styleId="TableGrid">
    <w:name w:val="Table Grid"/>
    <w:basedOn w:val="TableNormal"/>
    <w:uiPriority w:val="59"/>
    <w:rsid w:val="00BD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D38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D38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BD380A"/>
    <w:pPr>
      <w:ind w:left="720"/>
      <w:contextualSpacing/>
    </w:pPr>
  </w:style>
  <w:style w:type="paragraph" w:styleId="NoSpacing">
    <w:name w:val="No Spacing"/>
    <w:uiPriority w:val="1"/>
    <w:qFormat/>
    <w:rsid w:val="00F21356"/>
    <w:pPr>
      <w:spacing w:after="0" w:line="240" w:lineRule="auto"/>
    </w:pPr>
  </w:style>
  <w:style w:type="character" w:customStyle="1" w:styleId="Heading2Char">
    <w:name w:val="Heading 2 Char"/>
    <w:basedOn w:val="DefaultParagraphFont"/>
    <w:link w:val="Heading2"/>
    <w:uiPriority w:val="9"/>
    <w:rsid w:val="007E736D"/>
    <w:rPr>
      <w:rFonts w:ascii="Arial" w:eastAsiaTheme="majorEastAsia" w:hAnsi="Arial" w:cs="Arial"/>
      <w:b/>
      <w:bCs/>
      <w:sz w:val="26"/>
      <w:szCs w:val="26"/>
      <w:lang w:eastAsia="en-GB"/>
    </w:rPr>
  </w:style>
  <w:style w:type="character" w:customStyle="1" w:styleId="Heading3Char">
    <w:name w:val="Heading 3 Char"/>
    <w:basedOn w:val="DefaultParagraphFont"/>
    <w:link w:val="Heading3"/>
    <w:uiPriority w:val="9"/>
    <w:rsid w:val="0074047A"/>
    <w:rPr>
      <w:rFonts w:ascii="Arial" w:eastAsiaTheme="majorEastAsia" w:hAnsi="Arial" w:cs="Arial"/>
      <w:b/>
      <w:bCs/>
      <w:lang w:eastAsia="en-GB"/>
    </w:rPr>
  </w:style>
  <w:style w:type="character" w:customStyle="1" w:styleId="Heading4Char">
    <w:name w:val="Heading 4 Char"/>
    <w:basedOn w:val="DefaultParagraphFont"/>
    <w:link w:val="Heading4"/>
    <w:uiPriority w:val="9"/>
    <w:rsid w:val="006C1405"/>
    <w:rPr>
      <w:rFonts w:asciiTheme="majorHAnsi" w:eastAsiaTheme="majorEastAsia" w:hAnsiTheme="majorHAnsi" w:cstheme="majorBidi"/>
      <w:b/>
      <w:bCs/>
      <w:iCs/>
      <w:color w:val="4F81BD" w:themeColor="accent1"/>
      <w:lang w:eastAsia="en-GB"/>
    </w:rPr>
  </w:style>
  <w:style w:type="character" w:customStyle="1" w:styleId="Heading5Char">
    <w:name w:val="Heading 5 Char"/>
    <w:basedOn w:val="DefaultParagraphFont"/>
    <w:link w:val="Heading5"/>
    <w:uiPriority w:val="9"/>
    <w:rsid w:val="00F21356"/>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C77B78"/>
    <w:rPr>
      <w:sz w:val="16"/>
      <w:szCs w:val="16"/>
    </w:rPr>
  </w:style>
  <w:style w:type="paragraph" w:styleId="CommentText">
    <w:name w:val="annotation text"/>
    <w:basedOn w:val="Normal"/>
    <w:link w:val="CommentTextChar"/>
    <w:uiPriority w:val="99"/>
    <w:unhideWhenUsed/>
    <w:rsid w:val="00C77B78"/>
    <w:rPr>
      <w:sz w:val="20"/>
      <w:szCs w:val="20"/>
    </w:rPr>
  </w:style>
  <w:style w:type="character" w:customStyle="1" w:styleId="CommentTextChar">
    <w:name w:val="Comment Text Char"/>
    <w:basedOn w:val="DefaultParagraphFont"/>
    <w:link w:val="CommentText"/>
    <w:uiPriority w:val="99"/>
    <w:rsid w:val="00C77B78"/>
    <w:rPr>
      <w:sz w:val="20"/>
      <w:szCs w:val="20"/>
    </w:rPr>
  </w:style>
  <w:style w:type="paragraph" w:styleId="CommentSubject">
    <w:name w:val="annotation subject"/>
    <w:basedOn w:val="CommentText"/>
    <w:next w:val="CommentText"/>
    <w:link w:val="CommentSubjectChar"/>
    <w:uiPriority w:val="99"/>
    <w:semiHidden/>
    <w:unhideWhenUsed/>
    <w:rsid w:val="00C77B78"/>
    <w:rPr>
      <w:b/>
      <w:bCs/>
    </w:rPr>
  </w:style>
  <w:style w:type="character" w:customStyle="1" w:styleId="CommentSubjectChar">
    <w:name w:val="Comment Subject Char"/>
    <w:basedOn w:val="CommentTextChar"/>
    <w:link w:val="CommentSubject"/>
    <w:uiPriority w:val="99"/>
    <w:semiHidden/>
    <w:rsid w:val="00C77B78"/>
    <w:rPr>
      <w:b/>
      <w:bCs/>
      <w:sz w:val="20"/>
      <w:szCs w:val="20"/>
    </w:rPr>
  </w:style>
  <w:style w:type="paragraph" w:styleId="BalloonText">
    <w:name w:val="Balloon Text"/>
    <w:basedOn w:val="Normal"/>
    <w:link w:val="BalloonTextChar"/>
    <w:uiPriority w:val="99"/>
    <w:semiHidden/>
    <w:unhideWhenUsed/>
    <w:rsid w:val="00C77B78"/>
    <w:rPr>
      <w:rFonts w:ascii="Tahoma" w:hAnsi="Tahoma" w:cs="Tahoma"/>
      <w:sz w:val="16"/>
      <w:szCs w:val="16"/>
    </w:rPr>
  </w:style>
  <w:style w:type="character" w:customStyle="1" w:styleId="BalloonTextChar">
    <w:name w:val="Balloon Text Char"/>
    <w:basedOn w:val="DefaultParagraphFont"/>
    <w:link w:val="BalloonText"/>
    <w:uiPriority w:val="99"/>
    <w:semiHidden/>
    <w:rsid w:val="00C77B78"/>
    <w:rPr>
      <w:rFonts w:ascii="Tahoma" w:hAnsi="Tahoma" w:cs="Tahoma"/>
      <w:sz w:val="16"/>
      <w:szCs w:val="16"/>
    </w:rPr>
  </w:style>
  <w:style w:type="character" w:styleId="Hyperlink">
    <w:name w:val="Hyperlink"/>
    <w:basedOn w:val="DefaultParagraphFont"/>
    <w:uiPriority w:val="99"/>
    <w:unhideWhenUsed/>
    <w:rsid w:val="004D6C46"/>
    <w:rPr>
      <w:color w:val="0000FF" w:themeColor="hyperlink"/>
      <w:u w:val="single"/>
    </w:rPr>
  </w:style>
  <w:style w:type="character" w:styleId="FollowedHyperlink">
    <w:name w:val="FollowedHyperlink"/>
    <w:basedOn w:val="DefaultParagraphFont"/>
    <w:uiPriority w:val="99"/>
    <w:semiHidden/>
    <w:unhideWhenUsed/>
    <w:rsid w:val="004D6C46"/>
    <w:rPr>
      <w:color w:val="800080" w:themeColor="followedHyperlink"/>
      <w:u w:val="single"/>
    </w:rPr>
  </w:style>
  <w:style w:type="paragraph" w:customStyle="1" w:styleId="Default">
    <w:name w:val="Default"/>
    <w:rsid w:val="00150E8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84A1C"/>
    <w:pPr>
      <w:tabs>
        <w:tab w:val="center" w:pos="4513"/>
        <w:tab w:val="right" w:pos="9026"/>
      </w:tabs>
    </w:pPr>
  </w:style>
  <w:style w:type="character" w:customStyle="1" w:styleId="HeaderChar">
    <w:name w:val="Header Char"/>
    <w:basedOn w:val="DefaultParagraphFont"/>
    <w:link w:val="Header"/>
    <w:uiPriority w:val="99"/>
    <w:rsid w:val="00684A1C"/>
    <w:rPr>
      <w:rFonts w:ascii="Arial" w:eastAsia="Times New Roman" w:hAnsi="Arial" w:cs="Arial"/>
      <w:color w:val="000000"/>
      <w:lang w:eastAsia="en-GB"/>
    </w:rPr>
  </w:style>
  <w:style w:type="paragraph" w:styleId="Footer">
    <w:name w:val="footer"/>
    <w:basedOn w:val="Normal"/>
    <w:link w:val="FooterChar"/>
    <w:uiPriority w:val="99"/>
    <w:unhideWhenUsed/>
    <w:rsid w:val="00684A1C"/>
    <w:pPr>
      <w:tabs>
        <w:tab w:val="center" w:pos="4513"/>
        <w:tab w:val="right" w:pos="9026"/>
      </w:tabs>
    </w:pPr>
  </w:style>
  <w:style w:type="character" w:customStyle="1" w:styleId="FooterChar">
    <w:name w:val="Footer Char"/>
    <w:basedOn w:val="DefaultParagraphFont"/>
    <w:link w:val="Footer"/>
    <w:uiPriority w:val="99"/>
    <w:rsid w:val="00684A1C"/>
    <w:rPr>
      <w:rFonts w:ascii="Arial" w:eastAsia="Times New Roman" w:hAnsi="Arial" w:cs="Arial"/>
      <w:color w:val="000000"/>
      <w:lang w:eastAsia="en-GB"/>
    </w:rPr>
  </w:style>
  <w:style w:type="paragraph" w:styleId="Revision">
    <w:name w:val="Revision"/>
    <w:hidden/>
    <w:uiPriority w:val="99"/>
    <w:semiHidden/>
    <w:rsid w:val="00E7641E"/>
    <w:pPr>
      <w:spacing w:after="0" w:line="240" w:lineRule="auto"/>
    </w:pPr>
    <w:rPr>
      <w:rFonts w:ascii="Arial" w:eastAsia="Times New Roman" w:hAnsi="Arial" w:cs="Arial"/>
      <w:color w:val="000000"/>
      <w:lang w:eastAsia="en-GB"/>
    </w:rPr>
  </w:style>
  <w:style w:type="paragraph" w:styleId="Caption">
    <w:name w:val="caption"/>
    <w:basedOn w:val="Normal"/>
    <w:next w:val="Normal"/>
    <w:uiPriority w:val="35"/>
    <w:unhideWhenUsed/>
    <w:qFormat/>
    <w:rsid w:val="008B3A88"/>
    <w:pPr>
      <w:keepNext/>
      <w:spacing w:after="200"/>
    </w:pPr>
    <w:rPr>
      <w:b/>
      <w:bCs/>
      <w:i/>
      <w:color w:val="auto"/>
    </w:rPr>
  </w:style>
  <w:style w:type="paragraph" w:styleId="TOCHeading">
    <w:name w:val="TOC Heading"/>
    <w:basedOn w:val="Heading1"/>
    <w:next w:val="Normal"/>
    <w:uiPriority w:val="39"/>
    <w:semiHidden/>
    <w:unhideWhenUsed/>
    <w:qFormat/>
    <w:rsid w:val="00840ECC"/>
    <w:pPr>
      <w:keepLines w:val="0"/>
      <w:tabs>
        <w:tab w:val="left" w:pos="1418"/>
      </w:tabs>
      <w:spacing w:before="120" w:after="60" w:line="288" w:lineRule="auto"/>
      <w:outlineLvl w:val="9"/>
    </w:pPr>
    <w:rPr>
      <w:rFonts w:asciiTheme="majorHAnsi" w:hAnsiTheme="majorHAnsi" w:cstheme="majorBidi"/>
      <w:caps/>
      <w:kern w:val="32"/>
      <w:szCs w:val="32"/>
    </w:rPr>
  </w:style>
  <w:style w:type="paragraph" w:styleId="TOC1">
    <w:name w:val="toc 1"/>
    <w:basedOn w:val="Normal"/>
    <w:next w:val="Normal"/>
    <w:autoRedefine/>
    <w:uiPriority w:val="39"/>
    <w:unhideWhenUsed/>
    <w:rsid w:val="00840ECC"/>
    <w:pPr>
      <w:spacing w:after="100"/>
    </w:pPr>
    <w:rPr>
      <w:rFonts w:asciiTheme="minorHAnsi" w:eastAsiaTheme="minorHAnsi" w:hAnsiTheme="minorHAnsi" w:cstheme="minorBidi"/>
      <w:color w:val="auto"/>
      <w:lang w:eastAsia="en-US"/>
    </w:rPr>
  </w:style>
  <w:style w:type="paragraph" w:styleId="TOC2">
    <w:name w:val="toc 2"/>
    <w:basedOn w:val="Normal"/>
    <w:next w:val="Normal"/>
    <w:autoRedefine/>
    <w:uiPriority w:val="39"/>
    <w:unhideWhenUsed/>
    <w:rsid w:val="00840ECC"/>
    <w:pPr>
      <w:spacing w:after="100"/>
      <w:ind w:left="220"/>
    </w:pPr>
    <w:rPr>
      <w:rFonts w:asciiTheme="minorHAnsi" w:eastAsiaTheme="minorHAnsi" w:hAnsiTheme="minorHAnsi" w:cstheme="minorBidi"/>
      <w:color w:val="auto"/>
      <w:lang w:eastAsia="en-US"/>
    </w:rPr>
  </w:style>
  <w:style w:type="paragraph" w:styleId="TOC3">
    <w:name w:val="toc 3"/>
    <w:basedOn w:val="Normal"/>
    <w:next w:val="Normal"/>
    <w:autoRedefine/>
    <w:uiPriority w:val="39"/>
    <w:unhideWhenUsed/>
    <w:rsid w:val="00840ECC"/>
    <w:pPr>
      <w:tabs>
        <w:tab w:val="right" w:leader="dot" w:pos="9747"/>
      </w:tabs>
      <w:spacing w:after="100"/>
      <w:ind w:left="442"/>
    </w:pPr>
    <w:rPr>
      <w:rFonts w:asciiTheme="minorHAnsi" w:eastAsiaTheme="minorHAnsi" w:hAnsiTheme="minorHAnsi" w:cstheme="minorBidi"/>
      <w:color w:val="auto"/>
      <w:lang w:eastAsia="en-US"/>
    </w:rPr>
  </w:style>
  <w:style w:type="character" w:styleId="LineNumber">
    <w:name w:val="line number"/>
    <w:basedOn w:val="DefaultParagraphFont"/>
    <w:uiPriority w:val="99"/>
    <w:semiHidden/>
    <w:unhideWhenUsed/>
    <w:rsid w:val="00876290"/>
  </w:style>
  <w:style w:type="character" w:customStyle="1" w:styleId="UnresolvedMention1">
    <w:name w:val="Unresolved Mention1"/>
    <w:basedOn w:val="DefaultParagraphFont"/>
    <w:uiPriority w:val="99"/>
    <w:semiHidden/>
    <w:unhideWhenUsed/>
    <w:rsid w:val="00A0607F"/>
    <w:rPr>
      <w:color w:val="605E5C"/>
      <w:shd w:val="clear" w:color="auto" w:fill="E1DFDD"/>
    </w:rPr>
  </w:style>
  <w:style w:type="paragraph" w:styleId="EndnoteText">
    <w:name w:val="endnote text"/>
    <w:basedOn w:val="Normal"/>
    <w:link w:val="EndnoteTextChar"/>
    <w:uiPriority w:val="99"/>
    <w:semiHidden/>
    <w:unhideWhenUsed/>
    <w:rsid w:val="00663D91"/>
    <w:rPr>
      <w:sz w:val="20"/>
      <w:szCs w:val="20"/>
    </w:rPr>
  </w:style>
  <w:style w:type="character" w:customStyle="1" w:styleId="EndnoteTextChar">
    <w:name w:val="Endnote Text Char"/>
    <w:basedOn w:val="DefaultParagraphFont"/>
    <w:link w:val="EndnoteText"/>
    <w:uiPriority w:val="99"/>
    <w:semiHidden/>
    <w:rsid w:val="00663D91"/>
    <w:rPr>
      <w:rFonts w:ascii="Arial" w:eastAsia="Times New Roman" w:hAnsi="Arial" w:cs="Arial"/>
      <w:color w:val="000000"/>
      <w:sz w:val="20"/>
      <w:szCs w:val="20"/>
      <w:lang w:eastAsia="en-GB"/>
    </w:rPr>
  </w:style>
  <w:style w:type="character" w:styleId="EndnoteReference">
    <w:name w:val="endnote reference"/>
    <w:basedOn w:val="DefaultParagraphFont"/>
    <w:uiPriority w:val="99"/>
    <w:semiHidden/>
    <w:unhideWhenUsed/>
    <w:rsid w:val="00663D91"/>
    <w:rPr>
      <w:vertAlign w:val="superscript"/>
    </w:rPr>
  </w:style>
  <w:style w:type="paragraph" w:styleId="FootnoteText">
    <w:name w:val="footnote text"/>
    <w:basedOn w:val="Normal"/>
    <w:link w:val="FootnoteTextChar"/>
    <w:uiPriority w:val="99"/>
    <w:semiHidden/>
    <w:unhideWhenUsed/>
    <w:rsid w:val="00663D91"/>
    <w:rPr>
      <w:sz w:val="20"/>
      <w:szCs w:val="20"/>
    </w:rPr>
  </w:style>
  <w:style w:type="character" w:customStyle="1" w:styleId="FootnoteTextChar">
    <w:name w:val="Footnote Text Char"/>
    <w:basedOn w:val="DefaultParagraphFont"/>
    <w:link w:val="FootnoteText"/>
    <w:uiPriority w:val="99"/>
    <w:semiHidden/>
    <w:rsid w:val="00663D91"/>
    <w:rPr>
      <w:rFonts w:ascii="Arial" w:eastAsia="Times New Roman" w:hAnsi="Arial" w:cs="Arial"/>
      <w:color w:val="000000"/>
      <w:sz w:val="20"/>
      <w:szCs w:val="20"/>
      <w:lang w:eastAsia="en-GB"/>
    </w:rPr>
  </w:style>
  <w:style w:type="character" w:styleId="FootnoteReference">
    <w:name w:val="footnote reference"/>
    <w:basedOn w:val="DefaultParagraphFont"/>
    <w:uiPriority w:val="99"/>
    <w:semiHidden/>
    <w:unhideWhenUsed/>
    <w:rsid w:val="00663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5261">
      <w:bodyDiv w:val="1"/>
      <w:marLeft w:val="0"/>
      <w:marRight w:val="0"/>
      <w:marTop w:val="0"/>
      <w:marBottom w:val="0"/>
      <w:divBdr>
        <w:top w:val="none" w:sz="0" w:space="0" w:color="auto"/>
        <w:left w:val="none" w:sz="0" w:space="0" w:color="auto"/>
        <w:bottom w:val="none" w:sz="0" w:space="0" w:color="auto"/>
        <w:right w:val="none" w:sz="0" w:space="0" w:color="auto"/>
      </w:divBdr>
    </w:div>
    <w:div w:id="51854535">
      <w:bodyDiv w:val="1"/>
      <w:marLeft w:val="0"/>
      <w:marRight w:val="0"/>
      <w:marTop w:val="0"/>
      <w:marBottom w:val="0"/>
      <w:divBdr>
        <w:top w:val="none" w:sz="0" w:space="0" w:color="auto"/>
        <w:left w:val="none" w:sz="0" w:space="0" w:color="auto"/>
        <w:bottom w:val="none" w:sz="0" w:space="0" w:color="auto"/>
        <w:right w:val="none" w:sz="0" w:space="0" w:color="auto"/>
      </w:divBdr>
    </w:div>
    <w:div w:id="70127901">
      <w:bodyDiv w:val="1"/>
      <w:marLeft w:val="0"/>
      <w:marRight w:val="0"/>
      <w:marTop w:val="0"/>
      <w:marBottom w:val="0"/>
      <w:divBdr>
        <w:top w:val="none" w:sz="0" w:space="0" w:color="auto"/>
        <w:left w:val="none" w:sz="0" w:space="0" w:color="auto"/>
        <w:bottom w:val="none" w:sz="0" w:space="0" w:color="auto"/>
        <w:right w:val="none" w:sz="0" w:space="0" w:color="auto"/>
      </w:divBdr>
    </w:div>
    <w:div w:id="143740940">
      <w:bodyDiv w:val="1"/>
      <w:marLeft w:val="0"/>
      <w:marRight w:val="0"/>
      <w:marTop w:val="0"/>
      <w:marBottom w:val="0"/>
      <w:divBdr>
        <w:top w:val="none" w:sz="0" w:space="0" w:color="auto"/>
        <w:left w:val="none" w:sz="0" w:space="0" w:color="auto"/>
        <w:bottom w:val="none" w:sz="0" w:space="0" w:color="auto"/>
        <w:right w:val="none" w:sz="0" w:space="0" w:color="auto"/>
      </w:divBdr>
    </w:div>
    <w:div w:id="233853529">
      <w:bodyDiv w:val="1"/>
      <w:marLeft w:val="0"/>
      <w:marRight w:val="0"/>
      <w:marTop w:val="0"/>
      <w:marBottom w:val="0"/>
      <w:divBdr>
        <w:top w:val="none" w:sz="0" w:space="0" w:color="auto"/>
        <w:left w:val="none" w:sz="0" w:space="0" w:color="auto"/>
        <w:bottom w:val="none" w:sz="0" w:space="0" w:color="auto"/>
        <w:right w:val="none" w:sz="0" w:space="0" w:color="auto"/>
      </w:divBdr>
    </w:div>
    <w:div w:id="247740242">
      <w:bodyDiv w:val="1"/>
      <w:marLeft w:val="0"/>
      <w:marRight w:val="0"/>
      <w:marTop w:val="0"/>
      <w:marBottom w:val="0"/>
      <w:divBdr>
        <w:top w:val="none" w:sz="0" w:space="0" w:color="auto"/>
        <w:left w:val="none" w:sz="0" w:space="0" w:color="auto"/>
        <w:bottom w:val="none" w:sz="0" w:space="0" w:color="auto"/>
        <w:right w:val="none" w:sz="0" w:space="0" w:color="auto"/>
      </w:divBdr>
    </w:div>
    <w:div w:id="296296787">
      <w:bodyDiv w:val="1"/>
      <w:marLeft w:val="0"/>
      <w:marRight w:val="0"/>
      <w:marTop w:val="0"/>
      <w:marBottom w:val="0"/>
      <w:divBdr>
        <w:top w:val="none" w:sz="0" w:space="0" w:color="auto"/>
        <w:left w:val="none" w:sz="0" w:space="0" w:color="auto"/>
        <w:bottom w:val="none" w:sz="0" w:space="0" w:color="auto"/>
        <w:right w:val="none" w:sz="0" w:space="0" w:color="auto"/>
      </w:divBdr>
      <w:divsChild>
        <w:div w:id="1467625563">
          <w:marLeft w:val="600"/>
          <w:marRight w:val="0"/>
          <w:marTop w:val="0"/>
          <w:marBottom w:val="0"/>
          <w:divBdr>
            <w:top w:val="none" w:sz="0" w:space="0" w:color="auto"/>
            <w:left w:val="none" w:sz="0" w:space="0" w:color="auto"/>
            <w:bottom w:val="none" w:sz="0" w:space="0" w:color="auto"/>
            <w:right w:val="none" w:sz="0" w:space="0" w:color="auto"/>
          </w:divBdr>
        </w:div>
        <w:div w:id="778917652">
          <w:marLeft w:val="240"/>
          <w:marRight w:val="0"/>
          <w:marTop w:val="0"/>
          <w:marBottom w:val="0"/>
          <w:divBdr>
            <w:top w:val="none" w:sz="0" w:space="0" w:color="auto"/>
            <w:left w:val="none" w:sz="0" w:space="0" w:color="auto"/>
            <w:bottom w:val="none" w:sz="0" w:space="0" w:color="auto"/>
            <w:right w:val="none" w:sz="0" w:space="0" w:color="auto"/>
          </w:divBdr>
        </w:div>
        <w:div w:id="735779558">
          <w:marLeft w:val="240"/>
          <w:marRight w:val="0"/>
          <w:marTop w:val="0"/>
          <w:marBottom w:val="0"/>
          <w:divBdr>
            <w:top w:val="none" w:sz="0" w:space="0" w:color="auto"/>
            <w:left w:val="none" w:sz="0" w:space="0" w:color="auto"/>
            <w:bottom w:val="none" w:sz="0" w:space="0" w:color="auto"/>
            <w:right w:val="none" w:sz="0" w:space="0" w:color="auto"/>
          </w:divBdr>
        </w:div>
        <w:div w:id="180632207">
          <w:marLeft w:val="240"/>
          <w:marRight w:val="0"/>
          <w:marTop w:val="0"/>
          <w:marBottom w:val="0"/>
          <w:divBdr>
            <w:top w:val="none" w:sz="0" w:space="0" w:color="auto"/>
            <w:left w:val="none" w:sz="0" w:space="0" w:color="auto"/>
            <w:bottom w:val="none" w:sz="0" w:space="0" w:color="auto"/>
            <w:right w:val="none" w:sz="0" w:space="0" w:color="auto"/>
          </w:divBdr>
        </w:div>
        <w:div w:id="439960308">
          <w:marLeft w:val="240"/>
          <w:marRight w:val="0"/>
          <w:marTop w:val="0"/>
          <w:marBottom w:val="0"/>
          <w:divBdr>
            <w:top w:val="none" w:sz="0" w:space="0" w:color="auto"/>
            <w:left w:val="none" w:sz="0" w:space="0" w:color="auto"/>
            <w:bottom w:val="none" w:sz="0" w:space="0" w:color="auto"/>
            <w:right w:val="none" w:sz="0" w:space="0" w:color="auto"/>
          </w:divBdr>
        </w:div>
        <w:div w:id="965356242">
          <w:marLeft w:val="240"/>
          <w:marRight w:val="0"/>
          <w:marTop w:val="0"/>
          <w:marBottom w:val="0"/>
          <w:divBdr>
            <w:top w:val="none" w:sz="0" w:space="0" w:color="auto"/>
            <w:left w:val="none" w:sz="0" w:space="0" w:color="auto"/>
            <w:bottom w:val="none" w:sz="0" w:space="0" w:color="auto"/>
            <w:right w:val="none" w:sz="0" w:space="0" w:color="auto"/>
          </w:divBdr>
        </w:div>
        <w:div w:id="1397895782">
          <w:marLeft w:val="240"/>
          <w:marRight w:val="0"/>
          <w:marTop w:val="0"/>
          <w:marBottom w:val="0"/>
          <w:divBdr>
            <w:top w:val="none" w:sz="0" w:space="0" w:color="auto"/>
            <w:left w:val="none" w:sz="0" w:space="0" w:color="auto"/>
            <w:bottom w:val="none" w:sz="0" w:space="0" w:color="auto"/>
            <w:right w:val="none" w:sz="0" w:space="0" w:color="auto"/>
          </w:divBdr>
        </w:div>
      </w:divsChild>
    </w:div>
    <w:div w:id="303513760">
      <w:bodyDiv w:val="1"/>
      <w:marLeft w:val="0"/>
      <w:marRight w:val="0"/>
      <w:marTop w:val="0"/>
      <w:marBottom w:val="0"/>
      <w:divBdr>
        <w:top w:val="none" w:sz="0" w:space="0" w:color="auto"/>
        <w:left w:val="none" w:sz="0" w:space="0" w:color="auto"/>
        <w:bottom w:val="none" w:sz="0" w:space="0" w:color="auto"/>
        <w:right w:val="none" w:sz="0" w:space="0" w:color="auto"/>
      </w:divBdr>
    </w:div>
    <w:div w:id="372385949">
      <w:bodyDiv w:val="1"/>
      <w:marLeft w:val="0"/>
      <w:marRight w:val="0"/>
      <w:marTop w:val="0"/>
      <w:marBottom w:val="0"/>
      <w:divBdr>
        <w:top w:val="none" w:sz="0" w:space="0" w:color="auto"/>
        <w:left w:val="none" w:sz="0" w:space="0" w:color="auto"/>
        <w:bottom w:val="none" w:sz="0" w:space="0" w:color="auto"/>
        <w:right w:val="none" w:sz="0" w:space="0" w:color="auto"/>
      </w:divBdr>
    </w:div>
    <w:div w:id="404883576">
      <w:bodyDiv w:val="1"/>
      <w:marLeft w:val="0"/>
      <w:marRight w:val="0"/>
      <w:marTop w:val="0"/>
      <w:marBottom w:val="0"/>
      <w:divBdr>
        <w:top w:val="none" w:sz="0" w:space="0" w:color="auto"/>
        <w:left w:val="none" w:sz="0" w:space="0" w:color="auto"/>
        <w:bottom w:val="none" w:sz="0" w:space="0" w:color="auto"/>
        <w:right w:val="none" w:sz="0" w:space="0" w:color="auto"/>
      </w:divBdr>
    </w:div>
    <w:div w:id="429620520">
      <w:bodyDiv w:val="1"/>
      <w:marLeft w:val="0"/>
      <w:marRight w:val="0"/>
      <w:marTop w:val="0"/>
      <w:marBottom w:val="0"/>
      <w:divBdr>
        <w:top w:val="none" w:sz="0" w:space="0" w:color="auto"/>
        <w:left w:val="none" w:sz="0" w:space="0" w:color="auto"/>
        <w:bottom w:val="none" w:sz="0" w:space="0" w:color="auto"/>
        <w:right w:val="none" w:sz="0" w:space="0" w:color="auto"/>
      </w:divBdr>
    </w:div>
    <w:div w:id="454837318">
      <w:bodyDiv w:val="1"/>
      <w:marLeft w:val="0"/>
      <w:marRight w:val="0"/>
      <w:marTop w:val="0"/>
      <w:marBottom w:val="0"/>
      <w:divBdr>
        <w:top w:val="none" w:sz="0" w:space="0" w:color="auto"/>
        <w:left w:val="none" w:sz="0" w:space="0" w:color="auto"/>
        <w:bottom w:val="none" w:sz="0" w:space="0" w:color="auto"/>
        <w:right w:val="none" w:sz="0" w:space="0" w:color="auto"/>
      </w:divBdr>
    </w:div>
    <w:div w:id="464856180">
      <w:bodyDiv w:val="1"/>
      <w:marLeft w:val="0"/>
      <w:marRight w:val="0"/>
      <w:marTop w:val="0"/>
      <w:marBottom w:val="0"/>
      <w:divBdr>
        <w:top w:val="none" w:sz="0" w:space="0" w:color="auto"/>
        <w:left w:val="none" w:sz="0" w:space="0" w:color="auto"/>
        <w:bottom w:val="none" w:sz="0" w:space="0" w:color="auto"/>
        <w:right w:val="none" w:sz="0" w:space="0" w:color="auto"/>
      </w:divBdr>
    </w:div>
    <w:div w:id="476146295">
      <w:bodyDiv w:val="1"/>
      <w:marLeft w:val="0"/>
      <w:marRight w:val="0"/>
      <w:marTop w:val="0"/>
      <w:marBottom w:val="0"/>
      <w:divBdr>
        <w:top w:val="none" w:sz="0" w:space="0" w:color="auto"/>
        <w:left w:val="none" w:sz="0" w:space="0" w:color="auto"/>
        <w:bottom w:val="none" w:sz="0" w:space="0" w:color="auto"/>
        <w:right w:val="none" w:sz="0" w:space="0" w:color="auto"/>
      </w:divBdr>
    </w:div>
    <w:div w:id="549728426">
      <w:bodyDiv w:val="1"/>
      <w:marLeft w:val="0"/>
      <w:marRight w:val="0"/>
      <w:marTop w:val="0"/>
      <w:marBottom w:val="0"/>
      <w:divBdr>
        <w:top w:val="none" w:sz="0" w:space="0" w:color="auto"/>
        <w:left w:val="none" w:sz="0" w:space="0" w:color="auto"/>
        <w:bottom w:val="none" w:sz="0" w:space="0" w:color="auto"/>
        <w:right w:val="none" w:sz="0" w:space="0" w:color="auto"/>
      </w:divBdr>
    </w:div>
    <w:div w:id="580406312">
      <w:bodyDiv w:val="1"/>
      <w:marLeft w:val="0"/>
      <w:marRight w:val="0"/>
      <w:marTop w:val="0"/>
      <w:marBottom w:val="0"/>
      <w:divBdr>
        <w:top w:val="none" w:sz="0" w:space="0" w:color="auto"/>
        <w:left w:val="none" w:sz="0" w:space="0" w:color="auto"/>
        <w:bottom w:val="none" w:sz="0" w:space="0" w:color="auto"/>
        <w:right w:val="none" w:sz="0" w:space="0" w:color="auto"/>
      </w:divBdr>
    </w:div>
    <w:div w:id="588125391">
      <w:bodyDiv w:val="1"/>
      <w:marLeft w:val="0"/>
      <w:marRight w:val="0"/>
      <w:marTop w:val="0"/>
      <w:marBottom w:val="0"/>
      <w:divBdr>
        <w:top w:val="none" w:sz="0" w:space="0" w:color="auto"/>
        <w:left w:val="none" w:sz="0" w:space="0" w:color="auto"/>
        <w:bottom w:val="none" w:sz="0" w:space="0" w:color="auto"/>
        <w:right w:val="none" w:sz="0" w:space="0" w:color="auto"/>
      </w:divBdr>
    </w:div>
    <w:div w:id="595601723">
      <w:bodyDiv w:val="1"/>
      <w:marLeft w:val="0"/>
      <w:marRight w:val="0"/>
      <w:marTop w:val="0"/>
      <w:marBottom w:val="0"/>
      <w:divBdr>
        <w:top w:val="none" w:sz="0" w:space="0" w:color="auto"/>
        <w:left w:val="none" w:sz="0" w:space="0" w:color="auto"/>
        <w:bottom w:val="none" w:sz="0" w:space="0" w:color="auto"/>
        <w:right w:val="none" w:sz="0" w:space="0" w:color="auto"/>
      </w:divBdr>
    </w:div>
    <w:div w:id="597904300">
      <w:bodyDiv w:val="1"/>
      <w:marLeft w:val="0"/>
      <w:marRight w:val="0"/>
      <w:marTop w:val="0"/>
      <w:marBottom w:val="0"/>
      <w:divBdr>
        <w:top w:val="none" w:sz="0" w:space="0" w:color="auto"/>
        <w:left w:val="none" w:sz="0" w:space="0" w:color="auto"/>
        <w:bottom w:val="none" w:sz="0" w:space="0" w:color="auto"/>
        <w:right w:val="none" w:sz="0" w:space="0" w:color="auto"/>
      </w:divBdr>
    </w:div>
    <w:div w:id="622540569">
      <w:bodyDiv w:val="1"/>
      <w:marLeft w:val="0"/>
      <w:marRight w:val="0"/>
      <w:marTop w:val="0"/>
      <w:marBottom w:val="0"/>
      <w:divBdr>
        <w:top w:val="none" w:sz="0" w:space="0" w:color="auto"/>
        <w:left w:val="none" w:sz="0" w:space="0" w:color="auto"/>
        <w:bottom w:val="none" w:sz="0" w:space="0" w:color="auto"/>
        <w:right w:val="none" w:sz="0" w:space="0" w:color="auto"/>
      </w:divBdr>
    </w:div>
    <w:div w:id="697781648">
      <w:bodyDiv w:val="1"/>
      <w:marLeft w:val="0"/>
      <w:marRight w:val="0"/>
      <w:marTop w:val="0"/>
      <w:marBottom w:val="0"/>
      <w:divBdr>
        <w:top w:val="none" w:sz="0" w:space="0" w:color="auto"/>
        <w:left w:val="none" w:sz="0" w:space="0" w:color="auto"/>
        <w:bottom w:val="none" w:sz="0" w:space="0" w:color="auto"/>
        <w:right w:val="none" w:sz="0" w:space="0" w:color="auto"/>
      </w:divBdr>
    </w:div>
    <w:div w:id="710105574">
      <w:bodyDiv w:val="1"/>
      <w:marLeft w:val="0"/>
      <w:marRight w:val="0"/>
      <w:marTop w:val="0"/>
      <w:marBottom w:val="0"/>
      <w:divBdr>
        <w:top w:val="none" w:sz="0" w:space="0" w:color="auto"/>
        <w:left w:val="none" w:sz="0" w:space="0" w:color="auto"/>
        <w:bottom w:val="none" w:sz="0" w:space="0" w:color="auto"/>
        <w:right w:val="none" w:sz="0" w:space="0" w:color="auto"/>
      </w:divBdr>
    </w:div>
    <w:div w:id="735317677">
      <w:bodyDiv w:val="1"/>
      <w:marLeft w:val="0"/>
      <w:marRight w:val="0"/>
      <w:marTop w:val="0"/>
      <w:marBottom w:val="0"/>
      <w:divBdr>
        <w:top w:val="none" w:sz="0" w:space="0" w:color="auto"/>
        <w:left w:val="none" w:sz="0" w:space="0" w:color="auto"/>
        <w:bottom w:val="none" w:sz="0" w:space="0" w:color="auto"/>
        <w:right w:val="none" w:sz="0" w:space="0" w:color="auto"/>
      </w:divBdr>
    </w:div>
    <w:div w:id="739131133">
      <w:bodyDiv w:val="1"/>
      <w:marLeft w:val="0"/>
      <w:marRight w:val="0"/>
      <w:marTop w:val="0"/>
      <w:marBottom w:val="0"/>
      <w:divBdr>
        <w:top w:val="none" w:sz="0" w:space="0" w:color="auto"/>
        <w:left w:val="none" w:sz="0" w:space="0" w:color="auto"/>
        <w:bottom w:val="none" w:sz="0" w:space="0" w:color="auto"/>
        <w:right w:val="none" w:sz="0" w:space="0" w:color="auto"/>
      </w:divBdr>
    </w:div>
    <w:div w:id="769542884">
      <w:bodyDiv w:val="1"/>
      <w:marLeft w:val="0"/>
      <w:marRight w:val="0"/>
      <w:marTop w:val="0"/>
      <w:marBottom w:val="0"/>
      <w:divBdr>
        <w:top w:val="none" w:sz="0" w:space="0" w:color="auto"/>
        <w:left w:val="none" w:sz="0" w:space="0" w:color="auto"/>
        <w:bottom w:val="none" w:sz="0" w:space="0" w:color="auto"/>
        <w:right w:val="none" w:sz="0" w:space="0" w:color="auto"/>
      </w:divBdr>
    </w:div>
    <w:div w:id="787429207">
      <w:bodyDiv w:val="1"/>
      <w:marLeft w:val="0"/>
      <w:marRight w:val="0"/>
      <w:marTop w:val="0"/>
      <w:marBottom w:val="0"/>
      <w:divBdr>
        <w:top w:val="none" w:sz="0" w:space="0" w:color="auto"/>
        <w:left w:val="none" w:sz="0" w:space="0" w:color="auto"/>
        <w:bottom w:val="none" w:sz="0" w:space="0" w:color="auto"/>
        <w:right w:val="none" w:sz="0" w:space="0" w:color="auto"/>
      </w:divBdr>
    </w:div>
    <w:div w:id="818422645">
      <w:bodyDiv w:val="1"/>
      <w:marLeft w:val="0"/>
      <w:marRight w:val="0"/>
      <w:marTop w:val="0"/>
      <w:marBottom w:val="0"/>
      <w:divBdr>
        <w:top w:val="none" w:sz="0" w:space="0" w:color="auto"/>
        <w:left w:val="none" w:sz="0" w:space="0" w:color="auto"/>
        <w:bottom w:val="none" w:sz="0" w:space="0" w:color="auto"/>
        <w:right w:val="none" w:sz="0" w:space="0" w:color="auto"/>
      </w:divBdr>
    </w:div>
    <w:div w:id="830175352">
      <w:bodyDiv w:val="1"/>
      <w:marLeft w:val="0"/>
      <w:marRight w:val="0"/>
      <w:marTop w:val="0"/>
      <w:marBottom w:val="0"/>
      <w:divBdr>
        <w:top w:val="none" w:sz="0" w:space="0" w:color="auto"/>
        <w:left w:val="none" w:sz="0" w:space="0" w:color="auto"/>
        <w:bottom w:val="none" w:sz="0" w:space="0" w:color="auto"/>
        <w:right w:val="none" w:sz="0" w:space="0" w:color="auto"/>
      </w:divBdr>
    </w:div>
    <w:div w:id="864027463">
      <w:bodyDiv w:val="1"/>
      <w:marLeft w:val="0"/>
      <w:marRight w:val="0"/>
      <w:marTop w:val="0"/>
      <w:marBottom w:val="0"/>
      <w:divBdr>
        <w:top w:val="none" w:sz="0" w:space="0" w:color="auto"/>
        <w:left w:val="none" w:sz="0" w:space="0" w:color="auto"/>
        <w:bottom w:val="none" w:sz="0" w:space="0" w:color="auto"/>
        <w:right w:val="none" w:sz="0" w:space="0" w:color="auto"/>
      </w:divBdr>
    </w:div>
    <w:div w:id="864640075">
      <w:bodyDiv w:val="1"/>
      <w:marLeft w:val="0"/>
      <w:marRight w:val="0"/>
      <w:marTop w:val="0"/>
      <w:marBottom w:val="0"/>
      <w:divBdr>
        <w:top w:val="none" w:sz="0" w:space="0" w:color="auto"/>
        <w:left w:val="none" w:sz="0" w:space="0" w:color="auto"/>
        <w:bottom w:val="none" w:sz="0" w:space="0" w:color="auto"/>
        <w:right w:val="none" w:sz="0" w:space="0" w:color="auto"/>
      </w:divBdr>
    </w:div>
    <w:div w:id="892732920">
      <w:bodyDiv w:val="1"/>
      <w:marLeft w:val="0"/>
      <w:marRight w:val="0"/>
      <w:marTop w:val="0"/>
      <w:marBottom w:val="0"/>
      <w:divBdr>
        <w:top w:val="none" w:sz="0" w:space="0" w:color="auto"/>
        <w:left w:val="none" w:sz="0" w:space="0" w:color="auto"/>
        <w:bottom w:val="none" w:sz="0" w:space="0" w:color="auto"/>
        <w:right w:val="none" w:sz="0" w:space="0" w:color="auto"/>
      </w:divBdr>
    </w:div>
    <w:div w:id="1024333034">
      <w:bodyDiv w:val="1"/>
      <w:marLeft w:val="0"/>
      <w:marRight w:val="0"/>
      <w:marTop w:val="0"/>
      <w:marBottom w:val="0"/>
      <w:divBdr>
        <w:top w:val="none" w:sz="0" w:space="0" w:color="auto"/>
        <w:left w:val="none" w:sz="0" w:space="0" w:color="auto"/>
        <w:bottom w:val="none" w:sz="0" w:space="0" w:color="auto"/>
        <w:right w:val="none" w:sz="0" w:space="0" w:color="auto"/>
      </w:divBdr>
    </w:div>
    <w:div w:id="1027099281">
      <w:bodyDiv w:val="1"/>
      <w:marLeft w:val="0"/>
      <w:marRight w:val="0"/>
      <w:marTop w:val="0"/>
      <w:marBottom w:val="0"/>
      <w:divBdr>
        <w:top w:val="none" w:sz="0" w:space="0" w:color="auto"/>
        <w:left w:val="none" w:sz="0" w:space="0" w:color="auto"/>
        <w:bottom w:val="none" w:sz="0" w:space="0" w:color="auto"/>
        <w:right w:val="none" w:sz="0" w:space="0" w:color="auto"/>
      </w:divBdr>
    </w:div>
    <w:div w:id="1062098107">
      <w:bodyDiv w:val="1"/>
      <w:marLeft w:val="0"/>
      <w:marRight w:val="0"/>
      <w:marTop w:val="0"/>
      <w:marBottom w:val="0"/>
      <w:divBdr>
        <w:top w:val="none" w:sz="0" w:space="0" w:color="auto"/>
        <w:left w:val="none" w:sz="0" w:space="0" w:color="auto"/>
        <w:bottom w:val="none" w:sz="0" w:space="0" w:color="auto"/>
        <w:right w:val="none" w:sz="0" w:space="0" w:color="auto"/>
      </w:divBdr>
    </w:div>
    <w:div w:id="1105033350">
      <w:bodyDiv w:val="1"/>
      <w:marLeft w:val="0"/>
      <w:marRight w:val="0"/>
      <w:marTop w:val="0"/>
      <w:marBottom w:val="0"/>
      <w:divBdr>
        <w:top w:val="none" w:sz="0" w:space="0" w:color="auto"/>
        <w:left w:val="none" w:sz="0" w:space="0" w:color="auto"/>
        <w:bottom w:val="none" w:sz="0" w:space="0" w:color="auto"/>
        <w:right w:val="none" w:sz="0" w:space="0" w:color="auto"/>
      </w:divBdr>
    </w:div>
    <w:div w:id="1172259647">
      <w:bodyDiv w:val="1"/>
      <w:marLeft w:val="0"/>
      <w:marRight w:val="0"/>
      <w:marTop w:val="0"/>
      <w:marBottom w:val="0"/>
      <w:divBdr>
        <w:top w:val="none" w:sz="0" w:space="0" w:color="auto"/>
        <w:left w:val="none" w:sz="0" w:space="0" w:color="auto"/>
        <w:bottom w:val="none" w:sz="0" w:space="0" w:color="auto"/>
        <w:right w:val="none" w:sz="0" w:space="0" w:color="auto"/>
      </w:divBdr>
      <w:divsChild>
        <w:div w:id="101995775">
          <w:marLeft w:val="600"/>
          <w:marRight w:val="0"/>
          <w:marTop w:val="0"/>
          <w:marBottom w:val="0"/>
          <w:divBdr>
            <w:top w:val="none" w:sz="0" w:space="0" w:color="auto"/>
            <w:left w:val="none" w:sz="0" w:space="0" w:color="auto"/>
            <w:bottom w:val="none" w:sz="0" w:space="0" w:color="auto"/>
            <w:right w:val="none" w:sz="0" w:space="0" w:color="auto"/>
          </w:divBdr>
        </w:div>
        <w:div w:id="1742870398">
          <w:marLeft w:val="240"/>
          <w:marRight w:val="0"/>
          <w:marTop w:val="0"/>
          <w:marBottom w:val="0"/>
          <w:divBdr>
            <w:top w:val="none" w:sz="0" w:space="0" w:color="auto"/>
            <w:left w:val="none" w:sz="0" w:space="0" w:color="auto"/>
            <w:bottom w:val="none" w:sz="0" w:space="0" w:color="auto"/>
            <w:right w:val="none" w:sz="0" w:space="0" w:color="auto"/>
          </w:divBdr>
        </w:div>
        <w:div w:id="1387755111">
          <w:marLeft w:val="240"/>
          <w:marRight w:val="0"/>
          <w:marTop w:val="0"/>
          <w:marBottom w:val="0"/>
          <w:divBdr>
            <w:top w:val="none" w:sz="0" w:space="0" w:color="auto"/>
            <w:left w:val="none" w:sz="0" w:space="0" w:color="auto"/>
            <w:bottom w:val="none" w:sz="0" w:space="0" w:color="auto"/>
            <w:right w:val="none" w:sz="0" w:space="0" w:color="auto"/>
          </w:divBdr>
        </w:div>
        <w:div w:id="2110349514">
          <w:marLeft w:val="240"/>
          <w:marRight w:val="0"/>
          <w:marTop w:val="0"/>
          <w:marBottom w:val="0"/>
          <w:divBdr>
            <w:top w:val="none" w:sz="0" w:space="0" w:color="auto"/>
            <w:left w:val="none" w:sz="0" w:space="0" w:color="auto"/>
            <w:bottom w:val="none" w:sz="0" w:space="0" w:color="auto"/>
            <w:right w:val="none" w:sz="0" w:space="0" w:color="auto"/>
          </w:divBdr>
        </w:div>
        <w:div w:id="971524919">
          <w:marLeft w:val="240"/>
          <w:marRight w:val="0"/>
          <w:marTop w:val="0"/>
          <w:marBottom w:val="0"/>
          <w:divBdr>
            <w:top w:val="none" w:sz="0" w:space="0" w:color="auto"/>
            <w:left w:val="none" w:sz="0" w:space="0" w:color="auto"/>
            <w:bottom w:val="none" w:sz="0" w:space="0" w:color="auto"/>
            <w:right w:val="none" w:sz="0" w:space="0" w:color="auto"/>
          </w:divBdr>
        </w:div>
        <w:div w:id="423649819">
          <w:marLeft w:val="240"/>
          <w:marRight w:val="0"/>
          <w:marTop w:val="0"/>
          <w:marBottom w:val="0"/>
          <w:divBdr>
            <w:top w:val="none" w:sz="0" w:space="0" w:color="auto"/>
            <w:left w:val="none" w:sz="0" w:space="0" w:color="auto"/>
            <w:bottom w:val="none" w:sz="0" w:space="0" w:color="auto"/>
            <w:right w:val="none" w:sz="0" w:space="0" w:color="auto"/>
          </w:divBdr>
        </w:div>
        <w:div w:id="1343167328">
          <w:marLeft w:val="240"/>
          <w:marRight w:val="0"/>
          <w:marTop w:val="0"/>
          <w:marBottom w:val="0"/>
          <w:divBdr>
            <w:top w:val="none" w:sz="0" w:space="0" w:color="auto"/>
            <w:left w:val="none" w:sz="0" w:space="0" w:color="auto"/>
            <w:bottom w:val="none" w:sz="0" w:space="0" w:color="auto"/>
            <w:right w:val="none" w:sz="0" w:space="0" w:color="auto"/>
          </w:divBdr>
        </w:div>
      </w:divsChild>
    </w:div>
    <w:div w:id="1196388339">
      <w:bodyDiv w:val="1"/>
      <w:marLeft w:val="0"/>
      <w:marRight w:val="0"/>
      <w:marTop w:val="0"/>
      <w:marBottom w:val="0"/>
      <w:divBdr>
        <w:top w:val="none" w:sz="0" w:space="0" w:color="auto"/>
        <w:left w:val="none" w:sz="0" w:space="0" w:color="auto"/>
        <w:bottom w:val="none" w:sz="0" w:space="0" w:color="auto"/>
        <w:right w:val="none" w:sz="0" w:space="0" w:color="auto"/>
      </w:divBdr>
    </w:div>
    <w:div w:id="1264801997">
      <w:bodyDiv w:val="1"/>
      <w:marLeft w:val="0"/>
      <w:marRight w:val="0"/>
      <w:marTop w:val="0"/>
      <w:marBottom w:val="0"/>
      <w:divBdr>
        <w:top w:val="none" w:sz="0" w:space="0" w:color="auto"/>
        <w:left w:val="none" w:sz="0" w:space="0" w:color="auto"/>
        <w:bottom w:val="none" w:sz="0" w:space="0" w:color="auto"/>
        <w:right w:val="none" w:sz="0" w:space="0" w:color="auto"/>
      </w:divBdr>
    </w:div>
    <w:div w:id="1310746475">
      <w:bodyDiv w:val="1"/>
      <w:marLeft w:val="0"/>
      <w:marRight w:val="0"/>
      <w:marTop w:val="0"/>
      <w:marBottom w:val="0"/>
      <w:divBdr>
        <w:top w:val="none" w:sz="0" w:space="0" w:color="auto"/>
        <w:left w:val="none" w:sz="0" w:space="0" w:color="auto"/>
        <w:bottom w:val="none" w:sz="0" w:space="0" w:color="auto"/>
        <w:right w:val="none" w:sz="0" w:space="0" w:color="auto"/>
      </w:divBdr>
    </w:div>
    <w:div w:id="1318799840">
      <w:bodyDiv w:val="1"/>
      <w:marLeft w:val="0"/>
      <w:marRight w:val="0"/>
      <w:marTop w:val="0"/>
      <w:marBottom w:val="0"/>
      <w:divBdr>
        <w:top w:val="none" w:sz="0" w:space="0" w:color="auto"/>
        <w:left w:val="none" w:sz="0" w:space="0" w:color="auto"/>
        <w:bottom w:val="none" w:sz="0" w:space="0" w:color="auto"/>
        <w:right w:val="none" w:sz="0" w:space="0" w:color="auto"/>
      </w:divBdr>
    </w:div>
    <w:div w:id="1322540039">
      <w:bodyDiv w:val="1"/>
      <w:marLeft w:val="0"/>
      <w:marRight w:val="0"/>
      <w:marTop w:val="0"/>
      <w:marBottom w:val="0"/>
      <w:divBdr>
        <w:top w:val="none" w:sz="0" w:space="0" w:color="auto"/>
        <w:left w:val="none" w:sz="0" w:space="0" w:color="auto"/>
        <w:bottom w:val="none" w:sz="0" w:space="0" w:color="auto"/>
        <w:right w:val="none" w:sz="0" w:space="0" w:color="auto"/>
      </w:divBdr>
    </w:div>
    <w:div w:id="1382023880">
      <w:bodyDiv w:val="1"/>
      <w:marLeft w:val="0"/>
      <w:marRight w:val="0"/>
      <w:marTop w:val="0"/>
      <w:marBottom w:val="0"/>
      <w:divBdr>
        <w:top w:val="none" w:sz="0" w:space="0" w:color="auto"/>
        <w:left w:val="none" w:sz="0" w:space="0" w:color="auto"/>
        <w:bottom w:val="none" w:sz="0" w:space="0" w:color="auto"/>
        <w:right w:val="none" w:sz="0" w:space="0" w:color="auto"/>
      </w:divBdr>
    </w:div>
    <w:div w:id="1389845397">
      <w:bodyDiv w:val="1"/>
      <w:marLeft w:val="0"/>
      <w:marRight w:val="0"/>
      <w:marTop w:val="0"/>
      <w:marBottom w:val="0"/>
      <w:divBdr>
        <w:top w:val="none" w:sz="0" w:space="0" w:color="auto"/>
        <w:left w:val="none" w:sz="0" w:space="0" w:color="auto"/>
        <w:bottom w:val="none" w:sz="0" w:space="0" w:color="auto"/>
        <w:right w:val="none" w:sz="0" w:space="0" w:color="auto"/>
      </w:divBdr>
    </w:div>
    <w:div w:id="1434981170">
      <w:bodyDiv w:val="1"/>
      <w:marLeft w:val="0"/>
      <w:marRight w:val="0"/>
      <w:marTop w:val="0"/>
      <w:marBottom w:val="0"/>
      <w:divBdr>
        <w:top w:val="none" w:sz="0" w:space="0" w:color="auto"/>
        <w:left w:val="none" w:sz="0" w:space="0" w:color="auto"/>
        <w:bottom w:val="none" w:sz="0" w:space="0" w:color="auto"/>
        <w:right w:val="none" w:sz="0" w:space="0" w:color="auto"/>
      </w:divBdr>
    </w:div>
    <w:div w:id="1446658014">
      <w:bodyDiv w:val="1"/>
      <w:marLeft w:val="0"/>
      <w:marRight w:val="0"/>
      <w:marTop w:val="0"/>
      <w:marBottom w:val="0"/>
      <w:divBdr>
        <w:top w:val="none" w:sz="0" w:space="0" w:color="auto"/>
        <w:left w:val="none" w:sz="0" w:space="0" w:color="auto"/>
        <w:bottom w:val="none" w:sz="0" w:space="0" w:color="auto"/>
        <w:right w:val="none" w:sz="0" w:space="0" w:color="auto"/>
      </w:divBdr>
    </w:div>
    <w:div w:id="1476488908">
      <w:bodyDiv w:val="1"/>
      <w:marLeft w:val="0"/>
      <w:marRight w:val="0"/>
      <w:marTop w:val="0"/>
      <w:marBottom w:val="0"/>
      <w:divBdr>
        <w:top w:val="none" w:sz="0" w:space="0" w:color="auto"/>
        <w:left w:val="none" w:sz="0" w:space="0" w:color="auto"/>
        <w:bottom w:val="none" w:sz="0" w:space="0" w:color="auto"/>
        <w:right w:val="none" w:sz="0" w:space="0" w:color="auto"/>
      </w:divBdr>
    </w:div>
    <w:div w:id="1496529341">
      <w:bodyDiv w:val="1"/>
      <w:marLeft w:val="0"/>
      <w:marRight w:val="0"/>
      <w:marTop w:val="0"/>
      <w:marBottom w:val="0"/>
      <w:divBdr>
        <w:top w:val="none" w:sz="0" w:space="0" w:color="auto"/>
        <w:left w:val="none" w:sz="0" w:space="0" w:color="auto"/>
        <w:bottom w:val="none" w:sz="0" w:space="0" w:color="auto"/>
        <w:right w:val="none" w:sz="0" w:space="0" w:color="auto"/>
      </w:divBdr>
    </w:div>
    <w:div w:id="1501433201">
      <w:bodyDiv w:val="1"/>
      <w:marLeft w:val="0"/>
      <w:marRight w:val="0"/>
      <w:marTop w:val="0"/>
      <w:marBottom w:val="0"/>
      <w:divBdr>
        <w:top w:val="none" w:sz="0" w:space="0" w:color="auto"/>
        <w:left w:val="none" w:sz="0" w:space="0" w:color="auto"/>
        <w:bottom w:val="none" w:sz="0" w:space="0" w:color="auto"/>
        <w:right w:val="none" w:sz="0" w:space="0" w:color="auto"/>
      </w:divBdr>
    </w:div>
    <w:div w:id="1560632169">
      <w:bodyDiv w:val="1"/>
      <w:marLeft w:val="0"/>
      <w:marRight w:val="0"/>
      <w:marTop w:val="0"/>
      <w:marBottom w:val="0"/>
      <w:divBdr>
        <w:top w:val="none" w:sz="0" w:space="0" w:color="auto"/>
        <w:left w:val="none" w:sz="0" w:space="0" w:color="auto"/>
        <w:bottom w:val="none" w:sz="0" w:space="0" w:color="auto"/>
        <w:right w:val="none" w:sz="0" w:space="0" w:color="auto"/>
      </w:divBdr>
    </w:div>
    <w:div w:id="1569221092">
      <w:bodyDiv w:val="1"/>
      <w:marLeft w:val="0"/>
      <w:marRight w:val="0"/>
      <w:marTop w:val="0"/>
      <w:marBottom w:val="0"/>
      <w:divBdr>
        <w:top w:val="none" w:sz="0" w:space="0" w:color="auto"/>
        <w:left w:val="none" w:sz="0" w:space="0" w:color="auto"/>
        <w:bottom w:val="none" w:sz="0" w:space="0" w:color="auto"/>
        <w:right w:val="none" w:sz="0" w:space="0" w:color="auto"/>
      </w:divBdr>
    </w:div>
    <w:div w:id="1597595849">
      <w:bodyDiv w:val="1"/>
      <w:marLeft w:val="0"/>
      <w:marRight w:val="0"/>
      <w:marTop w:val="0"/>
      <w:marBottom w:val="0"/>
      <w:divBdr>
        <w:top w:val="none" w:sz="0" w:space="0" w:color="auto"/>
        <w:left w:val="none" w:sz="0" w:space="0" w:color="auto"/>
        <w:bottom w:val="none" w:sz="0" w:space="0" w:color="auto"/>
        <w:right w:val="none" w:sz="0" w:space="0" w:color="auto"/>
      </w:divBdr>
    </w:div>
    <w:div w:id="1609771230">
      <w:bodyDiv w:val="1"/>
      <w:marLeft w:val="0"/>
      <w:marRight w:val="0"/>
      <w:marTop w:val="0"/>
      <w:marBottom w:val="0"/>
      <w:divBdr>
        <w:top w:val="none" w:sz="0" w:space="0" w:color="auto"/>
        <w:left w:val="none" w:sz="0" w:space="0" w:color="auto"/>
        <w:bottom w:val="none" w:sz="0" w:space="0" w:color="auto"/>
        <w:right w:val="none" w:sz="0" w:space="0" w:color="auto"/>
      </w:divBdr>
    </w:div>
    <w:div w:id="1623347210">
      <w:bodyDiv w:val="1"/>
      <w:marLeft w:val="0"/>
      <w:marRight w:val="0"/>
      <w:marTop w:val="0"/>
      <w:marBottom w:val="0"/>
      <w:divBdr>
        <w:top w:val="none" w:sz="0" w:space="0" w:color="auto"/>
        <w:left w:val="none" w:sz="0" w:space="0" w:color="auto"/>
        <w:bottom w:val="none" w:sz="0" w:space="0" w:color="auto"/>
        <w:right w:val="none" w:sz="0" w:space="0" w:color="auto"/>
      </w:divBdr>
    </w:div>
    <w:div w:id="1656954712">
      <w:bodyDiv w:val="1"/>
      <w:marLeft w:val="0"/>
      <w:marRight w:val="0"/>
      <w:marTop w:val="0"/>
      <w:marBottom w:val="0"/>
      <w:divBdr>
        <w:top w:val="none" w:sz="0" w:space="0" w:color="auto"/>
        <w:left w:val="none" w:sz="0" w:space="0" w:color="auto"/>
        <w:bottom w:val="none" w:sz="0" w:space="0" w:color="auto"/>
        <w:right w:val="none" w:sz="0" w:space="0" w:color="auto"/>
      </w:divBdr>
    </w:div>
    <w:div w:id="1670789110">
      <w:bodyDiv w:val="1"/>
      <w:marLeft w:val="0"/>
      <w:marRight w:val="0"/>
      <w:marTop w:val="0"/>
      <w:marBottom w:val="0"/>
      <w:divBdr>
        <w:top w:val="none" w:sz="0" w:space="0" w:color="auto"/>
        <w:left w:val="none" w:sz="0" w:space="0" w:color="auto"/>
        <w:bottom w:val="none" w:sz="0" w:space="0" w:color="auto"/>
        <w:right w:val="none" w:sz="0" w:space="0" w:color="auto"/>
      </w:divBdr>
    </w:div>
    <w:div w:id="1712614437">
      <w:bodyDiv w:val="1"/>
      <w:marLeft w:val="0"/>
      <w:marRight w:val="0"/>
      <w:marTop w:val="0"/>
      <w:marBottom w:val="0"/>
      <w:divBdr>
        <w:top w:val="none" w:sz="0" w:space="0" w:color="auto"/>
        <w:left w:val="none" w:sz="0" w:space="0" w:color="auto"/>
        <w:bottom w:val="none" w:sz="0" w:space="0" w:color="auto"/>
        <w:right w:val="none" w:sz="0" w:space="0" w:color="auto"/>
      </w:divBdr>
    </w:div>
    <w:div w:id="1718889701">
      <w:bodyDiv w:val="1"/>
      <w:marLeft w:val="0"/>
      <w:marRight w:val="0"/>
      <w:marTop w:val="0"/>
      <w:marBottom w:val="0"/>
      <w:divBdr>
        <w:top w:val="none" w:sz="0" w:space="0" w:color="auto"/>
        <w:left w:val="none" w:sz="0" w:space="0" w:color="auto"/>
        <w:bottom w:val="none" w:sz="0" w:space="0" w:color="auto"/>
        <w:right w:val="none" w:sz="0" w:space="0" w:color="auto"/>
      </w:divBdr>
    </w:div>
    <w:div w:id="1727145219">
      <w:bodyDiv w:val="1"/>
      <w:marLeft w:val="0"/>
      <w:marRight w:val="0"/>
      <w:marTop w:val="0"/>
      <w:marBottom w:val="0"/>
      <w:divBdr>
        <w:top w:val="none" w:sz="0" w:space="0" w:color="auto"/>
        <w:left w:val="none" w:sz="0" w:space="0" w:color="auto"/>
        <w:bottom w:val="none" w:sz="0" w:space="0" w:color="auto"/>
        <w:right w:val="none" w:sz="0" w:space="0" w:color="auto"/>
      </w:divBdr>
    </w:div>
    <w:div w:id="1731423980">
      <w:bodyDiv w:val="1"/>
      <w:marLeft w:val="0"/>
      <w:marRight w:val="0"/>
      <w:marTop w:val="0"/>
      <w:marBottom w:val="0"/>
      <w:divBdr>
        <w:top w:val="none" w:sz="0" w:space="0" w:color="auto"/>
        <w:left w:val="none" w:sz="0" w:space="0" w:color="auto"/>
        <w:bottom w:val="none" w:sz="0" w:space="0" w:color="auto"/>
        <w:right w:val="none" w:sz="0" w:space="0" w:color="auto"/>
      </w:divBdr>
    </w:div>
    <w:div w:id="1771469716">
      <w:bodyDiv w:val="1"/>
      <w:marLeft w:val="0"/>
      <w:marRight w:val="0"/>
      <w:marTop w:val="0"/>
      <w:marBottom w:val="0"/>
      <w:divBdr>
        <w:top w:val="none" w:sz="0" w:space="0" w:color="auto"/>
        <w:left w:val="none" w:sz="0" w:space="0" w:color="auto"/>
        <w:bottom w:val="none" w:sz="0" w:space="0" w:color="auto"/>
        <w:right w:val="none" w:sz="0" w:space="0" w:color="auto"/>
      </w:divBdr>
    </w:div>
    <w:div w:id="1781997257">
      <w:bodyDiv w:val="1"/>
      <w:marLeft w:val="0"/>
      <w:marRight w:val="0"/>
      <w:marTop w:val="0"/>
      <w:marBottom w:val="0"/>
      <w:divBdr>
        <w:top w:val="none" w:sz="0" w:space="0" w:color="auto"/>
        <w:left w:val="none" w:sz="0" w:space="0" w:color="auto"/>
        <w:bottom w:val="none" w:sz="0" w:space="0" w:color="auto"/>
        <w:right w:val="none" w:sz="0" w:space="0" w:color="auto"/>
      </w:divBdr>
    </w:div>
    <w:div w:id="1801921033">
      <w:bodyDiv w:val="1"/>
      <w:marLeft w:val="0"/>
      <w:marRight w:val="0"/>
      <w:marTop w:val="0"/>
      <w:marBottom w:val="0"/>
      <w:divBdr>
        <w:top w:val="none" w:sz="0" w:space="0" w:color="auto"/>
        <w:left w:val="none" w:sz="0" w:space="0" w:color="auto"/>
        <w:bottom w:val="none" w:sz="0" w:space="0" w:color="auto"/>
        <w:right w:val="none" w:sz="0" w:space="0" w:color="auto"/>
      </w:divBdr>
    </w:div>
    <w:div w:id="1847744572">
      <w:bodyDiv w:val="1"/>
      <w:marLeft w:val="0"/>
      <w:marRight w:val="0"/>
      <w:marTop w:val="0"/>
      <w:marBottom w:val="0"/>
      <w:divBdr>
        <w:top w:val="none" w:sz="0" w:space="0" w:color="auto"/>
        <w:left w:val="none" w:sz="0" w:space="0" w:color="auto"/>
        <w:bottom w:val="none" w:sz="0" w:space="0" w:color="auto"/>
        <w:right w:val="none" w:sz="0" w:space="0" w:color="auto"/>
      </w:divBdr>
    </w:div>
    <w:div w:id="1870486307">
      <w:bodyDiv w:val="1"/>
      <w:marLeft w:val="0"/>
      <w:marRight w:val="0"/>
      <w:marTop w:val="0"/>
      <w:marBottom w:val="0"/>
      <w:divBdr>
        <w:top w:val="none" w:sz="0" w:space="0" w:color="auto"/>
        <w:left w:val="none" w:sz="0" w:space="0" w:color="auto"/>
        <w:bottom w:val="none" w:sz="0" w:space="0" w:color="auto"/>
        <w:right w:val="none" w:sz="0" w:space="0" w:color="auto"/>
      </w:divBdr>
    </w:div>
    <w:div w:id="1872917294">
      <w:bodyDiv w:val="1"/>
      <w:marLeft w:val="0"/>
      <w:marRight w:val="0"/>
      <w:marTop w:val="0"/>
      <w:marBottom w:val="0"/>
      <w:divBdr>
        <w:top w:val="none" w:sz="0" w:space="0" w:color="auto"/>
        <w:left w:val="none" w:sz="0" w:space="0" w:color="auto"/>
        <w:bottom w:val="none" w:sz="0" w:space="0" w:color="auto"/>
        <w:right w:val="none" w:sz="0" w:space="0" w:color="auto"/>
      </w:divBdr>
    </w:div>
    <w:div w:id="1885091391">
      <w:bodyDiv w:val="1"/>
      <w:marLeft w:val="0"/>
      <w:marRight w:val="0"/>
      <w:marTop w:val="0"/>
      <w:marBottom w:val="0"/>
      <w:divBdr>
        <w:top w:val="none" w:sz="0" w:space="0" w:color="auto"/>
        <w:left w:val="none" w:sz="0" w:space="0" w:color="auto"/>
        <w:bottom w:val="none" w:sz="0" w:space="0" w:color="auto"/>
        <w:right w:val="none" w:sz="0" w:space="0" w:color="auto"/>
      </w:divBdr>
    </w:div>
    <w:div w:id="1892040370">
      <w:bodyDiv w:val="1"/>
      <w:marLeft w:val="0"/>
      <w:marRight w:val="0"/>
      <w:marTop w:val="0"/>
      <w:marBottom w:val="0"/>
      <w:divBdr>
        <w:top w:val="none" w:sz="0" w:space="0" w:color="auto"/>
        <w:left w:val="none" w:sz="0" w:space="0" w:color="auto"/>
        <w:bottom w:val="none" w:sz="0" w:space="0" w:color="auto"/>
        <w:right w:val="none" w:sz="0" w:space="0" w:color="auto"/>
      </w:divBdr>
    </w:div>
    <w:div w:id="1995836485">
      <w:bodyDiv w:val="1"/>
      <w:marLeft w:val="0"/>
      <w:marRight w:val="0"/>
      <w:marTop w:val="0"/>
      <w:marBottom w:val="0"/>
      <w:divBdr>
        <w:top w:val="none" w:sz="0" w:space="0" w:color="auto"/>
        <w:left w:val="none" w:sz="0" w:space="0" w:color="auto"/>
        <w:bottom w:val="none" w:sz="0" w:space="0" w:color="auto"/>
        <w:right w:val="none" w:sz="0" w:space="0" w:color="auto"/>
      </w:divBdr>
      <w:divsChild>
        <w:div w:id="836459205">
          <w:marLeft w:val="600"/>
          <w:marRight w:val="0"/>
          <w:marTop w:val="0"/>
          <w:marBottom w:val="0"/>
          <w:divBdr>
            <w:top w:val="none" w:sz="0" w:space="0" w:color="auto"/>
            <w:left w:val="none" w:sz="0" w:space="0" w:color="auto"/>
            <w:bottom w:val="none" w:sz="0" w:space="0" w:color="auto"/>
            <w:right w:val="none" w:sz="0" w:space="0" w:color="auto"/>
          </w:divBdr>
        </w:div>
        <w:div w:id="1253246112">
          <w:marLeft w:val="240"/>
          <w:marRight w:val="0"/>
          <w:marTop w:val="0"/>
          <w:marBottom w:val="0"/>
          <w:divBdr>
            <w:top w:val="none" w:sz="0" w:space="0" w:color="auto"/>
            <w:left w:val="none" w:sz="0" w:space="0" w:color="auto"/>
            <w:bottom w:val="none" w:sz="0" w:space="0" w:color="auto"/>
            <w:right w:val="none" w:sz="0" w:space="0" w:color="auto"/>
          </w:divBdr>
        </w:div>
        <w:div w:id="1877430393">
          <w:marLeft w:val="240"/>
          <w:marRight w:val="0"/>
          <w:marTop w:val="0"/>
          <w:marBottom w:val="0"/>
          <w:divBdr>
            <w:top w:val="none" w:sz="0" w:space="0" w:color="auto"/>
            <w:left w:val="none" w:sz="0" w:space="0" w:color="auto"/>
            <w:bottom w:val="none" w:sz="0" w:space="0" w:color="auto"/>
            <w:right w:val="none" w:sz="0" w:space="0" w:color="auto"/>
          </w:divBdr>
        </w:div>
        <w:div w:id="1272973450">
          <w:marLeft w:val="240"/>
          <w:marRight w:val="0"/>
          <w:marTop w:val="0"/>
          <w:marBottom w:val="0"/>
          <w:divBdr>
            <w:top w:val="none" w:sz="0" w:space="0" w:color="auto"/>
            <w:left w:val="none" w:sz="0" w:space="0" w:color="auto"/>
            <w:bottom w:val="none" w:sz="0" w:space="0" w:color="auto"/>
            <w:right w:val="none" w:sz="0" w:space="0" w:color="auto"/>
          </w:divBdr>
        </w:div>
        <w:div w:id="723256794">
          <w:marLeft w:val="240"/>
          <w:marRight w:val="0"/>
          <w:marTop w:val="0"/>
          <w:marBottom w:val="0"/>
          <w:divBdr>
            <w:top w:val="none" w:sz="0" w:space="0" w:color="auto"/>
            <w:left w:val="none" w:sz="0" w:space="0" w:color="auto"/>
            <w:bottom w:val="none" w:sz="0" w:space="0" w:color="auto"/>
            <w:right w:val="none" w:sz="0" w:space="0" w:color="auto"/>
          </w:divBdr>
        </w:div>
        <w:div w:id="1979217232">
          <w:marLeft w:val="240"/>
          <w:marRight w:val="0"/>
          <w:marTop w:val="0"/>
          <w:marBottom w:val="0"/>
          <w:divBdr>
            <w:top w:val="none" w:sz="0" w:space="0" w:color="auto"/>
            <w:left w:val="none" w:sz="0" w:space="0" w:color="auto"/>
            <w:bottom w:val="none" w:sz="0" w:space="0" w:color="auto"/>
            <w:right w:val="none" w:sz="0" w:space="0" w:color="auto"/>
          </w:divBdr>
        </w:div>
        <w:div w:id="900601834">
          <w:marLeft w:val="240"/>
          <w:marRight w:val="0"/>
          <w:marTop w:val="0"/>
          <w:marBottom w:val="0"/>
          <w:divBdr>
            <w:top w:val="none" w:sz="0" w:space="0" w:color="auto"/>
            <w:left w:val="none" w:sz="0" w:space="0" w:color="auto"/>
            <w:bottom w:val="none" w:sz="0" w:space="0" w:color="auto"/>
            <w:right w:val="none" w:sz="0" w:space="0" w:color="auto"/>
          </w:divBdr>
        </w:div>
      </w:divsChild>
    </w:div>
    <w:div w:id="2003660968">
      <w:bodyDiv w:val="1"/>
      <w:marLeft w:val="0"/>
      <w:marRight w:val="0"/>
      <w:marTop w:val="0"/>
      <w:marBottom w:val="0"/>
      <w:divBdr>
        <w:top w:val="none" w:sz="0" w:space="0" w:color="auto"/>
        <w:left w:val="none" w:sz="0" w:space="0" w:color="auto"/>
        <w:bottom w:val="none" w:sz="0" w:space="0" w:color="auto"/>
        <w:right w:val="none" w:sz="0" w:space="0" w:color="auto"/>
      </w:divBdr>
    </w:div>
    <w:div w:id="2004162349">
      <w:bodyDiv w:val="1"/>
      <w:marLeft w:val="0"/>
      <w:marRight w:val="0"/>
      <w:marTop w:val="0"/>
      <w:marBottom w:val="0"/>
      <w:divBdr>
        <w:top w:val="none" w:sz="0" w:space="0" w:color="auto"/>
        <w:left w:val="none" w:sz="0" w:space="0" w:color="auto"/>
        <w:bottom w:val="none" w:sz="0" w:space="0" w:color="auto"/>
        <w:right w:val="none" w:sz="0" w:space="0" w:color="auto"/>
      </w:divBdr>
    </w:div>
    <w:div w:id="2032801649">
      <w:bodyDiv w:val="1"/>
      <w:marLeft w:val="0"/>
      <w:marRight w:val="0"/>
      <w:marTop w:val="0"/>
      <w:marBottom w:val="0"/>
      <w:divBdr>
        <w:top w:val="none" w:sz="0" w:space="0" w:color="auto"/>
        <w:left w:val="none" w:sz="0" w:space="0" w:color="auto"/>
        <w:bottom w:val="none" w:sz="0" w:space="0" w:color="auto"/>
        <w:right w:val="none" w:sz="0" w:space="0" w:color="auto"/>
      </w:divBdr>
    </w:div>
    <w:div w:id="2040668166">
      <w:bodyDiv w:val="1"/>
      <w:marLeft w:val="0"/>
      <w:marRight w:val="0"/>
      <w:marTop w:val="0"/>
      <w:marBottom w:val="0"/>
      <w:divBdr>
        <w:top w:val="none" w:sz="0" w:space="0" w:color="auto"/>
        <w:left w:val="none" w:sz="0" w:space="0" w:color="auto"/>
        <w:bottom w:val="none" w:sz="0" w:space="0" w:color="auto"/>
        <w:right w:val="none" w:sz="0" w:space="0" w:color="auto"/>
      </w:divBdr>
    </w:div>
    <w:div w:id="2049451013">
      <w:bodyDiv w:val="1"/>
      <w:marLeft w:val="0"/>
      <w:marRight w:val="0"/>
      <w:marTop w:val="0"/>
      <w:marBottom w:val="0"/>
      <w:divBdr>
        <w:top w:val="none" w:sz="0" w:space="0" w:color="auto"/>
        <w:left w:val="none" w:sz="0" w:space="0" w:color="auto"/>
        <w:bottom w:val="none" w:sz="0" w:space="0" w:color="auto"/>
        <w:right w:val="none" w:sz="0" w:space="0" w:color="auto"/>
      </w:divBdr>
    </w:div>
    <w:div w:id="2049597525">
      <w:bodyDiv w:val="1"/>
      <w:marLeft w:val="0"/>
      <w:marRight w:val="0"/>
      <w:marTop w:val="0"/>
      <w:marBottom w:val="0"/>
      <w:divBdr>
        <w:top w:val="none" w:sz="0" w:space="0" w:color="auto"/>
        <w:left w:val="none" w:sz="0" w:space="0" w:color="auto"/>
        <w:bottom w:val="none" w:sz="0" w:space="0" w:color="auto"/>
        <w:right w:val="none" w:sz="0" w:space="0" w:color="auto"/>
      </w:divBdr>
    </w:div>
    <w:div w:id="2100711551">
      <w:bodyDiv w:val="1"/>
      <w:marLeft w:val="0"/>
      <w:marRight w:val="0"/>
      <w:marTop w:val="0"/>
      <w:marBottom w:val="0"/>
      <w:divBdr>
        <w:top w:val="none" w:sz="0" w:space="0" w:color="auto"/>
        <w:left w:val="none" w:sz="0" w:space="0" w:color="auto"/>
        <w:bottom w:val="none" w:sz="0" w:space="0" w:color="auto"/>
        <w:right w:val="none" w:sz="0" w:space="0" w:color="auto"/>
      </w:divBdr>
    </w:div>
    <w:div w:id="212534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r-lex.europa.eu/legal-content/EN/TXT/?uri=CELEX:01993L0042-20071011" TargetMode="External"/><Relationship Id="rId18" Type="http://schemas.openxmlformats.org/officeDocument/2006/relationships/hyperlink" Target="https://www.bsigroup.com/globalassets/meddev/localfiles/en-gb/documents/bsi-md-mdr-best-practice-documentation-submissions-en-gb.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abray3@nhs.net" TargetMode="External"/><Relationship Id="rId12" Type="http://schemas.openxmlformats.org/officeDocument/2006/relationships/hyperlink" Target="https://www.nice.org.uk/Media/Default/About/what-we-do/our-programmes/evidence-standards-framework/digital-evidence-standards-framework.pdf" TargetMode="External"/><Relationship Id="rId17" Type="http://schemas.openxmlformats.org/officeDocument/2006/relationships/hyperlink" Target="https://eur-lex.europa.eu/legal-content/EN/TXT/HTML/?uri=CELEX:32017R0746&amp;from=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uidance/regulating-medical-devices-from-1-january-2021"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bsigroup.com/en-GB/medical-devices/news-centre/enews/2020-news/second-corrigenda-to-the-mdr-and-ivdr/"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ur-lex.europa.eu/legal-content/EN/TXT/?qid=1573142983313&amp;uri=CELEX:32017R0745" TargetMode="Externa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7699</Words>
  <Characters>43888</Characters>
  <Application>Microsoft Office Word</Application>
  <DocSecurity>0</DocSecurity>
  <Lines>365</Lines>
  <Paragraphs>102</Paragraphs>
  <ScaleCrop>false</ScaleCrop>
  <Company/>
  <LinksUpToDate>false</LinksUpToDate>
  <CharactersWithSpaces>51485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2021-04-08T11:50:00Z</dcterms:created>
  <dcterms:modified xsi:type="dcterms:W3CDTF">2021-04-08T11:50:00Z</dcterms:modified>
</cp:coreProperties>
</file>