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26154" w14:textId="6A942155" w:rsidR="00DF4974" w:rsidRPr="00641717" w:rsidRDefault="00AE3223" w:rsidP="00BF675A">
      <w:pPr>
        <w:pStyle w:val="Heading1"/>
        <w:jc w:val="both"/>
      </w:pPr>
      <w:r w:rsidRPr="00641717">
        <w:t xml:space="preserve">Review of NICE recommendations </w:t>
      </w:r>
      <w:r w:rsidR="006918A8" w:rsidRPr="00641717">
        <w:t>for</w:t>
      </w:r>
      <w:r w:rsidRPr="00641717">
        <w:t xml:space="preserve"> o</w:t>
      </w:r>
      <w:r w:rsidR="00554BC0" w:rsidRPr="00641717">
        <w:t>utpatient follow-up</w:t>
      </w:r>
      <w:r w:rsidRPr="00641717">
        <w:t xml:space="preserve"> after elective care</w:t>
      </w:r>
    </w:p>
    <w:p w14:paraId="727522B7" w14:textId="76793BC3" w:rsidR="00271100" w:rsidRPr="00641717" w:rsidRDefault="00271100" w:rsidP="00271100">
      <w:pPr>
        <w:pStyle w:val="Paragraph"/>
        <w:jc w:val="both"/>
        <w:rPr>
          <w:rStyle w:val="normaltextrun"/>
        </w:rPr>
      </w:pPr>
      <w:r w:rsidRPr="00641717">
        <w:t xml:space="preserve">The health and care system continues to operate under exceptional pressures, with more patients than ever waiting for elective treatment. To address this, the NHS is exploring whether alternatives to traditional face-to-face outpatient follow-up may be a more efficient use of resources. Examples include </w:t>
      </w:r>
      <w:r w:rsidRPr="00641717">
        <w:rPr>
          <w:rStyle w:val="normaltextrun"/>
          <w:rFonts w:cs="Arial"/>
          <w:color w:val="000000" w:themeColor="text1"/>
          <w:shd w:val="clear" w:color="auto" w:fill="FFFFFF"/>
        </w:rPr>
        <w:t>patient-initiated follow-up, virtual follow-up and asynchronous virtual visits.</w:t>
      </w:r>
    </w:p>
    <w:p w14:paraId="0602F7E2" w14:textId="77777777" w:rsidR="00271100" w:rsidRPr="00641717" w:rsidRDefault="00271100" w:rsidP="00271100">
      <w:pPr>
        <w:pStyle w:val="Paragraph"/>
        <w:jc w:val="both"/>
        <w:rPr>
          <w:rStyle w:val="normaltextrun"/>
          <w:rFonts w:cs="Arial"/>
          <w:b/>
          <w:bCs/>
          <w:color w:val="000000" w:themeColor="text1"/>
          <w:shd w:val="clear" w:color="auto" w:fill="FFFFFF"/>
        </w:rPr>
      </w:pPr>
      <w:r w:rsidRPr="00641717">
        <w:rPr>
          <w:rStyle w:val="normaltextrun"/>
          <w:rFonts w:cs="Arial"/>
          <w:b/>
          <w:bCs/>
          <w:color w:val="000000" w:themeColor="text1"/>
          <w:shd w:val="clear" w:color="auto" w:fill="FFFFFF"/>
        </w:rPr>
        <w:t>Making sure our guidance alleviates pressures in the system</w:t>
      </w:r>
    </w:p>
    <w:p w14:paraId="54EC8440" w14:textId="7A7EA1B3" w:rsidR="00D63F91" w:rsidRPr="00641717" w:rsidRDefault="00271100" w:rsidP="00BF675A">
      <w:pPr>
        <w:pStyle w:val="Paragraph"/>
        <w:jc w:val="both"/>
      </w:pPr>
      <w:r w:rsidRPr="00641717">
        <w:rPr>
          <w:rStyle w:val="normaltextrun"/>
          <w:rFonts w:cs="Arial"/>
          <w:color w:val="000000" w:themeColor="text1"/>
          <w:shd w:val="clear" w:color="auto" w:fill="FFFFFF"/>
        </w:rPr>
        <w:t xml:space="preserve">At NICE, our mission is to help practitioners and commissioners get the best care to patients, fast, while ensuring value for the taxpayer. We do this by providing evidence-based guidance on the most effective and cost-effective care. It is important then, that NICE is not contributing to these system pressures through the guidance we produce. To assess this, in early 2024 </w:t>
      </w:r>
      <w:r w:rsidR="00D63F91" w:rsidRPr="00641717">
        <w:t xml:space="preserve">we </w:t>
      </w:r>
      <w:r w:rsidR="00464193" w:rsidRPr="00641717">
        <w:t xml:space="preserve">conducted a comprehensive review of </w:t>
      </w:r>
      <w:r w:rsidR="00555E15" w:rsidRPr="00641717">
        <w:t xml:space="preserve">our </w:t>
      </w:r>
      <w:r w:rsidR="00464193" w:rsidRPr="00641717">
        <w:t xml:space="preserve">recommendations </w:t>
      </w:r>
      <w:r w:rsidR="00555E15" w:rsidRPr="00641717">
        <w:t>on</w:t>
      </w:r>
      <w:r w:rsidR="00464193" w:rsidRPr="00641717">
        <w:t xml:space="preserve"> outpatient follow-up</w:t>
      </w:r>
      <w:r w:rsidR="00103A4E" w:rsidRPr="00641717">
        <w:t xml:space="preserve"> within guidelines on </w:t>
      </w:r>
      <w:r w:rsidR="006918A8" w:rsidRPr="00641717">
        <w:t xml:space="preserve">elective care. </w:t>
      </w:r>
      <w:r w:rsidR="00464193" w:rsidRPr="00641717">
        <w:t xml:space="preserve"> </w:t>
      </w:r>
    </w:p>
    <w:p w14:paraId="0921D3CF" w14:textId="523D13E3" w:rsidR="00F322F7" w:rsidRPr="00641717" w:rsidRDefault="00555E15" w:rsidP="00BF675A">
      <w:pPr>
        <w:pStyle w:val="Paragraph"/>
        <w:jc w:val="both"/>
        <w:rPr>
          <w:color w:val="000000" w:themeColor="text1"/>
        </w:rPr>
      </w:pPr>
      <w:r w:rsidRPr="00641717">
        <w:rPr>
          <w:color w:val="000000" w:themeColor="text1"/>
        </w:rPr>
        <w:t>We found</w:t>
      </w:r>
      <w:r w:rsidR="00B246B3" w:rsidRPr="00641717">
        <w:rPr>
          <w:color w:val="000000" w:themeColor="text1"/>
        </w:rPr>
        <w:t xml:space="preserve"> that t</w:t>
      </w:r>
      <w:r w:rsidR="006877FA" w:rsidRPr="00641717">
        <w:rPr>
          <w:color w:val="000000" w:themeColor="text1"/>
        </w:rPr>
        <w:t xml:space="preserve">here are approximately 500 recommendations in 140 </w:t>
      </w:r>
      <w:r w:rsidR="00271100" w:rsidRPr="00641717">
        <w:rPr>
          <w:color w:val="000000" w:themeColor="text1"/>
        </w:rPr>
        <w:t xml:space="preserve">elective care </w:t>
      </w:r>
      <w:r w:rsidR="006877FA" w:rsidRPr="00641717">
        <w:rPr>
          <w:color w:val="000000" w:themeColor="text1"/>
        </w:rPr>
        <w:t>guidelines which address outpatient follow-up.</w:t>
      </w:r>
      <w:r w:rsidR="008D1F77" w:rsidRPr="00641717">
        <w:rPr>
          <w:color w:val="000000" w:themeColor="text1"/>
        </w:rPr>
        <w:t xml:space="preserve"> </w:t>
      </w:r>
      <w:r w:rsidR="002054C1" w:rsidRPr="00641717">
        <w:rPr>
          <w:color w:val="000000" w:themeColor="text1"/>
        </w:rPr>
        <w:t xml:space="preserve">These include recommendations on the frequency, mode and timing of outpatient follow-up appointments. </w:t>
      </w:r>
      <w:r w:rsidR="001C5283" w:rsidRPr="00641717">
        <w:rPr>
          <w:color w:val="000000" w:themeColor="text1"/>
        </w:rPr>
        <w:t xml:space="preserve">We found that: </w:t>
      </w:r>
    </w:p>
    <w:p w14:paraId="07DC2A86" w14:textId="1BBFE35C" w:rsidR="006918A8" w:rsidRPr="00641717" w:rsidRDefault="006918A8" w:rsidP="00BF675A">
      <w:pPr>
        <w:pStyle w:val="Paragraph"/>
        <w:numPr>
          <w:ilvl w:val="0"/>
          <w:numId w:val="27"/>
        </w:numPr>
        <w:jc w:val="both"/>
        <w:rPr>
          <w:color w:val="000000" w:themeColor="text1"/>
        </w:rPr>
      </w:pPr>
      <w:r w:rsidRPr="00641717">
        <w:rPr>
          <w:color w:val="000000" w:themeColor="text1"/>
        </w:rPr>
        <w:t>Approximately</w:t>
      </w:r>
      <w:r w:rsidR="00B246B3" w:rsidRPr="00641717">
        <w:rPr>
          <w:color w:val="000000" w:themeColor="text1"/>
        </w:rPr>
        <w:t xml:space="preserve"> 70% of</w:t>
      </w:r>
      <w:r w:rsidR="003F38DD" w:rsidRPr="00641717">
        <w:rPr>
          <w:color w:val="000000" w:themeColor="text1"/>
        </w:rPr>
        <w:t xml:space="preserve"> recommendations</w:t>
      </w:r>
      <w:r w:rsidR="00103A4E" w:rsidRPr="00641717">
        <w:rPr>
          <w:color w:val="000000" w:themeColor="text1"/>
        </w:rPr>
        <w:t xml:space="preserve"> </w:t>
      </w:r>
      <w:r w:rsidR="00271100" w:rsidRPr="00641717">
        <w:rPr>
          <w:color w:val="000000" w:themeColor="text1"/>
        </w:rPr>
        <w:t xml:space="preserve">which address </w:t>
      </w:r>
      <w:r w:rsidR="00103A4E" w:rsidRPr="00641717">
        <w:rPr>
          <w:color w:val="000000" w:themeColor="text1"/>
        </w:rPr>
        <w:t>follow-up</w:t>
      </w:r>
      <w:r w:rsidR="00296807" w:rsidRPr="00641717">
        <w:rPr>
          <w:color w:val="000000" w:themeColor="text1"/>
        </w:rPr>
        <w:t xml:space="preserve"> </w:t>
      </w:r>
      <w:r w:rsidRPr="00641717">
        <w:rPr>
          <w:color w:val="000000" w:themeColor="text1"/>
        </w:rPr>
        <w:t>clearly state</w:t>
      </w:r>
      <w:r w:rsidR="00296807" w:rsidRPr="00641717">
        <w:rPr>
          <w:color w:val="000000" w:themeColor="text1"/>
        </w:rPr>
        <w:t xml:space="preserve"> that </w:t>
      </w:r>
      <w:r w:rsidR="00103A4E" w:rsidRPr="00641717">
        <w:rPr>
          <w:color w:val="000000" w:themeColor="text1"/>
        </w:rPr>
        <w:t xml:space="preserve">a follow-up appointment is required. </w:t>
      </w:r>
      <w:r w:rsidRPr="00641717">
        <w:rPr>
          <w:color w:val="000000" w:themeColor="text1"/>
        </w:rPr>
        <w:t xml:space="preserve"> </w:t>
      </w:r>
    </w:p>
    <w:p w14:paraId="1730D77C" w14:textId="5A95FE5A" w:rsidR="001066EA" w:rsidRPr="00641717" w:rsidRDefault="001066EA" w:rsidP="001C5283">
      <w:pPr>
        <w:pStyle w:val="Paragraph"/>
        <w:numPr>
          <w:ilvl w:val="0"/>
          <w:numId w:val="27"/>
        </w:numPr>
        <w:jc w:val="both"/>
        <w:rPr>
          <w:color w:val="000000" w:themeColor="text1"/>
        </w:rPr>
      </w:pPr>
      <w:r w:rsidRPr="00641717">
        <w:rPr>
          <w:color w:val="000000" w:themeColor="text1"/>
        </w:rPr>
        <w:t>Over</w:t>
      </w:r>
      <w:r w:rsidRPr="00641717">
        <w:rPr>
          <w:rStyle w:val="ui-provider"/>
        </w:rPr>
        <w:t xml:space="preserve"> 70% of follow-up recommendations state that follow-up ‘should’ (rather than could) occur; this wording indicates the recommendation is based on clear evidence of cost-effectiveness and benefit to the patient. </w:t>
      </w:r>
    </w:p>
    <w:p w14:paraId="6AFAA93A" w14:textId="77777777" w:rsidR="00F73BA0" w:rsidRPr="00641717" w:rsidRDefault="00AA7433" w:rsidP="00F73BA0">
      <w:pPr>
        <w:pStyle w:val="Paragraph"/>
        <w:numPr>
          <w:ilvl w:val="0"/>
          <w:numId w:val="27"/>
        </w:numPr>
        <w:jc w:val="both"/>
        <w:rPr>
          <w:rStyle w:val="ui-provider"/>
          <w:color w:val="000000" w:themeColor="text1"/>
        </w:rPr>
      </w:pPr>
      <w:r w:rsidRPr="00641717">
        <w:rPr>
          <w:color w:val="000000" w:themeColor="text1"/>
        </w:rPr>
        <w:t>4%</w:t>
      </w:r>
      <w:r w:rsidR="00271100" w:rsidRPr="00641717">
        <w:rPr>
          <w:color w:val="000000" w:themeColor="text1"/>
        </w:rPr>
        <w:t xml:space="preserve"> of recommendations </w:t>
      </w:r>
      <w:r w:rsidRPr="00641717">
        <w:rPr>
          <w:rFonts w:cs="Arial"/>
        </w:rPr>
        <w:t>suggest alternative</w:t>
      </w:r>
      <w:r w:rsidR="006918A8" w:rsidRPr="00641717">
        <w:rPr>
          <w:rFonts w:cs="Arial"/>
        </w:rPr>
        <w:t xml:space="preserve">s </w:t>
      </w:r>
      <w:r w:rsidRPr="00641717">
        <w:rPr>
          <w:rFonts w:cs="Arial"/>
        </w:rPr>
        <w:t>to traditional face-to-face follow-up</w:t>
      </w:r>
      <w:r w:rsidR="006918A8" w:rsidRPr="00641717">
        <w:rPr>
          <w:rFonts w:cs="Arial"/>
        </w:rPr>
        <w:t xml:space="preserve"> (such </w:t>
      </w:r>
      <w:r w:rsidR="00D10048" w:rsidRPr="00641717">
        <w:rPr>
          <w:rFonts w:cs="Arial"/>
        </w:rPr>
        <w:t>as virtual</w:t>
      </w:r>
      <w:r w:rsidR="006918A8" w:rsidRPr="00641717">
        <w:rPr>
          <w:rFonts w:cs="Arial"/>
        </w:rPr>
        <w:t>)</w:t>
      </w:r>
      <w:r w:rsidRPr="00641717">
        <w:rPr>
          <w:rFonts w:cs="Arial"/>
        </w:rPr>
        <w:t>.</w:t>
      </w:r>
      <w:r w:rsidR="00B246B3" w:rsidRPr="00641717">
        <w:rPr>
          <w:color w:val="FF0000"/>
        </w:rPr>
        <w:t xml:space="preserve"> </w:t>
      </w:r>
      <w:r w:rsidRPr="00641717">
        <w:rPr>
          <w:rStyle w:val="ui-provider"/>
          <w:rFonts w:cs="Arial"/>
        </w:rPr>
        <w:t>Patient Initiated Follow-</w:t>
      </w:r>
      <w:r w:rsidR="00271100" w:rsidRPr="00641717">
        <w:rPr>
          <w:rStyle w:val="ui-provider"/>
          <w:rFonts w:cs="Arial"/>
        </w:rPr>
        <w:t>u</w:t>
      </w:r>
      <w:r w:rsidRPr="00641717">
        <w:rPr>
          <w:rStyle w:val="ui-provider"/>
          <w:rFonts w:cs="Arial"/>
        </w:rPr>
        <w:t xml:space="preserve">p is </w:t>
      </w:r>
      <w:r w:rsidR="00D9590D" w:rsidRPr="00641717">
        <w:rPr>
          <w:rStyle w:val="ui-provider"/>
          <w:rFonts w:cs="Arial"/>
        </w:rPr>
        <w:t xml:space="preserve">referred to in fewer than five recommendations, and explicitly </w:t>
      </w:r>
      <w:r w:rsidRPr="00641717">
        <w:rPr>
          <w:rStyle w:val="ui-provider"/>
          <w:rFonts w:cs="Arial"/>
        </w:rPr>
        <w:t>recommended</w:t>
      </w:r>
      <w:r w:rsidR="00F97F04" w:rsidRPr="00641717">
        <w:rPr>
          <w:rStyle w:val="ui-provider"/>
          <w:rFonts w:cs="Arial"/>
        </w:rPr>
        <w:t xml:space="preserve"> </w:t>
      </w:r>
      <w:r w:rsidR="00D9590D" w:rsidRPr="00641717">
        <w:rPr>
          <w:rStyle w:val="ui-provider"/>
          <w:rFonts w:cs="Arial"/>
        </w:rPr>
        <w:t xml:space="preserve">in only one guideline. </w:t>
      </w:r>
    </w:p>
    <w:p w14:paraId="35404BBC" w14:textId="1F7BC072" w:rsidR="00464193" w:rsidRPr="00641717" w:rsidRDefault="00B246B3" w:rsidP="00F73BA0">
      <w:pPr>
        <w:pStyle w:val="Paragraph"/>
        <w:numPr>
          <w:ilvl w:val="0"/>
          <w:numId w:val="27"/>
        </w:numPr>
        <w:jc w:val="both"/>
        <w:rPr>
          <w:rStyle w:val="ui-provider"/>
          <w:color w:val="000000" w:themeColor="text1"/>
        </w:rPr>
      </w:pPr>
      <w:r w:rsidRPr="00641717">
        <w:rPr>
          <w:rStyle w:val="ui-provider"/>
        </w:rPr>
        <w:lastRenderedPageBreak/>
        <w:t xml:space="preserve">13% </w:t>
      </w:r>
      <w:r w:rsidR="00D10048" w:rsidRPr="00641717">
        <w:rPr>
          <w:rStyle w:val="ui-provider"/>
        </w:rPr>
        <w:t xml:space="preserve">of follow-up recommendations </w:t>
      </w:r>
      <w:r w:rsidRPr="00641717">
        <w:rPr>
          <w:rStyle w:val="ui-provider"/>
        </w:rPr>
        <w:t>provide a time</w:t>
      </w:r>
      <w:r w:rsidR="00271100" w:rsidRPr="00641717">
        <w:rPr>
          <w:rStyle w:val="ui-provider"/>
        </w:rPr>
        <w:t xml:space="preserve"> </w:t>
      </w:r>
      <w:r w:rsidRPr="00641717">
        <w:rPr>
          <w:rStyle w:val="ui-provider"/>
        </w:rPr>
        <w:t>frame within which follow-up is required; most of these were consensus-</w:t>
      </w:r>
      <w:r w:rsidRPr="00641717">
        <w:rPr>
          <w:rStyle w:val="ui-provider"/>
          <w:rFonts w:cs="Arial"/>
        </w:rPr>
        <w:t>based</w:t>
      </w:r>
      <w:r w:rsidR="00271100" w:rsidRPr="00641717">
        <w:rPr>
          <w:rStyle w:val="ui-provider"/>
          <w:rFonts w:cs="Arial"/>
        </w:rPr>
        <w:t xml:space="preserve"> recommendations</w:t>
      </w:r>
      <w:r w:rsidR="00F73BA0" w:rsidRPr="00641717">
        <w:rPr>
          <w:rStyle w:val="ui-provider"/>
          <w:rFonts w:cs="Arial"/>
        </w:rPr>
        <w:t xml:space="preserve"> </w:t>
      </w:r>
      <w:r w:rsidR="00F73BA0" w:rsidRPr="00641717">
        <w:rPr>
          <w:rStyle w:val="ui-provider"/>
          <w:color w:val="000000" w:themeColor="text1"/>
        </w:rPr>
        <w:t xml:space="preserve">providing strong rationales for the chosen </w:t>
      </w:r>
      <w:proofErr w:type="gramStart"/>
      <w:r w:rsidR="00F73BA0" w:rsidRPr="00641717">
        <w:rPr>
          <w:rStyle w:val="ui-provider"/>
          <w:color w:val="000000" w:themeColor="text1"/>
        </w:rPr>
        <w:t>time-frame</w:t>
      </w:r>
      <w:proofErr w:type="gramEnd"/>
      <w:r w:rsidR="00F73BA0" w:rsidRPr="00641717">
        <w:rPr>
          <w:rStyle w:val="ui-provider"/>
          <w:color w:val="000000" w:themeColor="text1"/>
        </w:rPr>
        <w:t>;</w:t>
      </w:r>
      <w:r w:rsidR="00464193" w:rsidRPr="00641717">
        <w:rPr>
          <w:rStyle w:val="ui-provider"/>
          <w:rFonts w:cs="Arial"/>
        </w:rPr>
        <w:t xml:space="preserve"> </w:t>
      </w:r>
      <w:r w:rsidRPr="00641717">
        <w:rPr>
          <w:rStyle w:val="ui-provider"/>
          <w:rFonts w:cs="Arial"/>
        </w:rPr>
        <w:t>20%</w:t>
      </w:r>
      <w:r w:rsidR="00F73BA0" w:rsidRPr="00641717">
        <w:rPr>
          <w:rStyle w:val="ui-provider"/>
          <w:rFonts w:cs="Arial"/>
        </w:rPr>
        <w:t xml:space="preserve"> were</w:t>
      </w:r>
      <w:r w:rsidRPr="00641717">
        <w:rPr>
          <w:rStyle w:val="ui-provider"/>
          <w:rFonts w:cs="Arial"/>
        </w:rPr>
        <w:t xml:space="preserve"> explicitly based on published evidence. </w:t>
      </w:r>
    </w:p>
    <w:p w14:paraId="4055353D" w14:textId="091CEEEE" w:rsidR="003F38DD" w:rsidRPr="00641717" w:rsidRDefault="004A6CB0" w:rsidP="00BF675A">
      <w:pPr>
        <w:pStyle w:val="Paragraph"/>
        <w:jc w:val="both"/>
        <w:rPr>
          <w:rStyle w:val="ui-provider"/>
        </w:rPr>
      </w:pPr>
      <w:r w:rsidRPr="00641717">
        <w:rPr>
          <w:rFonts w:cs="Arial"/>
        </w:rPr>
        <w:t xml:space="preserve">The assessment concluded that NICE has followed established robust processes to formulate recommendations on follow-up. </w:t>
      </w:r>
      <w:r w:rsidR="00F73BA0" w:rsidRPr="00641717">
        <w:rPr>
          <w:rFonts w:cs="Arial"/>
        </w:rPr>
        <w:t>A</w:t>
      </w:r>
      <w:r w:rsidR="001C5283" w:rsidRPr="00641717">
        <w:t>lternative modes of follow-up are only recommended if robust evidence in these areas is available.</w:t>
      </w:r>
    </w:p>
    <w:p w14:paraId="57A6080B" w14:textId="0F76002F" w:rsidR="004A6CB0" w:rsidRPr="00641717" w:rsidRDefault="00C045DC" w:rsidP="00BF675A">
      <w:pPr>
        <w:spacing w:before="240" w:after="240" w:line="360" w:lineRule="auto"/>
        <w:jc w:val="both"/>
        <w:rPr>
          <w:rFonts w:ascii="Arial" w:hAnsi="Arial" w:cs="Arial"/>
        </w:rPr>
      </w:pPr>
      <w:r w:rsidRPr="00641717">
        <w:rPr>
          <w:rFonts w:ascii="Arial" w:hAnsi="Arial" w:cs="Arial"/>
        </w:rPr>
        <w:t>Going forwards, NICE commits to continue</w:t>
      </w:r>
      <w:r w:rsidR="00F73BA0" w:rsidRPr="00641717">
        <w:rPr>
          <w:rFonts w:ascii="Arial" w:hAnsi="Arial" w:cs="Arial"/>
        </w:rPr>
        <w:t xml:space="preserve"> to</w:t>
      </w:r>
      <w:r w:rsidRPr="00641717">
        <w:rPr>
          <w:rFonts w:ascii="Arial" w:hAnsi="Arial" w:cs="Arial"/>
        </w:rPr>
        <w:t xml:space="preserve">: </w:t>
      </w:r>
    </w:p>
    <w:p w14:paraId="749D169E" w14:textId="42C01F99" w:rsidR="00C04698" w:rsidRPr="00641717" w:rsidRDefault="00C045DC" w:rsidP="00BF675A">
      <w:pPr>
        <w:pStyle w:val="ListParagraph"/>
        <w:numPr>
          <w:ilvl w:val="0"/>
          <w:numId w:val="26"/>
        </w:numPr>
        <w:spacing w:after="240" w:line="360" w:lineRule="auto"/>
        <w:jc w:val="both"/>
        <w:rPr>
          <w:rFonts w:ascii="Arial" w:hAnsi="Arial" w:cs="Arial"/>
          <w:color w:val="000000" w:themeColor="text1"/>
        </w:rPr>
      </w:pPr>
      <w:r w:rsidRPr="00641717">
        <w:rPr>
          <w:rFonts w:ascii="Arial" w:hAnsi="Arial" w:cs="Arial"/>
          <w:color w:val="000000" w:themeColor="text1"/>
        </w:rPr>
        <w:t>B</w:t>
      </w:r>
      <w:r w:rsidR="00D86BE2" w:rsidRPr="00641717">
        <w:rPr>
          <w:rFonts w:ascii="Arial" w:hAnsi="Arial" w:cs="Arial"/>
          <w:color w:val="000000" w:themeColor="text1"/>
        </w:rPr>
        <w:t>as</w:t>
      </w:r>
      <w:r w:rsidR="00F73BA0" w:rsidRPr="00641717">
        <w:rPr>
          <w:rFonts w:ascii="Arial" w:hAnsi="Arial" w:cs="Arial"/>
          <w:color w:val="000000" w:themeColor="text1"/>
        </w:rPr>
        <w:t>e</w:t>
      </w:r>
      <w:r w:rsidR="005B4B81" w:rsidRPr="00641717">
        <w:rPr>
          <w:rFonts w:ascii="Arial" w:hAnsi="Arial" w:cs="Arial"/>
          <w:color w:val="000000" w:themeColor="text1"/>
        </w:rPr>
        <w:t xml:space="preserve"> follow-up recommendations</w:t>
      </w:r>
      <w:r w:rsidR="00D86BE2" w:rsidRPr="00641717">
        <w:rPr>
          <w:rFonts w:ascii="Arial" w:hAnsi="Arial" w:cs="Arial"/>
          <w:color w:val="000000" w:themeColor="text1"/>
        </w:rPr>
        <w:t xml:space="preserve"> on robust evidence regarding patient benefit and value for money. </w:t>
      </w:r>
    </w:p>
    <w:p w14:paraId="72331898" w14:textId="000D20BF" w:rsidR="004A6CB0" w:rsidRPr="00641717" w:rsidRDefault="004A6CB0" w:rsidP="00BF675A">
      <w:pPr>
        <w:pStyle w:val="ListParagraph"/>
        <w:numPr>
          <w:ilvl w:val="0"/>
          <w:numId w:val="26"/>
        </w:numPr>
        <w:spacing w:line="360" w:lineRule="auto"/>
        <w:contextualSpacing w:val="0"/>
        <w:jc w:val="both"/>
        <w:rPr>
          <w:rFonts w:ascii="Arial" w:hAnsi="Arial" w:cs="Arial"/>
          <w:color w:val="000000" w:themeColor="text1"/>
        </w:rPr>
      </w:pPr>
      <w:r w:rsidRPr="00641717">
        <w:rPr>
          <w:rFonts w:ascii="Arial" w:hAnsi="Arial" w:cs="Arial"/>
          <w:color w:val="000000" w:themeColor="text1"/>
        </w:rPr>
        <w:t>Ensur</w:t>
      </w:r>
      <w:r w:rsidR="00F73BA0" w:rsidRPr="00641717">
        <w:rPr>
          <w:rFonts w:ascii="Arial" w:hAnsi="Arial" w:cs="Arial"/>
          <w:color w:val="000000" w:themeColor="text1"/>
        </w:rPr>
        <w:t>e</w:t>
      </w:r>
      <w:r w:rsidRPr="00641717">
        <w:rPr>
          <w:rFonts w:ascii="Arial" w:hAnsi="Arial" w:cs="Arial"/>
          <w:color w:val="000000" w:themeColor="text1"/>
        </w:rPr>
        <w:t xml:space="preserve"> </w:t>
      </w:r>
      <w:r w:rsidR="00D10048" w:rsidRPr="00641717">
        <w:rPr>
          <w:rFonts w:ascii="Arial" w:hAnsi="Arial" w:cs="Arial"/>
          <w:color w:val="000000" w:themeColor="text1"/>
        </w:rPr>
        <w:t>the</w:t>
      </w:r>
      <w:r w:rsidRPr="00641717">
        <w:rPr>
          <w:rFonts w:ascii="Arial" w:hAnsi="Arial" w:cs="Arial"/>
          <w:color w:val="000000" w:themeColor="text1"/>
        </w:rPr>
        <w:t xml:space="preserve"> rationale for recommending follow-up </w:t>
      </w:r>
      <w:r w:rsidR="00D10048" w:rsidRPr="00641717">
        <w:rPr>
          <w:rFonts w:ascii="Arial" w:hAnsi="Arial" w:cs="Arial"/>
          <w:color w:val="000000" w:themeColor="text1"/>
        </w:rPr>
        <w:t>is always documented</w:t>
      </w:r>
      <w:r w:rsidRPr="00641717">
        <w:rPr>
          <w:rFonts w:ascii="Arial" w:hAnsi="Arial" w:cs="Arial"/>
          <w:color w:val="000000" w:themeColor="text1"/>
        </w:rPr>
        <w:t xml:space="preserve">. </w:t>
      </w:r>
    </w:p>
    <w:p w14:paraId="4BC6220D" w14:textId="1F95FA38" w:rsidR="004A6CB0" w:rsidRPr="00641717" w:rsidRDefault="004A6CB0" w:rsidP="00555E15">
      <w:pPr>
        <w:pStyle w:val="ListParagraph"/>
        <w:numPr>
          <w:ilvl w:val="0"/>
          <w:numId w:val="26"/>
        </w:numPr>
        <w:spacing w:line="360" w:lineRule="auto"/>
        <w:contextualSpacing w:val="0"/>
        <w:jc w:val="both"/>
        <w:rPr>
          <w:rFonts w:ascii="Arial" w:hAnsi="Arial" w:cs="Arial"/>
          <w:color w:val="000000" w:themeColor="text1"/>
        </w:rPr>
      </w:pPr>
      <w:r w:rsidRPr="00641717">
        <w:rPr>
          <w:rFonts w:ascii="Arial" w:hAnsi="Arial" w:cs="Arial"/>
          <w:color w:val="000000" w:themeColor="text1"/>
        </w:rPr>
        <w:t>C</w:t>
      </w:r>
      <w:r w:rsidR="00D86BE2" w:rsidRPr="00641717">
        <w:rPr>
          <w:rFonts w:ascii="Arial" w:hAnsi="Arial" w:cs="Arial"/>
          <w:color w:val="000000" w:themeColor="text1"/>
        </w:rPr>
        <w:t>learly outlin</w:t>
      </w:r>
      <w:r w:rsidR="00F73BA0" w:rsidRPr="00641717">
        <w:rPr>
          <w:rFonts w:ascii="Arial" w:hAnsi="Arial" w:cs="Arial"/>
          <w:color w:val="000000" w:themeColor="text1"/>
        </w:rPr>
        <w:t>e</w:t>
      </w:r>
      <w:r w:rsidRPr="00641717">
        <w:rPr>
          <w:rFonts w:ascii="Arial" w:hAnsi="Arial" w:cs="Arial"/>
          <w:color w:val="000000" w:themeColor="text1"/>
        </w:rPr>
        <w:t xml:space="preserve"> </w:t>
      </w:r>
      <w:r w:rsidR="00C9744F" w:rsidRPr="00641717">
        <w:rPr>
          <w:rFonts w:ascii="Arial" w:hAnsi="Arial" w:cs="Arial"/>
          <w:color w:val="000000" w:themeColor="text1"/>
        </w:rPr>
        <w:t>the evidence</w:t>
      </w:r>
      <w:r w:rsidR="00D10048" w:rsidRPr="00641717">
        <w:rPr>
          <w:rFonts w:ascii="Arial" w:hAnsi="Arial" w:cs="Arial"/>
          <w:color w:val="000000" w:themeColor="text1"/>
        </w:rPr>
        <w:t>-</w:t>
      </w:r>
      <w:r w:rsidR="00C9744F" w:rsidRPr="00641717">
        <w:rPr>
          <w:rFonts w:ascii="Arial" w:hAnsi="Arial" w:cs="Arial"/>
          <w:color w:val="000000" w:themeColor="text1"/>
        </w:rPr>
        <w:t>base</w:t>
      </w:r>
      <w:r w:rsidR="00296807" w:rsidRPr="00641717">
        <w:rPr>
          <w:rFonts w:ascii="Arial" w:hAnsi="Arial" w:cs="Arial"/>
          <w:color w:val="000000" w:themeColor="text1"/>
        </w:rPr>
        <w:t xml:space="preserve"> and rationale</w:t>
      </w:r>
      <w:r w:rsidR="00C9744F" w:rsidRPr="00641717">
        <w:rPr>
          <w:rFonts w:ascii="Arial" w:hAnsi="Arial" w:cs="Arial"/>
          <w:color w:val="000000" w:themeColor="text1"/>
        </w:rPr>
        <w:t xml:space="preserve"> for</w:t>
      </w:r>
      <w:r w:rsidRPr="00641717">
        <w:rPr>
          <w:rFonts w:ascii="Arial" w:hAnsi="Arial" w:cs="Arial"/>
          <w:color w:val="000000" w:themeColor="text1"/>
        </w:rPr>
        <w:t xml:space="preserve"> </w:t>
      </w:r>
      <w:r w:rsidR="00C04698" w:rsidRPr="00641717">
        <w:rPr>
          <w:rFonts w:ascii="Arial" w:hAnsi="Arial" w:cs="Arial"/>
          <w:color w:val="000000" w:themeColor="text1"/>
        </w:rPr>
        <w:t xml:space="preserve">changes </w:t>
      </w:r>
      <w:r w:rsidR="00D10048" w:rsidRPr="00641717">
        <w:rPr>
          <w:rFonts w:ascii="Arial" w:hAnsi="Arial" w:cs="Arial"/>
          <w:color w:val="000000" w:themeColor="text1"/>
        </w:rPr>
        <w:t>to mode of delivery</w:t>
      </w:r>
      <w:r w:rsidR="00555E15" w:rsidRPr="00641717">
        <w:rPr>
          <w:rFonts w:ascii="Arial" w:hAnsi="Arial" w:cs="Arial"/>
          <w:color w:val="000000" w:themeColor="text1"/>
        </w:rPr>
        <w:t xml:space="preserve"> (such as virtual follow-up)</w:t>
      </w:r>
      <w:r w:rsidR="00D10048" w:rsidRPr="00641717">
        <w:rPr>
          <w:rFonts w:ascii="Arial" w:hAnsi="Arial" w:cs="Arial"/>
          <w:color w:val="000000" w:themeColor="text1"/>
        </w:rPr>
        <w:t>, increased time</w:t>
      </w:r>
      <w:r w:rsidR="00271100" w:rsidRPr="00641717">
        <w:rPr>
          <w:rFonts w:ascii="Arial" w:hAnsi="Arial" w:cs="Arial"/>
          <w:color w:val="000000" w:themeColor="text1"/>
        </w:rPr>
        <w:t xml:space="preserve"> </w:t>
      </w:r>
      <w:r w:rsidR="00D10048" w:rsidRPr="00641717">
        <w:rPr>
          <w:rFonts w:ascii="Arial" w:hAnsi="Arial" w:cs="Arial"/>
          <w:color w:val="000000" w:themeColor="text1"/>
        </w:rPr>
        <w:t xml:space="preserve">frames for follow-up, and inclusion of patient-initiated follow-up. </w:t>
      </w:r>
    </w:p>
    <w:p w14:paraId="23924288" w14:textId="38E48899" w:rsidR="003F38DD" w:rsidRPr="00641717" w:rsidRDefault="003F38DD" w:rsidP="00BF675A">
      <w:pPr>
        <w:pStyle w:val="ListParagraph"/>
        <w:numPr>
          <w:ilvl w:val="0"/>
          <w:numId w:val="26"/>
        </w:numPr>
        <w:spacing w:line="360" w:lineRule="auto"/>
        <w:jc w:val="both"/>
        <w:rPr>
          <w:rFonts w:ascii="Arial" w:hAnsi="Arial" w:cs="Arial"/>
        </w:rPr>
      </w:pPr>
      <w:r w:rsidRPr="00641717">
        <w:rPr>
          <w:rFonts w:ascii="Arial" w:hAnsi="Arial" w:cs="Arial"/>
        </w:rPr>
        <w:t>Consider the potential impact of changes to follow-up method on equity of access and quality of care.</w:t>
      </w:r>
    </w:p>
    <w:p w14:paraId="34BF123B" w14:textId="77777777" w:rsidR="00271100" w:rsidRDefault="00271100" w:rsidP="00271100">
      <w:pPr>
        <w:spacing w:line="360" w:lineRule="auto"/>
        <w:jc w:val="both"/>
        <w:rPr>
          <w:rFonts w:ascii="Arial" w:hAnsi="Arial" w:cs="Arial"/>
        </w:rPr>
      </w:pPr>
    </w:p>
    <w:p w14:paraId="2D70C072" w14:textId="4AC9F09E" w:rsidR="00DF4974" w:rsidRPr="00A76683" w:rsidRDefault="00DF4974" w:rsidP="00BF675A">
      <w:pPr>
        <w:pStyle w:val="Paragraph"/>
        <w:jc w:val="both"/>
        <w:rPr>
          <w:rFonts w:cs="Arial"/>
          <w:color w:val="000000" w:themeColor="text1"/>
          <w:sz w:val="22"/>
          <w:szCs w:val="22"/>
        </w:rPr>
      </w:pPr>
    </w:p>
    <w:sectPr w:rsidR="00DF4974" w:rsidRPr="00A76683" w:rsidSect="00BA7267">
      <w:footerReference w:type="default" r:id="rId11"/>
      <w:headerReference w:type="first" r:id="rId12"/>
      <w:footerReference w:type="firs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EAEA6" w14:textId="77777777" w:rsidR="005E2DD8" w:rsidRDefault="005E2DD8" w:rsidP="00446BEE">
      <w:r>
        <w:separator/>
      </w:r>
    </w:p>
  </w:endnote>
  <w:endnote w:type="continuationSeparator" w:id="0">
    <w:p w14:paraId="6AB48402" w14:textId="77777777" w:rsidR="005E2DD8" w:rsidRDefault="005E2DD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6E478" w14:textId="77777777" w:rsidR="00446BEE" w:rsidRDefault="00446BEE" w:rsidP="00446BEE">
    <w:pPr>
      <w:pStyle w:val="Footer"/>
    </w:pPr>
    <w:r>
      <w:t>[</w:t>
    </w:r>
    <w:r w:rsidR="00FA2C5A">
      <w:t>I</w:t>
    </w:r>
    <w:r>
      <w:t>nsert footer here]</w:t>
    </w:r>
    <w:r>
      <w:tab/>
    </w:r>
    <w:r>
      <w:tab/>
    </w:r>
    <w:r>
      <w:fldChar w:fldCharType="begin"/>
    </w:r>
    <w:r>
      <w:instrText xml:space="preserve"> PAGE </w:instrText>
    </w:r>
    <w:r>
      <w:fldChar w:fldCharType="separate"/>
    </w:r>
    <w:r w:rsidR="00FA2C5A">
      <w:rPr>
        <w:noProof/>
      </w:rPr>
      <w:t>1</w:t>
    </w:r>
    <w:r>
      <w:fldChar w:fldCharType="end"/>
    </w:r>
    <w:r>
      <w:t xml:space="preserve"> of </w:t>
    </w:r>
    <w:r>
      <w:fldChar w:fldCharType="begin"/>
    </w:r>
    <w:r>
      <w:instrText xml:space="preserve"> NUMPAGES  </w:instrText>
    </w:r>
    <w:r>
      <w:fldChar w:fldCharType="separate"/>
    </w:r>
    <w:r w:rsidR="00FA2C5A">
      <w:rPr>
        <w:noProof/>
      </w:rPr>
      <w:t>1</w:t>
    </w:r>
    <w:r>
      <w:rPr>
        <w:noProof/>
      </w:rPr>
      <w:fldChar w:fldCharType="end"/>
    </w:r>
  </w:p>
  <w:p w14:paraId="7AB7B2A5" w14:textId="77777777" w:rsidR="00446BEE" w:rsidRDefault="00446BEE">
    <w:pPr>
      <w:pStyle w:val="Footer"/>
    </w:pPr>
  </w:p>
  <w:p w14:paraId="744D6916"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6CF83459" w14:textId="77777777" w:rsidR="008E7826" w:rsidRDefault="008E7826" w:rsidP="008E7826">
            <w:pPr>
              <w:pStyle w:val="Footer"/>
            </w:pPr>
            <w:r>
              <w:t>[Document name and date]</w:t>
            </w:r>
            <w:r>
              <w:tab/>
            </w:r>
            <w:r>
              <w:tab/>
            </w:r>
            <w:r w:rsidRPr="008E7826">
              <w:t xml:space="preserve">Page </w:t>
            </w:r>
            <w:r w:rsidRPr="008E7826">
              <w:rPr>
                <w:sz w:val="24"/>
              </w:rPr>
              <w:fldChar w:fldCharType="begin"/>
            </w:r>
            <w:r w:rsidRPr="008E7826">
              <w:instrText xml:space="preserve"> PAGE </w:instrText>
            </w:r>
            <w:r w:rsidRPr="008E7826">
              <w:rPr>
                <w:sz w:val="24"/>
              </w:rPr>
              <w:fldChar w:fldCharType="separate"/>
            </w:r>
            <w:r w:rsidRPr="008E7826">
              <w:rPr>
                <w:noProof/>
              </w:rPr>
              <w:t>2</w:t>
            </w:r>
            <w:r w:rsidRPr="008E7826">
              <w:rPr>
                <w:sz w:val="24"/>
              </w:rPr>
              <w:fldChar w:fldCharType="end"/>
            </w:r>
            <w:r w:rsidRPr="008E7826">
              <w:t xml:space="preserve"> of </w:t>
            </w:r>
            <w:r>
              <w:fldChar w:fldCharType="begin"/>
            </w:r>
            <w:r>
              <w:instrText xml:space="preserve"> NUMPAGES  </w:instrText>
            </w:r>
            <w:r>
              <w:fldChar w:fldCharType="separate"/>
            </w:r>
            <w:r w:rsidRPr="008E7826">
              <w:rPr>
                <w:noProof/>
              </w:rPr>
              <w:t>2</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0846F" w14:textId="77777777" w:rsidR="005E2DD8" w:rsidRDefault="005E2DD8" w:rsidP="00446BEE">
      <w:r>
        <w:separator/>
      </w:r>
    </w:p>
  </w:footnote>
  <w:footnote w:type="continuationSeparator" w:id="0">
    <w:p w14:paraId="42CC6B82" w14:textId="77777777" w:rsidR="005E2DD8" w:rsidRDefault="005E2DD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CABA8" w14:textId="77777777" w:rsidR="008F6FB7" w:rsidRDefault="008F6FB7">
    <w:pPr>
      <w:pStyle w:val="Header"/>
    </w:pPr>
    <w:r>
      <w:rPr>
        <w:noProof/>
      </w:rPr>
      <w:drawing>
        <wp:anchor distT="0" distB="0" distL="114300" distR="114300" simplePos="0" relativeHeight="251658240" behindDoc="0" locked="0" layoutInCell="1" allowOverlap="1" wp14:anchorId="633C272B" wp14:editId="15B7775D">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CE2C4C"/>
    <w:multiLevelType w:val="hybridMultilevel"/>
    <w:tmpl w:val="46ACC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843C61"/>
    <w:multiLevelType w:val="hybridMultilevel"/>
    <w:tmpl w:val="500655BA"/>
    <w:lvl w:ilvl="0" w:tplc="1BACFB8E">
      <w:start w:val="1"/>
      <w:numFmt w:val="bullet"/>
      <w:lvlText w:val=""/>
      <w:lvlJc w:val="left"/>
      <w:pPr>
        <w:ind w:left="1440" w:hanging="360"/>
      </w:pPr>
      <w:rPr>
        <w:rFonts w:ascii="Symbol" w:hAnsi="Symbol"/>
      </w:rPr>
    </w:lvl>
    <w:lvl w:ilvl="1" w:tplc="00B09EA0">
      <w:start w:val="1"/>
      <w:numFmt w:val="bullet"/>
      <w:lvlText w:val=""/>
      <w:lvlJc w:val="left"/>
      <w:pPr>
        <w:ind w:left="1440" w:hanging="360"/>
      </w:pPr>
      <w:rPr>
        <w:rFonts w:ascii="Symbol" w:hAnsi="Symbol"/>
      </w:rPr>
    </w:lvl>
    <w:lvl w:ilvl="2" w:tplc="EDF44136">
      <w:start w:val="1"/>
      <w:numFmt w:val="bullet"/>
      <w:lvlText w:val=""/>
      <w:lvlJc w:val="left"/>
      <w:pPr>
        <w:ind w:left="1440" w:hanging="360"/>
      </w:pPr>
      <w:rPr>
        <w:rFonts w:ascii="Symbol" w:hAnsi="Symbol"/>
      </w:rPr>
    </w:lvl>
    <w:lvl w:ilvl="3" w:tplc="09684326">
      <w:start w:val="1"/>
      <w:numFmt w:val="bullet"/>
      <w:lvlText w:val=""/>
      <w:lvlJc w:val="left"/>
      <w:pPr>
        <w:ind w:left="1440" w:hanging="360"/>
      </w:pPr>
      <w:rPr>
        <w:rFonts w:ascii="Symbol" w:hAnsi="Symbol"/>
      </w:rPr>
    </w:lvl>
    <w:lvl w:ilvl="4" w:tplc="66FC56D8">
      <w:start w:val="1"/>
      <w:numFmt w:val="bullet"/>
      <w:lvlText w:val=""/>
      <w:lvlJc w:val="left"/>
      <w:pPr>
        <w:ind w:left="1440" w:hanging="360"/>
      </w:pPr>
      <w:rPr>
        <w:rFonts w:ascii="Symbol" w:hAnsi="Symbol"/>
      </w:rPr>
    </w:lvl>
    <w:lvl w:ilvl="5" w:tplc="1D64EC88">
      <w:start w:val="1"/>
      <w:numFmt w:val="bullet"/>
      <w:lvlText w:val=""/>
      <w:lvlJc w:val="left"/>
      <w:pPr>
        <w:ind w:left="1440" w:hanging="360"/>
      </w:pPr>
      <w:rPr>
        <w:rFonts w:ascii="Symbol" w:hAnsi="Symbol"/>
      </w:rPr>
    </w:lvl>
    <w:lvl w:ilvl="6" w:tplc="E558FCD6">
      <w:start w:val="1"/>
      <w:numFmt w:val="bullet"/>
      <w:lvlText w:val=""/>
      <w:lvlJc w:val="left"/>
      <w:pPr>
        <w:ind w:left="1440" w:hanging="360"/>
      </w:pPr>
      <w:rPr>
        <w:rFonts w:ascii="Symbol" w:hAnsi="Symbol"/>
      </w:rPr>
    </w:lvl>
    <w:lvl w:ilvl="7" w:tplc="2D8C9F74">
      <w:start w:val="1"/>
      <w:numFmt w:val="bullet"/>
      <w:lvlText w:val=""/>
      <w:lvlJc w:val="left"/>
      <w:pPr>
        <w:ind w:left="1440" w:hanging="360"/>
      </w:pPr>
      <w:rPr>
        <w:rFonts w:ascii="Symbol" w:hAnsi="Symbol"/>
      </w:rPr>
    </w:lvl>
    <w:lvl w:ilvl="8" w:tplc="BB3EA866">
      <w:start w:val="1"/>
      <w:numFmt w:val="bullet"/>
      <w:lvlText w:val=""/>
      <w:lvlJc w:val="left"/>
      <w:pPr>
        <w:ind w:left="1440" w:hanging="360"/>
      </w:pPr>
      <w:rPr>
        <w:rFonts w:ascii="Symbol" w:hAnsi="Symbol"/>
      </w:rPr>
    </w:lvl>
  </w:abstractNum>
  <w:abstractNum w:abstractNumId="13" w15:restartNumberingAfterBreak="0">
    <w:nsid w:val="4A8C2B6A"/>
    <w:multiLevelType w:val="hybridMultilevel"/>
    <w:tmpl w:val="8DE2BD06"/>
    <w:lvl w:ilvl="0" w:tplc="45A4F206">
      <w:start w:val="1"/>
      <w:numFmt w:val="bullet"/>
      <w:lvlText w:val=""/>
      <w:lvlJc w:val="left"/>
      <w:pPr>
        <w:ind w:left="1440" w:hanging="360"/>
      </w:pPr>
      <w:rPr>
        <w:rFonts w:ascii="Symbol" w:hAnsi="Symbol"/>
      </w:rPr>
    </w:lvl>
    <w:lvl w:ilvl="1" w:tplc="6E96CC5E">
      <w:start w:val="1"/>
      <w:numFmt w:val="bullet"/>
      <w:lvlText w:val=""/>
      <w:lvlJc w:val="left"/>
      <w:pPr>
        <w:ind w:left="1440" w:hanging="360"/>
      </w:pPr>
      <w:rPr>
        <w:rFonts w:ascii="Symbol" w:hAnsi="Symbol"/>
      </w:rPr>
    </w:lvl>
    <w:lvl w:ilvl="2" w:tplc="BE90423E">
      <w:start w:val="1"/>
      <w:numFmt w:val="bullet"/>
      <w:lvlText w:val=""/>
      <w:lvlJc w:val="left"/>
      <w:pPr>
        <w:ind w:left="1440" w:hanging="360"/>
      </w:pPr>
      <w:rPr>
        <w:rFonts w:ascii="Symbol" w:hAnsi="Symbol"/>
      </w:rPr>
    </w:lvl>
    <w:lvl w:ilvl="3" w:tplc="BE345AAC">
      <w:start w:val="1"/>
      <w:numFmt w:val="bullet"/>
      <w:lvlText w:val=""/>
      <w:lvlJc w:val="left"/>
      <w:pPr>
        <w:ind w:left="1440" w:hanging="360"/>
      </w:pPr>
      <w:rPr>
        <w:rFonts w:ascii="Symbol" w:hAnsi="Symbol"/>
      </w:rPr>
    </w:lvl>
    <w:lvl w:ilvl="4" w:tplc="0E2AD6CA">
      <w:start w:val="1"/>
      <w:numFmt w:val="bullet"/>
      <w:lvlText w:val=""/>
      <w:lvlJc w:val="left"/>
      <w:pPr>
        <w:ind w:left="1440" w:hanging="360"/>
      </w:pPr>
      <w:rPr>
        <w:rFonts w:ascii="Symbol" w:hAnsi="Symbol"/>
      </w:rPr>
    </w:lvl>
    <w:lvl w:ilvl="5" w:tplc="AB58CD9A">
      <w:start w:val="1"/>
      <w:numFmt w:val="bullet"/>
      <w:lvlText w:val=""/>
      <w:lvlJc w:val="left"/>
      <w:pPr>
        <w:ind w:left="1440" w:hanging="360"/>
      </w:pPr>
      <w:rPr>
        <w:rFonts w:ascii="Symbol" w:hAnsi="Symbol"/>
      </w:rPr>
    </w:lvl>
    <w:lvl w:ilvl="6" w:tplc="1F24FCE8">
      <w:start w:val="1"/>
      <w:numFmt w:val="bullet"/>
      <w:lvlText w:val=""/>
      <w:lvlJc w:val="left"/>
      <w:pPr>
        <w:ind w:left="1440" w:hanging="360"/>
      </w:pPr>
      <w:rPr>
        <w:rFonts w:ascii="Symbol" w:hAnsi="Symbol"/>
      </w:rPr>
    </w:lvl>
    <w:lvl w:ilvl="7" w:tplc="FA82EF90">
      <w:start w:val="1"/>
      <w:numFmt w:val="bullet"/>
      <w:lvlText w:val=""/>
      <w:lvlJc w:val="left"/>
      <w:pPr>
        <w:ind w:left="1440" w:hanging="360"/>
      </w:pPr>
      <w:rPr>
        <w:rFonts w:ascii="Symbol" w:hAnsi="Symbol"/>
      </w:rPr>
    </w:lvl>
    <w:lvl w:ilvl="8" w:tplc="05A4DA4C">
      <w:start w:val="1"/>
      <w:numFmt w:val="bullet"/>
      <w:lvlText w:val=""/>
      <w:lvlJc w:val="left"/>
      <w:pPr>
        <w:ind w:left="1440" w:hanging="360"/>
      </w:pPr>
      <w:rPr>
        <w:rFonts w:ascii="Symbol" w:hAnsi="Symbol"/>
      </w:rPr>
    </w:lvl>
  </w:abstractNum>
  <w:abstractNum w:abstractNumId="14" w15:restartNumberingAfterBreak="0">
    <w:nsid w:val="4E002BC1"/>
    <w:multiLevelType w:val="hybridMultilevel"/>
    <w:tmpl w:val="8ECE1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082D7B"/>
    <w:multiLevelType w:val="hybridMultilevel"/>
    <w:tmpl w:val="1D34D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63384370">
    <w:abstractNumId w:val="15"/>
  </w:num>
  <w:num w:numId="2" w16cid:durableId="1271931310">
    <w:abstractNumId w:val="17"/>
  </w:num>
  <w:num w:numId="3" w16cid:durableId="987441700">
    <w:abstractNumId w:val="17"/>
    <w:lvlOverride w:ilvl="0">
      <w:startOverride w:val="1"/>
    </w:lvlOverride>
  </w:num>
  <w:num w:numId="4" w16cid:durableId="1499422565">
    <w:abstractNumId w:val="17"/>
    <w:lvlOverride w:ilvl="0">
      <w:startOverride w:val="1"/>
    </w:lvlOverride>
  </w:num>
  <w:num w:numId="5" w16cid:durableId="2069916214">
    <w:abstractNumId w:val="17"/>
    <w:lvlOverride w:ilvl="0">
      <w:startOverride w:val="1"/>
    </w:lvlOverride>
  </w:num>
  <w:num w:numId="6" w16cid:durableId="1714303981">
    <w:abstractNumId w:val="17"/>
    <w:lvlOverride w:ilvl="0">
      <w:startOverride w:val="1"/>
    </w:lvlOverride>
  </w:num>
  <w:num w:numId="7" w16cid:durableId="1383334273">
    <w:abstractNumId w:val="17"/>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0"/>
  </w:num>
  <w:num w:numId="19" w16cid:durableId="1373924523">
    <w:abstractNumId w:val="10"/>
    <w:lvlOverride w:ilvl="0">
      <w:startOverride w:val="1"/>
    </w:lvlOverride>
  </w:num>
  <w:num w:numId="20" w16cid:durableId="399716702">
    <w:abstractNumId w:val="15"/>
  </w:num>
  <w:num w:numId="21" w16cid:durableId="1595244151">
    <w:abstractNumId w:val="17"/>
  </w:num>
  <w:num w:numId="22" w16cid:durableId="368646558">
    <w:abstractNumId w:val="10"/>
  </w:num>
  <w:num w:numId="23" w16cid:durableId="534393170">
    <w:abstractNumId w:val="16"/>
  </w:num>
  <w:num w:numId="24" w16cid:durableId="609512517">
    <w:abstractNumId w:val="19"/>
  </w:num>
  <w:num w:numId="25" w16cid:durableId="1006129152">
    <w:abstractNumId w:val="14"/>
  </w:num>
  <w:num w:numId="26" w16cid:durableId="1727948793">
    <w:abstractNumId w:val="18"/>
  </w:num>
  <w:num w:numId="27" w16cid:durableId="1333222033">
    <w:abstractNumId w:val="11"/>
  </w:num>
  <w:num w:numId="28" w16cid:durableId="2054114366">
    <w:abstractNumId w:val="12"/>
  </w:num>
  <w:num w:numId="29" w16cid:durableId="64153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998"/>
    <w:rsid w:val="000053F8"/>
    <w:rsid w:val="00006056"/>
    <w:rsid w:val="00024D0A"/>
    <w:rsid w:val="00070065"/>
    <w:rsid w:val="0007207F"/>
    <w:rsid w:val="00080521"/>
    <w:rsid w:val="000A0E93"/>
    <w:rsid w:val="000A4FEE"/>
    <w:rsid w:val="000B5939"/>
    <w:rsid w:val="00103A4E"/>
    <w:rsid w:val="001066EA"/>
    <w:rsid w:val="001134E7"/>
    <w:rsid w:val="001336FF"/>
    <w:rsid w:val="00134D7F"/>
    <w:rsid w:val="00136206"/>
    <w:rsid w:val="00143402"/>
    <w:rsid w:val="001438C0"/>
    <w:rsid w:val="00157BBE"/>
    <w:rsid w:val="00164B2B"/>
    <w:rsid w:val="00166303"/>
    <w:rsid w:val="0016727E"/>
    <w:rsid w:val="0017169E"/>
    <w:rsid w:val="0019472D"/>
    <w:rsid w:val="001A6635"/>
    <w:rsid w:val="001B0EE9"/>
    <w:rsid w:val="001B65B3"/>
    <w:rsid w:val="001C3A85"/>
    <w:rsid w:val="001C5283"/>
    <w:rsid w:val="001D3AF8"/>
    <w:rsid w:val="001E60D6"/>
    <w:rsid w:val="001F2E83"/>
    <w:rsid w:val="002054C1"/>
    <w:rsid w:val="002124D5"/>
    <w:rsid w:val="002408EA"/>
    <w:rsid w:val="0025603E"/>
    <w:rsid w:val="00271100"/>
    <w:rsid w:val="002819D7"/>
    <w:rsid w:val="00296807"/>
    <w:rsid w:val="002C1A7E"/>
    <w:rsid w:val="002D3376"/>
    <w:rsid w:val="002E5131"/>
    <w:rsid w:val="00311ED0"/>
    <w:rsid w:val="00323D30"/>
    <w:rsid w:val="0032797E"/>
    <w:rsid w:val="003648C5"/>
    <w:rsid w:val="003722FA"/>
    <w:rsid w:val="00381164"/>
    <w:rsid w:val="003C7AAF"/>
    <w:rsid w:val="003F0A04"/>
    <w:rsid w:val="003F1C1C"/>
    <w:rsid w:val="003F38DD"/>
    <w:rsid w:val="004075B6"/>
    <w:rsid w:val="00420952"/>
    <w:rsid w:val="00424553"/>
    <w:rsid w:val="00446BEE"/>
    <w:rsid w:val="00464193"/>
    <w:rsid w:val="004705CF"/>
    <w:rsid w:val="004A6CB0"/>
    <w:rsid w:val="004D6F46"/>
    <w:rsid w:val="005025A1"/>
    <w:rsid w:val="005112E7"/>
    <w:rsid w:val="00547D92"/>
    <w:rsid w:val="00554BC0"/>
    <w:rsid w:val="00555E15"/>
    <w:rsid w:val="00555F5D"/>
    <w:rsid w:val="0057656F"/>
    <w:rsid w:val="00580FE2"/>
    <w:rsid w:val="00581C49"/>
    <w:rsid w:val="00594C3A"/>
    <w:rsid w:val="005A02D5"/>
    <w:rsid w:val="005B4B81"/>
    <w:rsid w:val="005C27C6"/>
    <w:rsid w:val="005D2917"/>
    <w:rsid w:val="005D52D0"/>
    <w:rsid w:val="005E2DD8"/>
    <w:rsid w:val="00624140"/>
    <w:rsid w:val="006253EF"/>
    <w:rsid w:val="00641717"/>
    <w:rsid w:val="006709A9"/>
    <w:rsid w:val="006755A7"/>
    <w:rsid w:val="006802A7"/>
    <w:rsid w:val="00685F79"/>
    <w:rsid w:val="00686F0F"/>
    <w:rsid w:val="006877FA"/>
    <w:rsid w:val="006918A8"/>
    <w:rsid w:val="006921E1"/>
    <w:rsid w:val="00696C0A"/>
    <w:rsid w:val="006A28FB"/>
    <w:rsid w:val="006B43E6"/>
    <w:rsid w:val="0073503B"/>
    <w:rsid w:val="00736348"/>
    <w:rsid w:val="007416D7"/>
    <w:rsid w:val="007729F5"/>
    <w:rsid w:val="0077376B"/>
    <w:rsid w:val="00781C41"/>
    <w:rsid w:val="007F2998"/>
    <w:rsid w:val="00827B4C"/>
    <w:rsid w:val="00833D8A"/>
    <w:rsid w:val="00861B92"/>
    <w:rsid w:val="008635E4"/>
    <w:rsid w:val="00870249"/>
    <w:rsid w:val="008814FB"/>
    <w:rsid w:val="008955F7"/>
    <w:rsid w:val="00897E09"/>
    <w:rsid w:val="008A41BF"/>
    <w:rsid w:val="008D1F77"/>
    <w:rsid w:val="008D6E35"/>
    <w:rsid w:val="008E7826"/>
    <w:rsid w:val="008F3356"/>
    <w:rsid w:val="008F5E30"/>
    <w:rsid w:val="008F6FB7"/>
    <w:rsid w:val="00912B6C"/>
    <w:rsid w:val="00914D7F"/>
    <w:rsid w:val="009337EA"/>
    <w:rsid w:val="0094063C"/>
    <w:rsid w:val="0097305A"/>
    <w:rsid w:val="009E558E"/>
    <w:rsid w:val="009E680B"/>
    <w:rsid w:val="00A0276D"/>
    <w:rsid w:val="00A04F1E"/>
    <w:rsid w:val="00A15A1F"/>
    <w:rsid w:val="00A21129"/>
    <w:rsid w:val="00A3325A"/>
    <w:rsid w:val="00A43013"/>
    <w:rsid w:val="00A577CB"/>
    <w:rsid w:val="00A76683"/>
    <w:rsid w:val="00AA3AD9"/>
    <w:rsid w:val="00AA7433"/>
    <w:rsid w:val="00AB15CA"/>
    <w:rsid w:val="00AB3A4C"/>
    <w:rsid w:val="00AB3FB7"/>
    <w:rsid w:val="00AD3E86"/>
    <w:rsid w:val="00AE22BC"/>
    <w:rsid w:val="00AE3223"/>
    <w:rsid w:val="00AF108A"/>
    <w:rsid w:val="00B02E55"/>
    <w:rsid w:val="00B036C1"/>
    <w:rsid w:val="00B246B3"/>
    <w:rsid w:val="00B2732C"/>
    <w:rsid w:val="00B40B85"/>
    <w:rsid w:val="00B5431F"/>
    <w:rsid w:val="00B56640"/>
    <w:rsid w:val="00B65A11"/>
    <w:rsid w:val="00BA7267"/>
    <w:rsid w:val="00BC184B"/>
    <w:rsid w:val="00BD1356"/>
    <w:rsid w:val="00BD77F4"/>
    <w:rsid w:val="00BE3F45"/>
    <w:rsid w:val="00BF675A"/>
    <w:rsid w:val="00BF7FE0"/>
    <w:rsid w:val="00C045DC"/>
    <w:rsid w:val="00C04698"/>
    <w:rsid w:val="00C36044"/>
    <w:rsid w:val="00C77C66"/>
    <w:rsid w:val="00C85682"/>
    <w:rsid w:val="00C91E26"/>
    <w:rsid w:val="00C96411"/>
    <w:rsid w:val="00C9744F"/>
    <w:rsid w:val="00CB2369"/>
    <w:rsid w:val="00CB5607"/>
    <w:rsid w:val="00CF2E5C"/>
    <w:rsid w:val="00CF58B7"/>
    <w:rsid w:val="00D02A8F"/>
    <w:rsid w:val="00D02FFC"/>
    <w:rsid w:val="00D10048"/>
    <w:rsid w:val="00D13F1D"/>
    <w:rsid w:val="00D1699D"/>
    <w:rsid w:val="00D30BA2"/>
    <w:rsid w:val="00D351C1"/>
    <w:rsid w:val="00D35EFB"/>
    <w:rsid w:val="00D47D55"/>
    <w:rsid w:val="00D504B3"/>
    <w:rsid w:val="00D63F91"/>
    <w:rsid w:val="00D86BE2"/>
    <w:rsid w:val="00D86BF0"/>
    <w:rsid w:val="00D9590D"/>
    <w:rsid w:val="00DF4974"/>
    <w:rsid w:val="00E45CDF"/>
    <w:rsid w:val="00E46E62"/>
    <w:rsid w:val="00E51079"/>
    <w:rsid w:val="00E51920"/>
    <w:rsid w:val="00E64120"/>
    <w:rsid w:val="00E660A1"/>
    <w:rsid w:val="00E72AE9"/>
    <w:rsid w:val="00E74CDA"/>
    <w:rsid w:val="00E851C4"/>
    <w:rsid w:val="00EB096F"/>
    <w:rsid w:val="00EC358D"/>
    <w:rsid w:val="00EF715A"/>
    <w:rsid w:val="00F055F1"/>
    <w:rsid w:val="00F210E1"/>
    <w:rsid w:val="00F322F7"/>
    <w:rsid w:val="00F610AF"/>
    <w:rsid w:val="00F73BA0"/>
    <w:rsid w:val="00F84811"/>
    <w:rsid w:val="00F97F04"/>
    <w:rsid w:val="00FA2C5A"/>
    <w:rsid w:val="00FC2D11"/>
    <w:rsid w:val="00FC6230"/>
    <w:rsid w:val="00FF61E7"/>
    <w:rsid w:val="08D2F077"/>
    <w:rsid w:val="31EF4A86"/>
    <w:rsid w:val="50B2E659"/>
    <w:rsid w:val="733C7087"/>
    <w:rsid w:val="77A8C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CA436"/>
  <w15:chartTrackingRefBased/>
  <w15:docId w15:val="{979827DD-8AF0-4496-9CCB-7181D8ED6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styleId="ListParagraph">
    <w:name w:val="List Paragraph"/>
    <w:basedOn w:val="Normal"/>
    <w:uiPriority w:val="34"/>
    <w:qFormat/>
    <w:rsid w:val="00DF4974"/>
    <w:pPr>
      <w:ind w:left="720"/>
      <w:contextualSpacing/>
    </w:pPr>
  </w:style>
  <w:style w:type="character" w:customStyle="1" w:styleId="ui-provider">
    <w:name w:val="ui-provider"/>
    <w:basedOn w:val="DefaultParagraphFont"/>
    <w:rsid w:val="008D1F77"/>
  </w:style>
  <w:style w:type="character" w:customStyle="1" w:styleId="normaltextrun">
    <w:name w:val="normaltextrun"/>
    <w:basedOn w:val="DefaultParagraphFont"/>
    <w:rsid w:val="00D13F1D"/>
  </w:style>
  <w:style w:type="paragraph" w:styleId="Revision">
    <w:name w:val="Revision"/>
    <w:hidden/>
    <w:uiPriority w:val="99"/>
    <w:semiHidden/>
    <w:rsid w:val="005B4B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4edb4861-adbc-4b4f-af3c-06ff068a30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AD5A024384CA41B7691A0748DF3D8F" ma:contentTypeVersion="16" ma:contentTypeDescription="Create a new document." ma:contentTypeScope="" ma:versionID="fad8ba9dcb3a8b8b811068b39f26cf7e">
  <xsd:schema xmlns:xsd="http://www.w3.org/2001/XMLSchema" xmlns:xs="http://www.w3.org/2001/XMLSchema" xmlns:p="http://schemas.microsoft.com/office/2006/metadata/properties" xmlns:ns3="4edb4861-adbc-4b4f-af3c-06ff068a30cf" xmlns:ns4="63395212-3069-46d8-8822-126ba44448fc" targetNamespace="http://schemas.microsoft.com/office/2006/metadata/properties" ma:root="true" ma:fieldsID="6f3b4be99e3e3efa3c988f2bc72a8374" ns3:_="" ns4:_="">
    <xsd:import namespace="4edb4861-adbc-4b4f-af3c-06ff068a30cf"/>
    <xsd:import namespace="63395212-3069-46d8-8822-126ba44448f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b4861-adbc-4b4f-af3c-06ff068a3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95212-3069-46d8-8822-126ba44448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customXml/itemProps2.xml><?xml version="1.0" encoding="utf-8"?>
<ds:datastoreItem xmlns:ds="http://schemas.openxmlformats.org/officeDocument/2006/customXml" ds:itemID="{8DACDF60-CA54-4262-BA7E-96AF32AC048B}">
  <ds:schemaRefs>
    <ds:schemaRef ds:uri="http://schemas.microsoft.com/office/2006/metadata/properties"/>
    <ds:schemaRef ds:uri="http://schemas.microsoft.com/office/infopath/2007/PartnerControls"/>
    <ds:schemaRef ds:uri="4edb4861-adbc-4b4f-af3c-06ff068a30cf"/>
  </ds:schemaRefs>
</ds:datastoreItem>
</file>

<file path=customXml/itemProps3.xml><?xml version="1.0" encoding="utf-8"?>
<ds:datastoreItem xmlns:ds="http://schemas.openxmlformats.org/officeDocument/2006/customXml" ds:itemID="{C9DC6951-118B-4F29-93F8-E79FA72977B6}">
  <ds:schemaRefs>
    <ds:schemaRef ds:uri="http://schemas.microsoft.com/sharepoint/v3/contenttype/forms"/>
  </ds:schemaRefs>
</ds:datastoreItem>
</file>

<file path=customXml/itemProps4.xml><?xml version="1.0" encoding="utf-8"?>
<ds:datastoreItem xmlns:ds="http://schemas.openxmlformats.org/officeDocument/2006/customXml" ds:itemID="{6A76684A-5754-4DDF-BC99-16FA91A14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db4861-adbc-4b4f-af3c-06ff068a30cf"/>
    <ds:schemaRef ds:uri="63395212-3069-46d8-8822-126ba4444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Fletcher</dc:creator>
  <cp:keywords/>
  <dc:description/>
  <cp:lastModifiedBy>Trish Brennan</cp:lastModifiedBy>
  <cp:revision>2</cp:revision>
  <dcterms:created xsi:type="dcterms:W3CDTF">2024-11-01T11:10:00Z</dcterms:created>
  <dcterms:modified xsi:type="dcterms:W3CDTF">2024-11-01T11:10:00Z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2024-01-12T17:03:37Z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429a2fd7-195c-4f01-a4df-76e72e263e39</vt:lpwstr>
  </property>
  <property fmtid="{D5CDD505-2E9C-101B-9397-08002B2CF9AE}" pid="8" name="MSIP_Label_c69d85d5-6d9e-4305-a294-1f636ec0f2d6_ContentBits">
    <vt:lpwstr>0</vt:lpwstr>
  </property>
  <property fmtid="{D5CDD505-2E9C-101B-9397-08002B2CF9AE}" pid="9" name="ContentTypeId">
    <vt:lpwstr>0x01010001AD5A024384CA41B7691A0748DF3D8F</vt:lpwstr>
  </property>
</Properties>
</file>